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rPr>
          <w:rFonts w:hint="eastAsia"/>
          <w:highlight w:val="none"/>
        </w:rPr>
      </w:pPr>
      <w:r>
        <w:rPr>
          <w:rFonts w:hint="eastAsia"/>
          <w:highlight w:val="none"/>
        </w:rPr>
      </w:r>
      <w:r/>
    </w:p>
    <w:p>
      <w:pPr>
        <w:pStyle w:val="1033"/>
        <w:jc w:val="center"/>
        <w:spacing w:line="240" w:lineRule="auto"/>
        <w:rPr>
          <w:rFonts w:hint="eastAsia" w:ascii="宋体" w:hAnsi="宋体" w:eastAsia="宋体" w:cs="宋体"/>
          <w:sz w:val="72"/>
          <w:szCs w:val="72"/>
          <w:highlight w:val="none"/>
        </w:rPr>
      </w:pPr>
      <w:r/>
      <w:bookmarkStart w:id="0" w:name="OLE_LINK1"/>
      <w:r>
        <w:rPr>
          <w:rFonts w:hint="eastAsia" w:ascii="宋体" w:hAnsi="宋体" w:eastAsia="宋体" w:cs="宋体"/>
          <w:sz w:val="60"/>
          <w:szCs w:val="21"/>
          <w:highlight w:val="none"/>
        </w:rPr>
        <w:t xml:space="preserve">江苏省特种设备安全监督检验研究院</w:t>
      </w:r>
      <w:r>
        <w:rPr>
          <w:rFonts w:hint="eastAsia" w:ascii="宋体" w:hAnsi="宋体" w:eastAsia="宋体" w:cs="宋体"/>
          <w:sz w:val="72"/>
          <w:szCs w:val="72"/>
          <w:highlight w:val="none"/>
        </w:rPr>
      </w:r>
      <w:r/>
    </w:p>
    <w:p>
      <w:pPr>
        <w:pStyle w:val="1033"/>
        <w:rPr>
          <w:rFonts w:hint="eastAsia" w:ascii="宋体" w:hAnsi="宋体" w:eastAsia="宋体" w:cs="宋体"/>
          <w:sz w:val="24"/>
          <w:szCs w:val="24"/>
          <w:highlight w:val="none"/>
        </w:rPr>
      </w:pPr>
      <w:r/>
      <w:bookmarkEnd w:id="0"/>
      <w:r>
        <w:rPr>
          <w:rFonts w:hint="eastAsia" w:ascii="宋体" w:hAnsi="宋体" w:eastAsia="宋体" w:cs="宋体"/>
          <w:sz w:val="24"/>
          <w:szCs w:val="24"/>
          <w:highlight w:val="none"/>
        </w:rPr>
      </w:r>
      <w:r/>
    </w:p>
    <w:p>
      <w:pPr>
        <w:pStyle w:val="1033"/>
        <w:jc w:val="center"/>
        <w:spacing w:before="0" w:after="0"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r>
      <w:r/>
    </w:p>
    <w:p>
      <w:pPr>
        <w:pStyle w:val="1033"/>
        <w:jc w:val="center"/>
        <w:spacing w:before="0" w:after="0"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招标文件</w:t>
      </w:r>
      <w:r>
        <w:rPr>
          <w:rFonts w:hint="eastAsia" w:ascii="宋体" w:hAnsi="宋体" w:eastAsia="宋体" w:cs="宋体"/>
          <w:sz w:val="72"/>
          <w:szCs w:val="72"/>
          <w:highlight w:val="none"/>
        </w:rPr>
      </w:r>
      <w:r/>
    </w:p>
    <w:p>
      <w:pPr>
        <w:pStyle w:val="1033"/>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1033"/>
        <w:ind w:left="840"/>
        <w:rPr>
          <w:rFonts w:ascii="宋体" w:hAnsi="宋体" w:eastAsia="宋体" w:cs="宋体"/>
          <w:sz w:val="32"/>
          <w:szCs w:val="32"/>
          <w:highlight w:val="none"/>
          <w:lang w:val="en-US" w:eastAsia="zh-CN"/>
        </w:rPr>
      </w:pPr>
      <w:r>
        <w:rPr>
          <w:rFonts w:hint="eastAsia" w:ascii="宋体" w:hAnsi="宋体" w:eastAsia="宋体" w:cs="宋体"/>
          <w:sz w:val="32"/>
          <w:szCs w:val="32"/>
          <w:highlight w:val="none"/>
        </w:rPr>
        <w:t xml:space="preserve">项目编号：</w:t>
      </w:r>
      <w:r>
        <w:rPr>
          <w:rFonts w:hint="eastAsia" w:ascii="宋体" w:hAnsi="宋体" w:eastAsia="宋体" w:cs="宋体"/>
          <w:sz w:val="32"/>
          <w:szCs w:val="32"/>
          <w:highlight w:val="none"/>
          <w:lang w:eastAsia="zh-CN"/>
        </w:rPr>
        <w:t xml:space="preserve">JSZC-320000-HWZX-G2026-0625</w:t>
      </w:r>
      <w:r>
        <w:rPr>
          <w:rFonts w:ascii="宋体" w:hAnsi="宋体" w:eastAsia="宋体" w:cs="宋体"/>
          <w:sz w:val="32"/>
          <w:szCs w:val="32"/>
          <w:highlight w:val="none"/>
          <w:lang w:val="en-US" w:eastAsia="zh-CN"/>
        </w:rPr>
      </w:r>
      <w:r/>
    </w:p>
    <w:p>
      <w:pPr>
        <w:pStyle w:val="1033"/>
        <w:ind w:left="840"/>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代理机构内部编号：</w:t>
      </w:r>
      <w:r>
        <w:rPr>
          <w:rFonts w:hint="eastAsia" w:ascii="宋体" w:hAnsi="宋体" w:eastAsia="宋体" w:cs="宋体"/>
          <w:color w:val="000000"/>
          <w:sz w:val="32"/>
          <w:szCs w:val="32"/>
          <w:highlight w:val="none"/>
          <w:lang w:eastAsia="zh-CN"/>
        </w:rPr>
        <w:t xml:space="preserve">0675-266JOC004659</w:t>
      </w:r>
      <w:r>
        <w:rPr>
          <w:rFonts w:hint="eastAsia" w:ascii="宋体" w:hAnsi="宋体" w:eastAsia="宋体" w:cs="宋体"/>
          <w:color w:val="000000"/>
          <w:sz w:val="32"/>
          <w:szCs w:val="32"/>
          <w:highlight w:val="none"/>
          <w:lang w:eastAsia="zh-CN"/>
        </w:rPr>
      </w:r>
      <w:r/>
    </w:p>
    <w:p>
      <w:pPr>
        <w:pStyle w:val="1033"/>
        <w:ind w:left="840"/>
        <w:rPr>
          <w:rFonts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rPr>
        <w:t xml:space="preserve">采购分包号：</w:t>
      </w:r>
      <w:r>
        <w:rPr>
          <w:rFonts w:hint="eastAsia" w:ascii="宋体" w:hAnsi="宋体" w:eastAsia="宋体" w:cs="宋体"/>
          <w:color w:val="000000"/>
          <w:sz w:val="32"/>
          <w:szCs w:val="32"/>
          <w:highlight w:val="none"/>
          <w:lang w:eastAsia="zh-CN"/>
        </w:rPr>
        <w:t xml:space="preserve">采购分包1</w:t>
      </w:r>
      <w:r>
        <w:rPr>
          <w:rFonts w:ascii="宋体" w:hAnsi="宋体" w:eastAsia="宋体" w:cs="宋体"/>
          <w:color w:val="000000"/>
          <w:sz w:val="32"/>
          <w:szCs w:val="32"/>
          <w:highlight w:val="none"/>
          <w:lang w:val="en-US" w:eastAsia="zh-CN"/>
        </w:rPr>
      </w:r>
      <w:r/>
    </w:p>
    <w:p>
      <w:pPr>
        <w:pStyle w:val="1033"/>
        <w:ind w:left="2318" w:hanging="1478"/>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项目名称：</w:t>
      </w:r>
      <w:r>
        <w:rPr>
          <w:rFonts w:hint="eastAsia" w:ascii="宋体" w:hAnsi="宋体" w:eastAsia="宋体" w:cs="宋体"/>
          <w:color w:val="000000"/>
          <w:sz w:val="32"/>
          <w:szCs w:val="32"/>
          <w:highlight w:val="none"/>
          <w:lang w:eastAsia="zh-CN"/>
        </w:rPr>
        <w:t xml:space="preserve">江苏省特检院老旧设备更新项目-机电类检验检测设备采购（全站仪等设备）</w:t>
      </w:r>
      <w:r>
        <w:rPr>
          <w:rFonts w:hint="eastAsia" w:ascii="宋体" w:hAnsi="宋体" w:eastAsia="宋体" w:cs="宋体"/>
          <w:color w:val="000000"/>
          <w:sz w:val="32"/>
          <w:szCs w:val="32"/>
          <w:highlight w:val="none"/>
          <w:lang w:eastAsia="zh-CN"/>
        </w:rPr>
      </w:r>
      <w:r/>
    </w:p>
    <w:p>
      <w:pPr>
        <w:pStyle w:val="1033"/>
        <w:ind w:left="84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采 购 人：江苏省特种设备安全监督检验研究院</w:t>
      </w:r>
      <w:r>
        <w:rPr>
          <w:rFonts w:hint="eastAsia" w:ascii="宋体" w:hAnsi="宋体" w:eastAsia="宋体" w:cs="宋体"/>
          <w:color w:val="000000"/>
          <w:sz w:val="32"/>
          <w:szCs w:val="32"/>
          <w:highlight w:val="none"/>
        </w:rPr>
      </w:r>
      <w:r/>
    </w:p>
    <w:p>
      <w:pPr>
        <w:pStyle w:val="1033"/>
        <w:ind w:left="1797" w:hanging="957"/>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1033"/>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033"/>
        <w:ind w:left="16" w:hanging="16"/>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代理机构：江苏海外集团国际工程咨询有限公司</w:t>
      </w:r>
      <w:r>
        <w:rPr>
          <w:rFonts w:hint="eastAsia" w:ascii="宋体" w:hAnsi="宋体" w:eastAsia="宋体" w:cs="宋体"/>
          <w:sz w:val="32"/>
          <w:szCs w:val="32"/>
          <w:highlight w:val="none"/>
        </w:rPr>
      </w:r>
      <w:r/>
    </w:p>
    <w:p>
      <w:pPr>
        <w:pStyle w:val="1090"/>
        <w:jc w:val="center"/>
        <w:tabs>
          <w:tab w:val="right" w:pos="8306" w:leader="dot"/>
        </w:tabs>
        <w:rPr>
          <w:rFonts w:hint="eastAsia" w:ascii="宋体" w:hAnsi="宋体" w:cs="宋体"/>
          <w:spacing w:val="30"/>
          <w:sz w:val="32"/>
          <w:szCs w:val="32"/>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spacing w:val="30"/>
          <w:sz w:val="32"/>
          <w:szCs w:val="32"/>
          <w:highlight w:val="none"/>
        </w:rPr>
        <w:t xml:space="preserve">二〇二六年</w:t>
      </w:r>
      <w:r>
        <w:rPr>
          <w:rFonts w:hint="eastAsia" w:ascii="宋体" w:hAnsi="宋体" w:cs="宋体"/>
          <w:spacing w:val="30"/>
          <w:sz w:val="32"/>
          <w:szCs w:val="32"/>
          <w:highlight w:val="none"/>
          <w:lang w:val="en-US" w:eastAsia="zh-CN"/>
        </w:rPr>
        <w:t xml:space="preserve">十</w:t>
      </w:r>
      <w:r>
        <w:rPr>
          <w:rFonts w:hint="eastAsia" w:ascii="宋体" w:hAnsi="宋体" w:cs="宋体"/>
          <w:spacing w:val="30"/>
          <w:sz w:val="32"/>
          <w:szCs w:val="32"/>
          <w:highlight w:val="none"/>
        </w:rPr>
        <w:t xml:space="preserve">月</w:t>
      </w:r>
      <w:r>
        <w:rPr>
          <w:rFonts w:hint="eastAsia" w:ascii="宋体" w:hAnsi="宋体" w:cs="宋体"/>
          <w:spacing w:val="30"/>
          <w:sz w:val="32"/>
          <w:szCs w:val="32"/>
          <w:highlight w:val="none"/>
        </w:rPr>
      </w:r>
      <w:r/>
    </w:p>
    <w:p>
      <w:pPr>
        <w:pStyle w:val="1090"/>
        <w:jc w:val="center"/>
        <w:tabs>
          <w:tab w:val="right" w:pos="8306" w:leader="dot"/>
        </w:tabs>
        <w:rPr>
          <w:rFonts w:hint="eastAsia" w:ascii="宋体" w:hAnsi="宋体" w:cs="宋体"/>
          <w:sz w:val="44"/>
          <w:szCs w:val="44"/>
          <w:highlight w:val="none"/>
        </w:rPr>
      </w:pPr>
      <w:r>
        <w:rPr>
          <w:rFonts w:hint="eastAsia" w:ascii="宋体" w:hAnsi="宋体" w:cs="宋体"/>
          <w:sz w:val="44"/>
          <w:szCs w:val="44"/>
          <w:highlight w:val="none"/>
        </w:rPr>
        <w:t xml:space="preserve">目 录</w:t>
      </w:r>
      <w:r>
        <w:rPr>
          <w:rFonts w:hint="eastAsia" w:ascii="宋体" w:hAnsi="宋体" w:cs="宋体"/>
          <w:sz w:val="44"/>
          <w:szCs w:val="44"/>
          <w:highlight w:val="none"/>
        </w:rPr>
      </w:r>
      <w:r/>
    </w:p>
    <w:p>
      <w:pPr>
        <w:pStyle w:val="1090"/>
        <w:tabs>
          <w:tab w:val="right" w:pos="9746" w:leader="dot"/>
        </w:tabs>
        <w:rPr>
          <w:highlight w:val="none"/>
        </w:rPr>
      </w:pPr>
      <w:r/>
      <w:bookmarkStart w:id="1" w:name="_Toc6351"/>
      <w:r/>
      <w:bookmarkStart w:id="2" w:name="_Toc32113"/>
      <w:r>
        <w:rPr>
          <w:rFonts w:hint="eastAsia" w:ascii="宋体" w:hAnsi="宋体" w:cs="宋体"/>
          <w:sz w:val="22"/>
          <w:szCs w:val="22"/>
          <w:highlight w:val="none"/>
        </w:rPr>
        <w:fldChar w:fldCharType="begin"/>
      </w:r>
      <w:r>
        <w:rPr>
          <w:rFonts w:hint="eastAsia" w:ascii="宋体" w:hAnsi="宋体" w:cs="宋体"/>
          <w:sz w:val="22"/>
          <w:szCs w:val="22"/>
          <w:highlight w:val="none"/>
        </w:rPr>
        <w:instrText xml:space="preserve">TOC \o "1-3" \h \u </w:instrText>
      </w:r>
      <w:r>
        <w:rPr>
          <w:rFonts w:hint="eastAsia" w:ascii="宋体" w:hAnsi="宋体" w:cs="宋体"/>
          <w:sz w:val="22"/>
          <w:szCs w:val="22"/>
          <w:highlight w:val="none"/>
        </w:rPr>
        <w:fldChar w:fldCharType="separate"/>
      </w: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_Toc18178 </w:instrText>
      </w:r>
      <w:r>
        <w:rPr>
          <w:rFonts w:hint="eastAsia" w:ascii="宋体" w:hAnsi="宋体" w:cs="宋体"/>
          <w:szCs w:val="22"/>
          <w:highlight w:val="none"/>
        </w:rPr>
        <w:fldChar w:fldCharType="separate"/>
      </w:r>
      <w:r>
        <w:rPr>
          <w:rFonts w:hint="eastAsia" w:ascii="宋体" w:hAnsi="宋体" w:eastAsia="宋体" w:cs="宋体"/>
          <w:highlight w:val="none"/>
        </w:rPr>
        <w:t xml:space="preserve">第一章 招标公告</w:t>
      </w:r>
      <w:r>
        <w:rPr>
          <w:highlight w:val="none"/>
        </w:rPr>
        <w:tab/>
      </w:r>
      <w:r>
        <w:rPr>
          <w:highlight w:val="none"/>
        </w:rPr>
        <w:fldChar w:fldCharType="begin"/>
      </w:r>
      <w:r>
        <w:rPr>
          <w:highlight w:val="none"/>
        </w:rPr>
        <w:instrText xml:space="preserve"> PAGEREF _Toc18178 \h </w:instrText>
      </w:r>
      <w:r>
        <w:rPr>
          <w:highlight w:val="none"/>
        </w:rPr>
        <w:fldChar w:fldCharType="separate"/>
      </w:r>
      <w:r>
        <w:rPr>
          <w:highlight w:val="none"/>
        </w:rPr>
        <w:t xml:space="preserve">- 3 -</w:t>
      </w:r>
      <w:r>
        <w:rPr>
          <w:highlight w:val="none"/>
        </w:rPr>
        <w:fldChar w:fldCharType="end"/>
      </w:r>
      <w:r>
        <w:rPr>
          <w:rFonts w:hint="eastAsia" w:ascii="宋体" w:hAnsi="宋体" w:cs="宋体"/>
          <w:szCs w:val="22"/>
          <w:highlight w:val="none"/>
        </w:rPr>
        <w:fldChar w:fldCharType="end"/>
      </w:r>
      <w:r>
        <w:rPr>
          <w:highlight w:val="none"/>
        </w:rPr>
      </w:r>
      <w:r/>
    </w:p>
    <w:p>
      <w:pPr>
        <w:pStyle w:val="1102"/>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_Toc3620 </w:instrText>
      </w:r>
      <w:r>
        <w:rPr>
          <w:rFonts w:hint="eastAsia" w:ascii="宋体" w:hAnsi="宋体" w:eastAsia="宋体" w:cs="宋体"/>
          <w:szCs w:val="22"/>
          <w:highlight w:val="none"/>
        </w:rPr>
        <w:fldChar w:fldCharType="separate"/>
      </w:r>
      <w:r>
        <w:rPr>
          <w:rFonts w:hint="eastAsia" w:ascii="宋体" w:hAnsi="宋体" w:eastAsia="宋体" w:cs="宋体"/>
          <w:bCs/>
          <w:szCs w:val="24"/>
          <w:highlight w:val="none"/>
        </w:rPr>
        <w:t xml:space="preserve">一、项目基本情况</w:t>
      </w:r>
      <w:r>
        <w:rPr>
          <w:highlight w:val="none"/>
        </w:rPr>
        <w:tab/>
      </w:r>
      <w:r>
        <w:rPr>
          <w:highlight w:val="none"/>
        </w:rPr>
        <w:fldChar w:fldCharType="begin"/>
      </w:r>
      <w:r>
        <w:rPr>
          <w:highlight w:val="none"/>
        </w:rPr>
        <w:instrText xml:space="preserve"> PAGEREF _Toc3620 \h </w:instrText>
      </w:r>
      <w:r>
        <w:rPr>
          <w:highlight w:val="none"/>
        </w:rPr>
        <w:fldChar w:fldCharType="separate"/>
      </w:r>
      <w:r>
        <w:rPr>
          <w:highlight w:val="none"/>
        </w:rPr>
        <w:t xml:space="preserve">- 3 -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2"/>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_Toc7953 </w:instrText>
      </w:r>
      <w:r>
        <w:rPr>
          <w:rFonts w:hint="eastAsia" w:ascii="宋体" w:hAnsi="宋体" w:eastAsia="宋体" w:cs="宋体"/>
          <w:szCs w:val="22"/>
          <w:highlight w:val="none"/>
        </w:rPr>
        <w:fldChar w:fldCharType="separate"/>
      </w:r>
      <w:r>
        <w:rPr>
          <w:rFonts w:hint="eastAsia" w:ascii="宋体" w:hAnsi="宋体" w:eastAsia="宋体" w:cs="宋体"/>
          <w:bCs/>
          <w:szCs w:val="24"/>
          <w:highlight w:val="none"/>
        </w:rPr>
        <w:t xml:space="preserve">二、申请人的资质要求</w:t>
      </w:r>
      <w:r>
        <w:rPr>
          <w:highlight w:val="none"/>
        </w:rPr>
        <w:tab/>
      </w:r>
      <w:r>
        <w:rPr>
          <w:highlight w:val="none"/>
        </w:rPr>
        <w:fldChar w:fldCharType="begin"/>
      </w:r>
      <w:r>
        <w:rPr>
          <w:highlight w:val="none"/>
        </w:rPr>
        <w:instrText xml:space="preserve"> PAGEREF _Toc7953 \h </w:instrText>
      </w:r>
      <w:r>
        <w:rPr>
          <w:highlight w:val="none"/>
        </w:rPr>
        <w:fldChar w:fldCharType="separate"/>
      </w:r>
      <w:r>
        <w:rPr>
          <w:highlight w:val="none"/>
        </w:rPr>
        <w:t xml:space="preserve">- 4 -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2"/>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_Toc5055 </w:instrText>
      </w:r>
      <w:r>
        <w:rPr>
          <w:rFonts w:hint="eastAsia" w:ascii="宋体" w:hAnsi="宋体" w:eastAsia="宋体" w:cs="宋体"/>
          <w:szCs w:val="22"/>
          <w:highlight w:val="none"/>
        </w:rPr>
        <w:fldChar w:fldCharType="separate"/>
      </w:r>
      <w:r>
        <w:rPr>
          <w:rFonts w:hint="eastAsia" w:ascii="宋体" w:hAnsi="宋体" w:eastAsia="宋体" w:cs="宋体"/>
          <w:bCs/>
          <w:szCs w:val="24"/>
          <w:highlight w:val="none"/>
        </w:rPr>
        <w:t xml:space="preserve">三、招标文件发售信息</w:t>
      </w:r>
      <w:r>
        <w:rPr>
          <w:highlight w:val="none"/>
        </w:rPr>
        <w:tab/>
      </w:r>
      <w:r>
        <w:rPr>
          <w:highlight w:val="none"/>
        </w:rPr>
        <w:fldChar w:fldCharType="begin"/>
      </w:r>
      <w:r>
        <w:rPr>
          <w:highlight w:val="none"/>
        </w:rPr>
        <w:instrText xml:space="preserve"> PAGEREF _Toc5055 \h </w:instrText>
      </w:r>
      <w:r>
        <w:rPr>
          <w:highlight w:val="none"/>
        </w:rPr>
        <w:fldChar w:fldCharType="separate"/>
      </w:r>
      <w:r>
        <w:rPr>
          <w:highlight w:val="none"/>
        </w:rPr>
        <w:t xml:space="preserve">- 6 -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2"/>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_Toc28678 </w:instrText>
      </w:r>
      <w:r>
        <w:rPr>
          <w:rFonts w:hint="eastAsia" w:ascii="宋体" w:hAnsi="宋体" w:eastAsia="宋体" w:cs="宋体"/>
          <w:szCs w:val="22"/>
          <w:highlight w:val="none"/>
        </w:rPr>
        <w:fldChar w:fldCharType="separate"/>
      </w:r>
      <w:r>
        <w:rPr>
          <w:rFonts w:hint="eastAsia" w:ascii="宋体" w:hAnsi="宋体" w:eastAsia="宋体" w:cs="宋体"/>
          <w:szCs w:val="24"/>
          <w:highlight w:val="none"/>
        </w:rPr>
        <w:t xml:space="preserve">四、</w:t>
      </w:r>
      <w:r>
        <w:rPr>
          <w:rFonts w:hint="eastAsia" w:ascii="宋体" w:hAnsi="宋体" w:eastAsia="宋体" w:cs="宋体"/>
          <w:bCs/>
          <w:szCs w:val="24"/>
          <w:highlight w:val="none"/>
        </w:rPr>
        <w:t xml:space="preserve">提交投标文件截止时间、开标时间和地点</w:t>
      </w:r>
      <w:r>
        <w:rPr>
          <w:highlight w:val="none"/>
        </w:rPr>
        <w:tab/>
      </w:r>
      <w:r>
        <w:rPr>
          <w:highlight w:val="none"/>
        </w:rPr>
        <w:fldChar w:fldCharType="begin"/>
      </w:r>
      <w:r>
        <w:rPr>
          <w:highlight w:val="none"/>
        </w:rPr>
        <w:instrText xml:space="preserve"> PAGEREF _Toc28678 \h </w:instrText>
      </w:r>
      <w:r>
        <w:rPr>
          <w:highlight w:val="none"/>
        </w:rPr>
        <w:fldChar w:fldCharType="separate"/>
      </w:r>
      <w:r>
        <w:rPr>
          <w:highlight w:val="none"/>
        </w:rPr>
        <w:t xml:space="preserve">- 6 -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2"/>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_Toc23081 </w:instrText>
      </w:r>
      <w:r>
        <w:rPr>
          <w:rFonts w:hint="eastAsia" w:ascii="宋体" w:hAnsi="宋体" w:eastAsia="宋体" w:cs="宋体"/>
          <w:szCs w:val="22"/>
          <w:highlight w:val="none"/>
        </w:rPr>
        <w:fldChar w:fldCharType="separate"/>
      </w:r>
      <w:r>
        <w:rPr>
          <w:rFonts w:hint="eastAsia" w:ascii="宋体" w:hAnsi="宋体" w:eastAsia="宋体" w:cs="宋体"/>
          <w:bCs/>
          <w:szCs w:val="24"/>
          <w:highlight w:val="none"/>
        </w:rPr>
        <w:t xml:space="preserve">五、公告期限</w:t>
      </w:r>
      <w:r>
        <w:rPr>
          <w:highlight w:val="none"/>
        </w:rPr>
        <w:tab/>
      </w:r>
      <w:r>
        <w:rPr>
          <w:highlight w:val="none"/>
        </w:rPr>
        <w:fldChar w:fldCharType="begin"/>
      </w:r>
      <w:r>
        <w:rPr>
          <w:highlight w:val="none"/>
        </w:rPr>
        <w:instrText xml:space="preserve"> PAGEREF _Toc23081 \h </w:instrText>
      </w:r>
      <w:r>
        <w:rPr>
          <w:highlight w:val="none"/>
        </w:rPr>
        <w:fldChar w:fldCharType="separate"/>
      </w:r>
      <w:r>
        <w:rPr>
          <w:highlight w:val="none"/>
        </w:rPr>
        <w:t xml:space="preserve">- 6 -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2"/>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_Toc21768 </w:instrText>
      </w:r>
      <w:r>
        <w:rPr>
          <w:rFonts w:hint="eastAsia" w:ascii="宋体" w:hAnsi="宋体" w:eastAsia="宋体" w:cs="宋体"/>
          <w:szCs w:val="22"/>
          <w:highlight w:val="none"/>
        </w:rPr>
        <w:fldChar w:fldCharType="separate"/>
      </w:r>
      <w:r>
        <w:rPr>
          <w:rFonts w:hint="eastAsia" w:ascii="宋体" w:hAnsi="宋体" w:eastAsia="宋体" w:cs="宋体"/>
          <w:bCs/>
          <w:szCs w:val="24"/>
          <w:highlight w:val="none"/>
        </w:rPr>
        <w:t xml:space="preserve">六、其他补充事宜</w:t>
      </w:r>
      <w:r>
        <w:rPr>
          <w:highlight w:val="none"/>
        </w:rPr>
        <w:tab/>
      </w:r>
      <w:r>
        <w:rPr>
          <w:highlight w:val="none"/>
        </w:rPr>
        <w:fldChar w:fldCharType="begin"/>
      </w:r>
      <w:r>
        <w:rPr>
          <w:highlight w:val="none"/>
        </w:rPr>
        <w:instrText xml:space="preserve"> PAGEREF _Toc21768 \h </w:instrText>
      </w:r>
      <w:r>
        <w:rPr>
          <w:highlight w:val="none"/>
        </w:rPr>
        <w:fldChar w:fldCharType="separate"/>
      </w:r>
      <w:r>
        <w:rPr>
          <w:highlight w:val="none"/>
        </w:rPr>
        <w:t xml:space="preserve">- 6 -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2"/>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_Toc22017 </w:instrText>
      </w:r>
      <w:r>
        <w:rPr>
          <w:rFonts w:hint="eastAsia" w:ascii="宋体" w:hAnsi="宋体" w:eastAsia="宋体" w:cs="宋体"/>
          <w:szCs w:val="22"/>
          <w:highlight w:val="none"/>
        </w:rPr>
        <w:fldChar w:fldCharType="separate"/>
      </w:r>
      <w:r>
        <w:rPr>
          <w:rFonts w:hint="eastAsia" w:ascii="宋体" w:hAnsi="宋体" w:eastAsia="宋体" w:cs="宋体"/>
          <w:bCs/>
          <w:szCs w:val="24"/>
          <w:highlight w:val="none"/>
        </w:rPr>
        <w:t xml:space="preserve">七、对本次招标提出询问，请按以下方式联系</w:t>
      </w:r>
      <w:r>
        <w:rPr>
          <w:highlight w:val="none"/>
        </w:rPr>
        <w:tab/>
      </w:r>
      <w:r>
        <w:rPr>
          <w:highlight w:val="none"/>
        </w:rPr>
        <w:fldChar w:fldCharType="begin"/>
      </w:r>
      <w:r>
        <w:rPr>
          <w:highlight w:val="none"/>
        </w:rPr>
        <w:instrText xml:space="preserve"> PAGEREF _Toc22017 \h </w:instrText>
      </w:r>
      <w:r>
        <w:rPr>
          <w:highlight w:val="none"/>
        </w:rPr>
        <w:fldChar w:fldCharType="separate"/>
      </w:r>
      <w:r>
        <w:rPr>
          <w:highlight w:val="none"/>
        </w:rPr>
        <w:t xml:space="preserve">- 7 -</w:t>
      </w:r>
      <w:r>
        <w:rPr>
          <w:highlight w:val="none"/>
        </w:rPr>
        <w:fldChar w:fldCharType="end"/>
      </w:r>
      <w:r>
        <w:rPr>
          <w:rFonts w:hint="eastAsia" w:ascii="宋体" w:hAnsi="宋体" w:eastAsia="宋体" w:cs="宋体"/>
          <w:szCs w:val="22"/>
          <w:highlight w:val="none"/>
        </w:rPr>
        <w:fldChar w:fldCharType="end"/>
      </w:r>
      <w:r>
        <w:rPr>
          <w:highlight w:val="none"/>
        </w:rPr>
      </w:r>
      <w:r/>
    </w:p>
    <w:p>
      <w:pPr>
        <w:pStyle w:val="1090"/>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_Toc26117 </w:instrText>
      </w:r>
      <w:r>
        <w:rPr>
          <w:rFonts w:hint="eastAsia" w:ascii="宋体" w:hAnsi="宋体" w:eastAsia="宋体" w:cs="宋体"/>
          <w:szCs w:val="22"/>
          <w:highlight w:val="none"/>
        </w:rPr>
        <w:fldChar w:fldCharType="separate"/>
      </w:r>
      <w:r>
        <w:rPr>
          <w:rFonts w:hint="eastAsia" w:ascii="宋体" w:hAnsi="宋体" w:eastAsia="宋体" w:cs="宋体"/>
          <w:highlight w:val="none"/>
        </w:rPr>
        <w:t xml:space="preserve">第二章 投标人须知</w:t>
      </w:r>
      <w:r>
        <w:rPr>
          <w:highlight w:val="none"/>
        </w:rPr>
        <w:tab/>
      </w:r>
      <w:r>
        <w:rPr>
          <w:highlight w:val="none"/>
        </w:rPr>
        <w:fldChar w:fldCharType="begin"/>
      </w:r>
      <w:r>
        <w:rPr>
          <w:highlight w:val="none"/>
        </w:rPr>
        <w:instrText xml:space="preserve"> PAGEREF _Toc26117 \h </w:instrText>
      </w:r>
      <w:r>
        <w:rPr>
          <w:highlight w:val="none"/>
        </w:rPr>
        <w:fldChar w:fldCharType="separate"/>
      </w:r>
      <w:r>
        <w:rPr>
          <w:highlight w:val="none"/>
        </w:rPr>
        <w:t xml:space="preserve">- 9 -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2"/>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_Toc1569 </w:instrText>
      </w:r>
      <w:r>
        <w:rPr>
          <w:rFonts w:hint="eastAsia" w:ascii="宋体" w:hAnsi="宋体" w:eastAsia="宋体" w:cs="宋体"/>
          <w:szCs w:val="22"/>
          <w:highlight w:val="none"/>
        </w:rPr>
        <w:fldChar w:fldCharType="separate"/>
      </w:r>
      <w:r>
        <w:rPr>
          <w:rFonts w:hint="eastAsia" w:eastAsia="宋体" w:cs="宋体"/>
          <w:highlight w:val="none"/>
        </w:rPr>
        <w:t xml:space="preserve">投标人须知前附表：</w:t>
      </w:r>
      <w:r>
        <w:rPr>
          <w:highlight w:val="none"/>
        </w:rPr>
        <w:tab/>
      </w:r>
      <w:r>
        <w:rPr>
          <w:highlight w:val="none"/>
        </w:rPr>
        <w:fldChar w:fldCharType="begin"/>
      </w:r>
      <w:r>
        <w:rPr>
          <w:highlight w:val="none"/>
        </w:rPr>
        <w:instrText xml:space="preserve"> PAGEREF _Toc1569 \h </w:instrText>
      </w:r>
      <w:r>
        <w:rPr>
          <w:highlight w:val="none"/>
        </w:rPr>
        <w:fldChar w:fldCharType="separate"/>
      </w:r>
      <w:r>
        <w:rPr>
          <w:highlight w:val="none"/>
        </w:rPr>
        <w:t xml:space="preserve">- 9 -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2"/>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_Toc23175 </w:instrText>
      </w:r>
      <w:r>
        <w:rPr>
          <w:rFonts w:hint="eastAsia" w:ascii="宋体" w:hAnsi="宋体" w:eastAsia="宋体" w:cs="宋体"/>
          <w:szCs w:val="22"/>
          <w:highlight w:val="none"/>
        </w:rPr>
        <w:fldChar w:fldCharType="separate"/>
      </w:r>
      <w:r>
        <w:rPr>
          <w:rFonts w:hint="eastAsia" w:ascii="宋体" w:hAnsi="宋体" w:eastAsia="宋体" w:cs="宋体"/>
          <w:bCs/>
          <w:szCs w:val="21"/>
          <w:highlight w:val="none"/>
        </w:rPr>
        <w:t xml:space="preserve">一、 </w:t>
      </w:r>
      <w:r>
        <w:rPr>
          <w:rFonts w:hint="eastAsia" w:ascii="宋体" w:hAnsi="宋体" w:eastAsia="宋体" w:cs="宋体"/>
          <w:bCs/>
          <w:szCs w:val="21"/>
          <w:highlight w:val="none"/>
          <w:lang w:val="zh-CN"/>
        </w:rPr>
        <w:t xml:space="preserve">总则</w:t>
      </w:r>
      <w:r>
        <w:rPr>
          <w:highlight w:val="none"/>
        </w:rPr>
        <w:tab/>
      </w:r>
      <w:r>
        <w:rPr>
          <w:highlight w:val="none"/>
        </w:rPr>
        <w:fldChar w:fldCharType="begin"/>
      </w:r>
      <w:r>
        <w:rPr>
          <w:highlight w:val="none"/>
        </w:rPr>
        <w:instrText xml:space="preserve"> PAGEREF _Toc23175 \h </w:instrText>
      </w:r>
      <w:r>
        <w:rPr>
          <w:highlight w:val="none"/>
        </w:rPr>
        <w:fldChar w:fldCharType="separate"/>
      </w:r>
      <w:r>
        <w:rPr>
          <w:highlight w:val="none"/>
        </w:rPr>
        <w:t xml:space="preserve">- 12 -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2"/>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_Toc3993 </w:instrText>
      </w:r>
      <w:r>
        <w:rPr>
          <w:rFonts w:hint="eastAsia" w:ascii="宋体" w:hAnsi="宋体" w:eastAsia="宋体" w:cs="宋体"/>
          <w:szCs w:val="22"/>
          <w:highlight w:val="none"/>
        </w:rPr>
        <w:fldChar w:fldCharType="separate"/>
      </w:r>
      <w:r>
        <w:rPr>
          <w:rFonts w:hint="eastAsia" w:ascii="宋体" w:hAnsi="宋体" w:eastAsia="宋体" w:cs="宋体"/>
          <w:bCs/>
          <w:szCs w:val="21"/>
          <w:highlight w:val="none"/>
        </w:rPr>
        <w:t xml:space="preserve">二、 </w:t>
      </w:r>
      <w:r>
        <w:rPr>
          <w:rFonts w:hint="eastAsia" w:ascii="宋体" w:hAnsi="宋体" w:eastAsia="宋体" w:cs="宋体"/>
          <w:bCs/>
          <w:szCs w:val="21"/>
          <w:highlight w:val="none"/>
        </w:rPr>
        <w:t xml:space="preserve">招标文件构成</w:t>
      </w:r>
      <w:r>
        <w:rPr>
          <w:highlight w:val="none"/>
        </w:rPr>
        <w:tab/>
      </w:r>
      <w:r>
        <w:rPr>
          <w:highlight w:val="none"/>
        </w:rPr>
        <w:fldChar w:fldCharType="begin"/>
      </w:r>
      <w:r>
        <w:rPr>
          <w:highlight w:val="none"/>
        </w:rPr>
        <w:instrText xml:space="preserve"> PAGEREF _Toc3993 \h </w:instrText>
      </w:r>
      <w:r>
        <w:rPr>
          <w:highlight w:val="none"/>
        </w:rPr>
        <w:fldChar w:fldCharType="separate"/>
      </w:r>
      <w:r>
        <w:rPr>
          <w:highlight w:val="none"/>
        </w:rPr>
        <w:t xml:space="preserve">- 13 -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2"/>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_Toc10311 </w:instrText>
      </w:r>
      <w:r>
        <w:rPr>
          <w:rFonts w:hint="eastAsia" w:ascii="宋体" w:hAnsi="宋体" w:eastAsia="宋体" w:cs="宋体"/>
          <w:szCs w:val="22"/>
          <w:highlight w:val="none"/>
        </w:rPr>
        <w:fldChar w:fldCharType="separate"/>
      </w:r>
      <w:r>
        <w:rPr>
          <w:rFonts w:hint="eastAsia" w:ascii="宋体" w:hAnsi="宋体" w:eastAsia="宋体" w:cs="宋体"/>
          <w:bCs/>
          <w:szCs w:val="21"/>
          <w:highlight w:val="none"/>
        </w:rPr>
        <w:t xml:space="preserve">三、 </w:t>
      </w:r>
      <w:r>
        <w:rPr>
          <w:rFonts w:hint="eastAsia" w:ascii="宋体" w:hAnsi="宋体" w:eastAsia="宋体" w:cs="宋体"/>
          <w:bCs/>
          <w:szCs w:val="21"/>
          <w:highlight w:val="none"/>
        </w:rPr>
        <w:t xml:space="preserve">投标文件的编制</w:t>
      </w:r>
      <w:r>
        <w:rPr>
          <w:highlight w:val="none"/>
        </w:rPr>
        <w:tab/>
      </w:r>
      <w:r>
        <w:rPr>
          <w:highlight w:val="none"/>
        </w:rPr>
        <w:fldChar w:fldCharType="begin"/>
      </w:r>
      <w:r>
        <w:rPr>
          <w:highlight w:val="none"/>
        </w:rPr>
        <w:instrText xml:space="preserve"> PAGEREF _Toc10311 \h </w:instrText>
      </w:r>
      <w:r>
        <w:rPr>
          <w:highlight w:val="none"/>
        </w:rPr>
        <w:fldChar w:fldCharType="separate"/>
      </w:r>
      <w:r>
        <w:rPr>
          <w:highlight w:val="none"/>
        </w:rPr>
        <w:t xml:space="preserve">- 14 -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2"/>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_Toc2686 </w:instrText>
      </w:r>
      <w:r>
        <w:rPr>
          <w:rFonts w:hint="eastAsia" w:ascii="宋体" w:hAnsi="宋体" w:eastAsia="宋体" w:cs="宋体"/>
          <w:szCs w:val="22"/>
          <w:highlight w:val="none"/>
        </w:rPr>
        <w:fldChar w:fldCharType="separate"/>
      </w:r>
      <w:r>
        <w:rPr>
          <w:rFonts w:hint="eastAsia" w:ascii="宋体" w:hAnsi="宋体" w:eastAsia="宋体" w:cs="宋体"/>
          <w:bCs/>
          <w:szCs w:val="21"/>
          <w:highlight w:val="none"/>
        </w:rPr>
        <w:t xml:space="preserve">四、 </w:t>
      </w:r>
      <w:r>
        <w:rPr>
          <w:rFonts w:hint="eastAsia" w:ascii="宋体" w:hAnsi="宋体" w:eastAsia="宋体" w:cs="宋体"/>
          <w:bCs/>
          <w:szCs w:val="21"/>
          <w:highlight w:val="none"/>
        </w:rPr>
        <w:t xml:space="preserve">投标文件的递交</w:t>
      </w:r>
      <w:r>
        <w:rPr>
          <w:highlight w:val="none"/>
        </w:rPr>
        <w:tab/>
      </w:r>
      <w:r>
        <w:rPr>
          <w:highlight w:val="none"/>
        </w:rPr>
        <w:fldChar w:fldCharType="begin"/>
      </w:r>
      <w:r>
        <w:rPr>
          <w:highlight w:val="none"/>
        </w:rPr>
        <w:instrText xml:space="preserve"> PAGEREF _Toc2686 \h </w:instrText>
      </w:r>
      <w:r>
        <w:rPr>
          <w:highlight w:val="none"/>
        </w:rPr>
        <w:fldChar w:fldCharType="separate"/>
      </w:r>
      <w:r>
        <w:rPr>
          <w:highlight w:val="none"/>
        </w:rPr>
        <w:t xml:space="preserve">- 17 -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2"/>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_Toc9023 </w:instrText>
      </w:r>
      <w:r>
        <w:rPr>
          <w:rFonts w:hint="eastAsia" w:ascii="宋体" w:hAnsi="宋体" w:eastAsia="宋体" w:cs="宋体"/>
          <w:szCs w:val="22"/>
          <w:highlight w:val="none"/>
        </w:rPr>
        <w:fldChar w:fldCharType="separate"/>
      </w:r>
      <w:r>
        <w:rPr>
          <w:rFonts w:hint="eastAsia" w:ascii="宋体" w:hAnsi="宋体" w:eastAsia="宋体" w:cs="宋体"/>
          <w:bCs/>
          <w:szCs w:val="21"/>
          <w:highlight w:val="none"/>
        </w:rPr>
        <w:t xml:space="preserve">五、 </w:t>
      </w:r>
      <w:r>
        <w:rPr>
          <w:rFonts w:hint="eastAsia" w:ascii="宋体" w:hAnsi="宋体" w:eastAsia="宋体" w:cs="宋体"/>
          <w:bCs/>
          <w:szCs w:val="21"/>
          <w:highlight w:val="none"/>
        </w:rPr>
        <w:t xml:space="preserve">开标、评标与定标</w:t>
      </w:r>
      <w:r>
        <w:rPr>
          <w:highlight w:val="none"/>
        </w:rPr>
        <w:tab/>
      </w:r>
      <w:r>
        <w:rPr>
          <w:highlight w:val="none"/>
        </w:rPr>
        <w:fldChar w:fldCharType="begin"/>
      </w:r>
      <w:r>
        <w:rPr>
          <w:highlight w:val="none"/>
        </w:rPr>
        <w:instrText xml:space="preserve"> PAGEREF _Toc9023 \h </w:instrText>
      </w:r>
      <w:r>
        <w:rPr>
          <w:highlight w:val="none"/>
        </w:rPr>
        <w:fldChar w:fldCharType="separate"/>
      </w:r>
      <w:r>
        <w:rPr>
          <w:highlight w:val="none"/>
        </w:rPr>
        <w:t xml:space="preserve">- 18 -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2"/>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_Toc3642 </w:instrText>
      </w:r>
      <w:r>
        <w:rPr>
          <w:rFonts w:hint="eastAsia" w:ascii="宋体" w:hAnsi="宋体" w:eastAsia="宋体" w:cs="宋体"/>
          <w:szCs w:val="22"/>
          <w:highlight w:val="none"/>
        </w:rPr>
        <w:fldChar w:fldCharType="separate"/>
      </w:r>
      <w:r>
        <w:rPr>
          <w:rFonts w:hint="eastAsia" w:ascii="宋体" w:hAnsi="宋体" w:eastAsia="宋体" w:cs="宋体"/>
          <w:bCs/>
          <w:szCs w:val="21"/>
          <w:highlight w:val="none"/>
        </w:rPr>
        <w:t xml:space="preserve">六、 </w:t>
      </w:r>
      <w:r>
        <w:rPr>
          <w:rFonts w:hint="eastAsia" w:ascii="宋体" w:hAnsi="宋体" w:eastAsia="宋体" w:cs="宋体"/>
          <w:bCs/>
          <w:szCs w:val="21"/>
          <w:highlight w:val="none"/>
        </w:rPr>
        <w:t xml:space="preserve">签订合同</w:t>
      </w:r>
      <w:r>
        <w:rPr>
          <w:highlight w:val="none"/>
        </w:rPr>
        <w:tab/>
      </w:r>
      <w:r>
        <w:rPr>
          <w:highlight w:val="none"/>
        </w:rPr>
        <w:fldChar w:fldCharType="begin"/>
      </w:r>
      <w:r>
        <w:rPr>
          <w:highlight w:val="none"/>
        </w:rPr>
        <w:instrText xml:space="preserve"> PAGEREF _Toc3642 \h </w:instrText>
      </w:r>
      <w:r>
        <w:rPr>
          <w:highlight w:val="none"/>
        </w:rPr>
        <w:fldChar w:fldCharType="separate"/>
      </w:r>
      <w:r>
        <w:rPr>
          <w:highlight w:val="none"/>
        </w:rPr>
        <w:t xml:space="preserve">- 23 -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2"/>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_Toc4929 </w:instrText>
      </w:r>
      <w:r>
        <w:rPr>
          <w:rFonts w:hint="eastAsia" w:ascii="宋体" w:hAnsi="宋体" w:eastAsia="宋体" w:cs="宋体"/>
          <w:szCs w:val="22"/>
          <w:highlight w:val="none"/>
        </w:rPr>
        <w:fldChar w:fldCharType="separate"/>
      </w:r>
      <w:r>
        <w:rPr>
          <w:rFonts w:hint="eastAsia" w:ascii="宋体" w:hAnsi="宋体" w:eastAsia="宋体" w:cs="宋体"/>
          <w:bCs/>
          <w:szCs w:val="21"/>
          <w:highlight w:val="none"/>
        </w:rPr>
        <w:t xml:space="preserve">七、 </w:t>
      </w:r>
      <w:r>
        <w:rPr>
          <w:rFonts w:hint="eastAsia" w:ascii="宋体" w:hAnsi="宋体" w:eastAsia="宋体" w:cs="宋体"/>
          <w:bCs/>
          <w:szCs w:val="21"/>
          <w:highlight w:val="none"/>
        </w:rPr>
        <w:t xml:space="preserve">质疑和投诉</w:t>
      </w:r>
      <w:r>
        <w:rPr>
          <w:highlight w:val="none"/>
        </w:rPr>
        <w:tab/>
      </w:r>
      <w:r>
        <w:rPr>
          <w:highlight w:val="none"/>
        </w:rPr>
        <w:fldChar w:fldCharType="begin"/>
      </w:r>
      <w:r>
        <w:rPr>
          <w:highlight w:val="none"/>
        </w:rPr>
        <w:instrText xml:space="preserve"> PAGEREF _Toc4929 \h </w:instrText>
      </w:r>
      <w:r>
        <w:rPr>
          <w:highlight w:val="none"/>
        </w:rPr>
        <w:fldChar w:fldCharType="separate"/>
      </w:r>
      <w:r>
        <w:rPr>
          <w:highlight w:val="none"/>
        </w:rPr>
        <w:t xml:space="preserve">- 23 -</w:t>
      </w:r>
      <w:r>
        <w:rPr>
          <w:highlight w:val="none"/>
        </w:rPr>
        <w:fldChar w:fldCharType="end"/>
      </w:r>
      <w:r>
        <w:rPr>
          <w:rFonts w:hint="eastAsia" w:ascii="宋体" w:hAnsi="宋体" w:eastAsia="宋体" w:cs="宋体"/>
          <w:szCs w:val="22"/>
          <w:highlight w:val="none"/>
        </w:rPr>
        <w:fldChar w:fldCharType="end"/>
      </w:r>
      <w:r>
        <w:rPr>
          <w:highlight w:val="none"/>
        </w:rPr>
      </w:r>
      <w:r/>
    </w:p>
    <w:p>
      <w:pPr>
        <w:pStyle w:val="1090"/>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_Toc16695 </w:instrText>
      </w:r>
      <w:r>
        <w:rPr>
          <w:rFonts w:hint="eastAsia" w:ascii="宋体" w:hAnsi="宋体" w:eastAsia="宋体" w:cs="宋体"/>
          <w:szCs w:val="22"/>
          <w:highlight w:val="none"/>
        </w:rPr>
        <w:fldChar w:fldCharType="separate"/>
      </w:r>
      <w:r>
        <w:rPr>
          <w:rFonts w:hint="eastAsia" w:ascii="宋体" w:hAnsi="宋体" w:eastAsia="宋体" w:cs="宋体"/>
          <w:highlight w:val="none"/>
        </w:rPr>
        <w:t xml:space="preserve">第三章 评分标准</w:t>
      </w:r>
      <w:r>
        <w:rPr>
          <w:highlight w:val="none"/>
        </w:rPr>
        <w:tab/>
      </w:r>
      <w:r>
        <w:rPr>
          <w:highlight w:val="none"/>
        </w:rPr>
        <w:fldChar w:fldCharType="begin"/>
      </w:r>
      <w:r>
        <w:rPr>
          <w:highlight w:val="none"/>
        </w:rPr>
        <w:instrText xml:space="preserve"> PAGEREF _Toc16695 \h </w:instrText>
      </w:r>
      <w:r>
        <w:rPr>
          <w:highlight w:val="none"/>
        </w:rPr>
        <w:fldChar w:fldCharType="separate"/>
      </w:r>
      <w:r>
        <w:rPr>
          <w:highlight w:val="none"/>
        </w:rPr>
        <w:t xml:space="preserve">- 26 -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2"/>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_Toc4962 </w:instrText>
      </w:r>
      <w:r>
        <w:rPr>
          <w:rFonts w:hint="eastAsia" w:ascii="宋体" w:hAnsi="宋体" w:eastAsia="宋体" w:cs="宋体"/>
          <w:szCs w:val="22"/>
          <w:highlight w:val="none"/>
        </w:rPr>
        <w:fldChar w:fldCharType="separate"/>
      </w:r>
      <w:r>
        <w:rPr>
          <w:rFonts w:hint="eastAsia" w:ascii="宋体" w:hAnsi="宋体" w:eastAsia="宋体" w:cs="宋体"/>
          <w:szCs w:val="22"/>
          <w:highlight w:val="none"/>
        </w:rPr>
        <w:t xml:space="preserve">一、资格性审查</w:t>
      </w:r>
      <w:r>
        <w:rPr>
          <w:highlight w:val="none"/>
        </w:rPr>
        <w:tab/>
      </w:r>
      <w:r>
        <w:rPr>
          <w:highlight w:val="none"/>
        </w:rPr>
        <w:fldChar w:fldCharType="begin"/>
      </w:r>
      <w:r>
        <w:rPr>
          <w:highlight w:val="none"/>
        </w:rPr>
        <w:instrText xml:space="preserve"> PAGEREF _Toc4962 \h </w:instrText>
      </w:r>
      <w:r>
        <w:rPr>
          <w:highlight w:val="none"/>
        </w:rPr>
        <w:fldChar w:fldCharType="separate"/>
      </w:r>
      <w:r>
        <w:rPr>
          <w:highlight w:val="none"/>
        </w:rPr>
        <w:t xml:space="preserve">- 26 -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2"/>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_Toc3877 </w:instrText>
      </w:r>
      <w:r>
        <w:rPr>
          <w:rFonts w:hint="eastAsia" w:ascii="宋体" w:hAnsi="宋体" w:eastAsia="宋体" w:cs="宋体"/>
          <w:szCs w:val="22"/>
          <w:highlight w:val="none"/>
        </w:rPr>
        <w:fldChar w:fldCharType="separate"/>
      </w:r>
      <w:r>
        <w:rPr>
          <w:rFonts w:hint="eastAsia" w:ascii="宋体" w:hAnsi="宋体" w:eastAsia="宋体" w:cs="宋体"/>
          <w:szCs w:val="22"/>
          <w:highlight w:val="none"/>
        </w:rPr>
        <w:t xml:space="preserve">二、符合性审查</w:t>
      </w:r>
      <w:r>
        <w:rPr>
          <w:highlight w:val="none"/>
        </w:rPr>
        <w:tab/>
      </w:r>
      <w:r>
        <w:rPr>
          <w:highlight w:val="none"/>
        </w:rPr>
        <w:fldChar w:fldCharType="begin"/>
      </w:r>
      <w:r>
        <w:rPr>
          <w:highlight w:val="none"/>
        </w:rPr>
        <w:instrText xml:space="preserve"> PAGEREF _Toc3877 \h </w:instrText>
      </w:r>
      <w:r>
        <w:rPr>
          <w:highlight w:val="none"/>
        </w:rPr>
        <w:fldChar w:fldCharType="separate"/>
      </w:r>
      <w:r>
        <w:rPr>
          <w:highlight w:val="none"/>
        </w:rPr>
        <w:t xml:space="preserve">- 26 -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2"/>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_Toc29123 </w:instrText>
      </w:r>
      <w:r>
        <w:rPr>
          <w:rFonts w:hint="eastAsia" w:ascii="宋体" w:hAnsi="宋体" w:eastAsia="宋体" w:cs="宋体"/>
          <w:szCs w:val="22"/>
          <w:highlight w:val="none"/>
        </w:rPr>
        <w:fldChar w:fldCharType="separate"/>
      </w:r>
      <w:r>
        <w:rPr>
          <w:rFonts w:hint="eastAsia" w:ascii="宋体" w:hAnsi="宋体" w:eastAsia="宋体" w:cs="宋体"/>
          <w:szCs w:val="22"/>
          <w:highlight w:val="none"/>
        </w:rPr>
        <w:t xml:space="preserve">三、异常低价投标（响应）审查</w:t>
      </w:r>
      <w:r>
        <w:rPr>
          <w:highlight w:val="none"/>
        </w:rPr>
        <w:tab/>
      </w:r>
      <w:r>
        <w:rPr>
          <w:highlight w:val="none"/>
        </w:rPr>
        <w:fldChar w:fldCharType="begin"/>
      </w:r>
      <w:r>
        <w:rPr>
          <w:highlight w:val="none"/>
        </w:rPr>
        <w:instrText xml:space="preserve"> PAGEREF _Toc29123 \h </w:instrText>
      </w:r>
      <w:r>
        <w:rPr>
          <w:highlight w:val="none"/>
        </w:rPr>
        <w:fldChar w:fldCharType="separate"/>
      </w:r>
      <w:r>
        <w:rPr>
          <w:highlight w:val="none"/>
        </w:rPr>
        <w:t xml:space="preserve">- 26 -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2"/>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_Toc14961 </w:instrText>
      </w:r>
      <w:r>
        <w:rPr>
          <w:rFonts w:hint="eastAsia" w:ascii="宋体" w:hAnsi="宋体" w:eastAsia="宋体" w:cs="宋体"/>
          <w:szCs w:val="22"/>
          <w:highlight w:val="none"/>
        </w:rPr>
        <w:fldChar w:fldCharType="separate"/>
      </w:r>
      <w:r>
        <w:rPr>
          <w:rFonts w:hint="eastAsia" w:ascii="宋体" w:hAnsi="宋体" w:eastAsia="宋体" w:cs="宋体"/>
          <w:szCs w:val="22"/>
          <w:highlight w:val="none"/>
        </w:rPr>
        <w:t xml:space="preserve">四、评分表（综合评分法）</w:t>
      </w:r>
      <w:r>
        <w:rPr>
          <w:highlight w:val="none"/>
        </w:rPr>
        <w:tab/>
      </w:r>
      <w:r>
        <w:rPr>
          <w:highlight w:val="none"/>
        </w:rPr>
        <w:fldChar w:fldCharType="begin"/>
      </w:r>
      <w:r>
        <w:rPr>
          <w:highlight w:val="none"/>
        </w:rPr>
        <w:instrText xml:space="preserve"> PAGEREF _Toc14961 \h </w:instrText>
      </w:r>
      <w:r>
        <w:rPr>
          <w:highlight w:val="none"/>
        </w:rPr>
        <w:fldChar w:fldCharType="separate"/>
      </w:r>
      <w:r>
        <w:rPr>
          <w:highlight w:val="none"/>
        </w:rPr>
        <w:t xml:space="preserve">- 28 -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2"/>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_Toc24232 </w:instrText>
      </w:r>
      <w:r>
        <w:rPr>
          <w:rFonts w:hint="eastAsia" w:ascii="宋体" w:hAnsi="宋体" w:eastAsia="宋体" w:cs="宋体"/>
          <w:szCs w:val="22"/>
          <w:highlight w:val="none"/>
        </w:rPr>
        <w:fldChar w:fldCharType="separate"/>
      </w:r>
      <w:r>
        <w:rPr>
          <w:rFonts w:hint="eastAsia" w:ascii="宋体" w:hAnsi="宋体" w:eastAsia="宋体" w:cs="宋体"/>
          <w:szCs w:val="22"/>
          <w:highlight w:val="none"/>
        </w:rPr>
        <w:t xml:space="preserve">五、评分因素及分值说明</w:t>
      </w:r>
      <w:r>
        <w:rPr>
          <w:highlight w:val="none"/>
        </w:rPr>
        <w:tab/>
      </w:r>
      <w:r>
        <w:rPr>
          <w:highlight w:val="none"/>
        </w:rPr>
        <w:fldChar w:fldCharType="begin"/>
      </w:r>
      <w:r>
        <w:rPr>
          <w:highlight w:val="none"/>
        </w:rPr>
        <w:instrText xml:space="preserve"> PAGEREF _Toc24232 \h </w:instrText>
      </w:r>
      <w:r>
        <w:rPr>
          <w:highlight w:val="none"/>
        </w:rPr>
        <w:fldChar w:fldCharType="separate"/>
      </w:r>
      <w:r>
        <w:rPr>
          <w:highlight w:val="none"/>
        </w:rPr>
        <w:t xml:space="preserve">- 30 -</w:t>
      </w:r>
      <w:r>
        <w:rPr>
          <w:highlight w:val="none"/>
        </w:rPr>
        <w:fldChar w:fldCharType="end"/>
      </w:r>
      <w:r>
        <w:rPr>
          <w:rFonts w:hint="eastAsia" w:ascii="宋体" w:hAnsi="宋体" w:eastAsia="宋体" w:cs="宋体"/>
          <w:szCs w:val="22"/>
          <w:highlight w:val="none"/>
        </w:rPr>
        <w:fldChar w:fldCharType="end"/>
      </w:r>
      <w:r>
        <w:rPr>
          <w:highlight w:val="none"/>
        </w:rPr>
      </w:r>
      <w:r/>
    </w:p>
    <w:p>
      <w:pPr>
        <w:pStyle w:val="1090"/>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_Toc11891 </w:instrText>
      </w:r>
      <w:r>
        <w:rPr>
          <w:rFonts w:hint="eastAsia" w:ascii="宋体" w:hAnsi="宋体" w:eastAsia="宋体" w:cs="宋体"/>
          <w:szCs w:val="22"/>
          <w:highlight w:val="none"/>
        </w:rPr>
        <w:fldChar w:fldCharType="separate"/>
      </w:r>
      <w:r>
        <w:rPr>
          <w:rFonts w:hint="eastAsia" w:ascii="宋体" w:hAnsi="宋体" w:eastAsia="宋体" w:cs="宋体"/>
          <w:highlight w:val="none"/>
        </w:rPr>
        <w:t xml:space="preserve">第四章 采购需求</w:t>
      </w:r>
      <w:r>
        <w:rPr>
          <w:highlight w:val="none"/>
        </w:rPr>
        <w:tab/>
      </w:r>
      <w:r>
        <w:rPr>
          <w:highlight w:val="none"/>
        </w:rPr>
        <w:fldChar w:fldCharType="begin"/>
      </w:r>
      <w:r>
        <w:rPr>
          <w:highlight w:val="none"/>
        </w:rPr>
        <w:instrText xml:space="preserve"> PAGEREF _Toc11891 \h </w:instrText>
      </w:r>
      <w:r>
        <w:rPr>
          <w:highlight w:val="none"/>
        </w:rPr>
        <w:fldChar w:fldCharType="separate"/>
      </w:r>
      <w:r>
        <w:rPr>
          <w:highlight w:val="none"/>
        </w:rPr>
        <w:t xml:space="preserve">- 33 -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2"/>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_Toc24240 </w:instrText>
      </w:r>
      <w:r>
        <w:rPr>
          <w:rFonts w:hint="eastAsia" w:ascii="宋体" w:hAnsi="宋体" w:eastAsia="宋体" w:cs="宋体"/>
          <w:szCs w:val="22"/>
          <w:highlight w:val="none"/>
        </w:rPr>
        <w:fldChar w:fldCharType="separate"/>
      </w:r>
      <w:r>
        <w:rPr>
          <w:rFonts w:hint="eastAsia" w:ascii="宋体" w:hAnsi="宋体" w:eastAsia="宋体" w:cs="宋体"/>
          <w:szCs w:val="28"/>
          <w:highlight w:val="none"/>
        </w:rPr>
        <w:t xml:space="preserve">一、 项目概况：</w:t>
      </w:r>
      <w:r>
        <w:rPr>
          <w:highlight w:val="none"/>
        </w:rPr>
        <w:tab/>
      </w:r>
      <w:r>
        <w:rPr>
          <w:highlight w:val="none"/>
        </w:rPr>
        <w:fldChar w:fldCharType="begin"/>
      </w:r>
      <w:r>
        <w:rPr>
          <w:highlight w:val="none"/>
        </w:rPr>
        <w:instrText xml:space="preserve"> PAGEREF _Toc24240 \h </w:instrText>
      </w:r>
      <w:r>
        <w:rPr>
          <w:highlight w:val="none"/>
        </w:rPr>
        <w:fldChar w:fldCharType="separate"/>
      </w:r>
      <w:r>
        <w:rPr>
          <w:highlight w:val="none"/>
        </w:rPr>
        <w:t xml:space="preserve">- 33 -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2"/>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_Toc12367 </w:instrText>
      </w:r>
      <w:r>
        <w:rPr>
          <w:rFonts w:hint="eastAsia" w:ascii="宋体" w:hAnsi="宋体" w:eastAsia="宋体" w:cs="宋体"/>
          <w:szCs w:val="22"/>
          <w:highlight w:val="none"/>
        </w:rPr>
        <w:fldChar w:fldCharType="separate"/>
      </w:r>
      <w:r>
        <w:rPr>
          <w:rFonts w:hint="eastAsia" w:ascii="宋体" w:hAnsi="宋体" w:eastAsia="宋体" w:cs="宋体"/>
          <w:szCs w:val="28"/>
          <w:highlight w:val="none"/>
        </w:rPr>
        <w:t xml:space="preserve">二、 技术要求：</w:t>
      </w:r>
      <w:r>
        <w:rPr>
          <w:highlight w:val="none"/>
        </w:rPr>
        <w:tab/>
      </w:r>
      <w:r>
        <w:rPr>
          <w:highlight w:val="none"/>
        </w:rPr>
        <w:fldChar w:fldCharType="begin"/>
      </w:r>
      <w:r>
        <w:rPr>
          <w:highlight w:val="none"/>
        </w:rPr>
        <w:instrText xml:space="preserve"> PAGEREF _Toc12367 \h </w:instrText>
      </w:r>
      <w:r>
        <w:rPr>
          <w:highlight w:val="none"/>
        </w:rPr>
        <w:fldChar w:fldCharType="separate"/>
      </w:r>
      <w:r>
        <w:rPr>
          <w:highlight w:val="none"/>
        </w:rPr>
        <w:t xml:space="preserve">- 34 -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2"/>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_Toc4324 </w:instrText>
      </w:r>
      <w:r>
        <w:rPr>
          <w:rFonts w:hint="eastAsia" w:ascii="宋体" w:hAnsi="宋体" w:eastAsia="宋体" w:cs="宋体"/>
          <w:szCs w:val="22"/>
          <w:highlight w:val="none"/>
        </w:rPr>
        <w:fldChar w:fldCharType="separate"/>
      </w:r>
      <w:r>
        <w:rPr>
          <w:rFonts w:hint="eastAsia" w:ascii="宋体" w:hAnsi="宋体" w:eastAsia="宋体" w:cs="宋体"/>
          <w:szCs w:val="24"/>
          <w:highlight w:val="none"/>
        </w:rPr>
        <w:t xml:space="preserve">三、 商务要求：</w:t>
      </w:r>
      <w:r>
        <w:rPr>
          <w:highlight w:val="none"/>
        </w:rPr>
        <w:tab/>
      </w:r>
      <w:r>
        <w:rPr>
          <w:highlight w:val="none"/>
        </w:rPr>
        <w:fldChar w:fldCharType="begin"/>
      </w:r>
      <w:r>
        <w:rPr>
          <w:highlight w:val="none"/>
        </w:rPr>
        <w:instrText xml:space="preserve"> PAGEREF _Toc4324 \h </w:instrText>
      </w:r>
      <w:r>
        <w:rPr>
          <w:highlight w:val="none"/>
        </w:rPr>
        <w:fldChar w:fldCharType="separate"/>
      </w:r>
      <w:r>
        <w:rPr>
          <w:highlight w:val="none"/>
        </w:rPr>
        <w:t xml:space="preserve">- 49 -</w:t>
      </w:r>
      <w:r>
        <w:rPr>
          <w:highlight w:val="none"/>
        </w:rPr>
        <w:fldChar w:fldCharType="end"/>
      </w:r>
      <w:r>
        <w:rPr>
          <w:rFonts w:hint="eastAsia" w:ascii="宋体" w:hAnsi="宋体" w:eastAsia="宋体" w:cs="宋体"/>
          <w:szCs w:val="22"/>
          <w:highlight w:val="none"/>
        </w:rPr>
        <w:fldChar w:fldCharType="end"/>
      </w:r>
      <w:r>
        <w:rPr>
          <w:highlight w:val="none"/>
        </w:rPr>
      </w:r>
      <w:r/>
    </w:p>
    <w:p>
      <w:pPr>
        <w:pStyle w:val="1090"/>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_Toc14714 </w:instrText>
      </w:r>
      <w:r>
        <w:rPr>
          <w:rFonts w:hint="eastAsia" w:ascii="宋体" w:hAnsi="宋体" w:eastAsia="宋体" w:cs="宋体"/>
          <w:szCs w:val="22"/>
          <w:highlight w:val="none"/>
        </w:rPr>
        <w:fldChar w:fldCharType="separate"/>
      </w:r>
      <w:r>
        <w:rPr>
          <w:rFonts w:hint="eastAsia" w:ascii="宋体" w:hAnsi="宋体" w:eastAsia="宋体" w:cs="宋体"/>
          <w:highlight w:val="none"/>
        </w:rPr>
        <w:t xml:space="preserve">第五章 拟签订的合同文本</w:t>
      </w:r>
      <w:r>
        <w:rPr>
          <w:highlight w:val="none"/>
        </w:rPr>
        <w:tab/>
      </w:r>
      <w:r>
        <w:rPr>
          <w:highlight w:val="none"/>
        </w:rPr>
        <w:fldChar w:fldCharType="begin"/>
      </w:r>
      <w:r>
        <w:rPr>
          <w:highlight w:val="none"/>
        </w:rPr>
        <w:instrText xml:space="preserve"> PAGEREF _Toc14714 \h </w:instrText>
      </w:r>
      <w:r>
        <w:rPr>
          <w:highlight w:val="none"/>
        </w:rPr>
        <w:fldChar w:fldCharType="separate"/>
      </w:r>
      <w:r>
        <w:rPr>
          <w:highlight w:val="none"/>
        </w:rPr>
        <w:t xml:space="preserve">- 51 -</w:t>
      </w:r>
      <w:r>
        <w:rPr>
          <w:highlight w:val="none"/>
        </w:rPr>
        <w:fldChar w:fldCharType="end"/>
      </w:r>
      <w:r>
        <w:rPr>
          <w:rFonts w:hint="eastAsia" w:ascii="宋体" w:hAnsi="宋体" w:eastAsia="宋体" w:cs="宋体"/>
          <w:szCs w:val="22"/>
          <w:highlight w:val="none"/>
        </w:rPr>
        <w:fldChar w:fldCharType="end"/>
      </w:r>
      <w:r>
        <w:rPr>
          <w:highlight w:val="none"/>
        </w:rPr>
      </w:r>
      <w:r/>
    </w:p>
    <w:p>
      <w:pPr>
        <w:pStyle w:val="1090"/>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_Toc16547 </w:instrText>
      </w:r>
      <w:r>
        <w:rPr>
          <w:rFonts w:hint="eastAsia" w:ascii="宋体" w:hAnsi="宋体" w:eastAsia="宋体" w:cs="宋体"/>
          <w:szCs w:val="22"/>
          <w:highlight w:val="none"/>
        </w:rPr>
        <w:fldChar w:fldCharType="separate"/>
      </w:r>
      <w:r>
        <w:rPr>
          <w:rFonts w:hint="eastAsia" w:ascii="宋体" w:hAnsi="宋体" w:eastAsia="宋体" w:cs="宋体"/>
          <w:highlight w:val="none"/>
        </w:rPr>
        <w:t xml:space="preserve">第六章 投标文件格式及附件</w:t>
      </w:r>
      <w:r>
        <w:rPr>
          <w:highlight w:val="none"/>
        </w:rPr>
        <w:tab/>
      </w:r>
      <w:r>
        <w:rPr>
          <w:highlight w:val="none"/>
        </w:rPr>
        <w:fldChar w:fldCharType="begin"/>
      </w:r>
      <w:r>
        <w:rPr>
          <w:highlight w:val="none"/>
        </w:rPr>
        <w:instrText xml:space="preserve"> PAGEREF _Toc16547 \h </w:instrText>
      </w:r>
      <w:r>
        <w:rPr>
          <w:highlight w:val="none"/>
        </w:rPr>
        <w:fldChar w:fldCharType="separate"/>
      </w:r>
      <w:r>
        <w:rPr>
          <w:highlight w:val="none"/>
        </w:rPr>
        <w:t xml:space="preserve">- 58 -</w:t>
      </w:r>
      <w:r>
        <w:rPr>
          <w:highlight w:val="none"/>
        </w:rPr>
        <w:fldChar w:fldCharType="end"/>
      </w:r>
      <w:r>
        <w:rPr>
          <w:rFonts w:hint="eastAsia" w:ascii="宋体" w:hAnsi="宋体" w:eastAsia="宋体" w:cs="宋体"/>
          <w:szCs w:val="22"/>
          <w:highlight w:val="none"/>
        </w:rPr>
        <w:fldChar w:fldCharType="end"/>
      </w:r>
      <w:r>
        <w:rPr>
          <w:highlight w:val="none"/>
        </w:rPr>
      </w:r>
      <w:r/>
    </w:p>
    <w:p>
      <w:pPr>
        <w:pStyle w:val="1033"/>
        <w:rPr>
          <w:rFonts w:hint="eastAsia" w:ascii="宋体" w:hAnsi="宋体" w:eastAsia="宋体" w:cs="宋体"/>
          <w:highlight w:val="none"/>
        </w:rPr>
      </w:pPr>
      <w:r>
        <w:rPr>
          <w:rFonts w:hint="eastAsia" w:ascii="宋体" w:hAnsi="宋体" w:eastAsia="宋体" w:cs="宋体"/>
          <w:szCs w:val="22"/>
          <w:highlight w:val="none"/>
        </w:rPr>
        <w:fldChar w:fldCharType="end"/>
      </w:r>
      <w:r>
        <w:rPr>
          <w:rFonts w:hint="eastAsia" w:ascii="宋体" w:hAnsi="宋体" w:eastAsia="宋体" w:cs="宋体"/>
          <w:highlight w:val="none"/>
        </w:rPr>
      </w:r>
      <w:r/>
    </w:p>
    <w:p>
      <w:pPr>
        <w:pStyle w:val="1034"/>
        <w:ind w:firstLine="0"/>
        <w:spacing w:before="480"/>
        <w:tabs>
          <w:tab w:val="left" w:pos="1440" w:leader="none"/>
          <w:tab w:val="left" w:pos="5670" w:leader="none"/>
        </w:tabs>
        <w:rPr>
          <w:rStyle w:val="1128"/>
          <w:rFonts w:hint="eastAsia" w:ascii="宋体" w:hAnsi="宋体" w:cs="宋体"/>
          <w:szCs w:val="20"/>
          <w:highlight w:val="none"/>
        </w:rPr>
      </w:pPr>
      <w:r/>
      <w:bookmarkStart w:id="3" w:name="_Toc18178"/>
      <w:r>
        <w:rPr>
          <w:rFonts w:hint="eastAsia" w:ascii="宋体" w:hAnsi="宋体" w:eastAsia="宋体" w:cs="宋体"/>
          <w:highlight w:val="none"/>
        </w:rPr>
        <w:t xml:space="preserve">第一章 招标公告</w:t>
      </w:r>
      <w:bookmarkEnd w:id="1"/>
      <w:r/>
      <w:bookmarkEnd w:id="2"/>
      <w:r/>
      <w:bookmarkEnd w:id="3"/>
      <w:r>
        <w:rPr>
          <w:rStyle w:val="1128"/>
          <w:rFonts w:hint="eastAsia" w:ascii="宋体" w:hAnsi="宋体" w:cs="宋体"/>
          <w:szCs w:val="2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7"/>
      </w:tblGrid>
      <w:tr>
        <w:trPr/>
        <w:tc>
          <w:tcPr>
            <w:tcW w:w="9757" w:type="dxa"/>
            <w:vAlign w:val="top"/>
            <w:textDirection w:val="lrTb"/>
            <w:noWrap w:val="false"/>
          </w:tcPr>
          <w:p>
            <w:pPr>
              <w:pStyle w:val="1033"/>
              <w:jc w:val="left"/>
              <w:spacing w:after="0"/>
              <w:rPr>
                <w:rFonts w:hint="eastAsia" w:ascii="宋体" w:hAnsi="宋体" w:eastAsia="宋体" w:cs="宋体"/>
                <w:b/>
                <w:bCs/>
                <w:sz w:val="24"/>
                <w:szCs w:val="24"/>
                <w:highlight w:val="none"/>
              </w:rPr>
              <w:pBdr>
                <w:top w:val="none" w:color="000000" w:sz="0" w:space="1"/>
                <w:left w:val="none" w:color="000000" w:sz="0" w:space="4"/>
                <w:bottom w:val="none" w:color="000000" w:sz="0" w:space="1"/>
                <w:right w:val="none" w:color="000000" w:sz="0" w:space="4"/>
              </w:pBdr>
            </w:pPr>
            <w:r>
              <w:rPr>
                <w:rFonts w:hint="eastAsia" w:ascii="宋体" w:hAnsi="宋体" w:eastAsia="宋体" w:cs="宋体"/>
                <w:b/>
                <w:bCs/>
                <w:sz w:val="24"/>
                <w:szCs w:val="24"/>
                <w:highlight w:val="none"/>
              </w:rPr>
              <w:t xml:space="preserve">项目概况：</w:t>
            </w:r>
            <w:r>
              <w:rPr>
                <w:rFonts w:hint="eastAsia" w:ascii="宋体" w:hAnsi="宋体" w:eastAsia="宋体" w:cs="宋体"/>
                <w:b/>
                <w:bCs/>
                <w:sz w:val="24"/>
                <w:szCs w:val="24"/>
                <w:highlight w:val="none"/>
              </w:rPr>
            </w:r>
            <w:r/>
          </w:p>
          <w:p>
            <w:pPr>
              <w:pStyle w:val="1033"/>
              <w:ind w:firstLine="440"/>
              <w:spacing w:before="0" w:after="0"/>
              <w:rPr>
                <w:rFonts w:hint="eastAsia" w:ascii="宋体" w:hAnsi="宋体" w:eastAsia="宋体" w:cs="宋体"/>
                <w:highlight w:val="none"/>
              </w:rPr>
            </w:pPr>
            <w:r>
              <w:rPr>
                <w:rFonts w:hint="eastAsia" w:ascii="宋体" w:hAnsi="宋体" w:eastAsia="宋体" w:cs="宋体"/>
                <w:sz w:val="22"/>
                <w:highlight w:val="none"/>
                <w:lang w:eastAsia="zh-CN"/>
              </w:rPr>
              <w:t xml:space="preserve">江苏省特检院老旧设备更新项目-机电类检验检测设备采购（全站仪等设备）</w:t>
            </w:r>
            <w:r>
              <w:rPr>
                <w:rFonts w:hint="eastAsia" w:ascii="宋体" w:hAnsi="宋体" w:eastAsia="宋体" w:cs="宋体"/>
                <w:sz w:val="22"/>
                <w:highlight w:val="none"/>
                <w:u w:val="single"/>
              </w:rPr>
              <w:t xml:space="preserve">（项目编号：</w:t>
            </w:r>
            <w:r>
              <w:rPr>
                <w:rFonts w:hint="eastAsia" w:ascii="宋体" w:hAnsi="宋体" w:eastAsia="宋体" w:cs="宋体"/>
                <w:sz w:val="22"/>
                <w:highlight w:val="none"/>
                <w:u w:val="single"/>
                <w:lang w:eastAsia="zh-CN"/>
              </w:rPr>
              <w:t xml:space="preserve">JSZC-320000-HWZX-G2026-0625</w:t>
            </w:r>
            <w:r>
              <w:rPr>
                <w:rFonts w:hint="eastAsia" w:ascii="宋体" w:hAnsi="宋体" w:eastAsia="宋体" w:cs="宋体"/>
                <w:sz w:val="22"/>
                <w:highlight w:val="none"/>
                <w:u w:val="single"/>
              </w:rPr>
              <w:t xml:space="preserve">）</w:t>
            </w:r>
            <w:r>
              <w:rPr>
                <w:rFonts w:hint="eastAsia" w:ascii="宋体" w:hAnsi="宋体" w:eastAsia="宋体" w:cs="宋体"/>
                <w:sz w:val="22"/>
                <w:highlight w:val="none"/>
              </w:rPr>
              <w:t xml:space="preserve">招标项目的潜在投标人应在</w:t>
            </w:r>
            <w:r>
              <w:rPr>
                <w:rFonts w:hint="eastAsia" w:ascii="宋体" w:hAnsi="宋体" w:eastAsia="宋体" w:cs="宋体"/>
                <w:sz w:val="22"/>
                <w:highlight w:val="none"/>
                <w:u w:val="single"/>
              </w:rPr>
              <w:t xml:space="preserve">江苏政府采购“苏采云”系统自行免费下载</w:t>
            </w:r>
            <w:r>
              <w:rPr>
                <w:rFonts w:hint="eastAsia" w:ascii="宋体" w:hAnsi="宋体" w:eastAsia="宋体" w:cs="宋体"/>
                <w:sz w:val="22"/>
                <w:highlight w:val="none"/>
              </w:rPr>
              <w:t xml:space="preserve">获取招标文件，并于</w:t>
            </w:r>
            <w:r>
              <w:rPr>
                <w:rFonts w:hint="eastAsia" w:ascii="宋体" w:hAnsi="宋体" w:eastAsia="宋体" w:cs="宋体"/>
                <w:color w:val="c00000"/>
                <w:sz w:val="22"/>
                <w:highlight w:val="none"/>
                <w:u w:val="single"/>
              </w:rPr>
              <w:t xml:space="preserve">2026年</w:t>
            </w:r>
            <w:r>
              <w:rPr>
                <w:rFonts w:hint="eastAsia" w:ascii="宋体" w:hAnsi="宋体" w:eastAsia="宋体" w:cs="宋体"/>
                <w:color w:val="c00000"/>
                <w:sz w:val="22"/>
                <w:highlight w:val="none"/>
                <w:u w:val="single"/>
                <w:lang w:eastAsia="zh-CN"/>
              </w:rPr>
              <w:t xml:space="preserve">11月5日9:30</w:t>
            </w:r>
            <w:r>
              <w:rPr>
                <w:rFonts w:hint="eastAsia" w:ascii="宋体" w:hAnsi="宋体" w:eastAsia="宋体" w:cs="宋体"/>
                <w:color w:val="c00000"/>
                <w:sz w:val="22"/>
                <w:highlight w:val="none"/>
                <w:u w:val="single"/>
              </w:rPr>
              <w:t xml:space="preserve">（北京时间）</w:t>
            </w:r>
            <w:r>
              <w:rPr>
                <w:rFonts w:hint="eastAsia" w:ascii="宋体" w:hAnsi="宋体" w:eastAsia="宋体" w:cs="宋体"/>
                <w:sz w:val="22"/>
                <w:highlight w:val="none"/>
              </w:rPr>
              <w:t xml:space="preserve">前递交投标文件。</w:t>
            </w:r>
            <w:r>
              <w:rPr>
                <w:rFonts w:hint="eastAsia" w:ascii="宋体" w:hAnsi="宋体" w:eastAsia="宋体" w:cs="宋体"/>
                <w:highlight w:val="none"/>
              </w:rPr>
            </w:r>
            <w:r/>
          </w:p>
        </w:tc>
      </w:tr>
    </w:tbl>
    <w:p>
      <w:pPr>
        <w:pStyle w:val="1033"/>
        <w:spacing w:before="0" w:after="0"/>
        <w:rPr>
          <w:rFonts w:hint="eastAsia" w:ascii="宋体" w:hAnsi="宋体" w:eastAsia="宋体" w:cs="宋体"/>
          <w:sz w:val="24"/>
          <w:szCs w:val="24"/>
          <w:highlight w:val="none"/>
        </w:rPr>
        <w:outlineLvl w:val="1"/>
      </w:pPr>
      <w:r/>
      <w:bookmarkStart w:id="4" w:name="_Toc3620"/>
      <w:r>
        <w:rPr>
          <w:rFonts w:hint="eastAsia" w:ascii="宋体" w:hAnsi="宋体" w:eastAsia="宋体" w:cs="宋体"/>
          <w:b/>
          <w:bCs/>
          <w:sz w:val="24"/>
          <w:szCs w:val="24"/>
          <w:highlight w:val="none"/>
        </w:rPr>
        <w:t xml:space="preserve">一、项目基本情况</w:t>
      </w:r>
      <w:bookmarkEnd w:id="4"/>
      <w:r>
        <w:rPr>
          <w:rFonts w:hint="eastAsia" w:ascii="宋体" w:hAnsi="宋体" w:eastAsia="宋体" w:cs="宋体"/>
          <w:sz w:val="24"/>
          <w:szCs w:val="24"/>
          <w:highlight w:val="none"/>
        </w:rPr>
      </w:r>
      <w:r/>
    </w:p>
    <w:p>
      <w:pPr>
        <w:pStyle w:val="1033"/>
        <w:ind w:firstLine="480"/>
        <w:spacing w:before="0" w:after="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1.项目编号：</w:t>
      </w:r>
      <w:r>
        <w:rPr>
          <w:rFonts w:hint="eastAsia" w:ascii="宋体" w:hAnsi="宋体" w:eastAsia="宋体" w:cs="宋体"/>
          <w:sz w:val="24"/>
          <w:szCs w:val="24"/>
          <w:highlight w:val="none"/>
          <w:lang w:eastAsia="zh-CN"/>
        </w:rPr>
        <w:t xml:space="preserve">JSZC-320000-HWZX-G2026-0625</w:t>
      </w:r>
      <w:r>
        <w:rPr>
          <w:rFonts w:hint="eastAsia" w:ascii="宋体" w:hAnsi="宋体" w:eastAsia="宋体" w:cs="宋体"/>
          <w:sz w:val="24"/>
          <w:szCs w:val="24"/>
          <w:highlight w:val="none"/>
          <w:lang w:eastAsia="zh-CN"/>
        </w:rPr>
      </w:r>
      <w:r/>
    </w:p>
    <w:p>
      <w:pPr>
        <w:pStyle w:val="1033"/>
        <w:ind w:firstLine="480"/>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rPr>
        <w:t xml:space="preserve">2</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江苏省特检院老旧设备更新项目-机电类检验检测设备采购（全站仪等设备）</w:t>
      </w:r>
      <w:r>
        <w:rPr>
          <w:rFonts w:hint="eastAsia" w:ascii="宋体" w:hAnsi="宋体" w:eastAsia="宋体" w:cs="宋体"/>
          <w:color w:val="000000"/>
          <w:sz w:val="24"/>
          <w:szCs w:val="24"/>
          <w:highlight w:val="none"/>
          <w:lang w:eastAsia="zh-CN"/>
        </w:rPr>
      </w:r>
      <w:r/>
    </w:p>
    <w:p>
      <w:pPr>
        <w:pStyle w:val="103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3.项目预算：人民币</w:t>
      </w:r>
      <w:r>
        <w:rPr>
          <w:rFonts w:hint="eastAsia" w:ascii="宋体" w:hAnsi="宋体" w:eastAsia="宋体" w:cs="宋体"/>
          <w:color w:val="000000"/>
          <w:sz w:val="24"/>
          <w:szCs w:val="24"/>
          <w:highlight w:val="none"/>
          <w:lang w:eastAsia="zh-CN"/>
        </w:rPr>
        <w:t xml:space="preserve">78.8万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1033"/>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4.最高限价：人民币</w:t>
      </w:r>
      <w:r>
        <w:rPr>
          <w:rFonts w:hint="eastAsia" w:ascii="宋体" w:hAnsi="宋体" w:eastAsia="宋体" w:cs="宋体"/>
          <w:sz w:val="24"/>
          <w:szCs w:val="24"/>
          <w:highlight w:val="none"/>
          <w:lang w:eastAsia="zh-CN"/>
        </w:rPr>
        <w:t xml:space="preserve">78.8万</w:t>
      </w:r>
      <w:r>
        <w:rPr>
          <w:rFonts w:hint="eastAsia" w:ascii="宋体" w:hAnsi="宋体" w:eastAsia="宋体" w:cs="宋体"/>
          <w:sz w:val="24"/>
          <w:szCs w:val="24"/>
          <w:highlight w:val="none"/>
        </w:rPr>
        <w:t xml:space="preserve">元。具体报价格式参照招标文件附件中“报价一览表格式”。</w:t>
      </w:r>
      <w:r>
        <w:rPr>
          <w:rFonts w:hint="eastAsia" w:ascii="宋体" w:hAnsi="宋体" w:eastAsia="宋体" w:cs="宋体"/>
          <w:sz w:val="24"/>
          <w:szCs w:val="24"/>
          <w:highlight w:val="none"/>
        </w:rPr>
      </w:r>
      <w:r/>
    </w:p>
    <w:p>
      <w:pPr>
        <w:pStyle w:val="1033"/>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5.采购方式：公开招标。</w:t>
      </w:r>
      <w:r>
        <w:rPr>
          <w:rFonts w:hint="eastAsia" w:ascii="宋体" w:hAnsi="宋体" w:eastAsia="宋体" w:cs="宋体"/>
          <w:sz w:val="24"/>
          <w:szCs w:val="24"/>
          <w:highlight w:val="none"/>
        </w:rPr>
      </w:r>
      <w:r/>
    </w:p>
    <w:p>
      <w:pPr>
        <w:pStyle w:val="1033"/>
        <w:ind w:firstLine="480"/>
        <w:spacing w:before="0" w:after="0"/>
        <w:rPr>
          <w:rFonts w:hint="eastAsia" w:ascii="宋体" w:hAnsi="宋体" w:eastAsia="宋体" w:cs="宋体"/>
          <w:b/>
          <w:bCs/>
          <w:sz w:val="22"/>
          <w:highlight w:val="none"/>
        </w:rPr>
      </w:pPr>
      <w:r>
        <w:rPr>
          <w:rFonts w:hint="eastAsia" w:ascii="宋体" w:hAnsi="宋体" w:eastAsia="宋体" w:cs="宋体"/>
          <w:sz w:val="24"/>
          <w:szCs w:val="24"/>
          <w:highlight w:val="none"/>
        </w:rPr>
        <w:t xml:space="preserve">6.采购需求：本项目分为</w:t>
      </w:r>
      <w:r>
        <w:rPr>
          <w:rFonts w:hint="eastAsia" w:ascii="宋体" w:hAnsi="宋体" w:eastAsia="宋体" w:cs="宋体"/>
          <w:sz w:val="24"/>
          <w:szCs w:val="24"/>
          <w:highlight w:val="none"/>
          <w:lang w:val="en-US" w:eastAsia="zh-CN"/>
        </w:rPr>
        <w:t xml:space="preserve">1个采购分包</w:t>
      </w:r>
      <w:r>
        <w:rPr>
          <w:rFonts w:hint="eastAsia" w:ascii="宋体" w:hAnsi="宋体" w:eastAsia="宋体" w:cs="宋体"/>
          <w:sz w:val="24"/>
          <w:szCs w:val="24"/>
          <w:highlight w:val="none"/>
        </w:rPr>
        <w:t xml:space="preserve">（标段），技术要求详见招标文件“第四章采购需求”。</w:t>
      </w:r>
      <w:r>
        <w:rPr>
          <w:rFonts w:hint="eastAsia" w:ascii="宋体" w:hAnsi="宋体" w:eastAsia="宋体" w:cs="宋体"/>
          <w:b/>
          <w:bCs/>
          <w:sz w:val="22"/>
          <w:highlight w:val="none"/>
        </w:rPr>
      </w:r>
      <w:r/>
    </w:p>
    <w:tbl>
      <w:tblPr>
        <w:tblW w:w="9663"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50"/>
        <w:gridCol w:w="2215"/>
        <w:gridCol w:w="918"/>
        <w:gridCol w:w="1239"/>
        <w:gridCol w:w="736"/>
        <w:gridCol w:w="1229"/>
        <w:gridCol w:w="1414"/>
        <w:gridCol w:w="1162"/>
      </w:tblGrid>
      <w:tr>
        <w:trPr>
          <w:trHeight w:val="560"/>
        </w:trPr>
        <w:tc>
          <w:tcPr>
            <w:tcW w:w="750" w:type="dxa"/>
            <w:vAlign w:val="center"/>
            <w:textDirection w:val="lrTb"/>
            <w:noWrap w:val="false"/>
          </w:tcPr>
          <w:p>
            <w:pPr>
              <w:pStyle w:val="1033"/>
              <w:jc w:val="center"/>
              <w:spacing w:before="0" w:after="0" w:line="240" w:lineRule="auto"/>
              <w:widowControl/>
              <w:rPr>
                <w:rFonts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 xml:space="preserve">序号</w:t>
            </w:r>
            <w:r>
              <w:rPr>
                <w:rFonts w:ascii="宋体" w:hAnsi="宋体" w:eastAsia="宋体" w:cs="宋体"/>
                <w:b/>
                <w:bCs/>
                <w:sz w:val="24"/>
                <w:szCs w:val="24"/>
                <w:highlight w:val="none"/>
                <w:lang w:val="en-US" w:eastAsia="zh-CN" w:bidi="ar"/>
              </w:rPr>
            </w:r>
            <w:r/>
          </w:p>
        </w:tc>
        <w:tc>
          <w:tcPr>
            <w:tcW w:w="2215" w:type="dxa"/>
            <w:vAlign w:val="center"/>
            <w:textDirection w:val="lrTb"/>
            <w:noWrap w:val="false"/>
          </w:tcPr>
          <w:p>
            <w:pPr>
              <w:pStyle w:val="1033"/>
              <w:jc w:val="center"/>
              <w:spacing w:before="0" w:after="0" w:line="240" w:lineRule="auto"/>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val="en-US" w:eastAsia="zh-CN" w:bidi="ar"/>
              </w:rPr>
              <w:t xml:space="preserve">设备明细</w:t>
            </w:r>
            <w:r>
              <w:rPr>
                <w:rFonts w:hint="eastAsia" w:ascii="宋体" w:hAnsi="宋体" w:eastAsia="宋体" w:cs="宋体"/>
                <w:b/>
                <w:bCs/>
                <w:sz w:val="24"/>
                <w:szCs w:val="24"/>
                <w:highlight w:val="none"/>
                <w:lang w:bidi="ar"/>
              </w:rPr>
            </w:r>
            <w:r/>
          </w:p>
        </w:tc>
        <w:tc>
          <w:tcPr>
            <w:tcW w:w="918" w:type="dxa"/>
            <w:vAlign w:val="center"/>
            <w:textDirection w:val="lrTb"/>
            <w:noWrap w:val="false"/>
          </w:tcPr>
          <w:p>
            <w:pPr>
              <w:pStyle w:val="1033"/>
              <w:jc w:val="center"/>
              <w:spacing w:before="0" w:after="0" w:line="240" w:lineRule="auto"/>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bidi="ar"/>
              </w:rPr>
              <w:t xml:space="preserve">单位</w:t>
            </w:r>
            <w:r>
              <w:rPr>
                <w:rFonts w:hint="eastAsia" w:ascii="宋体" w:hAnsi="宋体" w:eastAsia="宋体" w:cs="宋体"/>
                <w:b/>
                <w:bCs/>
                <w:sz w:val="24"/>
                <w:szCs w:val="24"/>
                <w:highlight w:val="none"/>
                <w:lang w:bidi="ar"/>
              </w:rPr>
            </w:r>
            <w:r/>
          </w:p>
        </w:tc>
        <w:tc>
          <w:tcPr>
            <w:tcW w:w="1239" w:type="dxa"/>
            <w:vAlign w:val="center"/>
            <w:textDirection w:val="lrTb"/>
            <w:noWrap w:val="false"/>
          </w:tcPr>
          <w:p>
            <w:pPr>
              <w:pStyle w:val="1033"/>
              <w:jc w:val="center"/>
              <w:spacing w:before="0" w:after="0" w:line="240" w:lineRule="auto"/>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val="en-US" w:eastAsia="zh-CN" w:bidi="ar"/>
              </w:rPr>
              <w:t xml:space="preserve">预算单价（万元）</w:t>
            </w:r>
            <w:r>
              <w:rPr>
                <w:rFonts w:hint="eastAsia" w:ascii="宋体" w:hAnsi="宋体" w:eastAsia="宋体" w:cs="宋体"/>
                <w:b/>
                <w:bCs/>
                <w:sz w:val="24"/>
                <w:szCs w:val="24"/>
                <w:highlight w:val="none"/>
                <w:lang w:bidi="ar"/>
              </w:rPr>
            </w:r>
            <w:r/>
          </w:p>
        </w:tc>
        <w:tc>
          <w:tcPr>
            <w:tcW w:w="736" w:type="dxa"/>
            <w:vAlign w:val="center"/>
            <w:textDirection w:val="lrTb"/>
            <w:noWrap w:val="false"/>
          </w:tcPr>
          <w:p>
            <w:pPr>
              <w:pStyle w:val="1033"/>
              <w:jc w:val="center"/>
              <w:spacing w:before="0" w:after="0" w:line="240" w:lineRule="auto"/>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val="en-US" w:eastAsia="zh-CN" w:bidi="ar"/>
              </w:rPr>
              <w:t xml:space="preserve">数量</w:t>
            </w:r>
            <w:r>
              <w:rPr>
                <w:rFonts w:hint="eastAsia" w:ascii="宋体" w:hAnsi="宋体" w:eastAsia="宋体" w:cs="宋体"/>
                <w:b/>
                <w:bCs/>
                <w:sz w:val="24"/>
                <w:szCs w:val="24"/>
                <w:highlight w:val="none"/>
                <w:lang w:bidi="ar"/>
              </w:rPr>
            </w:r>
            <w:r/>
          </w:p>
        </w:tc>
        <w:tc>
          <w:tcPr>
            <w:tcW w:w="1229" w:type="dxa"/>
            <w:vAlign w:val="center"/>
            <w:textDirection w:val="lrTb"/>
            <w:noWrap w:val="false"/>
          </w:tcPr>
          <w:p>
            <w:pPr>
              <w:pStyle w:val="1033"/>
              <w:jc w:val="center"/>
              <w:spacing w:before="0" w:after="0" w:line="240" w:lineRule="auto"/>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val="en-US" w:eastAsia="zh-CN" w:bidi="ar"/>
              </w:rPr>
              <w:t xml:space="preserve">预算金额</w:t>
            </w:r>
            <w:r>
              <w:rPr>
                <w:rFonts w:hint="eastAsia" w:ascii="宋体" w:hAnsi="宋体" w:eastAsia="宋体" w:cs="宋体"/>
                <w:b/>
                <w:bCs/>
                <w:sz w:val="24"/>
                <w:szCs w:val="24"/>
                <w:highlight w:val="none"/>
                <w:lang w:val="en-US" w:eastAsia="zh-CN" w:bidi="ar"/>
              </w:rPr>
              <w:br w:type="textWrapping" w:clear="all"/>
            </w:r>
            <w:r>
              <w:rPr>
                <w:rFonts w:hint="eastAsia" w:ascii="宋体" w:hAnsi="宋体" w:eastAsia="宋体" w:cs="宋体"/>
                <w:b/>
                <w:bCs/>
                <w:sz w:val="24"/>
                <w:szCs w:val="24"/>
                <w:highlight w:val="none"/>
                <w:lang w:val="en-US" w:eastAsia="zh-CN" w:bidi="ar"/>
              </w:rPr>
              <w:t xml:space="preserve">（万元）</w:t>
            </w:r>
            <w:r>
              <w:rPr>
                <w:rFonts w:hint="eastAsia" w:ascii="宋体" w:hAnsi="宋体" w:eastAsia="宋体" w:cs="宋体"/>
                <w:b/>
                <w:bCs/>
                <w:sz w:val="24"/>
                <w:szCs w:val="24"/>
                <w:highlight w:val="none"/>
                <w:lang w:bidi="ar"/>
              </w:rPr>
            </w:r>
            <w:r/>
          </w:p>
        </w:tc>
        <w:tc>
          <w:tcPr>
            <w:tcW w:w="1414" w:type="dxa"/>
            <w:vAlign w:val="center"/>
            <w:textDirection w:val="lrTb"/>
            <w:noWrap w:val="false"/>
          </w:tcPr>
          <w:p>
            <w:pPr>
              <w:pStyle w:val="1033"/>
              <w:jc w:val="center"/>
              <w:spacing w:before="0" w:after="0" w:line="240" w:lineRule="auto"/>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val="en-US" w:eastAsia="zh-CN" w:bidi="ar"/>
              </w:rPr>
              <w:t xml:space="preserve">是否接受进口设备投标</w:t>
            </w:r>
            <w:r>
              <w:rPr>
                <w:rFonts w:hint="eastAsia" w:ascii="宋体" w:hAnsi="宋体" w:eastAsia="宋体" w:cs="宋体"/>
                <w:b/>
                <w:bCs/>
                <w:sz w:val="24"/>
                <w:szCs w:val="24"/>
                <w:highlight w:val="none"/>
                <w:lang w:bidi="ar"/>
              </w:rPr>
            </w:r>
            <w:r/>
          </w:p>
        </w:tc>
        <w:tc>
          <w:tcPr>
            <w:tcW w:w="1162" w:type="dxa"/>
            <w:vAlign w:val="center"/>
            <w:textDirection w:val="lrTb"/>
            <w:noWrap w:val="false"/>
          </w:tcPr>
          <w:p>
            <w:pPr>
              <w:pStyle w:val="1033"/>
              <w:jc w:val="center"/>
              <w:spacing w:before="0" w:after="0" w:line="240" w:lineRule="auto"/>
              <w:widowControl/>
              <w:rPr>
                <w:rFonts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 xml:space="preserve">备注</w:t>
            </w:r>
            <w:r>
              <w:rPr>
                <w:rFonts w:ascii="宋体" w:hAnsi="宋体" w:eastAsia="宋体" w:cs="宋体"/>
                <w:b/>
                <w:bCs/>
                <w:sz w:val="24"/>
                <w:szCs w:val="24"/>
                <w:highlight w:val="none"/>
                <w:lang w:val="en-US" w:eastAsia="zh-CN" w:bidi="ar"/>
              </w:rPr>
            </w:r>
            <w:r/>
          </w:p>
        </w:tc>
      </w:tr>
      <w:tr>
        <w:trPr>
          <w:trHeight w:val="250"/>
        </w:trPr>
        <w:tc>
          <w:tcPr>
            <w:tcW w:w="750" w:type="dxa"/>
            <w:vAlign w:val="center"/>
            <w:textDirection w:val="lrTb"/>
            <w:noWrap w:val="false"/>
          </w:tcPr>
          <w:p>
            <w:pPr>
              <w:pStyle w:val="1033"/>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w:t>
            </w:r>
            <w:r>
              <w:rPr>
                <w:rFonts w:ascii="宋体" w:hAnsi="宋体" w:eastAsia="宋体" w:cs="宋体"/>
                <w:sz w:val="22"/>
                <w:highlight w:val="none"/>
                <w:lang w:val="en-US" w:eastAsia="zh-CN" w:bidi="ar"/>
              </w:rPr>
            </w:r>
            <w:r/>
          </w:p>
        </w:tc>
        <w:tc>
          <w:tcPr>
            <w:tcW w:w="2215"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全站仪</w:t>
            </w:r>
            <w:r>
              <w:rPr>
                <w:rFonts w:hint="eastAsia" w:ascii="宋体" w:hAnsi="宋体" w:eastAsia="宋体" w:cs="宋体"/>
                <w:sz w:val="22"/>
                <w:highlight w:val="none"/>
                <w:lang w:val="en-US" w:eastAsia="zh-CN" w:bidi="ar"/>
              </w:rPr>
            </w:r>
            <w:r/>
          </w:p>
        </w:tc>
        <w:tc>
          <w:tcPr>
            <w:tcW w:w="918"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239"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1.85</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33</w:t>
            </w:r>
            <w:r>
              <w:rPr>
                <w:rFonts w:hint="eastAsia" w:ascii="宋体" w:hAnsi="宋体" w:eastAsia="宋体" w:cs="宋体"/>
                <w:sz w:val="22"/>
                <w:highlight w:val="none"/>
                <w:lang w:val="en-US" w:eastAsia="zh-CN" w:bidi="ar"/>
              </w:rPr>
            </w:r>
            <w:r/>
          </w:p>
        </w:tc>
        <w:tc>
          <w:tcPr>
            <w:tcW w:w="1229"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61.05</w:t>
            </w:r>
            <w:r>
              <w:rPr>
                <w:rFonts w:hint="eastAsia" w:ascii="宋体" w:hAnsi="宋体" w:eastAsia="宋体" w:cs="宋体"/>
                <w:sz w:val="22"/>
                <w:highlight w:val="none"/>
                <w:lang w:val="en-US" w:eastAsia="zh-CN" w:bidi="ar"/>
              </w:rPr>
            </w:r>
            <w:r/>
          </w:p>
        </w:tc>
        <w:tc>
          <w:tcPr>
            <w:tcW w:w="1414"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1162"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核心产品</w:t>
            </w:r>
            <w:r>
              <w:rPr>
                <w:rFonts w:hint="eastAsia" w:ascii="宋体" w:hAnsi="宋体" w:eastAsia="宋体" w:cs="宋体"/>
                <w:sz w:val="22"/>
                <w:highlight w:val="none"/>
                <w:lang w:val="en-US" w:eastAsia="zh-CN" w:bidi="ar"/>
              </w:rPr>
            </w:r>
            <w:r/>
          </w:p>
        </w:tc>
      </w:tr>
      <w:tr>
        <w:trPr>
          <w:trHeight w:val="268"/>
        </w:trPr>
        <w:tc>
          <w:tcPr>
            <w:tcW w:w="750" w:type="dxa"/>
            <w:vAlign w:val="center"/>
            <w:textDirection w:val="lrTb"/>
            <w:noWrap w:val="false"/>
          </w:tcPr>
          <w:p>
            <w:pPr>
              <w:pStyle w:val="1033"/>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w:t>
            </w:r>
            <w:r>
              <w:rPr>
                <w:rFonts w:ascii="宋体" w:hAnsi="宋体" w:eastAsia="宋体" w:cs="宋体"/>
                <w:sz w:val="22"/>
                <w:highlight w:val="none"/>
                <w:lang w:val="en-US" w:eastAsia="zh-CN" w:bidi="ar"/>
              </w:rPr>
            </w:r>
            <w:r/>
          </w:p>
        </w:tc>
        <w:tc>
          <w:tcPr>
            <w:tcW w:w="2215"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经纬仪</w:t>
            </w:r>
            <w:r>
              <w:rPr>
                <w:rFonts w:hint="eastAsia" w:ascii="宋体" w:hAnsi="宋体" w:eastAsia="宋体" w:cs="宋体"/>
                <w:sz w:val="22"/>
                <w:highlight w:val="none"/>
                <w:lang w:val="en-US" w:eastAsia="zh-CN" w:bidi="ar"/>
              </w:rPr>
            </w:r>
            <w:r/>
          </w:p>
        </w:tc>
        <w:tc>
          <w:tcPr>
            <w:tcW w:w="918"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239"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1.25</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7</w:t>
            </w:r>
            <w:r>
              <w:rPr>
                <w:rFonts w:hint="eastAsia" w:ascii="宋体" w:hAnsi="宋体" w:eastAsia="宋体" w:cs="宋体"/>
                <w:sz w:val="22"/>
                <w:highlight w:val="none"/>
                <w:lang w:val="en-US" w:eastAsia="zh-CN" w:bidi="ar"/>
              </w:rPr>
            </w:r>
            <w:r/>
          </w:p>
        </w:tc>
        <w:tc>
          <w:tcPr>
            <w:tcW w:w="1229"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8.75</w:t>
            </w:r>
            <w:r>
              <w:rPr>
                <w:rFonts w:hint="eastAsia" w:ascii="宋体" w:hAnsi="宋体" w:eastAsia="宋体" w:cs="宋体"/>
                <w:sz w:val="22"/>
                <w:highlight w:val="none"/>
                <w:lang w:val="en-US" w:eastAsia="zh-CN" w:bidi="ar"/>
              </w:rPr>
            </w:r>
            <w:r/>
          </w:p>
        </w:tc>
        <w:tc>
          <w:tcPr>
            <w:tcW w:w="1414"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1162"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60"/>
        </w:trPr>
        <w:tc>
          <w:tcPr>
            <w:tcW w:w="750" w:type="dxa"/>
            <w:vAlign w:val="center"/>
            <w:textDirection w:val="lrTb"/>
            <w:noWrap w:val="false"/>
          </w:tcPr>
          <w:p>
            <w:pPr>
              <w:pStyle w:val="1033"/>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w:t>
            </w:r>
            <w:r>
              <w:rPr>
                <w:rFonts w:ascii="宋体" w:hAnsi="宋体" w:eastAsia="宋体" w:cs="宋体"/>
                <w:sz w:val="22"/>
                <w:highlight w:val="none"/>
                <w:lang w:val="en-US" w:eastAsia="zh-CN" w:bidi="ar"/>
              </w:rPr>
            </w:r>
            <w:r/>
          </w:p>
        </w:tc>
        <w:tc>
          <w:tcPr>
            <w:tcW w:w="2215"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水准仪</w:t>
            </w:r>
            <w:r>
              <w:rPr>
                <w:rFonts w:hint="eastAsia" w:ascii="宋体" w:hAnsi="宋体" w:eastAsia="宋体" w:cs="宋体"/>
                <w:sz w:val="22"/>
                <w:highlight w:val="none"/>
                <w:lang w:val="en-US" w:eastAsia="zh-CN" w:bidi="ar"/>
              </w:rPr>
            </w:r>
            <w:r/>
          </w:p>
        </w:tc>
        <w:tc>
          <w:tcPr>
            <w:tcW w:w="918"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239"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0.60</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15</w:t>
            </w:r>
            <w:r>
              <w:rPr>
                <w:rFonts w:hint="eastAsia" w:ascii="宋体" w:hAnsi="宋体" w:eastAsia="宋体" w:cs="宋体"/>
                <w:sz w:val="22"/>
                <w:highlight w:val="none"/>
                <w:lang w:val="en-US" w:eastAsia="zh-CN" w:bidi="ar"/>
              </w:rPr>
            </w:r>
            <w:r/>
          </w:p>
        </w:tc>
        <w:tc>
          <w:tcPr>
            <w:tcW w:w="1229"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9</w:t>
            </w:r>
            <w:r>
              <w:rPr>
                <w:rFonts w:hint="eastAsia" w:ascii="宋体" w:hAnsi="宋体" w:eastAsia="宋体" w:cs="宋体"/>
                <w:sz w:val="22"/>
                <w:highlight w:val="none"/>
                <w:lang w:val="en-US" w:eastAsia="zh-CN" w:bidi="ar"/>
              </w:rPr>
            </w:r>
            <w:r/>
          </w:p>
        </w:tc>
        <w:tc>
          <w:tcPr>
            <w:tcW w:w="1414"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1162"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bl>
    <w:p>
      <w:pPr>
        <w:pStyle w:val="1033"/>
        <w:spacing w:before="0" w:after="0"/>
        <w:rPr>
          <w:rFonts w:hint="eastAsia" w:ascii="宋体" w:hAnsi="宋体" w:eastAsia="宋体" w:cs="宋体"/>
          <w:b/>
          <w:bCs/>
          <w:sz w:val="22"/>
          <w:highlight w:val="none"/>
        </w:rPr>
      </w:pPr>
      <w:r>
        <w:rPr>
          <w:rFonts w:hint="eastAsia" w:ascii="宋体" w:hAnsi="宋体" w:eastAsia="宋体" w:cs="宋体"/>
          <w:b/>
          <w:bCs/>
          <w:sz w:val="22"/>
          <w:highlight w:val="none"/>
        </w:rPr>
      </w:r>
      <w:r/>
    </w:p>
    <w:p>
      <w:pPr>
        <w:pStyle w:val="1033"/>
        <w:ind w:firstLine="442"/>
        <w:spacing w:before="0" w:after="0"/>
        <w:rPr>
          <w:rFonts w:hint="eastAsia" w:ascii="宋体" w:hAnsi="宋体" w:eastAsia="宋体" w:cs="宋体"/>
          <w:sz w:val="22"/>
          <w:szCs w:val="22"/>
          <w:highlight w:val="none"/>
        </w:rPr>
      </w:pPr>
      <w:r>
        <w:rPr>
          <w:rFonts w:hint="eastAsia" w:ascii="宋体" w:hAnsi="宋体" w:eastAsia="宋体" w:cs="宋体"/>
          <w:b/>
          <w:bCs/>
          <w:sz w:val="22"/>
          <w:highlight w:val="none"/>
        </w:rPr>
        <w:t xml:space="preserve">注：以上表格中单套设备单项报价不得超过相应预算，超出最高限价或单套设备单项预算的投标文件作无效投标处理。具体报价格式参照招标文件附件中“报价一览表格式”。</w:t>
      </w:r>
      <w:r>
        <w:rPr>
          <w:rFonts w:hint="eastAsia" w:ascii="宋体" w:hAnsi="宋体" w:eastAsia="宋体" w:cs="宋体"/>
          <w:sz w:val="22"/>
          <w:szCs w:val="22"/>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7.合同履行期限（交货期）：合同签订后90日历天内供齐所有货物，并完成安装、调试、服务及初步验收。</w:t>
      </w:r>
      <w:r>
        <w:rPr>
          <w:rFonts w:hint="eastAsia" w:ascii="宋体" w:hAnsi="宋体" w:eastAsia="宋体" w:cs="宋体"/>
          <w:sz w:val="22"/>
          <w:szCs w:val="22"/>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8.本项目（是/否）接受联合体投标：</w:t>
      </w:r>
      <w:r>
        <w:rPr>
          <w:rFonts w:hint="eastAsia" w:ascii="宋体" w:hAnsi="宋体" w:eastAsia="宋体" w:cs="宋体"/>
          <w:b/>
          <w:bCs/>
          <w:sz w:val="22"/>
          <w:szCs w:val="22"/>
          <w:highlight w:val="none"/>
        </w:rPr>
        <w:t xml:space="preserve">不接受联合体</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rPr>
      </w:r>
      <w:r/>
    </w:p>
    <w:p>
      <w:pPr>
        <w:pStyle w:val="1033"/>
        <w:spacing w:before="0" w:after="0"/>
        <w:rPr>
          <w:rFonts w:hint="eastAsia" w:ascii="宋体" w:hAnsi="宋体" w:eastAsia="宋体" w:cs="宋体"/>
          <w:b/>
          <w:bCs/>
          <w:sz w:val="24"/>
          <w:szCs w:val="24"/>
          <w:highlight w:val="none"/>
        </w:rPr>
        <w:outlineLvl w:val="1"/>
      </w:pPr>
      <w:r/>
      <w:bookmarkStart w:id="5" w:name="_Toc7953"/>
      <w:r>
        <w:rPr>
          <w:rFonts w:hint="eastAsia" w:ascii="宋体" w:hAnsi="宋体" w:eastAsia="宋体" w:cs="宋体"/>
          <w:b/>
          <w:bCs/>
          <w:sz w:val="24"/>
          <w:szCs w:val="24"/>
          <w:highlight w:val="none"/>
        </w:rPr>
        <w:t xml:space="preserve">二、申请人的资质要求</w:t>
      </w:r>
      <w:bookmarkEnd w:id="5"/>
      <w:r>
        <w:rPr>
          <w:rFonts w:hint="eastAsia" w:ascii="宋体" w:hAnsi="宋体" w:eastAsia="宋体" w:cs="宋体"/>
          <w:b/>
          <w:bCs/>
          <w:sz w:val="24"/>
          <w:szCs w:val="24"/>
          <w:highlight w:val="none"/>
        </w:rPr>
      </w:r>
      <w:r/>
    </w:p>
    <w:p>
      <w:pPr>
        <w:pStyle w:val="1033"/>
        <w:ind w:firstLine="442"/>
        <w:jc w:val="left"/>
        <w:spacing w:before="0" w:after="0"/>
        <w:tabs>
          <w:tab w:val="left" w:pos="0" w:leader="none"/>
        </w:tabs>
        <w:rPr>
          <w:rFonts w:hint="eastAsia" w:ascii="宋体" w:hAnsi="宋体" w:eastAsia="宋体" w:cs="宋体"/>
          <w:b/>
          <w:bCs/>
          <w:sz w:val="22"/>
          <w:szCs w:val="22"/>
          <w:highlight w:val="none"/>
        </w:rPr>
      </w:pPr>
      <w:r/>
      <w:bookmarkStart w:id="6" w:name="OLE_LINK10"/>
      <w:r>
        <w:rPr>
          <w:rFonts w:hint="eastAsia" w:ascii="宋体" w:hAnsi="宋体" w:eastAsia="宋体" w:cs="宋体"/>
          <w:b/>
          <w:bCs/>
          <w:sz w:val="22"/>
          <w:szCs w:val="22"/>
          <w:highlight w:val="none"/>
        </w:rPr>
        <w:t xml:space="preserve">（一）满足《中华人民共和国政府采购法》第二十二条规定：</w:t>
      </w:r>
      <w:r>
        <w:rPr>
          <w:rFonts w:hint="eastAsia" w:ascii="宋体" w:hAnsi="宋体" w:eastAsia="宋体" w:cs="宋体"/>
          <w:b/>
          <w:bCs/>
          <w:sz w:val="22"/>
          <w:szCs w:val="22"/>
          <w:highlight w:val="none"/>
        </w:rPr>
      </w:r>
      <w:r/>
    </w:p>
    <w:p>
      <w:pPr>
        <w:pStyle w:val="1033"/>
        <w:ind w:firstLine="440"/>
        <w:jc w:val="left"/>
        <w:spacing w:before="0" w:after="0"/>
        <w:tabs>
          <w:tab w:val="left" w:pos="0" w:leader="none"/>
        </w:tabs>
        <w:rPr>
          <w:rFonts w:hint="eastAsia" w:ascii="宋体" w:hAnsi="宋体" w:eastAsia="宋体" w:cs="宋体"/>
          <w:sz w:val="22"/>
          <w:szCs w:val="22"/>
          <w:highlight w:val="none"/>
        </w:rPr>
      </w:pPr>
      <w:r/>
      <w:bookmarkEnd w:id="6"/>
      <w:r>
        <w:rPr>
          <w:rFonts w:hint="eastAsia" w:ascii="宋体" w:hAnsi="宋体" w:eastAsia="宋体" w:cs="宋体"/>
          <w:sz w:val="22"/>
          <w:szCs w:val="22"/>
          <w:highlight w:val="none"/>
        </w:rPr>
        <w:t xml:space="preserve">1.具有独立承担民事责任的能力（提供法人或者其他组织的营业执照；供应商为自然人的，提供其身份证）； </w:t>
      </w:r>
      <w:r>
        <w:rPr>
          <w:rFonts w:hint="eastAsia" w:ascii="宋体" w:hAnsi="宋体" w:eastAsia="宋体" w:cs="宋体"/>
          <w:sz w:val="22"/>
          <w:szCs w:val="22"/>
          <w:highlight w:val="none"/>
        </w:rPr>
      </w:r>
      <w:r/>
    </w:p>
    <w:p>
      <w:pPr>
        <w:pStyle w:val="1033"/>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2025年度经审计的财务报告</w:t>
      </w:r>
      <w:r>
        <w:rPr>
          <w:rFonts w:hint="eastAsia" w:ascii="宋体" w:hAnsi="宋体" w:eastAsia="宋体" w:cs="宋体"/>
          <w:sz w:val="22"/>
          <w:szCs w:val="22"/>
          <w:highlight w:val="none"/>
          <w:lang w:eastAsia="zh-CN"/>
        </w:rPr>
        <w:t xml:space="preserve">复印件并加盖公章</w:t>
      </w:r>
      <w:r>
        <w:rPr>
          <w:rFonts w:hint="eastAsia" w:ascii="宋体" w:hAnsi="宋体" w:eastAsia="宋体" w:cs="宋体"/>
          <w:sz w:val="22"/>
          <w:szCs w:val="22"/>
          <w:highlight w:val="none"/>
        </w:rPr>
        <w:t xml:space="preserve">装订在投标文件中，否则视为未提供）；</w:t>
      </w:r>
      <w:r>
        <w:rPr>
          <w:rFonts w:hint="eastAsia" w:ascii="宋体" w:hAnsi="宋体" w:eastAsia="宋体" w:cs="宋体"/>
          <w:sz w:val="22"/>
          <w:szCs w:val="22"/>
          <w:highlight w:val="none"/>
        </w:rPr>
      </w:r>
      <w:r/>
    </w:p>
    <w:p>
      <w:pPr>
        <w:pStyle w:val="1033"/>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sz w:val="22"/>
          <w:szCs w:val="22"/>
          <w:highlight w:val="none"/>
        </w:rPr>
      </w:r>
      <w:r/>
    </w:p>
    <w:p>
      <w:pPr>
        <w:pStyle w:val="1033"/>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4.有依法缴纳税收和社会保障资金的良好记录（提供距开标时间六个月内任一月份的缴纳税收凭据</w:t>
      </w:r>
      <w:r>
        <w:rPr>
          <w:rFonts w:hint="eastAsia" w:ascii="宋体" w:hAnsi="宋体" w:eastAsia="宋体" w:cs="宋体"/>
          <w:sz w:val="22"/>
          <w:szCs w:val="22"/>
          <w:highlight w:val="none"/>
          <w:lang w:eastAsia="zh-CN"/>
        </w:rPr>
        <w:t xml:space="preserve">复印件并加盖公章</w:t>
      </w:r>
      <w:r>
        <w:rPr>
          <w:rFonts w:hint="eastAsia" w:ascii="宋体" w:hAnsi="宋体" w:eastAsia="宋体" w:cs="宋体"/>
          <w:sz w:val="22"/>
          <w:szCs w:val="22"/>
          <w:highlight w:val="none"/>
        </w:rPr>
        <w:t xml:space="preserve">（依法免税的应提供相应文件说明）；并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sz w:val="22"/>
          <w:szCs w:val="22"/>
          <w:highlight w:val="none"/>
        </w:rPr>
      </w:r>
      <w:r/>
    </w:p>
    <w:p>
      <w:pPr>
        <w:pStyle w:val="1033"/>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参加政府采购活动前三年内（成立时间不足三年的、自成立时间起），在经营活动中没有重大违法记录（提供声明函，格式自行编写。重大违法记录是指供应商因违法经营受到刑事处罚或责令停产停业、吊销许可证或者执照、较大数额罚款等行政处罚）；</w:t>
      </w:r>
      <w:r>
        <w:rPr>
          <w:rFonts w:hint="eastAsia" w:ascii="宋体" w:hAnsi="宋体" w:eastAsia="宋体" w:cs="宋体"/>
          <w:sz w:val="22"/>
          <w:szCs w:val="22"/>
          <w:highlight w:val="none"/>
        </w:rPr>
      </w:r>
      <w:r/>
    </w:p>
    <w:p>
      <w:pPr>
        <w:pStyle w:val="1033"/>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6.法律、行政法规规定的其他条件：无。</w:t>
      </w:r>
      <w:r>
        <w:rPr>
          <w:rFonts w:hint="eastAsia" w:ascii="宋体" w:hAnsi="宋体" w:eastAsia="宋体" w:cs="宋体"/>
          <w:sz w:val="22"/>
          <w:szCs w:val="22"/>
          <w:highlight w:val="none"/>
        </w:rPr>
      </w:r>
      <w:r/>
    </w:p>
    <w:p>
      <w:pPr>
        <w:pStyle w:val="1033"/>
        <w:ind w:firstLine="422"/>
        <w:jc w:val="left"/>
        <w:spacing w:before="0" w:after="0"/>
        <w:tabs>
          <w:tab w:val="left" w:pos="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（二）落实政府采购政策满足的资格要求：</w:t>
      </w:r>
      <w:r>
        <w:rPr>
          <w:rFonts w:hint="eastAsia" w:ascii="宋体" w:hAnsi="宋体" w:eastAsia="宋体" w:cs="宋体"/>
          <w:b/>
          <w:bCs/>
          <w:szCs w:val="21"/>
          <w:highlight w:val="none"/>
        </w:rPr>
      </w:r>
      <w:r/>
    </w:p>
    <w:p>
      <w:pPr>
        <w:pStyle w:val="1033"/>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1.中小企业扶持相关要求</w:t>
      </w:r>
      <w:r>
        <w:rPr>
          <w:rFonts w:hint="eastAsia" w:ascii="宋体" w:hAnsi="宋体" w:eastAsia="宋体" w:cs="宋体"/>
          <w:sz w:val="22"/>
          <w:szCs w:val="22"/>
          <w:highlight w:val="none"/>
        </w:rPr>
      </w:r>
      <w:r/>
    </w:p>
    <w:p>
      <w:pPr>
        <w:pStyle w:val="1033"/>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（1）是否专门面向中小微企业：</w:t>
      </w:r>
      <w:r>
        <w:rPr>
          <w:rFonts w:hint="eastAsia" w:ascii="宋体" w:hAnsi="宋体" w:eastAsia="宋体" w:cs="宋体"/>
          <w:sz w:val="22"/>
          <w:szCs w:val="22"/>
          <w:highlight w:val="none"/>
          <w:u w:val="single"/>
        </w:rPr>
        <w:t xml:space="preserve">本项目</w:t>
      </w:r>
      <w:r>
        <w:rPr>
          <w:rFonts w:hint="eastAsia" w:ascii="宋体" w:hAnsi="宋体" w:eastAsia="宋体" w:cs="宋体"/>
          <w:b/>
          <w:bCs/>
          <w:sz w:val="22"/>
          <w:szCs w:val="22"/>
          <w:highlight w:val="none"/>
          <w:u w:val="single"/>
        </w:rPr>
        <w:t xml:space="preserve">非专门面向中小微企业</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rPr>
      </w:r>
      <w:r/>
    </w:p>
    <w:p>
      <w:pPr>
        <w:pStyle w:val="1033"/>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（2）中小微企业划型标准严格对照《关于印发中小企业划型标准规定的通知》（工信部联企业〔2011〕300 号）执行（格式详见附件），本项目采购标的对应行业为</w:t>
      </w:r>
      <w:r>
        <w:rPr>
          <w:rFonts w:hint="eastAsia" w:ascii="宋体" w:hAnsi="宋体" w:eastAsia="宋体" w:cs="宋体"/>
          <w:sz w:val="22"/>
          <w:szCs w:val="22"/>
          <w:highlight w:val="none"/>
          <w:u w:val="single"/>
        </w:rPr>
        <w:t xml:space="preserve">工业</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rPr>
      </w:r>
      <w:r/>
    </w:p>
    <w:p>
      <w:pPr>
        <w:pStyle w:val="1033"/>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2.本国产品扶持相关要求</w:t>
      </w:r>
      <w:r>
        <w:rPr>
          <w:rFonts w:hint="eastAsia" w:ascii="宋体" w:hAnsi="宋体" w:eastAsia="宋体" w:cs="宋体"/>
          <w:sz w:val="22"/>
          <w:szCs w:val="22"/>
          <w:highlight w:val="none"/>
        </w:rPr>
      </w:r>
      <w:r/>
    </w:p>
    <w:p>
      <w:pPr>
        <w:pStyle w:val="1033"/>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（1）本项目对采购本国产品给予政策支持，具体内容见招标文件“第三章 评分标准”。</w:t>
      </w:r>
      <w:r>
        <w:rPr>
          <w:rFonts w:hint="eastAsia" w:ascii="宋体" w:hAnsi="宋体" w:eastAsia="宋体" w:cs="宋体"/>
          <w:sz w:val="22"/>
          <w:szCs w:val="22"/>
          <w:highlight w:val="none"/>
        </w:rPr>
      </w:r>
      <w:r/>
    </w:p>
    <w:p>
      <w:pPr>
        <w:pStyle w:val="1033"/>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（2）供应商须对所提供的本国产品出具《关于符合本国产品标准的声明函》（格式详见附件），并作为投标文件必备组成部分按要求提交。</w:t>
      </w:r>
      <w:r>
        <w:rPr>
          <w:rFonts w:hint="eastAsia" w:ascii="宋体" w:hAnsi="宋体" w:eastAsia="宋体" w:cs="宋体"/>
          <w:sz w:val="22"/>
          <w:szCs w:val="22"/>
          <w:highlight w:val="none"/>
        </w:rPr>
      </w:r>
      <w:r/>
    </w:p>
    <w:p>
      <w:pPr>
        <w:pStyle w:val="1033"/>
        <w:ind w:firstLine="422"/>
        <w:jc w:val="left"/>
        <w:spacing w:before="0" w:after="0"/>
        <w:tabs>
          <w:tab w:val="left" w:pos="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（三）本项目的特定资格要求：</w:t>
      </w:r>
      <w:r>
        <w:rPr>
          <w:rFonts w:hint="eastAsia" w:ascii="宋体" w:hAnsi="宋体" w:eastAsia="宋体" w:cs="宋体"/>
          <w:b/>
          <w:bCs/>
          <w:szCs w:val="21"/>
          <w:highlight w:val="none"/>
        </w:rPr>
      </w:r>
      <w:r/>
    </w:p>
    <w:p>
      <w:pPr>
        <w:pStyle w:val="1033"/>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1.本项目</w:t>
      </w:r>
      <w:r>
        <w:rPr>
          <w:rFonts w:hint="eastAsia" w:ascii="宋体" w:hAnsi="宋体" w:eastAsia="宋体" w:cs="宋体"/>
          <w:b/>
          <w:bCs/>
          <w:sz w:val="22"/>
          <w:szCs w:val="22"/>
          <w:highlight w:val="none"/>
          <w:u w:val="single"/>
        </w:rPr>
        <w:t xml:space="preserve">不接受</w:t>
      </w:r>
      <w:r>
        <w:rPr>
          <w:rFonts w:hint="eastAsia" w:ascii="宋体" w:hAnsi="宋体" w:eastAsia="宋体" w:cs="宋体"/>
          <w:sz w:val="22"/>
          <w:szCs w:val="22"/>
          <w:highlight w:val="none"/>
        </w:rPr>
        <w:t xml:space="preserve">进口产品投标（本文件所称进口产品是指通过中国海关报关验放进入中国境内且产自关境外的完整产品，不含构成产品的零散零件、部件）。</w:t>
      </w:r>
      <w:r>
        <w:rPr>
          <w:rFonts w:hint="eastAsia" w:ascii="宋体" w:hAnsi="宋体" w:eastAsia="宋体" w:cs="宋体"/>
          <w:sz w:val="22"/>
          <w:szCs w:val="22"/>
          <w:highlight w:val="none"/>
        </w:rPr>
      </w:r>
      <w:r/>
    </w:p>
    <w:p>
      <w:pPr>
        <w:pStyle w:val="1033"/>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本项目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rPr>
          <w:rFonts w:hint="eastAsia" w:ascii="宋体" w:hAnsi="宋体" w:eastAsia="宋体" w:cs="宋体"/>
          <w:sz w:val="22"/>
          <w:szCs w:val="22"/>
          <w:highlight w:val="none"/>
        </w:rPr>
      </w:r>
      <w:r/>
    </w:p>
    <w:p>
      <w:pPr>
        <w:pStyle w:val="1033"/>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3.其他要求：</w:t>
      </w:r>
      <w:r>
        <w:rPr>
          <w:rFonts w:hint="eastAsia" w:ascii="宋体" w:hAnsi="宋体" w:eastAsia="宋体" w:cs="宋体"/>
          <w:sz w:val="22"/>
          <w:szCs w:val="22"/>
          <w:highlight w:val="none"/>
        </w:rPr>
      </w:r>
      <w:r/>
    </w:p>
    <w:p>
      <w:pPr>
        <w:pStyle w:val="1033"/>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（1）供应商在参加政府采购活动前3年内因违法经营被禁止在一定期限内参加政府采购活动，期限届满的，可以参加政府采购活动。</w:t>
      </w:r>
      <w:r>
        <w:rPr>
          <w:rFonts w:hint="eastAsia" w:ascii="宋体" w:hAnsi="宋体" w:eastAsia="宋体" w:cs="宋体"/>
          <w:sz w:val="22"/>
          <w:szCs w:val="22"/>
          <w:highlight w:val="none"/>
        </w:rPr>
      </w:r>
      <w:r/>
    </w:p>
    <w:p>
      <w:pPr>
        <w:pStyle w:val="1033"/>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（2）单位负责人为同一人或者存在直接控股、管理关系的不同供应商，不得参加同一合同项下的政府采购活动。</w:t>
      </w:r>
      <w:r>
        <w:rPr>
          <w:rFonts w:hint="eastAsia" w:ascii="宋体" w:hAnsi="宋体" w:eastAsia="宋体" w:cs="宋体"/>
          <w:sz w:val="22"/>
          <w:szCs w:val="22"/>
          <w:highlight w:val="none"/>
        </w:rPr>
      </w:r>
      <w:r/>
    </w:p>
    <w:p>
      <w:pPr>
        <w:pStyle w:val="1033"/>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（3）为采购项目提供整体设计、规范编制或者项目管理、监理、检测等服务的供应商，不得再参加该采购项目的其他采购活动。</w:t>
      </w:r>
      <w:r>
        <w:rPr>
          <w:rFonts w:hint="eastAsia" w:ascii="宋体" w:hAnsi="宋体" w:eastAsia="宋体" w:cs="宋体"/>
          <w:sz w:val="22"/>
          <w:szCs w:val="22"/>
          <w:highlight w:val="none"/>
        </w:rPr>
      </w:r>
      <w:r/>
    </w:p>
    <w:p>
      <w:pPr>
        <w:pStyle w:val="1033"/>
        <w:jc w:val="left"/>
        <w:spacing w:before="0" w:after="0"/>
        <w:tabs>
          <w:tab w:val="left" w:pos="0" w:leader="none"/>
        </w:tabs>
        <w:rPr>
          <w:rFonts w:hint="eastAsia" w:ascii="宋体" w:hAnsi="宋体" w:eastAsia="宋体" w:cs="宋体"/>
          <w:sz w:val="24"/>
          <w:szCs w:val="24"/>
          <w:highlight w:val="none"/>
        </w:rPr>
        <w:outlineLvl w:val="1"/>
      </w:pPr>
      <w:r/>
      <w:bookmarkStart w:id="7" w:name="_Toc5055"/>
      <w:r>
        <w:rPr>
          <w:rFonts w:hint="eastAsia" w:ascii="宋体" w:hAnsi="宋体" w:eastAsia="宋体" w:cs="宋体"/>
          <w:b/>
          <w:bCs/>
          <w:sz w:val="24"/>
          <w:szCs w:val="24"/>
          <w:highlight w:val="none"/>
        </w:rPr>
        <w:t xml:space="preserve">三、招标文件发售信息</w:t>
      </w:r>
      <w:bookmarkEnd w:id="7"/>
      <w:r>
        <w:rPr>
          <w:rFonts w:hint="eastAsia" w:ascii="宋体" w:hAnsi="宋体" w:eastAsia="宋体" w:cs="宋体"/>
          <w:sz w:val="24"/>
          <w:szCs w:val="24"/>
          <w:highlight w:val="none"/>
        </w:rPr>
      </w:r>
      <w:r/>
    </w:p>
    <w:p>
      <w:pPr>
        <w:pStyle w:val="1033"/>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1.时间：自招标文件公告发布之日起5个工作日。</w:t>
      </w:r>
      <w:r>
        <w:rPr>
          <w:rFonts w:hint="eastAsia" w:ascii="宋体" w:hAnsi="宋体" w:eastAsia="宋体" w:cs="宋体"/>
          <w:sz w:val="22"/>
          <w:szCs w:val="22"/>
          <w:highlight w:val="none"/>
        </w:rPr>
      </w:r>
      <w:r/>
    </w:p>
    <w:p>
      <w:pPr>
        <w:pStyle w:val="1033"/>
        <w:ind w:firstLine="440"/>
        <w:jc w:val="left"/>
        <w:spacing w:before="0" w:after="0"/>
        <w:tabs>
          <w:tab w:val="left" w:pos="0" w:leader="none"/>
        </w:tabs>
        <w:rPr>
          <w:rFonts w:hint="eastAsia" w:ascii="宋体" w:hAnsi="宋体" w:eastAsia="宋体" w:cs="宋体"/>
          <w:sz w:val="22"/>
          <w:szCs w:val="22"/>
          <w:highlight w:val="none"/>
        </w:rPr>
      </w:pPr>
      <w:r/>
      <w:bookmarkStart w:id="8" w:name="OLE_LINK20"/>
      <w:r>
        <w:rPr>
          <w:rFonts w:hint="eastAsia" w:ascii="宋体" w:hAnsi="宋体" w:eastAsia="宋体" w:cs="宋体"/>
          <w:sz w:val="22"/>
          <w:szCs w:val="22"/>
          <w:highlight w:val="none"/>
        </w:rPr>
        <w:t xml:space="preserve">2.地址：江苏政府采购“苏采云”系统自行免费下载。</w:t>
      </w:r>
      <w:r>
        <w:rPr>
          <w:rFonts w:hint="eastAsia" w:ascii="宋体" w:hAnsi="宋体" w:eastAsia="宋体" w:cs="宋体"/>
          <w:sz w:val="22"/>
          <w:szCs w:val="22"/>
          <w:highlight w:val="none"/>
        </w:rPr>
      </w:r>
      <w:r/>
    </w:p>
    <w:p>
      <w:pPr>
        <w:pStyle w:val="1033"/>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3.方式：供应商登陆“江苏政府采购网”，在网站首页点击“苏采云”使用CA锁登录系统（新用户需进行“平台用户注册”）“项目参与”进行登记，在“可参与项目”中选择“我要参与”，参与成功后</w:t>
      </w:r>
      <w:r>
        <w:rPr>
          <w:rFonts w:hint="eastAsia" w:ascii="宋体" w:hAnsi="宋体" w:eastAsia="宋体" w:cs="宋体"/>
          <w:sz w:val="22"/>
          <w:szCs w:val="22"/>
          <w:highlight w:val="none"/>
          <w:lang w:eastAsia="zh-CN"/>
        </w:rPr>
        <w:t xml:space="preserve">，到</w:t>
      </w:r>
      <w:r>
        <w:rPr>
          <w:rFonts w:hint="eastAsia" w:ascii="宋体" w:hAnsi="宋体" w:eastAsia="宋体" w:cs="宋体"/>
          <w:sz w:val="22"/>
          <w:szCs w:val="22"/>
          <w:highlight w:val="none"/>
        </w:rPr>
        <w:t xml:space="preserve">“已参与项目”界面中找到该项目下载文件并进行操作。</w:t>
      </w:r>
      <w:r>
        <w:rPr>
          <w:rFonts w:hint="eastAsia" w:ascii="宋体" w:hAnsi="宋体" w:eastAsia="宋体" w:cs="宋体"/>
          <w:sz w:val="22"/>
          <w:szCs w:val="22"/>
          <w:highlight w:val="none"/>
        </w:rPr>
      </w:r>
      <w:r/>
    </w:p>
    <w:p>
      <w:pPr>
        <w:pStyle w:val="1033"/>
        <w:ind w:firstLine="440"/>
        <w:jc w:val="left"/>
        <w:spacing w:before="0" w:after="0"/>
        <w:tabs>
          <w:tab w:val="left" w:pos="0" w:leader="none"/>
        </w:tabs>
        <w:rPr>
          <w:rFonts w:hint="eastAsia" w:ascii="宋体" w:hAnsi="宋体" w:eastAsia="宋体" w:cs="宋体"/>
          <w:sz w:val="22"/>
          <w:szCs w:val="22"/>
          <w:highlight w:val="none"/>
        </w:rPr>
      </w:pPr>
      <w:r/>
      <w:bookmarkEnd w:id="8"/>
      <w:r>
        <w:rPr>
          <w:rFonts w:hint="eastAsia" w:ascii="宋体" w:hAnsi="宋体" w:eastAsia="宋体" w:cs="宋体"/>
          <w:sz w:val="22"/>
          <w:szCs w:val="22"/>
          <w:highlight w:val="none"/>
        </w:rPr>
        <w:t xml:space="preserve">4.售价：0.00元，售出不退。</w:t>
      </w:r>
      <w:r>
        <w:rPr>
          <w:rFonts w:hint="eastAsia" w:ascii="宋体" w:hAnsi="宋体" w:eastAsia="宋体" w:cs="宋体"/>
          <w:sz w:val="22"/>
          <w:szCs w:val="22"/>
          <w:highlight w:val="none"/>
        </w:rPr>
      </w:r>
      <w:r/>
    </w:p>
    <w:p>
      <w:pPr>
        <w:pStyle w:val="1033"/>
        <w:spacing w:before="0" w:after="0"/>
        <w:rPr>
          <w:rFonts w:hint="eastAsia" w:ascii="宋体" w:hAnsi="宋体" w:eastAsia="宋体" w:cs="宋体"/>
          <w:b/>
          <w:bCs/>
          <w:sz w:val="22"/>
          <w:szCs w:val="22"/>
          <w:highlight w:val="none"/>
        </w:rPr>
        <w:outlineLvl w:val="1"/>
      </w:pPr>
      <w:r/>
      <w:bookmarkStart w:id="9" w:name="_Toc28678"/>
      <w:r>
        <w:rPr>
          <w:rFonts w:hint="eastAsia" w:ascii="宋体" w:hAnsi="宋体" w:eastAsia="宋体" w:cs="宋体"/>
          <w:b/>
          <w:sz w:val="24"/>
          <w:szCs w:val="24"/>
          <w:highlight w:val="none"/>
        </w:rPr>
        <w:t xml:space="preserve">四、</w:t>
      </w:r>
      <w:bookmarkStart w:id="10" w:name="OLE_LINK16"/>
      <w:r>
        <w:rPr>
          <w:rFonts w:hint="eastAsia" w:ascii="宋体" w:hAnsi="宋体" w:eastAsia="宋体" w:cs="宋体"/>
          <w:b/>
          <w:bCs/>
          <w:sz w:val="24"/>
          <w:szCs w:val="24"/>
          <w:highlight w:val="none"/>
        </w:rPr>
        <w:t xml:space="preserve">提交投标文件截止时间</w:t>
      </w:r>
      <w:bookmarkEnd w:id="10"/>
      <w:r>
        <w:rPr>
          <w:rFonts w:hint="eastAsia" w:ascii="宋体" w:hAnsi="宋体" w:eastAsia="宋体" w:cs="宋体"/>
          <w:b/>
          <w:bCs/>
          <w:sz w:val="24"/>
          <w:szCs w:val="24"/>
          <w:highlight w:val="none"/>
        </w:rPr>
        <w:t xml:space="preserve">、开标时间和地点</w:t>
      </w:r>
      <w:bookmarkEnd w:id="9"/>
      <w:r>
        <w:rPr>
          <w:rFonts w:hint="eastAsia" w:ascii="宋体" w:hAnsi="宋体" w:eastAsia="宋体" w:cs="宋体"/>
          <w:b/>
          <w:bCs/>
          <w:sz w:val="22"/>
          <w:szCs w:val="22"/>
          <w:highlight w:val="none"/>
        </w:rPr>
      </w:r>
      <w:r/>
    </w:p>
    <w:p>
      <w:pPr>
        <w:pStyle w:val="1033"/>
        <w:ind w:firstLine="440"/>
        <w:spacing w:before="0" w:after="0"/>
        <w:rPr>
          <w:rFonts w:hint="eastAsia" w:ascii="宋体" w:hAnsi="宋体" w:eastAsia="宋体" w:cs="宋体"/>
          <w:sz w:val="22"/>
          <w:szCs w:val="22"/>
          <w:highlight w:val="none"/>
        </w:rPr>
      </w:pPr>
      <w:r/>
      <w:bookmarkStart w:id="11" w:name="OLE_LINK17"/>
      <w:r>
        <w:rPr>
          <w:rFonts w:hint="eastAsia" w:ascii="宋体" w:hAnsi="宋体" w:eastAsia="宋体" w:cs="宋体"/>
          <w:sz w:val="22"/>
          <w:szCs w:val="22"/>
          <w:highlight w:val="none"/>
        </w:rPr>
        <w:t xml:space="preserve">1.提交投标文件截止时间：</w:t>
      </w:r>
      <w:r>
        <w:rPr>
          <w:rFonts w:hint="eastAsia" w:ascii="宋体" w:hAnsi="宋体" w:eastAsia="宋体" w:cs="宋体"/>
          <w:color w:val="c00000"/>
          <w:sz w:val="22"/>
          <w:szCs w:val="22"/>
          <w:highlight w:val="none"/>
        </w:rPr>
        <w:t xml:space="preserve">2026年</w:t>
      </w:r>
      <w:r>
        <w:rPr>
          <w:rFonts w:hint="eastAsia" w:ascii="宋体" w:hAnsi="宋体" w:eastAsia="宋体" w:cs="宋体"/>
          <w:color w:val="c00000"/>
          <w:sz w:val="22"/>
          <w:szCs w:val="22"/>
          <w:highlight w:val="none"/>
          <w:lang w:eastAsia="zh-CN"/>
        </w:rPr>
        <w:t xml:space="preserve">11月5日9:30</w:t>
      </w:r>
      <w:r>
        <w:rPr>
          <w:rFonts w:hint="eastAsia" w:ascii="宋体" w:hAnsi="宋体" w:eastAsia="宋体" w:cs="宋体"/>
          <w:sz w:val="22"/>
          <w:szCs w:val="22"/>
          <w:highlight w:val="none"/>
        </w:rPr>
        <w:t xml:space="preserve">（北京时间）</w:t>
      </w:r>
      <w:r>
        <w:rPr>
          <w:rFonts w:hint="eastAsia" w:ascii="宋体" w:hAnsi="宋体" w:eastAsia="宋体" w:cs="宋体"/>
          <w:sz w:val="22"/>
          <w:szCs w:val="22"/>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2.开标时间：</w:t>
      </w:r>
      <w:r>
        <w:rPr>
          <w:rFonts w:hint="eastAsia" w:ascii="宋体" w:hAnsi="宋体" w:eastAsia="宋体" w:cs="宋体"/>
          <w:color w:val="c00000"/>
          <w:sz w:val="22"/>
          <w:szCs w:val="22"/>
          <w:highlight w:val="none"/>
        </w:rPr>
        <w:t xml:space="preserve">2026年</w:t>
      </w:r>
      <w:r>
        <w:rPr>
          <w:rFonts w:hint="eastAsia" w:ascii="宋体" w:hAnsi="宋体" w:eastAsia="宋体" w:cs="宋体"/>
          <w:color w:val="c00000"/>
          <w:sz w:val="22"/>
          <w:szCs w:val="22"/>
          <w:highlight w:val="none"/>
          <w:lang w:eastAsia="zh-CN"/>
        </w:rPr>
        <w:t xml:space="preserve">11月5日9:30</w:t>
      </w:r>
      <w:r>
        <w:rPr>
          <w:rFonts w:hint="eastAsia" w:ascii="宋体" w:hAnsi="宋体" w:eastAsia="宋体" w:cs="宋体"/>
          <w:sz w:val="22"/>
          <w:szCs w:val="22"/>
          <w:highlight w:val="none"/>
        </w:rPr>
        <w:t xml:space="preserve">（北京时间）</w:t>
      </w:r>
      <w:r>
        <w:rPr>
          <w:rFonts w:hint="eastAsia" w:ascii="宋体" w:hAnsi="宋体" w:eastAsia="宋体" w:cs="宋体"/>
          <w:sz w:val="22"/>
          <w:szCs w:val="22"/>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3.地址：“苏采云”政府采购交易系统网上开标大厅。</w:t>
      </w:r>
      <w:r>
        <w:rPr>
          <w:rFonts w:hint="eastAsia" w:ascii="宋体" w:hAnsi="宋体" w:eastAsia="宋体" w:cs="宋体"/>
          <w:sz w:val="22"/>
          <w:szCs w:val="22"/>
          <w:highlight w:val="none"/>
        </w:rPr>
      </w:r>
      <w:r/>
    </w:p>
    <w:p>
      <w:pPr>
        <w:pStyle w:val="1033"/>
        <w:spacing w:before="0" w:after="0"/>
        <w:rPr>
          <w:rFonts w:hint="eastAsia" w:ascii="宋体" w:hAnsi="宋体" w:eastAsia="宋体" w:cs="宋体"/>
          <w:b/>
          <w:bCs/>
          <w:sz w:val="24"/>
          <w:szCs w:val="24"/>
          <w:highlight w:val="none"/>
        </w:rPr>
        <w:outlineLvl w:val="1"/>
      </w:pPr>
      <w:r/>
      <w:bookmarkStart w:id="12" w:name="_Toc23081"/>
      <w:r>
        <w:rPr>
          <w:rFonts w:hint="eastAsia" w:ascii="宋体" w:hAnsi="宋体" w:eastAsia="宋体" w:cs="宋体"/>
          <w:b/>
          <w:bCs/>
          <w:sz w:val="24"/>
          <w:szCs w:val="24"/>
          <w:highlight w:val="none"/>
        </w:rPr>
        <w:t xml:space="preserve">五、公告期限</w:t>
      </w:r>
      <w:bookmarkEnd w:id="12"/>
      <w:r>
        <w:rPr>
          <w:rFonts w:hint="eastAsia" w:ascii="宋体" w:hAnsi="宋体" w:eastAsia="宋体" w:cs="宋体"/>
          <w:b/>
          <w:bCs/>
          <w:sz w:val="24"/>
          <w:szCs w:val="24"/>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招标公告及招标文件公告期限为自本公告发布之日起5个工作日。</w:t>
      </w:r>
      <w:r>
        <w:rPr>
          <w:rFonts w:hint="eastAsia" w:ascii="宋体" w:hAnsi="宋体" w:eastAsia="宋体" w:cs="宋体"/>
          <w:sz w:val="22"/>
          <w:szCs w:val="22"/>
          <w:highlight w:val="none"/>
        </w:rPr>
      </w:r>
      <w:r/>
    </w:p>
    <w:p>
      <w:pPr>
        <w:pStyle w:val="1033"/>
        <w:spacing w:before="0" w:after="0"/>
        <w:rPr>
          <w:rFonts w:hint="eastAsia" w:ascii="宋体" w:hAnsi="宋体" w:eastAsia="宋体" w:cs="宋体"/>
          <w:b/>
          <w:bCs/>
          <w:sz w:val="24"/>
          <w:szCs w:val="24"/>
          <w:highlight w:val="none"/>
        </w:rPr>
        <w:outlineLvl w:val="1"/>
      </w:pPr>
      <w:r/>
      <w:bookmarkStart w:id="13" w:name="_Toc21768"/>
      <w:r>
        <w:rPr>
          <w:rFonts w:hint="eastAsia" w:ascii="宋体" w:hAnsi="宋体" w:eastAsia="宋体" w:cs="宋体"/>
          <w:b/>
          <w:bCs/>
          <w:sz w:val="24"/>
          <w:szCs w:val="24"/>
          <w:highlight w:val="none"/>
        </w:rPr>
        <w:t xml:space="preserve">六、其他补充事宜</w:t>
      </w:r>
      <w:bookmarkEnd w:id="13"/>
      <w:r>
        <w:rPr>
          <w:rFonts w:hint="eastAsia" w:ascii="宋体" w:hAnsi="宋体" w:eastAsia="宋体" w:cs="宋体"/>
          <w:b/>
          <w:bCs/>
          <w:sz w:val="24"/>
          <w:szCs w:val="24"/>
          <w:highlight w:val="none"/>
        </w:rPr>
      </w:r>
      <w:r/>
    </w:p>
    <w:p>
      <w:pPr>
        <w:pStyle w:val="1033"/>
        <w:ind w:firstLine="440"/>
        <w:jc w:val="left"/>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//www.ccgp-jiangsu.gov.cn/jiangsu/zlxz/ee/ee3a4bc5a3454aa2b0d9312230633ce9.html。</w:t>
      </w:r>
      <w:r>
        <w:rPr>
          <w:rFonts w:hint="eastAsia" w:ascii="宋体" w:hAnsi="宋体" w:eastAsia="宋体" w:cs="宋体"/>
          <w:sz w:val="22"/>
          <w:szCs w:val="22"/>
          <w:highlight w:val="none"/>
        </w:rPr>
      </w:r>
      <w:r/>
    </w:p>
    <w:p>
      <w:pPr>
        <w:pStyle w:val="1033"/>
        <w:ind w:firstLine="440"/>
        <w:jc w:val="left"/>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在“一企来办”专栏下“政府采购”模块详细了解关于CA办理、标书制作、开标投标指引等事宜。</w:t>
      </w:r>
      <w:r>
        <w:rPr>
          <w:rFonts w:hint="eastAsia" w:ascii="宋体" w:hAnsi="宋体" w:eastAsia="宋体" w:cs="宋体"/>
          <w:sz w:val="22"/>
          <w:szCs w:val="22"/>
          <w:highlight w:val="none"/>
        </w:rPr>
      </w:r>
      <w:r/>
    </w:p>
    <w:p>
      <w:pPr>
        <w:pStyle w:val="1033"/>
        <w:ind w:firstLine="440"/>
        <w:jc w:val="left"/>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sz w:val="22"/>
          <w:szCs w:val="22"/>
          <w:highlight w:val="none"/>
        </w:rPr>
      </w:r>
      <w:r/>
    </w:p>
    <w:p>
      <w:pPr>
        <w:pStyle w:val="1033"/>
        <w:ind w:firstLine="440"/>
        <w:jc w:val="left"/>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请供应商在开标前登录谷歌浏览器进入不见面大厅，并准备好耳麦和摄像设备，操作系统至少</w:t>
      </w:r>
      <w:r>
        <w:rPr>
          <w:rFonts w:hint="eastAsia" w:ascii="宋体" w:hAnsi="宋体" w:eastAsia="宋体" w:cs="宋体"/>
          <w:sz w:val="22"/>
          <w:szCs w:val="22"/>
          <w:highlight w:val="none"/>
          <w:lang w:eastAsia="zh-CN"/>
        </w:rPr>
        <w:t xml:space="preserve">为win7</w:t>
      </w:r>
      <w:r>
        <w:rPr>
          <w:rFonts w:hint="eastAsia" w:ascii="宋体" w:hAnsi="宋体" w:eastAsia="宋体" w:cs="宋体"/>
          <w:sz w:val="22"/>
          <w:szCs w:val="22"/>
          <w:highlight w:val="none"/>
        </w:rPr>
        <w:t xml:space="preserve">，建议使用win10操作系统。因供应商网络与电源不稳定、未按要求配置上述设备、上述设备发生故障等自身原因导致的后果，由供应商自行承担。</w:t>
      </w:r>
      <w:r>
        <w:rPr>
          <w:rFonts w:hint="eastAsia" w:ascii="宋体" w:hAnsi="宋体" w:eastAsia="宋体" w:cs="宋体"/>
          <w:sz w:val="22"/>
          <w:szCs w:val="22"/>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本次招标请按“包”下载招标文件，编制、密封、提交投标文件，并按“包”开标、评标。</w:t>
      </w:r>
      <w:r>
        <w:rPr>
          <w:rFonts w:hint="eastAsia" w:ascii="宋体" w:hAnsi="宋体" w:eastAsia="宋体" w:cs="宋体"/>
          <w:sz w:val="22"/>
          <w:szCs w:val="22"/>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w:t>
      </w:r>
      <w:r>
        <w:rPr>
          <w:rFonts w:hint="eastAsia" w:ascii="宋体" w:hAnsi="宋体" w:eastAsia="宋体" w:cs="宋体"/>
          <w:sz w:val="24"/>
          <w:szCs w:val="24"/>
          <w:highlight w:val="none"/>
        </w:rPr>
        <w:t xml:space="preserve">.</w:t>
      </w:r>
      <w:r>
        <w:rPr>
          <w:rFonts w:hint="eastAsia" w:ascii="宋体" w:hAnsi="宋体" w:eastAsia="宋体" w:cs="宋体"/>
          <w:sz w:val="22"/>
          <w:szCs w:val="22"/>
          <w:highlight w:val="none"/>
        </w:rPr>
        <w:t xml:space="preserve">公告媒体：本招</w:t>
      </w:r>
      <w:bookmarkStart w:id="14" w:name="OLE_LINK13"/>
      <w:r>
        <w:rPr>
          <w:rFonts w:hint="eastAsia" w:ascii="宋体" w:hAnsi="宋体" w:eastAsia="宋体" w:cs="宋体"/>
          <w:sz w:val="22"/>
          <w:szCs w:val="22"/>
          <w:highlight w:val="none"/>
        </w:rPr>
        <w:t xml:space="preserve">标公告在江苏政府采购网（http</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//www.ccgp-jiangsu.gov.cn/）公示发布，敬请各投标人关注。有关本次招标的事项若存在变动或修改，敬请及时关注江苏海外集团国际工程咨询有限公司在“江苏政府采购网”发布的更正公告。</w:t>
      </w:r>
      <w:r>
        <w:rPr>
          <w:rFonts w:hint="eastAsia" w:ascii="宋体" w:hAnsi="宋体" w:eastAsia="宋体" w:cs="宋体"/>
          <w:sz w:val="22"/>
          <w:szCs w:val="22"/>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采购项目需要落实的政府采购政策情况：本项目执行《政府采购促进中小企业发展暂行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相关文件。</w:t>
      </w:r>
      <w:r>
        <w:rPr>
          <w:rFonts w:hint="eastAsia" w:ascii="宋体" w:hAnsi="宋体" w:eastAsia="宋体" w:cs="宋体"/>
          <w:sz w:val="22"/>
          <w:szCs w:val="22"/>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4.投标保证金数额及缴纳办法：本次招标不收取投标保证金。</w:t>
      </w:r>
      <w:r>
        <w:rPr>
          <w:rFonts w:hint="eastAsia" w:ascii="宋体" w:hAnsi="宋体" w:eastAsia="宋体" w:cs="宋体"/>
          <w:sz w:val="22"/>
          <w:szCs w:val="22"/>
          <w:highlight w:val="none"/>
        </w:rPr>
      </w:r>
      <w:r/>
    </w:p>
    <w:p>
      <w:pPr>
        <w:pStyle w:val="1033"/>
        <w:ind w:firstLine="440"/>
        <w:spacing w:before="0" w:after="0"/>
        <w:rPr>
          <w:rFonts w:hint="eastAsia" w:ascii="宋体" w:hAnsi="宋体" w:eastAsia="宋体" w:cs="宋体"/>
          <w:sz w:val="22"/>
          <w:szCs w:val="22"/>
          <w:highlight w:val="none"/>
          <w:lang w:eastAsia="zh-CN"/>
        </w:rPr>
      </w:pPr>
      <w:r/>
      <w:bookmarkEnd w:id="14"/>
      <w:r/>
      <w:bookmarkStart w:id="15" w:name="OLE_LINK21"/>
      <w:r>
        <w:rPr>
          <w:rFonts w:hint="eastAsia" w:ascii="宋体" w:hAnsi="宋体" w:eastAsia="宋体" w:cs="宋体"/>
          <w:sz w:val="22"/>
          <w:szCs w:val="22"/>
          <w:highlight w:val="none"/>
        </w:rPr>
        <w:t xml:space="preserve">5.本项目代理机构内部编号：</w:t>
      </w:r>
      <w:r>
        <w:rPr>
          <w:rFonts w:hint="eastAsia" w:ascii="宋体" w:hAnsi="宋体" w:eastAsia="宋体" w:cs="宋体"/>
          <w:sz w:val="22"/>
          <w:szCs w:val="22"/>
          <w:highlight w:val="none"/>
          <w:lang w:eastAsia="zh-CN"/>
        </w:rPr>
        <w:t xml:space="preserve">0675-266JOC004659</w:t>
      </w:r>
      <w:r>
        <w:rPr>
          <w:rFonts w:hint="eastAsia" w:ascii="宋体" w:hAnsi="宋体" w:eastAsia="宋体" w:cs="宋体"/>
          <w:sz w:val="22"/>
          <w:szCs w:val="22"/>
          <w:highlight w:val="none"/>
          <w:lang w:eastAsia="zh-CN"/>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w:t>
      </w:r>
      <w:bookmarkEnd w:id="11"/>
      <w:r/>
      <w:bookmarkEnd w:id="15"/>
      <w:r>
        <w:rPr>
          <w:rFonts w:hint="eastAsia" w:ascii="宋体" w:hAnsi="宋体" w:eastAsia="宋体" w:cs="宋体"/>
          <w:sz w:val="22"/>
          <w:szCs w:val="22"/>
          <w:highlight w:val="none"/>
        </w:rPr>
        <w:t xml:space="preserve">获取招标文件咨询联系方式：</w:t>
      </w:r>
      <w:r>
        <w:rPr>
          <w:rFonts w:hint="eastAsia" w:ascii="宋体" w:hAnsi="宋体" w:eastAsia="宋体" w:cs="宋体"/>
          <w:sz w:val="22"/>
          <w:szCs w:val="22"/>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联系人：吴昊</w:t>
      </w:r>
      <w:r>
        <w:rPr>
          <w:rFonts w:hint="eastAsia" w:ascii="宋体" w:hAnsi="宋体" w:eastAsia="宋体" w:cs="宋体"/>
          <w:sz w:val="22"/>
          <w:szCs w:val="22"/>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电话：025-84795433</w:t>
      </w:r>
      <w:r>
        <w:rPr>
          <w:rFonts w:hint="eastAsia" w:ascii="宋体" w:hAnsi="宋体" w:eastAsia="宋体" w:cs="宋体"/>
          <w:sz w:val="22"/>
          <w:szCs w:val="22"/>
          <w:highlight w:val="none"/>
        </w:rPr>
        <w:t xml:space="preserve">/5991</w:t>
      </w:r>
      <w:r>
        <w:rPr>
          <w:rFonts w:hint="eastAsia" w:ascii="宋体" w:hAnsi="宋体" w:eastAsia="宋体" w:cs="宋体"/>
          <w:sz w:val="22"/>
          <w:szCs w:val="22"/>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邮箱：wh@jocite.com</w:t>
      </w:r>
      <w:r>
        <w:rPr>
          <w:rFonts w:hint="eastAsia" w:ascii="宋体" w:hAnsi="宋体" w:eastAsia="宋体" w:cs="宋体"/>
          <w:sz w:val="22"/>
          <w:szCs w:val="22"/>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地址：南京市建邺区云龙山路58号大唐科技大厦A座高区15楼</w:t>
      </w:r>
      <w:r>
        <w:rPr>
          <w:rFonts w:hint="eastAsia" w:ascii="宋体" w:hAnsi="宋体" w:eastAsia="宋体" w:cs="宋体"/>
          <w:sz w:val="22"/>
          <w:szCs w:val="22"/>
          <w:highlight w:val="none"/>
        </w:rPr>
      </w:r>
      <w:r/>
    </w:p>
    <w:p>
      <w:pPr>
        <w:pStyle w:val="1033"/>
        <w:spacing w:before="0" w:after="0"/>
        <w:rPr>
          <w:rFonts w:hint="eastAsia" w:ascii="宋体" w:hAnsi="宋体" w:eastAsia="宋体" w:cs="宋体"/>
          <w:b/>
          <w:bCs/>
          <w:sz w:val="24"/>
          <w:szCs w:val="24"/>
          <w:highlight w:val="none"/>
        </w:rPr>
        <w:outlineLvl w:val="1"/>
      </w:pPr>
      <w:r/>
      <w:bookmarkStart w:id="16" w:name="_Toc22017"/>
      <w:r>
        <w:rPr>
          <w:rFonts w:hint="eastAsia" w:ascii="宋体" w:hAnsi="宋体" w:eastAsia="宋体" w:cs="宋体"/>
          <w:b/>
          <w:bCs/>
          <w:sz w:val="24"/>
          <w:szCs w:val="24"/>
          <w:highlight w:val="none"/>
        </w:rPr>
        <w:t xml:space="preserve">七、对本次招标提出询问，请按以下方式联系</w:t>
      </w:r>
      <w:bookmarkEnd w:id="16"/>
      <w:r>
        <w:rPr>
          <w:rFonts w:hint="eastAsia" w:ascii="宋体" w:hAnsi="宋体" w:eastAsia="宋体" w:cs="宋体"/>
          <w:b/>
          <w:bCs/>
          <w:sz w:val="24"/>
          <w:szCs w:val="24"/>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1.采购人信息</w:t>
      </w:r>
      <w:r>
        <w:rPr>
          <w:rFonts w:hint="eastAsia" w:ascii="宋体" w:hAnsi="宋体" w:eastAsia="宋体" w:cs="宋体"/>
          <w:sz w:val="22"/>
          <w:szCs w:val="22"/>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名称：江苏省特种设备安全监督检验研究院</w:t>
      </w:r>
      <w:r>
        <w:rPr>
          <w:rFonts w:hint="eastAsia" w:ascii="宋体" w:hAnsi="宋体" w:eastAsia="宋体" w:cs="宋体"/>
          <w:sz w:val="22"/>
          <w:szCs w:val="22"/>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地址：江苏省南京市鼓楼区草场门大街107号龙江大厦</w:t>
      </w:r>
      <w:r>
        <w:rPr>
          <w:rFonts w:hint="eastAsia" w:ascii="宋体" w:hAnsi="宋体" w:eastAsia="宋体" w:cs="宋体"/>
          <w:sz w:val="22"/>
          <w:szCs w:val="22"/>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联系人：李风华   </w:t>
      </w:r>
      <w:r>
        <w:rPr>
          <w:rFonts w:hint="eastAsia" w:ascii="宋体" w:hAnsi="宋体" w:eastAsia="宋体" w:cs="宋体"/>
          <w:sz w:val="22"/>
          <w:szCs w:val="22"/>
          <w:highlight w:val="none"/>
        </w:rPr>
      </w:r>
      <w:r/>
    </w:p>
    <w:p>
      <w:pPr>
        <w:pStyle w:val="1033"/>
        <w:ind w:firstLine="440"/>
        <w:spacing w:before="0" w:after="0"/>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联系电话：025-</w:t>
      </w:r>
      <w:r>
        <w:rPr>
          <w:rFonts w:hint="eastAsia" w:ascii="宋体" w:hAnsi="宋体" w:eastAsia="宋体" w:cs="宋体"/>
          <w:sz w:val="22"/>
          <w:szCs w:val="22"/>
          <w:highlight w:val="none"/>
          <w:lang w:eastAsia="zh-CN"/>
        </w:rPr>
        <w:t xml:space="preserve">89621099</w:t>
      </w:r>
      <w:r>
        <w:rPr>
          <w:rFonts w:hint="eastAsia" w:ascii="宋体" w:hAnsi="宋体" w:eastAsia="宋体" w:cs="宋体"/>
          <w:sz w:val="22"/>
          <w:szCs w:val="22"/>
          <w:highlight w:val="none"/>
          <w:lang w:eastAsia="zh-CN"/>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2.采购代理机构信息</w:t>
      </w:r>
      <w:r>
        <w:rPr>
          <w:rFonts w:hint="eastAsia" w:ascii="宋体" w:hAnsi="宋体" w:eastAsia="宋体" w:cs="宋体"/>
          <w:sz w:val="22"/>
          <w:szCs w:val="22"/>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名称：江苏海外集团国际工程咨询有限公司</w:t>
      </w:r>
      <w:r>
        <w:rPr>
          <w:rFonts w:hint="eastAsia" w:ascii="宋体" w:hAnsi="宋体" w:eastAsia="宋体" w:cs="宋体"/>
          <w:sz w:val="22"/>
          <w:szCs w:val="22"/>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地址：南京市建邺区云龙山路58号大唐科技大厦A座高区14-15楼</w:t>
      </w:r>
      <w:r>
        <w:rPr>
          <w:rFonts w:hint="eastAsia" w:ascii="宋体" w:hAnsi="宋体" w:eastAsia="宋体" w:cs="宋体"/>
          <w:sz w:val="22"/>
          <w:szCs w:val="22"/>
          <w:highlight w:val="none"/>
        </w:rPr>
      </w:r>
      <w:r/>
    </w:p>
    <w:p>
      <w:pPr>
        <w:pStyle w:val="1033"/>
        <w:ind w:firstLine="440"/>
        <w:jc w:val="left"/>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联系人：吴昊、方东、郭秀华</w:t>
      </w:r>
      <w:r>
        <w:rPr>
          <w:rFonts w:hint="eastAsia" w:ascii="宋体" w:hAnsi="宋体" w:eastAsia="宋体" w:cs="宋体"/>
          <w:sz w:val="22"/>
          <w:szCs w:val="22"/>
          <w:highlight w:val="none"/>
        </w:rPr>
      </w:r>
      <w:r/>
    </w:p>
    <w:p>
      <w:pPr>
        <w:pStyle w:val="1033"/>
        <w:ind w:firstLine="440"/>
        <w:jc w:val="left"/>
        <w:spacing w:before="0" w:after="0"/>
        <w:rPr>
          <w:rFonts w:hint="eastAsia" w:ascii="宋体" w:hAnsi="宋体" w:eastAsia="宋体" w:cs="宋体"/>
          <w:highlight w:val="none"/>
        </w:rPr>
        <w:sectPr>
          <w:headerReference w:type="default" r:id="rId11"/>
          <w:footerReference w:type="default" r:id="rId15"/>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2"/>
          <w:szCs w:val="22"/>
          <w:highlight w:val="none"/>
        </w:rPr>
        <w:t xml:space="preserve">联系电话：025-84795433</w:t>
      </w:r>
      <w:bookmarkStart w:id="17" w:name="_Toc17198"/>
      <w:r/>
      <w:bookmarkStart w:id="18" w:name="_Toc24439"/>
      <w:r>
        <w:rPr>
          <w:rFonts w:hint="eastAsia" w:ascii="宋体" w:hAnsi="宋体" w:eastAsia="宋体" w:cs="宋体"/>
          <w:highlight w:val="none"/>
        </w:rPr>
      </w:r>
      <w:r/>
    </w:p>
    <w:p>
      <w:pPr>
        <w:pStyle w:val="1033"/>
        <w:ind w:firstLine="643"/>
        <w:jc w:val="center"/>
        <w:spacing w:before="0" w:after="0"/>
        <w:rPr>
          <w:rFonts w:hint="eastAsia" w:ascii="宋体" w:hAnsi="宋体" w:eastAsia="宋体" w:cs="宋体"/>
          <w:highlight w:val="none"/>
        </w:rPr>
      </w:pPr>
      <w:r/>
      <w:bookmarkStart w:id="19" w:name="_Toc26117"/>
      <w:r>
        <w:rPr>
          <w:rStyle w:val="1045"/>
          <w:rFonts w:hint="eastAsia" w:ascii="宋体" w:hAnsi="宋体" w:eastAsia="宋体" w:cs="宋体"/>
          <w:highlight w:val="none"/>
        </w:rPr>
        <w:t xml:space="preserve">第二章 投标人须知</w:t>
      </w:r>
      <w:bookmarkEnd w:id="17"/>
      <w:r/>
      <w:bookmarkEnd w:id="18"/>
      <w:r/>
      <w:bookmarkEnd w:id="19"/>
      <w:r>
        <w:rPr>
          <w:rFonts w:hint="eastAsia" w:ascii="宋体" w:hAnsi="宋体" w:eastAsia="宋体" w:cs="宋体"/>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江苏海外集团国际工程咨询有限公司（以下简称“采购代理机构”）受江苏省特种设备安全监督检验研究院（采购单位名称，以下简称“采购人”）委托，就</w:t>
      </w:r>
      <w:r>
        <w:rPr>
          <w:rFonts w:hint="eastAsia" w:ascii="宋体" w:hAnsi="宋体" w:eastAsia="宋体" w:cs="宋体"/>
          <w:sz w:val="22"/>
          <w:szCs w:val="22"/>
          <w:highlight w:val="none"/>
          <w:lang w:eastAsia="zh-CN"/>
        </w:rPr>
        <w:t xml:space="preserve">江苏省特检院老旧设备更新项目-机电类检验检测设备采购（全站仪等设备）</w:t>
      </w:r>
      <w:r>
        <w:rPr>
          <w:rFonts w:hint="eastAsia" w:ascii="宋体" w:hAnsi="宋体" w:eastAsia="宋体" w:cs="宋体"/>
          <w:sz w:val="22"/>
          <w:szCs w:val="22"/>
          <w:highlight w:val="none"/>
        </w:rPr>
        <w:t xml:space="preserve">采用公开招标方式采购，兹邀请符合资格条件的投标人提交投标文件和相关材料。</w:t>
      </w:r>
      <w:r>
        <w:rPr>
          <w:rFonts w:hint="eastAsia" w:ascii="宋体" w:hAnsi="宋体" w:eastAsia="宋体" w:cs="宋体"/>
          <w:sz w:val="22"/>
          <w:szCs w:val="22"/>
          <w:highlight w:val="none"/>
        </w:rPr>
      </w:r>
      <w:r/>
    </w:p>
    <w:p>
      <w:pPr>
        <w:pStyle w:val="1035"/>
        <w:jc w:val="center"/>
        <w:rPr>
          <w:rFonts w:hint="eastAsia" w:eastAsia="宋体" w:cs="宋体"/>
          <w:sz w:val="24"/>
          <w:highlight w:val="none"/>
        </w:rPr>
      </w:pPr>
      <w:r/>
      <w:bookmarkStart w:id="20" w:name="_Toc1569"/>
      <w:r>
        <w:rPr>
          <w:rFonts w:hint="eastAsia" w:eastAsia="宋体" w:cs="宋体"/>
          <w:sz w:val="24"/>
          <w:highlight w:val="none"/>
        </w:rPr>
        <w:t xml:space="preserve">投标人须知前附表：</w:t>
      </w:r>
      <w:bookmarkEnd w:id="20"/>
      <w:r>
        <w:rPr>
          <w:rFonts w:hint="eastAsia" w:eastAsia="宋体" w:cs="宋体"/>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285"/>
        <w:gridCol w:w="6361"/>
      </w:tblGrid>
      <w:tr>
        <w:trPr>
          <w:cantSplit/>
          <w:tblHeader/>
        </w:trPr>
        <w:tc>
          <w:tcPr>
            <w:tcW w:w="809" w:type="dxa"/>
            <w:vAlign w:val="center"/>
            <w:textDirection w:val="lrTb"/>
            <w:noWrap w:val="false"/>
          </w:tcPr>
          <w:p>
            <w:pPr>
              <w:pStyle w:val="1033"/>
              <w:jc w:val="center"/>
              <w:spacing w:before="0" w:after="0" w:line="300" w:lineRule="auto"/>
              <w:rPr>
                <w:rFonts w:hint="eastAsia" w:ascii="宋体" w:hAnsi="宋体" w:eastAsia="宋体" w:cs="宋体"/>
                <w:b/>
                <w:bCs/>
                <w:sz w:val="22"/>
                <w:highlight w:val="none"/>
              </w:rPr>
            </w:pPr>
            <w:r>
              <w:rPr>
                <w:rFonts w:hint="eastAsia" w:ascii="宋体" w:hAnsi="宋体" w:eastAsia="宋体" w:cs="宋体"/>
                <w:b/>
                <w:bCs/>
                <w:sz w:val="22"/>
                <w:highlight w:val="none"/>
              </w:rPr>
              <w:t xml:space="preserve">序号</w:t>
            </w:r>
            <w:r>
              <w:rPr>
                <w:rFonts w:hint="eastAsia" w:ascii="宋体" w:hAnsi="宋体" w:eastAsia="宋体" w:cs="宋体"/>
                <w:b/>
                <w:bCs/>
                <w:sz w:val="22"/>
                <w:highlight w:val="none"/>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b/>
                <w:bCs/>
                <w:sz w:val="22"/>
                <w:highlight w:val="none"/>
              </w:rPr>
            </w:pPr>
            <w:r>
              <w:rPr>
                <w:rFonts w:hint="eastAsia" w:ascii="宋体" w:hAnsi="宋体" w:eastAsia="宋体" w:cs="宋体"/>
                <w:b/>
                <w:bCs/>
                <w:sz w:val="22"/>
                <w:highlight w:val="none"/>
              </w:rPr>
              <w:t xml:space="preserve">项目</w:t>
            </w:r>
            <w:r>
              <w:rPr>
                <w:rFonts w:hint="eastAsia" w:ascii="宋体" w:hAnsi="宋体" w:eastAsia="宋体" w:cs="宋体"/>
                <w:b/>
                <w:bCs/>
                <w:sz w:val="22"/>
                <w:highlight w:val="none"/>
              </w:rPr>
            </w:r>
            <w:r/>
          </w:p>
        </w:tc>
        <w:tc>
          <w:tcPr>
            <w:tcW w:w="6361" w:type="dxa"/>
            <w:vAlign w:val="center"/>
            <w:textDirection w:val="lrTb"/>
            <w:noWrap w:val="false"/>
          </w:tcPr>
          <w:p>
            <w:pPr>
              <w:pStyle w:val="1033"/>
              <w:jc w:val="center"/>
              <w:spacing w:before="0" w:after="0" w:line="300" w:lineRule="auto"/>
              <w:rPr>
                <w:rFonts w:hint="eastAsia" w:ascii="宋体" w:hAnsi="宋体" w:eastAsia="宋体" w:cs="宋体"/>
                <w:b/>
                <w:bCs/>
                <w:sz w:val="22"/>
                <w:highlight w:val="none"/>
              </w:rPr>
            </w:pPr>
            <w:r>
              <w:rPr>
                <w:rFonts w:hint="eastAsia" w:ascii="宋体" w:hAnsi="宋体" w:eastAsia="宋体" w:cs="宋体"/>
                <w:b/>
                <w:bCs/>
                <w:sz w:val="22"/>
                <w:highlight w:val="none"/>
              </w:rPr>
              <w:t xml:space="preserve">具体内容</w:t>
            </w:r>
            <w:r>
              <w:rPr>
                <w:rFonts w:hint="eastAsia" w:ascii="宋体" w:hAnsi="宋体" w:eastAsia="宋体" w:cs="宋体"/>
                <w:b/>
                <w:bCs/>
                <w:sz w:val="22"/>
                <w:highlight w:val="none"/>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w:t>
            </w:r>
            <w:r>
              <w:rPr>
                <w:rFonts w:hint="eastAsia" w:ascii="宋体" w:hAnsi="宋体" w:eastAsia="宋体" w:cs="宋体"/>
                <w:sz w:val="22"/>
                <w:highlight w:val="none"/>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项目名称</w:t>
            </w:r>
            <w:r>
              <w:rPr>
                <w:rFonts w:hint="eastAsia" w:ascii="宋体" w:hAnsi="宋体" w:eastAsia="宋体" w:cs="宋体"/>
                <w:sz w:val="22"/>
                <w:highlight w:val="none"/>
              </w:rPr>
            </w:r>
            <w:r/>
          </w:p>
        </w:tc>
        <w:tc>
          <w:tcPr>
            <w:tcW w:w="6361" w:type="dxa"/>
            <w:vAlign w:val="center"/>
            <w:textDirection w:val="lrTb"/>
            <w:noWrap w:val="false"/>
          </w:tcPr>
          <w:p>
            <w:pPr>
              <w:pStyle w:val="1033"/>
              <w:spacing w:before="0" w:after="0" w:line="300" w:lineRule="auto"/>
              <w:rPr>
                <w:rFonts w:hint="eastAsia" w:ascii="宋体" w:hAnsi="宋体" w:eastAsia="宋体" w:cs="宋体"/>
                <w:sz w:val="22"/>
                <w:highlight w:val="none"/>
                <w:lang w:eastAsia="zh-CN"/>
              </w:rPr>
            </w:pPr>
            <w:r>
              <w:rPr>
                <w:rFonts w:hint="eastAsia" w:ascii="宋体" w:hAnsi="宋体" w:eastAsia="宋体" w:cs="宋体"/>
                <w:sz w:val="22"/>
                <w:highlight w:val="none"/>
                <w:lang w:eastAsia="zh-CN"/>
              </w:rPr>
              <w:t xml:space="preserve">江苏省特检院老旧设备更新项目-机电类检验检测设备采购（全站仪等设备）</w:t>
            </w:r>
            <w:r>
              <w:rPr>
                <w:rFonts w:hint="eastAsia" w:ascii="宋体" w:hAnsi="宋体" w:eastAsia="宋体" w:cs="宋体"/>
                <w:sz w:val="22"/>
                <w:highlight w:val="none"/>
                <w:lang w:eastAsia="zh-CN"/>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2</w:t>
            </w:r>
            <w:r>
              <w:rPr>
                <w:rFonts w:hint="eastAsia" w:ascii="宋体" w:hAnsi="宋体" w:eastAsia="宋体" w:cs="宋体"/>
                <w:sz w:val="22"/>
                <w:highlight w:val="none"/>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采购方式</w:t>
            </w:r>
            <w:r>
              <w:rPr>
                <w:rFonts w:hint="eastAsia" w:ascii="宋体" w:hAnsi="宋体" w:eastAsia="宋体" w:cs="宋体"/>
                <w:sz w:val="22"/>
                <w:highlight w:val="none"/>
              </w:rPr>
            </w:r>
            <w:r/>
          </w:p>
        </w:tc>
        <w:tc>
          <w:tcPr>
            <w:tcW w:w="6361" w:type="dxa"/>
            <w:vAlign w:val="center"/>
            <w:textDirection w:val="lrTb"/>
            <w:noWrap w:val="false"/>
          </w:tcPr>
          <w:p>
            <w:pPr>
              <w:pStyle w:val="1033"/>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公开招标</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3</w:t>
            </w:r>
            <w:r>
              <w:rPr>
                <w:rFonts w:hint="eastAsia" w:ascii="宋体" w:hAnsi="宋体" w:eastAsia="宋体" w:cs="宋体"/>
                <w:sz w:val="22"/>
                <w:highlight w:val="none"/>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项目编号</w:t>
            </w:r>
            <w:r>
              <w:rPr>
                <w:rFonts w:hint="eastAsia" w:ascii="宋体" w:hAnsi="宋体" w:eastAsia="宋体" w:cs="宋体"/>
                <w:sz w:val="22"/>
                <w:highlight w:val="none"/>
              </w:rPr>
            </w:r>
            <w:r/>
          </w:p>
        </w:tc>
        <w:tc>
          <w:tcPr>
            <w:tcW w:w="6361" w:type="dxa"/>
            <w:vAlign w:val="center"/>
            <w:textDirection w:val="lrTb"/>
            <w:noWrap w:val="false"/>
          </w:tcPr>
          <w:p>
            <w:pPr>
              <w:pStyle w:val="1033"/>
              <w:spacing w:before="0" w:after="0" w:line="300" w:lineRule="auto"/>
              <w:rPr>
                <w:rFonts w:hint="eastAsia" w:ascii="宋体" w:hAnsi="宋体" w:eastAsia="宋体" w:cs="宋体"/>
                <w:sz w:val="22"/>
                <w:highlight w:val="none"/>
                <w:lang w:eastAsia="zh-CN"/>
              </w:rPr>
            </w:pPr>
            <w:r>
              <w:rPr>
                <w:rFonts w:hint="eastAsia" w:ascii="宋体" w:hAnsi="宋体" w:eastAsia="宋体" w:cs="宋体"/>
                <w:sz w:val="22"/>
                <w:highlight w:val="none"/>
              </w:rPr>
              <w:t xml:space="preserve">项目编号：</w:t>
            </w:r>
            <w:r>
              <w:rPr>
                <w:rFonts w:hint="eastAsia" w:ascii="宋体" w:hAnsi="宋体" w:eastAsia="宋体" w:cs="宋体"/>
                <w:sz w:val="22"/>
                <w:highlight w:val="none"/>
                <w:lang w:eastAsia="zh-CN"/>
              </w:rPr>
              <w:t xml:space="preserve">JSZC-320000-HWZX-G2026-0625</w:t>
            </w:r>
            <w:r>
              <w:rPr>
                <w:rFonts w:hint="eastAsia" w:ascii="宋体" w:hAnsi="宋体" w:eastAsia="宋体" w:cs="宋体"/>
                <w:sz w:val="22"/>
                <w:highlight w:val="none"/>
                <w:lang w:eastAsia="zh-CN"/>
              </w:rPr>
            </w:r>
            <w:r/>
          </w:p>
          <w:p>
            <w:pPr>
              <w:pStyle w:val="1033"/>
              <w:spacing w:before="0" w:after="0" w:line="300" w:lineRule="auto"/>
              <w:rPr>
                <w:rFonts w:hint="eastAsia" w:ascii="宋体" w:hAnsi="宋体" w:eastAsia="宋体" w:cs="宋体"/>
                <w:sz w:val="22"/>
                <w:highlight w:val="none"/>
                <w:lang w:eastAsia="zh-CN"/>
              </w:rPr>
            </w:pPr>
            <w:r>
              <w:rPr>
                <w:rFonts w:hint="eastAsia" w:ascii="宋体" w:hAnsi="宋体" w:eastAsia="宋体" w:cs="宋体"/>
                <w:sz w:val="22"/>
                <w:highlight w:val="none"/>
              </w:rPr>
              <w:t xml:space="preserve">代理机构内部编号：</w:t>
            </w:r>
            <w:r>
              <w:rPr>
                <w:rFonts w:hint="eastAsia" w:ascii="宋体" w:hAnsi="宋体" w:eastAsia="宋体" w:cs="宋体"/>
                <w:sz w:val="22"/>
                <w:highlight w:val="none"/>
                <w:lang w:eastAsia="zh-CN"/>
              </w:rPr>
              <w:t xml:space="preserve">0675-266JOC004659</w:t>
            </w:r>
            <w:r>
              <w:rPr>
                <w:rFonts w:hint="eastAsia" w:ascii="宋体" w:hAnsi="宋体" w:eastAsia="宋体" w:cs="宋体"/>
                <w:sz w:val="22"/>
                <w:highlight w:val="none"/>
                <w:lang w:eastAsia="zh-CN"/>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4</w:t>
            </w:r>
            <w:r>
              <w:rPr>
                <w:rFonts w:hint="eastAsia" w:ascii="宋体" w:hAnsi="宋体" w:eastAsia="宋体" w:cs="宋体"/>
                <w:sz w:val="22"/>
                <w:highlight w:val="none"/>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lang w:eastAsia="zh-CN"/>
              </w:rPr>
              <w:t xml:space="preserve">采购</w:t>
            </w:r>
            <w:r>
              <w:rPr>
                <w:rFonts w:hint="eastAsia" w:ascii="宋体" w:hAnsi="宋体" w:eastAsia="宋体" w:cs="宋体"/>
                <w:sz w:val="22"/>
                <w:highlight w:val="none"/>
              </w:rPr>
              <w:t xml:space="preserve">分包</w:t>
            </w:r>
            <w:r>
              <w:rPr>
                <w:rFonts w:hint="eastAsia" w:ascii="宋体" w:hAnsi="宋体" w:eastAsia="宋体" w:cs="宋体"/>
                <w:sz w:val="22"/>
                <w:highlight w:val="none"/>
              </w:rPr>
            </w:r>
            <w:r/>
          </w:p>
        </w:tc>
        <w:tc>
          <w:tcPr>
            <w:tcW w:w="6361" w:type="dxa"/>
            <w:vAlign w:val="center"/>
            <w:textDirection w:val="lrTb"/>
            <w:noWrap w:val="false"/>
          </w:tcPr>
          <w:p>
            <w:pPr>
              <w:pStyle w:val="1033"/>
              <w:spacing w:before="0" w:after="0" w:line="300" w:lineRule="auto"/>
              <w:rPr>
                <w:rFonts w:ascii="宋体" w:hAnsi="宋体" w:eastAsia="宋体" w:cs="宋体"/>
                <w:sz w:val="22"/>
                <w:highlight w:val="none"/>
              </w:rPr>
            </w:pPr>
            <w:r>
              <w:rPr>
                <w:rFonts w:hint="eastAsia" w:ascii="宋体" w:hAnsi="宋体" w:eastAsia="宋体" w:cs="宋体"/>
                <w:sz w:val="22"/>
                <w:highlight w:val="none"/>
                <w:lang w:eastAsia="zh-CN"/>
              </w:rPr>
              <w:t xml:space="preserve">采购分包1</w:t>
            </w:r>
            <w:r>
              <w:rPr>
                <w:rFonts w:ascii="宋体" w:hAnsi="宋体" w:eastAsia="宋体" w:cs="宋体"/>
                <w:sz w:val="22"/>
                <w:highlight w:val="none"/>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5</w:t>
            </w:r>
            <w:r>
              <w:rPr>
                <w:rFonts w:hint="eastAsia" w:ascii="宋体" w:hAnsi="宋体" w:eastAsia="宋体" w:cs="宋体"/>
                <w:sz w:val="22"/>
                <w:highlight w:val="none"/>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采购代理</w:t>
            </w:r>
            <w:r>
              <w:rPr>
                <w:rFonts w:hint="eastAsia" w:ascii="宋体" w:hAnsi="宋体" w:eastAsia="宋体" w:cs="宋体"/>
                <w:sz w:val="22"/>
                <w:highlight w:val="none"/>
              </w:rPr>
            </w:r>
            <w:r/>
          </w:p>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机构</w:t>
            </w:r>
            <w:r>
              <w:rPr>
                <w:rFonts w:hint="eastAsia" w:ascii="宋体" w:hAnsi="宋体" w:eastAsia="宋体" w:cs="宋体"/>
                <w:sz w:val="22"/>
                <w:highlight w:val="none"/>
              </w:rPr>
            </w:r>
            <w:r/>
          </w:p>
        </w:tc>
        <w:tc>
          <w:tcPr>
            <w:tcW w:w="6361" w:type="dxa"/>
            <w:vAlign w:val="center"/>
            <w:textDirection w:val="lrTb"/>
            <w:noWrap w:val="false"/>
          </w:tcPr>
          <w:p>
            <w:pPr>
              <w:pStyle w:val="1033"/>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江苏海外集团国际工程咨询有限公司</w:t>
            </w:r>
            <w:r>
              <w:rPr>
                <w:rFonts w:hint="eastAsia" w:ascii="宋体" w:hAnsi="宋体" w:eastAsia="宋体" w:cs="宋体"/>
                <w:sz w:val="22"/>
                <w:highlight w:val="none"/>
              </w:rPr>
            </w:r>
            <w:r/>
          </w:p>
          <w:p>
            <w:pPr>
              <w:pStyle w:val="1033"/>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项目负责人：方东</w:t>
            </w:r>
            <w:r>
              <w:rPr>
                <w:rFonts w:hint="eastAsia" w:ascii="宋体" w:hAnsi="宋体" w:eastAsia="宋体" w:cs="宋体"/>
                <w:sz w:val="22"/>
                <w:highlight w:val="none"/>
              </w:rPr>
            </w:r>
            <w:r/>
          </w:p>
          <w:p>
            <w:pPr>
              <w:pStyle w:val="1033"/>
              <w:spacing w:before="0" w:after="0" w:line="300" w:lineRule="auto"/>
              <w:rPr>
                <w:rFonts w:ascii="宋体" w:hAnsi="宋体" w:eastAsia="宋体" w:cs="宋体"/>
                <w:sz w:val="22"/>
                <w:highlight w:val="none"/>
              </w:rPr>
            </w:pPr>
            <w:r>
              <w:rPr>
                <w:rFonts w:hint="eastAsia" w:ascii="宋体" w:hAnsi="宋体" w:eastAsia="宋体" w:cs="宋体"/>
                <w:sz w:val="22"/>
                <w:highlight w:val="none"/>
              </w:rPr>
              <w:t xml:space="preserve">电话：025-84795433/15195998576</w:t>
            </w:r>
            <w:r>
              <w:rPr>
                <w:rFonts w:ascii="宋体" w:hAnsi="宋体" w:eastAsia="宋体" w:cs="宋体"/>
                <w:sz w:val="22"/>
                <w:highlight w:val="none"/>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6</w:t>
            </w:r>
            <w:r>
              <w:rPr>
                <w:rFonts w:hint="eastAsia" w:ascii="宋体" w:hAnsi="宋体" w:eastAsia="宋体" w:cs="宋体"/>
                <w:sz w:val="22"/>
                <w:highlight w:val="none"/>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采购人</w:t>
            </w:r>
            <w:r>
              <w:rPr>
                <w:rFonts w:hint="eastAsia" w:ascii="宋体" w:hAnsi="宋体" w:eastAsia="宋体" w:cs="宋体"/>
                <w:sz w:val="22"/>
                <w:highlight w:val="none"/>
              </w:rPr>
            </w:r>
            <w:r/>
          </w:p>
        </w:tc>
        <w:tc>
          <w:tcPr>
            <w:tcW w:w="6361" w:type="dxa"/>
            <w:vAlign w:val="center"/>
            <w:textDirection w:val="lrTb"/>
            <w:noWrap w:val="false"/>
          </w:tcPr>
          <w:p>
            <w:pPr>
              <w:pStyle w:val="1033"/>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江苏省特种设备安全监督检验研究院</w:t>
            </w:r>
            <w:r>
              <w:rPr>
                <w:rFonts w:hint="eastAsia" w:ascii="宋体" w:hAnsi="宋体" w:eastAsia="宋体" w:cs="宋体"/>
                <w:sz w:val="22"/>
                <w:highlight w:val="none"/>
              </w:rPr>
            </w:r>
            <w:r/>
          </w:p>
          <w:p>
            <w:pPr>
              <w:pStyle w:val="1033"/>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联系人：李风华         </w:t>
            </w:r>
            <w:r>
              <w:rPr>
                <w:rFonts w:hint="eastAsia" w:ascii="宋体" w:hAnsi="宋体" w:eastAsia="宋体" w:cs="宋体"/>
                <w:sz w:val="22"/>
                <w:highlight w:val="none"/>
              </w:rPr>
            </w:r>
            <w:r/>
          </w:p>
          <w:p>
            <w:pPr>
              <w:pStyle w:val="1033"/>
              <w:spacing w:before="0" w:after="0" w:line="300" w:lineRule="auto"/>
              <w:rPr>
                <w:rFonts w:hint="eastAsia" w:ascii="宋体" w:hAnsi="宋体" w:eastAsia="宋体" w:cs="宋体"/>
                <w:sz w:val="22"/>
                <w:highlight w:val="none"/>
                <w:lang w:eastAsia="zh-CN"/>
              </w:rPr>
            </w:pPr>
            <w:r>
              <w:rPr>
                <w:rFonts w:hint="eastAsia" w:ascii="宋体" w:hAnsi="宋体" w:eastAsia="宋体" w:cs="宋体"/>
                <w:sz w:val="22"/>
                <w:highlight w:val="none"/>
              </w:rPr>
              <w:t xml:space="preserve">电话：025-</w:t>
            </w:r>
            <w:r>
              <w:rPr>
                <w:rFonts w:hint="eastAsia" w:ascii="宋体" w:hAnsi="宋体" w:eastAsia="宋体" w:cs="宋体"/>
                <w:sz w:val="22"/>
                <w:highlight w:val="none"/>
                <w:lang w:eastAsia="zh-CN"/>
              </w:rPr>
              <w:t xml:space="preserve">89621099</w:t>
            </w:r>
            <w:r>
              <w:rPr>
                <w:rFonts w:hint="eastAsia" w:ascii="宋体" w:hAnsi="宋体" w:eastAsia="宋体" w:cs="宋体"/>
                <w:sz w:val="22"/>
                <w:highlight w:val="none"/>
                <w:lang w:eastAsia="zh-CN"/>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7</w:t>
            </w:r>
            <w:r>
              <w:rPr>
                <w:rFonts w:hint="eastAsia" w:ascii="宋体" w:hAnsi="宋体" w:eastAsia="宋体" w:cs="宋体"/>
                <w:sz w:val="22"/>
                <w:highlight w:val="none"/>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预算金额</w:t>
            </w:r>
            <w:r>
              <w:rPr>
                <w:rFonts w:hint="eastAsia" w:ascii="宋体" w:hAnsi="宋体" w:eastAsia="宋体" w:cs="宋体"/>
                <w:sz w:val="22"/>
                <w:highlight w:val="none"/>
              </w:rPr>
            </w:r>
            <w:r/>
          </w:p>
        </w:tc>
        <w:tc>
          <w:tcPr>
            <w:tcW w:w="6361" w:type="dxa"/>
            <w:vAlign w:val="center"/>
            <w:textDirection w:val="lrTb"/>
            <w:noWrap w:val="false"/>
          </w:tcPr>
          <w:p>
            <w:pPr>
              <w:pStyle w:val="1033"/>
              <w:spacing w:before="0" w:after="0" w:line="300" w:lineRule="auto"/>
              <w:rPr>
                <w:rFonts w:hint="eastAsia" w:ascii="宋体" w:hAnsi="宋体" w:eastAsia="宋体" w:cs="宋体"/>
                <w:sz w:val="22"/>
                <w:highlight w:val="none"/>
                <w:lang w:val="en-US" w:eastAsia="zh-CN"/>
              </w:rPr>
            </w:pPr>
            <w:r>
              <w:rPr>
                <w:rFonts w:hint="eastAsia" w:ascii="宋体" w:hAnsi="宋体" w:eastAsia="宋体" w:cs="宋体"/>
                <w:sz w:val="22"/>
                <w:highlight w:val="none"/>
              </w:rPr>
              <w:t xml:space="preserve">人民币</w:t>
            </w:r>
            <w:r>
              <w:rPr>
                <w:rFonts w:hint="eastAsia" w:ascii="宋体" w:hAnsi="宋体" w:eastAsia="宋体" w:cs="宋体"/>
                <w:sz w:val="22"/>
                <w:highlight w:val="none"/>
                <w:lang w:eastAsia="zh-CN"/>
              </w:rPr>
              <w:t xml:space="preserve">78.8万</w:t>
            </w:r>
            <w:r>
              <w:rPr>
                <w:rFonts w:hint="eastAsia" w:ascii="宋体" w:hAnsi="宋体" w:eastAsia="宋体" w:cs="宋体"/>
                <w:sz w:val="22"/>
                <w:highlight w:val="none"/>
              </w:rPr>
              <w:t xml:space="preserve">元</w:t>
            </w:r>
            <w:r>
              <w:rPr>
                <w:rFonts w:hint="eastAsia" w:ascii="宋体" w:hAnsi="宋体" w:eastAsia="宋体" w:cs="宋体"/>
                <w:sz w:val="22"/>
                <w:highlight w:val="none"/>
                <w:lang w:val="en-US" w:eastAsia="zh-CN"/>
              </w:rPr>
              <w:t xml:space="preserve">。</w:t>
            </w:r>
            <w:r>
              <w:rPr>
                <w:rFonts w:hint="eastAsia" w:ascii="宋体" w:hAnsi="宋体" w:eastAsia="宋体" w:cs="宋体"/>
                <w:sz w:val="22"/>
                <w:highlight w:val="none"/>
                <w:lang w:val="en-US" w:eastAsia="zh-CN"/>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8</w:t>
            </w:r>
            <w:r>
              <w:rPr>
                <w:rFonts w:hint="eastAsia" w:ascii="宋体" w:hAnsi="宋体" w:eastAsia="宋体" w:cs="宋体"/>
                <w:sz w:val="22"/>
                <w:highlight w:val="none"/>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最高限价</w:t>
            </w:r>
            <w:r>
              <w:rPr>
                <w:rFonts w:hint="eastAsia" w:ascii="宋体" w:hAnsi="宋体" w:eastAsia="宋体" w:cs="宋体"/>
                <w:sz w:val="22"/>
                <w:highlight w:val="none"/>
              </w:rPr>
            </w:r>
            <w:r/>
          </w:p>
        </w:tc>
        <w:tc>
          <w:tcPr>
            <w:tcW w:w="6361" w:type="dxa"/>
            <w:vAlign w:val="center"/>
            <w:textDirection w:val="lrTb"/>
            <w:noWrap w:val="false"/>
          </w:tcPr>
          <w:p>
            <w:pPr>
              <w:pStyle w:val="1033"/>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人民币</w:t>
            </w:r>
            <w:r>
              <w:rPr>
                <w:rFonts w:hint="eastAsia" w:ascii="宋体" w:hAnsi="宋体" w:eastAsia="宋体" w:cs="宋体"/>
                <w:sz w:val="22"/>
                <w:highlight w:val="none"/>
                <w:lang w:eastAsia="zh-CN"/>
              </w:rPr>
              <w:t xml:space="preserve">78.8万</w:t>
            </w:r>
            <w:r>
              <w:rPr>
                <w:rFonts w:hint="eastAsia" w:ascii="宋体" w:hAnsi="宋体" w:eastAsia="宋体" w:cs="宋体"/>
                <w:sz w:val="22"/>
                <w:highlight w:val="none"/>
              </w:rPr>
              <w:t xml:space="preserve">元；</w:t>
            </w:r>
            <w:r>
              <w:rPr>
                <w:rFonts w:hint="eastAsia" w:ascii="宋体" w:hAnsi="宋体" w:eastAsia="宋体" w:cs="宋体"/>
                <w:b/>
                <w:bCs/>
                <w:sz w:val="22"/>
                <w:highlight w:val="none"/>
              </w:rPr>
              <w:t xml:space="preserve">同时单套设备单项报价不得超过相应预算，超出最高限价或单套设备单项预算的投标文件作无效投标处理。</w:t>
            </w:r>
            <w:r>
              <w:rPr>
                <w:rFonts w:hint="eastAsia" w:ascii="宋体" w:hAnsi="宋体" w:eastAsia="宋体" w:cs="宋体"/>
                <w:sz w:val="22"/>
                <w:highlight w:val="none"/>
              </w:rPr>
              <w:t xml:space="preserve">具体报价格式参照招标文件附件中“报价一览表格式”。</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9</w:t>
            </w:r>
            <w:r>
              <w:rPr>
                <w:rFonts w:hint="eastAsia" w:ascii="宋体" w:hAnsi="宋体" w:eastAsia="宋体" w:cs="宋体"/>
                <w:sz w:val="22"/>
                <w:highlight w:val="none"/>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报价方式</w:t>
            </w:r>
            <w:r>
              <w:rPr>
                <w:rFonts w:hint="eastAsia" w:ascii="宋体" w:hAnsi="宋体" w:eastAsia="宋体" w:cs="宋体"/>
                <w:sz w:val="22"/>
                <w:highlight w:val="none"/>
              </w:rPr>
            </w:r>
            <w:r/>
          </w:p>
        </w:tc>
        <w:tc>
          <w:tcPr>
            <w:tcW w:w="6361" w:type="dxa"/>
            <w:vAlign w:val="center"/>
            <w:textDirection w:val="lrTb"/>
            <w:noWrap w:val="false"/>
          </w:tcPr>
          <w:p>
            <w:pPr>
              <w:pStyle w:val="1033"/>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所有投标报价均以人民币报价。投标人的投标报价应遵守《中华人民共和国价格法》。该报价为到采购人现场的全部费用（含相关税费、运输费、保险费、安装费及相关服务费等一切可能发生的费用）。具体报价格式参照招标文件附件“报价一览表格式”。</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10</w:t>
            </w:r>
            <w:r>
              <w:rPr>
                <w:rFonts w:hint="eastAsia" w:ascii="宋体" w:hAnsi="宋体" w:eastAsia="宋体" w:cs="宋体"/>
                <w:sz w:val="22"/>
                <w:highlight w:val="none"/>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投标保证金</w:t>
            </w:r>
            <w:r>
              <w:rPr>
                <w:rFonts w:hint="eastAsia" w:ascii="宋体" w:hAnsi="宋体" w:eastAsia="宋体" w:cs="宋体"/>
                <w:sz w:val="22"/>
                <w:highlight w:val="none"/>
              </w:rPr>
            </w:r>
            <w:r/>
          </w:p>
        </w:tc>
        <w:tc>
          <w:tcPr>
            <w:tcW w:w="6361" w:type="dxa"/>
            <w:vAlign w:val="center"/>
            <w:textDirection w:val="lrTb"/>
            <w:noWrap w:val="false"/>
          </w:tcPr>
          <w:p>
            <w:pPr>
              <w:pStyle w:val="1033"/>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无</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11</w:t>
            </w:r>
            <w:r>
              <w:rPr>
                <w:rFonts w:hint="eastAsia" w:ascii="宋体" w:hAnsi="宋体" w:eastAsia="宋体" w:cs="宋体"/>
                <w:sz w:val="22"/>
                <w:highlight w:val="none"/>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招标文件获取</w:t>
            </w:r>
            <w:r>
              <w:rPr>
                <w:rFonts w:hint="eastAsia" w:ascii="宋体" w:hAnsi="宋体" w:eastAsia="宋体" w:cs="宋体"/>
                <w:sz w:val="22"/>
                <w:highlight w:val="none"/>
              </w:rPr>
            </w:r>
            <w:r/>
          </w:p>
        </w:tc>
        <w:tc>
          <w:tcPr>
            <w:tcW w:w="6361" w:type="dxa"/>
            <w:vAlign w:val="center"/>
            <w:textDirection w:val="lrTb"/>
            <w:noWrap w:val="false"/>
          </w:tcPr>
          <w:p>
            <w:pPr>
              <w:pStyle w:val="1033"/>
              <w:spacing w:before="0" w:after="0" w:line="240" w:lineRule="auto"/>
              <w:tabs>
                <w:tab w:val="left" w:pos="5250" w:leader="none"/>
              </w:tabs>
              <w:rPr>
                <w:rFonts w:ascii="宋体" w:hAnsi="宋体" w:eastAsia="宋体" w:cs="宋体"/>
                <w:sz w:val="22"/>
                <w:highlight w:val="none"/>
              </w:rPr>
            </w:pPr>
            <w:r>
              <w:rPr>
                <w:rFonts w:hint="eastAsia" w:ascii="宋体" w:hAnsi="宋体" w:eastAsia="宋体" w:cs="宋体"/>
                <w:sz w:val="22"/>
                <w:highlight w:val="none"/>
              </w:rPr>
              <w:t xml:space="preserve">“苏采云”政府采购交易系统。</w:t>
            </w:r>
            <w:r>
              <w:rPr>
                <w:rFonts w:ascii="宋体" w:hAnsi="宋体" w:eastAsia="宋体" w:cs="宋体"/>
                <w:sz w:val="22"/>
                <w:highlight w:val="none"/>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12</w:t>
            </w:r>
            <w:r>
              <w:rPr>
                <w:rFonts w:hint="eastAsia" w:ascii="宋体" w:hAnsi="宋体" w:eastAsia="宋体" w:cs="宋体"/>
                <w:sz w:val="22"/>
                <w:highlight w:val="none"/>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答疑</w:t>
            </w:r>
            <w:r>
              <w:rPr>
                <w:rFonts w:hint="eastAsia" w:ascii="宋体" w:hAnsi="宋体" w:eastAsia="宋体" w:cs="宋体"/>
                <w:sz w:val="22"/>
                <w:highlight w:val="none"/>
              </w:rPr>
            </w:r>
            <w:r/>
          </w:p>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（勘查现场）</w:t>
            </w:r>
            <w:r>
              <w:rPr>
                <w:rFonts w:hint="eastAsia" w:ascii="宋体" w:hAnsi="宋体" w:eastAsia="宋体" w:cs="宋体"/>
                <w:sz w:val="22"/>
                <w:highlight w:val="none"/>
              </w:rPr>
            </w:r>
            <w:r/>
          </w:p>
        </w:tc>
        <w:tc>
          <w:tcPr>
            <w:tcW w:w="6361" w:type="dxa"/>
            <w:vAlign w:val="center"/>
            <w:textDirection w:val="lrTb"/>
            <w:noWrap w:val="false"/>
          </w:tcPr>
          <w:p>
            <w:pPr>
              <w:pStyle w:val="1033"/>
              <w:spacing w:before="0" w:after="0" w:line="300" w:lineRule="auto"/>
              <w:rPr>
                <w:rFonts w:hint="eastAsia" w:ascii="宋体" w:hAnsi="宋体" w:eastAsia="宋体" w:cs="宋体"/>
                <w:b/>
                <w:bCs/>
                <w:sz w:val="22"/>
                <w:highlight w:val="none"/>
              </w:rPr>
            </w:pPr>
            <w:r>
              <w:rPr>
                <w:rFonts w:hint="eastAsia" w:ascii="宋体" w:hAnsi="宋体" w:eastAsia="宋体" w:cs="宋体"/>
                <w:sz w:val="22"/>
                <w:highlight w:val="none"/>
              </w:rPr>
              <w:t xml:space="preserve">采购人不集中组织，投标人可自行联系采购项目负责人答疑。未考察现场或考察工作不充分的投标人，中标后不得以不完全了解现场情况为理由向采购人提出任何索赔或其他要求，对此</w:t>
            </w:r>
            <w:r>
              <w:rPr>
                <w:rFonts w:hint="eastAsia" w:ascii="宋体" w:hAnsi="宋体" w:eastAsia="宋体" w:cs="宋体"/>
                <w:sz w:val="22"/>
                <w:highlight w:val="none"/>
                <w:lang w:eastAsia="zh-CN"/>
              </w:rPr>
              <w:t xml:space="preserve">，采购</w:t>
            </w:r>
            <w:r>
              <w:rPr>
                <w:rFonts w:hint="eastAsia" w:ascii="宋体" w:hAnsi="宋体" w:eastAsia="宋体" w:cs="宋体"/>
                <w:sz w:val="22"/>
                <w:highlight w:val="none"/>
              </w:rPr>
              <w:t xml:space="preserve">人不承担任何责任，且将不作任何答复。</w:t>
            </w:r>
            <w:r>
              <w:rPr>
                <w:rFonts w:hint="eastAsia" w:ascii="宋体" w:hAnsi="宋体" w:eastAsia="宋体" w:cs="宋体"/>
                <w:b/>
                <w:bCs/>
                <w:sz w:val="22"/>
                <w:highlight w:val="none"/>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13</w:t>
            </w:r>
            <w:r>
              <w:rPr>
                <w:rFonts w:hint="eastAsia" w:ascii="宋体" w:hAnsi="宋体" w:eastAsia="宋体" w:cs="宋体"/>
                <w:sz w:val="22"/>
                <w:highlight w:val="none"/>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投标文件接收截止时间及地点</w:t>
            </w:r>
            <w:r>
              <w:rPr>
                <w:rFonts w:hint="eastAsia" w:ascii="宋体" w:hAnsi="宋体" w:eastAsia="宋体" w:cs="宋体"/>
                <w:sz w:val="22"/>
                <w:highlight w:val="none"/>
              </w:rPr>
            </w:r>
            <w:r/>
          </w:p>
        </w:tc>
        <w:tc>
          <w:tcPr>
            <w:tcW w:w="6361" w:type="dxa"/>
            <w:vAlign w:val="center"/>
            <w:textDirection w:val="lrTb"/>
            <w:noWrap w:val="false"/>
          </w:tcPr>
          <w:p>
            <w:pPr>
              <w:pStyle w:val="1033"/>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截止时间（同开标时间）：详见招标公告</w:t>
            </w:r>
            <w:r>
              <w:rPr>
                <w:rFonts w:hint="eastAsia" w:ascii="宋体" w:hAnsi="宋体" w:eastAsia="宋体" w:cs="宋体"/>
                <w:sz w:val="22"/>
                <w:highlight w:val="none"/>
              </w:rPr>
            </w:r>
            <w:r/>
          </w:p>
          <w:p>
            <w:pPr>
              <w:pStyle w:val="1033"/>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接收地点：“苏采云”政府采购交易系统网上开标大厅</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14</w:t>
            </w:r>
            <w:r>
              <w:rPr>
                <w:rFonts w:hint="eastAsia" w:ascii="宋体" w:hAnsi="宋体" w:eastAsia="宋体" w:cs="宋体"/>
                <w:sz w:val="22"/>
                <w:highlight w:val="none"/>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投标文件</w:t>
            </w:r>
            <w:r>
              <w:rPr>
                <w:rFonts w:hint="eastAsia" w:ascii="宋体" w:hAnsi="宋体" w:eastAsia="宋体" w:cs="宋体"/>
                <w:sz w:val="22"/>
                <w:highlight w:val="none"/>
              </w:rPr>
            </w:r>
            <w:r/>
          </w:p>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形式</w:t>
            </w:r>
            <w:r>
              <w:rPr>
                <w:rFonts w:hint="eastAsia" w:ascii="宋体" w:hAnsi="宋体" w:eastAsia="宋体" w:cs="宋体"/>
                <w:sz w:val="22"/>
                <w:highlight w:val="none"/>
              </w:rPr>
            </w:r>
            <w:r/>
          </w:p>
        </w:tc>
        <w:tc>
          <w:tcPr>
            <w:tcW w:w="6361" w:type="dxa"/>
            <w:vAlign w:val="center"/>
            <w:textDirection w:val="lrTb"/>
            <w:noWrap w:val="false"/>
          </w:tcPr>
          <w:p>
            <w:pPr>
              <w:pStyle w:val="1033"/>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“苏采云”政府采购交易系统。本项目需要使用CA数字证书制作、上传电子投标文件完成电子投标，请供应商在参加投标活动前办理好CA数字证书申领及电子签章等操作。</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15</w:t>
            </w:r>
            <w:r>
              <w:rPr>
                <w:rFonts w:hint="eastAsia" w:ascii="宋体" w:hAnsi="宋体" w:eastAsia="宋体" w:cs="宋体"/>
                <w:sz w:val="22"/>
                <w:highlight w:val="none"/>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评标时间</w:t>
            </w:r>
            <w:r>
              <w:rPr>
                <w:rFonts w:hint="eastAsia" w:ascii="宋体" w:hAnsi="宋体" w:eastAsia="宋体" w:cs="宋体"/>
                <w:sz w:val="22"/>
                <w:highlight w:val="none"/>
              </w:rPr>
            </w:r>
            <w:r/>
          </w:p>
        </w:tc>
        <w:tc>
          <w:tcPr>
            <w:tcW w:w="6361" w:type="dxa"/>
            <w:vAlign w:val="center"/>
            <w:textDirection w:val="lrTb"/>
            <w:noWrap w:val="false"/>
          </w:tcPr>
          <w:p>
            <w:pPr>
              <w:pStyle w:val="1033"/>
              <w:spacing w:before="0" w:after="0" w:line="240" w:lineRule="auto"/>
              <w:rPr>
                <w:rFonts w:hint="eastAsia" w:ascii="宋体" w:hAnsi="宋体" w:eastAsia="宋体" w:cs="宋体"/>
                <w:sz w:val="22"/>
                <w:highlight w:val="none"/>
              </w:rPr>
            </w:pPr>
            <w:r>
              <w:rPr>
                <w:rFonts w:hint="eastAsia" w:ascii="宋体" w:hAnsi="宋体" w:eastAsia="宋体" w:cs="宋体"/>
                <w:color w:val="c00000"/>
                <w:sz w:val="22"/>
                <w:highlight w:val="none"/>
              </w:rPr>
              <w:t xml:space="preserve">2026年</w:t>
            </w:r>
            <w:r>
              <w:rPr>
                <w:rFonts w:hint="eastAsia" w:ascii="宋体" w:hAnsi="宋体" w:eastAsia="宋体" w:cs="宋体"/>
                <w:color w:val="c00000"/>
                <w:sz w:val="22"/>
                <w:highlight w:val="none"/>
                <w:lang w:eastAsia="zh-CN"/>
              </w:rPr>
              <w:t xml:space="preserve">11月5日9:30</w:t>
            </w:r>
            <w:r>
              <w:rPr>
                <w:rFonts w:hint="eastAsia" w:ascii="宋体" w:hAnsi="宋体" w:eastAsia="宋体" w:cs="宋体"/>
                <w:color w:val="c00000"/>
                <w:sz w:val="22"/>
                <w:highlight w:val="none"/>
              </w:rPr>
              <w:t xml:space="preserve">后</w:t>
            </w:r>
            <w:r>
              <w:rPr>
                <w:rFonts w:hint="eastAsia" w:ascii="宋体" w:hAnsi="宋体" w:eastAsia="宋体" w:cs="宋体"/>
                <w:sz w:val="22"/>
                <w:highlight w:val="none"/>
              </w:rPr>
              <w:t xml:space="preserve">（北京时间）</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16</w:t>
            </w:r>
            <w:r>
              <w:rPr>
                <w:rFonts w:hint="eastAsia" w:ascii="宋体" w:hAnsi="宋体" w:eastAsia="宋体" w:cs="宋体"/>
                <w:sz w:val="22"/>
                <w:highlight w:val="none"/>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投标文件</w:t>
            </w:r>
            <w:r>
              <w:rPr>
                <w:rFonts w:hint="eastAsia" w:ascii="宋体" w:hAnsi="宋体" w:eastAsia="宋体" w:cs="宋体"/>
                <w:sz w:val="22"/>
                <w:highlight w:val="none"/>
              </w:rPr>
            </w:r>
            <w:r/>
          </w:p>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完整性</w:t>
            </w:r>
            <w:r>
              <w:rPr>
                <w:rFonts w:hint="eastAsia" w:ascii="宋体" w:hAnsi="宋体" w:eastAsia="宋体" w:cs="宋体"/>
                <w:sz w:val="22"/>
                <w:highlight w:val="none"/>
              </w:rPr>
            </w:r>
            <w:r/>
          </w:p>
        </w:tc>
        <w:tc>
          <w:tcPr>
            <w:tcW w:w="6361" w:type="dxa"/>
            <w:vAlign w:val="center"/>
            <w:textDirection w:val="lrTb"/>
            <w:noWrap w:val="false"/>
          </w:tcPr>
          <w:p>
            <w:pPr>
              <w:pStyle w:val="1033"/>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招标文件中有明确规定需要签字和盖章的必须有签字和盖章，且加盖的公章仅能使用与投标人名称一致的标准公章，不得使用其他形式（如带有“专用章”“合同章”“财务章”“业务章”等字样）的印章，否则，按无效投标文件处理。</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17</w:t>
            </w:r>
            <w:r>
              <w:rPr>
                <w:rFonts w:hint="eastAsia" w:ascii="宋体" w:hAnsi="宋体" w:eastAsia="宋体" w:cs="宋体"/>
                <w:sz w:val="22"/>
                <w:highlight w:val="none"/>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投标文件有效期</w:t>
            </w:r>
            <w:r>
              <w:rPr>
                <w:rFonts w:hint="eastAsia" w:ascii="宋体" w:hAnsi="宋体" w:eastAsia="宋体" w:cs="宋体"/>
                <w:sz w:val="22"/>
                <w:highlight w:val="none"/>
              </w:rPr>
            </w:r>
            <w:r/>
          </w:p>
        </w:tc>
        <w:tc>
          <w:tcPr>
            <w:tcW w:w="6361" w:type="dxa"/>
            <w:vAlign w:val="center"/>
            <w:textDirection w:val="lrTb"/>
            <w:noWrap w:val="false"/>
          </w:tcPr>
          <w:p>
            <w:pPr>
              <w:pStyle w:val="1033"/>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投标人提交投标文件截止之日起90天</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18</w:t>
            </w:r>
            <w:r>
              <w:rPr>
                <w:rFonts w:hint="eastAsia" w:ascii="宋体" w:hAnsi="宋体" w:eastAsia="宋体" w:cs="宋体"/>
                <w:sz w:val="22"/>
                <w:highlight w:val="none"/>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关于联合体投标</w:t>
            </w:r>
            <w:r>
              <w:rPr>
                <w:rFonts w:hint="eastAsia" w:ascii="宋体" w:hAnsi="宋体" w:eastAsia="宋体" w:cs="宋体"/>
                <w:sz w:val="22"/>
                <w:highlight w:val="none"/>
              </w:rPr>
            </w:r>
            <w:r/>
          </w:p>
        </w:tc>
        <w:tc>
          <w:tcPr>
            <w:tcW w:w="6361" w:type="dxa"/>
            <w:vAlign w:val="center"/>
            <w:textDirection w:val="lrTb"/>
            <w:noWrap w:val="false"/>
          </w:tcPr>
          <w:p>
            <w:pPr>
              <w:pStyle w:val="1033"/>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本项目不接受联合体投标</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19</w:t>
            </w:r>
            <w:r>
              <w:rPr>
                <w:rFonts w:hint="eastAsia" w:ascii="宋体" w:hAnsi="宋体" w:eastAsia="宋体" w:cs="宋体"/>
                <w:sz w:val="22"/>
                <w:highlight w:val="none"/>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中标候选人及中标人数量</w:t>
            </w:r>
            <w:r>
              <w:rPr>
                <w:rFonts w:hint="eastAsia" w:ascii="宋体" w:hAnsi="宋体" w:eastAsia="宋体" w:cs="宋体"/>
                <w:sz w:val="22"/>
                <w:highlight w:val="none"/>
              </w:rPr>
            </w:r>
            <w:r/>
          </w:p>
        </w:tc>
        <w:tc>
          <w:tcPr>
            <w:tcW w:w="6361" w:type="dxa"/>
            <w:vAlign w:val="center"/>
            <w:textDirection w:val="lrTb"/>
            <w:noWrap w:val="false"/>
          </w:tcPr>
          <w:p>
            <w:pPr>
              <w:pStyle w:val="1033"/>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中标候选人：3名/包；中标人：1名/包</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20</w:t>
            </w:r>
            <w:r>
              <w:rPr>
                <w:rFonts w:hint="eastAsia" w:ascii="宋体" w:hAnsi="宋体" w:eastAsia="宋体" w:cs="宋体"/>
                <w:sz w:val="22"/>
                <w:highlight w:val="none"/>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采购代理费用</w:t>
            </w:r>
            <w:r>
              <w:rPr>
                <w:rFonts w:hint="eastAsia" w:ascii="宋体" w:hAnsi="宋体" w:eastAsia="宋体" w:cs="宋体"/>
                <w:color w:val="000000"/>
                <w:sz w:val="22"/>
                <w:highlight w:val="none"/>
              </w:rPr>
            </w:r>
            <w:r/>
          </w:p>
        </w:tc>
        <w:tc>
          <w:tcPr>
            <w:tcW w:w="6361" w:type="dxa"/>
            <w:vAlign w:val="center"/>
            <w:textDirection w:val="lrTb"/>
            <w:noWrap w:val="false"/>
          </w:tcPr>
          <w:p>
            <w:pPr>
              <w:pStyle w:val="1033"/>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一、服务费约定：</w:t>
            </w:r>
            <w:r>
              <w:rPr>
                <w:rFonts w:hint="eastAsia" w:ascii="宋体" w:hAnsi="宋体" w:eastAsia="宋体" w:cs="宋体"/>
                <w:color w:val="000000"/>
                <w:sz w:val="22"/>
                <w:highlight w:val="none"/>
              </w:rPr>
            </w:r>
            <w:r/>
          </w:p>
          <w:p>
            <w:pPr>
              <w:pStyle w:val="1033"/>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本项目招标代理服务费由中标供应商承担，中标供应商应按约定足额向采购代理机构支付招标代理服务费。投标人应自行承担为准备及参与投标所发生的一切费用，无论投标结果如何，采购人和采购代理机构对该等费用不承担任何义务与责任。</w:t>
            </w:r>
            <w:r>
              <w:rPr>
                <w:rFonts w:hint="eastAsia" w:ascii="宋体" w:hAnsi="宋体" w:eastAsia="宋体" w:cs="宋体"/>
                <w:color w:val="000000"/>
                <w:sz w:val="22"/>
                <w:highlight w:val="none"/>
              </w:rPr>
            </w:r>
            <w:r/>
          </w:p>
          <w:p>
            <w:pPr>
              <w:pStyle w:val="1033"/>
              <w:spacing w:before="0" w:after="0" w:line="300" w:lineRule="auto"/>
              <w:rPr>
                <w:rFonts w:hint="eastAsia" w:ascii="宋体" w:hAnsi="宋体" w:eastAsia="宋体" w:cs="宋体"/>
                <w:bCs/>
                <w:color w:val="000000"/>
                <w:sz w:val="22"/>
                <w:highlight w:val="none"/>
              </w:rPr>
            </w:pPr>
            <w:r>
              <w:rPr>
                <w:rFonts w:hint="eastAsia" w:ascii="宋体" w:hAnsi="宋体" w:eastAsia="宋体" w:cs="宋体"/>
                <w:color w:val="000000"/>
                <w:sz w:val="22"/>
                <w:highlight w:val="none"/>
              </w:rPr>
              <w:t xml:space="preserve">二、</w:t>
            </w:r>
            <w:r>
              <w:rPr>
                <w:rFonts w:hint="eastAsia" w:ascii="宋体" w:hAnsi="宋体" w:eastAsia="宋体" w:cs="宋体"/>
                <w:bCs/>
                <w:color w:val="000000"/>
                <w:sz w:val="22"/>
                <w:highlight w:val="none"/>
              </w:rPr>
              <w:t xml:space="preserve">支付主体及原因：</w:t>
            </w:r>
            <w:r>
              <w:rPr>
                <w:rFonts w:hint="eastAsia" w:ascii="宋体" w:hAnsi="宋体" w:eastAsia="宋体" w:cs="宋体"/>
                <w:bCs/>
                <w:color w:val="000000"/>
                <w:sz w:val="22"/>
                <w:highlight w:val="none"/>
              </w:rPr>
            </w:r>
            <w:r/>
          </w:p>
          <w:p>
            <w:pPr>
              <w:pStyle w:val="1033"/>
              <w:spacing w:before="0" w:after="0" w:line="300" w:lineRule="auto"/>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rPr>
              <w:t xml:space="preserve">本项目的代理服务费用己纳入采购项目预算。根据《政府采购代理机构管理暂行办法》(财库(2018)2号)第十五条及《关于进一步规范政府采购活动相关费用管理的通知》(苏财规(2026)1号)相关规定，该项费用</w:t>
            </w:r>
            <w:r>
              <w:rPr>
                <w:rFonts w:hint="eastAsia" w:ascii="宋体" w:hAnsi="宋体" w:eastAsia="宋体" w:cs="宋体"/>
                <w:color w:val="000000"/>
                <w:sz w:val="22"/>
                <w:highlight w:val="none"/>
              </w:rPr>
              <w:t xml:space="preserve">由中标供应商承担并包含在投标报价中，该笔费用综合包含于投标人投标总报价内，投标人报价表无需单独列示此项费用。</w:t>
            </w:r>
            <w:r>
              <w:rPr>
                <w:rFonts w:hint="eastAsia" w:ascii="宋体" w:hAnsi="宋体" w:eastAsia="宋体" w:cs="宋体"/>
                <w:bCs/>
                <w:color w:val="000000"/>
                <w:sz w:val="22"/>
                <w:highlight w:val="none"/>
              </w:rPr>
            </w:r>
            <w:r/>
          </w:p>
          <w:p>
            <w:pPr>
              <w:pStyle w:val="1033"/>
              <w:spacing w:before="0" w:after="0" w:line="300" w:lineRule="auto"/>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rPr>
              <w:t xml:space="preserve">三、计费依据及标准:</w:t>
            </w:r>
            <w:r>
              <w:rPr>
                <w:rFonts w:hint="eastAsia" w:ascii="宋体" w:hAnsi="宋体" w:eastAsia="宋体" w:cs="宋体"/>
                <w:bCs/>
                <w:color w:val="000000"/>
                <w:sz w:val="22"/>
                <w:highlight w:val="none"/>
              </w:rPr>
            </w:r>
            <w:r/>
          </w:p>
          <w:p>
            <w:pPr>
              <w:pStyle w:val="1033"/>
              <w:spacing w:before="0" w:after="0" w:line="300" w:lineRule="auto"/>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rPr>
              <w:t xml:space="preserve">本项目代理服务费的计费标准依据采购人与采购代理机构签订的委托代理协议执行。费用以中标金额为基数，按照下表所列费率采用差额定率累进法计算后，按基准费金额的80%计取。</w:t>
            </w:r>
            <w:r>
              <w:rPr>
                <w:rFonts w:hint="eastAsia" w:ascii="宋体" w:hAnsi="宋体" w:eastAsia="宋体" w:cs="宋体"/>
                <w:bCs/>
                <w:color w:val="000000"/>
                <w:sz w:val="22"/>
                <w:highlight w:val="none"/>
              </w:rPr>
            </w:r>
            <w:r/>
          </w:p>
          <w:p>
            <w:pPr>
              <w:pStyle w:val="1033"/>
              <w:spacing w:before="0" w:after="0" w:line="300" w:lineRule="auto"/>
              <w:rPr>
                <w:rFonts w:hint="eastAsia" w:ascii="宋体" w:hAnsi="宋体" w:eastAsia="宋体" w:cs="宋体"/>
                <w:color w:val="000000"/>
                <w:sz w:val="22"/>
                <w:highlight w:val="none"/>
              </w:rPr>
            </w:pPr>
            <w:r>
              <w:rPr>
                <w:color w:val="000000"/>
                <w:sz w:val="22"/>
                <w:highlight w:val="none"/>
              </w:rPr>
              <mc:AlternateContent>
                <mc:Choice Requires="wpg">
                  <w:drawing>
                    <wp:inline xmlns:wp="http://schemas.openxmlformats.org/drawingml/2006/wordprocessingDrawing" distT="0" distB="0" distL="0" distR="0">
                      <wp:extent cx="4097795" cy="217491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097795" cy="21749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2.7pt;height:171.3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000000"/>
                <w:sz w:val="22"/>
                <w:highlight w:val="none"/>
              </w:rPr>
            </w:r>
            <w:r/>
          </w:p>
          <w:p>
            <w:pPr>
              <w:pStyle w:val="1033"/>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无实际结算数量、按总价包干的采购项目，代理服务费按项目预算金额作为计费基数计算。供应商投标总报价须包含本次招标代理服务费，采购人不另行单独支付，供应商须自行测算并计入投标报价综合成本。</w:t>
            </w:r>
            <w:r>
              <w:rPr>
                <w:rFonts w:hint="eastAsia" w:ascii="宋体" w:hAnsi="宋体" w:eastAsia="宋体" w:cs="宋体"/>
                <w:color w:val="000000"/>
                <w:sz w:val="22"/>
                <w:highlight w:val="none"/>
              </w:rPr>
            </w:r>
            <w:r/>
          </w:p>
          <w:p>
            <w:pPr>
              <w:pStyle w:val="1033"/>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四、缴纳时间与方式</w:t>
            </w:r>
            <w:r>
              <w:rPr>
                <w:rFonts w:hint="eastAsia" w:ascii="宋体" w:hAnsi="宋体" w:eastAsia="宋体" w:cs="宋体"/>
                <w:color w:val="000000"/>
                <w:sz w:val="22"/>
                <w:highlight w:val="none"/>
              </w:rPr>
            </w:r>
            <w:r/>
          </w:p>
          <w:p>
            <w:pPr>
              <w:pStyle w:val="1033"/>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缴纳时间：中标供应商在领取中标通知书，一次性足额缴纳全部代理服务费。</w:t>
            </w:r>
            <w:r>
              <w:rPr>
                <w:rFonts w:hint="eastAsia" w:ascii="宋体" w:hAnsi="宋体" w:eastAsia="宋体" w:cs="宋体"/>
                <w:color w:val="000000"/>
                <w:sz w:val="22"/>
                <w:highlight w:val="none"/>
              </w:rPr>
            </w:r>
            <w:r/>
          </w:p>
          <w:p>
            <w:pPr>
              <w:pStyle w:val="1033"/>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缴纳方式：可采用银行电汇、对公转账方式缴纳（以代理机构指定账户/收款要求为准）。</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21</w:t>
            </w:r>
            <w:r>
              <w:rPr>
                <w:rFonts w:hint="eastAsia" w:ascii="宋体" w:hAnsi="宋体" w:eastAsia="宋体" w:cs="宋体"/>
                <w:sz w:val="22"/>
                <w:highlight w:val="none"/>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评审费用支付</w:t>
            </w:r>
            <w:r>
              <w:rPr>
                <w:rFonts w:hint="eastAsia" w:ascii="宋体" w:hAnsi="宋体" w:eastAsia="宋体" w:cs="宋体"/>
                <w:color w:val="000000"/>
                <w:sz w:val="22"/>
                <w:highlight w:val="none"/>
              </w:rPr>
            </w:r>
            <w:r/>
          </w:p>
        </w:tc>
        <w:tc>
          <w:tcPr>
            <w:tcW w:w="6361" w:type="dxa"/>
            <w:vAlign w:val="center"/>
            <w:textDirection w:val="lrTb"/>
            <w:noWrap w:val="false"/>
          </w:tcPr>
          <w:p>
            <w:pPr>
              <w:pStyle w:val="1033"/>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对于非集中采购机构实施的政府采购项目，专家评审费用由采购人直接支付。评审费标准按照省财政厅相关规定执行，费用在项目评审完成后的30个工作日内完成支付。各代理机构配合采购人收集评审专家支付信息，并将材料及时反馈至招标办。对于不属于苏财规〔2026〕1号文件要求的采购项目仍按双方签订的委托协议执行。</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1033"/>
              <w:jc w:val="center"/>
              <w:spacing w:before="0" w:after="0" w:line="300" w:lineRule="auto"/>
              <w:rPr>
                <w:rFonts w:ascii="宋体" w:hAnsi="宋体" w:eastAsia="宋体" w:cs="宋体"/>
                <w:sz w:val="22"/>
                <w:highlight w:val="none"/>
              </w:rPr>
            </w:pPr>
            <w:r>
              <w:rPr>
                <w:rFonts w:hint="eastAsia" w:ascii="宋体" w:hAnsi="宋体" w:eastAsia="宋体" w:cs="宋体"/>
                <w:sz w:val="22"/>
                <w:highlight w:val="none"/>
              </w:rPr>
              <w:t xml:space="preserve">22</w:t>
            </w:r>
            <w:r>
              <w:rPr>
                <w:rFonts w:ascii="宋体" w:hAnsi="宋体" w:eastAsia="宋体" w:cs="宋体"/>
                <w:sz w:val="22"/>
                <w:highlight w:val="none"/>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其他要求</w:t>
            </w:r>
            <w:r>
              <w:rPr>
                <w:rFonts w:hint="eastAsia" w:ascii="宋体" w:hAnsi="宋体" w:eastAsia="宋体" w:cs="宋体"/>
                <w:sz w:val="22"/>
                <w:highlight w:val="none"/>
              </w:rPr>
            </w:r>
            <w:r/>
          </w:p>
        </w:tc>
        <w:tc>
          <w:tcPr>
            <w:tcW w:w="6361" w:type="dxa"/>
            <w:vAlign w:val="center"/>
            <w:textDirection w:val="lrTb"/>
            <w:noWrap w:val="false"/>
          </w:tcPr>
          <w:p>
            <w:pPr>
              <w:pStyle w:val="1033"/>
              <w:jc w:val="left"/>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中标供应商须在中标公示期结束后将与“苏采云”政府采购交易系统中一致的纸质版投标文件（文件份数：1份）邮寄至下列地址：南京市建邺区云龙山路58号大唐科技大厦A座高区15楼，方东，15195998576。</w:t>
            </w:r>
            <w:r>
              <w:rPr>
                <w:rFonts w:hint="eastAsia" w:ascii="宋体" w:hAnsi="宋体" w:eastAsia="宋体" w:cs="宋体"/>
                <w:sz w:val="22"/>
                <w:highlight w:val="none"/>
              </w:rPr>
            </w:r>
            <w:r/>
          </w:p>
          <w:p>
            <w:pPr>
              <w:pStyle w:val="1033"/>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请投标人务必认真阅读本招标文件，严格遵照上述要求应标。</w:t>
            </w:r>
            <w:r>
              <w:rPr>
                <w:rFonts w:hint="eastAsia" w:ascii="宋体" w:hAnsi="宋体" w:eastAsia="宋体" w:cs="宋体"/>
                <w:sz w:val="22"/>
                <w:highlight w:val="none"/>
              </w:rPr>
            </w:r>
            <w:r/>
          </w:p>
        </w:tc>
      </w:tr>
    </w:tbl>
    <w:p>
      <w:pPr>
        <w:pStyle w:val="1033"/>
        <w:numPr>
          <w:ilvl w:val="0"/>
          <w:numId w:val="5"/>
        </w:numPr>
        <w:rPr>
          <w:rFonts w:hint="eastAsia" w:ascii="宋体" w:hAnsi="宋体" w:eastAsia="宋体" w:cs="宋体"/>
          <w:b/>
          <w:bCs/>
          <w:szCs w:val="21"/>
          <w:highlight w:val="none"/>
        </w:rPr>
        <w:outlineLvl w:val="1"/>
      </w:pPr>
      <w:r/>
      <w:bookmarkStart w:id="21" w:name="_Toc27197"/>
      <w:r>
        <w:rPr>
          <w:rFonts w:hint="eastAsia" w:ascii="宋体" w:hAnsi="宋体" w:cs="宋体"/>
          <w:highlight w:val="none"/>
        </w:rPr>
        <w:br w:type="page" w:clear="all"/>
      </w:r>
      <w:bookmarkEnd w:id="21"/>
      <w:r/>
      <w:bookmarkStart w:id="22" w:name="_Toc28411"/>
      <w:r/>
      <w:bookmarkStart w:id="23" w:name="_Toc17556"/>
      <w:r/>
      <w:bookmarkStart w:id="24" w:name="_Toc23175"/>
      <w:r/>
      <w:bookmarkStart w:id="25" w:name="_Toc209510674"/>
      <w:r/>
      <w:bookmarkStart w:id="26" w:name="_Toc209510615"/>
      <w:r/>
      <w:bookmarkStart w:id="27" w:name="_Toc20838"/>
      <w:r/>
      <w:bookmarkStart w:id="28" w:name="_Toc21658"/>
      <w:r/>
      <w:bookmarkStart w:id="29" w:name="_Toc1344"/>
      <w:r>
        <w:rPr>
          <w:rFonts w:hint="eastAsia" w:ascii="宋体" w:hAnsi="宋体" w:eastAsia="宋体" w:cs="宋体"/>
          <w:b/>
          <w:bCs/>
          <w:szCs w:val="21"/>
          <w:highlight w:val="none"/>
          <w:lang w:val="zh-CN"/>
        </w:rPr>
        <w:t xml:space="preserve">总则</w:t>
      </w:r>
      <w:bookmarkEnd w:id="22"/>
      <w:r/>
      <w:bookmarkEnd w:id="23"/>
      <w:r/>
      <w:bookmarkEnd w:id="24"/>
      <w:r/>
      <w:bookmarkEnd w:id="25"/>
      <w:r/>
      <w:bookmarkEnd w:id="26"/>
      <w:r/>
      <w:bookmarkEnd w:id="27"/>
      <w:r>
        <w:rPr>
          <w:rFonts w:hint="eastAsia" w:ascii="宋体" w:hAnsi="宋体" w:eastAsia="宋体" w:cs="宋体"/>
          <w:b/>
          <w:bCs/>
          <w:szCs w:val="21"/>
          <w:highlight w:val="none"/>
        </w:rPr>
      </w:r>
      <w:r/>
    </w:p>
    <w:p>
      <w:pPr>
        <w:pStyle w:val="1033"/>
        <w:numPr>
          <w:ilvl w:val="0"/>
          <w:numId w:val="6"/>
        </w:numPr>
        <w:ind w:firstLine="422"/>
        <w:rPr>
          <w:rFonts w:hint="eastAsia" w:ascii="宋体" w:hAnsi="宋体" w:eastAsia="宋体" w:cs="宋体"/>
          <w:b/>
          <w:bCs/>
          <w:szCs w:val="21"/>
          <w:highlight w:val="none"/>
        </w:rPr>
      </w:pPr>
      <w:r/>
      <w:bookmarkStart w:id="30" w:name="_Toc209510675"/>
      <w:r>
        <w:rPr>
          <w:rFonts w:hint="eastAsia" w:ascii="宋体" w:hAnsi="宋体" w:eastAsia="宋体" w:cs="宋体"/>
          <w:b/>
          <w:bCs/>
          <w:szCs w:val="21"/>
          <w:highlight w:val="none"/>
        </w:rPr>
        <w:t xml:space="preserve">适用法律</w:t>
      </w:r>
      <w:bookmarkEnd w:id="30"/>
      <w:r>
        <w:rPr>
          <w:rFonts w:hint="eastAsia" w:ascii="宋体" w:hAnsi="宋体" w:eastAsia="宋体" w:cs="宋体"/>
          <w:b/>
          <w:bCs/>
          <w:szCs w:val="21"/>
          <w:highlight w:val="none"/>
        </w:rPr>
      </w:r>
      <w:r/>
    </w:p>
    <w:p>
      <w:pPr>
        <w:pStyle w:val="1033"/>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1.1 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eastAsia="宋体" w:cs="宋体"/>
          <w:szCs w:val="21"/>
          <w:highlight w:val="none"/>
        </w:rPr>
      </w:r>
      <w:r/>
    </w:p>
    <w:p>
      <w:pPr>
        <w:pStyle w:val="1033"/>
        <w:numPr>
          <w:ilvl w:val="0"/>
          <w:numId w:val="6"/>
        </w:numPr>
        <w:ind w:firstLine="422"/>
        <w:rPr>
          <w:rFonts w:hint="eastAsia" w:ascii="宋体" w:hAnsi="宋体" w:eastAsia="宋体" w:cs="宋体"/>
          <w:b/>
          <w:bCs/>
          <w:szCs w:val="21"/>
          <w:highlight w:val="none"/>
        </w:rPr>
      </w:pPr>
      <w:r/>
      <w:bookmarkStart w:id="31" w:name="_Toc209510676"/>
      <w:r>
        <w:rPr>
          <w:rFonts w:hint="eastAsia" w:ascii="宋体" w:hAnsi="宋体" w:eastAsia="宋体" w:cs="宋体"/>
          <w:b/>
          <w:bCs/>
          <w:szCs w:val="21"/>
          <w:highlight w:val="none"/>
        </w:rPr>
        <w:t xml:space="preserve">定义</w:t>
      </w:r>
      <w:bookmarkEnd w:id="31"/>
      <w:r>
        <w:rPr>
          <w:rFonts w:hint="eastAsia" w:ascii="宋体" w:hAnsi="宋体" w:eastAsia="宋体" w:cs="宋体"/>
          <w:b/>
          <w:bCs/>
          <w:szCs w:val="21"/>
          <w:highlight w:val="none"/>
        </w:rPr>
      </w:r>
      <w:r/>
    </w:p>
    <w:p>
      <w:pPr>
        <w:pStyle w:val="1033"/>
        <w:numPr>
          <w:ilvl w:val="0"/>
          <w:numId w:val="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“采购人”是指依法进行政府采购的国家机关、事业单位、团体组织。</w:t>
      </w:r>
      <w:r>
        <w:rPr>
          <w:rFonts w:hint="eastAsia" w:ascii="宋体" w:hAnsi="宋体" w:eastAsia="宋体" w:cs="宋体"/>
          <w:szCs w:val="21"/>
          <w:highlight w:val="none"/>
        </w:rPr>
      </w:r>
      <w:r/>
    </w:p>
    <w:p>
      <w:pPr>
        <w:pStyle w:val="1033"/>
        <w:numPr>
          <w:ilvl w:val="0"/>
          <w:numId w:val="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“投标人（供应商）”是指参加投标竞争，并符合招标文件规定资格条件的法人、其他组织或者自然人。</w:t>
      </w:r>
      <w:r>
        <w:rPr>
          <w:rFonts w:hint="eastAsia" w:ascii="宋体" w:hAnsi="宋体" w:eastAsia="宋体" w:cs="宋体"/>
          <w:szCs w:val="21"/>
          <w:highlight w:val="none"/>
        </w:rPr>
      </w:r>
      <w:r/>
    </w:p>
    <w:p>
      <w:pPr>
        <w:pStyle w:val="1033"/>
        <w:numPr>
          <w:ilvl w:val="0"/>
          <w:numId w:val="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“采购代理机构”是指集中采购机构和集中采购机构以外的采购代理机构，集中采购机构以外的采购代理机构，是从事采购代理业务的社会中介机构。</w:t>
      </w:r>
      <w:r>
        <w:rPr>
          <w:rFonts w:hint="eastAsia" w:ascii="宋体" w:hAnsi="宋体" w:eastAsia="宋体" w:cs="宋体"/>
          <w:szCs w:val="21"/>
          <w:highlight w:val="none"/>
        </w:rPr>
      </w:r>
      <w:r/>
    </w:p>
    <w:p>
      <w:pPr>
        <w:pStyle w:val="1033"/>
        <w:numPr>
          <w:ilvl w:val="0"/>
          <w:numId w:val="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“货物和服务”指本招标文件中所述产品及相关服务。</w:t>
      </w:r>
      <w:r>
        <w:rPr>
          <w:rFonts w:hint="eastAsia" w:ascii="宋体" w:hAnsi="宋体" w:eastAsia="宋体" w:cs="宋体"/>
          <w:szCs w:val="21"/>
          <w:highlight w:val="none"/>
        </w:rPr>
      </w:r>
      <w:r/>
    </w:p>
    <w:p>
      <w:pPr>
        <w:pStyle w:val="1033"/>
        <w:numPr>
          <w:ilvl w:val="0"/>
          <w:numId w:val="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“用户或使用单位”是指使用货物，接受服务的单位。</w:t>
      </w:r>
      <w:r>
        <w:rPr>
          <w:rFonts w:hint="eastAsia" w:ascii="宋体" w:hAnsi="宋体" w:eastAsia="宋体" w:cs="宋体"/>
          <w:szCs w:val="21"/>
          <w:highlight w:val="none"/>
        </w:rPr>
      </w:r>
      <w:r/>
    </w:p>
    <w:p>
      <w:pPr>
        <w:pStyle w:val="1033"/>
        <w:numPr>
          <w:ilvl w:val="0"/>
          <w:numId w:val="6"/>
        </w:numPr>
        <w:ind w:firstLine="422"/>
        <w:rPr>
          <w:rFonts w:hint="eastAsia" w:ascii="宋体" w:hAnsi="宋体" w:eastAsia="宋体" w:cs="宋体"/>
          <w:b/>
          <w:bCs/>
          <w:szCs w:val="21"/>
          <w:highlight w:val="none"/>
        </w:rPr>
      </w:pPr>
      <w:r/>
      <w:bookmarkStart w:id="32" w:name="_Toc209510677"/>
      <w:r>
        <w:rPr>
          <w:rFonts w:hint="eastAsia" w:ascii="宋体" w:hAnsi="宋体" w:eastAsia="宋体" w:cs="宋体"/>
          <w:b/>
          <w:bCs/>
          <w:szCs w:val="21"/>
          <w:highlight w:val="none"/>
        </w:rPr>
        <w:t xml:space="preserve">政策功能</w:t>
      </w:r>
      <w:bookmarkEnd w:id="32"/>
      <w:r>
        <w:rPr>
          <w:rFonts w:hint="eastAsia" w:ascii="宋体" w:hAnsi="宋体" w:eastAsia="宋体" w:cs="宋体"/>
          <w:b/>
          <w:bCs/>
          <w:szCs w:val="21"/>
          <w:highlight w:val="none"/>
        </w:rPr>
      </w:r>
      <w:r/>
    </w:p>
    <w:p>
      <w:pPr>
        <w:pStyle w:val="1033"/>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统计上大中小微型企业划分办法（2017）&gt;的通知》国统2017〕213号）。</w:t>
      </w:r>
      <w:r>
        <w:rPr>
          <w:rFonts w:hint="eastAsia" w:ascii="宋体" w:hAnsi="宋体" w:eastAsia="宋体" w:cs="宋体"/>
          <w:szCs w:val="21"/>
          <w:highlight w:val="none"/>
        </w:rPr>
      </w:r>
      <w:r/>
    </w:p>
    <w:p>
      <w:pPr>
        <w:pStyle w:val="1033"/>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szCs w:val="21"/>
          <w:highlight w:val="none"/>
        </w:rPr>
      </w:r>
      <w:r/>
    </w:p>
    <w:p>
      <w:pPr>
        <w:pStyle w:val="1033"/>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szCs w:val="21"/>
          <w:highlight w:val="none"/>
        </w:rPr>
      </w:r>
      <w:r/>
    </w:p>
    <w:p>
      <w:pPr>
        <w:pStyle w:val="1033"/>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eastAsia="宋体" w:cs="宋体"/>
          <w:szCs w:val="21"/>
          <w:highlight w:val="none"/>
        </w:rPr>
      </w:r>
      <w:r/>
    </w:p>
    <w:p>
      <w:pPr>
        <w:pStyle w:val="1033"/>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eastAsia="宋体" w:cs="宋体"/>
          <w:szCs w:val="21"/>
          <w:highlight w:val="none"/>
        </w:rPr>
      </w:r>
      <w:r/>
    </w:p>
    <w:p>
      <w:pPr>
        <w:pStyle w:val="1033"/>
        <w:numPr>
          <w:ilvl w:val="0"/>
          <w:numId w:val="8"/>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进口产品政策</w:t>
      </w:r>
      <w:r>
        <w:rPr>
          <w:rFonts w:hint="eastAsia" w:ascii="宋体" w:hAnsi="宋体" w:eastAsia="宋体" w:cs="宋体"/>
          <w:szCs w:val="21"/>
          <w:highlight w:val="none"/>
          <w:lang w:eastAsia="en-US"/>
        </w:rPr>
      </w:r>
      <w:r/>
    </w:p>
    <w:p>
      <w:pPr>
        <w:pStyle w:val="1033"/>
        <w:numPr>
          <w:ilvl w:val="0"/>
          <w:numId w:val="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szCs w:val="21"/>
          <w:highlight w:val="none"/>
        </w:rPr>
      </w:r>
      <w:r/>
    </w:p>
    <w:p>
      <w:pPr>
        <w:pStyle w:val="1033"/>
        <w:numPr>
          <w:ilvl w:val="0"/>
          <w:numId w:val="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允许进口产品参加的，满足需求的国内产品可以参加。</w:t>
      </w:r>
      <w:r>
        <w:rPr>
          <w:rFonts w:hint="eastAsia" w:ascii="宋体" w:hAnsi="宋体" w:eastAsia="宋体" w:cs="宋体"/>
          <w:szCs w:val="21"/>
          <w:highlight w:val="none"/>
        </w:rPr>
      </w:r>
      <w:r/>
    </w:p>
    <w:p>
      <w:pPr>
        <w:pStyle w:val="1033"/>
        <w:numPr>
          <w:ilvl w:val="0"/>
          <w:numId w:val="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允许进口产品参加的，优先采购向我国企业转让技术、与我国企业签订消化吸收再创新方案的投标人的进口产品。</w:t>
      </w:r>
      <w:r>
        <w:rPr>
          <w:rFonts w:hint="eastAsia" w:ascii="宋体" w:hAnsi="宋体" w:eastAsia="宋体" w:cs="宋体"/>
          <w:szCs w:val="21"/>
          <w:highlight w:val="none"/>
        </w:rPr>
      </w:r>
      <w:r/>
    </w:p>
    <w:p>
      <w:pPr>
        <w:pStyle w:val="1033"/>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未按要求提供相关材料的，不享受相关政策。</w:t>
      </w:r>
      <w:r>
        <w:rPr>
          <w:rFonts w:hint="eastAsia" w:ascii="宋体" w:hAnsi="宋体" w:eastAsia="宋体" w:cs="宋体"/>
          <w:szCs w:val="21"/>
          <w:highlight w:val="none"/>
        </w:rPr>
      </w:r>
      <w:r/>
    </w:p>
    <w:p>
      <w:pPr>
        <w:pStyle w:val="1033"/>
        <w:numPr>
          <w:ilvl w:val="0"/>
          <w:numId w:val="5"/>
        </w:numPr>
        <w:rPr>
          <w:rFonts w:hint="eastAsia" w:ascii="宋体" w:hAnsi="宋体" w:eastAsia="宋体" w:cs="宋体"/>
          <w:b/>
          <w:bCs/>
          <w:szCs w:val="21"/>
          <w:highlight w:val="none"/>
        </w:rPr>
        <w:outlineLvl w:val="1"/>
      </w:pPr>
      <w:r/>
      <w:bookmarkStart w:id="33" w:name="_Toc9697"/>
      <w:r/>
      <w:bookmarkStart w:id="34" w:name="_Toc209510616"/>
      <w:r/>
      <w:bookmarkStart w:id="35" w:name="_Toc18152"/>
      <w:r/>
      <w:bookmarkStart w:id="36" w:name="_Toc3993"/>
      <w:r/>
      <w:bookmarkStart w:id="37" w:name="_Toc20589"/>
      <w:r/>
      <w:bookmarkStart w:id="38" w:name="_Toc209510678"/>
      <w:r/>
      <w:bookmarkStart w:id="39" w:name="_Toc17507"/>
      <w:r/>
      <w:bookmarkStart w:id="40" w:name="_Toc7274"/>
      <w:r>
        <w:rPr>
          <w:rFonts w:hint="eastAsia" w:ascii="宋体" w:hAnsi="宋体" w:eastAsia="宋体" w:cs="宋体"/>
          <w:b/>
          <w:bCs/>
          <w:szCs w:val="21"/>
          <w:highlight w:val="none"/>
        </w:rPr>
        <w:t xml:space="preserve">招标文件构成</w:t>
      </w:r>
      <w:bookmarkEnd w:id="33"/>
      <w:r/>
      <w:bookmarkEnd w:id="34"/>
      <w:r/>
      <w:bookmarkEnd w:id="35"/>
      <w:r/>
      <w:bookmarkEnd w:id="36"/>
      <w:r/>
      <w:bookmarkEnd w:id="37"/>
      <w:r/>
      <w:bookmarkEnd w:id="38"/>
      <w:r/>
      <w:bookmarkEnd w:id="39"/>
      <w:r/>
      <w:bookmarkEnd w:id="40"/>
      <w:r>
        <w:rPr>
          <w:rFonts w:hint="eastAsia" w:ascii="宋体" w:hAnsi="宋体" w:eastAsia="宋体" w:cs="宋体"/>
          <w:b/>
          <w:bCs/>
          <w:szCs w:val="21"/>
          <w:highlight w:val="none"/>
        </w:rPr>
      </w:r>
      <w:r/>
    </w:p>
    <w:p>
      <w:pPr>
        <w:pStyle w:val="1033"/>
        <w:numPr>
          <w:ilvl w:val="0"/>
          <w:numId w:val="6"/>
        </w:numPr>
        <w:ind w:firstLine="422"/>
        <w:rPr>
          <w:rFonts w:hint="eastAsia" w:ascii="宋体" w:hAnsi="宋体" w:eastAsia="宋体" w:cs="宋体"/>
          <w:b/>
          <w:bCs/>
          <w:szCs w:val="21"/>
          <w:highlight w:val="none"/>
        </w:rPr>
      </w:pPr>
      <w:r/>
      <w:bookmarkStart w:id="41" w:name="_Toc209510679"/>
      <w:r>
        <w:rPr>
          <w:rFonts w:hint="eastAsia" w:ascii="宋体" w:hAnsi="宋体" w:eastAsia="宋体" w:cs="宋体"/>
          <w:b/>
          <w:bCs/>
          <w:szCs w:val="21"/>
          <w:highlight w:val="none"/>
        </w:rPr>
        <w:t xml:space="preserve">招标文件组成</w:t>
      </w:r>
      <w:bookmarkEnd w:id="41"/>
      <w:r>
        <w:rPr>
          <w:rFonts w:hint="eastAsia" w:ascii="宋体" w:hAnsi="宋体" w:eastAsia="宋体" w:cs="宋体"/>
          <w:b/>
          <w:bCs/>
          <w:szCs w:val="21"/>
          <w:highlight w:val="none"/>
        </w:rPr>
      </w:r>
      <w:r/>
    </w:p>
    <w:p>
      <w:pPr>
        <w:pStyle w:val="1033"/>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招标文件包括以下主要内容：</w:t>
      </w:r>
      <w:r>
        <w:rPr>
          <w:rFonts w:hint="eastAsia" w:ascii="宋体" w:hAnsi="宋体" w:eastAsia="宋体" w:cs="宋体"/>
          <w:szCs w:val="21"/>
          <w:highlight w:val="none"/>
        </w:rPr>
      </w:r>
      <w:r/>
    </w:p>
    <w:p>
      <w:pPr>
        <w:pStyle w:val="1033"/>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招标公告；</w:t>
      </w:r>
      <w:r>
        <w:rPr>
          <w:rFonts w:hint="eastAsia" w:ascii="宋体" w:hAnsi="宋体" w:eastAsia="宋体" w:cs="宋体"/>
          <w:szCs w:val="21"/>
          <w:highlight w:val="none"/>
          <w:lang w:eastAsia="en-US"/>
        </w:rPr>
      </w:r>
      <w:r/>
    </w:p>
    <w:p>
      <w:pPr>
        <w:pStyle w:val="1033"/>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投标人须知；</w:t>
      </w:r>
      <w:r>
        <w:rPr>
          <w:rFonts w:hint="eastAsia" w:ascii="宋体" w:hAnsi="宋体" w:eastAsia="宋体" w:cs="宋体"/>
          <w:szCs w:val="21"/>
          <w:highlight w:val="none"/>
          <w:lang w:eastAsia="en-US"/>
        </w:rPr>
      </w:r>
      <w:r/>
    </w:p>
    <w:p>
      <w:pPr>
        <w:pStyle w:val="1033"/>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评标标准；</w:t>
      </w:r>
      <w:r>
        <w:rPr>
          <w:rFonts w:hint="eastAsia" w:ascii="宋体" w:hAnsi="宋体" w:eastAsia="宋体" w:cs="宋体"/>
          <w:szCs w:val="21"/>
          <w:highlight w:val="none"/>
          <w:lang w:eastAsia="en-US"/>
        </w:rPr>
      </w:r>
      <w:r/>
    </w:p>
    <w:p>
      <w:pPr>
        <w:pStyle w:val="1033"/>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采购需求；</w:t>
      </w:r>
      <w:r>
        <w:rPr>
          <w:rFonts w:hint="eastAsia" w:ascii="宋体" w:hAnsi="宋体" w:eastAsia="宋体" w:cs="宋体"/>
          <w:szCs w:val="21"/>
          <w:highlight w:val="none"/>
          <w:lang w:eastAsia="en-US"/>
        </w:rPr>
      </w:r>
      <w:r/>
    </w:p>
    <w:p>
      <w:pPr>
        <w:pStyle w:val="1033"/>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合同主要条款及格式；</w:t>
      </w:r>
      <w:r>
        <w:rPr>
          <w:rFonts w:hint="eastAsia" w:ascii="宋体" w:hAnsi="宋体" w:eastAsia="宋体" w:cs="宋体"/>
          <w:szCs w:val="21"/>
          <w:highlight w:val="none"/>
          <w:lang w:eastAsia="en-US"/>
        </w:rPr>
      </w:r>
      <w:r/>
    </w:p>
    <w:p>
      <w:pPr>
        <w:pStyle w:val="1033"/>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投标文件格式及附件。</w:t>
      </w:r>
      <w:r>
        <w:rPr>
          <w:rFonts w:hint="eastAsia" w:ascii="宋体" w:hAnsi="宋体" w:eastAsia="宋体" w:cs="宋体"/>
          <w:szCs w:val="21"/>
          <w:highlight w:val="none"/>
          <w:lang w:eastAsia="en-US"/>
        </w:rPr>
      </w:r>
      <w:r/>
    </w:p>
    <w:p>
      <w:pPr>
        <w:pStyle w:val="1033"/>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如标书制作工具中格式和内容与“江苏政府采购网”发布的招标文件不一致的，以上述网站发布的招标文件为准。</w:t>
      </w:r>
      <w:r>
        <w:rPr>
          <w:rFonts w:hint="eastAsia" w:ascii="宋体" w:hAnsi="宋体" w:eastAsia="宋体" w:cs="宋体"/>
          <w:szCs w:val="21"/>
          <w:highlight w:val="none"/>
        </w:rPr>
      </w:r>
      <w:r/>
    </w:p>
    <w:p>
      <w:pPr>
        <w:pStyle w:val="1033"/>
        <w:numPr>
          <w:ilvl w:val="0"/>
          <w:numId w:val="11"/>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eastAsia="宋体" w:cs="宋体"/>
          <w:szCs w:val="21"/>
          <w:highlight w:val="none"/>
        </w:rPr>
      </w:r>
      <w:r/>
    </w:p>
    <w:p>
      <w:pPr>
        <w:pStyle w:val="1033"/>
        <w:numPr>
          <w:ilvl w:val="0"/>
          <w:numId w:val="11"/>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采购代理机构如果要求投标人按照招标文件规定提交备选投标方案的，投标人可以提交备选方案；否则，备选方案将被拒绝。</w:t>
      </w:r>
      <w:r>
        <w:rPr>
          <w:rFonts w:hint="eastAsia" w:ascii="宋体" w:hAnsi="宋体" w:eastAsia="宋体" w:cs="宋体"/>
          <w:szCs w:val="21"/>
          <w:highlight w:val="none"/>
        </w:rPr>
      </w:r>
      <w:r/>
    </w:p>
    <w:p>
      <w:pPr>
        <w:pStyle w:val="1033"/>
        <w:numPr>
          <w:ilvl w:val="0"/>
          <w:numId w:val="11"/>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招标文件中要求的产品品牌或型号，是采购人根据项目所要实现的功能推荐的品牌或型号，仅供投标人参考，并不是限制条件。</w:t>
      </w:r>
      <w:r>
        <w:rPr>
          <w:rFonts w:hint="eastAsia" w:ascii="宋体" w:hAnsi="宋体" w:eastAsia="宋体" w:cs="宋体"/>
          <w:szCs w:val="21"/>
          <w:highlight w:val="none"/>
        </w:rPr>
      </w:r>
      <w:r/>
    </w:p>
    <w:p>
      <w:pPr>
        <w:pStyle w:val="1033"/>
        <w:numPr>
          <w:ilvl w:val="0"/>
          <w:numId w:val="6"/>
        </w:numPr>
        <w:ind w:firstLine="422"/>
        <w:rPr>
          <w:rFonts w:hint="eastAsia" w:ascii="宋体" w:hAnsi="宋体" w:eastAsia="宋体" w:cs="宋体"/>
          <w:b/>
          <w:bCs/>
          <w:szCs w:val="21"/>
          <w:highlight w:val="none"/>
        </w:rPr>
      </w:pPr>
      <w:r/>
      <w:bookmarkStart w:id="42" w:name="_Toc209510680"/>
      <w:r>
        <w:rPr>
          <w:rFonts w:hint="eastAsia" w:ascii="宋体" w:hAnsi="宋体" w:eastAsia="宋体" w:cs="宋体"/>
          <w:b/>
          <w:bCs/>
          <w:szCs w:val="21"/>
          <w:highlight w:val="none"/>
        </w:rPr>
        <w:t xml:space="preserve">招标文件的澄清或者修改</w:t>
      </w:r>
      <w:bookmarkEnd w:id="42"/>
      <w:r>
        <w:rPr>
          <w:rFonts w:hint="eastAsia" w:ascii="宋体" w:hAnsi="宋体" w:eastAsia="宋体" w:cs="宋体"/>
          <w:b/>
          <w:bCs/>
          <w:szCs w:val="21"/>
          <w:highlight w:val="none"/>
        </w:rPr>
      </w:r>
      <w:r/>
    </w:p>
    <w:p>
      <w:pPr>
        <w:pStyle w:val="1033"/>
        <w:numPr>
          <w:ilvl w:val="0"/>
          <w:numId w:val="12"/>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rPr>
        <w:t xml:space="preserve">采购人或者采购代理机构可以对已发出的招标文件进行必要的澄清或者修改，但不得改变采购标的和资格条件。澄清或者修改应当在原公告发布媒体上发布澄清公告。</w:t>
      </w:r>
      <w:r>
        <w:rPr>
          <w:rFonts w:hint="eastAsia" w:ascii="宋体" w:hAnsi="宋体" w:eastAsia="宋体" w:cs="宋体"/>
          <w:szCs w:val="21"/>
          <w:highlight w:val="none"/>
          <w:lang w:eastAsia="en-US"/>
        </w:rPr>
        <w:t xml:space="preserve">澄清或者修改的内容为招标文件的组成部分。</w:t>
      </w:r>
      <w:r>
        <w:rPr>
          <w:rFonts w:hint="eastAsia" w:ascii="宋体" w:hAnsi="宋体" w:eastAsia="宋体" w:cs="宋体"/>
          <w:szCs w:val="21"/>
          <w:highlight w:val="none"/>
          <w:lang w:eastAsia="en-US"/>
        </w:rPr>
      </w:r>
      <w:r/>
    </w:p>
    <w:p>
      <w:pPr>
        <w:pStyle w:val="1033"/>
        <w:numPr>
          <w:ilvl w:val="0"/>
          <w:numId w:val="12"/>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eastAsia="宋体" w:cs="宋体"/>
          <w:szCs w:val="21"/>
          <w:highlight w:val="none"/>
        </w:rPr>
      </w:r>
      <w:r/>
    </w:p>
    <w:p>
      <w:pPr>
        <w:pStyle w:val="1033"/>
        <w:numPr>
          <w:ilvl w:val="0"/>
          <w:numId w:val="12"/>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szCs w:val="21"/>
          <w:highlight w:val="none"/>
        </w:rPr>
      </w:r>
      <w:r/>
    </w:p>
    <w:p>
      <w:pPr>
        <w:pStyle w:val="1033"/>
        <w:numPr>
          <w:ilvl w:val="0"/>
          <w:numId w:val="5"/>
        </w:numPr>
        <w:rPr>
          <w:rFonts w:hint="eastAsia" w:ascii="宋体" w:hAnsi="宋体" w:eastAsia="宋体" w:cs="宋体"/>
          <w:b/>
          <w:bCs/>
          <w:szCs w:val="21"/>
          <w:highlight w:val="none"/>
        </w:rPr>
        <w:outlineLvl w:val="1"/>
      </w:pPr>
      <w:r/>
      <w:bookmarkStart w:id="43" w:name="_Toc3559"/>
      <w:r/>
      <w:bookmarkStart w:id="44" w:name="_Toc209510681"/>
      <w:r/>
      <w:bookmarkStart w:id="45" w:name="_Toc19603"/>
      <w:r/>
      <w:bookmarkStart w:id="46" w:name="_Toc22828"/>
      <w:r/>
      <w:bookmarkStart w:id="47" w:name="_Toc6845"/>
      <w:r/>
      <w:bookmarkStart w:id="48" w:name="_Toc7702"/>
      <w:r/>
      <w:bookmarkStart w:id="49" w:name="_Toc209510617"/>
      <w:r/>
      <w:bookmarkStart w:id="50" w:name="_Toc10311"/>
      <w:r>
        <w:rPr>
          <w:rFonts w:hint="eastAsia" w:ascii="宋体" w:hAnsi="宋体" w:eastAsia="宋体" w:cs="宋体"/>
          <w:b/>
          <w:bCs/>
          <w:szCs w:val="21"/>
          <w:highlight w:val="none"/>
        </w:rPr>
        <w:t xml:space="preserve">投标文件的编制</w:t>
      </w:r>
      <w:bookmarkEnd w:id="43"/>
      <w:r/>
      <w:bookmarkEnd w:id="44"/>
      <w:r/>
      <w:bookmarkEnd w:id="45"/>
      <w:r/>
      <w:bookmarkEnd w:id="46"/>
      <w:r/>
      <w:bookmarkEnd w:id="47"/>
      <w:r/>
      <w:bookmarkEnd w:id="48"/>
      <w:r/>
      <w:bookmarkEnd w:id="49"/>
      <w:r/>
      <w:bookmarkEnd w:id="50"/>
      <w:r>
        <w:rPr>
          <w:rFonts w:hint="eastAsia" w:ascii="宋体" w:hAnsi="宋体" w:eastAsia="宋体" w:cs="宋体"/>
          <w:b/>
          <w:bCs/>
          <w:szCs w:val="21"/>
          <w:highlight w:val="none"/>
        </w:rPr>
      </w:r>
      <w:r/>
    </w:p>
    <w:p>
      <w:pPr>
        <w:pStyle w:val="1033"/>
        <w:numPr>
          <w:ilvl w:val="0"/>
          <w:numId w:val="13"/>
        </w:numPr>
        <w:ind w:left="0" w:firstLine="422"/>
        <w:rPr>
          <w:rFonts w:hint="eastAsia" w:ascii="宋体" w:hAnsi="宋体" w:eastAsia="宋体" w:cs="宋体"/>
          <w:b/>
          <w:bCs/>
          <w:szCs w:val="21"/>
          <w:highlight w:val="none"/>
        </w:rPr>
      </w:pPr>
      <w:r/>
      <w:bookmarkStart w:id="51" w:name="_Toc209510682"/>
      <w:r>
        <w:rPr>
          <w:rFonts w:hint="eastAsia" w:ascii="宋体" w:hAnsi="宋体" w:eastAsia="宋体" w:cs="宋体"/>
          <w:b/>
          <w:bCs/>
          <w:szCs w:val="21"/>
          <w:highlight w:val="none"/>
        </w:rPr>
        <w:t xml:space="preserve">投标文件的语言、计量单位、货币和编制</w:t>
      </w:r>
      <w:bookmarkEnd w:id="51"/>
      <w:r>
        <w:rPr>
          <w:rFonts w:hint="eastAsia" w:ascii="宋体" w:hAnsi="宋体" w:eastAsia="宋体" w:cs="宋体"/>
          <w:b/>
          <w:bCs/>
          <w:szCs w:val="21"/>
          <w:highlight w:val="none"/>
        </w:rPr>
      </w:r>
      <w:r/>
    </w:p>
    <w:p>
      <w:pPr>
        <w:pStyle w:val="1033"/>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投标人提交的投标文件、技术文件和资料，包括图纸中的说明，以及投标人与采购代理机构就有关投标的所有来往函电均应使用</w:t>
      </w:r>
      <w:r>
        <w:rPr>
          <w:rFonts w:hint="eastAsia" w:ascii="宋体" w:hAnsi="宋体" w:eastAsia="宋体" w:cs="宋体"/>
          <w:szCs w:val="21"/>
          <w:highlight w:val="none"/>
          <w:lang w:val="en-US" w:eastAsia="zh-CN"/>
        </w:rPr>
        <w:t xml:space="preserve">简体</w:t>
      </w:r>
      <w:r>
        <w:rPr>
          <w:rFonts w:hint="eastAsia" w:ascii="宋体" w:hAnsi="宋体" w:eastAsia="宋体" w:cs="宋体"/>
          <w:szCs w:val="21"/>
          <w:highlight w:val="none"/>
        </w:rPr>
        <w:t xml:space="preserve">中文。</w:t>
      </w:r>
      <w:r>
        <w:rPr>
          <w:rFonts w:hint="eastAsia" w:ascii="宋体" w:hAnsi="宋体" w:eastAsia="宋体" w:cs="宋体"/>
          <w:b/>
          <w:bCs/>
          <w:color w:val="943734"/>
          <w:szCs w:val="21"/>
          <w:highlight w:val="none"/>
        </w:rPr>
        <w:t xml:space="preserve">投标文件中如涉及外文资料，应同时提供由专业翻译机构出具或投标人自行翻译的中文译本。如中外文内容存在不一致，一律以中文译本为准。</w:t>
      </w:r>
      <w:r>
        <w:rPr>
          <w:rFonts w:hint="eastAsia" w:ascii="宋体" w:hAnsi="宋体" w:eastAsia="宋体" w:cs="宋体"/>
          <w:szCs w:val="21"/>
          <w:highlight w:val="none"/>
        </w:rPr>
      </w:r>
      <w:r/>
    </w:p>
    <w:p>
      <w:pPr>
        <w:pStyle w:val="1033"/>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投标人所使用的计量单位应为国家法定计量单位。</w:t>
      </w:r>
      <w:r>
        <w:rPr>
          <w:rFonts w:hint="eastAsia" w:ascii="宋体" w:hAnsi="宋体" w:eastAsia="宋体" w:cs="宋体"/>
          <w:szCs w:val="21"/>
          <w:highlight w:val="none"/>
        </w:rPr>
      </w:r>
      <w:r/>
    </w:p>
    <w:p>
      <w:pPr>
        <w:pStyle w:val="1033"/>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投标人应用人民币报价。投标产品如果是进口产品的，应提供人民币与</w:t>
      </w:r>
      <w:r>
        <w:rPr>
          <w:rFonts w:hint="eastAsia" w:ascii="宋体" w:hAnsi="宋体" w:eastAsia="宋体" w:cs="宋体"/>
          <w:b/>
          <w:szCs w:val="21"/>
          <w:highlight w:val="none"/>
        </w:rPr>
        <w:t xml:space="preserve">外币之间的汇率。</w:t>
      </w:r>
      <w:r>
        <w:rPr>
          <w:rFonts w:hint="eastAsia" w:ascii="宋体" w:hAnsi="宋体" w:eastAsia="宋体" w:cs="宋体"/>
          <w:szCs w:val="21"/>
          <w:highlight w:val="none"/>
        </w:rPr>
      </w:r>
      <w:r/>
    </w:p>
    <w:p>
      <w:pPr>
        <w:pStyle w:val="1033"/>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投标文件应按照招标文件的规定编写并制作目录。</w:t>
      </w:r>
      <w:r>
        <w:rPr>
          <w:rFonts w:hint="eastAsia" w:ascii="宋体" w:hAnsi="宋体" w:eastAsia="宋体" w:cs="宋体"/>
          <w:szCs w:val="21"/>
          <w:highlight w:val="none"/>
        </w:rPr>
      </w:r>
      <w:r/>
    </w:p>
    <w:p>
      <w:pPr>
        <w:pStyle w:val="1033"/>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投标人应在投标文件中写清相应的项目编号、项目名称、投标人全称、地址、电话、传真等。</w:t>
      </w:r>
      <w:r>
        <w:rPr>
          <w:rFonts w:hint="eastAsia" w:ascii="宋体" w:hAnsi="宋体" w:eastAsia="宋体" w:cs="宋体"/>
          <w:szCs w:val="21"/>
          <w:highlight w:val="none"/>
        </w:rPr>
      </w:r>
      <w:r/>
    </w:p>
    <w:p>
      <w:pPr>
        <w:pStyle w:val="1033"/>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eastAsia="宋体" w:cs="宋体"/>
          <w:szCs w:val="21"/>
          <w:highlight w:val="none"/>
        </w:rPr>
      </w:r>
      <w:r/>
    </w:p>
    <w:p>
      <w:pPr>
        <w:pStyle w:val="1033"/>
        <w:numPr>
          <w:ilvl w:val="0"/>
          <w:numId w:val="13"/>
        </w:numPr>
        <w:ind w:left="0"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联合体投标（本项目不适用）</w:t>
      </w:r>
      <w:r>
        <w:rPr>
          <w:rFonts w:hint="eastAsia" w:ascii="宋体" w:hAnsi="宋体" w:eastAsia="宋体" w:cs="宋体"/>
          <w:b/>
          <w:szCs w:val="21"/>
          <w:highlight w:val="none"/>
        </w:rPr>
      </w:r>
      <w:r/>
    </w:p>
    <w:p>
      <w:pPr>
        <w:pStyle w:val="1033"/>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投标文件的组成</w:t>
      </w:r>
      <w:r>
        <w:rPr>
          <w:rFonts w:hint="eastAsia" w:ascii="宋体" w:hAnsi="宋体" w:eastAsia="宋体" w:cs="宋体"/>
          <w:b/>
          <w:szCs w:val="21"/>
          <w:highlight w:val="none"/>
          <w:lang w:eastAsia="en-US"/>
        </w:rPr>
      </w:r>
      <w:r/>
    </w:p>
    <w:p>
      <w:pPr>
        <w:pStyle w:val="1033"/>
        <w:numPr>
          <w:ilvl w:val="0"/>
          <w:numId w:val="1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供应商编写的投标文件应包括资格证明文件、符合性证明文件、投标分项报价表、响应及偏离表、其他证明文件、投标函、开标一览表等部分</w:t>
      </w:r>
      <w:r>
        <w:rPr>
          <w:rFonts w:hint="eastAsia" w:ascii="宋体" w:hAnsi="宋体" w:eastAsia="宋体" w:cs="宋体"/>
          <w:b/>
          <w:szCs w:val="21"/>
          <w:highlight w:val="none"/>
        </w:rPr>
        <w:t xml:space="preserve">。</w:t>
      </w:r>
      <w:r>
        <w:rPr>
          <w:rFonts w:hint="eastAsia" w:ascii="宋体" w:hAnsi="宋体" w:eastAsia="宋体" w:cs="宋体"/>
          <w:szCs w:val="21"/>
          <w:highlight w:val="none"/>
        </w:rPr>
      </w:r>
      <w:r/>
    </w:p>
    <w:p>
      <w:pPr>
        <w:pStyle w:val="1033"/>
        <w:numPr>
          <w:ilvl w:val="0"/>
          <w:numId w:val="1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如标书制作工具中格式和内容与“江苏政府采购网”发布的招标文件不一致，以“江苏政府采购网”发布的招标文件为准。</w:t>
      </w:r>
      <w:r>
        <w:rPr>
          <w:rFonts w:hint="eastAsia" w:ascii="宋体" w:hAnsi="宋体" w:eastAsia="宋体" w:cs="宋体"/>
          <w:szCs w:val="21"/>
          <w:highlight w:val="none"/>
        </w:rPr>
      </w:r>
      <w:r/>
    </w:p>
    <w:p>
      <w:pPr>
        <w:pStyle w:val="1033"/>
        <w:numPr>
          <w:ilvl w:val="0"/>
          <w:numId w:val="1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供应商应当根据招标文件要求编制投标文件，投标文件应对招标文件提出的要求和条件作出实质性响</w:t>
      </w:r>
      <w:r>
        <w:rPr>
          <w:rFonts w:hint="eastAsia" w:ascii="宋体" w:hAnsi="宋体" w:eastAsia="宋体" w:cs="宋体"/>
          <w:szCs w:val="21"/>
          <w:highlight w:val="none"/>
        </w:rPr>
        <w:t xml:space="preserve">应，并在《商务条款偏离表》和《技术条款偏离表》等处逐条标明满足与否。对带星号（“★”）的技术条款须在投标文件中提供招标文件技术参数中所要求的技术支持资料（如白皮书、彩页、手册、检测报告等），未提供技术支持资料的，或未对招标文件做出实质性响应，将导致投标文件被视为无效，若评分细则另有规定的以评分细则规定为准。对带▲号参数指标（如有）为主要技术参数要求，投标文件中须提供技术参数中所要求提供的货物、软件操作界面的图片或其他材料以佐证，否则将视为未响应▲号参数，作负偏离处理，若评分细则另有规定的以评分细则规定为准。</w:t>
      </w:r>
      <w:r>
        <w:rPr>
          <w:rFonts w:hint="eastAsia" w:ascii="宋体" w:hAnsi="宋体" w:eastAsia="宋体" w:cs="宋体"/>
          <w:szCs w:val="21"/>
          <w:highlight w:val="none"/>
        </w:rPr>
      </w:r>
      <w:r/>
    </w:p>
    <w:p>
      <w:pPr>
        <w:pStyle w:val="1033"/>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投标文件的商务内容</w:t>
      </w:r>
      <w:r>
        <w:rPr>
          <w:rFonts w:hint="eastAsia" w:ascii="宋体" w:hAnsi="宋体" w:eastAsia="宋体" w:cs="宋体"/>
          <w:b/>
          <w:szCs w:val="21"/>
          <w:highlight w:val="none"/>
          <w:lang w:eastAsia="en-US"/>
        </w:rPr>
      </w:r>
      <w:r/>
    </w:p>
    <w:p>
      <w:pPr>
        <w:pStyle w:val="1033"/>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szCs w:val="21"/>
          <w:highlight w:val="none"/>
        </w:rPr>
        <w:t xml:space="preserve">“</w:t>
      </w:r>
      <w:r>
        <w:rPr>
          <w:rFonts w:hint="eastAsia" w:ascii="宋体" w:hAnsi="宋体" w:eastAsia="宋体" w:cs="宋体"/>
          <w:sz w:val="22"/>
          <w:szCs w:val="22"/>
          <w:highlight w:val="none"/>
        </w:rPr>
        <w:t xml:space="preserve">※</w:t>
      </w:r>
      <w:r>
        <w:rPr>
          <w:rFonts w:hint="eastAsia" w:ascii="宋体" w:hAnsi="宋体" w:eastAsia="宋体" w:cs="宋体"/>
          <w:b/>
          <w:szCs w:val="21"/>
          <w:highlight w:val="none"/>
        </w:rPr>
        <w:t xml:space="preserve">”所述材料不得有缺失或提供不全或不满足招标文件的实质性要求</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33"/>
        <w:numPr>
          <w:ilvl w:val="0"/>
          <w:numId w:val="16"/>
        </w:numPr>
        <w:ind w:firstLine="440"/>
        <w:rPr>
          <w:rFonts w:hint="eastAsia" w:ascii="宋体" w:hAnsi="宋体" w:eastAsia="宋体" w:cs="宋体"/>
          <w:szCs w:val="21"/>
          <w:highlight w:val="none"/>
        </w:rPr>
      </w:pPr>
      <w:r>
        <w:rPr>
          <w:rFonts w:hint="eastAsia" w:ascii="宋体" w:hAnsi="宋体" w:eastAsia="宋体" w:cs="宋体"/>
          <w:sz w:val="22"/>
          <w:szCs w:val="22"/>
          <w:highlight w:val="none"/>
        </w:rPr>
        <w:t xml:space="preserve">※</w:t>
      </w:r>
      <w:r>
        <w:rPr>
          <w:rFonts w:hint="eastAsia" w:ascii="宋体" w:hAnsi="宋体" w:eastAsia="宋体" w:cs="宋体"/>
          <w:szCs w:val="21"/>
          <w:highlight w:val="none"/>
        </w:rPr>
        <w:t xml:space="preserve">投标函（投标申请及声明） ；</w:t>
      </w:r>
      <w:r>
        <w:rPr>
          <w:rFonts w:hint="eastAsia" w:ascii="宋体" w:hAnsi="宋体" w:eastAsia="宋体" w:cs="宋体"/>
          <w:szCs w:val="21"/>
          <w:highlight w:val="none"/>
        </w:rPr>
      </w:r>
      <w:r/>
    </w:p>
    <w:p>
      <w:pPr>
        <w:pStyle w:val="1033"/>
        <w:numPr>
          <w:ilvl w:val="0"/>
          <w:numId w:val="16"/>
        </w:numPr>
        <w:ind w:firstLine="440"/>
        <w:rPr>
          <w:rFonts w:hint="eastAsia" w:ascii="宋体" w:hAnsi="宋体" w:eastAsia="宋体" w:cs="宋体"/>
          <w:szCs w:val="21"/>
          <w:highlight w:val="none"/>
        </w:rPr>
      </w:pPr>
      <w:r>
        <w:rPr>
          <w:rFonts w:hint="eastAsia" w:ascii="宋体" w:hAnsi="宋体" w:eastAsia="宋体" w:cs="宋体"/>
          <w:sz w:val="22"/>
          <w:szCs w:val="22"/>
          <w:highlight w:val="none"/>
        </w:rPr>
        <w:t xml:space="preserve">※</w:t>
      </w:r>
      <w:r>
        <w:rPr>
          <w:rFonts w:hint="eastAsia" w:ascii="宋体" w:hAnsi="宋体" w:eastAsia="宋体" w:cs="宋体"/>
          <w:szCs w:val="21"/>
          <w:highlight w:val="none"/>
        </w:rPr>
        <w:t xml:space="preserve">法人授权书</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法人代表授权书（原件）及法定代表人、授权代表身份证复印件）</w:t>
      </w:r>
      <w:r>
        <w:rPr>
          <w:rFonts w:hint="eastAsia" w:ascii="宋体" w:hAnsi="宋体" w:eastAsia="宋体" w:cs="宋体"/>
          <w:szCs w:val="21"/>
          <w:highlight w:val="none"/>
        </w:rPr>
      </w:r>
      <w:r/>
    </w:p>
    <w:p>
      <w:pPr>
        <w:pStyle w:val="1033"/>
        <w:numPr>
          <w:ilvl w:val="0"/>
          <w:numId w:val="16"/>
        </w:numPr>
        <w:ind w:firstLine="440"/>
        <w:rPr>
          <w:rFonts w:hint="eastAsia" w:ascii="宋体" w:hAnsi="宋体" w:eastAsia="宋体" w:cs="宋体"/>
          <w:szCs w:val="21"/>
          <w:highlight w:val="none"/>
        </w:rPr>
      </w:pPr>
      <w:r>
        <w:rPr>
          <w:rFonts w:hint="eastAsia" w:ascii="宋体" w:hAnsi="宋体" w:eastAsia="宋体" w:cs="宋体"/>
          <w:sz w:val="22"/>
          <w:szCs w:val="22"/>
          <w:highlight w:val="none"/>
        </w:rPr>
        <w:t xml:space="preserve">※</w:t>
      </w:r>
      <w:r>
        <w:rPr>
          <w:rFonts w:hint="eastAsia" w:ascii="宋体" w:hAnsi="宋体" w:eastAsia="宋体" w:cs="宋体"/>
          <w:szCs w:val="21"/>
          <w:highlight w:val="none"/>
        </w:rPr>
        <w:t xml:space="preserve">投标人资格资信证明文件：</w:t>
      </w:r>
      <w:r>
        <w:rPr>
          <w:rFonts w:hint="eastAsia" w:ascii="宋体" w:hAnsi="宋体" w:eastAsia="宋体" w:cs="宋体"/>
          <w:szCs w:val="21"/>
          <w:highlight w:val="none"/>
        </w:rPr>
      </w:r>
      <w:r/>
    </w:p>
    <w:p>
      <w:pPr>
        <w:pStyle w:val="1033"/>
        <w:numPr>
          <w:ilvl w:val="0"/>
          <w:numId w:val="16"/>
        </w:numPr>
        <w:ind w:firstLine="440"/>
        <w:rPr>
          <w:rFonts w:hint="eastAsia" w:ascii="宋体" w:hAnsi="宋体" w:eastAsia="宋体" w:cs="宋体"/>
          <w:szCs w:val="21"/>
          <w:highlight w:val="none"/>
        </w:rPr>
      </w:pPr>
      <w:r>
        <w:rPr>
          <w:rFonts w:hint="eastAsia" w:ascii="宋体" w:hAnsi="宋体" w:eastAsia="宋体" w:cs="宋体"/>
          <w:sz w:val="22"/>
          <w:szCs w:val="22"/>
          <w:highlight w:val="none"/>
        </w:rPr>
        <w:t xml:space="preserve">※</w:t>
      </w:r>
      <w:r>
        <w:rPr>
          <w:rFonts w:hint="eastAsia" w:ascii="宋体" w:hAnsi="宋体" w:eastAsia="宋体" w:cs="宋体"/>
          <w:szCs w:val="21"/>
          <w:highlight w:val="none"/>
        </w:rPr>
        <w:t xml:space="preserve">开标一览表（格式见附件） ；</w:t>
      </w:r>
      <w:r>
        <w:rPr>
          <w:rFonts w:hint="eastAsia" w:ascii="宋体" w:hAnsi="宋体" w:eastAsia="宋体" w:cs="宋体"/>
          <w:szCs w:val="21"/>
          <w:highlight w:val="none"/>
        </w:rPr>
      </w:r>
      <w:r/>
    </w:p>
    <w:p>
      <w:pPr>
        <w:pStyle w:val="1033"/>
        <w:numPr>
          <w:ilvl w:val="0"/>
          <w:numId w:val="16"/>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《商务条款偏离表》；</w:t>
      </w:r>
      <w:r>
        <w:rPr>
          <w:rFonts w:hint="eastAsia" w:ascii="宋体" w:hAnsi="宋体" w:eastAsia="宋体" w:cs="宋体"/>
          <w:szCs w:val="21"/>
          <w:highlight w:val="none"/>
          <w:lang w:eastAsia="en-US"/>
        </w:rPr>
      </w:r>
      <w:r/>
    </w:p>
    <w:p>
      <w:pPr>
        <w:pStyle w:val="1033"/>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（6）分项报价表（格式见附件）；</w:t>
      </w:r>
      <w:r>
        <w:rPr>
          <w:rFonts w:hint="eastAsia" w:ascii="宋体" w:hAnsi="宋体" w:eastAsia="宋体" w:cs="宋体"/>
          <w:sz w:val="22"/>
          <w:szCs w:val="22"/>
          <w:highlight w:val="none"/>
        </w:rPr>
      </w:r>
      <w:r/>
    </w:p>
    <w:p>
      <w:pPr>
        <w:pStyle w:val="1033"/>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（7）第三章评标标准中对应的其他所需证明材料（如有自行添加）；</w:t>
      </w:r>
      <w:r>
        <w:rPr>
          <w:rFonts w:hint="eastAsia" w:ascii="宋体" w:hAnsi="宋体" w:eastAsia="宋体" w:cs="宋体"/>
          <w:sz w:val="22"/>
          <w:szCs w:val="22"/>
          <w:highlight w:val="none"/>
        </w:rPr>
      </w:r>
      <w:r/>
    </w:p>
    <w:p>
      <w:pPr>
        <w:pStyle w:val="1033"/>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（8）要求采购人提供的配合（如有自拟并自行添加）；</w:t>
      </w:r>
      <w:r>
        <w:rPr>
          <w:rFonts w:hint="eastAsia" w:ascii="宋体" w:hAnsi="宋体" w:eastAsia="宋体" w:cs="宋体"/>
          <w:sz w:val="22"/>
          <w:szCs w:val="22"/>
          <w:highlight w:val="none"/>
        </w:rPr>
      </w:r>
      <w:r/>
    </w:p>
    <w:p>
      <w:pPr>
        <w:pStyle w:val="1033"/>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（9）供应商认为需要提供的其他资格证明文件和商务资料。</w:t>
      </w:r>
      <w:r>
        <w:rPr>
          <w:rFonts w:hint="eastAsia" w:ascii="宋体" w:hAnsi="宋体" w:eastAsia="宋体" w:cs="宋体"/>
          <w:sz w:val="22"/>
          <w:szCs w:val="22"/>
          <w:highlight w:val="none"/>
        </w:rPr>
      </w:r>
      <w:r/>
    </w:p>
    <w:p>
      <w:pPr>
        <w:pStyle w:val="1033"/>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投标文件的技术内容</w:t>
      </w:r>
      <w:r>
        <w:rPr>
          <w:rFonts w:hint="eastAsia" w:ascii="宋体" w:hAnsi="宋体" w:eastAsia="宋体" w:cs="宋体"/>
          <w:b/>
          <w:szCs w:val="21"/>
          <w:highlight w:val="none"/>
          <w:lang w:eastAsia="en-US"/>
        </w:rPr>
      </w:r>
      <w:r/>
    </w:p>
    <w:p>
      <w:pPr>
        <w:pStyle w:val="1033"/>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rPr>
          <w:rFonts w:hint="eastAsia" w:ascii="宋体" w:hAnsi="宋体" w:eastAsia="宋体" w:cs="宋体"/>
          <w:sz w:val="22"/>
          <w:szCs w:val="22"/>
          <w:highlight w:val="none"/>
        </w:rPr>
      </w:r>
      <w:r/>
    </w:p>
    <w:p>
      <w:pPr>
        <w:pStyle w:val="1033"/>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（1）货物、服务内容的详细说明；</w:t>
      </w:r>
      <w:r>
        <w:rPr>
          <w:rFonts w:hint="eastAsia" w:ascii="宋体" w:hAnsi="宋体" w:eastAsia="宋体" w:cs="宋体"/>
          <w:sz w:val="22"/>
          <w:szCs w:val="22"/>
          <w:highlight w:val="none"/>
        </w:rPr>
      </w:r>
      <w:r/>
    </w:p>
    <w:p>
      <w:pPr>
        <w:pStyle w:val="1033"/>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（2）※《技术条款偏离表》；</w:t>
      </w:r>
      <w:r>
        <w:rPr>
          <w:rFonts w:hint="eastAsia" w:ascii="宋体" w:hAnsi="宋体" w:eastAsia="宋体" w:cs="宋体"/>
          <w:sz w:val="22"/>
          <w:szCs w:val="22"/>
          <w:highlight w:val="none"/>
        </w:rPr>
      </w:r>
      <w:r/>
    </w:p>
    <w:p>
      <w:pPr>
        <w:pStyle w:val="1033"/>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（3）投标产品配置清单及技术说明；</w:t>
      </w:r>
      <w:r>
        <w:rPr>
          <w:rFonts w:hint="eastAsia" w:ascii="宋体" w:hAnsi="宋体" w:eastAsia="宋体" w:cs="宋体"/>
          <w:sz w:val="22"/>
          <w:szCs w:val="22"/>
          <w:highlight w:val="none"/>
        </w:rPr>
      </w:r>
      <w:r/>
    </w:p>
    <w:p>
      <w:pPr>
        <w:pStyle w:val="1033"/>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（4）货物安装、验收标准、货物技术资料；</w:t>
      </w:r>
      <w:r>
        <w:rPr>
          <w:rFonts w:hint="eastAsia" w:ascii="宋体" w:hAnsi="宋体" w:eastAsia="宋体" w:cs="宋体"/>
          <w:sz w:val="22"/>
          <w:szCs w:val="22"/>
          <w:highlight w:val="none"/>
        </w:rPr>
      </w:r>
      <w:r/>
    </w:p>
    <w:p>
      <w:pPr>
        <w:pStyle w:val="1033"/>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（5）项目实施方案；</w:t>
      </w:r>
      <w:r>
        <w:rPr>
          <w:rFonts w:hint="eastAsia" w:ascii="宋体" w:hAnsi="宋体" w:eastAsia="宋体" w:cs="宋体"/>
          <w:sz w:val="22"/>
          <w:szCs w:val="22"/>
          <w:highlight w:val="none"/>
        </w:rPr>
      </w:r>
      <w:r/>
    </w:p>
    <w:p>
      <w:pPr>
        <w:pStyle w:val="1033"/>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（6）服务承诺；</w:t>
      </w:r>
      <w:r>
        <w:rPr>
          <w:rFonts w:hint="eastAsia" w:ascii="宋体" w:hAnsi="宋体" w:eastAsia="宋体" w:cs="宋体"/>
          <w:sz w:val="22"/>
          <w:szCs w:val="22"/>
          <w:highlight w:val="none"/>
        </w:rPr>
      </w:r>
      <w:r/>
    </w:p>
    <w:p>
      <w:pPr>
        <w:pStyle w:val="1033"/>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（7）供应商认为需要提供的其他技术资料。</w:t>
      </w:r>
      <w:r>
        <w:rPr>
          <w:rFonts w:hint="eastAsia" w:ascii="宋体" w:hAnsi="宋体" w:eastAsia="宋体" w:cs="宋体"/>
          <w:sz w:val="22"/>
          <w:szCs w:val="22"/>
          <w:highlight w:val="none"/>
        </w:rPr>
      </w:r>
      <w:r/>
    </w:p>
    <w:p>
      <w:pPr>
        <w:pStyle w:val="1033"/>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投标文件的价格内容</w:t>
      </w:r>
      <w:r>
        <w:rPr>
          <w:rFonts w:hint="eastAsia" w:ascii="宋体" w:hAnsi="宋体" w:eastAsia="宋体" w:cs="宋体"/>
          <w:b/>
          <w:szCs w:val="21"/>
          <w:highlight w:val="none"/>
          <w:lang w:eastAsia="en-US"/>
        </w:rPr>
      </w:r>
      <w:r/>
    </w:p>
    <w:p>
      <w:pPr>
        <w:pStyle w:val="1033"/>
        <w:numPr>
          <w:ilvl w:val="0"/>
          <w:numId w:val="1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价格部分内容是对采购标的价格构成的说明，招标文件如无特别说明，每一项货物及服务仅接受一个价格。</w:t>
      </w:r>
      <w:r>
        <w:rPr>
          <w:rFonts w:hint="eastAsia" w:ascii="宋体" w:hAnsi="宋体" w:eastAsia="宋体" w:cs="宋体"/>
          <w:szCs w:val="21"/>
          <w:highlight w:val="none"/>
        </w:rPr>
      </w:r>
      <w:r/>
    </w:p>
    <w:p>
      <w:pPr>
        <w:pStyle w:val="1033"/>
        <w:numPr>
          <w:ilvl w:val="0"/>
          <w:numId w:val="1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报价应包含为履行本项目合同项下所有义务的全部含税费用（包括但不限于货物设计、制造、包装、仓储、运输装卸、保险、安装、调试及材料，以及验收合格之前保管、保修期内备品备件、专用工具、伴随服务、技术图纸资料、人员培训发生的所有含税费用，支付给员工的工资和国家强制缴纳的各种社会保障资金），以及投标人认为需要的其他费用等</w:t>
      </w:r>
      <w:r>
        <w:rPr>
          <w:rFonts w:hint="eastAsia" w:ascii="宋体" w:hAnsi="宋体" w:eastAsia="宋体" w:cs="宋体"/>
          <w:b/>
          <w:szCs w:val="21"/>
          <w:highlight w:val="none"/>
        </w:rPr>
        <w:t xml:space="preserve">。</w:t>
      </w:r>
      <w:r>
        <w:rPr>
          <w:rFonts w:hint="eastAsia" w:ascii="宋体" w:hAnsi="宋体" w:eastAsia="宋体" w:cs="宋体"/>
          <w:szCs w:val="21"/>
          <w:highlight w:val="none"/>
        </w:rPr>
      </w:r>
      <w:r/>
    </w:p>
    <w:p>
      <w:pPr>
        <w:pStyle w:val="1033"/>
        <w:numPr>
          <w:ilvl w:val="0"/>
          <w:numId w:val="17"/>
        </w:numPr>
        <w:ind w:firstLine="440"/>
        <w:rPr>
          <w:rFonts w:hint="eastAsia" w:ascii="宋体" w:hAnsi="宋体" w:eastAsia="宋体" w:cs="宋体"/>
          <w:szCs w:val="21"/>
          <w:highlight w:val="none"/>
        </w:rPr>
      </w:pPr>
      <w:r>
        <w:rPr>
          <w:rFonts w:hint="eastAsia" w:ascii="宋体" w:hAnsi="宋体" w:eastAsia="宋体" w:cs="宋体"/>
          <w:sz w:val="22"/>
          <w:szCs w:val="22"/>
          <w:highlight w:val="none"/>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szCs w:val="21"/>
          <w:highlight w:val="none"/>
        </w:rPr>
      </w:r>
      <w:r/>
    </w:p>
    <w:p>
      <w:pPr>
        <w:pStyle w:val="1033"/>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投标文件的其他部分</w:t>
      </w:r>
      <w:r>
        <w:rPr>
          <w:rFonts w:hint="eastAsia" w:ascii="宋体" w:hAnsi="宋体" w:eastAsia="宋体" w:cs="宋体"/>
          <w:b/>
          <w:szCs w:val="21"/>
          <w:highlight w:val="none"/>
          <w:lang w:eastAsia="en-US"/>
        </w:rPr>
      </w:r>
      <w:r/>
    </w:p>
    <w:p>
      <w:pPr>
        <w:pStyle w:val="1033"/>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12.1 其他部分由投标人根据编制投标文件需要提供的其他相关文件组成。</w:t>
      </w:r>
      <w:r>
        <w:rPr>
          <w:rFonts w:hint="eastAsia" w:ascii="宋体" w:hAnsi="宋体" w:eastAsia="宋体" w:cs="宋体"/>
          <w:szCs w:val="21"/>
          <w:highlight w:val="none"/>
        </w:rPr>
      </w:r>
      <w:r/>
    </w:p>
    <w:p>
      <w:pPr>
        <w:pStyle w:val="1033"/>
        <w:numPr>
          <w:ilvl w:val="0"/>
          <w:numId w:val="13"/>
        </w:numPr>
        <w:ind w:left="0"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投标保证金（本项目无需缴纳投标保证金）</w:t>
      </w:r>
      <w:r>
        <w:rPr>
          <w:rFonts w:hint="eastAsia" w:ascii="宋体" w:hAnsi="宋体" w:eastAsia="宋体" w:cs="宋体"/>
          <w:b/>
          <w:szCs w:val="21"/>
          <w:highlight w:val="none"/>
        </w:rPr>
      </w:r>
      <w:r/>
    </w:p>
    <w:p>
      <w:pPr>
        <w:pStyle w:val="1033"/>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投标有效期</w:t>
      </w:r>
      <w:r>
        <w:rPr>
          <w:rFonts w:hint="eastAsia" w:ascii="宋体" w:hAnsi="宋体" w:eastAsia="宋体" w:cs="宋体"/>
          <w:b/>
          <w:szCs w:val="21"/>
          <w:highlight w:val="none"/>
          <w:lang w:eastAsia="en-US"/>
        </w:rPr>
      </w:r>
      <w:r/>
    </w:p>
    <w:p>
      <w:pPr>
        <w:pStyle w:val="1033"/>
        <w:numPr>
          <w:ilvl w:val="0"/>
          <w:numId w:val="1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自开标之日起</w:t>
      </w:r>
      <w:r>
        <w:rPr>
          <w:rFonts w:hint="eastAsia" w:ascii="宋体" w:hAnsi="宋体" w:eastAsia="宋体" w:cs="宋体"/>
          <w:b/>
          <w:szCs w:val="21"/>
          <w:highlight w:val="none"/>
        </w:rPr>
        <w:t xml:space="preserve">90</w:t>
      </w:r>
      <w:r>
        <w:rPr>
          <w:rFonts w:hint="eastAsia" w:ascii="宋体" w:hAnsi="宋体" w:eastAsia="宋体" w:cs="宋体"/>
          <w:szCs w:val="21"/>
          <w:highlight w:val="none"/>
        </w:rPr>
        <w:t xml:space="preserve">天内投标有效</w:t>
      </w:r>
      <w:r>
        <w:rPr>
          <w:rFonts w:hint="eastAsia" w:ascii="宋体" w:hAnsi="宋体" w:eastAsia="宋体" w:cs="宋体"/>
          <w:b/>
          <w:szCs w:val="21"/>
          <w:highlight w:val="none"/>
        </w:rPr>
        <w:t xml:space="preserve">，投标有效期从提交投标文件的截止之日起算。投标文件中承诺的投标有效期应当不少于招标文件中载明的投标有效期。</w:t>
      </w:r>
      <w:r>
        <w:rPr>
          <w:rFonts w:hint="eastAsia" w:ascii="宋体" w:hAnsi="宋体" w:eastAsia="宋体" w:cs="宋体"/>
          <w:szCs w:val="21"/>
          <w:highlight w:val="none"/>
        </w:rPr>
      </w:r>
      <w:r/>
    </w:p>
    <w:p>
      <w:pPr>
        <w:pStyle w:val="1033"/>
        <w:numPr>
          <w:ilvl w:val="0"/>
          <w:numId w:val="1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eastAsia="宋体" w:cs="宋体"/>
          <w:szCs w:val="21"/>
          <w:highlight w:val="none"/>
        </w:rPr>
      </w:r>
      <w:r/>
    </w:p>
    <w:p>
      <w:pPr>
        <w:pStyle w:val="1033"/>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投标文件签署</w:t>
      </w:r>
      <w:r>
        <w:rPr>
          <w:rFonts w:hint="eastAsia" w:ascii="宋体" w:hAnsi="宋体" w:eastAsia="宋体" w:cs="宋体"/>
          <w:b/>
          <w:szCs w:val="21"/>
          <w:highlight w:val="none"/>
          <w:lang w:eastAsia="en-US"/>
        </w:rPr>
      </w:r>
      <w:r/>
    </w:p>
    <w:p>
      <w:pPr>
        <w:pStyle w:val="1033"/>
        <w:ind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15.1 投标文件应按照招标文件要求加盖电子公章，否则视为无效投标。</w:t>
      </w:r>
      <w:r>
        <w:rPr>
          <w:rFonts w:hint="eastAsia" w:ascii="宋体" w:hAnsi="宋体" w:eastAsia="宋体" w:cs="宋体"/>
          <w:szCs w:val="21"/>
          <w:highlight w:val="none"/>
        </w:rPr>
      </w:r>
      <w:r/>
    </w:p>
    <w:p>
      <w:pPr>
        <w:pStyle w:val="1033"/>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投标费用</w:t>
      </w:r>
      <w:r>
        <w:rPr>
          <w:rFonts w:hint="eastAsia" w:ascii="宋体" w:hAnsi="宋体" w:eastAsia="宋体" w:cs="宋体"/>
          <w:b/>
          <w:szCs w:val="21"/>
          <w:highlight w:val="none"/>
          <w:lang w:eastAsia="en-US"/>
        </w:rPr>
      </w:r>
      <w:r/>
    </w:p>
    <w:p>
      <w:pPr>
        <w:pStyle w:val="1033"/>
        <w:ind w:left="420"/>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16.1投标人应自行承担为准备及参与投标所发生的一切费用，无论投标结果如何，采购人和采购代理</w:t>
      </w:r>
      <w:r>
        <w:rPr>
          <w:rFonts w:hint="eastAsia" w:ascii="宋体" w:hAnsi="宋体" w:eastAsia="宋体" w:cs="宋体"/>
          <w:color w:val="000000"/>
          <w:szCs w:val="21"/>
          <w:highlight w:val="none"/>
        </w:rPr>
        <w:t xml:space="preserve">机构对该等费用不承担任何义务与责任。</w:t>
      </w:r>
      <w:r>
        <w:rPr>
          <w:rFonts w:hint="eastAsia" w:ascii="宋体" w:hAnsi="宋体" w:eastAsia="宋体" w:cs="宋体"/>
          <w:color w:val="000000"/>
          <w:szCs w:val="21"/>
          <w:highlight w:val="none"/>
        </w:rPr>
      </w:r>
      <w:r/>
    </w:p>
    <w:p>
      <w:pPr>
        <w:pStyle w:val="1033"/>
        <w:ind w:left="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16.2代理服务费</w:t>
      </w:r>
      <w:r>
        <w:rPr>
          <w:rFonts w:hint="eastAsia" w:ascii="宋体" w:hAnsi="宋体" w:eastAsia="宋体" w:cs="宋体"/>
          <w:bCs/>
          <w:color w:val="000000"/>
          <w:szCs w:val="21"/>
          <w:highlight w:val="none"/>
        </w:rPr>
      </w:r>
      <w:r/>
    </w:p>
    <w:p>
      <w:pPr>
        <w:pStyle w:val="1033"/>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16.2.1支付主体及原因：本项目的代理服务费用己纳入采购项目预算。根据《政府采购代理机构管理暂行办法》(财库(2018)2号)第十五条及《关于进一步规范政府采购活动相关费用管理的通知》(苏财规(2026)1号)相关规定，该项费用</w:t>
      </w:r>
      <w:r>
        <w:rPr>
          <w:rFonts w:hint="eastAsia" w:ascii="宋体" w:hAnsi="宋体" w:eastAsia="宋体" w:cs="宋体"/>
          <w:color w:val="000000"/>
          <w:sz w:val="22"/>
          <w:highlight w:val="none"/>
        </w:rPr>
        <w:t xml:space="preserve">由中标供应商承担并包含在投标报价中，该笔费用综合包含于投标人投标总报价内，投标人报价表无需单独列示此项费用。</w:t>
      </w:r>
      <w:r>
        <w:rPr>
          <w:rFonts w:hint="eastAsia" w:ascii="宋体" w:hAnsi="宋体" w:eastAsia="宋体" w:cs="宋体"/>
          <w:bCs/>
          <w:color w:val="000000"/>
          <w:szCs w:val="21"/>
          <w:highlight w:val="none"/>
        </w:rPr>
      </w:r>
      <w:r/>
    </w:p>
    <w:p>
      <w:pPr>
        <w:pStyle w:val="1033"/>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16.2.2计费依据及标准:本项目代理服务费的计费标准依据采购人与采购代理机构签订的委托代理协议执行。费用以中标金额为基数，按照下表所列费率采用差额定率累进法计算后，按基准费金额的80%计取。</w:t>
      </w:r>
      <w:r>
        <w:rPr>
          <w:rFonts w:hint="eastAsia" w:ascii="宋体" w:hAnsi="宋体" w:eastAsia="宋体" w:cs="宋体"/>
          <w:bCs/>
          <w:color w:val="000000"/>
          <w:szCs w:val="21"/>
          <w:highlight w:val="none"/>
        </w:rPr>
      </w:r>
      <w:r/>
    </w:p>
    <w:tbl>
      <w:tblPr>
        <w:tblW w:w="92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0"/>
        <w:gridCol w:w="2332"/>
        <w:gridCol w:w="2259"/>
        <w:gridCol w:w="2277"/>
      </w:tblGrid>
      <w:tr>
        <w:trPr>
          <w:trHeight w:val="725"/>
        </w:trPr>
        <w:tc>
          <w:tcPr>
            <w:tcW w:w="2410" w:type="dxa"/>
            <w:vAlign w:val="center"/>
            <w:textDirection w:val="lrTb"/>
            <w:noWrap w:val="false"/>
          </w:tcPr>
          <w:p>
            <w:pPr>
              <w:pStyle w:val="1033"/>
              <w:ind w:right="241"/>
              <w:jc w:val="right"/>
              <w:spacing w:before="0" w:after="0"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分类</w:t>
            </w:r>
            <w:r>
              <w:rPr>
                <w:rFonts w:hint="eastAsia" w:ascii="宋体" w:hAnsi="宋体" w:eastAsia="宋体" w:cs="宋体"/>
                <w:bCs/>
                <w:color w:val="000000"/>
                <w:szCs w:val="21"/>
                <w:highlight w:val="none"/>
              </w:rPr>
            </w:r>
            <w:r/>
          </w:p>
          <w:p>
            <w:pPr>
              <w:pStyle w:val="1033"/>
              <w:ind w:firstLine="210"/>
              <w:jc w:val="left"/>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费率</w:t>
            </w:r>
            <w:r>
              <w:rPr>
                <w:rFonts w:hint="eastAsia" w:ascii="宋体" w:hAnsi="宋体" w:eastAsia="宋体" w:cs="宋体"/>
                <w:color w:val="000000"/>
                <w:szCs w:val="21"/>
                <w:highlight w:val="none"/>
              </w:rPr>
            </w:r>
            <w:r/>
          </w:p>
        </w:tc>
        <w:tc>
          <w:tcPr>
            <w:tcW w:w="2332" w:type="dxa"/>
            <w:vAlign w:val="center"/>
            <w:vMerge w:val="restart"/>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货物项目</w:t>
            </w:r>
            <w:r>
              <w:rPr>
                <w:rFonts w:hint="eastAsia" w:ascii="宋体" w:hAnsi="宋体" w:eastAsia="宋体" w:cs="宋体"/>
                <w:color w:val="000000"/>
                <w:szCs w:val="21"/>
                <w:highlight w:val="none"/>
              </w:rPr>
            </w:r>
            <w:r/>
          </w:p>
        </w:tc>
        <w:tc>
          <w:tcPr>
            <w:tcW w:w="2259" w:type="dxa"/>
            <w:vAlign w:val="center"/>
            <w:vMerge w:val="restart"/>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服务项目</w:t>
            </w:r>
            <w:r>
              <w:rPr>
                <w:rFonts w:hint="eastAsia" w:ascii="宋体" w:hAnsi="宋体" w:eastAsia="宋体" w:cs="宋体"/>
                <w:color w:val="000000"/>
                <w:szCs w:val="21"/>
                <w:highlight w:val="none"/>
              </w:rPr>
            </w:r>
            <w:r/>
          </w:p>
        </w:tc>
        <w:tc>
          <w:tcPr>
            <w:tcW w:w="2277" w:type="dxa"/>
            <w:vAlign w:val="center"/>
            <w:vMerge w:val="restart"/>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工程项目</w:t>
            </w:r>
            <w:r>
              <w:rPr>
                <w:rFonts w:hint="eastAsia" w:ascii="宋体" w:hAnsi="宋体" w:eastAsia="宋体" w:cs="宋体"/>
                <w:color w:val="000000"/>
                <w:szCs w:val="21"/>
                <w:highlight w:val="none"/>
              </w:rPr>
            </w:r>
            <w:r/>
          </w:p>
        </w:tc>
      </w:tr>
      <w:tr>
        <w:trPr>
          <w:trHeight w:val="449"/>
        </w:trPr>
        <w:tc>
          <w:tcPr>
            <w:tcW w:w="2410" w:type="dxa"/>
            <w:vAlign w:val="center"/>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中标金额（万元）</w:t>
            </w:r>
            <w:r>
              <w:rPr>
                <w:rFonts w:hint="eastAsia" w:ascii="宋体" w:hAnsi="宋体" w:eastAsia="宋体" w:cs="宋体"/>
                <w:color w:val="000000"/>
                <w:szCs w:val="21"/>
                <w:highlight w:val="none"/>
              </w:rPr>
            </w:r>
            <w:r/>
          </w:p>
        </w:tc>
        <w:tc>
          <w:tcPr>
            <w:tcW w:w="2332" w:type="dxa"/>
            <w:vAlign w:val="center"/>
            <w:vMerge w:val="continue"/>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59" w:type="dxa"/>
            <w:vAlign w:val="center"/>
            <w:vMerge w:val="continue"/>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77" w:type="dxa"/>
            <w:vAlign w:val="center"/>
            <w:vMerge w:val="continue"/>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100以下</w:t>
            </w:r>
            <w:r>
              <w:rPr>
                <w:rFonts w:hint="eastAsia" w:ascii="宋体" w:hAnsi="宋体" w:eastAsia="宋体" w:cs="宋体"/>
                <w:color w:val="000000"/>
                <w:szCs w:val="21"/>
                <w:highlight w:val="none"/>
              </w:rPr>
            </w:r>
            <w:r/>
          </w:p>
        </w:tc>
        <w:tc>
          <w:tcPr>
            <w:tcW w:w="2332" w:type="dxa"/>
            <w:vAlign w:val="center"/>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2259" w:type="dxa"/>
            <w:vAlign w:val="center"/>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2277" w:type="dxa"/>
            <w:vAlign w:val="center"/>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100-500</w:t>
            </w:r>
            <w:r>
              <w:rPr>
                <w:rFonts w:hint="eastAsia" w:ascii="宋体" w:hAnsi="宋体" w:eastAsia="宋体" w:cs="宋体"/>
                <w:color w:val="000000"/>
                <w:szCs w:val="21"/>
                <w:highlight w:val="none"/>
              </w:rPr>
            </w:r>
            <w:r/>
          </w:p>
        </w:tc>
        <w:tc>
          <w:tcPr>
            <w:tcW w:w="2332" w:type="dxa"/>
            <w:vAlign w:val="center"/>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W w:w="2259" w:type="dxa"/>
            <w:vAlign w:val="center"/>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0.8%</w:t>
            </w:r>
            <w:r>
              <w:rPr>
                <w:rFonts w:hint="eastAsia" w:ascii="宋体" w:hAnsi="宋体" w:eastAsia="宋体" w:cs="宋体"/>
                <w:color w:val="000000"/>
                <w:szCs w:val="21"/>
                <w:highlight w:val="none"/>
              </w:rPr>
            </w:r>
            <w:r/>
          </w:p>
        </w:tc>
        <w:tc>
          <w:tcPr>
            <w:tcW w:w="2277" w:type="dxa"/>
            <w:vAlign w:val="center"/>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0.7%</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500-1000</w:t>
            </w:r>
            <w:r>
              <w:rPr>
                <w:rFonts w:hint="eastAsia" w:ascii="宋体" w:hAnsi="宋体" w:eastAsia="宋体" w:cs="宋体"/>
                <w:color w:val="000000"/>
                <w:szCs w:val="21"/>
                <w:highlight w:val="none"/>
              </w:rPr>
            </w:r>
            <w:r/>
          </w:p>
        </w:tc>
        <w:tc>
          <w:tcPr>
            <w:tcW w:w="2332" w:type="dxa"/>
            <w:vAlign w:val="center"/>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0.8%</w:t>
            </w:r>
            <w:r>
              <w:rPr>
                <w:rFonts w:hint="eastAsia" w:ascii="宋体" w:hAnsi="宋体" w:eastAsia="宋体" w:cs="宋体"/>
                <w:color w:val="000000"/>
                <w:szCs w:val="21"/>
                <w:highlight w:val="none"/>
              </w:rPr>
            </w:r>
            <w:r/>
          </w:p>
        </w:tc>
        <w:tc>
          <w:tcPr>
            <w:tcW w:w="2259" w:type="dxa"/>
            <w:vAlign w:val="center"/>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0.45%</w:t>
            </w:r>
            <w:r>
              <w:rPr>
                <w:rFonts w:hint="eastAsia" w:ascii="宋体" w:hAnsi="宋体" w:eastAsia="宋体" w:cs="宋体"/>
                <w:color w:val="000000"/>
                <w:szCs w:val="21"/>
                <w:highlight w:val="none"/>
              </w:rPr>
            </w:r>
            <w:r/>
          </w:p>
        </w:tc>
        <w:tc>
          <w:tcPr>
            <w:tcW w:w="2277" w:type="dxa"/>
            <w:vAlign w:val="center"/>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0.55%</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1000-5000</w:t>
            </w:r>
            <w:r>
              <w:rPr>
                <w:rFonts w:hint="eastAsia" w:ascii="宋体" w:hAnsi="宋体" w:eastAsia="宋体" w:cs="宋体"/>
                <w:color w:val="000000"/>
                <w:szCs w:val="21"/>
                <w:highlight w:val="none"/>
              </w:rPr>
            </w:r>
            <w:r/>
          </w:p>
        </w:tc>
        <w:tc>
          <w:tcPr>
            <w:tcW w:w="2332" w:type="dxa"/>
            <w:vAlign w:val="center"/>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w:t>
            </w:r>
            <w:r>
              <w:rPr>
                <w:rFonts w:hint="eastAsia" w:ascii="宋体" w:hAnsi="宋体" w:eastAsia="宋体" w:cs="宋体"/>
                <w:color w:val="000000"/>
                <w:szCs w:val="21"/>
                <w:highlight w:val="none"/>
              </w:rPr>
            </w:r>
            <w:r/>
          </w:p>
        </w:tc>
        <w:tc>
          <w:tcPr>
            <w:tcW w:w="2259" w:type="dxa"/>
            <w:vAlign w:val="center"/>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0.25%</w:t>
            </w:r>
            <w:r>
              <w:rPr>
                <w:rFonts w:hint="eastAsia" w:ascii="宋体" w:hAnsi="宋体" w:eastAsia="宋体" w:cs="宋体"/>
                <w:color w:val="000000"/>
                <w:szCs w:val="21"/>
                <w:highlight w:val="none"/>
              </w:rPr>
            </w:r>
            <w:r/>
          </w:p>
        </w:tc>
        <w:tc>
          <w:tcPr>
            <w:tcW w:w="2277" w:type="dxa"/>
            <w:vAlign w:val="center"/>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0.35%</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5000-10000</w:t>
            </w:r>
            <w:r>
              <w:rPr>
                <w:rFonts w:hint="eastAsia" w:ascii="宋体" w:hAnsi="宋体" w:eastAsia="宋体" w:cs="宋体"/>
                <w:color w:val="000000"/>
                <w:szCs w:val="21"/>
                <w:highlight w:val="none"/>
              </w:rPr>
            </w:r>
            <w:r/>
          </w:p>
        </w:tc>
        <w:tc>
          <w:tcPr>
            <w:tcW w:w="2332" w:type="dxa"/>
            <w:vAlign w:val="center"/>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0.25%</w:t>
            </w:r>
            <w:r>
              <w:rPr>
                <w:rFonts w:hint="eastAsia" w:ascii="宋体" w:hAnsi="宋体" w:eastAsia="宋体" w:cs="宋体"/>
                <w:color w:val="000000"/>
                <w:szCs w:val="21"/>
                <w:highlight w:val="none"/>
              </w:rPr>
            </w:r>
            <w:r/>
          </w:p>
        </w:tc>
        <w:tc>
          <w:tcPr>
            <w:tcW w:w="2259" w:type="dxa"/>
            <w:vAlign w:val="center"/>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0.1%</w:t>
            </w:r>
            <w:r>
              <w:rPr>
                <w:rFonts w:hint="eastAsia" w:ascii="宋体" w:hAnsi="宋体" w:eastAsia="宋体" w:cs="宋体"/>
                <w:color w:val="000000"/>
                <w:szCs w:val="21"/>
                <w:highlight w:val="none"/>
              </w:rPr>
            </w:r>
            <w:r/>
          </w:p>
        </w:tc>
        <w:tc>
          <w:tcPr>
            <w:tcW w:w="2277" w:type="dxa"/>
            <w:vAlign w:val="center"/>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10000-100000</w:t>
            </w:r>
            <w:r>
              <w:rPr>
                <w:rFonts w:hint="eastAsia" w:ascii="宋体" w:hAnsi="宋体" w:eastAsia="宋体" w:cs="宋体"/>
                <w:color w:val="000000"/>
                <w:szCs w:val="21"/>
                <w:highlight w:val="none"/>
              </w:rPr>
            </w:r>
            <w:r/>
          </w:p>
        </w:tc>
        <w:tc>
          <w:tcPr>
            <w:tcW w:w="2332" w:type="dxa"/>
            <w:vAlign w:val="center"/>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c>
          <w:tcPr>
            <w:tcW w:w="2259" w:type="dxa"/>
            <w:vAlign w:val="center"/>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c>
          <w:tcPr>
            <w:tcW w:w="2277" w:type="dxa"/>
            <w:vAlign w:val="center"/>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r>
      <w:tr>
        <w:trPr>
          <w:trHeight w:val="507"/>
        </w:trPr>
        <w:tc>
          <w:tcPr>
            <w:tcW w:w="2410" w:type="dxa"/>
            <w:vAlign w:val="center"/>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1000000以上</w:t>
            </w:r>
            <w:r>
              <w:rPr>
                <w:rFonts w:hint="eastAsia" w:ascii="宋体" w:hAnsi="宋体" w:eastAsia="宋体" w:cs="宋体"/>
                <w:color w:val="000000"/>
                <w:szCs w:val="21"/>
                <w:highlight w:val="none"/>
              </w:rPr>
            </w:r>
            <w:r/>
          </w:p>
        </w:tc>
        <w:tc>
          <w:tcPr>
            <w:tcW w:w="2332" w:type="dxa"/>
            <w:vAlign w:val="center"/>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c>
          <w:tcPr>
            <w:tcW w:w="2259" w:type="dxa"/>
            <w:vAlign w:val="center"/>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c>
          <w:tcPr>
            <w:tcW w:w="2277" w:type="dxa"/>
            <w:vAlign w:val="center"/>
            <w:textDirection w:val="lrTb"/>
            <w:noWrap w:val="false"/>
          </w:tcPr>
          <w:p>
            <w:pPr>
              <w:pStyle w:val="1033"/>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r>
    </w:tbl>
    <w:p>
      <w:pPr>
        <w:pStyle w:val="1033"/>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16.2.3缴纳时间与方式：</w:t>
      </w:r>
      <w:r>
        <w:rPr>
          <w:rFonts w:hint="eastAsia" w:ascii="宋体" w:hAnsi="宋体" w:eastAsia="宋体" w:cs="宋体"/>
          <w:bCs/>
          <w:color w:val="000000"/>
          <w:szCs w:val="21"/>
          <w:highlight w:val="none"/>
        </w:rPr>
      </w:r>
      <w:r/>
    </w:p>
    <w:p>
      <w:pPr>
        <w:pStyle w:val="1033"/>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（1）缴纳时间：中标供应商在领取中标通知书，一次性足额缴纳全部代理服务费；</w:t>
      </w:r>
      <w:r>
        <w:rPr>
          <w:rFonts w:hint="eastAsia" w:ascii="宋体" w:hAnsi="宋体" w:eastAsia="宋体" w:cs="宋体"/>
          <w:bCs/>
          <w:color w:val="000000"/>
          <w:szCs w:val="21"/>
          <w:highlight w:val="none"/>
        </w:rPr>
      </w:r>
      <w:r/>
    </w:p>
    <w:p>
      <w:pPr>
        <w:pStyle w:val="1033"/>
        <w:numPr>
          <w:ilvl w:val="0"/>
          <w:numId w:val="0"/>
        </w:numPr>
        <w:rPr>
          <w:rFonts w:hint="eastAsia" w:ascii="宋体" w:hAnsi="宋体" w:eastAsia="宋体" w:cs="宋体"/>
          <w:b/>
          <w:color w:val="000000"/>
          <w:szCs w:val="21"/>
          <w:highlight w:val="none"/>
          <w:lang w:eastAsia="en-US"/>
        </w:rPr>
      </w:pPr>
      <w:r>
        <w:rPr>
          <w:rFonts w:hint="eastAsia" w:ascii="宋体" w:hAnsi="宋体" w:eastAsia="宋体" w:cs="宋体"/>
          <w:bCs/>
          <w:color w:val="000000"/>
          <w:szCs w:val="21"/>
          <w:highlight w:val="none"/>
        </w:rPr>
        <w:t xml:space="preserve">（2）缴纳方式：可采用银行电汇、对公转账方式缴纳（以代理机构指定账户/收款要求为准）。</w:t>
      </w:r>
      <w:r>
        <w:rPr>
          <w:rFonts w:hint="eastAsia" w:ascii="宋体" w:hAnsi="宋体" w:eastAsia="宋体" w:cs="宋体"/>
          <w:b/>
          <w:color w:val="000000"/>
          <w:szCs w:val="21"/>
          <w:highlight w:val="none"/>
          <w:lang w:eastAsia="en-US"/>
        </w:rPr>
      </w:r>
      <w:r/>
    </w:p>
    <w:p>
      <w:pPr>
        <w:pStyle w:val="1033"/>
        <w:numPr>
          <w:ilvl w:val="0"/>
          <w:numId w:val="5"/>
        </w:numPr>
        <w:ind w:firstLine="422"/>
        <w:rPr>
          <w:rFonts w:hint="eastAsia" w:ascii="宋体" w:hAnsi="宋体" w:eastAsia="宋体" w:cs="宋体"/>
          <w:b/>
          <w:bCs/>
          <w:color w:val="000000"/>
          <w:szCs w:val="21"/>
          <w:highlight w:val="none"/>
        </w:rPr>
        <w:outlineLvl w:val="1"/>
      </w:pPr>
      <w:r/>
      <w:bookmarkStart w:id="52" w:name="_Toc3953"/>
      <w:r/>
      <w:bookmarkStart w:id="53" w:name="_Toc17969"/>
      <w:r/>
      <w:bookmarkStart w:id="54" w:name="_Toc209510618"/>
      <w:r/>
      <w:bookmarkStart w:id="55" w:name="_Toc209510683"/>
      <w:r/>
      <w:bookmarkStart w:id="56" w:name="_Toc30521"/>
      <w:r/>
      <w:bookmarkStart w:id="57" w:name="_Toc19595"/>
      <w:r/>
      <w:bookmarkStart w:id="58" w:name="_Toc1619"/>
      <w:r/>
      <w:bookmarkStart w:id="59" w:name="_Toc2686"/>
      <w:r>
        <w:rPr>
          <w:rFonts w:hint="eastAsia" w:ascii="宋体" w:hAnsi="宋体" w:eastAsia="宋体" w:cs="宋体"/>
          <w:b/>
          <w:bCs/>
          <w:color w:val="000000"/>
          <w:szCs w:val="21"/>
          <w:highlight w:val="none"/>
        </w:rPr>
        <w:t xml:space="preserve">投标文件的递交</w:t>
      </w:r>
      <w:bookmarkEnd w:id="52"/>
      <w:r/>
      <w:bookmarkEnd w:id="53"/>
      <w:r/>
      <w:bookmarkEnd w:id="54"/>
      <w:r/>
      <w:bookmarkEnd w:id="55"/>
      <w:r/>
      <w:bookmarkEnd w:id="56"/>
      <w:r/>
      <w:bookmarkEnd w:id="57"/>
      <w:r/>
      <w:bookmarkEnd w:id="58"/>
      <w:r/>
      <w:bookmarkEnd w:id="59"/>
      <w:r>
        <w:rPr>
          <w:rFonts w:hint="eastAsia" w:ascii="宋体" w:hAnsi="宋体" w:eastAsia="宋体" w:cs="宋体"/>
          <w:b/>
          <w:bCs/>
          <w:color w:val="000000"/>
          <w:szCs w:val="21"/>
          <w:highlight w:val="none"/>
        </w:rPr>
      </w:r>
      <w:r/>
    </w:p>
    <w:p>
      <w:pPr>
        <w:pStyle w:val="1033"/>
        <w:numPr>
          <w:ilvl w:val="0"/>
          <w:numId w:val="19"/>
        </w:numPr>
        <w:ind w:firstLine="422"/>
        <w:rPr>
          <w:rFonts w:hint="eastAsia" w:ascii="宋体" w:hAnsi="宋体" w:eastAsia="宋体" w:cs="宋体"/>
          <w:b/>
          <w:bCs/>
          <w:color w:val="000000"/>
          <w:szCs w:val="21"/>
          <w:highlight w:val="none"/>
        </w:rPr>
      </w:pPr>
      <w:r/>
      <w:bookmarkStart w:id="60" w:name="_Toc209510684"/>
      <w:r>
        <w:rPr>
          <w:rFonts w:hint="eastAsia" w:ascii="宋体" w:hAnsi="宋体" w:eastAsia="宋体" w:cs="宋体"/>
          <w:b/>
          <w:bCs/>
          <w:color w:val="000000"/>
          <w:szCs w:val="21"/>
          <w:highlight w:val="none"/>
        </w:rPr>
        <w:t xml:space="preserve">投标文件的递交</w:t>
      </w:r>
      <w:bookmarkEnd w:id="60"/>
      <w:r>
        <w:rPr>
          <w:rFonts w:hint="eastAsia" w:ascii="宋体" w:hAnsi="宋体" w:eastAsia="宋体" w:cs="宋体"/>
          <w:b/>
          <w:bCs/>
          <w:color w:val="000000"/>
          <w:szCs w:val="21"/>
          <w:highlight w:val="none"/>
        </w:rPr>
      </w:r>
      <w:r/>
    </w:p>
    <w:p>
      <w:pPr>
        <w:pStyle w:val="1033"/>
        <w:ind w:firstLine="422"/>
        <w:jc w:val="lef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s="宋体"/>
          <w:b/>
          <w:color w:val="000000"/>
          <w:szCs w:val="21"/>
          <w:highlight w:val="none"/>
        </w:rPr>
      </w:r>
      <w:r/>
    </w:p>
    <w:p>
      <w:pPr>
        <w:pStyle w:val="1033"/>
        <w:numPr>
          <w:ilvl w:val="0"/>
          <w:numId w:val="19"/>
        </w:numPr>
        <w:ind w:firstLine="422"/>
        <w:rPr>
          <w:rFonts w:hint="eastAsia" w:ascii="宋体" w:hAnsi="宋体" w:eastAsia="宋体" w:cs="宋体"/>
          <w:b/>
          <w:bCs/>
          <w:color w:val="000000"/>
          <w:szCs w:val="21"/>
          <w:highlight w:val="none"/>
        </w:rPr>
      </w:pPr>
      <w:r/>
      <w:bookmarkStart w:id="61" w:name="_Toc209510685"/>
      <w:r>
        <w:rPr>
          <w:rFonts w:hint="eastAsia" w:ascii="宋体" w:hAnsi="宋体" w:eastAsia="宋体" w:cs="宋体"/>
          <w:b/>
          <w:bCs/>
          <w:color w:val="000000"/>
          <w:szCs w:val="21"/>
          <w:highlight w:val="none"/>
        </w:rPr>
        <w:t xml:space="preserve">投标文件的解密</w:t>
      </w:r>
      <w:bookmarkEnd w:id="61"/>
      <w:r>
        <w:rPr>
          <w:rFonts w:hint="eastAsia" w:ascii="宋体" w:hAnsi="宋体" w:eastAsia="宋体" w:cs="宋体"/>
          <w:b/>
          <w:bCs/>
          <w:color w:val="000000"/>
          <w:szCs w:val="21"/>
          <w:highlight w:val="none"/>
        </w:rPr>
      </w:r>
      <w:r/>
    </w:p>
    <w:p>
      <w:pPr>
        <w:pStyle w:val="1033"/>
        <w:numPr>
          <w:ilvl w:val="0"/>
          <w:numId w:val="20"/>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rPr>
          <w:rFonts w:hint="eastAsia" w:ascii="宋体" w:hAnsi="宋体" w:eastAsia="宋体" w:cs="宋体"/>
          <w:b/>
          <w:color w:val="000000"/>
          <w:szCs w:val="21"/>
          <w:highlight w:val="none"/>
        </w:rPr>
      </w:r>
      <w:r/>
    </w:p>
    <w:p>
      <w:pPr>
        <w:pStyle w:val="1033"/>
        <w:numPr>
          <w:ilvl w:val="0"/>
          <w:numId w:val="20"/>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采购人可以按照规定，通过修改招标文件酌情延长投标截止时间，在此情况下，投标人的所有权利和义务均以延长后新的截止时间为准。</w:t>
      </w:r>
      <w:r>
        <w:rPr>
          <w:rFonts w:hint="eastAsia" w:ascii="宋体" w:hAnsi="宋体" w:eastAsia="宋体" w:cs="宋体"/>
          <w:b/>
          <w:szCs w:val="21"/>
          <w:highlight w:val="none"/>
        </w:rPr>
      </w:r>
      <w:r/>
    </w:p>
    <w:p>
      <w:pPr>
        <w:pStyle w:val="1033"/>
        <w:numPr>
          <w:ilvl w:val="0"/>
          <w:numId w:val="19"/>
        </w:numPr>
        <w:ind w:firstLine="422"/>
        <w:rPr>
          <w:rFonts w:hint="eastAsia" w:ascii="宋体" w:hAnsi="宋体" w:eastAsia="宋体" w:cs="宋体"/>
          <w:b/>
          <w:bCs/>
          <w:szCs w:val="21"/>
          <w:highlight w:val="none"/>
        </w:rPr>
      </w:pPr>
      <w:r/>
      <w:bookmarkStart w:id="62" w:name="_Toc209510686"/>
      <w:r>
        <w:rPr>
          <w:rFonts w:hint="eastAsia" w:ascii="宋体" w:hAnsi="宋体" w:eastAsia="宋体" w:cs="宋体"/>
          <w:b/>
          <w:bCs/>
          <w:szCs w:val="21"/>
          <w:highlight w:val="none"/>
        </w:rPr>
        <w:t xml:space="preserve">投标文件的修改和撤回</w:t>
      </w:r>
      <w:bookmarkEnd w:id="62"/>
      <w:r>
        <w:rPr>
          <w:rFonts w:hint="eastAsia" w:ascii="宋体" w:hAnsi="宋体" w:eastAsia="宋体" w:cs="宋体"/>
          <w:b/>
          <w:bCs/>
          <w:szCs w:val="21"/>
          <w:highlight w:val="none"/>
        </w:rPr>
      </w:r>
      <w:r/>
    </w:p>
    <w:p>
      <w:pPr>
        <w:pStyle w:val="1033"/>
        <w:numPr>
          <w:ilvl w:val="0"/>
          <w:numId w:val="21"/>
        </w:numPr>
        <w:ind w:firstLine="420"/>
        <w:rPr>
          <w:rFonts w:hint="eastAsia" w:ascii="宋体" w:hAnsi="宋体" w:eastAsia="宋体" w:cs="宋体"/>
          <w:b/>
          <w:szCs w:val="21"/>
          <w:highlight w:val="none"/>
        </w:rPr>
      </w:pPr>
      <w:r>
        <w:rPr>
          <w:rFonts w:hint="eastAsia" w:ascii="宋体" w:hAnsi="宋体" w:eastAsia="宋体" w:cs="宋体"/>
          <w:szCs w:val="21"/>
          <w:highlight w:val="none"/>
        </w:rPr>
        <w:t xml:space="preserve">投标文件的撤回</w:t>
      </w:r>
      <w:r>
        <w:rPr>
          <w:rFonts w:hint="eastAsia" w:ascii="宋体" w:hAnsi="宋体" w:eastAsia="宋体" w:cs="宋体"/>
          <w:b/>
          <w:szCs w:val="21"/>
          <w:highlight w:val="none"/>
        </w:rPr>
      </w:r>
      <w:r/>
    </w:p>
    <w:p>
      <w:pPr>
        <w:pStyle w:val="1033"/>
        <w:numPr>
          <w:ilvl w:val="0"/>
          <w:numId w:val="22"/>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投标人可在投标截止时间前撤回其电子投标文件，具体操作方法见《操作手册》。</w:t>
      </w:r>
      <w:r>
        <w:rPr>
          <w:rFonts w:hint="eastAsia" w:ascii="宋体" w:hAnsi="宋体" w:eastAsia="宋体" w:cs="宋体"/>
          <w:szCs w:val="21"/>
          <w:highlight w:val="none"/>
        </w:rPr>
      </w:r>
      <w:r/>
    </w:p>
    <w:p>
      <w:pPr>
        <w:pStyle w:val="1033"/>
        <w:numPr>
          <w:ilvl w:val="0"/>
          <w:numId w:val="22"/>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投标人撤回电子投标文件，则认为其不再参与本项目投标活动。</w:t>
      </w:r>
      <w:r>
        <w:rPr>
          <w:rFonts w:hint="eastAsia" w:ascii="宋体" w:hAnsi="宋体" w:eastAsia="宋体" w:cs="宋体"/>
          <w:szCs w:val="21"/>
          <w:highlight w:val="none"/>
        </w:rPr>
      </w:r>
      <w:r/>
    </w:p>
    <w:p>
      <w:pPr>
        <w:pStyle w:val="1033"/>
        <w:numPr>
          <w:ilvl w:val="0"/>
          <w:numId w:val="21"/>
        </w:numPr>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投标文件的修改</w:t>
      </w:r>
      <w:r>
        <w:rPr>
          <w:rFonts w:hint="eastAsia" w:ascii="宋体" w:hAnsi="宋体" w:eastAsia="宋体" w:cs="宋体"/>
          <w:b/>
          <w:bCs/>
          <w:szCs w:val="21"/>
          <w:highlight w:val="none"/>
        </w:rPr>
      </w:r>
      <w:r/>
    </w:p>
    <w:p>
      <w:pPr>
        <w:pStyle w:val="1033"/>
        <w:numPr>
          <w:ilvl w:val="0"/>
          <w:numId w:val="23"/>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投标人可在投标截止时间前对其电子投标文件进行修改，具体操作方法见《操作手册》。</w:t>
      </w:r>
      <w:r>
        <w:rPr>
          <w:rFonts w:hint="eastAsia" w:ascii="宋体" w:hAnsi="宋体" w:eastAsia="宋体" w:cs="宋体"/>
          <w:szCs w:val="21"/>
          <w:highlight w:val="none"/>
        </w:rPr>
      </w:r>
      <w:r/>
    </w:p>
    <w:p>
      <w:pPr>
        <w:pStyle w:val="1033"/>
        <w:numPr>
          <w:ilvl w:val="0"/>
          <w:numId w:val="23"/>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投标截止时间之后，投标人不得对其电子投标文件作任何修改。</w:t>
      </w:r>
      <w:r>
        <w:rPr>
          <w:rFonts w:hint="eastAsia" w:ascii="宋体" w:hAnsi="宋体" w:eastAsia="宋体" w:cs="宋体"/>
          <w:szCs w:val="21"/>
          <w:highlight w:val="none"/>
        </w:rPr>
      </w:r>
      <w:r/>
    </w:p>
    <w:p>
      <w:pPr>
        <w:pStyle w:val="1033"/>
        <w:numPr>
          <w:ilvl w:val="0"/>
          <w:numId w:val="23"/>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在投标截止时间至招标文件中规定的投标有效期满之间的这段时间内，投标人不得撤回其投标。</w:t>
      </w:r>
      <w:r>
        <w:rPr>
          <w:rFonts w:hint="eastAsia" w:ascii="宋体" w:hAnsi="宋体" w:eastAsia="宋体" w:cs="宋体"/>
          <w:szCs w:val="21"/>
          <w:highlight w:val="none"/>
        </w:rPr>
      </w:r>
      <w:r/>
    </w:p>
    <w:p>
      <w:pPr>
        <w:pStyle w:val="1033"/>
        <w:numPr>
          <w:ilvl w:val="0"/>
          <w:numId w:val="19"/>
        </w:numPr>
        <w:ind w:firstLine="422"/>
        <w:rPr>
          <w:rFonts w:hint="eastAsia" w:ascii="宋体" w:hAnsi="宋体" w:eastAsia="宋体" w:cs="宋体"/>
          <w:b/>
          <w:bCs/>
          <w:szCs w:val="21"/>
          <w:highlight w:val="none"/>
        </w:rPr>
      </w:pPr>
      <w:r/>
      <w:bookmarkStart w:id="63" w:name="_Toc209510687"/>
      <w:r>
        <w:rPr>
          <w:rFonts w:hint="eastAsia" w:ascii="宋体" w:hAnsi="宋体" w:eastAsia="宋体" w:cs="宋体"/>
          <w:b/>
          <w:bCs/>
          <w:szCs w:val="21"/>
          <w:highlight w:val="none"/>
        </w:rPr>
        <w:t xml:space="preserve">诚实信用</w:t>
      </w:r>
      <w:bookmarkEnd w:id="63"/>
      <w:r>
        <w:rPr>
          <w:rFonts w:hint="eastAsia" w:ascii="宋体" w:hAnsi="宋体" w:eastAsia="宋体" w:cs="宋体"/>
          <w:b/>
          <w:bCs/>
          <w:szCs w:val="21"/>
          <w:highlight w:val="none"/>
        </w:rPr>
      </w:r>
      <w:r/>
    </w:p>
    <w:p>
      <w:pPr>
        <w:pStyle w:val="1033"/>
        <w:numPr>
          <w:ilvl w:val="0"/>
          <w:numId w:val="2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投标人应当遵循公平竞争的原则，不得恶意串通，不得妨碍其他投标人的竞争行为，不得损害采购人或者其他投标人的合法权益。</w:t>
      </w:r>
      <w:r>
        <w:rPr>
          <w:rFonts w:hint="eastAsia" w:ascii="宋体" w:hAnsi="宋体" w:eastAsia="宋体" w:cs="宋体"/>
          <w:szCs w:val="21"/>
          <w:highlight w:val="none"/>
        </w:rPr>
      </w:r>
      <w:r/>
    </w:p>
    <w:p>
      <w:pPr>
        <w:pStyle w:val="1033"/>
        <w:numPr>
          <w:ilvl w:val="0"/>
          <w:numId w:val="2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在评标过程中发现投标人有上述情形的，评标委员会应当认定其投标无效，并书面报告本级财政部门。</w:t>
      </w:r>
      <w:r>
        <w:rPr>
          <w:rFonts w:hint="eastAsia" w:ascii="宋体" w:hAnsi="宋体" w:eastAsia="宋体" w:cs="宋体"/>
          <w:szCs w:val="21"/>
          <w:highlight w:val="none"/>
        </w:rPr>
      </w:r>
      <w:r/>
    </w:p>
    <w:p>
      <w:pPr>
        <w:pStyle w:val="1033"/>
        <w:numPr>
          <w:ilvl w:val="0"/>
          <w:numId w:val="5"/>
        </w:numPr>
        <w:ind w:firstLine="422"/>
        <w:rPr>
          <w:rFonts w:hint="eastAsia" w:ascii="宋体" w:hAnsi="宋体" w:eastAsia="宋体" w:cs="宋体"/>
          <w:b/>
          <w:bCs/>
          <w:szCs w:val="21"/>
          <w:highlight w:val="none"/>
        </w:rPr>
        <w:outlineLvl w:val="1"/>
      </w:pPr>
      <w:r/>
      <w:bookmarkStart w:id="64" w:name="_Toc29919"/>
      <w:r/>
      <w:bookmarkStart w:id="65" w:name="_Toc9280"/>
      <w:r/>
      <w:bookmarkStart w:id="66" w:name="_Toc18325"/>
      <w:r/>
      <w:bookmarkStart w:id="67" w:name="_Toc24742"/>
      <w:r/>
      <w:bookmarkStart w:id="68" w:name="_Toc209510688"/>
      <w:r/>
      <w:bookmarkStart w:id="69" w:name="_Toc209510619"/>
      <w:r/>
      <w:bookmarkStart w:id="70" w:name="_Toc9023"/>
      <w:r/>
      <w:bookmarkStart w:id="71" w:name="_Toc1446"/>
      <w:r>
        <w:rPr>
          <w:rFonts w:hint="eastAsia" w:ascii="宋体" w:hAnsi="宋体" w:eastAsia="宋体" w:cs="宋体"/>
          <w:b/>
          <w:bCs/>
          <w:szCs w:val="21"/>
          <w:highlight w:val="none"/>
        </w:rPr>
        <w:t xml:space="preserve">开标、评标与定标</w:t>
      </w:r>
      <w:bookmarkEnd w:id="64"/>
      <w:r/>
      <w:bookmarkEnd w:id="65"/>
      <w:r/>
      <w:bookmarkEnd w:id="66"/>
      <w:r/>
      <w:bookmarkEnd w:id="67"/>
      <w:r/>
      <w:bookmarkEnd w:id="68"/>
      <w:r/>
      <w:bookmarkEnd w:id="69"/>
      <w:r/>
      <w:bookmarkEnd w:id="70"/>
      <w:r/>
      <w:bookmarkEnd w:id="71"/>
      <w:r>
        <w:rPr>
          <w:rFonts w:hint="eastAsia" w:ascii="宋体" w:hAnsi="宋体" w:eastAsia="宋体" w:cs="宋体"/>
          <w:b/>
          <w:bCs/>
          <w:szCs w:val="21"/>
          <w:highlight w:val="none"/>
        </w:rPr>
      </w:r>
      <w:r/>
    </w:p>
    <w:p>
      <w:pPr>
        <w:pStyle w:val="1033"/>
        <w:numPr>
          <w:ilvl w:val="0"/>
          <w:numId w:val="25"/>
        </w:numPr>
        <w:ind w:firstLine="422"/>
        <w:rPr>
          <w:rFonts w:hint="eastAsia" w:ascii="宋体" w:hAnsi="宋体" w:eastAsia="宋体" w:cs="宋体"/>
          <w:b/>
          <w:bCs/>
          <w:szCs w:val="21"/>
          <w:highlight w:val="none"/>
        </w:rPr>
      </w:pPr>
      <w:r/>
      <w:bookmarkStart w:id="72" w:name="_Toc209510689"/>
      <w:r>
        <w:rPr>
          <w:rFonts w:hint="eastAsia" w:ascii="宋体" w:hAnsi="宋体" w:eastAsia="宋体" w:cs="宋体"/>
          <w:b/>
          <w:bCs/>
          <w:szCs w:val="21"/>
          <w:highlight w:val="none"/>
        </w:rPr>
        <w:t xml:space="preserve">开标</w:t>
      </w:r>
      <w:bookmarkEnd w:id="72"/>
      <w:r>
        <w:rPr>
          <w:rFonts w:hint="eastAsia" w:ascii="宋体" w:hAnsi="宋体" w:eastAsia="宋体" w:cs="宋体"/>
          <w:b/>
          <w:bCs/>
          <w:szCs w:val="21"/>
          <w:highlight w:val="none"/>
        </w:rPr>
      </w:r>
      <w:r/>
    </w:p>
    <w:p>
      <w:pPr>
        <w:pStyle w:val="1033"/>
        <w:numPr>
          <w:ilvl w:val="0"/>
          <w:numId w:val="26"/>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rPr>
        <w:t xml:space="preserve">采购人在招标公告中规定的时间和地点组织公开开标。投标人按照《操作手册》规定参加开标活动，并在苏采云系统规定的时间内对投标文件进行解密。</w:t>
      </w:r>
      <w:r>
        <w:rPr>
          <w:rFonts w:hint="eastAsia" w:ascii="宋体" w:hAnsi="宋体" w:eastAsia="宋体" w:cs="宋体"/>
          <w:szCs w:val="21"/>
          <w:highlight w:val="none"/>
          <w:lang w:eastAsia="en-US"/>
        </w:rPr>
        <w:t xml:space="preserve">苏采云系统公布各投标人名称和投标价格。</w:t>
      </w:r>
      <w:r>
        <w:rPr>
          <w:rFonts w:hint="eastAsia" w:ascii="宋体" w:hAnsi="宋体" w:eastAsia="宋体" w:cs="宋体"/>
          <w:szCs w:val="21"/>
          <w:highlight w:val="none"/>
          <w:lang w:eastAsia="en-US"/>
        </w:rPr>
      </w:r>
      <w:r/>
    </w:p>
    <w:p>
      <w:pPr>
        <w:pStyle w:val="1033"/>
        <w:numPr>
          <w:ilvl w:val="0"/>
          <w:numId w:val="26"/>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投标人在开标过程中涉及的投标文件解密、开标结果确认等工作，应按照《操作手册》规定执行。</w:t>
      </w:r>
      <w:r>
        <w:rPr>
          <w:rFonts w:hint="eastAsia" w:ascii="宋体" w:hAnsi="宋体" w:eastAsia="宋体" w:cs="宋体"/>
          <w:szCs w:val="21"/>
          <w:highlight w:val="none"/>
        </w:rPr>
      </w:r>
      <w:r/>
    </w:p>
    <w:p>
      <w:pPr>
        <w:pStyle w:val="1033"/>
        <w:numPr>
          <w:ilvl w:val="0"/>
          <w:numId w:val="26"/>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投标人不足3家的，不得开标。</w:t>
      </w:r>
      <w:r>
        <w:rPr>
          <w:rFonts w:hint="eastAsia" w:ascii="宋体" w:hAnsi="宋体" w:eastAsia="宋体" w:cs="宋体"/>
          <w:szCs w:val="21"/>
          <w:highlight w:val="none"/>
        </w:rPr>
      </w:r>
      <w:r/>
    </w:p>
    <w:p>
      <w:pPr>
        <w:pStyle w:val="1033"/>
        <w:numPr>
          <w:ilvl w:val="0"/>
          <w:numId w:val="26"/>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宋体"/>
          <w:szCs w:val="21"/>
          <w:highlight w:val="none"/>
        </w:rPr>
      </w:r>
      <w:r/>
    </w:p>
    <w:p>
      <w:pPr>
        <w:pStyle w:val="1033"/>
        <w:numPr>
          <w:ilvl w:val="0"/>
          <w:numId w:val="25"/>
        </w:numPr>
        <w:ind w:firstLine="422"/>
        <w:rPr>
          <w:rFonts w:hint="eastAsia" w:ascii="宋体" w:hAnsi="宋体" w:eastAsia="宋体" w:cs="宋体"/>
          <w:b/>
          <w:bCs/>
          <w:szCs w:val="21"/>
          <w:highlight w:val="none"/>
        </w:rPr>
      </w:pPr>
      <w:r/>
      <w:bookmarkStart w:id="73" w:name="_Toc209510690"/>
      <w:r>
        <w:rPr>
          <w:rFonts w:hint="eastAsia" w:ascii="宋体" w:hAnsi="宋体" w:eastAsia="宋体" w:cs="宋体"/>
          <w:b/>
          <w:bCs/>
          <w:szCs w:val="21"/>
          <w:highlight w:val="none"/>
        </w:rPr>
        <w:t xml:space="preserve">评标</w:t>
      </w:r>
      <w:bookmarkEnd w:id="73"/>
      <w:r>
        <w:rPr>
          <w:rFonts w:hint="eastAsia" w:ascii="宋体" w:hAnsi="宋体" w:eastAsia="宋体" w:cs="宋体"/>
          <w:b/>
          <w:bCs/>
          <w:szCs w:val="21"/>
          <w:highlight w:val="none"/>
        </w:rPr>
      </w:r>
      <w:r/>
    </w:p>
    <w:p>
      <w:pPr>
        <w:pStyle w:val="1033"/>
        <w:numPr>
          <w:ilvl w:val="0"/>
          <w:numId w:val="27"/>
        </w:numPr>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评标委员会</w:t>
      </w:r>
      <w:r>
        <w:rPr>
          <w:rFonts w:hint="eastAsia" w:ascii="宋体" w:hAnsi="宋体" w:eastAsia="宋体" w:cs="宋体"/>
          <w:b/>
          <w:bCs/>
          <w:szCs w:val="21"/>
          <w:highlight w:val="none"/>
        </w:rPr>
      </w:r>
      <w:r/>
    </w:p>
    <w:p>
      <w:pPr>
        <w:pStyle w:val="1033"/>
        <w:numPr>
          <w:ilvl w:val="0"/>
          <w:numId w:val="28"/>
        </w:numPr>
        <w:ind w:firstLine="420"/>
        <w:rPr>
          <w:rFonts w:hint="eastAsia" w:ascii="宋体" w:hAnsi="宋体" w:eastAsia="宋体" w:cs="宋体"/>
          <w:bCs/>
          <w:szCs w:val="21"/>
          <w:highlight w:val="none"/>
        </w:rPr>
      </w:pPr>
      <w:r>
        <w:rPr>
          <w:rFonts w:hint="eastAsia" w:ascii="宋体" w:hAnsi="宋体" w:eastAsia="宋体" w:cs="宋体"/>
          <w:bCs/>
          <w:szCs w:val="21"/>
          <w:highlight w:val="none"/>
        </w:rPr>
        <w:t xml:space="preserve">评标由评标委员会（以下简称“评委会”）进行。</w:t>
      </w:r>
      <w:r>
        <w:rPr>
          <w:rFonts w:hint="eastAsia" w:ascii="宋体" w:hAnsi="宋体" w:eastAsia="宋体" w:cs="宋体"/>
          <w:bCs/>
          <w:szCs w:val="21"/>
          <w:highlight w:val="none"/>
        </w:rPr>
      </w:r>
      <w:r/>
    </w:p>
    <w:p>
      <w:pPr>
        <w:pStyle w:val="1033"/>
        <w:numPr>
          <w:ilvl w:val="0"/>
          <w:numId w:val="28"/>
        </w:numPr>
        <w:ind w:firstLine="420"/>
        <w:rPr>
          <w:rFonts w:hint="eastAsia" w:ascii="宋体" w:hAnsi="宋体" w:eastAsia="宋体" w:cs="宋体"/>
          <w:bCs/>
          <w:szCs w:val="21"/>
          <w:highlight w:val="none"/>
        </w:rPr>
      </w:pPr>
      <w:r>
        <w:rPr>
          <w:rFonts w:hint="eastAsia" w:ascii="宋体" w:hAnsi="宋体" w:eastAsia="宋体" w:cs="宋体"/>
          <w:bCs/>
          <w:szCs w:val="21"/>
          <w:highlight w:val="none"/>
        </w:rPr>
        <w:t xml:space="preserve">评委会由采购人代表和有关技术、经济等方面的专家组成，且人员构成符合政府采购有关规定。</w:t>
      </w:r>
      <w:r>
        <w:rPr>
          <w:rFonts w:hint="eastAsia" w:ascii="宋体" w:hAnsi="宋体" w:eastAsia="宋体" w:cs="宋体"/>
          <w:bCs/>
          <w:szCs w:val="21"/>
          <w:highlight w:val="none"/>
        </w:rPr>
      </w:r>
      <w:r/>
    </w:p>
    <w:p>
      <w:pPr>
        <w:pStyle w:val="1033"/>
        <w:numPr>
          <w:ilvl w:val="0"/>
          <w:numId w:val="28"/>
        </w:numPr>
        <w:ind w:firstLine="420"/>
        <w:rPr>
          <w:rFonts w:hint="eastAsia" w:ascii="宋体" w:hAnsi="宋体" w:eastAsia="宋体" w:cs="宋体"/>
          <w:bCs/>
          <w:szCs w:val="21"/>
          <w:highlight w:val="none"/>
        </w:rPr>
      </w:pPr>
      <w:r>
        <w:rPr>
          <w:rFonts w:hint="eastAsia" w:ascii="宋体" w:hAnsi="宋体" w:eastAsia="宋体" w:cs="宋体"/>
          <w:bCs/>
          <w:szCs w:val="21"/>
          <w:highlight w:val="none"/>
        </w:rPr>
        <w:t xml:space="preserve">评委会独立工作，负责评审所有投标文件并推荐中标候选人，或根据采购人授权直接确定中标人。</w:t>
      </w:r>
      <w:r>
        <w:rPr>
          <w:rFonts w:hint="eastAsia" w:ascii="宋体" w:hAnsi="宋体" w:eastAsia="宋体" w:cs="宋体"/>
          <w:bCs/>
          <w:szCs w:val="21"/>
          <w:highlight w:val="none"/>
        </w:rPr>
      </w:r>
      <w:r/>
    </w:p>
    <w:p>
      <w:pPr>
        <w:pStyle w:val="1033"/>
        <w:ind w:firstLine="420"/>
        <w:rPr>
          <w:rFonts w:hint="eastAsia" w:ascii="宋体" w:hAnsi="宋体" w:eastAsia="宋体" w:cs="宋体"/>
          <w:b/>
          <w:szCs w:val="21"/>
          <w:highlight w:val="none"/>
        </w:rPr>
      </w:pPr>
      <w:r>
        <w:rPr>
          <w:rFonts w:hint="eastAsia" w:ascii="宋体" w:hAnsi="宋体" w:eastAsia="宋体" w:cs="宋体"/>
          <w:szCs w:val="21"/>
          <w:highlight w:val="none"/>
        </w:rPr>
        <w:t xml:space="preserve">22.1.1评标委员会负责具体评标事务，并独立履行下列职责：</w:t>
      </w:r>
      <w:r>
        <w:rPr>
          <w:rFonts w:hint="eastAsia" w:ascii="宋体" w:hAnsi="宋体" w:eastAsia="宋体" w:cs="宋体"/>
          <w:b/>
          <w:szCs w:val="21"/>
          <w:highlight w:val="none"/>
        </w:rPr>
      </w:r>
      <w:r/>
    </w:p>
    <w:p>
      <w:pPr>
        <w:pStyle w:val="1033"/>
        <w:numPr>
          <w:ilvl w:val="0"/>
          <w:numId w:val="2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审查、评价投标文件是否符合招标文件的商务、技术等实质性要求；</w:t>
      </w:r>
      <w:r>
        <w:rPr>
          <w:rFonts w:hint="eastAsia" w:ascii="宋体" w:hAnsi="宋体" w:eastAsia="宋体" w:cs="宋体"/>
          <w:szCs w:val="21"/>
          <w:highlight w:val="none"/>
        </w:rPr>
      </w:r>
      <w:r/>
    </w:p>
    <w:p>
      <w:pPr>
        <w:pStyle w:val="1033"/>
        <w:numPr>
          <w:ilvl w:val="0"/>
          <w:numId w:val="2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要求投标人对投标文件有关事项作出澄清或者说明；</w:t>
      </w:r>
      <w:r>
        <w:rPr>
          <w:rFonts w:hint="eastAsia" w:ascii="宋体" w:hAnsi="宋体" w:eastAsia="宋体" w:cs="宋体"/>
          <w:szCs w:val="21"/>
          <w:highlight w:val="none"/>
        </w:rPr>
      </w:r>
      <w:r/>
    </w:p>
    <w:p>
      <w:pPr>
        <w:pStyle w:val="1033"/>
        <w:numPr>
          <w:ilvl w:val="0"/>
          <w:numId w:val="2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对投标文件进行比较和评价；</w:t>
      </w:r>
      <w:r>
        <w:rPr>
          <w:rFonts w:hint="eastAsia" w:ascii="宋体" w:hAnsi="宋体" w:eastAsia="宋体" w:cs="宋体"/>
          <w:szCs w:val="21"/>
          <w:highlight w:val="none"/>
        </w:rPr>
      </w:r>
      <w:r/>
    </w:p>
    <w:p>
      <w:pPr>
        <w:pStyle w:val="1033"/>
        <w:numPr>
          <w:ilvl w:val="0"/>
          <w:numId w:val="2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确定中标候选人名单，以及根据采购人委托直接确定中标人；</w:t>
      </w:r>
      <w:r>
        <w:rPr>
          <w:rFonts w:hint="eastAsia" w:ascii="宋体" w:hAnsi="宋体" w:eastAsia="宋体" w:cs="宋体"/>
          <w:szCs w:val="21"/>
          <w:highlight w:val="none"/>
        </w:rPr>
      </w:r>
      <w:r/>
    </w:p>
    <w:p>
      <w:pPr>
        <w:pStyle w:val="1033"/>
        <w:numPr>
          <w:ilvl w:val="0"/>
          <w:numId w:val="2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向采购人、采购代理机构或者有关部门报告评标中发现的违法行为。</w:t>
      </w:r>
      <w:r>
        <w:rPr>
          <w:rFonts w:hint="eastAsia" w:ascii="宋体" w:hAnsi="宋体" w:eastAsia="宋体" w:cs="宋体"/>
          <w:szCs w:val="21"/>
          <w:highlight w:val="none"/>
        </w:rPr>
      </w:r>
      <w:r/>
    </w:p>
    <w:p>
      <w:pPr>
        <w:pStyle w:val="1033"/>
        <w:numPr>
          <w:ilvl w:val="0"/>
          <w:numId w:val="27"/>
        </w:numPr>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评标程序</w:t>
      </w:r>
      <w:r>
        <w:rPr>
          <w:rFonts w:hint="eastAsia" w:ascii="宋体" w:hAnsi="宋体" w:eastAsia="宋体" w:cs="宋体"/>
          <w:b/>
          <w:bCs/>
          <w:szCs w:val="21"/>
          <w:highlight w:val="none"/>
        </w:rPr>
      </w:r>
      <w:r/>
    </w:p>
    <w:p>
      <w:pPr>
        <w:pStyle w:val="1033"/>
        <w:numPr>
          <w:ilvl w:val="0"/>
          <w:numId w:val="30"/>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投标文件的资格性检查。</w:t>
      </w:r>
      <w:r>
        <w:rPr>
          <w:rFonts w:hint="eastAsia" w:ascii="宋体" w:hAnsi="宋体" w:eastAsia="宋体" w:cs="宋体"/>
          <w:szCs w:val="21"/>
          <w:highlight w:val="none"/>
        </w:rPr>
        <w:t xml:space="preserve">公开招标采购项目开标结束后，采购人或者采购代理机构应当依法对投标人的资格进行审查。合格投标人不足3家的，不得评标。</w:t>
      </w:r>
      <w:r>
        <w:rPr>
          <w:rFonts w:hint="eastAsia" w:ascii="宋体" w:hAnsi="宋体" w:eastAsia="宋体" w:cs="宋体"/>
          <w:b/>
          <w:szCs w:val="21"/>
          <w:highlight w:val="none"/>
        </w:rPr>
      </w:r>
      <w:r/>
    </w:p>
    <w:p>
      <w:pPr>
        <w:pStyle w:val="1033"/>
        <w:numPr>
          <w:ilvl w:val="0"/>
          <w:numId w:val="30"/>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eastAsia="宋体" w:cs="宋体"/>
          <w:b/>
          <w:szCs w:val="21"/>
          <w:highlight w:val="none"/>
        </w:rPr>
      </w:r>
      <w:r/>
    </w:p>
    <w:p>
      <w:pPr>
        <w:pStyle w:val="1033"/>
        <w:numPr>
          <w:ilvl w:val="0"/>
          <w:numId w:val="3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投标人在“苏采云”系统规定的时间内未成功解密电子投标文件的；</w:t>
      </w:r>
      <w:r>
        <w:rPr>
          <w:rFonts w:hint="eastAsia" w:ascii="宋体" w:hAnsi="宋体" w:eastAsia="宋体" w:cs="宋体"/>
          <w:b/>
          <w:szCs w:val="21"/>
          <w:highlight w:val="none"/>
        </w:rPr>
      </w:r>
      <w:r/>
    </w:p>
    <w:p>
      <w:pPr>
        <w:pStyle w:val="1033"/>
        <w:numPr>
          <w:ilvl w:val="0"/>
          <w:numId w:val="3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投标人未按照招标文件要求上传电子投标文件的；</w:t>
      </w:r>
      <w:r>
        <w:rPr>
          <w:rFonts w:hint="eastAsia" w:ascii="宋体" w:hAnsi="宋体" w:eastAsia="宋体" w:cs="宋体"/>
          <w:b/>
          <w:szCs w:val="21"/>
          <w:highlight w:val="none"/>
        </w:rPr>
      </w:r>
      <w:r/>
    </w:p>
    <w:p>
      <w:pPr>
        <w:pStyle w:val="1033"/>
        <w:numPr>
          <w:ilvl w:val="0"/>
          <w:numId w:val="3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同一投标人提交两个（含两个）以上不同的投标报价的；</w:t>
      </w:r>
      <w:r>
        <w:rPr>
          <w:rFonts w:hint="eastAsia" w:ascii="宋体" w:hAnsi="宋体" w:eastAsia="宋体" w:cs="宋体"/>
          <w:b/>
          <w:szCs w:val="21"/>
          <w:highlight w:val="none"/>
        </w:rPr>
      </w:r>
      <w:r/>
    </w:p>
    <w:p>
      <w:pPr>
        <w:pStyle w:val="1033"/>
        <w:numPr>
          <w:ilvl w:val="0"/>
          <w:numId w:val="3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投标文件未按照招标文件要求加盖电子公章的；</w:t>
      </w:r>
      <w:r>
        <w:rPr>
          <w:rFonts w:hint="eastAsia" w:ascii="宋体" w:hAnsi="宋体" w:eastAsia="宋体" w:cs="宋体"/>
          <w:b/>
          <w:szCs w:val="21"/>
          <w:highlight w:val="none"/>
        </w:rPr>
      </w:r>
      <w:r/>
    </w:p>
    <w:p>
      <w:pPr>
        <w:pStyle w:val="1033"/>
        <w:numPr>
          <w:ilvl w:val="0"/>
          <w:numId w:val="3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不具备招标文件中规定的资格要求的；</w:t>
      </w:r>
      <w:r>
        <w:rPr>
          <w:rFonts w:hint="eastAsia" w:ascii="宋体" w:hAnsi="宋体" w:eastAsia="宋体" w:cs="宋体"/>
          <w:b/>
          <w:szCs w:val="21"/>
          <w:highlight w:val="none"/>
        </w:rPr>
      </w:r>
      <w:r/>
    </w:p>
    <w:p>
      <w:pPr>
        <w:pStyle w:val="1033"/>
        <w:numPr>
          <w:ilvl w:val="0"/>
          <w:numId w:val="3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报价超过招标文件中规定的预算金额或者最高限价的；</w:t>
      </w:r>
      <w:r>
        <w:rPr>
          <w:rFonts w:hint="eastAsia" w:ascii="宋体" w:hAnsi="宋体" w:eastAsia="宋体" w:cs="宋体"/>
          <w:b/>
          <w:szCs w:val="21"/>
          <w:highlight w:val="none"/>
        </w:rPr>
      </w:r>
      <w:r/>
    </w:p>
    <w:p>
      <w:pPr>
        <w:pStyle w:val="1033"/>
        <w:numPr>
          <w:ilvl w:val="0"/>
          <w:numId w:val="3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投标文件含有采购人不能接受的附加条件的；</w:t>
      </w:r>
      <w:r>
        <w:rPr>
          <w:rFonts w:hint="eastAsia" w:ascii="宋体" w:hAnsi="宋体" w:eastAsia="宋体" w:cs="宋体"/>
          <w:b/>
          <w:szCs w:val="21"/>
          <w:highlight w:val="none"/>
        </w:rPr>
      </w:r>
      <w:r/>
    </w:p>
    <w:p>
      <w:pPr>
        <w:pStyle w:val="1033"/>
        <w:numPr>
          <w:ilvl w:val="0"/>
          <w:numId w:val="3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投标文件内容不全或不符合招标文件中规定的其他实质性要求的；</w:t>
      </w:r>
      <w:r>
        <w:rPr>
          <w:rFonts w:hint="eastAsia" w:ascii="宋体" w:hAnsi="宋体" w:eastAsia="宋体" w:cs="宋体"/>
          <w:b/>
          <w:szCs w:val="21"/>
          <w:highlight w:val="none"/>
        </w:rPr>
      </w:r>
      <w:r/>
    </w:p>
    <w:p>
      <w:pPr>
        <w:pStyle w:val="1033"/>
        <w:numPr>
          <w:ilvl w:val="0"/>
          <w:numId w:val="3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现行法律、法规、规章和招标文件规定的其他无效情形。</w:t>
      </w:r>
      <w:r>
        <w:rPr>
          <w:rFonts w:hint="eastAsia" w:ascii="宋体" w:hAnsi="宋体" w:eastAsia="宋体" w:cs="宋体"/>
          <w:b/>
          <w:szCs w:val="21"/>
          <w:highlight w:val="none"/>
        </w:rPr>
      </w:r>
      <w:r/>
    </w:p>
    <w:p>
      <w:pPr>
        <w:pStyle w:val="1033"/>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实质性要求是指本招标文件中用带星号（“★”）等或者其他明确要求的废标的商务和技术要求。</w:t>
      </w:r>
      <w:r>
        <w:rPr>
          <w:rFonts w:hint="eastAsia" w:ascii="宋体" w:hAnsi="宋体" w:eastAsia="宋体" w:cs="宋体"/>
          <w:b/>
          <w:szCs w:val="21"/>
          <w:highlight w:val="none"/>
        </w:rPr>
      </w:r>
      <w:r/>
    </w:p>
    <w:p>
      <w:pPr>
        <w:pStyle w:val="1033"/>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未通过资格审查或符合性审查的投标人，代理机构将通过“苏采云”系统告知其具体原因，评标结束后不再接受有关询问。</w:t>
      </w:r>
      <w:r>
        <w:rPr>
          <w:rFonts w:hint="eastAsia" w:ascii="宋体" w:hAnsi="宋体" w:eastAsia="宋体" w:cs="宋体"/>
          <w:b/>
          <w:szCs w:val="21"/>
          <w:highlight w:val="none"/>
        </w:rPr>
      </w:r>
      <w:r/>
    </w:p>
    <w:p>
      <w:pPr>
        <w:pStyle w:val="1033"/>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有下列情形之一的予以废标：</w:t>
      </w:r>
      <w:r>
        <w:rPr>
          <w:rFonts w:hint="eastAsia" w:ascii="宋体" w:hAnsi="宋体" w:eastAsia="宋体" w:cs="宋体"/>
          <w:b/>
          <w:szCs w:val="21"/>
          <w:highlight w:val="none"/>
        </w:rPr>
      </w:r>
      <w:r/>
    </w:p>
    <w:p>
      <w:pPr>
        <w:pStyle w:val="1033"/>
        <w:numPr>
          <w:ilvl w:val="0"/>
          <w:numId w:val="33"/>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符合专业条件的投标人或者对招标文件作实质性响应的投标人不足三家的；</w:t>
      </w:r>
      <w:r>
        <w:rPr>
          <w:rFonts w:hint="eastAsia" w:ascii="宋体" w:hAnsi="宋体" w:eastAsia="宋体" w:cs="宋体"/>
          <w:szCs w:val="21"/>
          <w:highlight w:val="none"/>
        </w:rPr>
      </w:r>
      <w:r/>
    </w:p>
    <w:p>
      <w:pPr>
        <w:pStyle w:val="1033"/>
        <w:numPr>
          <w:ilvl w:val="0"/>
          <w:numId w:val="33"/>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出现影响采购公正的违法、违规行为的；</w:t>
      </w:r>
      <w:r>
        <w:rPr>
          <w:rFonts w:hint="eastAsia" w:ascii="宋体" w:hAnsi="宋体" w:eastAsia="宋体" w:cs="宋体"/>
          <w:szCs w:val="21"/>
          <w:highlight w:val="none"/>
        </w:rPr>
      </w:r>
      <w:r/>
    </w:p>
    <w:p>
      <w:pPr>
        <w:pStyle w:val="1033"/>
        <w:numPr>
          <w:ilvl w:val="0"/>
          <w:numId w:val="33"/>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投标人的报价均超过了采购预算，采购人不能支付的；</w:t>
      </w:r>
      <w:r>
        <w:rPr>
          <w:rFonts w:hint="eastAsia" w:ascii="宋体" w:hAnsi="宋体" w:eastAsia="宋体" w:cs="宋体"/>
          <w:szCs w:val="21"/>
          <w:highlight w:val="none"/>
        </w:rPr>
      </w:r>
      <w:r/>
    </w:p>
    <w:p>
      <w:pPr>
        <w:pStyle w:val="1033"/>
        <w:numPr>
          <w:ilvl w:val="0"/>
          <w:numId w:val="33"/>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因苏采云系统故障造成开标不成功的；</w:t>
      </w:r>
      <w:r>
        <w:rPr>
          <w:rFonts w:hint="eastAsia" w:ascii="宋体" w:hAnsi="宋体" w:eastAsia="宋体" w:cs="宋体"/>
          <w:szCs w:val="21"/>
          <w:highlight w:val="none"/>
        </w:rPr>
      </w:r>
      <w:r/>
    </w:p>
    <w:p>
      <w:pPr>
        <w:pStyle w:val="1033"/>
        <w:numPr>
          <w:ilvl w:val="0"/>
          <w:numId w:val="33"/>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因重大变故，采购任务取消的。</w:t>
      </w:r>
      <w:r>
        <w:rPr>
          <w:rFonts w:hint="eastAsia" w:ascii="宋体" w:hAnsi="宋体" w:eastAsia="宋体" w:cs="宋体"/>
          <w:szCs w:val="21"/>
          <w:highlight w:val="none"/>
        </w:rPr>
      </w:r>
      <w:r/>
    </w:p>
    <w:p>
      <w:pPr>
        <w:pStyle w:val="1033"/>
        <w:numPr>
          <w:ilvl w:val="0"/>
          <w:numId w:val="33"/>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投标人以明显低于其他通过符合性审查投标人的报价，有可能影响产品质量或者不能诚信履约，且不能证明其报价合理性的。</w:t>
      </w:r>
      <w:r>
        <w:rPr>
          <w:rFonts w:hint="eastAsia" w:ascii="宋体" w:hAnsi="宋体" w:eastAsia="宋体" w:cs="宋体"/>
          <w:szCs w:val="21"/>
          <w:highlight w:val="none"/>
        </w:rPr>
      </w:r>
      <w:r/>
    </w:p>
    <w:p>
      <w:pPr>
        <w:pStyle w:val="1033"/>
        <w:numPr>
          <w:ilvl w:val="0"/>
          <w:numId w:val="30"/>
        </w:numPr>
        <w:ind w:firstLine="422"/>
        <w:rPr>
          <w:rFonts w:hint="eastAsia" w:ascii="宋体" w:hAnsi="宋体" w:eastAsia="宋体" w:cs="宋体"/>
          <w:szCs w:val="21"/>
          <w:highlight w:val="none"/>
          <w:lang w:eastAsia="en-US"/>
        </w:rPr>
      </w:pPr>
      <w:r>
        <w:rPr>
          <w:rFonts w:hint="eastAsia" w:ascii="宋体" w:hAnsi="宋体" w:eastAsia="宋体" w:cs="宋体"/>
          <w:b/>
          <w:szCs w:val="21"/>
          <w:highlight w:val="none"/>
          <w:lang w:eastAsia="en-US"/>
        </w:rPr>
        <w:t xml:space="preserve">澄清有关问题</w:t>
      </w:r>
      <w:r>
        <w:rPr>
          <w:rFonts w:hint="eastAsia" w:ascii="宋体" w:hAnsi="宋体" w:eastAsia="宋体" w:cs="宋体"/>
          <w:szCs w:val="21"/>
          <w:highlight w:val="none"/>
          <w:lang w:eastAsia="en-US"/>
        </w:rPr>
        <w:t xml:space="preserve">。</w:t>
      </w:r>
      <w:r>
        <w:rPr>
          <w:rFonts w:hint="eastAsia" w:ascii="宋体" w:hAnsi="宋体" w:eastAsia="宋体" w:cs="宋体"/>
          <w:szCs w:val="21"/>
          <w:highlight w:val="none"/>
          <w:lang w:eastAsia="en-US"/>
        </w:rPr>
      </w:r>
      <w:r/>
    </w:p>
    <w:p>
      <w:pPr>
        <w:pStyle w:val="1033"/>
        <w:numPr>
          <w:ilvl w:val="0"/>
          <w:numId w:val="3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宋体"/>
          <w:szCs w:val="21"/>
          <w:highlight w:val="none"/>
        </w:rPr>
      </w:r>
      <w:r/>
    </w:p>
    <w:p>
      <w:pPr>
        <w:pStyle w:val="1033"/>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投标人的澄清、说明或者补正不得超出投标文件的范围或者改变投标文件的实质性内容。</w:t>
      </w:r>
      <w:r>
        <w:rPr>
          <w:rFonts w:hint="eastAsia" w:ascii="宋体" w:hAnsi="宋体" w:eastAsia="宋体" w:cs="宋体"/>
          <w:szCs w:val="21"/>
          <w:highlight w:val="none"/>
        </w:rPr>
      </w:r>
      <w:r/>
    </w:p>
    <w:p>
      <w:pPr>
        <w:pStyle w:val="1033"/>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评委会并非对每个投标人都作出澄清要求。</w:t>
      </w:r>
      <w:r>
        <w:rPr>
          <w:rFonts w:hint="eastAsia" w:ascii="宋体" w:hAnsi="宋体" w:eastAsia="宋体" w:cs="宋体"/>
          <w:szCs w:val="21"/>
          <w:highlight w:val="none"/>
        </w:rPr>
      </w:r>
      <w:r/>
    </w:p>
    <w:p>
      <w:pPr>
        <w:pStyle w:val="1033"/>
        <w:numPr>
          <w:ilvl w:val="0"/>
          <w:numId w:val="3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eastAsia="宋体" w:cs="宋体"/>
          <w:szCs w:val="21"/>
          <w:highlight w:val="none"/>
        </w:rPr>
      </w:r>
      <w:r/>
    </w:p>
    <w:p>
      <w:pPr>
        <w:pStyle w:val="1033"/>
        <w:numPr>
          <w:ilvl w:val="0"/>
          <w:numId w:val="3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接到评委会澄清、说明和补正要求的，投标人如未按规定作出澄清、说明和补正，其风险由投标人自行承担。</w:t>
      </w:r>
      <w:r>
        <w:rPr>
          <w:rFonts w:hint="eastAsia" w:ascii="宋体" w:hAnsi="宋体" w:eastAsia="宋体" w:cs="宋体"/>
          <w:szCs w:val="21"/>
          <w:highlight w:val="none"/>
        </w:rPr>
      </w:r>
      <w:r/>
    </w:p>
    <w:p>
      <w:pPr>
        <w:pStyle w:val="1033"/>
        <w:numPr>
          <w:ilvl w:val="0"/>
          <w:numId w:val="3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投标人在开、评标全过程中应保持通信畅通，及时登录苏采云系统查阅、答复相关信息，并安排专人与代理机构及评委会联系。</w:t>
      </w:r>
      <w:r>
        <w:rPr>
          <w:rFonts w:hint="eastAsia" w:ascii="宋体" w:hAnsi="宋体" w:eastAsia="宋体" w:cs="宋体"/>
          <w:szCs w:val="21"/>
          <w:highlight w:val="none"/>
        </w:rPr>
      </w:r>
      <w:r/>
    </w:p>
    <w:p>
      <w:pPr>
        <w:pStyle w:val="1033"/>
        <w:numPr>
          <w:ilvl w:val="0"/>
          <w:numId w:val="30"/>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比较与评价。评标委员会应当按照招标文件中规定的评标方法和标准，对符合性审查合格的投标文件进行商务和技术评估，综合比较与评价。</w:t>
      </w:r>
      <w:r>
        <w:rPr>
          <w:rFonts w:hint="eastAsia" w:ascii="宋体" w:hAnsi="宋体" w:eastAsia="宋体" w:cs="宋体"/>
          <w:szCs w:val="21"/>
          <w:highlight w:val="none"/>
        </w:rPr>
      </w:r>
      <w:r/>
    </w:p>
    <w:p>
      <w:pPr>
        <w:pStyle w:val="1033"/>
        <w:numPr>
          <w:ilvl w:val="0"/>
          <w:numId w:val="3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相同品牌产品的投标</w:t>
      </w:r>
      <w:r>
        <w:rPr>
          <w:rFonts w:hint="eastAsia" w:ascii="宋体" w:hAnsi="宋体" w:eastAsia="宋体" w:cs="宋体"/>
          <w:szCs w:val="21"/>
          <w:highlight w:val="none"/>
          <w:lang w:eastAsia="en-US"/>
        </w:rPr>
      </w:r>
      <w:r/>
    </w:p>
    <w:p>
      <w:pPr>
        <w:pStyle w:val="1033"/>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eastAsia="宋体" w:cs="宋体"/>
          <w:szCs w:val="21"/>
          <w:highlight w:val="none"/>
        </w:rPr>
      </w:r>
      <w:r/>
    </w:p>
    <w:p>
      <w:pPr>
        <w:pStyle w:val="1033"/>
        <w:ind w:left="118" w:firstLine="422"/>
        <w:jc w:val="left"/>
        <w:rPr>
          <w:rFonts w:hint="eastAsia" w:ascii="宋体" w:hAnsi="宋体" w:eastAsia="宋体" w:cs="宋体"/>
          <w:szCs w:val="21"/>
          <w:highlight w:val="none"/>
        </w:rPr>
      </w:pPr>
      <w:r>
        <w:rPr>
          <w:rFonts w:hint="eastAsia" w:ascii="宋体" w:hAnsi="宋体" w:eastAsia="宋体" w:cs="宋体"/>
          <w:b/>
          <w:bCs/>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szCs w:val="21"/>
          <w:highlight w:val="none"/>
        </w:rPr>
      </w:r>
      <w:r/>
    </w:p>
    <w:p>
      <w:pPr>
        <w:pStyle w:val="1033"/>
        <w:ind w:left="118" w:firstLine="422"/>
        <w:jc w:val="left"/>
        <w:rPr>
          <w:rFonts w:hint="eastAsia" w:ascii="宋体" w:hAnsi="宋体" w:eastAsia="宋体" w:cs="宋体"/>
          <w:b/>
          <w:bCs/>
          <w:szCs w:val="21"/>
          <w:highlight w:val="none"/>
        </w:rPr>
      </w:pPr>
      <w:r>
        <w:rPr>
          <w:rFonts w:hint="eastAsia" w:ascii="宋体" w:hAnsi="宋体" w:eastAsia="宋体" w:cs="宋体"/>
          <w:b/>
          <w:bCs/>
          <w:szCs w:val="21"/>
          <w:highlight w:val="none"/>
        </w:rPr>
        <w:t xml:space="preserve">非单一产品采购项目，确定核心产品的方法在招标文件技术需求中载明。多家投标人提供的核心产品品牌相同的，按前两款规定处理。</w:t>
      </w:r>
      <w:r>
        <w:rPr>
          <w:rFonts w:hint="eastAsia" w:ascii="宋体" w:hAnsi="宋体" w:eastAsia="宋体" w:cs="宋体"/>
          <w:b/>
          <w:bCs/>
          <w:szCs w:val="21"/>
          <w:highlight w:val="none"/>
        </w:rPr>
      </w:r>
      <w:r/>
    </w:p>
    <w:p>
      <w:pPr>
        <w:pStyle w:val="1033"/>
        <w:numPr>
          <w:ilvl w:val="0"/>
          <w:numId w:val="27"/>
        </w:numPr>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评标方法和标准</w:t>
      </w:r>
      <w:r>
        <w:rPr>
          <w:rFonts w:hint="eastAsia" w:ascii="宋体" w:hAnsi="宋体" w:eastAsia="宋体" w:cs="宋体"/>
          <w:b/>
          <w:bCs/>
          <w:szCs w:val="21"/>
          <w:highlight w:val="none"/>
        </w:rPr>
      </w:r>
      <w:r/>
    </w:p>
    <w:p>
      <w:pPr>
        <w:pStyle w:val="1033"/>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22.3.1 采用综合评分法的，评标结果按评审后最终得分由高到低进行排名，得分相同的，按投标报价由低到高顺序排列。得分相同且投标报价相同的，按技术部分方案优劣顺序排列。</w:t>
      </w:r>
      <w:r>
        <w:rPr>
          <w:rFonts w:hint="eastAsia" w:ascii="宋体" w:hAnsi="宋体" w:eastAsia="宋体" w:cs="宋体"/>
          <w:szCs w:val="21"/>
          <w:highlight w:val="none"/>
        </w:rPr>
      </w:r>
      <w:r/>
    </w:p>
    <w:p>
      <w:pPr>
        <w:pStyle w:val="1033"/>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22.3.2评审过程中出现下列情形之一的，评审委员会应当启动异常低价投标（响应）审查程序：</w:t>
      </w:r>
      <w:r>
        <w:rPr>
          <w:rFonts w:hint="eastAsia" w:ascii="宋体" w:hAnsi="宋体" w:eastAsia="宋体" w:cs="宋体"/>
          <w:szCs w:val="21"/>
          <w:highlight w:val="none"/>
        </w:rPr>
      </w:r>
      <w:r/>
    </w:p>
    <w:p>
      <w:pPr>
        <w:pStyle w:val="1033"/>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（1）投标（响应）报价低于全部通过符合性审查供应商投标（响应）报价平均值65%的，即投标（响应）报价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全部通过符合性审查供应商投标（响应）报价平均值×65%； </w:t>
      </w:r>
      <w:r>
        <w:rPr>
          <w:rFonts w:hint="eastAsia" w:ascii="宋体" w:hAnsi="宋体" w:eastAsia="宋体" w:cs="宋体"/>
          <w:szCs w:val="21"/>
          <w:highlight w:val="none"/>
        </w:rPr>
      </w:r>
      <w:r/>
    </w:p>
    <w:p>
      <w:pPr>
        <w:pStyle w:val="1033"/>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（2）投标（响应）报价低于通过符合性审查的次低报价供应商投标（响应）报价65%的，即投标（响应）报价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通过符合性审查的次低报价供应商投标（响应）报价×65%； </w:t>
      </w:r>
      <w:r>
        <w:rPr>
          <w:rFonts w:hint="eastAsia" w:ascii="宋体" w:hAnsi="宋体" w:eastAsia="宋体" w:cs="宋体"/>
          <w:szCs w:val="21"/>
          <w:highlight w:val="none"/>
        </w:rPr>
      </w:r>
      <w:r/>
    </w:p>
    <w:p>
      <w:pPr>
        <w:pStyle w:val="1033"/>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（3）投标（响应）报价低于采购项目最高限价65%的，即投标（响应）报价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采购项目最高限价×65%； </w:t>
      </w:r>
      <w:r>
        <w:rPr>
          <w:rFonts w:hint="eastAsia" w:ascii="宋体" w:hAnsi="宋体" w:eastAsia="宋体" w:cs="宋体"/>
          <w:szCs w:val="21"/>
          <w:highlight w:val="none"/>
        </w:rPr>
      </w:r>
      <w:r/>
    </w:p>
    <w:p>
      <w:pPr>
        <w:pStyle w:val="1033"/>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（4）评审委员会基于专业判断，认为供应商报价过低，有可能影响产品质量或者不能诚信履约的其他情形。 </w:t>
      </w:r>
      <w:r>
        <w:rPr>
          <w:rFonts w:hint="eastAsia" w:ascii="宋体" w:hAnsi="宋体" w:eastAsia="宋体" w:cs="宋体"/>
          <w:szCs w:val="21"/>
          <w:highlight w:val="none"/>
        </w:rPr>
      </w:r>
      <w:r/>
    </w:p>
    <w:p>
      <w:pPr>
        <w:pStyle w:val="1033"/>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22.3.3启动异常低价投标</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响应）审查后，评审委员会应当要求相关供应商在评标现场合理的时间内，提供项目具体成本测算等与报价合理性相关的书面说明及相关证明材料，对投标</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响应）价格作出解释，由评审委员会结合同类产品在主要电商平台的价格、该行业当地薪资水平等情况，依据专业经验对供应商报价合理性进行判断。投标</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响应）供应商不提供书面说明、证明材料,或者提供的书面说明、证明材料不能证明其报价合理性的，评审委员会应当将其作为无效投标</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响应）处理。</w:t>
      </w:r>
      <w:r>
        <w:rPr>
          <w:rFonts w:hint="eastAsia" w:ascii="宋体" w:hAnsi="宋体" w:eastAsia="宋体" w:cs="宋体"/>
          <w:szCs w:val="21"/>
          <w:highlight w:val="none"/>
        </w:rPr>
      </w:r>
      <w:r/>
    </w:p>
    <w:p>
      <w:pPr>
        <w:pStyle w:val="1033"/>
        <w:numPr>
          <w:ilvl w:val="0"/>
          <w:numId w:val="25"/>
        </w:numPr>
        <w:ind w:firstLine="422"/>
        <w:rPr>
          <w:rFonts w:hint="eastAsia" w:ascii="宋体" w:hAnsi="宋体" w:eastAsia="宋体" w:cs="宋体"/>
          <w:b/>
          <w:bCs/>
          <w:szCs w:val="21"/>
          <w:highlight w:val="none"/>
        </w:rPr>
      </w:pPr>
      <w:r/>
      <w:bookmarkStart w:id="74" w:name="_Toc209510691"/>
      <w:r>
        <w:rPr>
          <w:rFonts w:hint="eastAsia" w:ascii="宋体" w:hAnsi="宋体" w:eastAsia="宋体" w:cs="宋体"/>
          <w:b/>
          <w:bCs/>
          <w:szCs w:val="21"/>
          <w:highlight w:val="none"/>
        </w:rPr>
        <w:t xml:space="preserve">确定中标人</w:t>
      </w:r>
      <w:bookmarkEnd w:id="74"/>
      <w:r>
        <w:rPr>
          <w:rFonts w:hint="eastAsia" w:ascii="宋体" w:hAnsi="宋体" w:eastAsia="宋体" w:cs="宋体"/>
          <w:b/>
          <w:bCs/>
          <w:szCs w:val="21"/>
          <w:highlight w:val="none"/>
        </w:rPr>
      </w:r>
      <w:r/>
    </w:p>
    <w:p>
      <w:pPr>
        <w:pStyle w:val="1033"/>
        <w:numPr>
          <w:ilvl w:val="0"/>
          <w:numId w:val="3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rPr>
          <w:rFonts w:hint="eastAsia" w:ascii="宋体" w:hAnsi="宋体" w:eastAsia="宋体" w:cs="宋体"/>
          <w:szCs w:val="21"/>
          <w:highlight w:val="none"/>
        </w:rPr>
      </w:r>
      <w:r/>
    </w:p>
    <w:p>
      <w:pPr>
        <w:pStyle w:val="1033"/>
        <w:numPr>
          <w:ilvl w:val="0"/>
          <w:numId w:val="3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按以下第（2）种方式确定中标人：</w:t>
      </w:r>
      <w:r>
        <w:rPr>
          <w:rFonts w:hint="eastAsia" w:ascii="宋体" w:hAnsi="宋体" w:eastAsia="宋体" w:cs="宋体"/>
          <w:szCs w:val="21"/>
          <w:highlight w:val="none"/>
        </w:rPr>
      </w:r>
      <w:r/>
    </w:p>
    <w:p>
      <w:pPr>
        <w:pStyle w:val="1033"/>
        <w:numPr>
          <w:ilvl w:val="0"/>
          <w:numId w:val="36"/>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评委会直接确定排名第一的中标候选人为中标人；</w:t>
      </w:r>
      <w:r>
        <w:rPr>
          <w:rFonts w:hint="eastAsia" w:ascii="宋体" w:hAnsi="宋体" w:eastAsia="宋体" w:cs="宋体"/>
          <w:szCs w:val="21"/>
          <w:highlight w:val="none"/>
        </w:rPr>
      </w:r>
      <w:r/>
    </w:p>
    <w:p>
      <w:pPr>
        <w:pStyle w:val="1033"/>
        <w:numPr>
          <w:ilvl w:val="0"/>
          <w:numId w:val="36"/>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采购人在评委会推荐的中标候选人中按顺序确定中标人。</w:t>
      </w:r>
      <w:r>
        <w:rPr>
          <w:rFonts w:hint="eastAsia" w:ascii="宋体" w:hAnsi="宋体" w:eastAsia="宋体" w:cs="宋体"/>
          <w:szCs w:val="21"/>
          <w:highlight w:val="none"/>
        </w:rPr>
      </w:r>
      <w:r/>
    </w:p>
    <w:p>
      <w:pPr>
        <w:pStyle w:val="1033"/>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eastAsia="宋体" w:cs="宋体"/>
          <w:szCs w:val="21"/>
          <w:highlight w:val="none"/>
        </w:rPr>
      </w:r>
      <w:r/>
    </w:p>
    <w:p>
      <w:pPr>
        <w:pStyle w:val="1033"/>
        <w:numPr>
          <w:ilvl w:val="0"/>
          <w:numId w:val="3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中标人确定后，将在“江苏政府采购网”发布中标公告，公告期限为1个工作日。</w:t>
      </w:r>
      <w:r>
        <w:rPr>
          <w:rFonts w:hint="eastAsia" w:ascii="宋体" w:hAnsi="宋体" w:eastAsia="宋体" w:cs="宋体"/>
          <w:szCs w:val="21"/>
          <w:highlight w:val="none"/>
        </w:rPr>
      </w:r>
      <w:r/>
    </w:p>
    <w:p>
      <w:pPr>
        <w:pStyle w:val="1033"/>
        <w:numPr>
          <w:ilvl w:val="0"/>
          <w:numId w:val="25"/>
        </w:numPr>
        <w:ind w:firstLine="422"/>
        <w:rPr>
          <w:rFonts w:hint="eastAsia" w:ascii="宋体" w:hAnsi="宋体" w:eastAsia="宋体" w:cs="宋体"/>
          <w:b/>
          <w:bCs/>
          <w:szCs w:val="21"/>
          <w:highlight w:val="none"/>
        </w:rPr>
      </w:pPr>
      <w:r/>
      <w:bookmarkStart w:id="75" w:name="_Toc209510692"/>
      <w:r>
        <w:rPr>
          <w:rFonts w:hint="eastAsia" w:ascii="宋体" w:hAnsi="宋体" w:eastAsia="宋体" w:cs="宋体"/>
          <w:b/>
          <w:bCs/>
          <w:szCs w:val="21"/>
          <w:highlight w:val="none"/>
        </w:rPr>
        <w:t xml:space="preserve">中标通知书</w:t>
      </w:r>
      <w:bookmarkEnd w:id="75"/>
      <w:r>
        <w:rPr>
          <w:rFonts w:hint="eastAsia" w:ascii="宋体" w:hAnsi="宋体" w:eastAsia="宋体" w:cs="宋体"/>
          <w:b/>
          <w:bCs/>
          <w:szCs w:val="21"/>
          <w:highlight w:val="none"/>
        </w:rPr>
      </w:r>
      <w:r/>
    </w:p>
    <w:p>
      <w:pPr>
        <w:pStyle w:val="1033"/>
        <w:numPr>
          <w:ilvl w:val="0"/>
          <w:numId w:val="3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szCs w:val="21"/>
          <w:highlight w:val="none"/>
        </w:rPr>
      </w:r>
      <w:r/>
    </w:p>
    <w:p>
      <w:pPr>
        <w:pStyle w:val="1033"/>
        <w:numPr>
          <w:ilvl w:val="0"/>
          <w:numId w:val="3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szCs w:val="21"/>
          <w:highlight w:val="none"/>
        </w:rPr>
      </w:r>
      <w:r/>
    </w:p>
    <w:p>
      <w:pPr>
        <w:pStyle w:val="1033"/>
        <w:numPr>
          <w:ilvl w:val="0"/>
          <w:numId w:val="25"/>
        </w:numPr>
        <w:ind w:firstLine="422"/>
        <w:rPr>
          <w:rFonts w:hint="eastAsia" w:ascii="宋体" w:hAnsi="宋体" w:eastAsia="宋体" w:cs="宋体"/>
          <w:b/>
          <w:bCs/>
          <w:szCs w:val="21"/>
          <w:highlight w:val="none"/>
        </w:rPr>
      </w:pPr>
      <w:r/>
      <w:bookmarkStart w:id="76" w:name="_Toc209510693"/>
      <w:r>
        <w:rPr>
          <w:rFonts w:hint="eastAsia" w:ascii="宋体" w:hAnsi="宋体" w:eastAsia="宋体" w:cs="宋体"/>
          <w:b/>
          <w:bCs/>
          <w:szCs w:val="21"/>
          <w:highlight w:val="none"/>
        </w:rPr>
        <w:t xml:space="preserve">评标过程的保密性</w:t>
      </w:r>
      <w:bookmarkEnd w:id="76"/>
      <w:r>
        <w:rPr>
          <w:rFonts w:hint="eastAsia" w:ascii="宋体" w:hAnsi="宋体" w:eastAsia="宋体" w:cs="宋体"/>
          <w:b/>
          <w:bCs/>
          <w:szCs w:val="21"/>
          <w:highlight w:val="none"/>
        </w:rPr>
      </w:r>
      <w:r/>
    </w:p>
    <w:p>
      <w:pPr>
        <w:pStyle w:val="1033"/>
        <w:numPr>
          <w:ilvl w:val="0"/>
          <w:numId w:val="3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凡是与审查、澄清、评价和比较投标有关的资料以及投标建议等，采购人、评标委员会均不得向投标人或与评标无关的其他人员透露。</w:t>
      </w:r>
      <w:r>
        <w:rPr>
          <w:rFonts w:hint="eastAsia" w:ascii="宋体" w:hAnsi="宋体" w:eastAsia="宋体" w:cs="宋体"/>
          <w:szCs w:val="21"/>
          <w:highlight w:val="none"/>
        </w:rPr>
      </w:r>
      <w:r/>
    </w:p>
    <w:p>
      <w:pPr>
        <w:pStyle w:val="1033"/>
        <w:numPr>
          <w:ilvl w:val="0"/>
          <w:numId w:val="3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投标人不得以任何方式影响评标，否则其投标文件将被作为无效投标文件。</w:t>
      </w:r>
      <w:r>
        <w:rPr>
          <w:rFonts w:hint="eastAsia" w:ascii="宋体" w:hAnsi="宋体" w:eastAsia="宋体" w:cs="宋体"/>
          <w:szCs w:val="21"/>
          <w:highlight w:val="none"/>
        </w:rPr>
      </w:r>
      <w:r/>
    </w:p>
    <w:p>
      <w:pPr>
        <w:pStyle w:val="1033"/>
        <w:numPr>
          <w:ilvl w:val="0"/>
          <w:numId w:val="3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采购人和评委会不向未中标的投标人解释未中标原因，也不公布评标过程中的相关细节。</w:t>
      </w:r>
      <w:r>
        <w:rPr>
          <w:rFonts w:hint="eastAsia" w:ascii="宋体" w:hAnsi="宋体" w:eastAsia="宋体" w:cs="宋体"/>
          <w:szCs w:val="21"/>
          <w:highlight w:val="none"/>
        </w:rPr>
      </w:r>
      <w:r/>
    </w:p>
    <w:p>
      <w:pPr>
        <w:pStyle w:val="1033"/>
        <w:numPr>
          <w:ilvl w:val="0"/>
          <w:numId w:val="3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采用综合评分法的项目，未中标的投标人可于中标结果公告期限届满之日起通过苏采云系统查看本单位的评审得分及排名情况。</w:t>
      </w:r>
      <w:r>
        <w:rPr>
          <w:rFonts w:hint="eastAsia" w:ascii="宋体" w:hAnsi="宋体" w:eastAsia="宋体" w:cs="宋体"/>
          <w:szCs w:val="21"/>
          <w:highlight w:val="none"/>
        </w:rPr>
      </w:r>
      <w:r/>
    </w:p>
    <w:p>
      <w:pPr>
        <w:pStyle w:val="1033"/>
        <w:numPr>
          <w:ilvl w:val="0"/>
          <w:numId w:val="5"/>
        </w:numPr>
        <w:ind w:firstLine="422"/>
        <w:rPr>
          <w:rFonts w:hint="eastAsia" w:ascii="宋体" w:hAnsi="宋体" w:eastAsia="宋体" w:cs="宋体"/>
          <w:b/>
          <w:bCs/>
          <w:szCs w:val="21"/>
          <w:highlight w:val="none"/>
        </w:rPr>
        <w:outlineLvl w:val="1"/>
      </w:pPr>
      <w:r/>
      <w:bookmarkStart w:id="77" w:name="_Toc15223"/>
      <w:r/>
      <w:bookmarkStart w:id="78" w:name="_Toc17865"/>
      <w:r/>
      <w:bookmarkStart w:id="79" w:name="_Toc3642"/>
      <w:r/>
      <w:bookmarkStart w:id="80" w:name="_Toc7293"/>
      <w:r/>
      <w:bookmarkStart w:id="81" w:name="_Toc209510620"/>
      <w:r/>
      <w:bookmarkStart w:id="82" w:name="_Toc22453"/>
      <w:r/>
      <w:bookmarkStart w:id="83" w:name="_Toc464"/>
      <w:r/>
      <w:bookmarkStart w:id="84" w:name="_Toc209510694"/>
      <w:r>
        <w:rPr>
          <w:rFonts w:hint="eastAsia" w:ascii="宋体" w:hAnsi="宋体" w:eastAsia="宋体" w:cs="宋体"/>
          <w:b/>
          <w:bCs/>
          <w:szCs w:val="21"/>
          <w:highlight w:val="none"/>
        </w:rPr>
        <w:t xml:space="preserve">签订合同</w:t>
      </w:r>
      <w:bookmarkEnd w:id="77"/>
      <w:r/>
      <w:bookmarkEnd w:id="78"/>
      <w:r/>
      <w:bookmarkEnd w:id="79"/>
      <w:r/>
      <w:bookmarkEnd w:id="80"/>
      <w:r/>
      <w:bookmarkEnd w:id="81"/>
      <w:r/>
      <w:bookmarkEnd w:id="82"/>
      <w:r/>
      <w:bookmarkEnd w:id="83"/>
      <w:r/>
      <w:bookmarkEnd w:id="84"/>
      <w:r>
        <w:rPr>
          <w:rFonts w:hint="eastAsia" w:ascii="宋体" w:hAnsi="宋体" w:eastAsia="宋体" w:cs="宋体"/>
          <w:b/>
          <w:bCs/>
          <w:szCs w:val="21"/>
          <w:highlight w:val="none"/>
        </w:rPr>
      </w:r>
      <w:r/>
    </w:p>
    <w:p>
      <w:pPr>
        <w:pStyle w:val="1033"/>
        <w:ind w:firstLine="422"/>
        <w:rPr>
          <w:rFonts w:hint="eastAsia" w:ascii="宋体" w:hAnsi="宋体" w:eastAsia="宋体" w:cs="宋体"/>
          <w:b/>
          <w:bCs/>
          <w:szCs w:val="21"/>
          <w:highlight w:val="none"/>
        </w:rPr>
      </w:pPr>
      <w:r/>
      <w:bookmarkStart w:id="85" w:name="_Toc209510695"/>
      <w:r>
        <w:rPr>
          <w:rFonts w:hint="eastAsia" w:ascii="宋体" w:hAnsi="宋体" w:eastAsia="宋体" w:cs="宋体"/>
          <w:b/>
          <w:bCs/>
          <w:szCs w:val="21"/>
          <w:highlight w:val="none"/>
        </w:rPr>
        <w:t xml:space="preserve">26、签订合同</w:t>
      </w:r>
      <w:bookmarkEnd w:id="85"/>
      <w:r>
        <w:rPr>
          <w:rFonts w:hint="eastAsia" w:ascii="宋体" w:hAnsi="宋体" w:eastAsia="宋体" w:cs="宋体"/>
          <w:b/>
          <w:bCs/>
          <w:szCs w:val="21"/>
          <w:highlight w:val="none"/>
        </w:rPr>
      </w:r>
      <w:r/>
    </w:p>
    <w:p>
      <w:pPr>
        <w:pStyle w:val="1033"/>
        <w:numPr>
          <w:ilvl w:val="0"/>
          <w:numId w:val="3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中标人应当在《中标通知书》发出之日起三十日内，按照招标文件确定的事项与采购人签订政府采购合同。</w:t>
      </w:r>
      <w:r>
        <w:rPr>
          <w:rFonts w:hint="eastAsia" w:ascii="宋体" w:hAnsi="宋体" w:eastAsia="宋体" w:cs="宋体"/>
          <w:szCs w:val="21"/>
          <w:highlight w:val="none"/>
        </w:rPr>
      </w:r>
      <w:r/>
    </w:p>
    <w:p>
      <w:pPr>
        <w:pStyle w:val="1033"/>
        <w:numPr>
          <w:ilvl w:val="0"/>
          <w:numId w:val="39"/>
        </w:numPr>
        <w:ind w:firstLine="420"/>
        <w:rPr>
          <w:rFonts w:hint="eastAsia" w:ascii="宋体" w:hAnsi="宋体" w:eastAsia="宋体" w:cs="宋体"/>
          <w:b/>
          <w:szCs w:val="21"/>
          <w:highlight w:val="none"/>
        </w:rPr>
      </w:pPr>
      <w:r>
        <w:rPr>
          <w:rFonts w:hint="eastAsia" w:ascii="宋体" w:hAnsi="宋体" w:eastAsia="宋体" w:cs="宋体"/>
          <w:szCs w:val="21"/>
          <w:highlight w:val="none"/>
        </w:rPr>
        <w:t xml:space="preserve">招标文件、中标人的投标文件及招标过程中有关澄清、承诺文件均作为合同附件</w:t>
      </w:r>
      <w:r>
        <w:rPr>
          <w:rFonts w:hint="eastAsia" w:ascii="宋体" w:hAnsi="宋体" w:eastAsia="宋体" w:cs="宋体"/>
          <w:b/>
          <w:szCs w:val="21"/>
          <w:highlight w:val="none"/>
        </w:rPr>
        <w:t xml:space="preserve">。</w:t>
      </w:r>
      <w:r>
        <w:rPr>
          <w:rFonts w:hint="eastAsia" w:ascii="宋体" w:hAnsi="宋体" w:eastAsia="宋体" w:cs="宋体"/>
          <w:b/>
          <w:szCs w:val="21"/>
          <w:highlight w:val="none"/>
        </w:rPr>
      </w:r>
      <w:r/>
    </w:p>
    <w:p>
      <w:pPr>
        <w:pStyle w:val="1033"/>
        <w:numPr>
          <w:ilvl w:val="0"/>
          <w:numId w:val="3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szCs w:val="21"/>
          <w:highlight w:val="none"/>
        </w:rPr>
      </w:r>
      <w:r/>
    </w:p>
    <w:p>
      <w:pPr>
        <w:pStyle w:val="1033"/>
        <w:numPr>
          <w:ilvl w:val="0"/>
          <w:numId w:val="3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中标人因自身原因拒绝与采购人签订合同的，不得参加采购人重新组织的采购活动，且可能被拒绝参加该采购人一年内的其他政府采购活动。</w:t>
      </w:r>
      <w:r>
        <w:rPr>
          <w:rFonts w:hint="eastAsia" w:ascii="宋体" w:hAnsi="宋体" w:eastAsia="宋体" w:cs="宋体"/>
          <w:szCs w:val="21"/>
          <w:highlight w:val="none"/>
        </w:rPr>
      </w:r>
      <w:r/>
    </w:p>
    <w:p>
      <w:pPr>
        <w:pStyle w:val="1033"/>
        <w:numPr>
          <w:ilvl w:val="0"/>
          <w:numId w:val="3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中标人因不可抗力或者自身原因不能履行合同的，采购人可以重新招标，也可以视情与排位在中标供应商之后第一位的中标候选人签订采购合同。</w:t>
      </w:r>
      <w:r>
        <w:rPr>
          <w:rFonts w:hint="eastAsia" w:ascii="宋体" w:hAnsi="宋体" w:eastAsia="宋体" w:cs="宋体"/>
          <w:szCs w:val="21"/>
          <w:highlight w:val="none"/>
        </w:rPr>
      </w:r>
      <w:r/>
    </w:p>
    <w:p>
      <w:pPr>
        <w:pStyle w:val="1033"/>
        <w:numPr>
          <w:ilvl w:val="0"/>
          <w:numId w:val="3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采购人与中标人应当根据合同的约定依法履行合同义务。</w:t>
      </w:r>
      <w:r>
        <w:rPr>
          <w:rFonts w:hint="eastAsia" w:ascii="宋体" w:hAnsi="宋体" w:eastAsia="宋体" w:cs="宋体"/>
          <w:szCs w:val="21"/>
          <w:highlight w:val="none"/>
        </w:rPr>
      </w:r>
      <w:r/>
    </w:p>
    <w:p>
      <w:pPr>
        <w:pStyle w:val="1033"/>
        <w:numPr>
          <w:ilvl w:val="0"/>
          <w:numId w:val="5"/>
        </w:numPr>
        <w:ind w:firstLine="422"/>
        <w:rPr>
          <w:rFonts w:hint="eastAsia" w:ascii="宋体" w:hAnsi="宋体" w:eastAsia="宋体" w:cs="宋体"/>
          <w:b/>
          <w:bCs/>
          <w:szCs w:val="21"/>
          <w:highlight w:val="none"/>
        </w:rPr>
        <w:outlineLvl w:val="1"/>
      </w:pPr>
      <w:r/>
      <w:bookmarkStart w:id="86" w:name="_Toc209510621"/>
      <w:r/>
      <w:bookmarkStart w:id="87" w:name="_Toc4929"/>
      <w:r/>
      <w:bookmarkStart w:id="88" w:name="_Toc28967"/>
      <w:r/>
      <w:bookmarkStart w:id="89" w:name="_Toc209510696"/>
      <w:r/>
      <w:bookmarkStart w:id="90" w:name="_Toc10685"/>
      <w:r/>
      <w:bookmarkStart w:id="91" w:name="_Toc8885"/>
      <w:r/>
      <w:bookmarkStart w:id="92" w:name="_Toc24959"/>
      <w:r/>
      <w:bookmarkStart w:id="93" w:name="_Toc22926"/>
      <w:r>
        <w:rPr>
          <w:rFonts w:hint="eastAsia" w:ascii="宋体" w:hAnsi="宋体" w:eastAsia="宋体" w:cs="宋体"/>
          <w:b/>
          <w:bCs/>
          <w:szCs w:val="21"/>
          <w:highlight w:val="none"/>
        </w:rPr>
        <w:t xml:space="preserve">质疑和投诉</w:t>
      </w:r>
      <w:bookmarkEnd w:id="86"/>
      <w:r/>
      <w:bookmarkEnd w:id="87"/>
      <w:r/>
      <w:bookmarkEnd w:id="88"/>
      <w:r/>
      <w:bookmarkEnd w:id="89"/>
      <w:r/>
      <w:bookmarkEnd w:id="90"/>
      <w:r/>
      <w:bookmarkEnd w:id="91"/>
      <w:r/>
      <w:bookmarkEnd w:id="92"/>
      <w:r/>
      <w:bookmarkEnd w:id="93"/>
      <w:r>
        <w:rPr>
          <w:rFonts w:hint="eastAsia" w:ascii="宋体" w:hAnsi="宋体" w:eastAsia="宋体" w:cs="宋体"/>
          <w:b/>
          <w:bCs/>
          <w:szCs w:val="21"/>
          <w:highlight w:val="none"/>
        </w:rPr>
      </w:r>
      <w:r/>
    </w:p>
    <w:p>
      <w:pPr>
        <w:pStyle w:val="1033"/>
        <w:ind w:firstLine="422"/>
        <w:rPr>
          <w:rFonts w:hint="eastAsia" w:ascii="宋体" w:hAnsi="宋体" w:eastAsia="宋体" w:cs="宋体"/>
          <w:b/>
          <w:bCs/>
          <w:szCs w:val="21"/>
          <w:highlight w:val="none"/>
        </w:rPr>
      </w:pPr>
      <w:r/>
      <w:bookmarkStart w:id="94" w:name="_Toc209510697"/>
      <w:r/>
      <w:bookmarkStart w:id="95" w:name="_Toc29346"/>
      <w:r/>
      <w:bookmarkStart w:id="96" w:name="_Toc209510622"/>
      <w:r/>
      <w:bookmarkStart w:id="97" w:name="_Toc7947"/>
      <w:r>
        <w:rPr>
          <w:rFonts w:hint="eastAsia" w:ascii="宋体" w:hAnsi="宋体" w:eastAsia="宋体" w:cs="宋体"/>
          <w:b/>
          <w:bCs/>
          <w:szCs w:val="21"/>
          <w:highlight w:val="none"/>
        </w:rPr>
        <w:t xml:space="preserve">27.询问</w:t>
      </w:r>
      <w:bookmarkEnd w:id="94"/>
      <w:r/>
      <w:bookmarkEnd w:id="95"/>
      <w:r/>
      <w:bookmarkEnd w:id="96"/>
      <w:r/>
      <w:bookmarkEnd w:id="97"/>
      <w:r>
        <w:rPr>
          <w:rFonts w:hint="eastAsia" w:ascii="宋体" w:hAnsi="宋体" w:eastAsia="宋体" w:cs="宋体"/>
          <w:b/>
          <w:bCs/>
          <w:szCs w:val="21"/>
          <w:highlight w:val="none"/>
        </w:rPr>
      </w:r>
      <w:r/>
    </w:p>
    <w:p>
      <w:pPr>
        <w:pStyle w:val="1033"/>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27.1 供应商对招标活动事项有疑问的，可以向代理机构或采购人提出询问，代理机构或采购人将在两个工作日内作出答复，但答复的内容不涉及商业秘密。</w:t>
      </w:r>
      <w:r>
        <w:rPr>
          <w:rFonts w:hint="eastAsia" w:ascii="宋体" w:hAnsi="宋体" w:eastAsia="宋体" w:cs="宋体"/>
          <w:szCs w:val="21"/>
          <w:highlight w:val="none"/>
        </w:rPr>
      </w:r>
      <w:r/>
    </w:p>
    <w:p>
      <w:pPr>
        <w:pStyle w:val="1033"/>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28.质疑</w:t>
      </w:r>
      <w:r>
        <w:rPr>
          <w:rFonts w:hint="eastAsia" w:ascii="宋体" w:hAnsi="宋体" w:eastAsia="宋体" w:cs="宋体"/>
          <w:b/>
          <w:bCs/>
          <w:szCs w:val="21"/>
          <w:highlight w:val="none"/>
        </w:rPr>
      </w:r>
      <w:r/>
    </w:p>
    <w:p>
      <w:pPr>
        <w:pStyle w:val="1033"/>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28.1供应商的质疑行为应符合《政府采购质疑和投诉办法》（财政部令第94号）相关规定。质疑供应商是指直接参加本次采购活动的供应商，未参加采购活动的供应商或在采购活动中自身权益未受到损害的供应商所提出的质疑，不予受理。</w:t>
      </w:r>
      <w:r>
        <w:rPr>
          <w:rFonts w:hint="eastAsia" w:ascii="宋体" w:hAnsi="宋体" w:eastAsia="宋体" w:cs="宋体"/>
          <w:szCs w:val="21"/>
          <w:highlight w:val="none"/>
        </w:rPr>
      </w:r>
      <w:r/>
    </w:p>
    <w:p>
      <w:pPr>
        <w:pStyle w:val="1033"/>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28.2供应商认为招标文件、采购过程和中标/成交结果使自己的合法权益受到损害的，可以在知道或者应当知道其权益受到损害之日起七个工作日内，以书面形式向采购代理机构或采购人提出质疑。供应商应当在法定质疑期内一次性提出针对同一采购程序环节的质疑。供应商如在法定期限内对同一采购程序环节提出多次质疑，招标代理机构、采购人将只对供应商第一次质疑作出答复。</w:t>
      </w:r>
      <w:r>
        <w:rPr>
          <w:rFonts w:hint="eastAsia" w:ascii="宋体" w:hAnsi="宋体" w:eastAsia="宋体" w:cs="宋体"/>
          <w:szCs w:val="21"/>
          <w:highlight w:val="none"/>
        </w:rPr>
      </w:r>
      <w:r/>
    </w:p>
    <w:p>
      <w:pPr>
        <w:pStyle w:val="1033"/>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28.3上述应知其权益受到损害之日是指：</w:t>
      </w:r>
      <w:r>
        <w:rPr>
          <w:rFonts w:hint="eastAsia" w:ascii="宋体" w:hAnsi="宋体" w:eastAsia="宋体" w:cs="宋体"/>
          <w:szCs w:val="21"/>
          <w:highlight w:val="none"/>
        </w:rPr>
      </w:r>
      <w:r/>
    </w:p>
    <w:p>
      <w:pPr>
        <w:pStyle w:val="1033"/>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（1）对招标文件提出质疑的，为招标文件公告期限届满之日起计算；</w:t>
      </w:r>
      <w:r>
        <w:rPr>
          <w:rFonts w:hint="eastAsia" w:ascii="宋体" w:hAnsi="宋体" w:eastAsia="宋体" w:cs="宋体"/>
          <w:szCs w:val="21"/>
          <w:highlight w:val="none"/>
        </w:rPr>
      </w:r>
      <w:r/>
    </w:p>
    <w:p>
      <w:pPr>
        <w:pStyle w:val="1033"/>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（2）对采购过程提出质疑的，自采购程序环节结束之日起计算；</w:t>
      </w:r>
      <w:r>
        <w:rPr>
          <w:rFonts w:hint="eastAsia" w:ascii="宋体" w:hAnsi="宋体" w:eastAsia="宋体" w:cs="宋体"/>
          <w:szCs w:val="21"/>
          <w:highlight w:val="none"/>
        </w:rPr>
      </w:r>
      <w:r/>
    </w:p>
    <w:p>
      <w:pPr>
        <w:pStyle w:val="1033"/>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（3）对中标/成交结果提出质疑的，自中标/成交结果公告期限届满之日起计算。  </w:t>
      </w:r>
      <w:r>
        <w:rPr>
          <w:rFonts w:hint="eastAsia" w:ascii="宋体" w:hAnsi="宋体" w:eastAsia="宋体" w:cs="宋体"/>
          <w:szCs w:val="21"/>
          <w:highlight w:val="none"/>
        </w:rPr>
      </w:r>
      <w:r/>
    </w:p>
    <w:p>
      <w:pPr>
        <w:pStyle w:val="1033"/>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28.4 质疑文件应包括以下主要内容，并按照“谁主张、谁举证”的原则，附上相关证明材料。否则，代理人不予受理：</w:t>
      </w:r>
      <w:r>
        <w:rPr>
          <w:rFonts w:hint="eastAsia" w:ascii="宋体" w:hAnsi="宋体" w:eastAsia="宋体" w:cs="宋体"/>
          <w:szCs w:val="21"/>
          <w:highlight w:val="none"/>
        </w:rPr>
      </w:r>
      <w:r/>
    </w:p>
    <w:p>
      <w:pPr>
        <w:pStyle w:val="1033"/>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（1）质疑项目名称、项目编号、采购公告发布时间、开标时间；</w:t>
      </w:r>
      <w:r>
        <w:rPr>
          <w:rFonts w:hint="eastAsia" w:ascii="宋体" w:hAnsi="宋体" w:eastAsia="宋体" w:cs="宋体"/>
          <w:szCs w:val="21"/>
          <w:highlight w:val="none"/>
        </w:rPr>
      </w:r>
      <w:r/>
    </w:p>
    <w:p>
      <w:pPr>
        <w:pStyle w:val="1033"/>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（2）提起质疑的日期、具体的质疑事项及事实根据（具体条款）；</w:t>
      </w:r>
      <w:r>
        <w:rPr>
          <w:rFonts w:hint="eastAsia" w:ascii="宋体" w:hAnsi="宋体" w:eastAsia="宋体" w:cs="宋体"/>
          <w:szCs w:val="21"/>
          <w:highlight w:val="none"/>
        </w:rPr>
      </w:r>
      <w:r/>
    </w:p>
    <w:p>
      <w:pPr>
        <w:pStyle w:val="1033"/>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（3）认为自己合法权益受到损害或可能受到损害的相关证据材料。</w:t>
      </w:r>
      <w:r>
        <w:rPr>
          <w:rFonts w:hint="eastAsia" w:ascii="宋体" w:hAnsi="宋体" w:eastAsia="宋体" w:cs="宋体"/>
          <w:szCs w:val="21"/>
          <w:highlight w:val="none"/>
        </w:rPr>
      </w:r>
      <w:r/>
    </w:p>
    <w:p>
      <w:pPr>
        <w:pStyle w:val="1033"/>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（4）质疑供应商名称、地址、邮编、联系人、联系电话（包括座机、手机、传真号码等）；</w:t>
      </w:r>
      <w:r>
        <w:rPr>
          <w:rFonts w:hint="eastAsia" w:ascii="宋体" w:hAnsi="宋体" w:eastAsia="宋体" w:cs="宋体"/>
          <w:szCs w:val="21"/>
          <w:highlight w:val="none"/>
        </w:rPr>
      </w:r>
      <w:r/>
    </w:p>
    <w:p>
      <w:pPr>
        <w:pStyle w:val="1033"/>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（5）质疑函应当署名，质疑人为自然人的，应当由本人签字并附有效身份证明；质疑人为法人或其他组织的，应当由法定代表人签字并加盖单位公章。</w:t>
      </w:r>
      <w:r>
        <w:rPr>
          <w:rFonts w:hint="eastAsia" w:ascii="宋体" w:hAnsi="宋体" w:eastAsia="宋体" w:cs="宋体"/>
          <w:szCs w:val="21"/>
          <w:highlight w:val="none"/>
        </w:rPr>
      </w:r>
      <w:r/>
    </w:p>
    <w:p>
      <w:pPr>
        <w:pStyle w:val="1033"/>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（6）供应商委托代理质疑的，应当提交授权委托书，并载明委托代理的具体权限和事项。</w:t>
      </w:r>
      <w:r>
        <w:rPr>
          <w:rFonts w:hint="eastAsia" w:ascii="宋体" w:hAnsi="宋体" w:eastAsia="宋体" w:cs="宋体"/>
          <w:szCs w:val="21"/>
          <w:highlight w:val="none"/>
        </w:rPr>
      </w:r>
      <w:r/>
    </w:p>
    <w:p>
      <w:pPr>
        <w:pStyle w:val="1033"/>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28.5质疑材料接收信息：</w:t>
      </w:r>
      <w:r>
        <w:rPr>
          <w:rFonts w:hint="eastAsia" w:ascii="宋体" w:hAnsi="宋体" w:eastAsia="宋体" w:cs="宋体"/>
          <w:szCs w:val="21"/>
          <w:highlight w:val="none"/>
        </w:rPr>
      </w:r>
      <w:r/>
    </w:p>
    <w:p>
      <w:pPr>
        <w:pStyle w:val="1033"/>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（1）接收单位：江苏海外集团国际工程咨询有限公司</w:t>
      </w:r>
      <w:r>
        <w:rPr>
          <w:rFonts w:hint="eastAsia" w:ascii="宋体" w:hAnsi="宋体" w:eastAsia="宋体" w:cs="宋体"/>
          <w:szCs w:val="21"/>
          <w:highlight w:val="none"/>
        </w:rPr>
      </w:r>
      <w:r/>
    </w:p>
    <w:p>
      <w:pPr>
        <w:pStyle w:val="1033"/>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（2）联 系 人：方东</w:t>
      </w:r>
      <w:r>
        <w:rPr>
          <w:rFonts w:hint="eastAsia" w:ascii="宋体" w:hAnsi="宋体" w:eastAsia="宋体" w:cs="宋体"/>
          <w:szCs w:val="21"/>
          <w:highlight w:val="none"/>
        </w:rPr>
      </w:r>
      <w:r/>
    </w:p>
    <w:p>
      <w:pPr>
        <w:pStyle w:val="1033"/>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（3）联系电话：025-84795433</w:t>
      </w:r>
      <w:r>
        <w:rPr>
          <w:rFonts w:hint="eastAsia" w:ascii="宋体" w:hAnsi="宋体" w:eastAsia="宋体" w:cs="宋体"/>
          <w:szCs w:val="21"/>
          <w:highlight w:val="none"/>
        </w:rPr>
      </w:r>
      <w:r/>
    </w:p>
    <w:p>
      <w:pPr>
        <w:pStyle w:val="1033"/>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（4）联系邮箱：fangdong@jocite.com</w:t>
      </w:r>
      <w:r>
        <w:rPr>
          <w:rFonts w:hint="eastAsia" w:ascii="宋体" w:hAnsi="宋体" w:eastAsia="宋体" w:cs="宋体"/>
          <w:szCs w:val="21"/>
          <w:highlight w:val="none"/>
        </w:rPr>
      </w:r>
      <w:r/>
    </w:p>
    <w:p>
      <w:pPr>
        <w:pStyle w:val="1033"/>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（5）接收地址：南京市建邺区云龙山路58号大唐科技大厦A座高区15楼</w:t>
      </w:r>
      <w:r>
        <w:rPr>
          <w:rFonts w:hint="eastAsia" w:ascii="宋体" w:hAnsi="宋体" w:eastAsia="宋体" w:cs="宋体"/>
          <w:szCs w:val="21"/>
          <w:highlight w:val="none"/>
        </w:rPr>
      </w:r>
      <w:r/>
    </w:p>
    <w:p>
      <w:pPr>
        <w:pStyle w:val="1033"/>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28.6 以下情形的质疑不予受理</w:t>
      </w:r>
      <w:r>
        <w:rPr>
          <w:rFonts w:hint="eastAsia" w:ascii="宋体" w:hAnsi="宋体" w:eastAsia="宋体" w:cs="宋体"/>
          <w:szCs w:val="21"/>
          <w:highlight w:val="none"/>
        </w:rPr>
      </w:r>
      <w:r/>
    </w:p>
    <w:p>
      <w:pPr>
        <w:pStyle w:val="1033"/>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（1）内容不符合《政府采购质疑和投诉办法》第十二条规定的质疑。</w:t>
      </w:r>
      <w:r>
        <w:rPr>
          <w:rFonts w:hint="eastAsia" w:ascii="宋体" w:hAnsi="宋体" w:eastAsia="宋体" w:cs="宋体"/>
          <w:szCs w:val="21"/>
          <w:highlight w:val="none"/>
        </w:rPr>
      </w:r>
      <w:r/>
    </w:p>
    <w:p>
      <w:pPr>
        <w:pStyle w:val="1033"/>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（2）超出政府采购法定期限的质疑。</w:t>
      </w:r>
      <w:r>
        <w:rPr>
          <w:rFonts w:hint="eastAsia" w:ascii="宋体" w:hAnsi="宋体" w:eastAsia="宋体" w:cs="宋体"/>
          <w:szCs w:val="21"/>
          <w:highlight w:val="none"/>
        </w:rPr>
      </w:r>
      <w:r/>
    </w:p>
    <w:p>
      <w:pPr>
        <w:pStyle w:val="1033"/>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（3）以传真、电子邮件等方式递交的非原件形式的质疑。</w:t>
      </w:r>
      <w:r>
        <w:rPr>
          <w:rFonts w:hint="eastAsia" w:ascii="宋体" w:hAnsi="宋体" w:eastAsia="宋体" w:cs="宋体"/>
          <w:szCs w:val="21"/>
          <w:highlight w:val="none"/>
        </w:rPr>
      </w:r>
      <w:r/>
    </w:p>
    <w:p>
      <w:pPr>
        <w:pStyle w:val="1033"/>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（4）未参加采购活动的供应商或在采购活动中自身权益未受到损害的供应商所提出的质疑。</w:t>
      </w:r>
      <w:r>
        <w:rPr>
          <w:rFonts w:hint="eastAsia" w:ascii="宋体" w:hAnsi="宋体" w:eastAsia="宋体" w:cs="宋体"/>
          <w:szCs w:val="21"/>
          <w:highlight w:val="none"/>
        </w:rPr>
      </w:r>
      <w:r/>
    </w:p>
    <w:p>
      <w:pPr>
        <w:pStyle w:val="1033"/>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（5）供应商组成联合体参加投标，联合体中任何一方或多方未按要求签字、盖章、加盖公章的质疑。</w:t>
      </w:r>
      <w:r>
        <w:rPr>
          <w:rFonts w:hint="eastAsia" w:ascii="宋体" w:hAnsi="宋体" w:eastAsia="宋体" w:cs="宋体"/>
          <w:szCs w:val="21"/>
          <w:highlight w:val="none"/>
        </w:rPr>
      </w:r>
      <w:r/>
    </w:p>
    <w:p>
      <w:pPr>
        <w:pStyle w:val="1033"/>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28.7供应商不得虚假质疑和恶意质疑，并对质疑内容的真实性承担责任。供应商或者其他利害关系人通过捏造事实、伪造证明材料等方式提出异议或投诉，阻碍采购活动正常进行的，属于严重不良行为，采购人（采购代理机构）将提请财政部门将其列入不良行为记录名单，并依法予以处罚。</w:t>
      </w:r>
      <w:r>
        <w:rPr>
          <w:rFonts w:hint="eastAsia" w:ascii="宋体" w:hAnsi="宋体" w:eastAsia="宋体" w:cs="宋体"/>
          <w:szCs w:val="21"/>
          <w:highlight w:val="none"/>
        </w:rPr>
      </w:r>
      <w:r/>
    </w:p>
    <w:p>
      <w:pPr>
        <w:pStyle w:val="1033"/>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28.8采购人（采购代理机构）在收到供应商的书面质疑后将及时组织调查核实，在七个工作日内作出答复，并以书面形式通知质疑供应商和其他有关供应商，答复的内容不涉及商业秘密。</w:t>
      </w:r>
      <w:r>
        <w:rPr>
          <w:rFonts w:hint="eastAsia" w:ascii="宋体" w:hAnsi="宋体" w:eastAsia="宋体" w:cs="宋体"/>
          <w:szCs w:val="21"/>
          <w:highlight w:val="none"/>
        </w:rPr>
      </w:r>
      <w:r/>
    </w:p>
    <w:p>
      <w:pPr>
        <w:pStyle w:val="1033"/>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29.投诉</w:t>
      </w:r>
      <w:r>
        <w:rPr>
          <w:rFonts w:hint="eastAsia" w:ascii="宋体" w:hAnsi="宋体" w:eastAsia="宋体" w:cs="宋体"/>
          <w:b/>
          <w:bCs/>
          <w:szCs w:val="21"/>
          <w:highlight w:val="none"/>
        </w:rPr>
      </w:r>
      <w:r/>
    </w:p>
    <w:p>
      <w:pPr>
        <w:pStyle w:val="1033"/>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29.1质疑供应商对采购人（采购代理机构）的答复不满意或者采购人（采购代理机构）未在规定的时间内作出答复的，可以在答复期满后十五个工作日内向同级政府采购监督管理部门投诉。</w:t>
      </w:r>
      <w:r>
        <w:rPr>
          <w:rFonts w:hint="eastAsia" w:ascii="宋体" w:hAnsi="宋体" w:eastAsia="宋体" w:cs="宋体"/>
          <w:szCs w:val="21"/>
          <w:highlight w:val="none"/>
        </w:rPr>
      </w:r>
      <w:r/>
    </w:p>
    <w:p>
      <w:pPr>
        <w:pStyle w:val="1033"/>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29.2质疑供应商的投诉应当有明确的请求和必要的证明材料，其投诉的事项不得超出已质疑事项的范围。</w:t>
      </w:r>
      <w:r>
        <w:rPr>
          <w:rFonts w:hint="eastAsia" w:ascii="宋体" w:hAnsi="宋体" w:eastAsia="宋体" w:cs="宋体"/>
          <w:szCs w:val="21"/>
          <w:highlight w:val="none"/>
        </w:rPr>
      </w:r>
      <w:r/>
    </w:p>
    <w:p>
      <w:pPr>
        <w:pStyle w:val="1033"/>
        <w:rPr>
          <w:rFonts w:hint="eastAsia" w:ascii="宋体" w:hAnsi="宋体" w:eastAsia="宋体" w:cs="宋体"/>
          <w:bCs/>
          <w:sz w:val="22"/>
          <w:szCs w:val="2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sz w:val="22"/>
          <w:szCs w:val="22"/>
          <w:highlight w:val="none"/>
        </w:rPr>
      </w:r>
      <w:r/>
    </w:p>
    <w:p>
      <w:pPr>
        <w:pStyle w:val="1034"/>
        <w:ind w:firstLine="0"/>
        <w:spacing w:before="480"/>
        <w:tabs>
          <w:tab w:val="left" w:pos="1440" w:leader="none"/>
          <w:tab w:val="left" w:pos="5670" w:leader="none"/>
        </w:tabs>
        <w:rPr>
          <w:rFonts w:hint="eastAsia" w:ascii="宋体" w:hAnsi="宋体" w:eastAsia="宋体" w:cs="宋体"/>
          <w:highlight w:val="none"/>
        </w:rPr>
      </w:pPr>
      <w:r/>
      <w:bookmarkStart w:id="98" w:name="_Toc16695"/>
      <w:r>
        <w:rPr>
          <w:rFonts w:hint="eastAsia" w:ascii="宋体" w:hAnsi="宋体" w:eastAsia="宋体" w:cs="宋体"/>
          <w:highlight w:val="none"/>
        </w:rPr>
        <w:t xml:space="preserve">第三章 评分标准</w:t>
      </w:r>
      <w:bookmarkEnd w:id="28"/>
      <w:r/>
      <w:bookmarkEnd w:id="29"/>
      <w:r/>
      <w:bookmarkEnd w:id="98"/>
      <w:r>
        <w:rPr>
          <w:rFonts w:hint="eastAsia" w:ascii="宋体" w:hAnsi="宋体" w:eastAsia="宋体" w:cs="宋体"/>
          <w:highlight w:val="none"/>
        </w:rPr>
      </w:r>
      <w:r/>
    </w:p>
    <w:p>
      <w:pPr>
        <w:pStyle w:val="1033"/>
        <w:ind w:firstLine="440"/>
        <w:rPr>
          <w:rFonts w:hint="eastAsia" w:ascii="宋体" w:hAnsi="宋体" w:eastAsia="宋体" w:cs="宋体"/>
          <w:sz w:val="22"/>
          <w:szCs w:val="22"/>
          <w:highlight w:val="none"/>
        </w:rPr>
      </w:pPr>
      <w:r/>
      <w:bookmarkStart w:id="99" w:name="OLE_LINK14"/>
      <w:r>
        <w:rPr>
          <w:rFonts w:hint="eastAsia" w:ascii="宋体" w:hAnsi="宋体" w:eastAsia="宋体" w:cs="宋体"/>
          <w:sz w:val="22"/>
          <w:szCs w:val="22"/>
          <w:highlight w:val="none"/>
        </w:rPr>
        <w:t xml:space="preserve">本项目采用综合评分法确定中标候选人（3名）。评标委员会将按以下评标办法和标准进行评分。总分值为100分，小数点后保留两位。评审后总得分由高到低顺序排列，总得分相同的，按投标报价由低到高顺序排列，总得分和投标报价都相同的，按技术部分指标优劣顺序排列。</w:t>
      </w:r>
      <w:r>
        <w:rPr>
          <w:rFonts w:hint="eastAsia" w:ascii="宋体" w:hAnsi="宋体" w:eastAsia="宋体" w:cs="宋体"/>
          <w:sz w:val="22"/>
          <w:szCs w:val="22"/>
          <w:highlight w:val="none"/>
        </w:rPr>
      </w:r>
      <w:r/>
    </w:p>
    <w:p>
      <w:pPr>
        <w:pStyle w:val="1033"/>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如供应商的报价明显低于其他通过资格及符合性审查供应商的报价，且未能提供相关价格构成，有可能影响服务质量或者不能诚信履约的，按无效响应处理。具体评审办法如下：</w:t>
      </w:r>
      <w:r>
        <w:rPr>
          <w:rFonts w:hint="eastAsia" w:ascii="宋体" w:hAnsi="宋体" w:eastAsia="宋体" w:cs="宋体"/>
          <w:sz w:val="22"/>
          <w:szCs w:val="22"/>
          <w:highlight w:val="none"/>
        </w:rPr>
      </w:r>
      <w:r/>
    </w:p>
    <w:p>
      <w:pPr>
        <w:pStyle w:val="1033"/>
        <w:ind w:firstLine="442"/>
        <w:rPr>
          <w:rFonts w:hint="eastAsia" w:ascii="宋体" w:hAnsi="宋体" w:eastAsia="宋体" w:cs="宋体"/>
          <w:sz w:val="22"/>
          <w:szCs w:val="22"/>
          <w:highlight w:val="none"/>
        </w:rPr>
      </w:pPr>
      <w:r/>
      <w:bookmarkEnd w:id="99"/>
      <w:r>
        <w:rPr>
          <w:rFonts w:hint="eastAsia" w:ascii="宋体" w:hAnsi="宋体" w:eastAsia="宋体" w:cs="宋体"/>
          <w:b/>
          <w:bCs/>
          <w:sz w:val="22"/>
          <w:szCs w:val="22"/>
          <w:highlight w:val="none"/>
          <w:lang w:val="zh-CN"/>
        </w:rPr>
        <w:t xml:space="preserve">评标细则</w:t>
      </w:r>
      <w:r>
        <w:rPr>
          <w:rFonts w:hint="eastAsia" w:ascii="宋体" w:hAnsi="宋体" w:eastAsia="宋体" w:cs="宋体"/>
          <w:sz w:val="22"/>
          <w:szCs w:val="22"/>
          <w:highlight w:val="none"/>
        </w:rPr>
      </w:r>
      <w:r/>
    </w:p>
    <w:p>
      <w:pPr>
        <w:pStyle w:val="1033"/>
        <w:ind w:firstLine="442"/>
        <w:rPr>
          <w:rFonts w:hint="eastAsia" w:ascii="宋体" w:hAnsi="宋体" w:eastAsia="宋体" w:cs="宋体"/>
          <w:b/>
          <w:sz w:val="22"/>
          <w:szCs w:val="22"/>
          <w:highlight w:val="none"/>
        </w:rPr>
        <w:outlineLvl w:val="1"/>
      </w:pPr>
      <w:r/>
      <w:bookmarkStart w:id="100" w:name="_Toc4962"/>
      <w:r>
        <w:rPr>
          <w:rFonts w:hint="eastAsia" w:ascii="宋体" w:hAnsi="宋体" w:eastAsia="宋体" w:cs="宋体"/>
          <w:b/>
          <w:sz w:val="22"/>
          <w:szCs w:val="22"/>
          <w:highlight w:val="none"/>
        </w:rPr>
        <w:t xml:space="preserve">一、资格性审查</w:t>
      </w:r>
      <w:bookmarkEnd w:id="100"/>
      <w:r>
        <w:rPr>
          <w:rFonts w:hint="eastAsia" w:ascii="宋体" w:hAnsi="宋体" w:eastAsia="宋体" w:cs="宋体"/>
          <w:b/>
          <w:sz w:val="22"/>
          <w:szCs w:val="22"/>
          <w:highlight w:val="none"/>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3"/>
        <w:gridCol w:w="5057"/>
        <w:gridCol w:w="1897"/>
        <w:gridCol w:w="1699"/>
      </w:tblGrid>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序号</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评定标准</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通过√</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未通过×</w:t>
            </w: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1</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highlight w:val="none"/>
              </w:rPr>
            </w:pPr>
            <w:r>
              <w:rPr>
                <w:rFonts w:hint="eastAsia" w:ascii="宋体" w:hAnsi="宋体" w:eastAsia="宋体" w:cs="宋体"/>
                <w:sz w:val="22"/>
                <w:highlight w:val="none"/>
              </w:rPr>
              <w:t xml:space="preserve">投标人资质要求</w:t>
            </w:r>
            <w:r>
              <w:rPr>
                <w:rFonts w:hint="eastAsia" w:ascii="宋体" w:hAnsi="宋体" w:eastAsia="宋体" w:cs="宋体"/>
                <w:sz w:val="22"/>
                <w:highlight w:val="none"/>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bl>
    <w:p>
      <w:pPr>
        <w:pStyle w:val="1033"/>
        <w:ind w:firstLine="442"/>
        <w:rPr>
          <w:rFonts w:hint="eastAsia" w:ascii="宋体" w:hAnsi="宋体" w:eastAsia="宋体" w:cs="宋体"/>
          <w:b/>
          <w:sz w:val="22"/>
          <w:szCs w:val="22"/>
          <w:highlight w:val="none"/>
        </w:rPr>
        <w:outlineLvl w:val="1"/>
      </w:pPr>
      <w:r/>
      <w:bookmarkStart w:id="101" w:name="_Toc3877"/>
      <w:r>
        <w:rPr>
          <w:rFonts w:hint="eastAsia" w:ascii="宋体" w:hAnsi="宋体" w:eastAsia="宋体" w:cs="宋体"/>
          <w:b/>
          <w:sz w:val="22"/>
          <w:szCs w:val="22"/>
          <w:highlight w:val="none"/>
        </w:rPr>
        <w:t xml:space="preserve">二、符合性审查</w:t>
      </w:r>
      <w:bookmarkEnd w:id="101"/>
      <w:r>
        <w:rPr>
          <w:rFonts w:hint="eastAsia" w:ascii="宋体" w:hAnsi="宋体" w:eastAsia="宋体" w:cs="宋体"/>
          <w:b/>
          <w:sz w:val="22"/>
          <w:szCs w:val="22"/>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95"/>
        <w:gridCol w:w="5092"/>
        <w:gridCol w:w="1877"/>
        <w:gridCol w:w="1694"/>
      </w:tblGrid>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序号</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评定标准</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通过√</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未通过×</w:t>
            </w: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1</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rPr>
              <w:t xml:space="preserve">投标报价是否超过采购预算或限价</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2</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highlight w:val="none"/>
              </w:rPr>
            </w:pPr>
            <w:r>
              <w:rPr>
                <w:rFonts w:hint="eastAsia" w:ascii="宋体" w:hAnsi="宋体" w:eastAsia="宋体" w:cs="宋体"/>
                <w:sz w:val="22"/>
                <w:highlight w:val="none"/>
                <w:lang w:val="zh-CN"/>
              </w:rPr>
              <w:t xml:space="preserve">投标文件的有效性（</w:t>
            </w:r>
            <w:r>
              <w:rPr>
                <w:rFonts w:hint="eastAsia" w:ascii="宋体" w:hAnsi="宋体" w:eastAsia="宋体" w:cs="宋体"/>
                <w:sz w:val="22"/>
                <w:highlight w:val="none"/>
              </w:rPr>
              <w:t xml:space="preserve">是否签字盖章）</w:t>
            </w:r>
            <w:r>
              <w:rPr>
                <w:rFonts w:hint="eastAsia" w:ascii="宋体" w:hAnsi="宋体" w:eastAsia="宋体" w:cs="宋体"/>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r>
        <w:trPr>
          <w:trHeight w:val="90"/>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rPr>
              <w:t xml:space="preserve">3</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highlight w:val="none"/>
              </w:rPr>
            </w:pPr>
            <w:r>
              <w:rPr>
                <w:rFonts w:hint="eastAsia" w:ascii="宋体" w:hAnsi="宋体" w:eastAsia="宋体" w:cs="宋体"/>
                <w:sz w:val="22"/>
                <w:highlight w:val="none"/>
                <w:lang w:val="zh-CN"/>
              </w:rPr>
              <w:t xml:space="preserve">投标文件的完整性</w:t>
            </w:r>
            <w:r>
              <w:rPr>
                <w:rFonts w:hint="eastAsia" w:ascii="宋体" w:hAnsi="宋体" w:eastAsia="宋体" w:cs="宋体"/>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rPr>
              <w:t xml:space="preserve">4</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符合</w:t>
            </w:r>
            <w:r>
              <w:rPr>
                <w:rFonts w:hint="eastAsia" w:ascii="宋体" w:hAnsi="宋体" w:eastAsia="宋体" w:cs="宋体"/>
                <w:sz w:val="22"/>
                <w:highlight w:val="none"/>
              </w:rPr>
              <w:t xml:space="preserve">招标</w:t>
            </w:r>
            <w:r>
              <w:rPr>
                <w:rFonts w:hint="eastAsia" w:ascii="宋体" w:hAnsi="宋体" w:eastAsia="宋体" w:cs="宋体"/>
                <w:sz w:val="22"/>
                <w:highlight w:val="none"/>
                <w:lang w:val="zh-CN"/>
              </w:rPr>
              <w:t xml:space="preserve">文件第六章格式（1-</w:t>
            </w:r>
            <w:r>
              <w:rPr>
                <w:rFonts w:hint="eastAsia" w:ascii="宋体" w:hAnsi="宋体" w:eastAsia="宋体" w:cs="宋体"/>
                <w:sz w:val="22"/>
                <w:highlight w:val="none"/>
              </w:rPr>
              <w:t xml:space="preserve">6</w:t>
            </w:r>
            <w:r>
              <w:rPr>
                <w:rFonts w:hint="eastAsia" w:ascii="宋体" w:hAnsi="宋体" w:eastAsia="宋体" w:cs="宋体"/>
                <w:sz w:val="22"/>
                <w:highlight w:val="none"/>
                <w:lang w:val="zh-CN"/>
              </w:rPr>
              <w:t xml:space="preserve">）</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rPr>
              <w:t xml:space="preserve">5</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不存在重大负偏离</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bl>
    <w:p>
      <w:pPr>
        <w:pStyle w:val="1033"/>
        <w:ind w:firstLine="442"/>
        <w:rPr>
          <w:rFonts w:hint="eastAsia" w:ascii="宋体" w:hAnsi="宋体" w:eastAsia="宋体" w:cs="宋体"/>
          <w:b/>
          <w:sz w:val="22"/>
          <w:szCs w:val="22"/>
          <w:highlight w:val="none"/>
        </w:rPr>
        <w:outlineLvl w:val="1"/>
      </w:pPr>
      <w:r/>
      <w:bookmarkStart w:id="102" w:name="_Toc29123"/>
      <w:r/>
      <w:bookmarkStart w:id="103" w:name="_Toc7288"/>
      <w:r>
        <w:rPr>
          <w:rFonts w:hint="eastAsia" w:ascii="宋体" w:hAnsi="宋体" w:eastAsia="宋体" w:cs="宋体"/>
          <w:b/>
          <w:sz w:val="22"/>
          <w:szCs w:val="22"/>
          <w:highlight w:val="none"/>
        </w:rPr>
        <w:t xml:space="preserve">三、异常低价投标（响应）审查</w:t>
      </w:r>
      <w:bookmarkEnd w:id="102"/>
      <w:r/>
      <w:bookmarkEnd w:id="103"/>
      <w:r>
        <w:rPr>
          <w:rFonts w:hint="eastAsia" w:ascii="宋体" w:hAnsi="宋体" w:eastAsia="宋体" w:cs="宋体"/>
          <w:b/>
          <w:sz w:val="22"/>
          <w:szCs w:val="22"/>
          <w:highlight w:val="none"/>
        </w:rPr>
      </w:r>
      <w:r/>
    </w:p>
    <w:p>
      <w:pPr>
        <w:pStyle w:val="1033"/>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1.依据《关于推动解决政府采购异常低价问题的通知》（财库〔2026〕2号），政府采购评审中出现下列情形之一的，评审委员会应当启动异常低价投标（响应）审查程序：</w:t>
      </w:r>
      <w:r>
        <w:rPr>
          <w:rFonts w:hint="eastAsia" w:ascii="宋体" w:hAnsi="宋体" w:eastAsia="宋体" w:cs="宋体"/>
          <w:sz w:val="22"/>
          <w:szCs w:val="22"/>
          <w:highlight w:val="none"/>
        </w:rPr>
      </w:r>
      <w:r/>
    </w:p>
    <w:p>
      <w:pPr>
        <w:pStyle w:val="1033"/>
        <w:ind w:firstLine="442"/>
        <w:rPr>
          <w:rFonts w:hint="eastAsia" w:ascii="宋体" w:hAnsi="宋体" w:eastAsia="宋体" w:cs="宋体"/>
          <w:b/>
          <w:bCs/>
          <w:color w:val="c00000"/>
          <w:sz w:val="22"/>
          <w:szCs w:val="22"/>
          <w:highlight w:val="none"/>
        </w:rPr>
      </w:pPr>
      <w:r>
        <w:rPr>
          <w:rFonts w:hint="eastAsia" w:ascii="宋体" w:hAnsi="宋体" w:eastAsia="宋体" w:cs="宋体"/>
          <w:b/>
          <w:bCs/>
          <w:color w:val="c00000"/>
          <w:sz w:val="22"/>
          <w:szCs w:val="22"/>
          <w:highlight w:val="none"/>
        </w:rPr>
        <w:t xml:space="preserve">（1）投标（响应）报价低于全部通过符合性审查供应商投标（响应）报价平均值65%的，即投标（响应）报价</w:t>
      </w:r>
      <w:r>
        <w:rPr>
          <w:rFonts w:hint="eastAsia" w:ascii="宋体" w:hAnsi="宋体" w:eastAsia="宋体" w:cs="宋体"/>
          <w:b/>
          <w:bCs/>
          <w:color w:val="c00000"/>
          <w:sz w:val="22"/>
          <w:szCs w:val="22"/>
          <w:highlight w:val="none"/>
          <w:lang w:eastAsia="zh-CN"/>
        </w:rPr>
        <w:t xml:space="preserve">＜</w:t>
      </w:r>
      <w:r>
        <w:rPr>
          <w:rFonts w:hint="eastAsia" w:ascii="宋体" w:hAnsi="宋体" w:eastAsia="宋体" w:cs="宋体"/>
          <w:b/>
          <w:bCs/>
          <w:color w:val="c00000"/>
          <w:sz w:val="22"/>
          <w:szCs w:val="22"/>
          <w:highlight w:val="none"/>
        </w:rPr>
        <w:t xml:space="preserve">全部通过符合性审查供应商投标（响应）报价平均值×65%； </w:t>
      </w:r>
      <w:r>
        <w:rPr>
          <w:rFonts w:hint="eastAsia" w:ascii="宋体" w:hAnsi="宋体" w:eastAsia="宋体" w:cs="宋体"/>
          <w:b/>
          <w:bCs/>
          <w:color w:val="c00000"/>
          <w:sz w:val="22"/>
          <w:szCs w:val="22"/>
          <w:highlight w:val="none"/>
        </w:rPr>
      </w:r>
      <w:r/>
    </w:p>
    <w:p>
      <w:pPr>
        <w:pStyle w:val="1033"/>
        <w:ind w:firstLine="442"/>
        <w:rPr>
          <w:rFonts w:hint="eastAsia" w:ascii="宋体" w:hAnsi="宋体" w:eastAsia="宋体" w:cs="宋体"/>
          <w:b/>
          <w:bCs/>
          <w:color w:val="c00000"/>
          <w:sz w:val="22"/>
          <w:szCs w:val="22"/>
          <w:highlight w:val="none"/>
        </w:rPr>
      </w:pPr>
      <w:r>
        <w:rPr>
          <w:rFonts w:hint="eastAsia" w:ascii="宋体" w:hAnsi="宋体" w:eastAsia="宋体" w:cs="宋体"/>
          <w:b/>
          <w:bCs/>
          <w:color w:val="c00000"/>
          <w:sz w:val="22"/>
          <w:szCs w:val="22"/>
          <w:highlight w:val="none"/>
        </w:rPr>
        <w:t xml:space="preserve">（2）投标（响应）报价低于通过符合性审查的次低报价供应商投标（响应）报价65%的，即投标（响应）报价</w:t>
      </w:r>
      <w:r>
        <w:rPr>
          <w:rFonts w:hint="eastAsia" w:ascii="宋体" w:hAnsi="宋体" w:eastAsia="宋体" w:cs="宋体"/>
          <w:b/>
          <w:bCs/>
          <w:color w:val="c00000"/>
          <w:sz w:val="22"/>
          <w:szCs w:val="22"/>
          <w:highlight w:val="none"/>
          <w:lang w:eastAsia="zh-CN"/>
        </w:rPr>
        <w:t xml:space="preserve">＜</w:t>
      </w:r>
      <w:r>
        <w:rPr>
          <w:rFonts w:hint="eastAsia" w:ascii="宋体" w:hAnsi="宋体" w:eastAsia="宋体" w:cs="宋体"/>
          <w:b/>
          <w:bCs/>
          <w:color w:val="c00000"/>
          <w:sz w:val="22"/>
          <w:szCs w:val="22"/>
          <w:highlight w:val="none"/>
        </w:rPr>
        <w:t xml:space="preserve">通过符合性审查的次低报价供应商投标（响应）报价×65%； </w:t>
      </w:r>
      <w:r>
        <w:rPr>
          <w:rFonts w:hint="eastAsia" w:ascii="宋体" w:hAnsi="宋体" w:eastAsia="宋体" w:cs="宋体"/>
          <w:b/>
          <w:bCs/>
          <w:color w:val="c00000"/>
          <w:sz w:val="22"/>
          <w:szCs w:val="22"/>
          <w:highlight w:val="none"/>
        </w:rPr>
      </w:r>
      <w:r/>
    </w:p>
    <w:p>
      <w:pPr>
        <w:pStyle w:val="1033"/>
        <w:ind w:firstLine="442"/>
        <w:rPr>
          <w:rFonts w:hint="eastAsia" w:ascii="宋体" w:hAnsi="宋体" w:eastAsia="宋体" w:cs="宋体"/>
          <w:b/>
          <w:bCs/>
          <w:color w:val="c00000"/>
          <w:sz w:val="22"/>
          <w:szCs w:val="22"/>
          <w:highlight w:val="none"/>
        </w:rPr>
      </w:pPr>
      <w:r>
        <w:rPr>
          <w:rFonts w:hint="eastAsia" w:ascii="宋体" w:hAnsi="宋体" w:eastAsia="宋体" w:cs="宋体"/>
          <w:b/>
          <w:bCs/>
          <w:color w:val="c00000"/>
          <w:sz w:val="22"/>
          <w:szCs w:val="22"/>
          <w:highlight w:val="none"/>
        </w:rPr>
        <w:t xml:space="preserve">（3）投标（响应）报价低于采购项目最高限价65%的，即投标（响应）报价</w:t>
      </w:r>
      <w:r>
        <w:rPr>
          <w:rFonts w:hint="eastAsia" w:ascii="宋体" w:hAnsi="宋体" w:eastAsia="宋体" w:cs="宋体"/>
          <w:b/>
          <w:bCs/>
          <w:color w:val="c00000"/>
          <w:sz w:val="22"/>
          <w:szCs w:val="22"/>
          <w:highlight w:val="none"/>
          <w:lang w:eastAsia="zh-CN"/>
        </w:rPr>
        <w:t xml:space="preserve">＜</w:t>
      </w:r>
      <w:r>
        <w:rPr>
          <w:rFonts w:hint="eastAsia" w:ascii="宋体" w:hAnsi="宋体" w:eastAsia="宋体" w:cs="宋体"/>
          <w:b/>
          <w:bCs/>
          <w:color w:val="c00000"/>
          <w:sz w:val="22"/>
          <w:szCs w:val="22"/>
          <w:highlight w:val="none"/>
        </w:rPr>
        <w:t xml:space="preserve">采购项目最高限价×65%； </w:t>
      </w:r>
      <w:r>
        <w:rPr>
          <w:rFonts w:hint="eastAsia" w:ascii="宋体" w:hAnsi="宋体" w:eastAsia="宋体" w:cs="宋体"/>
          <w:b/>
          <w:bCs/>
          <w:color w:val="c00000"/>
          <w:sz w:val="22"/>
          <w:szCs w:val="22"/>
          <w:highlight w:val="none"/>
        </w:rPr>
      </w:r>
      <w:r/>
    </w:p>
    <w:p>
      <w:pPr>
        <w:pStyle w:val="1033"/>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（4）评审委员会基于专业判断，认为供应商报价过低，有可能影响产品质量或者不能诚信履约的其他情形。 </w:t>
      </w:r>
      <w:r>
        <w:rPr>
          <w:rFonts w:hint="eastAsia" w:ascii="宋体" w:hAnsi="宋体" w:eastAsia="宋体" w:cs="宋体"/>
          <w:sz w:val="22"/>
          <w:szCs w:val="22"/>
          <w:highlight w:val="none"/>
        </w:rPr>
      </w:r>
      <w:r/>
    </w:p>
    <w:p>
      <w:pPr>
        <w:pStyle w:val="1033"/>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采购人可以结合具体项目实际情况，提高上述第（1）项至第（3）项中启动异常低价投标（响应）审查的数值标准，但是最高不得超过65%。 </w:t>
      </w:r>
      <w:r>
        <w:rPr>
          <w:rFonts w:hint="eastAsia" w:ascii="宋体" w:hAnsi="宋体" w:eastAsia="宋体" w:cs="宋体"/>
          <w:sz w:val="22"/>
          <w:szCs w:val="22"/>
          <w:highlight w:val="none"/>
        </w:rPr>
      </w:r>
      <w:r/>
    </w:p>
    <w:p>
      <w:pPr>
        <w:pStyle w:val="1033"/>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相关法律法规对供应商报价有规定的，从其规定。</w:t>
      </w:r>
      <w:r>
        <w:rPr>
          <w:rFonts w:hint="eastAsia" w:ascii="宋体" w:hAnsi="宋体" w:eastAsia="宋体" w:cs="宋体"/>
          <w:sz w:val="22"/>
          <w:szCs w:val="22"/>
          <w:highlight w:val="none"/>
        </w:rPr>
      </w:r>
      <w:r/>
    </w:p>
    <w:p>
      <w:pPr>
        <w:pStyle w:val="1033"/>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sz w:val="22"/>
          <w:szCs w:val="22"/>
          <w:highlight w:val="none"/>
        </w:rPr>
      </w:r>
      <w:r/>
    </w:p>
    <w:p>
      <w:pPr>
        <w:pStyle w:val="1033"/>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sz w:val="22"/>
          <w:szCs w:val="22"/>
          <w:highlight w:val="none"/>
        </w:rPr>
      </w:r>
      <w:r/>
    </w:p>
    <w:p>
      <w:pPr>
        <w:pStyle w:val="1033"/>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sz w:val="22"/>
          <w:szCs w:val="22"/>
          <w:highlight w:val="none"/>
        </w:rPr>
      </w:r>
      <w:r/>
    </w:p>
    <w:p>
      <w:pPr>
        <w:pStyle w:val="1033"/>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2"/>
          <w:szCs w:val="22"/>
          <w:highlight w:val="none"/>
        </w:rPr>
      </w:r>
      <w:r/>
    </w:p>
    <w:p>
      <w:pPr>
        <w:pStyle w:val="1033"/>
        <w:numPr>
          <w:ilvl w:val="0"/>
          <w:numId w:val="40"/>
        </w:numPr>
        <w:ind w:firstLine="442"/>
        <w:rPr>
          <w:rFonts w:hint="eastAsia" w:ascii="宋体" w:hAnsi="宋体" w:eastAsia="宋体" w:cs="宋体"/>
          <w:b/>
          <w:sz w:val="22"/>
          <w:szCs w:val="22"/>
          <w:highlight w:val="none"/>
        </w:rPr>
        <w:sectPr>
          <w:footnotePr/>
          <w:endnotePr/>
          <w:type w:val="nextPage"/>
          <w:pgSz w:w="11906" w:h="16838" w:orient="portrait"/>
          <w:pgMar w:top="1440" w:right="1080" w:bottom="1440" w:left="1080" w:header="851" w:footer="680" w:gutter="0"/>
          <w:cols w:num="1" w:sep="0" w:space="1701" w:equalWidth="1"/>
          <w:docGrid w:linePitch="360"/>
        </w:sectPr>
        <w:outlineLvl w:val="1"/>
      </w:pPr>
      <w:r>
        <w:rPr>
          <w:rFonts w:hint="eastAsia" w:ascii="宋体" w:hAnsi="宋体" w:eastAsia="宋体" w:cs="宋体"/>
          <w:b/>
          <w:sz w:val="22"/>
          <w:szCs w:val="22"/>
          <w:highlight w:val="none"/>
        </w:rPr>
      </w:r>
      <w:r/>
    </w:p>
    <w:p>
      <w:pPr>
        <w:pStyle w:val="1033"/>
        <w:rPr>
          <w:rFonts w:hint="eastAsia" w:ascii="宋体" w:hAnsi="宋体" w:eastAsia="宋体" w:cs="宋体"/>
          <w:b/>
          <w:sz w:val="22"/>
          <w:szCs w:val="22"/>
          <w:highlight w:val="none"/>
        </w:rPr>
        <w:outlineLvl w:val="1"/>
      </w:pPr>
      <w:r/>
      <w:bookmarkStart w:id="104" w:name="_Toc14961"/>
      <w:r>
        <w:rPr>
          <w:rFonts w:hint="eastAsia" w:ascii="宋体" w:hAnsi="宋体" w:eastAsia="宋体" w:cs="宋体"/>
          <w:b/>
          <w:sz w:val="22"/>
          <w:szCs w:val="22"/>
          <w:highlight w:val="none"/>
        </w:rPr>
        <w:t xml:space="preserve">四、评分表（综合评分法）</w:t>
      </w:r>
      <w:bookmarkEnd w:id="104"/>
      <w:r>
        <w:rPr>
          <w:rFonts w:hint="eastAsia" w:ascii="宋体" w:hAnsi="宋体" w:eastAsia="宋体" w:cs="宋体"/>
          <w:b/>
          <w:sz w:val="22"/>
          <w:szCs w:val="2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1406"/>
        <w:gridCol w:w="6968"/>
        <w:gridCol w:w="757"/>
      </w:tblGrid>
      <w:tr>
        <w:trPr/>
        <w:tc>
          <w:tcPr>
            <w:tcW w:w="831" w:type="dxa"/>
            <w:vAlign w:val="center"/>
            <w:textDirection w:val="lrTb"/>
            <w:noWrap/>
          </w:tcPr>
          <w:p>
            <w:pPr>
              <w:pStyle w:val="1033"/>
              <w:jc w:val="center"/>
              <w:rPr>
                <w:rFonts w:hint="eastAsia" w:ascii="宋体" w:hAnsi="宋体" w:eastAsia="宋体" w:cs="宋体"/>
                <w:b/>
                <w:bCs/>
                <w:szCs w:val="21"/>
                <w:highlight w:val="none"/>
              </w:rPr>
            </w:pPr>
            <w:r>
              <w:rPr>
                <w:rFonts w:hint="eastAsia" w:ascii="宋体" w:hAnsi="宋体" w:eastAsia="宋体" w:cs="宋体"/>
                <w:b/>
                <w:sz w:val="28"/>
                <w:szCs w:val="28"/>
                <w:highlight w:val="none"/>
              </w:rPr>
              <w:br w:type="page" w:clear="all"/>
            </w:r>
            <w:r>
              <w:rPr>
                <w:rFonts w:hint="eastAsia" w:ascii="宋体" w:hAnsi="宋体" w:eastAsia="宋体" w:cs="宋体"/>
                <w:b/>
                <w:bCs/>
                <w:szCs w:val="21"/>
                <w:highlight w:val="none"/>
              </w:rPr>
              <w:t xml:space="preserve">序号</w:t>
            </w:r>
            <w:r>
              <w:rPr>
                <w:rFonts w:hint="eastAsia" w:ascii="宋体" w:hAnsi="宋体" w:eastAsia="宋体" w:cs="宋体"/>
                <w:b/>
                <w:bCs/>
                <w:szCs w:val="21"/>
                <w:highlight w:val="none"/>
              </w:rPr>
            </w:r>
            <w:r/>
          </w:p>
        </w:tc>
        <w:tc>
          <w:tcPr>
            <w:tcW w:w="1406" w:type="dxa"/>
            <w:vAlign w:val="center"/>
            <w:textDirection w:val="lrTb"/>
            <w:noWrap/>
          </w:tcPr>
          <w:p>
            <w:pPr>
              <w:pStyle w:val="1033"/>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评分因素</w:t>
            </w:r>
            <w:r>
              <w:rPr>
                <w:rFonts w:hint="eastAsia" w:ascii="宋体" w:hAnsi="宋体" w:eastAsia="宋体" w:cs="宋体"/>
                <w:b/>
                <w:bCs/>
                <w:szCs w:val="21"/>
                <w:highlight w:val="none"/>
              </w:rPr>
            </w:r>
            <w:r/>
          </w:p>
        </w:tc>
        <w:tc>
          <w:tcPr>
            <w:tcW w:w="6968" w:type="dxa"/>
            <w:vAlign w:val="center"/>
            <w:textDirection w:val="lrTb"/>
            <w:noWrap/>
          </w:tcPr>
          <w:p>
            <w:pPr>
              <w:pStyle w:val="1033"/>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评审细则</w:t>
            </w:r>
            <w:r>
              <w:rPr>
                <w:rFonts w:hint="eastAsia" w:ascii="宋体" w:hAnsi="宋体" w:eastAsia="宋体" w:cs="宋体"/>
                <w:b/>
                <w:bCs/>
                <w:szCs w:val="21"/>
                <w:highlight w:val="none"/>
              </w:rPr>
            </w:r>
            <w:r/>
          </w:p>
        </w:tc>
        <w:tc>
          <w:tcPr>
            <w:tcW w:w="757" w:type="dxa"/>
            <w:vAlign w:val="center"/>
            <w:textDirection w:val="lrTb"/>
            <w:noWrap/>
          </w:tcPr>
          <w:p>
            <w:pPr>
              <w:pStyle w:val="1033"/>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分值</w:t>
            </w:r>
            <w:r>
              <w:rPr>
                <w:rFonts w:hint="eastAsia" w:ascii="宋体" w:hAnsi="宋体" w:eastAsia="宋体" w:cs="宋体"/>
                <w:b/>
                <w:bCs/>
                <w:szCs w:val="21"/>
                <w:highlight w:val="none"/>
              </w:rPr>
            </w:r>
            <w:r/>
          </w:p>
        </w:tc>
      </w:tr>
      <w:tr>
        <w:trPr/>
        <w:tc>
          <w:tcPr>
            <w:tcW w:w="831" w:type="dxa"/>
            <w:vAlign w:val="center"/>
            <w:textDirection w:val="lrTb"/>
            <w:noWrap/>
          </w:tcPr>
          <w:p>
            <w:pPr>
              <w:pStyle w:val="103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W w:w="1406" w:type="dxa"/>
            <w:vAlign w:val="center"/>
            <w:textDirection w:val="lrTb"/>
            <w:noWrap/>
          </w:tcPr>
          <w:p>
            <w:pPr>
              <w:pStyle w:val="103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投标报价</w:t>
            </w:r>
            <w:r>
              <w:rPr>
                <w:rFonts w:hint="eastAsia" w:ascii="宋体" w:hAnsi="宋体" w:eastAsia="宋体" w:cs="宋体"/>
                <w:szCs w:val="21"/>
                <w:highlight w:val="none"/>
              </w:rPr>
            </w:r>
            <w:r/>
          </w:p>
          <w:p>
            <w:pPr>
              <w:pStyle w:val="103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（30分）</w:t>
            </w:r>
            <w:r>
              <w:rPr>
                <w:rFonts w:hint="eastAsia" w:ascii="宋体" w:hAnsi="宋体" w:eastAsia="宋体" w:cs="宋体"/>
                <w:szCs w:val="21"/>
                <w:highlight w:val="none"/>
              </w:rPr>
            </w:r>
            <w:r/>
          </w:p>
        </w:tc>
        <w:tc>
          <w:tcPr>
            <w:tcW w:w="6968" w:type="dxa"/>
            <w:vAlign w:val="center"/>
            <w:textDirection w:val="lrTb"/>
            <w:noWrap/>
          </w:tcPr>
          <w:p>
            <w:pPr>
              <w:pStyle w:val="1033"/>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满足招标文件要求进入详细评审且投标报价最低的有效投标报价为评标基准价，其价格分为30分。其他供应商的价格分统一按照下列公式计算：投标报价得分=（评标基准价／投标报价）×30，小数点后保留两位。</w:t>
            </w:r>
            <w:r>
              <w:rPr>
                <w:rFonts w:hint="eastAsia" w:ascii="宋体" w:hAnsi="宋体" w:eastAsia="宋体" w:cs="宋体"/>
                <w:szCs w:val="21"/>
                <w:highlight w:val="none"/>
              </w:rPr>
            </w:r>
            <w:r/>
          </w:p>
          <w:p>
            <w:pPr>
              <w:pStyle w:val="1033"/>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价格扣除说明：供应商需提供《中小企业声明函》、《残疾人福利性单位声明函》、《属于监狱企业的证明文件》、《关于符合本国产品标准的声明函》。如未按要求提供、填写，或相关内容表述不清的，不得享受价格扣除。</w:t>
            </w:r>
            <w:r>
              <w:rPr>
                <w:rFonts w:hint="eastAsia" w:ascii="宋体" w:hAnsi="宋体" w:eastAsia="宋体" w:cs="宋体"/>
                <w:szCs w:val="21"/>
                <w:highlight w:val="none"/>
              </w:rPr>
            </w:r>
            <w:r/>
          </w:p>
        </w:tc>
        <w:tc>
          <w:tcPr>
            <w:tcW w:w="757" w:type="dxa"/>
            <w:vAlign w:val="center"/>
            <w:textDirection w:val="lrTb"/>
            <w:noWrap/>
          </w:tcPr>
          <w:p>
            <w:pPr>
              <w:pStyle w:val="103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30</w:t>
            </w:r>
            <w:r>
              <w:rPr>
                <w:rFonts w:hint="eastAsia" w:ascii="宋体" w:hAnsi="宋体" w:eastAsia="宋体" w:cs="宋体"/>
                <w:szCs w:val="21"/>
                <w:highlight w:val="none"/>
              </w:rPr>
            </w:r>
            <w:r/>
          </w:p>
        </w:tc>
      </w:tr>
      <w:tr>
        <w:trPr/>
        <w:tc>
          <w:tcPr>
            <w:tcW w:w="831" w:type="dxa"/>
            <w:vAlign w:val="center"/>
            <w:textDirection w:val="lrTb"/>
            <w:noWrap/>
          </w:tcPr>
          <w:p>
            <w:pPr>
              <w:pStyle w:val="103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2.1</w:t>
            </w:r>
            <w:r>
              <w:rPr>
                <w:rFonts w:hint="eastAsia" w:ascii="宋体" w:hAnsi="宋体" w:eastAsia="宋体" w:cs="宋体"/>
                <w:szCs w:val="21"/>
                <w:highlight w:val="none"/>
              </w:rPr>
            </w:r>
            <w:r/>
          </w:p>
        </w:tc>
        <w:tc>
          <w:tcPr>
            <w:tcW w:w="1406" w:type="dxa"/>
            <w:vAlign w:val="center"/>
            <w:vMerge w:val="restart"/>
            <w:textDirection w:val="lrTb"/>
            <w:noWrap/>
          </w:tcPr>
          <w:p>
            <w:pPr>
              <w:pStyle w:val="103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技术响应（39分）</w:t>
            </w:r>
            <w:r>
              <w:rPr>
                <w:rFonts w:hint="eastAsia" w:ascii="宋体" w:hAnsi="宋体" w:eastAsia="宋体" w:cs="宋体"/>
                <w:szCs w:val="21"/>
                <w:highlight w:val="none"/>
              </w:rPr>
            </w:r>
            <w:r/>
          </w:p>
        </w:tc>
        <w:tc>
          <w:tcPr>
            <w:tcW w:w="6968" w:type="dxa"/>
            <w:vAlign w:val="center"/>
            <w:textDirection w:val="lrTb"/>
            <w:noWrap/>
          </w:tcPr>
          <w:p>
            <w:pPr>
              <w:pStyle w:val="1033"/>
              <w:spacing w:before="0" w:after="0" w:line="240" w:lineRule="auto"/>
              <w:rPr>
                <w:rFonts w:hint="eastAsia" w:ascii="宋体" w:hAnsi="宋体" w:eastAsia="宋体" w:cs="宋体"/>
                <w:b w:val="0"/>
                <w:bCs w:val="0"/>
                <w:color w:val="943734"/>
                <w:szCs w:val="21"/>
                <w:highlight w:val="none"/>
              </w:rPr>
            </w:pPr>
            <w:r>
              <w:rPr>
                <w:rFonts w:hint="eastAsia" w:ascii="宋体" w:hAnsi="宋体" w:eastAsia="宋体" w:cs="宋体"/>
                <w:b w:val="0"/>
                <w:bCs w:val="0"/>
                <w:color w:val="943734"/>
                <w:szCs w:val="21"/>
                <w:highlight w:val="none"/>
              </w:rPr>
              <w:t xml:space="preserve">设备技术参数要求全部满足招标要求的得满分31分；在此基础上，招标文件中标注“</w:t>
            </w:r>
            <w:r>
              <w:rPr>
                <w:rFonts w:hint="eastAsia" w:ascii="宋体" w:hAnsi="宋体" w:eastAsia="宋体" w:cs="宋体"/>
                <w:b w:val="0"/>
                <w:bCs w:val="0"/>
                <w:color w:val="943734"/>
                <w:szCs w:val="21"/>
                <w:highlight w:val="none"/>
              </w:rPr>
              <w:t xml:space="preserve">★”的参数指标为实质性要求，有一项负偏离，作无效投标处理；标注</w:t>
            </w:r>
            <w:r>
              <w:rPr>
                <w:rFonts w:hint="eastAsia" w:ascii="宋体" w:hAnsi="宋体" w:eastAsia="宋体" w:cs="宋体"/>
                <w:b w:val="0"/>
                <w:bCs w:val="0"/>
                <w:color w:val="943734"/>
                <w:szCs w:val="21"/>
                <w:highlight w:val="none"/>
              </w:rPr>
              <w:t xml:space="preserve">“</w:t>
            </w:r>
            <w:r>
              <w:rPr>
                <w:rFonts w:hint="eastAsia" w:ascii="宋体" w:hAnsi="宋体" w:eastAsia="宋体" w:cs="宋体"/>
                <w:b w:val="0"/>
                <w:bCs w:val="0"/>
                <w:color w:val="943734"/>
                <w:szCs w:val="21"/>
                <w:highlight w:val="none"/>
              </w:rPr>
              <w:t xml:space="preserve">▲”的参数指标（如有）为主要技术参数要求，每有1项负偏离扣</w:t>
            </w:r>
            <w:r>
              <w:rPr>
                <w:rFonts w:hint="eastAsia" w:ascii="宋体" w:hAnsi="宋体" w:eastAsia="宋体" w:cs="宋体"/>
                <w:b w:val="0"/>
                <w:bCs w:val="0"/>
                <w:color w:val="943734"/>
                <w:szCs w:val="21"/>
                <w:highlight w:val="none"/>
                <w:lang w:val="en-US" w:eastAsia="zh-CN"/>
              </w:rPr>
              <w:t xml:space="preserve">1.5</w:t>
            </w:r>
            <w:r>
              <w:rPr>
                <w:rFonts w:hint="eastAsia" w:ascii="宋体" w:hAnsi="宋体" w:eastAsia="宋体" w:cs="宋体"/>
                <w:b w:val="0"/>
                <w:bCs w:val="0"/>
                <w:color w:val="943734"/>
                <w:szCs w:val="21"/>
                <w:highlight w:val="none"/>
              </w:rPr>
              <w:t xml:space="preserve">分；</w:t>
            </w:r>
            <w:r>
              <w:rPr>
                <w:rFonts w:hint="eastAsia" w:ascii="宋体" w:hAnsi="宋体" w:eastAsia="宋体" w:cs="宋体"/>
                <w:b w:val="0"/>
                <w:bCs w:val="0"/>
                <w:color w:val="943734"/>
                <w:szCs w:val="21"/>
                <w:highlight w:val="none"/>
              </w:rPr>
              <w:t xml:space="preserve">其他非重要技术条款每有一项负偏离扣0.</w:t>
            </w:r>
            <w:r>
              <w:rPr>
                <w:rFonts w:hint="eastAsia" w:ascii="宋体" w:hAnsi="宋体" w:eastAsia="宋体" w:cs="宋体"/>
                <w:b w:val="0"/>
                <w:bCs w:val="0"/>
                <w:color w:val="943734"/>
                <w:szCs w:val="21"/>
                <w:highlight w:val="none"/>
                <w:lang w:val="en-US" w:eastAsia="zh-CN"/>
              </w:rPr>
              <w:t xml:space="preserve">3</w:t>
            </w:r>
            <w:r>
              <w:rPr>
                <w:rFonts w:hint="eastAsia" w:ascii="宋体" w:hAnsi="宋体" w:eastAsia="宋体" w:cs="宋体"/>
                <w:b w:val="0"/>
                <w:bCs w:val="0"/>
                <w:color w:val="943734"/>
                <w:szCs w:val="21"/>
                <w:highlight w:val="none"/>
              </w:rPr>
              <w:t xml:space="preserve">分，扣完为止。</w:t>
            </w:r>
            <w:r>
              <w:rPr>
                <w:rFonts w:hint="eastAsia" w:ascii="宋体" w:hAnsi="宋体" w:eastAsia="宋体" w:cs="宋体"/>
                <w:b w:val="0"/>
                <w:bCs w:val="0"/>
                <w:color w:val="943734"/>
                <w:szCs w:val="21"/>
                <w:highlight w:val="none"/>
              </w:rPr>
            </w:r>
            <w:r/>
          </w:p>
          <w:p>
            <w:pPr>
              <w:pStyle w:val="1033"/>
              <w:spacing w:before="0" w:after="0" w:line="24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注：</w:t>
            </w:r>
            <w:r>
              <w:rPr>
                <w:rFonts w:hint="eastAsia" w:ascii="宋体" w:hAnsi="宋体" w:eastAsia="宋体" w:cs="宋体"/>
                <w:b/>
                <w:bCs/>
                <w:szCs w:val="21"/>
                <w:highlight w:val="none"/>
              </w:rPr>
              <w:t xml:space="preserve">所有技术参数中，若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rFonts w:hint="eastAsia" w:ascii="宋体" w:hAnsi="宋体" w:eastAsia="宋体" w:cs="宋体"/>
                <w:b/>
                <w:bCs/>
                <w:szCs w:val="21"/>
                <w:highlight w:val="none"/>
              </w:rPr>
            </w:r>
            <w:r/>
          </w:p>
          <w:p>
            <w:pPr>
              <w:pStyle w:val="1033"/>
              <w:spacing w:before="0" w:after="0" w:line="240" w:lineRule="auto"/>
              <w:rPr>
                <w:rFonts w:hint="eastAsia" w:ascii="宋体" w:hAnsi="宋体" w:eastAsia="宋体" w:cs="宋体"/>
                <w:szCs w:val="21"/>
                <w:highlight w:val="none"/>
              </w:rPr>
            </w:pPr>
            <w:r>
              <w:rPr>
                <w:rFonts w:hint="eastAsia" w:ascii="宋体" w:hAnsi="宋体" w:eastAsia="宋体" w:cs="宋体"/>
                <w:b/>
                <w:szCs w:val="21"/>
                <w:highlight w:val="none"/>
              </w:rPr>
              <w:t xml:space="preserve">所有对招标文件标注</w:t>
            </w:r>
            <w:r>
              <w:rPr>
                <w:rFonts w:hint="eastAsia" w:ascii="宋体" w:hAnsi="宋体" w:eastAsia="宋体" w:cs="宋体"/>
                <w:szCs w:val="21"/>
                <w:highlight w:val="none"/>
              </w:rPr>
              <w:t xml:space="preserve">“</w:t>
            </w:r>
            <w:r>
              <w:rPr>
                <w:rFonts w:hint="eastAsia" w:ascii="宋体" w:hAnsi="宋体" w:eastAsia="宋体" w:cs="宋体"/>
                <w:szCs w:val="21"/>
                <w:highlight w:val="none"/>
              </w:rPr>
              <w:t xml:space="preserve">★”“</w:t>
            </w:r>
            <w:r>
              <w:rPr>
                <w:rFonts w:hint="eastAsia" w:ascii="宋体" w:hAnsi="宋体" w:eastAsia="宋体" w:cs="宋体"/>
                <w:b/>
                <w:bCs/>
                <w:szCs w:val="21"/>
                <w:highlight w:val="none"/>
              </w:rPr>
              <w:t xml:space="preserve">▲</w:t>
            </w:r>
            <w:r>
              <w:rPr>
                <w:rFonts w:hint="eastAsia" w:ascii="宋体" w:hAnsi="宋体" w:eastAsia="宋体" w:cs="宋体"/>
                <w:szCs w:val="21"/>
                <w:highlight w:val="none"/>
              </w:rPr>
              <w:t xml:space="preserve">”</w:t>
            </w:r>
            <w:r>
              <w:rPr>
                <w:rFonts w:hint="eastAsia" w:ascii="宋体" w:hAnsi="宋体" w:eastAsia="宋体" w:cs="宋体"/>
                <w:b/>
                <w:szCs w:val="21"/>
                <w:highlight w:val="none"/>
              </w:rPr>
              <w:t xml:space="preserve">的具体要求、参数、数值指标的响应，要求投标供应商必须在投标文件中提供技术支持资料（技术支持资料种类以文件第四章要求为准，如无特殊要求，则为明确说明该技术内容的公开发行的手册、彩页、官网截图、功能页面截图、</w:t>
            </w:r>
            <w:r>
              <w:rPr>
                <w:rFonts w:hint="eastAsia" w:ascii="宋体" w:hAnsi="宋体" w:eastAsia="宋体" w:cs="宋体"/>
                <w:b/>
                <w:szCs w:val="21"/>
                <w:highlight w:val="none"/>
                <w:lang w:eastAsia="zh-CN"/>
              </w:rPr>
              <w:t xml:space="preserve">检测报告或白皮书等</w:t>
            </w:r>
            <w:r>
              <w:rPr>
                <w:rFonts w:hint="eastAsia" w:ascii="宋体" w:hAnsi="宋体" w:eastAsia="宋体" w:cs="宋体"/>
                <w:b/>
                <w:szCs w:val="21"/>
                <w:highlight w:val="none"/>
              </w:rPr>
              <w:t xml:space="preserve">）。</w:t>
            </w:r>
            <w:r>
              <w:rPr>
                <w:rFonts w:hint="eastAsia" w:ascii="宋体" w:hAnsi="宋体" w:eastAsia="宋体" w:cs="宋体"/>
                <w:szCs w:val="21"/>
                <w:highlight w:val="none"/>
              </w:rPr>
            </w:r>
            <w:r/>
          </w:p>
        </w:tc>
        <w:tc>
          <w:tcPr>
            <w:tcW w:w="757" w:type="dxa"/>
            <w:vAlign w:val="center"/>
            <w:textDirection w:val="lrTb"/>
            <w:noWrap/>
          </w:tcPr>
          <w:p>
            <w:pPr>
              <w:pStyle w:val="1033"/>
              <w:jc w:val="center"/>
              <w:spacing w:line="480" w:lineRule="exact"/>
              <w:rPr>
                <w:rFonts w:ascii="宋体" w:hAnsi="宋体" w:eastAsia="宋体" w:cs="宋体"/>
                <w:szCs w:val="21"/>
                <w:highlight w:val="none"/>
              </w:rPr>
            </w:pPr>
            <w:r>
              <w:rPr>
                <w:rFonts w:hint="eastAsia" w:ascii="宋体" w:hAnsi="宋体" w:eastAsia="宋体" w:cs="宋体"/>
                <w:color w:val="c00000"/>
                <w:szCs w:val="21"/>
                <w:highlight w:val="none"/>
              </w:rPr>
              <w:t xml:space="preserve">31</w:t>
            </w:r>
            <w:r>
              <w:rPr>
                <w:rFonts w:ascii="宋体" w:hAnsi="宋体" w:eastAsia="宋体" w:cs="宋体"/>
                <w:szCs w:val="21"/>
                <w:highlight w:val="none"/>
              </w:rPr>
            </w:r>
            <w:r/>
          </w:p>
        </w:tc>
      </w:tr>
      <w:tr>
        <w:trPr/>
        <w:tc>
          <w:tcPr>
            <w:tcW w:w="831" w:type="dxa"/>
            <w:vAlign w:val="center"/>
            <w:textDirection w:val="lrTb"/>
            <w:noWrap/>
          </w:tcPr>
          <w:p>
            <w:pPr>
              <w:pStyle w:val="1033"/>
              <w:jc w:val="center"/>
              <w:spacing w:line="480" w:lineRule="exact"/>
              <w:rPr>
                <w:rFonts w:ascii="宋体" w:hAnsi="宋体" w:eastAsia="宋体" w:cs="宋体"/>
                <w:szCs w:val="21"/>
                <w:highlight w:val="none"/>
              </w:rPr>
            </w:pPr>
            <w:r>
              <w:rPr>
                <w:rFonts w:hint="eastAsia" w:ascii="宋体" w:hAnsi="宋体" w:eastAsia="宋体" w:cs="宋体"/>
                <w:szCs w:val="21"/>
                <w:highlight w:val="none"/>
              </w:rPr>
              <w:t xml:space="preserve">2.1</w:t>
            </w:r>
            <w:r>
              <w:rPr>
                <w:rFonts w:ascii="宋体" w:hAnsi="宋体" w:eastAsia="宋体" w:cs="宋体"/>
                <w:szCs w:val="21"/>
                <w:highlight w:val="none"/>
              </w:rPr>
            </w:r>
            <w:r/>
          </w:p>
        </w:tc>
        <w:tc>
          <w:tcPr>
            <w:tcW w:w="1406" w:type="dxa"/>
            <w:vAlign w:val="center"/>
            <w:vMerge w:val="continue"/>
            <w:textDirection w:val="lrTb"/>
            <w:noWrap/>
          </w:tcPr>
          <w:p>
            <w:pPr>
              <w:pStyle w:val="103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968" w:type="dxa"/>
            <w:vAlign w:val="center"/>
            <w:textDirection w:val="lrTb"/>
            <w:noWrap/>
          </w:tcPr>
          <w:p>
            <w:pPr>
              <w:pStyle w:val="1033"/>
              <w:spacing w:before="0" w:after="0" w:line="24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产品科研前瞻性、可升级性：</w:t>
            </w:r>
            <w:r>
              <w:rPr>
                <w:rFonts w:hint="eastAsia" w:ascii="宋体" w:hAnsi="宋体" w:eastAsia="宋体" w:cs="宋体"/>
                <w:b/>
                <w:bCs/>
                <w:szCs w:val="21"/>
                <w:highlight w:val="none"/>
              </w:rPr>
            </w:r>
            <w:r/>
          </w:p>
          <w:p>
            <w:pPr>
              <w:pStyle w:val="1033"/>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根据供应商提供产品的科研前瞻性</w:t>
            </w:r>
            <w:r>
              <w:rPr>
                <w:rFonts w:hint="eastAsia" w:ascii="宋体" w:hAnsi="宋体" w:eastAsia="宋体" w:cs="宋体"/>
                <w:szCs w:val="21"/>
                <w:highlight w:val="none"/>
              </w:rPr>
              <w:t xml:space="preserve">、整机设备迭代升级拓展能力及对应佐证材料综合</w:t>
            </w:r>
            <w:r>
              <w:rPr>
                <w:rFonts w:hint="eastAsia" w:ascii="宋体" w:hAnsi="宋体" w:eastAsia="宋体" w:cs="宋体"/>
                <w:szCs w:val="21"/>
                <w:highlight w:val="none"/>
              </w:rPr>
              <w:t xml:space="preserve">评审：</w:t>
            </w:r>
            <w:r>
              <w:rPr>
                <w:rFonts w:hint="eastAsia" w:ascii="宋体" w:hAnsi="宋体" w:eastAsia="宋体" w:cs="宋体"/>
                <w:szCs w:val="21"/>
                <w:highlight w:val="none"/>
              </w:rPr>
            </w:r>
            <w:r/>
          </w:p>
          <w:p>
            <w:pPr>
              <w:pStyle w:val="1033"/>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提供完整、真实有效的证明材料，产品科研行业前瞻优势突出，软硬件架构开放性强，具备长期迭代、模块化升级、功能拓展、兼容新一代科研配套设备等成熟落地条件，前瞻性与可升级性表现优异</w:t>
            </w:r>
            <w:r>
              <w:rPr>
                <w:rFonts w:hint="eastAsia" w:ascii="宋体" w:hAnsi="宋体" w:eastAsia="宋体" w:cs="宋体"/>
                <w:szCs w:val="21"/>
                <w:highlight w:val="none"/>
                <w:lang w:val="en-US" w:eastAsia="zh-CN"/>
              </w:rPr>
              <w:t xml:space="preserve">的得4分</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33"/>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已提供有效佐证材料，产品科研前瞻性、整机可升级性二者其一表现良好，另一项水平普通，整体拓展升级空间常规，无明显短板但无突出领先优势</w:t>
            </w:r>
            <w:r>
              <w:rPr>
                <w:rFonts w:hint="eastAsia" w:ascii="宋体" w:hAnsi="宋体" w:eastAsia="宋体" w:cs="宋体"/>
                <w:szCs w:val="21"/>
                <w:highlight w:val="none"/>
                <w:lang w:val="en-US" w:eastAsia="zh-CN"/>
              </w:rPr>
              <w:t xml:space="preserve">的得2分</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33"/>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已提供佐证材料，但产品科研前瞻性偏弱，或是整机硬件、系统架构固化严重，升级改造难度高、拓展空间狭小</w:t>
            </w:r>
            <w:r>
              <w:rPr>
                <w:rFonts w:hint="eastAsia" w:ascii="宋体" w:hAnsi="宋体" w:eastAsia="宋体" w:cs="宋体"/>
                <w:szCs w:val="21"/>
                <w:highlight w:val="none"/>
                <w:lang w:val="en-US" w:eastAsia="zh-CN"/>
              </w:rPr>
              <w:t xml:space="preserve">的得1分</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33"/>
              <w:spacing w:before="0" w:after="0" w:line="240" w:lineRule="auto"/>
              <w:rPr>
                <w:rFonts w:hint="eastAsia" w:ascii="宋体" w:hAnsi="宋体" w:eastAsia="宋体" w:cs="宋体"/>
                <w:b/>
                <w:bCs/>
                <w:szCs w:val="21"/>
                <w:highlight w:val="none"/>
              </w:rPr>
            </w:pPr>
            <w:r>
              <w:rPr>
                <w:rFonts w:hint="eastAsia" w:ascii="宋体" w:hAnsi="宋体" w:eastAsia="宋体" w:cs="宋体"/>
                <w:szCs w:val="21"/>
                <w:highlight w:val="none"/>
              </w:rPr>
              <w:t xml:space="preserve">未提供任何有效佐证材料；或产品无科研前瞻设计、整机完全不支持后期升级拓展</w:t>
            </w:r>
            <w:r>
              <w:rPr>
                <w:rFonts w:hint="eastAsia" w:ascii="宋体" w:hAnsi="宋体" w:eastAsia="宋体" w:cs="宋体"/>
                <w:szCs w:val="21"/>
                <w:highlight w:val="none"/>
                <w:lang w:val="en-US" w:eastAsia="zh-CN"/>
              </w:rPr>
              <w:t xml:space="preserve">不得分</w:t>
            </w:r>
            <w:r>
              <w:rPr>
                <w:rFonts w:hint="eastAsia" w:ascii="宋体" w:hAnsi="宋体" w:eastAsia="宋体" w:cs="宋体"/>
                <w:szCs w:val="21"/>
                <w:highlight w:val="none"/>
              </w:rPr>
              <w:t xml:space="preserve">。</w:t>
            </w:r>
            <w:r>
              <w:rPr>
                <w:rFonts w:hint="eastAsia" w:ascii="宋体" w:hAnsi="宋体" w:eastAsia="宋体" w:cs="宋体"/>
                <w:b/>
                <w:bCs/>
                <w:szCs w:val="21"/>
                <w:highlight w:val="none"/>
              </w:rPr>
            </w:r>
            <w:r/>
          </w:p>
        </w:tc>
        <w:tc>
          <w:tcPr>
            <w:tcW w:w="757" w:type="dxa"/>
            <w:vAlign w:val="center"/>
            <w:textDirection w:val="lrTb"/>
            <w:noWrap/>
          </w:tcPr>
          <w:p>
            <w:pPr>
              <w:pStyle w:val="1033"/>
              <w:jc w:val="center"/>
              <w:spacing w:line="480" w:lineRule="exact"/>
              <w:rPr>
                <w:rFonts w:hint="eastAsia" w:ascii="宋体" w:hAnsi="宋体" w:eastAsia="宋体" w:cs="宋体"/>
                <w:color w:val="c00000"/>
                <w:szCs w:val="21"/>
                <w:highlight w:val="none"/>
              </w:rPr>
            </w:pPr>
            <w:r>
              <w:rPr>
                <w:rFonts w:hint="eastAsia" w:ascii="宋体" w:hAnsi="宋体" w:eastAsia="宋体" w:cs="宋体"/>
                <w:szCs w:val="21"/>
                <w:highlight w:val="none"/>
              </w:rPr>
              <w:t xml:space="preserve">4</w:t>
            </w:r>
            <w:r>
              <w:rPr>
                <w:rFonts w:hint="eastAsia" w:ascii="宋体" w:hAnsi="宋体" w:eastAsia="宋体" w:cs="宋体"/>
                <w:color w:val="c00000"/>
                <w:szCs w:val="21"/>
                <w:highlight w:val="none"/>
              </w:rPr>
            </w:r>
            <w:r/>
          </w:p>
        </w:tc>
      </w:tr>
      <w:tr>
        <w:trPr/>
        <w:tc>
          <w:tcPr>
            <w:tcW w:w="831" w:type="dxa"/>
            <w:vAlign w:val="center"/>
            <w:textDirection w:val="lrTb"/>
            <w:noWrap/>
          </w:tcPr>
          <w:p>
            <w:pPr>
              <w:pStyle w:val="103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2.3</w:t>
            </w:r>
            <w:r>
              <w:rPr>
                <w:rFonts w:hint="eastAsia" w:ascii="宋体" w:hAnsi="宋体" w:eastAsia="宋体" w:cs="宋体"/>
                <w:szCs w:val="21"/>
                <w:highlight w:val="none"/>
              </w:rPr>
            </w:r>
            <w:r/>
          </w:p>
        </w:tc>
        <w:tc>
          <w:tcPr>
            <w:tcW w:w="1406" w:type="dxa"/>
            <w:vAlign w:val="center"/>
            <w:vMerge w:val="continue"/>
            <w:textDirection w:val="lrTb"/>
            <w:noWrap/>
          </w:tcPr>
          <w:p>
            <w:pPr>
              <w:pStyle w:val="103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968" w:type="dxa"/>
            <w:vAlign w:val="center"/>
            <w:textDirection w:val="lrTb"/>
            <w:noWrap/>
          </w:tcPr>
          <w:p>
            <w:pPr>
              <w:pStyle w:val="1033"/>
              <w:spacing w:before="0" w:after="0" w:line="24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产品及工艺技术响应：</w:t>
            </w:r>
            <w:r>
              <w:rPr>
                <w:rFonts w:hint="eastAsia" w:ascii="宋体" w:hAnsi="宋体" w:eastAsia="宋体" w:cs="宋体"/>
                <w:szCs w:val="21"/>
                <w:highlight w:val="none"/>
              </w:rPr>
              <w:br w:type="textWrapping" w:clear="all"/>
            </w:r>
            <w:r>
              <w:rPr>
                <w:rFonts w:hint="eastAsia" w:ascii="宋体" w:hAnsi="宋体" w:eastAsia="宋体" w:cs="宋体"/>
                <w:szCs w:val="21"/>
                <w:highlight w:val="none"/>
              </w:rPr>
              <w:t xml:space="preserve">产品选型与规格完全匹配项目需求；设计方案内容详实，执行标准明确；材质选用列明具体品牌、牌号或技术等级；制造工艺描述清晰，包含关键制造工艺工序的，得</w:t>
            </w:r>
            <w:r>
              <w:rPr>
                <w:rFonts w:ascii="宋体" w:hAnsi="宋体" w:eastAsia="宋体" w:cs="宋体"/>
                <w:szCs w:val="21"/>
                <w:highlight w:val="none"/>
              </w:rPr>
              <w:t xml:space="preserve">4</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33"/>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产品选型与规格符合项目需求；设计方案完整；材质选用说明材质类型；制造工艺有基本描述，得</w:t>
            </w:r>
            <w:r>
              <w:rPr>
                <w:rFonts w:ascii="宋体" w:hAnsi="宋体" w:eastAsia="宋体" w:cs="宋体"/>
                <w:szCs w:val="21"/>
                <w:highlight w:val="none"/>
              </w:rPr>
              <w:t xml:space="preserve">2</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33"/>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产品选型、规格、设计方案、性能、材质选用或制造工艺中有任一内容与采购文件要求存在负偏离，但不影响产品基本使用功能，得1分；</w:t>
            </w:r>
            <w:r>
              <w:rPr>
                <w:rFonts w:hint="eastAsia" w:ascii="宋体" w:hAnsi="宋体" w:eastAsia="宋体" w:cs="宋体"/>
                <w:szCs w:val="21"/>
                <w:highlight w:val="none"/>
              </w:rPr>
            </w:r>
            <w:r/>
          </w:p>
          <w:p>
            <w:pPr>
              <w:pStyle w:val="1033"/>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未提供本项对应的产品技术方案、材质说明、制造工艺等相关响应资料的，本项不得分。</w:t>
            </w:r>
            <w:r>
              <w:rPr>
                <w:rFonts w:hint="eastAsia" w:ascii="宋体" w:hAnsi="宋体" w:eastAsia="宋体" w:cs="宋体"/>
                <w:szCs w:val="21"/>
                <w:highlight w:val="none"/>
              </w:rPr>
            </w:r>
            <w:r/>
          </w:p>
        </w:tc>
        <w:tc>
          <w:tcPr>
            <w:tcW w:w="757" w:type="dxa"/>
            <w:vAlign w:val="center"/>
            <w:textDirection w:val="lrTb"/>
            <w:noWrap/>
          </w:tcPr>
          <w:p>
            <w:pPr>
              <w:pStyle w:val="1033"/>
              <w:jc w:val="center"/>
              <w:spacing w:line="480" w:lineRule="exact"/>
              <w:rPr>
                <w:rFonts w:hint="eastAsia" w:ascii="宋体" w:hAnsi="宋体" w:eastAsia="宋体" w:cs="宋体"/>
                <w:color w:val="c00000"/>
                <w:szCs w:val="21"/>
                <w:highlight w:val="none"/>
              </w:rPr>
            </w:pPr>
            <w:r>
              <w:rPr>
                <w:rFonts w:ascii="宋体" w:hAnsi="宋体" w:eastAsia="宋体" w:cs="宋体"/>
                <w:color w:val="c00000"/>
                <w:szCs w:val="21"/>
                <w:highlight w:val="none"/>
              </w:rPr>
              <w:t xml:space="preserve">4</w:t>
            </w:r>
            <w:r>
              <w:rPr>
                <w:rFonts w:hint="eastAsia" w:ascii="宋体" w:hAnsi="宋体" w:eastAsia="宋体" w:cs="宋体"/>
                <w:color w:val="c00000"/>
                <w:szCs w:val="21"/>
                <w:highlight w:val="none"/>
              </w:rPr>
            </w:r>
            <w:r/>
          </w:p>
        </w:tc>
      </w:tr>
      <w:tr>
        <w:trPr/>
        <w:tc>
          <w:tcPr>
            <w:tcW w:w="831" w:type="dxa"/>
            <w:vAlign w:val="center"/>
            <w:vMerge w:val="restart"/>
            <w:textDirection w:val="lrTb"/>
            <w:noWrap/>
          </w:tcPr>
          <w:p>
            <w:pPr>
              <w:pStyle w:val="103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W w:w="1406" w:type="dxa"/>
            <w:vAlign w:val="center"/>
            <w:vMerge w:val="restart"/>
            <w:textDirection w:val="lrTb"/>
            <w:noWrap/>
          </w:tcPr>
          <w:p>
            <w:pPr>
              <w:pStyle w:val="103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实施方案</w:t>
            </w:r>
            <w:r>
              <w:rPr>
                <w:rFonts w:hint="eastAsia" w:ascii="宋体" w:hAnsi="宋体" w:eastAsia="宋体" w:cs="宋体"/>
                <w:szCs w:val="21"/>
                <w:highlight w:val="none"/>
              </w:rPr>
            </w:r>
            <w:r/>
          </w:p>
          <w:p>
            <w:pPr>
              <w:pStyle w:val="103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（10分）</w:t>
            </w:r>
            <w:r>
              <w:rPr>
                <w:rFonts w:hint="eastAsia" w:ascii="宋体" w:hAnsi="宋体" w:eastAsia="宋体" w:cs="宋体"/>
                <w:szCs w:val="21"/>
                <w:highlight w:val="none"/>
              </w:rPr>
            </w:r>
            <w:r/>
          </w:p>
        </w:tc>
        <w:tc>
          <w:tcPr>
            <w:tcW w:w="6968" w:type="dxa"/>
            <w:vAlign w:val="center"/>
            <w:textDirection w:val="lrTb"/>
            <w:noWrap/>
          </w:tcPr>
          <w:p>
            <w:pPr>
              <w:pStyle w:val="1033"/>
              <w:spacing w:before="0" w:after="0" w:line="240" w:lineRule="auto"/>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评委根据投标文件中实施方案的内容（</w:t>
            </w:r>
            <w:r>
              <w:rPr>
                <w:rFonts w:hint="eastAsia" w:ascii="宋体" w:hAnsi="宋体" w:eastAsia="宋体" w:cs="宋体"/>
                <w:b/>
                <w:bCs/>
                <w:szCs w:val="21"/>
                <w:highlight w:val="none"/>
              </w:rPr>
              <w:t xml:space="preserve">包括但不限于项目技术方案、供货计划、质量保障措施、风险控制管理措施等）</w:t>
            </w:r>
            <w:r>
              <w:rPr>
                <w:rFonts w:hint="eastAsia" w:ascii="宋体" w:hAnsi="宋体" w:eastAsia="宋体" w:cs="宋体"/>
                <w:b/>
                <w:bCs/>
                <w:szCs w:val="21"/>
                <w:highlight w:val="none"/>
                <w:lang w:bidi="ar"/>
              </w:rPr>
              <w:t xml:space="preserve">进行打分：</w:t>
            </w:r>
            <w:r>
              <w:rPr>
                <w:rFonts w:hint="eastAsia" w:ascii="宋体" w:hAnsi="宋体" w:eastAsia="宋体" w:cs="宋体"/>
                <w:b/>
                <w:bCs/>
                <w:szCs w:val="21"/>
                <w:highlight w:val="none"/>
              </w:rPr>
            </w:r>
            <w:r/>
          </w:p>
          <w:p>
            <w:pPr>
              <w:pStyle w:val="1033"/>
              <w:spacing w:before="0" w:after="0" w:line="24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方案体系完整、内容详尽、落地性强，服务标准高于采购人要求，得 5 分；</w:t>
            </w:r>
            <w:r>
              <w:rPr>
                <w:rFonts w:hint="eastAsia" w:ascii="宋体" w:hAnsi="宋体" w:eastAsia="宋体" w:cs="宋体"/>
                <w:szCs w:val="21"/>
                <w:highlight w:val="none"/>
                <w:lang w:bidi="ar"/>
              </w:rPr>
            </w:r>
            <w:r/>
          </w:p>
          <w:p>
            <w:pPr>
              <w:pStyle w:val="1033"/>
              <w:spacing w:before="0" w:after="0" w:line="24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方案要素齐全、内容规范，可充分满足采购人各项需求，得 3 分；</w:t>
            </w:r>
            <w:r>
              <w:rPr>
                <w:rFonts w:hint="eastAsia" w:ascii="宋体" w:hAnsi="宋体" w:eastAsia="宋体" w:cs="宋体"/>
                <w:szCs w:val="21"/>
                <w:highlight w:val="none"/>
                <w:lang w:bidi="ar"/>
              </w:rPr>
            </w:r>
            <w:r/>
          </w:p>
          <w:p>
            <w:pPr>
              <w:pStyle w:val="1033"/>
              <w:spacing w:before="0" w:after="0" w:line="24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方案内容简略、表述空泛，存在内容缺失，无法完全匹配采购要求，得 1 分；</w:t>
            </w:r>
            <w:r>
              <w:rPr>
                <w:rFonts w:hint="eastAsia" w:ascii="宋体" w:hAnsi="宋体" w:eastAsia="宋体" w:cs="宋体"/>
                <w:szCs w:val="21"/>
                <w:highlight w:val="none"/>
                <w:lang w:bidi="ar"/>
              </w:rPr>
            </w:r>
            <w:r/>
          </w:p>
          <w:p>
            <w:pPr>
              <w:pStyle w:val="1033"/>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lang w:bidi="ar"/>
              </w:rPr>
              <w:t xml:space="preserve">投标文件未附实施方案，或方案逻辑混乱、不具备实际执行条件的，得 0 分。</w:t>
            </w:r>
            <w:r>
              <w:rPr>
                <w:rFonts w:hint="eastAsia" w:ascii="宋体" w:hAnsi="宋体" w:eastAsia="宋体" w:cs="宋体"/>
                <w:szCs w:val="21"/>
                <w:highlight w:val="none"/>
              </w:rPr>
            </w:r>
            <w:r/>
          </w:p>
        </w:tc>
        <w:tc>
          <w:tcPr>
            <w:tcW w:w="757" w:type="dxa"/>
            <w:vAlign w:val="center"/>
            <w:textDirection w:val="lrTb"/>
            <w:noWrap/>
          </w:tcPr>
          <w:p>
            <w:pPr>
              <w:pStyle w:val="1033"/>
              <w:jc w:val="center"/>
              <w:spacing w:line="480" w:lineRule="exact"/>
              <w:rPr>
                <w:rFonts w:hint="eastAsia" w:ascii="宋体" w:hAnsi="宋体" w:eastAsia="宋体" w:cs="宋体"/>
                <w:color w:val="c00000"/>
                <w:szCs w:val="21"/>
                <w:highlight w:val="none"/>
              </w:rPr>
            </w:pPr>
            <w:r>
              <w:rPr>
                <w:rFonts w:hint="eastAsia" w:ascii="宋体" w:hAnsi="宋体" w:eastAsia="宋体" w:cs="宋体"/>
                <w:color w:val="c00000"/>
                <w:szCs w:val="21"/>
                <w:highlight w:val="none"/>
              </w:rPr>
              <w:t xml:space="preserve">5</w:t>
            </w:r>
            <w:r>
              <w:rPr>
                <w:rFonts w:hint="eastAsia" w:ascii="宋体" w:hAnsi="宋体" w:eastAsia="宋体" w:cs="宋体"/>
                <w:color w:val="c00000"/>
                <w:szCs w:val="21"/>
                <w:highlight w:val="none"/>
              </w:rPr>
            </w:r>
            <w:r/>
          </w:p>
        </w:tc>
      </w:tr>
      <w:tr>
        <w:trPr/>
        <w:tc>
          <w:tcPr>
            <w:tcW w:w="831" w:type="dxa"/>
            <w:vAlign w:val="center"/>
            <w:vMerge w:val="continue"/>
            <w:textDirection w:val="lrTb"/>
            <w:noWrap/>
          </w:tcPr>
          <w:p>
            <w:pPr>
              <w:pStyle w:val="103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06" w:type="dxa"/>
            <w:vAlign w:val="center"/>
            <w:vMerge w:val="continue"/>
            <w:textDirection w:val="lrTb"/>
            <w:noWrap/>
          </w:tcPr>
          <w:p>
            <w:pPr>
              <w:pStyle w:val="103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968" w:type="dxa"/>
            <w:vAlign w:val="center"/>
            <w:textDirection w:val="lrTb"/>
            <w:noWrap/>
          </w:tcPr>
          <w:p>
            <w:pPr>
              <w:pStyle w:val="1033"/>
              <w:spacing w:before="0" w:after="0" w:line="24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评委根据投标文件中项目技术支撑和实施计划（包括但不限于人员配置、产品质量控制、设备安装调试验收进度、安全保障措施等方面）进行打分：</w:t>
            </w:r>
            <w:r>
              <w:rPr>
                <w:rFonts w:hint="eastAsia" w:ascii="宋体" w:hAnsi="宋体" w:eastAsia="宋体" w:cs="宋体"/>
                <w:b/>
                <w:bCs/>
                <w:szCs w:val="21"/>
                <w:highlight w:val="none"/>
              </w:rPr>
            </w:r>
            <w:r/>
          </w:p>
          <w:p>
            <w:pPr>
              <w:pStyle w:val="1033"/>
              <w:jc w:val="left"/>
              <w:spacing w:before="0"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实施方案技术支撑配置优于采购人的要求，具有针对性，项目进度分析清晰具体的得5分；</w:t>
            </w:r>
            <w:r>
              <w:rPr>
                <w:rFonts w:hint="eastAsia" w:ascii="宋体" w:hAnsi="宋体" w:eastAsia="宋体" w:cs="宋体"/>
                <w:szCs w:val="21"/>
                <w:highlight w:val="none"/>
              </w:rPr>
            </w:r>
            <w:r/>
          </w:p>
          <w:p>
            <w:pPr>
              <w:pStyle w:val="1033"/>
              <w:jc w:val="left"/>
              <w:spacing w:before="0"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实施方案技术支撑配置满足采购人的要求，项目进度分析清晰的得3分；实施方案技术支撑配置不能完全满足采购人的要求，项目进度不清晰的得1分；</w:t>
            </w:r>
            <w:r>
              <w:rPr>
                <w:rFonts w:hint="eastAsia" w:ascii="宋体" w:hAnsi="宋体" w:eastAsia="宋体" w:cs="宋体"/>
                <w:szCs w:val="21"/>
                <w:highlight w:val="none"/>
              </w:rPr>
            </w:r>
            <w:r/>
          </w:p>
          <w:p>
            <w:pPr>
              <w:pStyle w:val="1033"/>
              <w:jc w:val="left"/>
              <w:spacing w:before="0"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未针对本项进行阐述、未提供相应方案的，得0分。</w:t>
            </w:r>
            <w:r>
              <w:rPr>
                <w:rFonts w:hint="eastAsia" w:ascii="宋体" w:hAnsi="宋体" w:eastAsia="宋体" w:cs="宋体"/>
                <w:szCs w:val="21"/>
                <w:highlight w:val="none"/>
              </w:rPr>
            </w:r>
            <w:r/>
          </w:p>
        </w:tc>
        <w:tc>
          <w:tcPr>
            <w:tcW w:w="757" w:type="dxa"/>
            <w:vAlign w:val="center"/>
            <w:textDirection w:val="lrTb"/>
            <w:noWrap/>
          </w:tcPr>
          <w:p>
            <w:pPr>
              <w:pStyle w:val="1033"/>
              <w:jc w:val="center"/>
              <w:spacing w:line="480" w:lineRule="exact"/>
              <w:rPr>
                <w:rFonts w:hint="eastAsia" w:ascii="宋体" w:hAnsi="宋体" w:eastAsia="宋体" w:cs="宋体"/>
                <w:color w:val="c00000"/>
                <w:szCs w:val="21"/>
                <w:highlight w:val="none"/>
              </w:rPr>
            </w:pPr>
            <w:r>
              <w:rPr>
                <w:rFonts w:hint="eastAsia" w:ascii="宋体" w:hAnsi="宋体" w:eastAsia="宋体" w:cs="宋体"/>
                <w:color w:val="c00000"/>
                <w:szCs w:val="21"/>
                <w:highlight w:val="none"/>
              </w:rPr>
              <w:t xml:space="preserve">5</w:t>
            </w:r>
            <w:r>
              <w:rPr>
                <w:rFonts w:hint="eastAsia" w:ascii="宋体" w:hAnsi="宋体" w:eastAsia="宋体" w:cs="宋体"/>
                <w:color w:val="c00000"/>
                <w:szCs w:val="21"/>
                <w:highlight w:val="none"/>
              </w:rPr>
            </w:r>
            <w:r/>
          </w:p>
        </w:tc>
      </w:tr>
      <w:tr>
        <w:trPr/>
        <w:tc>
          <w:tcPr>
            <w:tcW w:w="831" w:type="dxa"/>
            <w:vAlign w:val="center"/>
            <w:vMerge w:val="restart"/>
            <w:textDirection w:val="lrTb"/>
            <w:noWrap/>
          </w:tcPr>
          <w:p>
            <w:pPr>
              <w:pStyle w:val="103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W w:w="1406" w:type="dxa"/>
            <w:vAlign w:val="center"/>
            <w:vMerge w:val="restart"/>
            <w:textDirection w:val="lrTb"/>
            <w:noWrap/>
          </w:tcPr>
          <w:p>
            <w:pPr>
              <w:pStyle w:val="103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售后服务方案</w:t>
            </w:r>
            <w:r>
              <w:rPr>
                <w:rFonts w:hint="eastAsia" w:ascii="宋体" w:hAnsi="宋体" w:eastAsia="宋体" w:cs="宋体"/>
                <w:szCs w:val="21"/>
                <w:highlight w:val="none"/>
              </w:rPr>
            </w:r>
            <w:r/>
          </w:p>
          <w:p>
            <w:pPr>
              <w:pStyle w:val="103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（10分）</w:t>
            </w:r>
            <w:r>
              <w:rPr>
                <w:rFonts w:hint="eastAsia" w:ascii="宋体" w:hAnsi="宋体" w:eastAsia="宋体" w:cs="宋体"/>
                <w:szCs w:val="21"/>
                <w:highlight w:val="none"/>
              </w:rPr>
            </w:r>
            <w:r/>
          </w:p>
        </w:tc>
        <w:tc>
          <w:tcPr>
            <w:tcW w:w="6968" w:type="dxa"/>
            <w:vAlign w:val="center"/>
            <w:textDirection w:val="lrTb"/>
            <w:noWrap/>
          </w:tcPr>
          <w:p>
            <w:pPr>
              <w:pStyle w:val="1033"/>
              <w:spacing w:before="0" w:after="0" w:line="24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评委根据投标文件中售后服务方案（包括但不限于服务体系、服务内容、故障解决方案、响应时间、专业技术人员保障及服务电话、备品备件保证、质保期外维保方案等方面）进行打分：</w:t>
            </w:r>
            <w:r>
              <w:rPr>
                <w:rFonts w:hint="eastAsia" w:ascii="宋体" w:hAnsi="宋体" w:eastAsia="宋体" w:cs="宋体"/>
                <w:b/>
                <w:bCs/>
                <w:szCs w:val="21"/>
                <w:highlight w:val="none"/>
              </w:rPr>
            </w:r>
            <w:r/>
          </w:p>
          <w:p>
            <w:pPr>
              <w:pStyle w:val="1033"/>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售后服务方案完整详细，有明确的售后服务机构及人员、售后服务承诺、售后服务响应及处理时间，质保期内的售后服务范围、质保期满后的售后服务范围和收费情况清晰具体，</w:t>
            </w:r>
            <w:r>
              <w:rPr>
                <w:rFonts w:hint="eastAsia" w:ascii="宋体" w:hAnsi="宋体" w:eastAsia="宋体" w:cs="宋体"/>
                <w:szCs w:val="21"/>
                <w:highlight w:val="none"/>
                <w:lang w:bidi="ar"/>
              </w:rPr>
              <w:t xml:space="preserve">优于采购人要求的，</w:t>
            </w:r>
            <w:r>
              <w:rPr>
                <w:rFonts w:hint="eastAsia" w:ascii="宋体" w:hAnsi="宋体" w:eastAsia="宋体" w:cs="宋体"/>
                <w:bCs/>
                <w:szCs w:val="21"/>
                <w:highlight w:val="none"/>
              </w:rPr>
              <w:t xml:space="preserve">得5</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33"/>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售后服务方案完整，有明确的售后服务机构及人员、售后服务承诺、售后服务</w:t>
            </w:r>
            <w:r>
              <w:rPr>
                <w:rFonts w:hint="eastAsia" w:ascii="宋体" w:hAnsi="宋体" w:eastAsia="宋体" w:cs="宋体"/>
                <w:szCs w:val="21"/>
                <w:highlight w:val="none"/>
                <w:lang w:eastAsia="zh-CN"/>
              </w:rPr>
              <w:t xml:space="preserve">响应</w:t>
            </w:r>
            <w:r>
              <w:rPr>
                <w:rFonts w:hint="eastAsia" w:ascii="宋体" w:hAnsi="宋体" w:eastAsia="宋体" w:cs="宋体"/>
                <w:szCs w:val="21"/>
                <w:highlight w:val="none"/>
              </w:rPr>
              <w:t xml:space="preserve">及处理时间，质保期内的售后服务范围、质保期满后的售后服务范围和收费情况满足</w:t>
            </w:r>
            <w:r>
              <w:rPr>
                <w:rFonts w:hint="eastAsia" w:ascii="宋体" w:hAnsi="宋体" w:eastAsia="宋体" w:cs="宋体"/>
                <w:szCs w:val="21"/>
                <w:highlight w:val="none"/>
                <w:lang w:bidi="ar"/>
              </w:rPr>
              <w:t xml:space="preserve">采购人</w:t>
            </w:r>
            <w:r>
              <w:rPr>
                <w:rFonts w:hint="eastAsia" w:ascii="宋体" w:hAnsi="宋体" w:eastAsia="宋体" w:cs="宋体"/>
                <w:szCs w:val="21"/>
                <w:highlight w:val="none"/>
                <w:lang w:eastAsia="zh-CN" w:bidi="ar"/>
              </w:rPr>
              <w:t xml:space="preserve">要求</w:t>
            </w:r>
            <w:r>
              <w:rPr>
                <w:rFonts w:hint="eastAsia" w:ascii="宋体" w:hAnsi="宋体" w:eastAsia="宋体" w:cs="宋体"/>
                <w:szCs w:val="21"/>
                <w:highlight w:val="none"/>
                <w:lang w:bidi="ar"/>
              </w:rPr>
              <w:t xml:space="preserve">，</w:t>
            </w:r>
            <w:r>
              <w:rPr>
                <w:rFonts w:hint="eastAsia" w:ascii="宋体" w:hAnsi="宋体" w:eastAsia="宋体" w:cs="宋体"/>
                <w:bCs/>
                <w:szCs w:val="21"/>
                <w:highlight w:val="none"/>
              </w:rPr>
              <w:t xml:space="preserve">得3</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33"/>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售后服务体系</w:t>
            </w:r>
            <w:r>
              <w:rPr>
                <w:rFonts w:hint="eastAsia" w:ascii="宋体" w:hAnsi="宋体" w:eastAsia="宋体" w:cs="宋体"/>
                <w:szCs w:val="21"/>
                <w:highlight w:val="none"/>
              </w:rPr>
              <w:t xml:space="preserve">薄弱</w:t>
            </w:r>
            <w:r>
              <w:rPr>
                <w:rFonts w:hint="eastAsia" w:ascii="宋体" w:hAnsi="宋体" w:eastAsia="宋体" w:cs="宋体"/>
                <w:szCs w:val="21"/>
                <w:highlight w:val="none"/>
              </w:rPr>
              <w:t xml:space="preserve">，售后服务方案各方面内容</w:t>
            </w:r>
            <w:r>
              <w:rPr>
                <w:rFonts w:hint="eastAsia" w:ascii="宋体" w:hAnsi="宋体" w:eastAsia="宋体" w:cs="宋体"/>
                <w:szCs w:val="21"/>
                <w:highlight w:val="none"/>
              </w:rPr>
              <w:t xml:space="preserve">介绍不明晰，</w:t>
            </w:r>
            <w:r>
              <w:rPr>
                <w:rFonts w:hint="eastAsia" w:ascii="宋体" w:hAnsi="宋体" w:eastAsia="宋体" w:cs="宋体"/>
                <w:bCs/>
                <w:szCs w:val="21"/>
                <w:highlight w:val="none"/>
              </w:rPr>
              <w:t xml:space="preserve">得1</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33"/>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未针对本项进行阐述、未提供相应方案的，得0分。</w:t>
            </w:r>
            <w:r>
              <w:rPr>
                <w:rFonts w:hint="eastAsia" w:ascii="宋体" w:hAnsi="宋体" w:eastAsia="宋体" w:cs="宋体"/>
                <w:szCs w:val="21"/>
                <w:highlight w:val="none"/>
              </w:rPr>
            </w:r>
            <w:r/>
          </w:p>
        </w:tc>
        <w:tc>
          <w:tcPr>
            <w:tcW w:w="757" w:type="dxa"/>
            <w:vAlign w:val="center"/>
            <w:textDirection w:val="lrTb"/>
            <w:noWrap/>
          </w:tcPr>
          <w:p>
            <w:pPr>
              <w:pStyle w:val="103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r>
      <w:tr>
        <w:trPr/>
        <w:tc>
          <w:tcPr>
            <w:tcW w:w="831" w:type="dxa"/>
            <w:vAlign w:val="center"/>
            <w:vMerge w:val="continue"/>
            <w:textDirection w:val="lrTb"/>
            <w:noWrap/>
          </w:tcPr>
          <w:p>
            <w:pPr>
              <w:pStyle w:val="1033"/>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06" w:type="dxa"/>
            <w:vAlign w:val="center"/>
            <w:vMerge w:val="continue"/>
            <w:textDirection w:val="lrTb"/>
            <w:noWrap/>
          </w:tcPr>
          <w:p>
            <w:pPr>
              <w:pStyle w:val="1033"/>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968" w:type="dxa"/>
            <w:vAlign w:val="center"/>
            <w:textDirection w:val="lrTb"/>
            <w:noWrap/>
          </w:tcPr>
          <w:p>
            <w:pPr>
              <w:pStyle w:val="1033"/>
              <w:spacing w:before="0" w:after="0" w:line="24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评委根据投标文件中培训方案（包括但不限于培训目标、培训方法、培训内容、培训师资力量、培训时间、拟提供的培训资料等方面）进行打分：</w:t>
            </w:r>
            <w:r>
              <w:rPr>
                <w:rFonts w:hint="eastAsia" w:ascii="宋体" w:hAnsi="宋体" w:eastAsia="宋体" w:cs="宋体"/>
                <w:b/>
                <w:bCs/>
                <w:szCs w:val="21"/>
                <w:highlight w:val="none"/>
              </w:rPr>
            </w:r>
            <w:r/>
          </w:p>
          <w:p>
            <w:pPr>
              <w:pStyle w:val="1033"/>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培训内容详实丰富、科学贴合项目需求，培训形式多元灵活，方案落地性、可操作性强，培训计划详细，安排合理的，得5分；</w:t>
            </w:r>
            <w:r>
              <w:rPr>
                <w:rFonts w:hint="eastAsia" w:ascii="宋体" w:hAnsi="宋体" w:eastAsia="宋体" w:cs="宋体"/>
                <w:szCs w:val="21"/>
                <w:highlight w:val="none"/>
              </w:rPr>
            </w:r>
            <w:r/>
          </w:p>
          <w:p>
            <w:pPr>
              <w:pStyle w:val="1033"/>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培训内容较为丰富、设置合理合规，培训形式多样，方案可操作性强，培训计划明确，满足采购人要求的，得3分；</w:t>
            </w:r>
            <w:r>
              <w:rPr>
                <w:rFonts w:hint="eastAsia" w:ascii="宋体" w:hAnsi="宋体" w:eastAsia="宋体" w:cs="宋体"/>
                <w:szCs w:val="21"/>
                <w:highlight w:val="none"/>
              </w:rPr>
            </w:r>
            <w:r/>
          </w:p>
          <w:p>
            <w:pPr>
              <w:pStyle w:val="1033"/>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培训内容简略单薄、合理性一般，培训形式单一固化，培训计划简单，</w:t>
            </w:r>
            <w:r>
              <w:rPr>
                <w:rFonts w:hint="eastAsia" w:ascii="宋体" w:hAnsi="宋体" w:eastAsia="宋体" w:cs="宋体"/>
                <w:szCs w:val="21"/>
                <w:highlight w:val="none"/>
                <w:lang w:eastAsia="zh-CN"/>
              </w:rPr>
              <w:t xml:space="preserve">得1分；</w:t>
            </w:r>
            <w:r>
              <w:rPr>
                <w:rFonts w:hint="eastAsia" w:ascii="宋体" w:hAnsi="宋体" w:eastAsia="宋体" w:cs="宋体"/>
                <w:szCs w:val="21"/>
                <w:highlight w:val="none"/>
              </w:rPr>
            </w:r>
            <w:r/>
          </w:p>
          <w:p>
            <w:pPr>
              <w:pStyle w:val="1033"/>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未针对本项进行阐述、未提供相应方案的，得0分。</w:t>
            </w:r>
            <w:r>
              <w:rPr>
                <w:rFonts w:hint="eastAsia" w:ascii="宋体" w:hAnsi="宋体" w:eastAsia="宋体" w:cs="宋体"/>
                <w:szCs w:val="21"/>
                <w:highlight w:val="none"/>
              </w:rPr>
            </w:r>
            <w:r/>
          </w:p>
        </w:tc>
        <w:tc>
          <w:tcPr>
            <w:tcW w:w="757" w:type="dxa"/>
            <w:vAlign w:val="center"/>
            <w:textDirection w:val="lrTb"/>
            <w:noWrap/>
          </w:tcPr>
          <w:p>
            <w:pPr>
              <w:pStyle w:val="103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r>
      <w:tr>
        <w:trPr/>
        <w:tc>
          <w:tcPr>
            <w:tcW w:w="831" w:type="dxa"/>
            <w:vAlign w:val="center"/>
            <w:textDirection w:val="lrTb"/>
            <w:noWrap/>
          </w:tcPr>
          <w:p>
            <w:pPr>
              <w:pStyle w:val="103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W w:w="1406" w:type="dxa"/>
            <w:vAlign w:val="center"/>
            <w:textDirection w:val="lrTb"/>
            <w:noWrap/>
          </w:tcPr>
          <w:p>
            <w:pPr>
              <w:pStyle w:val="1033"/>
              <w:ind w:right="-26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业绩</w:t>
            </w:r>
            <w:r>
              <w:rPr>
                <w:rFonts w:hint="eastAsia" w:ascii="宋体" w:hAnsi="宋体" w:eastAsia="宋体" w:cs="宋体"/>
                <w:szCs w:val="21"/>
                <w:highlight w:val="none"/>
              </w:rPr>
            </w:r>
            <w:r/>
          </w:p>
          <w:p>
            <w:pPr>
              <w:pStyle w:val="1033"/>
              <w:ind w:right="-26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6</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6968" w:type="dxa"/>
            <w:vAlign w:val="center"/>
            <w:textDirection w:val="lrTb"/>
            <w:noWrap/>
          </w:tcPr>
          <w:p>
            <w:pPr>
              <w:pStyle w:val="1033"/>
              <w:spacing w:before="0" w:after="0" w:line="240" w:lineRule="auto"/>
              <w:rPr>
                <w:rFonts w:hint="eastAsia" w:ascii="宋体" w:hAnsi="宋体" w:eastAsia="宋体" w:cs="宋体"/>
                <w:szCs w:val="21"/>
                <w:highlight w:val="none"/>
              </w:rPr>
            </w:pPr>
            <w:r>
              <w:rPr>
                <w:rFonts w:hint="eastAsia" w:ascii="宋体" w:hAnsi="宋体" w:eastAsia="宋体" w:cs="宋体"/>
                <w:color w:val="943734"/>
                <w:szCs w:val="21"/>
                <w:highlight w:val="none"/>
              </w:rPr>
              <w:t xml:space="preserve">自 2023 年 1 月 1 日（含）以来，投标人或其所投核心产品制造商需具备类似项目业绩，业绩内容需至少包含与核心产品同类或相近的产品。每份业绩需同时提交对应销售合同及合同项下至少一张有效发票，业绩认定时间以合同签订时间为准。每提交1份有效业绩得2分，本分项满分6分。未提供业绩材料、佐证资料残缺，或材料无法证实业绩真实、产品类型与本项目要求不符的，本分项不得分。</w:t>
            </w:r>
            <w:r>
              <w:rPr>
                <w:rFonts w:hint="eastAsia" w:ascii="宋体" w:hAnsi="宋体" w:eastAsia="宋体" w:cs="宋体"/>
                <w:szCs w:val="21"/>
                <w:highlight w:val="none"/>
              </w:rPr>
            </w:r>
            <w:r/>
          </w:p>
        </w:tc>
        <w:tc>
          <w:tcPr>
            <w:tcW w:w="757" w:type="dxa"/>
            <w:vAlign w:val="center"/>
            <w:textDirection w:val="lrTb"/>
            <w:noWrap/>
          </w:tcPr>
          <w:p>
            <w:pPr>
              <w:pStyle w:val="1033"/>
              <w:jc w:val="center"/>
              <w:spacing w:line="480" w:lineRule="exact"/>
              <w:rPr>
                <w:rFonts w:hint="eastAsia" w:ascii="宋体" w:hAnsi="宋体" w:eastAsia="宋体" w:cs="宋体"/>
                <w:szCs w:val="21"/>
                <w:highlight w:val="none"/>
              </w:rPr>
            </w:pPr>
            <w:r>
              <w:rPr>
                <w:rFonts w:ascii="宋体" w:hAnsi="宋体" w:eastAsia="宋体" w:cs="宋体"/>
                <w:szCs w:val="21"/>
                <w:highlight w:val="none"/>
              </w:rPr>
              <w:t xml:space="preserve">6</w:t>
            </w:r>
            <w:r>
              <w:rPr>
                <w:rFonts w:hint="eastAsia" w:ascii="宋体" w:hAnsi="宋体" w:eastAsia="宋体" w:cs="宋体"/>
                <w:szCs w:val="21"/>
                <w:highlight w:val="none"/>
              </w:rPr>
            </w:r>
            <w:r/>
          </w:p>
        </w:tc>
      </w:tr>
      <w:tr>
        <w:trPr/>
        <w:tc>
          <w:tcPr>
            <w:tcW w:w="831" w:type="dxa"/>
            <w:vAlign w:val="center"/>
            <w:textDirection w:val="lrTb"/>
            <w:noWrap/>
          </w:tcPr>
          <w:p>
            <w:pPr>
              <w:pStyle w:val="103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W w:w="1406" w:type="dxa"/>
            <w:vAlign w:val="center"/>
            <w:textDirection w:val="lrTb"/>
            <w:noWrap/>
          </w:tcPr>
          <w:p>
            <w:pPr>
              <w:pStyle w:val="1033"/>
              <w:ind w:right="-26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免费质保</w:t>
            </w:r>
            <w:r>
              <w:rPr>
                <w:rFonts w:hint="eastAsia" w:ascii="宋体" w:hAnsi="宋体" w:eastAsia="宋体" w:cs="宋体"/>
                <w:szCs w:val="21"/>
                <w:highlight w:val="none"/>
              </w:rPr>
              <w:br w:type="textWrapping" w:clear="all"/>
            </w:r>
            <w:r>
              <w:rPr>
                <w:rFonts w:hint="eastAsia" w:ascii="宋体" w:hAnsi="宋体" w:eastAsia="宋体" w:cs="宋体"/>
                <w:szCs w:val="21"/>
                <w:highlight w:val="none"/>
              </w:rPr>
              <w:t xml:space="preserve">（4分）</w:t>
            </w:r>
            <w:r>
              <w:rPr>
                <w:rFonts w:hint="eastAsia" w:ascii="宋体" w:hAnsi="宋体" w:eastAsia="宋体" w:cs="宋体"/>
                <w:szCs w:val="21"/>
                <w:highlight w:val="none"/>
              </w:rPr>
            </w:r>
            <w:r/>
          </w:p>
        </w:tc>
        <w:tc>
          <w:tcPr>
            <w:tcW w:w="6968" w:type="dxa"/>
            <w:vAlign w:val="center"/>
            <w:textDirection w:val="lrTb"/>
            <w:noWrap/>
          </w:tcPr>
          <w:p>
            <w:pPr>
              <w:pStyle w:val="1033"/>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投标人所投所有产品均满足招标文件基本要求的，不得分；在此基础上，投标人所投所有产品均每增加1年免费质保得2分，最多得4分；</w:t>
            </w:r>
            <w:r>
              <w:rPr>
                <w:rFonts w:hint="eastAsia" w:ascii="宋体" w:hAnsi="宋体" w:eastAsia="宋体" w:cs="宋体"/>
                <w:szCs w:val="21"/>
                <w:highlight w:val="none"/>
              </w:rPr>
            </w:r>
            <w:r/>
          </w:p>
          <w:p>
            <w:pPr>
              <w:pStyle w:val="1033"/>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（若投标文件中出现质保年限前后不一致或多个产品质保年限不统一的情况，以最低免费质保期作为评分依据）</w:t>
            </w:r>
            <w:r>
              <w:rPr>
                <w:rFonts w:hint="eastAsia" w:ascii="宋体" w:hAnsi="宋体" w:eastAsia="宋体" w:cs="宋体"/>
                <w:szCs w:val="21"/>
                <w:highlight w:val="none"/>
              </w:rPr>
            </w:r>
            <w:r/>
          </w:p>
        </w:tc>
        <w:tc>
          <w:tcPr>
            <w:tcW w:w="757" w:type="dxa"/>
            <w:vAlign w:val="center"/>
            <w:textDirection w:val="lrTb"/>
            <w:noWrap/>
          </w:tcPr>
          <w:p>
            <w:pPr>
              <w:pStyle w:val="103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c>
          <w:tcPr>
            <w:tcW w:w="831" w:type="dxa"/>
            <w:vAlign w:val="center"/>
            <w:vMerge w:val="restart"/>
            <w:textDirection w:val="lrTb"/>
            <w:noWrap/>
          </w:tcPr>
          <w:p>
            <w:pPr>
              <w:pStyle w:val="103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c>
          <w:tcPr>
            <w:tcW w:w="1406" w:type="dxa"/>
            <w:vAlign w:val="center"/>
            <w:vMerge w:val="restart"/>
            <w:textDirection w:val="lrTb"/>
            <w:noWrap/>
          </w:tcPr>
          <w:p>
            <w:pPr>
              <w:pStyle w:val="103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国家政策导向（1分）</w:t>
            </w:r>
            <w:r>
              <w:rPr>
                <w:rFonts w:hint="eastAsia" w:ascii="宋体" w:hAnsi="宋体" w:eastAsia="宋体" w:cs="宋体"/>
                <w:szCs w:val="21"/>
                <w:highlight w:val="none"/>
              </w:rPr>
            </w:r>
            <w:r/>
          </w:p>
        </w:tc>
        <w:tc>
          <w:tcPr>
            <w:tcW w:w="6968" w:type="dxa"/>
            <w:vAlign w:val="center"/>
            <w:textDirection w:val="lrTb"/>
            <w:noWrap/>
          </w:tcPr>
          <w:p>
            <w:pPr>
              <w:pStyle w:val="1033"/>
              <w:spacing w:before="0" w:after="0" w:line="24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环境标志产品：</w:t>
            </w:r>
            <w:r>
              <w:rPr>
                <w:rFonts w:hint="eastAsia" w:ascii="宋体" w:hAnsi="宋体" w:eastAsia="宋体" w:cs="宋体"/>
                <w:szCs w:val="21"/>
                <w:highlight w:val="none"/>
              </w:rPr>
              <w:t xml:space="preserve">投标产品有《环境标志产品政府采购品目清单》内产品，并提供参与实施政府采购环境标志产品认证机构出具的认证证书得0.5分。</w:t>
            </w:r>
            <w:r>
              <w:rPr>
                <w:rFonts w:hint="eastAsia" w:ascii="宋体" w:hAnsi="宋体" w:eastAsia="宋体" w:cs="宋体"/>
                <w:szCs w:val="21"/>
                <w:highlight w:val="none"/>
              </w:rPr>
            </w:r>
            <w:r/>
          </w:p>
        </w:tc>
        <w:tc>
          <w:tcPr>
            <w:tcW w:w="757" w:type="dxa"/>
            <w:vAlign w:val="center"/>
            <w:textDirection w:val="lrTb"/>
            <w:noWrap/>
          </w:tcPr>
          <w:p>
            <w:pPr>
              <w:pStyle w:val="103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0.5</w:t>
            </w:r>
            <w:r>
              <w:rPr>
                <w:rFonts w:hint="eastAsia" w:ascii="宋体" w:hAnsi="宋体" w:eastAsia="宋体" w:cs="宋体"/>
                <w:szCs w:val="21"/>
                <w:highlight w:val="none"/>
              </w:rPr>
            </w:r>
            <w:r/>
          </w:p>
        </w:tc>
      </w:tr>
      <w:tr>
        <w:trPr/>
        <w:tc>
          <w:tcPr>
            <w:tcW w:w="831" w:type="dxa"/>
            <w:vAlign w:val="center"/>
            <w:vMerge w:val="continue"/>
            <w:textDirection w:val="lrTb"/>
            <w:noWrap/>
          </w:tcPr>
          <w:p>
            <w:pPr>
              <w:pStyle w:val="1033"/>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06" w:type="dxa"/>
            <w:vAlign w:val="center"/>
            <w:vMerge w:val="continue"/>
            <w:textDirection w:val="lrTb"/>
            <w:noWrap/>
          </w:tcPr>
          <w:p>
            <w:pPr>
              <w:pStyle w:val="1033"/>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968" w:type="dxa"/>
            <w:vAlign w:val="center"/>
            <w:textDirection w:val="lrTb"/>
            <w:noWrap/>
          </w:tcPr>
          <w:p>
            <w:pPr>
              <w:pStyle w:val="1033"/>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节能产品：投标产品有《节能产品政府采购品目清单》内产品，并提供参与实施政府采购节能产品认证机构出具的认证证书得</w:t>
            </w:r>
            <w:r>
              <w:rPr>
                <w:rFonts w:hint="eastAsia" w:ascii="宋体" w:hAnsi="宋体" w:eastAsia="宋体" w:cs="宋体"/>
                <w:szCs w:val="21"/>
                <w:highlight w:val="none"/>
              </w:rPr>
              <w:t xml:space="preserve">0.5</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757" w:type="dxa"/>
            <w:vAlign w:val="center"/>
            <w:textDirection w:val="lrTb"/>
            <w:noWrap/>
          </w:tcPr>
          <w:p>
            <w:pPr>
              <w:pStyle w:val="103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0.5</w:t>
            </w:r>
            <w:r>
              <w:rPr>
                <w:rFonts w:hint="eastAsia" w:ascii="宋体" w:hAnsi="宋体" w:eastAsia="宋体" w:cs="宋体"/>
                <w:szCs w:val="21"/>
                <w:highlight w:val="none"/>
              </w:rPr>
            </w:r>
            <w:r/>
          </w:p>
        </w:tc>
      </w:tr>
    </w:tbl>
    <w:p>
      <w:pPr>
        <w:pStyle w:val="1033"/>
        <w:ind w:firstLine="442"/>
        <w:rPr>
          <w:rFonts w:hint="eastAsia" w:ascii="宋体" w:hAnsi="宋体" w:eastAsia="宋体" w:cs="宋体"/>
          <w:b/>
          <w:bCs/>
          <w:sz w:val="22"/>
          <w:szCs w:val="22"/>
          <w:highlight w:val="none"/>
          <w:u w:val="single"/>
        </w:rPr>
      </w:pPr>
      <w:r>
        <w:rPr>
          <w:rFonts w:hint="eastAsia" w:ascii="宋体" w:hAnsi="宋体" w:eastAsia="宋体" w:cs="宋体"/>
          <w:b/>
          <w:bCs/>
          <w:sz w:val="22"/>
          <w:szCs w:val="22"/>
          <w:highlight w:val="none"/>
          <w:u w:val="single"/>
        </w:rPr>
        <w:t xml:space="preserve">注：所有对招标文件标注“★”、“▲”的具体要求、参数、数值指标的响应，要求投标供应商必须在投标文件中提供技术支持资料（技术支持资料种类以文件第四章要求为准，如无特殊要求，则为明确说明该技术内容的公开发行的手册、彩页、官网截图、功能页面截图、</w:t>
      </w:r>
      <w:r>
        <w:rPr>
          <w:rFonts w:hint="eastAsia" w:ascii="宋体" w:hAnsi="宋体" w:eastAsia="宋体" w:cs="宋体"/>
          <w:b/>
          <w:bCs/>
          <w:sz w:val="22"/>
          <w:szCs w:val="22"/>
          <w:highlight w:val="none"/>
          <w:u w:val="single"/>
          <w:lang w:eastAsia="zh-CN"/>
        </w:rPr>
        <w:t xml:space="preserve">检测报告或白皮书等</w:t>
      </w:r>
      <w:r>
        <w:rPr>
          <w:rFonts w:hint="eastAsia" w:ascii="宋体" w:hAnsi="宋体" w:eastAsia="宋体" w:cs="宋体"/>
          <w:b/>
          <w:bCs/>
          <w:sz w:val="22"/>
          <w:szCs w:val="22"/>
          <w:highlight w:val="none"/>
          <w:u w:val="single"/>
        </w:rPr>
        <w:t xml:space="preserve">）。</w:t>
      </w:r>
      <w:r>
        <w:rPr>
          <w:rFonts w:hint="eastAsia" w:ascii="宋体" w:hAnsi="宋体" w:eastAsia="宋体" w:cs="宋体"/>
          <w:b/>
          <w:bCs/>
          <w:sz w:val="22"/>
          <w:szCs w:val="22"/>
          <w:highlight w:val="none"/>
          <w:u w:val="single"/>
        </w:rPr>
      </w:r>
      <w:r/>
    </w:p>
    <w:p>
      <w:pPr>
        <w:pStyle w:val="1033"/>
        <w:ind w:firstLine="442"/>
        <w:rPr>
          <w:rFonts w:hint="eastAsia" w:ascii="宋体" w:hAnsi="宋体" w:eastAsia="宋体" w:cs="宋体"/>
          <w:b/>
          <w:sz w:val="22"/>
          <w:szCs w:val="22"/>
          <w:highlight w:val="none"/>
        </w:rPr>
        <w:outlineLvl w:val="1"/>
      </w:pPr>
      <w:r/>
      <w:bookmarkStart w:id="105" w:name="_Toc24232"/>
      <w:r>
        <w:rPr>
          <w:rFonts w:hint="eastAsia" w:ascii="宋体" w:hAnsi="宋体" w:eastAsia="宋体" w:cs="宋体"/>
          <w:b/>
          <w:sz w:val="22"/>
          <w:szCs w:val="22"/>
          <w:highlight w:val="none"/>
        </w:rPr>
        <w:t xml:space="preserve">五、评分因素及分值说明</w:t>
      </w:r>
      <w:bookmarkEnd w:id="105"/>
      <w:r>
        <w:rPr>
          <w:rFonts w:hint="eastAsia" w:ascii="宋体" w:hAnsi="宋体" w:eastAsia="宋体" w:cs="宋体"/>
          <w:b/>
          <w:sz w:val="22"/>
          <w:szCs w:val="22"/>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1.评审委员会成员按招标文件和本办法上述有关规定给各投标文件评分。</w:t>
      </w:r>
      <w:r>
        <w:rPr>
          <w:rFonts w:hint="eastAsia" w:ascii="宋体" w:hAnsi="宋体" w:eastAsia="宋体" w:cs="宋体"/>
          <w:sz w:val="22"/>
          <w:szCs w:val="22"/>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2.各供应商的得分为各评委所评定分数的算术平均值。</w:t>
      </w:r>
      <w:r>
        <w:rPr>
          <w:rFonts w:hint="eastAsia" w:ascii="宋体" w:hAnsi="宋体" w:eastAsia="宋体" w:cs="宋体"/>
          <w:sz w:val="22"/>
          <w:szCs w:val="22"/>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3.各项统计、评分结果均按四舍五入方法精确到小数点后两位。</w:t>
      </w:r>
      <w:r>
        <w:rPr>
          <w:rFonts w:hint="eastAsia" w:ascii="宋体" w:hAnsi="宋体" w:eastAsia="宋体" w:cs="宋体"/>
          <w:sz w:val="22"/>
          <w:szCs w:val="22"/>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评审委员会根据各供应商投标文件的最终评分，按高低次序确定供应商最终排列名次，并按照招标文件规定推荐3名合格的中标候选人。如果供应商的最终评分相同，则投标报价低的供应商排名优先，得分相同且投标报价相同的，按技术部分指标优劣顺序排列，如报价及技术部分指标评分都相同则抽签决定。</w:t>
      </w:r>
      <w:r>
        <w:rPr>
          <w:rFonts w:hint="eastAsia" w:ascii="宋体" w:hAnsi="宋体" w:eastAsia="宋体" w:cs="宋体"/>
          <w:sz w:val="22"/>
          <w:szCs w:val="22"/>
          <w:highlight w:val="none"/>
        </w:rPr>
      </w:r>
      <w:r/>
    </w:p>
    <w:p>
      <w:pPr>
        <w:pStyle w:val="1033"/>
        <w:ind w:firstLine="442"/>
        <w:spacing w:before="0" w:after="0"/>
        <w:rPr>
          <w:rFonts w:hint="eastAsia" w:ascii="宋体" w:hAnsi="宋体" w:eastAsia="宋体" w:cs="宋体"/>
          <w:b/>
          <w:bCs/>
          <w:sz w:val="22"/>
          <w:szCs w:val="22"/>
          <w:highlight w:val="none"/>
        </w:rPr>
      </w:pPr>
      <w:r/>
      <w:bookmarkStart w:id="106" w:name="_Toc462837790"/>
      <w:r>
        <w:rPr>
          <w:rFonts w:hint="eastAsia" w:ascii="宋体" w:hAnsi="宋体" w:eastAsia="宋体" w:cs="宋体"/>
          <w:b/>
          <w:bCs/>
          <w:sz w:val="22"/>
          <w:szCs w:val="22"/>
          <w:highlight w:val="none"/>
        </w:rPr>
        <w:t xml:space="preserve">5.</w:t>
      </w:r>
      <w:bookmarkEnd w:id="106"/>
      <w:r>
        <w:rPr>
          <w:rFonts w:hint="eastAsia" w:ascii="宋体" w:hAnsi="宋体" w:eastAsia="宋体" w:cs="宋体"/>
          <w:b/>
          <w:bCs/>
          <w:sz w:val="22"/>
          <w:szCs w:val="22"/>
          <w:highlight w:val="none"/>
        </w:rPr>
        <w:t xml:space="preserve">政府采购政策功能落实</w:t>
      </w:r>
      <w:r>
        <w:rPr>
          <w:rFonts w:hint="eastAsia" w:ascii="宋体" w:hAnsi="宋体" w:eastAsia="宋体" w:cs="宋体"/>
          <w:b/>
          <w:bCs/>
          <w:sz w:val="22"/>
          <w:szCs w:val="22"/>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5.1小微型企业价格扣除</w:t>
      </w:r>
      <w:r>
        <w:rPr>
          <w:rFonts w:hint="eastAsia" w:ascii="宋体" w:hAnsi="宋体" w:eastAsia="宋体" w:cs="宋体"/>
          <w:sz w:val="22"/>
          <w:szCs w:val="22"/>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（1）对小型和微型企业产品给予10%的价格扣除，用扣除后的价格参与评审。</w:t>
      </w:r>
      <w:r>
        <w:rPr>
          <w:rFonts w:hint="eastAsia" w:ascii="宋体" w:hAnsi="宋体" w:eastAsia="宋体" w:cs="宋体"/>
          <w:sz w:val="22"/>
          <w:szCs w:val="22"/>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（2）供应商需按照招标文件的要求提供相应的《企业声明函》。</w:t>
      </w:r>
      <w:r>
        <w:rPr>
          <w:rFonts w:hint="eastAsia" w:ascii="宋体" w:hAnsi="宋体" w:eastAsia="宋体" w:cs="宋体"/>
          <w:sz w:val="22"/>
          <w:szCs w:val="22"/>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（3）企业标准请参照《关于印发中小企业划型标准规定的通知》（工信部联企业〔2011〕300号）规定自行填写。</w:t>
      </w:r>
      <w:r>
        <w:rPr>
          <w:rFonts w:hint="eastAsia" w:ascii="宋体" w:hAnsi="宋体" w:eastAsia="宋体" w:cs="宋体"/>
          <w:sz w:val="22"/>
          <w:szCs w:val="22"/>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5.2残疾人福利单位价格扣除</w:t>
      </w:r>
      <w:r>
        <w:rPr>
          <w:rFonts w:hint="eastAsia" w:ascii="宋体" w:hAnsi="宋体" w:eastAsia="宋体" w:cs="宋体"/>
          <w:sz w:val="22"/>
          <w:szCs w:val="22"/>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（1）对残疾人福利性单位视同小型、微型企业，给予10%的价格扣除，用扣除后的价格参与评审。</w:t>
      </w:r>
      <w:r>
        <w:rPr>
          <w:rFonts w:hint="eastAsia" w:ascii="宋体" w:hAnsi="宋体" w:eastAsia="宋体" w:cs="宋体"/>
          <w:sz w:val="22"/>
          <w:szCs w:val="22"/>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（2）残疾人福利单位需按照招标文件的要求提供《残疾人福利性单位声明函》。</w:t>
      </w:r>
      <w:r>
        <w:rPr>
          <w:rFonts w:hint="eastAsia" w:ascii="宋体" w:hAnsi="宋体" w:eastAsia="宋体" w:cs="宋体"/>
          <w:sz w:val="22"/>
          <w:szCs w:val="22"/>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（3）残疾人福利单位标准请参照《关于促进残疾人就业政府采购政策的通知》（财库〔2017〕141号）的规定。</w:t>
      </w:r>
      <w:r>
        <w:rPr>
          <w:rFonts w:hint="eastAsia" w:ascii="宋体" w:hAnsi="宋体" w:eastAsia="宋体" w:cs="宋体"/>
          <w:sz w:val="22"/>
          <w:szCs w:val="22"/>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5.3监狱和戒毒企业价格扣除</w:t>
      </w:r>
      <w:r>
        <w:rPr>
          <w:rFonts w:hint="eastAsia" w:ascii="宋体" w:hAnsi="宋体" w:eastAsia="宋体" w:cs="宋体"/>
          <w:sz w:val="22"/>
          <w:szCs w:val="22"/>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（1）对监狱和戒毒企业（简称监狱企业）视同小型、微型企业，给予10%的价格扣除，用扣除后的价格参与评审。</w:t>
      </w:r>
      <w:r>
        <w:rPr>
          <w:rFonts w:hint="eastAsia" w:ascii="宋体" w:hAnsi="宋体" w:eastAsia="宋体" w:cs="宋体"/>
          <w:sz w:val="22"/>
          <w:szCs w:val="22"/>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2"/>
          <w:szCs w:val="22"/>
          <w:highlight w:val="none"/>
        </w:rPr>
      </w:r>
      <w:r/>
    </w:p>
    <w:p>
      <w:pPr>
        <w:pStyle w:val="1033"/>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（3）监狱企业标准请参照《关于政府采购支持监狱企业发展有关问题的通知》（财库〔2014〕68号）的规定。</w:t>
      </w:r>
      <w:r>
        <w:rPr>
          <w:rFonts w:hint="eastAsia" w:ascii="宋体" w:hAnsi="宋体" w:eastAsia="宋体" w:cs="宋体"/>
          <w:sz w:val="22"/>
          <w:szCs w:val="22"/>
          <w:highlight w:val="none"/>
        </w:rPr>
      </w:r>
      <w:r/>
    </w:p>
    <w:p>
      <w:pPr>
        <w:pStyle w:val="1033"/>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5.4残疾人福利单位、监狱企业属于小型、微型企业的，不重复享受政策。</w:t>
      </w:r>
      <w:bookmarkStart w:id="107" w:name="_Toc150538845"/>
      <w:r>
        <w:rPr>
          <w:rFonts w:hint="eastAsia" w:ascii="宋体" w:hAnsi="宋体" w:eastAsia="宋体" w:cs="宋体"/>
          <w:sz w:val="22"/>
          <w:szCs w:val="22"/>
          <w:highlight w:val="none"/>
        </w:rPr>
      </w:r>
      <w:r/>
    </w:p>
    <w:p>
      <w:pPr>
        <w:pStyle w:val="1033"/>
        <w:ind w:firstLine="440"/>
        <w:rPr>
          <w:rFonts w:hint="eastAsia" w:ascii="宋体" w:hAnsi="宋体" w:eastAsia="宋体" w:cs="宋体"/>
          <w:highlight w:val="none"/>
        </w:rPr>
      </w:pPr>
      <w:r>
        <w:rPr>
          <w:rFonts w:hint="eastAsia" w:ascii="宋体" w:hAnsi="宋体" w:eastAsia="宋体" w:cs="宋体"/>
          <w:sz w:val="22"/>
          <w:szCs w:val="22"/>
          <w:highlight w:val="none"/>
        </w:rPr>
        <w:t xml:space="preserve">5.5属于专门面向中小微企业的项目不适用以上“政府采购政策功能落实”价格扣除条款。</w:t>
      </w:r>
      <w:bookmarkStart w:id="108" w:name="_Toc649"/>
      <w:r>
        <w:rPr>
          <w:rFonts w:hint="eastAsia" w:ascii="宋体" w:hAnsi="宋体" w:eastAsia="宋体" w:cs="宋体"/>
          <w:highlight w:val="none"/>
        </w:rPr>
      </w:r>
      <w:r/>
    </w:p>
    <w:p>
      <w:pPr>
        <w:pStyle w:val="1033"/>
        <w:ind w:firstLine="442"/>
        <w:spacing w:before="0" w:after="0"/>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6.对本国产品的支持政策</w:t>
      </w:r>
      <w:r>
        <w:rPr>
          <w:rFonts w:hint="eastAsia" w:ascii="宋体" w:hAnsi="宋体" w:eastAsia="宋体" w:cs="宋体"/>
          <w:b/>
          <w:bCs/>
          <w:sz w:val="22"/>
          <w:szCs w:val="22"/>
          <w:highlight w:val="none"/>
        </w:rPr>
      </w:r>
      <w:r/>
    </w:p>
    <w:p>
      <w:pPr>
        <w:pStyle w:val="1033"/>
        <w:ind w:firstLine="420"/>
        <w:jc w:val="left"/>
        <w:rPr>
          <w:rFonts w:hint="eastAsia" w:ascii="宋体" w:hAnsi="宋体" w:eastAsia="宋体" w:cs="宋体"/>
          <w:highlight w:val="none"/>
        </w:rPr>
      </w:pPr>
      <w:r>
        <w:rPr>
          <w:rFonts w:hint="eastAsia" w:ascii="宋体" w:hAnsi="宋体" w:eastAsia="宋体" w:cs="宋体"/>
          <w:highlight w:val="none"/>
        </w:rPr>
        <w:t xml:space="preserve">6.1政府采购活动中既有本国产品又有非本国产品参与竞争的，依法对本国产品给予价格评审优惠，对本国产品的报价给予20%的价格扣除，用扣除后的价格参与评审。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highlight w:val="none"/>
        </w:rPr>
      </w:r>
      <w:r/>
    </w:p>
    <w:p>
      <w:pPr>
        <w:pStyle w:val="1033"/>
        <w:ind w:firstLine="420"/>
        <w:jc w:val="left"/>
        <w:rPr>
          <w:rFonts w:hint="eastAsia" w:ascii="宋体" w:hAnsi="宋体" w:eastAsia="宋体" w:cs="宋体"/>
          <w:highlight w:val="none"/>
        </w:rPr>
      </w:pPr>
      <w:r>
        <w:rPr>
          <w:rFonts w:hint="eastAsia" w:ascii="宋体" w:hAnsi="宋体" w:eastAsia="宋体" w:cs="宋体"/>
          <w:highlight w:val="none"/>
        </w:rPr>
        <w:t xml:space="preserve">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rPr>
          <w:rFonts w:hint="eastAsia" w:ascii="宋体" w:hAnsi="宋体" w:eastAsia="宋体" w:cs="宋体"/>
          <w:highlight w:val="none"/>
        </w:rPr>
      </w:r>
      <w:r/>
    </w:p>
    <w:p>
      <w:pPr>
        <w:pStyle w:val="1033"/>
        <w:ind w:firstLine="420"/>
        <w:jc w:val="left"/>
        <w:rPr>
          <w:rFonts w:hint="eastAsia" w:ascii="宋体" w:hAnsi="宋体" w:eastAsia="宋体" w:cs="宋体"/>
          <w:highlight w:val="none"/>
        </w:rPr>
      </w:pPr>
      <w:r>
        <w:rPr>
          <w:rFonts w:hint="eastAsia" w:ascii="宋体" w:hAnsi="宋体" w:eastAsia="宋体" w:cs="宋体"/>
          <w:highlight w:val="none"/>
        </w:rPr>
        <w:t xml:space="preserve">6.3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highlight w:val="none"/>
        </w:rPr>
      </w:r>
      <w:r/>
    </w:p>
    <w:p>
      <w:pPr>
        <w:pStyle w:val="1033"/>
        <w:ind w:firstLine="420"/>
        <w:jc w:val="left"/>
        <w:rPr>
          <w:rFonts w:hint="eastAsia" w:ascii="宋体" w:hAnsi="宋体" w:eastAsia="宋体" w:cs="宋体"/>
          <w:highlight w:val="none"/>
        </w:rPr>
      </w:pPr>
      <w:r>
        <w:rPr>
          <w:rFonts w:hint="eastAsia" w:ascii="宋体" w:hAnsi="宋体" w:eastAsia="宋体" w:cs="宋体"/>
          <w:highlight w:val="none"/>
        </w:rPr>
        <w:t xml:space="preserve">（1）产品的一级组件是指直接组成产品的组件。产品的二级组件是指直接组成产品一级组件的组件。一级组件不可分解的，视同二级组件。</w:t>
      </w:r>
      <w:r>
        <w:rPr>
          <w:rFonts w:hint="eastAsia" w:ascii="宋体" w:hAnsi="宋体" w:eastAsia="宋体" w:cs="宋体"/>
          <w:highlight w:val="none"/>
        </w:rPr>
      </w:r>
      <w:r/>
    </w:p>
    <w:p>
      <w:pPr>
        <w:pStyle w:val="1033"/>
        <w:ind w:firstLine="420"/>
        <w:jc w:val="left"/>
        <w:rPr>
          <w:rFonts w:hint="eastAsia" w:ascii="宋体" w:hAnsi="宋体" w:eastAsia="宋体" w:cs="宋体"/>
          <w:highlight w:val="none"/>
        </w:rPr>
      </w:pPr>
      <w:r>
        <w:rPr>
          <w:rFonts w:hint="eastAsia" w:ascii="宋体" w:hAnsi="宋体" w:eastAsia="宋体" w:cs="宋体"/>
          <w:highlight w:val="none"/>
        </w:rPr>
        <w:t xml:space="preserve">（2）二级组件在中国境内生产的，其全部成本计入中国境内生产的组件成本；二级组件不在中国境内生产的，其成本不计入中国境内生产的组件成本。</w:t>
      </w:r>
      <w:r>
        <w:rPr>
          <w:rFonts w:hint="eastAsia" w:ascii="宋体" w:hAnsi="宋体" w:eastAsia="宋体" w:cs="宋体"/>
          <w:highlight w:val="none"/>
        </w:rPr>
      </w:r>
      <w:r/>
    </w:p>
    <w:p>
      <w:pPr>
        <w:pStyle w:val="1033"/>
        <w:ind w:firstLine="420"/>
        <w:jc w:val="left"/>
        <w:rPr>
          <w:rFonts w:hint="eastAsia" w:ascii="宋体" w:hAnsi="宋体" w:eastAsia="宋体" w:cs="宋体"/>
          <w:highlight w:val="none"/>
        </w:rPr>
      </w:pPr>
      <w:r>
        <w:rPr>
          <w:rFonts w:hint="eastAsia" w:ascii="宋体" w:hAnsi="宋体" w:eastAsia="宋体" w:cs="宋体"/>
          <w:highlight w:val="none"/>
        </w:rPr>
        <w:t xml:space="preserve">（3）产品总成本和组件成本以相关会计核算数据、采购合同、进货记录等为基础进行计算。</w:t>
      </w:r>
      <w:r>
        <w:rPr>
          <w:rFonts w:hint="eastAsia" w:ascii="宋体" w:hAnsi="宋体" w:eastAsia="宋体" w:cs="宋体"/>
          <w:highlight w:val="none"/>
        </w:rPr>
      </w:r>
      <w:r/>
    </w:p>
    <w:p>
      <w:pPr>
        <w:pStyle w:val="1033"/>
        <w:ind w:firstLine="420"/>
        <w:jc w:val="left"/>
        <w:rPr>
          <w:rFonts w:hint="eastAsia" w:ascii="宋体" w:hAnsi="宋体" w:eastAsia="宋体" w:cs="宋体"/>
          <w:highlight w:val="none"/>
        </w:rPr>
      </w:pPr>
      <w:r>
        <w:rPr>
          <w:rFonts w:hint="eastAsia" w:ascii="宋体" w:hAnsi="宋体" w:eastAsia="宋体" w:cs="宋体"/>
          <w:highlight w:val="none"/>
        </w:rPr>
        <w:t xml:space="preserve">（4）需要对成本核算规则予以进一步明确的其他有关事项，由财政部会同有关部门另行规定。</w:t>
      </w:r>
      <w:r>
        <w:rPr>
          <w:rFonts w:hint="eastAsia" w:ascii="宋体" w:hAnsi="宋体" w:eastAsia="宋体" w:cs="宋体"/>
          <w:highlight w:val="none"/>
        </w:rPr>
      </w:r>
      <w:r/>
    </w:p>
    <w:p>
      <w:pPr>
        <w:pStyle w:val="1033"/>
        <w:ind w:firstLine="420"/>
        <w:jc w:val="left"/>
        <w:rPr>
          <w:rFonts w:hint="eastAsia" w:ascii="宋体" w:hAnsi="宋体" w:eastAsia="宋体" w:cs="宋体"/>
          <w:highlight w:val="none"/>
        </w:rPr>
      </w:pPr>
      <w:r>
        <w:rPr>
          <w:rFonts w:hint="eastAsia" w:ascii="宋体" w:hAnsi="宋体" w:eastAsia="宋体" w:cs="宋体"/>
          <w:highlight w:val="none"/>
        </w:rPr>
        <w:t xml:space="preserve">6.4供应商需在《声明函》中逐一、准确填写产品名称、厂名、生产厂址三项信息，三项信息中任意一项未填写的视为该项产品不符合本国产品标准，不享受本国产品价格评审优惠。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宋体"/>
          <w:highlight w:val="none"/>
        </w:rPr>
      </w:r>
      <w:r/>
    </w:p>
    <w:p>
      <w:pPr>
        <w:pStyle w:val="1033"/>
        <w:ind w:firstLine="420"/>
        <w:jc w:val="left"/>
        <w:rPr>
          <w:rFonts w:hint="eastAsia" w:ascii="宋体" w:hAnsi="宋体" w:eastAsia="宋体" w:cs="宋体"/>
          <w:highlight w:val="none"/>
        </w:rPr>
      </w:pPr>
      <w:r>
        <w:rPr>
          <w:rFonts w:hint="eastAsia" w:ascii="宋体" w:hAnsi="宋体" w:eastAsia="宋体" w:cs="宋体"/>
          <w:highlight w:val="none"/>
        </w:rPr>
        <w:t xml:space="preserve">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highlight w:val="none"/>
        </w:rPr>
      </w:r>
      <w:r/>
    </w:p>
    <w:p>
      <w:pPr>
        <w:pStyle w:val="1033"/>
        <w:ind w:firstLine="422"/>
        <w:jc w:val="left"/>
        <w:rPr>
          <w:rFonts w:hint="eastAsia" w:ascii="宋体" w:hAnsi="宋体" w:eastAsia="宋体" w:cs="宋体"/>
          <w:b/>
          <w:bCs/>
          <w:color w:val="943734"/>
          <w:highlight w:val="none"/>
        </w:rPr>
      </w:pPr>
      <w:r>
        <w:rPr>
          <w:rFonts w:hint="eastAsia" w:ascii="宋体" w:hAnsi="宋体" w:eastAsia="宋体" w:cs="宋体"/>
          <w:b/>
          <w:bCs/>
          <w:color w:val="943734"/>
          <w:highlight w:val="none"/>
        </w:rPr>
        <w:t xml:space="preserve">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943734"/>
          <w:highlight w:val="none"/>
        </w:rPr>
      </w:r>
      <w:r/>
    </w:p>
    <w:p>
      <w:pPr>
        <w:pStyle w:val="1033"/>
        <w:ind w:firstLine="422"/>
        <w:jc w:val="left"/>
        <w:rPr>
          <w:rFonts w:hint="eastAsia" w:ascii="宋体" w:hAnsi="宋体" w:eastAsia="宋体" w:cs="宋体"/>
          <w:b/>
          <w:bCs/>
          <w:color w:val="943734"/>
          <w:highlight w:val="none"/>
        </w:rPr>
      </w:pPr>
      <w:r>
        <w:rPr>
          <w:rFonts w:hint="eastAsia" w:ascii="宋体" w:hAnsi="宋体" w:eastAsia="宋体" w:cs="宋体"/>
          <w:b/>
          <w:bCs/>
          <w:color w:val="943734"/>
          <w:highlight w:val="none"/>
        </w:rPr>
        <w:t xml:space="preserve">6.7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rPr>
          <w:rFonts w:hint="eastAsia" w:ascii="宋体" w:hAnsi="宋体" w:eastAsia="宋体" w:cs="宋体"/>
          <w:b/>
          <w:bCs/>
          <w:color w:val="943734"/>
          <w:highlight w:val="none"/>
        </w:rPr>
      </w:r>
      <w:r/>
    </w:p>
    <w:p>
      <w:pPr>
        <w:pStyle w:val="1033"/>
        <w:ind w:firstLine="422"/>
        <w:jc w:val="left"/>
        <w:rPr>
          <w:rFonts w:hint="eastAsia" w:ascii="宋体" w:hAnsi="宋体" w:eastAsia="宋体" w:cs="宋体"/>
          <w:b/>
          <w:bCs/>
          <w:highlight w:val="none"/>
        </w:rPr>
      </w:pPr>
      <w:r>
        <w:rPr>
          <w:rFonts w:hint="eastAsia" w:ascii="宋体" w:hAnsi="宋体" w:eastAsia="宋体" w:cs="宋体"/>
          <w:b/>
          <w:bCs/>
          <w:highlight w:val="none"/>
        </w:rPr>
        <w:t xml:space="preserve">7.同品牌投标人的认定：</w:t>
      </w:r>
      <w:r>
        <w:rPr>
          <w:rFonts w:hint="eastAsia" w:ascii="宋体" w:hAnsi="宋体" w:eastAsia="宋体" w:cs="宋体"/>
          <w:b/>
          <w:bCs/>
          <w:highlight w:val="none"/>
        </w:rPr>
      </w:r>
      <w:r/>
    </w:p>
    <w:p>
      <w:pPr>
        <w:pStyle w:val="1033"/>
        <w:ind w:firstLine="420"/>
        <w:jc w:val="left"/>
        <w:rPr>
          <w:rFonts w:hint="eastAsia"/>
          <w:highlight w:val="none"/>
        </w:rPr>
      </w:pPr>
      <w:r>
        <w:rPr>
          <w:rFonts w:hint="eastAsia" w:ascii="宋体" w:hAnsi="宋体" w:eastAsia="宋体" w:cs="宋体"/>
          <w:highlight w:val="none"/>
        </w:rPr>
        <w:t xml:space="preserve">提供核心产品品牌相同且通过资格审查、符合性审查的不同投标供应商参加同一合同项下投标的，按一家投标供应商计算，评审后得分最高的同品牌投标供应商获得中标人推荐资格；评审得分相同的，采取最低价方式确定一个投标供应商获得中标人推荐资格，其他同品牌投标供应商不作为中标候选人（本项目中的同品牌特指核心产品，非核心产品不作要求）。</w:t>
      </w:r>
      <w:r>
        <w:rPr>
          <w:rFonts w:hint="eastAsia"/>
          <w:highlight w:val="none"/>
        </w:rPr>
      </w:r>
      <w:r/>
    </w:p>
    <w:p>
      <w:pPr>
        <w:pStyle w:val="1033"/>
        <w:ind w:firstLine="422"/>
        <w:jc w:val="left"/>
        <w:rPr>
          <w:rFonts w:hint="eastAsia" w:ascii="宋体" w:hAnsi="宋体" w:eastAsia="宋体" w:cs="宋体"/>
          <w:highlight w:val="none"/>
          <w:u w:val="single"/>
        </w:rPr>
      </w:pPr>
      <w:r>
        <w:rPr>
          <w:rFonts w:hint="eastAsia" w:ascii="宋体" w:hAnsi="宋体" w:eastAsia="宋体" w:cs="宋体"/>
          <w:b/>
          <w:bCs/>
          <w:highlight w:val="none"/>
        </w:rPr>
        <w:t xml:space="preserve">8.本项目核心产品为：</w:t>
      </w:r>
      <w:r>
        <w:rPr>
          <w:rFonts w:hint="eastAsia" w:ascii="宋体" w:hAnsi="宋体" w:eastAsia="宋体" w:cs="宋体"/>
          <w:highlight w:val="none"/>
          <w:u w:val="single"/>
        </w:rPr>
        <w:t xml:space="preserve">详见招标文件 第四章 采购需求。</w:t>
      </w:r>
      <w:r>
        <w:rPr>
          <w:rFonts w:hint="eastAsia" w:ascii="宋体" w:hAnsi="宋体" w:eastAsia="宋体" w:cs="宋体"/>
          <w:highlight w:val="none"/>
          <w:u w:val="single"/>
        </w:rPr>
      </w:r>
      <w:r/>
    </w:p>
    <w:p>
      <w:pPr>
        <w:pStyle w:val="1033"/>
        <w:ind w:firstLine="420"/>
        <w:jc w:val="left"/>
        <w:rPr>
          <w:rFonts w:hint="eastAsia" w:ascii="宋体" w:hAnsi="宋体" w:eastAsia="宋体" w:cs="宋体"/>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highlight w:val="none"/>
        </w:rPr>
      </w:r>
      <w:r/>
    </w:p>
    <w:p>
      <w:pPr>
        <w:pStyle w:val="1034"/>
        <w:ind w:firstLine="0"/>
        <w:spacing w:before="480"/>
        <w:tabs>
          <w:tab w:val="left" w:pos="1440" w:leader="none"/>
          <w:tab w:val="left" w:pos="5670" w:leader="none"/>
        </w:tabs>
        <w:rPr>
          <w:rFonts w:hint="eastAsia"/>
          <w:highlight w:val="none"/>
        </w:rPr>
      </w:pPr>
      <w:r/>
      <w:bookmarkStart w:id="109" w:name="_Toc11891"/>
      <w:r>
        <w:rPr>
          <w:rFonts w:hint="eastAsia" w:ascii="宋体" w:hAnsi="宋体" w:eastAsia="宋体" w:cs="宋体"/>
          <w:highlight w:val="none"/>
        </w:rPr>
        <w:t xml:space="preserve">第四章 </w:t>
      </w:r>
      <w:bookmarkEnd w:id="107"/>
      <w:r/>
      <w:bookmarkEnd w:id="108"/>
      <w:r>
        <w:rPr>
          <w:rFonts w:hint="eastAsia" w:ascii="宋体" w:hAnsi="宋体" w:eastAsia="宋体" w:cs="宋体"/>
          <w:highlight w:val="none"/>
        </w:rPr>
        <w:t xml:space="preserve">采购需求</w:t>
      </w:r>
      <w:bookmarkEnd w:id="109"/>
      <w:r>
        <w:rPr>
          <w:rFonts w:hint="eastAsia"/>
          <w:highlight w:val="none"/>
        </w:rPr>
      </w:r>
      <w:r/>
    </w:p>
    <w:p>
      <w:pPr>
        <w:pStyle w:val="1033"/>
        <w:numPr>
          <w:ilvl w:val="0"/>
          <w:numId w:val="41"/>
        </w:numPr>
        <w:spacing w:after="5"/>
        <w:rPr>
          <w:rFonts w:hint="eastAsia" w:ascii="宋体" w:hAnsi="宋体" w:eastAsia="宋体" w:cs="宋体"/>
          <w:b/>
          <w:sz w:val="28"/>
          <w:szCs w:val="28"/>
          <w:highlight w:val="none"/>
        </w:rPr>
        <w:outlineLvl w:val="1"/>
      </w:pPr>
      <w:r/>
      <w:bookmarkStart w:id="110" w:name="_Toc15398"/>
      <w:r/>
      <w:bookmarkStart w:id="111" w:name="_Toc24240"/>
      <w:r/>
      <w:bookmarkStart w:id="112" w:name="_Toc22261"/>
      <w:r/>
      <w:bookmarkStart w:id="113" w:name="_Toc3459"/>
      <w:r>
        <w:rPr>
          <w:rFonts w:hint="eastAsia" w:ascii="宋体" w:hAnsi="宋体" w:eastAsia="宋体" w:cs="宋体"/>
          <w:b/>
          <w:sz w:val="28"/>
          <w:szCs w:val="28"/>
          <w:highlight w:val="none"/>
        </w:rPr>
        <w:t xml:space="preserve">项目概况：</w:t>
      </w:r>
      <w:bookmarkEnd w:id="110"/>
      <w:r/>
      <w:bookmarkEnd w:id="111"/>
      <w:r>
        <w:rPr>
          <w:rFonts w:hint="eastAsia" w:ascii="宋体" w:hAnsi="宋体" w:eastAsia="宋体" w:cs="宋体"/>
          <w:b/>
          <w:sz w:val="28"/>
          <w:szCs w:val="28"/>
          <w:highlight w:val="none"/>
        </w:rPr>
      </w:r>
      <w:r/>
    </w:p>
    <w:p>
      <w:pPr>
        <w:pStyle w:val="1033"/>
        <w:ind w:firstLine="480"/>
        <w:spacing w:before="0" w:after="0"/>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本项目为</w:t>
      </w:r>
      <w:r>
        <w:rPr>
          <w:rFonts w:hint="eastAsia" w:ascii="宋体" w:hAnsi="宋体" w:eastAsia="宋体" w:cs="宋体"/>
          <w:sz w:val="24"/>
          <w:szCs w:val="24"/>
          <w:highlight w:val="none"/>
          <w:lang w:eastAsia="zh-CN"/>
        </w:rPr>
        <w:t xml:space="preserve">江苏省特检院老旧设备更新项目-机电类检验检测设备采购（全站仪等设备）</w:t>
      </w:r>
      <w:r>
        <w:rPr>
          <w:rFonts w:hint="eastAsia" w:ascii="宋体" w:hAnsi="宋体" w:eastAsia="宋体" w:cs="宋体"/>
          <w:sz w:val="24"/>
          <w:szCs w:val="24"/>
          <w:highlight w:val="none"/>
        </w:rPr>
        <w:t xml:space="preserve">，相关要求详见技术要求及商务要求。</w:t>
      </w:r>
      <w:r>
        <w:rPr>
          <w:rFonts w:hint="eastAsia" w:ascii="宋体" w:hAnsi="宋体" w:eastAsia="宋体" w:cs="宋体"/>
          <w:sz w:val="24"/>
          <w:szCs w:val="24"/>
          <w:highlight w:val="none"/>
        </w:rPr>
      </w:r>
      <w:r/>
    </w:p>
    <w:tbl>
      <w:tblPr>
        <w:tblW w:w="9663"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767"/>
        <w:gridCol w:w="997"/>
        <w:gridCol w:w="1351"/>
        <w:gridCol w:w="832"/>
        <w:gridCol w:w="1390"/>
        <w:gridCol w:w="1712"/>
        <w:gridCol w:w="864"/>
      </w:tblGrid>
      <w:tr>
        <w:trPr>
          <w:trHeight w:val="560"/>
        </w:trPr>
        <w:tc>
          <w:tcPr>
            <w:tcW w:w="750" w:type="dxa"/>
            <w:vAlign w:val="center"/>
            <w:textDirection w:val="lrTb"/>
            <w:noWrap w:val="false"/>
          </w:tcPr>
          <w:p>
            <w:pPr>
              <w:pStyle w:val="1033"/>
              <w:jc w:val="center"/>
              <w:spacing w:before="0" w:after="0" w:line="240" w:lineRule="auto"/>
              <w:widowControl/>
              <w:rPr>
                <w:rFonts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 xml:space="preserve">序号</w:t>
            </w:r>
            <w:r>
              <w:rPr>
                <w:rFonts w:ascii="宋体" w:hAnsi="宋体" w:eastAsia="宋体" w:cs="宋体"/>
                <w:b/>
                <w:bCs/>
                <w:sz w:val="24"/>
                <w:szCs w:val="24"/>
                <w:highlight w:val="none"/>
                <w:lang w:val="en-US" w:eastAsia="zh-CN" w:bidi="ar"/>
              </w:rPr>
            </w:r>
            <w:r/>
          </w:p>
        </w:tc>
        <w:tc>
          <w:tcPr>
            <w:tcW w:w="1767" w:type="dxa"/>
            <w:vAlign w:val="center"/>
            <w:textDirection w:val="lrTb"/>
            <w:noWrap w:val="false"/>
          </w:tcPr>
          <w:p>
            <w:pPr>
              <w:pStyle w:val="1033"/>
              <w:jc w:val="center"/>
              <w:spacing w:before="0" w:after="0" w:line="240" w:lineRule="auto"/>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val="en-US" w:eastAsia="zh-CN" w:bidi="ar"/>
              </w:rPr>
              <w:t xml:space="preserve">设备明细</w:t>
            </w:r>
            <w:r>
              <w:rPr>
                <w:rFonts w:hint="eastAsia" w:ascii="宋体" w:hAnsi="宋体" w:eastAsia="宋体" w:cs="宋体"/>
                <w:b/>
                <w:bCs/>
                <w:sz w:val="24"/>
                <w:szCs w:val="24"/>
                <w:highlight w:val="none"/>
                <w:lang w:bidi="ar"/>
              </w:rPr>
            </w:r>
            <w:r/>
          </w:p>
        </w:tc>
        <w:tc>
          <w:tcPr>
            <w:tcW w:w="997" w:type="dxa"/>
            <w:vAlign w:val="center"/>
            <w:textDirection w:val="lrTb"/>
            <w:noWrap w:val="false"/>
          </w:tcPr>
          <w:p>
            <w:pPr>
              <w:pStyle w:val="1033"/>
              <w:jc w:val="center"/>
              <w:spacing w:before="0" w:after="0" w:line="240" w:lineRule="auto"/>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bidi="ar"/>
              </w:rPr>
              <w:t xml:space="preserve">单位</w:t>
            </w:r>
            <w:r>
              <w:rPr>
                <w:rFonts w:hint="eastAsia" w:ascii="宋体" w:hAnsi="宋体" w:eastAsia="宋体" w:cs="宋体"/>
                <w:b/>
                <w:bCs/>
                <w:sz w:val="24"/>
                <w:szCs w:val="24"/>
                <w:highlight w:val="none"/>
                <w:lang w:bidi="ar"/>
              </w:rPr>
            </w:r>
            <w:r/>
          </w:p>
        </w:tc>
        <w:tc>
          <w:tcPr>
            <w:tcW w:w="1351" w:type="dxa"/>
            <w:vAlign w:val="center"/>
            <w:textDirection w:val="lrTb"/>
            <w:noWrap w:val="false"/>
          </w:tcPr>
          <w:p>
            <w:pPr>
              <w:pStyle w:val="1033"/>
              <w:jc w:val="center"/>
              <w:spacing w:before="0" w:after="0" w:line="240" w:lineRule="auto"/>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val="en-US" w:eastAsia="zh-CN" w:bidi="ar"/>
              </w:rPr>
              <w:t xml:space="preserve">预算单价（万元）</w:t>
            </w:r>
            <w:r>
              <w:rPr>
                <w:rFonts w:hint="eastAsia" w:ascii="宋体" w:hAnsi="宋体" w:eastAsia="宋体" w:cs="宋体"/>
                <w:b/>
                <w:bCs/>
                <w:sz w:val="24"/>
                <w:szCs w:val="24"/>
                <w:highlight w:val="none"/>
                <w:lang w:bidi="ar"/>
              </w:rPr>
            </w:r>
            <w:r/>
          </w:p>
        </w:tc>
        <w:tc>
          <w:tcPr>
            <w:tcW w:w="832" w:type="dxa"/>
            <w:vAlign w:val="center"/>
            <w:textDirection w:val="lrTb"/>
            <w:noWrap w:val="false"/>
          </w:tcPr>
          <w:p>
            <w:pPr>
              <w:pStyle w:val="1033"/>
              <w:jc w:val="center"/>
              <w:spacing w:before="0" w:after="0" w:line="240" w:lineRule="auto"/>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val="en-US" w:eastAsia="zh-CN" w:bidi="ar"/>
              </w:rPr>
              <w:t xml:space="preserve">数量</w:t>
            </w:r>
            <w:r>
              <w:rPr>
                <w:rFonts w:hint="eastAsia" w:ascii="宋体" w:hAnsi="宋体" w:eastAsia="宋体" w:cs="宋体"/>
                <w:b/>
                <w:bCs/>
                <w:sz w:val="24"/>
                <w:szCs w:val="24"/>
                <w:highlight w:val="none"/>
                <w:lang w:bidi="ar"/>
              </w:rPr>
            </w:r>
            <w:r/>
          </w:p>
        </w:tc>
        <w:tc>
          <w:tcPr>
            <w:tcW w:w="1390" w:type="dxa"/>
            <w:vAlign w:val="center"/>
            <w:textDirection w:val="lrTb"/>
            <w:noWrap w:val="false"/>
          </w:tcPr>
          <w:p>
            <w:pPr>
              <w:pStyle w:val="1033"/>
              <w:jc w:val="center"/>
              <w:spacing w:before="0" w:after="0" w:line="240" w:lineRule="auto"/>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val="en-US" w:eastAsia="zh-CN" w:bidi="ar"/>
              </w:rPr>
              <w:t xml:space="preserve">预算金额</w:t>
            </w:r>
            <w:r>
              <w:rPr>
                <w:rFonts w:hint="eastAsia" w:ascii="宋体" w:hAnsi="宋体" w:eastAsia="宋体" w:cs="宋体"/>
                <w:b/>
                <w:bCs/>
                <w:sz w:val="24"/>
                <w:szCs w:val="24"/>
                <w:highlight w:val="none"/>
                <w:lang w:val="en-US" w:eastAsia="zh-CN" w:bidi="ar"/>
              </w:rPr>
              <w:br w:type="textWrapping" w:clear="all"/>
            </w:r>
            <w:r>
              <w:rPr>
                <w:rFonts w:hint="eastAsia" w:ascii="宋体" w:hAnsi="宋体" w:eastAsia="宋体" w:cs="宋体"/>
                <w:b/>
                <w:bCs/>
                <w:sz w:val="24"/>
                <w:szCs w:val="24"/>
                <w:highlight w:val="none"/>
                <w:lang w:val="en-US" w:eastAsia="zh-CN" w:bidi="ar"/>
              </w:rPr>
              <w:t xml:space="preserve">（万元）</w:t>
            </w:r>
            <w:r>
              <w:rPr>
                <w:rFonts w:hint="eastAsia" w:ascii="宋体" w:hAnsi="宋体" w:eastAsia="宋体" w:cs="宋体"/>
                <w:b/>
                <w:bCs/>
                <w:sz w:val="24"/>
                <w:szCs w:val="24"/>
                <w:highlight w:val="none"/>
                <w:lang w:bidi="ar"/>
              </w:rPr>
            </w:r>
            <w:r/>
          </w:p>
        </w:tc>
        <w:tc>
          <w:tcPr>
            <w:tcW w:w="1712" w:type="dxa"/>
            <w:vAlign w:val="center"/>
            <w:textDirection w:val="lrTb"/>
            <w:noWrap w:val="false"/>
          </w:tcPr>
          <w:p>
            <w:pPr>
              <w:pStyle w:val="1033"/>
              <w:jc w:val="center"/>
              <w:spacing w:before="0" w:after="0" w:line="240" w:lineRule="auto"/>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val="en-US" w:eastAsia="zh-CN" w:bidi="ar"/>
              </w:rPr>
              <w:t xml:space="preserve">是否接受进口设备投标</w:t>
            </w:r>
            <w:r>
              <w:rPr>
                <w:rFonts w:hint="eastAsia" w:ascii="宋体" w:hAnsi="宋体" w:eastAsia="宋体" w:cs="宋体"/>
                <w:b/>
                <w:bCs/>
                <w:sz w:val="24"/>
                <w:szCs w:val="24"/>
                <w:highlight w:val="none"/>
                <w:lang w:bidi="ar"/>
              </w:rPr>
            </w:r>
            <w:r/>
          </w:p>
        </w:tc>
        <w:tc>
          <w:tcPr>
            <w:tcW w:w="864" w:type="dxa"/>
            <w:vAlign w:val="center"/>
            <w:textDirection w:val="lrTb"/>
            <w:noWrap w:val="false"/>
          </w:tcPr>
          <w:p>
            <w:pPr>
              <w:pStyle w:val="1033"/>
              <w:jc w:val="center"/>
              <w:spacing w:before="0" w:after="0" w:line="240" w:lineRule="auto"/>
              <w:widowControl/>
              <w:rPr>
                <w:rFonts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 xml:space="preserve">备注</w:t>
            </w:r>
            <w:r>
              <w:rPr>
                <w:rFonts w:ascii="宋体" w:hAnsi="宋体" w:eastAsia="宋体" w:cs="宋体"/>
                <w:b/>
                <w:bCs/>
                <w:sz w:val="24"/>
                <w:szCs w:val="24"/>
                <w:highlight w:val="none"/>
                <w:lang w:val="en-US" w:eastAsia="zh-CN" w:bidi="ar"/>
              </w:rPr>
            </w:r>
            <w:r/>
          </w:p>
        </w:tc>
      </w:tr>
      <w:tr>
        <w:trPr>
          <w:trHeight w:val="250"/>
        </w:trPr>
        <w:tc>
          <w:tcPr>
            <w:tcW w:w="750" w:type="dxa"/>
            <w:vAlign w:val="center"/>
            <w:textDirection w:val="lrTb"/>
            <w:noWrap w:val="false"/>
          </w:tcPr>
          <w:p>
            <w:pPr>
              <w:pStyle w:val="1033"/>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w:t>
            </w:r>
            <w:r>
              <w:rPr>
                <w:rFonts w:ascii="宋体" w:hAnsi="宋体" w:eastAsia="宋体" w:cs="宋体"/>
                <w:sz w:val="22"/>
                <w:highlight w:val="none"/>
                <w:lang w:val="en-US" w:eastAsia="zh-CN" w:bidi="ar"/>
              </w:rPr>
            </w:r>
            <w:r/>
          </w:p>
        </w:tc>
        <w:tc>
          <w:tcPr>
            <w:tcW w:w="1767"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全站仪</w:t>
            </w:r>
            <w:r>
              <w:rPr>
                <w:rFonts w:hint="eastAsia" w:ascii="宋体" w:hAnsi="宋体" w:eastAsia="宋体" w:cs="宋体"/>
                <w:sz w:val="22"/>
                <w:highlight w:val="none"/>
                <w:lang w:val="en-US" w:eastAsia="zh-CN" w:bidi="ar"/>
              </w:rPr>
            </w:r>
            <w:r/>
          </w:p>
        </w:tc>
        <w:tc>
          <w:tcPr>
            <w:tcW w:w="997"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351"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1.85</w:t>
            </w:r>
            <w:r>
              <w:rPr>
                <w:rFonts w:hint="eastAsia" w:ascii="宋体" w:hAnsi="宋体" w:eastAsia="宋体" w:cs="宋体"/>
                <w:sz w:val="22"/>
                <w:highlight w:val="none"/>
                <w:lang w:val="en-US" w:eastAsia="zh-CN" w:bidi="ar"/>
              </w:rPr>
            </w:r>
            <w:r/>
          </w:p>
        </w:tc>
        <w:tc>
          <w:tcPr>
            <w:tcW w:w="832"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33</w:t>
            </w:r>
            <w:r>
              <w:rPr>
                <w:rFonts w:hint="eastAsia" w:ascii="宋体" w:hAnsi="宋体" w:eastAsia="宋体" w:cs="宋体"/>
                <w:sz w:val="22"/>
                <w:highlight w:val="none"/>
                <w:lang w:val="en-US" w:eastAsia="zh-CN" w:bidi="ar"/>
              </w:rPr>
            </w:r>
            <w:r/>
          </w:p>
        </w:tc>
        <w:tc>
          <w:tcPr>
            <w:tcW w:w="1390"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61.05</w:t>
            </w:r>
            <w:r>
              <w:rPr>
                <w:rFonts w:hint="eastAsia" w:ascii="宋体" w:hAnsi="宋体" w:eastAsia="宋体" w:cs="宋体"/>
                <w:sz w:val="22"/>
                <w:highlight w:val="none"/>
                <w:lang w:val="en-US" w:eastAsia="zh-CN" w:bidi="ar"/>
              </w:rPr>
            </w:r>
            <w:r/>
          </w:p>
        </w:tc>
        <w:tc>
          <w:tcPr>
            <w:tcW w:w="1712"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864"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核心产品</w:t>
            </w:r>
            <w:r>
              <w:rPr>
                <w:rFonts w:hint="eastAsia" w:ascii="宋体" w:hAnsi="宋体" w:eastAsia="宋体" w:cs="宋体"/>
                <w:sz w:val="22"/>
                <w:highlight w:val="none"/>
                <w:lang w:val="en-US" w:eastAsia="zh-CN" w:bidi="ar"/>
              </w:rPr>
            </w:r>
            <w:r/>
          </w:p>
        </w:tc>
      </w:tr>
      <w:tr>
        <w:trPr>
          <w:trHeight w:val="268"/>
        </w:trPr>
        <w:tc>
          <w:tcPr>
            <w:tcW w:w="750" w:type="dxa"/>
            <w:vAlign w:val="center"/>
            <w:textDirection w:val="lrTb"/>
            <w:noWrap w:val="false"/>
          </w:tcPr>
          <w:p>
            <w:pPr>
              <w:pStyle w:val="1033"/>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w:t>
            </w:r>
            <w:r>
              <w:rPr>
                <w:rFonts w:ascii="宋体" w:hAnsi="宋体" w:eastAsia="宋体" w:cs="宋体"/>
                <w:sz w:val="22"/>
                <w:highlight w:val="none"/>
                <w:lang w:val="en-US" w:eastAsia="zh-CN" w:bidi="ar"/>
              </w:rPr>
            </w:r>
            <w:r/>
          </w:p>
        </w:tc>
        <w:tc>
          <w:tcPr>
            <w:tcW w:w="1767"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经纬仪</w:t>
            </w:r>
            <w:r>
              <w:rPr>
                <w:rFonts w:hint="eastAsia" w:ascii="宋体" w:hAnsi="宋体" w:eastAsia="宋体" w:cs="宋体"/>
                <w:sz w:val="22"/>
                <w:highlight w:val="none"/>
                <w:lang w:val="en-US" w:eastAsia="zh-CN" w:bidi="ar"/>
              </w:rPr>
            </w:r>
            <w:r/>
          </w:p>
        </w:tc>
        <w:tc>
          <w:tcPr>
            <w:tcW w:w="997"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351"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1.25</w:t>
            </w:r>
            <w:r>
              <w:rPr>
                <w:rFonts w:hint="eastAsia" w:ascii="宋体" w:hAnsi="宋体" w:eastAsia="宋体" w:cs="宋体"/>
                <w:sz w:val="22"/>
                <w:highlight w:val="none"/>
                <w:lang w:val="en-US" w:eastAsia="zh-CN" w:bidi="ar"/>
              </w:rPr>
            </w:r>
            <w:r/>
          </w:p>
        </w:tc>
        <w:tc>
          <w:tcPr>
            <w:tcW w:w="832"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7</w:t>
            </w:r>
            <w:r>
              <w:rPr>
                <w:rFonts w:hint="eastAsia" w:ascii="宋体" w:hAnsi="宋体" w:eastAsia="宋体" w:cs="宋体"/>
                <w:sz w:val="22"/>
                <w:highlight w:val="none"/>
                <w:lang w:val="en-US" w:eastAsia="zh-CN" w:bidi="ar"/>
              </w:rPr>
            </w:r>
            <w:r/>
          </w:p>
        </w:tc>
        <w:tc>
          <w:tcPr>
            <w:tcW w:w="1390"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8.75</w:t>
            </w:r>
            <w:r>
              <w:rPr>
                <w:rFonts w:hint="eastAsia" w:ascii="宋体" w:hAnsi="宋体" w:eastAsia="宋体" w:cs="宋体"/>
                <w:sz w:val="22"/>
                <w:highlight w:val="none"/>
                <w:lang w:val="en-US" w:eastAsia="zh-CN" w:bidi="ar"/>
              </w:rPr>
            </w:r>
            <w:r/>
          </w:p>
        </w:tc>
        <w:tc>
          <w:tcPr>
            <w:tcW w:w="1712"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864"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60"/>
        </w:trPr>
        <w:tc>
          <w:tcPr>
            <w:tcW w:w="750" w:type="dxa"/>
            <w:vAlign w:val="center"/>
            <w:textDirection w:val="lrTb"/>
            <w:noWrap w:val="false"/>
          </w:tcPr>
          <w:p>
            <w:pPr>
              <w:pStyle w:val="1033"/>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w:t>
            </w:r>
            <w:r>
              <w:rPr>
                <w:rFonts w:ascii="宋体" w:hAnsi="宋体" w:eastAsia="宋体" w:cs="宋体"/>
                <w:sz w:val="22"/>
                <w:highlight w:val="none"/>
                <w:lang w:val="en-US" w:eastAsia="zh-CN" w:bidi="ar"/>
              </w:rPr>
            </w:r>
            <w:r/>
          </w:p>
        </w:tc>
        <w:tc>
          <w:tcPr>
            <w:tcW w:w="1767"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水准仪</w:t>
            </w:r>
            <w:r>
              <w:rPr>
                <w:rFonts w:hint="eastAsia" w:ascii="宋体" w:hAnsi="宋体" w:eastAsia="宋体" w:cs="宋体"/>
                <w:sz w:val="22"/>
                <w:highlight w:val="none"/>
                <w:lang w:val="en-US" w:eastAsia="zh-CN" w:bidi="ar"/>
              </w:rPr>
            </w:r>
            <w:r/>
          </w:p>
        </w:tc>
        <w:tc>
          <w:tcPr>
            <w:tcW w:w="997"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351"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0.60</w:t>
            </w:r>
            <w:r>
              <w:rPr>
                <w:rFonts w:hint="eastAsia" w:ascii="宋体" w:hAnsi="宋体" w:eastAsia="宋体" w:cs="宋体"/>
                <w:sz w:val="22"/>
                <w:highlight w:val="none"/>
                <w:lang w:val="en-US" w:eastAsia="zh-CN" w:bidi="ar"/>
              </w:rPr>
            </w:r>
            <w:r/>
          </w:p>
        </w:tc>
        <w:tc>
          <w:tcPr>
            <w:tcW w:w="832"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15</w:t>
            </w:r>
            <w:r>
              <w:rPr>
                <w:rFonts w:hint="eastAsia" w:ascii="宋体" w:hAnsi="宋体" w:eastAsia="宋体" w:cs="宋体"/>
                <w:sz w:val="22"/>
                <w:highlight w:val="none"/>
                <w:lang w:val="en-US" w:eastAsia="zh-CN" w:bidi="ar"/>
              </w:rPr>
            </w:r>
            <w:r/>
          </w:p>
        </w:tc>
        <w:tc>
          <w:tcPr>
            <w:tcW w:w="1390"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9</w:t>
            </w:r>
            <w:r>
              <w:rPr>
                <w:rFonts w:hint="eastAsia" w:ascii="宋体" w:hAnsi="宋体" w:eastAsia="宋体" w:cs="宋体"/>
                <w:sz w:val="22"/>
                <w:highlight w:val="none"/>
                <w:lang w:val="en-US" w:eastAsia="zh-CN" w:bidi="ar"/>
              </w:rPr>
            </w:r>
            <w:r/>
          </w:p>
        </w:tc>
        <w:tc>
          <w:tcPr>
            <w:tcW w:w="1712"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864"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bl>
    <w:p>
      <w:pPr>
        <w:pStyle w:val="1033"/>
        <w:numPr>
          <w:ilvl w:val="0"/>
          <w:numId w:val="41"/>
        </w:numPr>
        <w:rPr>
          <w:rFonts w:hint="eastAsia" w:ascii="宋体" w:hAnsi="宋体" w:eastAsia="宋体" w:cs="宋体"/>
          <w:b/>
          <w:sz w:val="28"/>
          <w:szCs w:val="28"/>
          <w:highlight w:val="none"/>
        </w:rPr>
        <w:outlineLvl w:val="1"/>
      </w:pPr>
      <w:r/>
      <w:bookmarkStart w:id="114" w:name="_Toc21425"/>
      <w:r/>
      <w:bookmarkStart w:id="115" w:name="_Toc12367"/>
      <w:r>
        <w:rPr>
          <w:rFonts w:hint="eastAsia" w:ascii="宋体" w:hAnsi="宋体" w:eastAsia="宋体" w:cs="宋体"/>
          <w:b/>
          <w:sz w:val="28"/>
          <w:szCs w:val="28"/>
          <w:highlight w:val="none"/>
        </w:rPr>
        <w:t xml:space="preserve">技术要求：</w:t>
      </w:r>
      <w:bookmarkEnd w:id="114"/>
      <w:r/>
      <w:bookmarkEnd w:id="115"/>
      <w:r>
        <w:rPr>
          <w:rFonts w:hint="eastAsia" w:ascii="宋体" w:hAnsi="宋体" w:eastAsia="宋体" w:cs="宋体"/>
          <w:b/>
          <w:sz w:val="28"/>
          <w:szCs w:val="28"/>
          <w:highlight w:val="none"/>
        </w:rPr>
      </w:r>
      <w:r/>
    </w:p>
    <w:p>
      <w:pPr>
        <w:pStyle w:val="1033"/>
        <w:ind w:firstLine="480"/>
        <w:spacing w:before="0" w:after="0" w:line="240" w:lineRule="auto"/>
        <w:rPr>
          <w:rFonts w:hint="eastAsia" w:ascii="宋体" w:hAnsi="宋体" w:eastAsia="宋体" w:cs="宋体"/>
          <w:sz w:val="24"/>
          <w:szCs w:val="24"/>
          <w:highlight w:val="none"/>
        </w:rPr>
      </w:pPr>
      <w:r/>
      <w:bookmarkStart w:id="116" w:name="OLE_LINK18"/>
      <w:r/>
      <w:bookmarkStart w:id="117" w:name="_Toc113485530"/>
      <w:r>
        <w:rPr>
          <w:rFonts w:hint="eastAsia" w:ascii="宋体" w:hAnsi="宋体" w:eastAsia="宋体" w:cs="宋体"/>
          <w:sz w:val="24"/>
          <w:szCs w:val="24"/>
          <w:highlight w:val="none"/>
        </w:rPr>
        <w:t xml:space="preserve">特别说明：</w:t>
      </w:r>
      <w:r>
        <w:rPr>
          <w:rFonts w:hint="eastAsia" w:ascii="宋体" w:hAnsi="宋体" w:eastAsia="宋体" w:cs="宋体"/>
          <w:sz w:val="24"/>
          <w:szCs w:val="24"/>
          <w:highlight w:val="none"/>
        </w:rPr>
      </w:r>
      <w:r/>
    </w:p>
    <w:p>
      <w:pPr>
        <w:pStyle w:val="1033"/>
        <w:ind w:firstLine="480"/>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招标文件中标注“▲”号参数指标（如有）为主要技术参数要求，要求投标供应商提供技术参数中所要求的技术支持资料（技术支持资料种类以技术要求为准，如技术参数后无特殊要求则为明确说明该技术内容的公开发行的手册、彩页、官网截图、功能页面截图、</w:t>
      </w:r>
      <w:r>
        <w:rPr>
          <w:rFonts w:hint="eastAsia" w:ascii="宋体" w:hAnsi="宋体" w:eastAsia="宋体" w:cs="宋体"/>
          <w:sz w:val="24"/>
          <w:szCs w:val="24"/>
          <w:highlight w:val="none"/>
          <w:lang w:eastAsia="zh-CN"/>
        </w:rPr>
        <w:t xml:space="preserve">检测报告或白皮书等</w:t>
      </w:r>
      <w:r>
        <w:rPr>
          <w:rFonts w:hint="eastAsia" w:ascii="宋体" w:hAnsi="宋体" w:eastAsia="宋体" w:cs="宋体"/>
          <w:sz w:val="24"/>
          <w:szCs w:val="24"/>
          <w:highlight w:val="none"/>
        </w:rPr>
        <w:t xml:space="preserve">），否则将视为未响应▲号参数，作负偏离处理。</w:t>
      </w:r>
      <w:r>
        <w:rPr>
          <w:rFonts w:hint="eastAsia" w:ascii="宋体" w:hAnsi="宋体" w:eastAsia="宋体" w:cs="宋体"/>
          <w:sz w:val="24"/>
          <w:szCs w:val="24"/>
          <w:highlight w:val="none"/>
        </w:rPr>
      </w:r>
      <w:r/>
    </w:p>
    <w:p>
      <w:pPr>
        <w:pStyle w:val="1033"/>
        <w:ind w:firstLine="480"/>
        <w:spacing w:before="0" w:after="0" w:line="240" w:lineRule="auto"/>
        <w:rPr>
          <w:rFonts w:hint="eastAsia" w:ascii="宋体" w:hAnsi="宋体" w:cs="宋体"/>
          <w:color w:val="c00000"/>
          <w:sz w:val="28"/>
          <w:szCs w:val="28"/>
          <w:highlight w:val="none"/>
        </w:rPr>
      </w:pPr>
      <w:r>
        <w:rPr>
          <w:rFonts w:hint="eastAsia" w:ascii="宋体" w:hAnsi="宋体" w:eastAsia="宋体" w:cs="宋体"/>
          <w:sz w:val="24"/>
          <w:szCs w:val="24"/>
          <w:highlight w:val="none"/>
        </w:rPr>
        <w:t xml:space="preserve">（2）招标文件中标注“★”的参数指标（如有）为实质性要求，有一项负偏离，作无效投标处理。</w:t>
      </w:r>
      <w:r>
        <w:rPr>
          <w:rFonts w:hint="eastAsia" w:ascii="宋体" w:hAnsi="宋体" w:eastAsia="宋体" w:cs="宋体"/>
          <w:color w:val="c00000"/>
          <w:sz w:val="24"/>
          <w:szCs w:val="24"/>
          <w:highlight w:val="none"/>
        </w:rPr>
        <w:t xml:space="preserve">要求投标供应商必须在投标文件中提供技术支持资料（技术支持资料种类以技术要求为准，如技术参数后无特殊要求则为明确说明该技术内容的公开发行的手册、彩页、官网截图、功能页面截图、</w:t>
      </w:r>
      <w:r>
        <w:rPr>
          <w:rFonts w:hint="eastAsia" w:ascii="宋体" w:hAnsi="宋体" w:eastAsia="宋体" w:cs="宋体"/>
          <w:color w:val="c00000"/>
          <w:sz w:val="24"/>
          <w:szCs w:val="24"/>
          <w:highlight w:val="none"/>
          <w:lang w:eastAsia="zh-CN"/>
        </w:rPr>
        <w:t xml:space="preserve">检测报告或白皮书等</w:t>
      </w:r>
      <w:r>
        <w:rPr>
          <w:rFonts w:hint="eastAsia" w:ascii="宋体" w:hAnsi="宋体" w:eastAsia="宋体" w:cs="宋体"/>
          <w:color w:val="c00000"/>
          <w:sz w:val="24"/>
          <w:szCs w:val="24"/>
          <w:highlight w:val="none"/>
        </w:rPr>
        <w:t xml:space="preserve">），未提供技术支持资料的，或未对招标文件做出实质性响应，将导致投标文件被视为无效。</w:t>
      </w:r>
      <w:r>
        <w:rPr>
          <w:rFonts w:hint="eastAsia" w:ascii="宋体" w:hAnsi="宋体" w:cs="宋体"/>
          <w:color w:val="c00000"/>
          <w:sz w:val="28"/>
          <w:szCs w:val="28"/>
          <w:highlight w:val="none"/>
        </w:rPr>
      </w:r>
      <w:r/>
    </w:p>
    <w:p>
      <w:pPr>
        <w:pStyle w:val="1033"/>
        <w:keepLines w:val="0"/>
        <w:keepNext w:val="0"/>
        <w:pageBreakBefore w:val="0"/>
        <w:spacing w:before="0" w:after="0" w:line="360" w:lineRule="auto"/>
        <w:widowControl w:val="off"/>
        <w:rPr>
          <w:rFonts w:hint="eastAsia" w:ascii="宋体" w:hAnsi="宋体" w:eastAsia="宋体" w:cs="宋体"/>
          <w:b/>
          <w:bCs/>
          <w:sz w:val="24"/>
          <w:szCs w:val="24"/>
          <w:highlight w:val="none"/>
          <w:lang w:val="en-US" w:eastAsia="zh-CN"/>
        </w:rPr>
      </w:pPr>
      <w:r/>
      <w:bookmarkEnd w:id="116"/>
      <w:r/>
      <w:bookmarkStart w:id="118" w:name="_Toc32321"/>
      <w:r>
        <w:rPr>
          <w:rFonts w:hint="eastAsia" w:ascii="宋体" w:hAnsi="宋体" w:eastAsia="宋体" w:cs="宋体"/>
          <w:b/>
          <w:bCs/>
          <w:sz w:val="24"/>
          <w:szCs w:val="24"/>
          <w:highlight w:val="none"/>
          <w:lang w:val="en-US" w:eastAsia="zh-CN"/>
        </w:rPr>
      </w:r>
      <w:r/>
    </w:p>
    <w:p>
      <w:pPr>
        <w:pStyle w:val="1033"/>
        <w:keepLines w:val="0"/>
        <w:keepNext w:val="0"/>
        <w:pageBreakBefore w:val="0"/>
        <w:spacing w:before="0" w:after="0" w:line="240" w:lineRule="auto"/>
        <w:widowControl w:val="off"/>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（一）全站仪 (核心产品)</w:t>
      </w:r>
      <w:r>
        <w:rPr>
          <w:rFonts w:ascii="宋体" w:hAnsi="宋体" w:eastAsia="宋体" w:cs="宋体"/>
          <w:b/>
          <w:bCs/>
          <w:sz w:val="24"/>
          <w:szCs w:val="24"/>
          <w:highlight w:val="none"/>
          <w:lang w:val="en-US" w:eastAsia="zh-CN"/>
        </w:rPr>
      </w:r>
      <w:r/>
    </w:p>
    <w:p>
      <w:pPr>
        <w:pStyle w:val="1033"/>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、测角精度不低于2″</w:t>
      </w:r>
      <w:r>
        <w:rPr>
          <w:rFonts w:hint="eastAsia" w:ascii="宋体" w:hAnsi="宋体" w:eastAsia="宋体" w:cs="宋体"/>
          <w:sz w:val="24"/>
          <w:szCs w:val="24"/>
          <w:highlight w:val="none"/>
        </w:rPr>
        <w:t xml:space="preserve">，最小读数：1″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3"/>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、测距精度不低于±(2mm+2ppm·D)；</w:t>
      </w:r>
      <w:r>
        <w:rPr>
          <w:rFonts w:hint="eastAsia" w:ascii="宋体" w:hAnsi="宋体" w:eastAsia="宋体" w:cs="宋体"/>
          <w:sz w:val="24"/>
          <w:szCs w:val="24"/>
          <w:highlight w:val="none"/>
          <w:lang w:eastAsia="zh-CN"/>
        </w:rPr>
      </w:r>
      <w:r/>
    </w:p>
    <w:p>
      <w:pPr>
        <w:pStyle w:val="1033"/>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望远镜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分辨率：3″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成像：正像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物镜孔径：Φ50mm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放大倍率：30×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最短视距：1.0m</w:t>
      </w:r>
      <w:r>
        <w:rPr>
          <w:rFonts w:hint="eastAsia" w:ascii="宋体" w:hAnsi="宋体" w:eastAsia="宋体" w:cs="宋体"/>
          <w:sz w:val="24"/>
          <w:szCs w:val="24"/>
          <w:highlight w:val="none"/>
        </w:rPr>
      </w:r>
      <w:r/>
    </w:p>
    <w:p>
      <w:pPr>
        <w:pStyle w:val="1033"/>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视场角：1°3′</w:t>
      </w:r>
      <w:r>
        <w:rPr>
          <w:rFonts w:hint="eastAsia" w:ascii="宋体" w:hAnsi="宋体" w:eastAsia="宋体" w:cs="宋体"/>
          <w:sz w:val="24"/>
          <w:szCs w:val="24"/>
          <w:highlight w:val="none"/>
        </w:rPr>
      </w:r>
      <w:r/>
    </w:p>
    <w:p>
      <w:pPr>
        <w:pStyle w:val="1033"/>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、摩擦制动和无限位微动功能，双手同时操作，照准目标更快速； </w:t>
      </w:r>
      <w:r>
        <w:rPr>
          <w:rFonts w:hint="eastAsia" w:ascii="宋体" w:hAnsi="宋体" w:eastAsia="宋体" w:cs="宋体"/>
          <w:sz w:val="24"/>
          <w:szCs w:val="24"/>
          <w:highlight w:val="none"/>
        </w:rPr>
      </w:r>
      <w:r/>
    </w:p>
    <w:p>
      <w:pPr>
        <w:pStyle w:val="1033"/>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、快捷测量键，连续采点时眼睛无须离开望远镜； </w:t>
      </w:r>
      <w:r>
        <w:rPr>
          <w:rFonts w:hint="eastAsia" w:ascii="宋体" w:hAnsi="宋体" w:eastAsia="宋体" w:cs="宋体"/>
          <w:sz w:val="24"/>
          <w:szCs w:val="24"/>
          <w:highlight w:val="none"/>
        </w:rPr>
      </w:r>
      <w:r/>
    </w:p>
    <w:p>
      <w:pPr>
        <w:pStyle w:val="1033"/>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测距</w:t>
      </w:r>
      <w:r>
        <w:rPr>
          <w:rFonts w:hint="eastAsia" w:ascii="宋体" w:hAnsi="宋体" w:eastAsia="宋体" w:cs="宋体"/>
          <w:sz w:val="24"/>
          <w:szCs w:val="24"/>
          <w:highlight w:val="none"/>
          <w:lang w:val="en-US" w:eastAsia="zh-CN"/>
        </w:rPr>
        <w:t xml:space="preserve">量</w:t>
      </w:r>
      <w:r>
        <w:rPr>
          <w:rFonts w:hint="eastAsia" w:ascii="宋体" w:hAnsi="宋体" w:eastAsia="宋体" w:cs="宋体"/>
          <w:sz w:val="24"/>
          <w:szCs w:val="24"/>
          <w:highlight w:val="none"/>
          <w:lang w:eastAsia="zh-CN"/>
        </w:rPr>
        <w:t xml:space="preserve">程</w:t>
      </w:r>
      <w:r>
        <w:rPr>
          <w:rFonts w:hint="eastAsia" w:ascii="宋体" w:hAnsi="宋体" w:eastAsia="宋体" w:cs="宋体"/>
          <w:sz w:val="24"/>
          <w:szCs w:val="24"/>
          <w:highlight w:val="none"/>
        </w:rPr>
        <w:t xml:space="preserve">：1000m/免棱镜； 1200m/反光片； 5000m/单棱镜</w:t>
      </w:r>
      <w:r>
        <w:rPr>
          <w:rFonts w:hint="eastAsia" w:ascii="宋体" w:hAnsi="宋体" w:eastAsia="宋体" w:cs="宋体"/>
          <w:sz w:val="24"/>
          <w:szCs w:val="24"/>
          <w:highlight w:val="none"/>
        </w:rPr>
      </w:r>
      <w:r/>
    </w:p>
    <w:p>
      <w:pPr>
        <w:pStyle w:val="1033"/>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、补偿器：</w:t>
      </w:r>
      <w:r>
        <w:rPr>
          <w:rFonts w:hint="eastAsia" w:ascii="宋体" w:hAnsi="宋体" w:eastAsia="宋体" w:cs="宋体"/>
          <w:sz w:val="24"/>
          <w:szCs w:val="24"/>
          <w:highlight w:val="none"/>
          <w:lang w:val="en-US" w:eastAsia="zh-CN"/>
        </w:rPr>
        <w:t xml:space="preserve">双轴补偿，</w:t>
      </w:r>
      <w:r>
        <w:rPr>
          <w:rFonts w:hint="eastAsia" w:ascii="宋体" w:hAnsi="宋体" w:eastAsia="宋体" w:cs="宋体"/>
          <w:sz w:val="24"/>
          <w:szCs w:val="24"/>
          <w:highlight w:val="none"/>
        </w:rPr>
        <w:t xml:space="preserve">补偿范围：±3′；</w:t>
      </w:r>
      <w:r>
        <w:rPr>
          <w:rFonts w:hint="eastAsia" w:ascii="宋体" w:hAnsi="宋体" w:eastAsia="宋体" w:cs="宋体"/>
          <w:sz w:val="24"/>
          <w:szCs w:val="24"/>
          <w:highlight w:val="none"/>
        </w:rPr>
      </w:r>
      <w:r/>
    </w:p>
    <w:p>
      <w:pPr>
        <w:pStyle w:val="1033"/>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具有操作</w:t>
      </w:r>
      <w:r>
        <w:rPr>
          <w:rFonts w:hint="eastAsia" w:ascii="宋体" w:hAnsi="宋体" w:eastAsia="宋体" w:cs="宋体"/>
          <w:sz w:val="24"/>
          <w:szCs w:val="24"/>
          <w:highlight w:val="none"/>
        </w:rPr>
        <w:t xml:space="preserve">系统，1.2GHZ主频的32位高速ARM处理器</w:t>
      </w:r>
      <w:r>
        <w:rPr>
          <w:rFonts w:hint="eastAsia" w:ascii="宋体" w:hAnsi="宋体" w:eastAsia="宋体" w:cs="宋体"/>
          <w:sz w:val="24"/>
          <w:szCs w:val="24"/>
          <w:highlight w:val="none"/>
        </w:rPr>
      </w:r>
      <w:r/>
    </w:p>
    <w:p>
      <w:pPr>
        <w:pStyle w:val="1033"/>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、3.5英寸屏幕 ，320×240（QVGA）彩色TFT触摸屏； </w:t>
      </w:r>
      <w:r>
        <w:rPr>
          <w:rFonts w:hint="eastAsia" w:ascii="宋体" w:hAnsi="宋体" w:eastAsia="宋体" w:cs="宋体"/>
          <w:sz w:val="24"/>
          <w:szCs w:val="24"/>
          <w:highlight w:val="none"/>
        </w:rPr>
      </w:r>
      <w:r/>
    </w:p>
    <w:p>
      <w:pPr>
        <w:pStyle w:val="1033"/>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、内置高精度一体式温度气压传感器，使用更方便；</w:t>
      </w:r>
      <w:r>
        <w:rPr>
          <w:rFonts w:hint="eastAsia" w:ascii="宋体" w:hAnsi="宋体" w:eastAsia="宋体" w:cs="宋体"/>
          <w:sz w:val="24"/>
          <w:szCs w:val="24"/>
          <w:highlight w:val="none"/>
        </w:rPr>
      </w:r>
      <w:r/>
    </w:p>
    <w:p>
      <w:pPr>
        <w:pStyle w:val="1033"/>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、大容量存储：配备了4G存储，海量存储空间；</w:t>
      </w:r>
      <w:r>
        <w:rPr>
          <w:rFonts w:hint="eastAsia" w:ascii="宋体" w:hAnsi="宋体" w:eastAsia="宋体" w:cs="宋体"/>
          <w:sz w:val="24"/>
          <w:szCs w:val="24"/>
          <w:highlight w:val="none"/>
        </w:rPr>
      </w:r>
      <w:r/>
    </w:p>
    <w:p>
      <w:pPr>
        <w:pStyle w:val="1033"/>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、电源：工作电压：7.4V 3500mAh（可充锂离子电池）；工作时间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连续测距/角度测量：≥10小时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3"/>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、工作环境温度范围：-20℃～+50℃；</w:t>
      </w:r>
      <w:r>
        <w:rPr>
          <w:rFonts w:hint="eastAsia" w:ascii="宋体" w:hAnsi="宋体" w:eastAsia="宋体" w:cs="宋体"/>
          <w:sz w:val="24"/>
          <w:szCs w:val="24"/>
          <w:highlight w:val="none"/>
        </w:rPr>
      </w:r>
      <w:r/>
    </w:p>
    <w:p>
      <w:pPr>
        <w:pStyle w:val="1033"/>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、通讯： RS-232C/USB/Bluetooth /SD卡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3"/>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：键盘：全数字智能背光键盘</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3"/>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17、</w:t>
      </w:r>
      <w:r>
        <w:rPr>
          <w:rFonts w:hint="eastAsia" w:ascii="宋体" w:hAnsi="宋体" w:eastAsia="宋体" w:cs="宋体"/>
          <w:sz w:val="24"/>
          <w:szCs w:val="24"/>
          <w:highlight w:val="none"/>
        </w:rPr>
        <w:t xml:space="preserve"> 防水、防尘：IP55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3"/>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lang w:val="en-US" w:eastAsia="zh-CN"/>
        </w:rPr>
        <w:t xml:space="preserve">经纬仪</w:t>
      </w:r>
      <w:r>
        <w:rPr>
          <w:rFonts w:hint="eastAsia" w:ascii="宋体" w:hAnsi="宋体" w:eastAsia="宋体" w:cs="宋体"/>
          <w:b/>
          <w:bCs/>
          <w:sz w:val="24"/>
          <w:szCs w:val="24"/>
          <w:highlight w:val="none"/>
          <w:lang w:val="en-US" w:eastAsia="zh-CN"/>
        </w:rPr>
      </w:r>
      <w:r/>
    </w:p>
    <w:p>
      <w:pPr>
        <w:pStyle w:val="1033"/>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测角精度不低于2″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33"/>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望远镜：正像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放大倍数≥30×</w:t>
      </w:r>
      <w:r>
        <w:rPr>
          <w:rFonts w:hint="eastAsia" w:ascii="宋体" w:hAnsi="宋体" w:eastAsia="宋体" w:cs="宋体"/>
          <w:color w:val="000000"/>
          <w:sz w:val="24"/>
          <w:szCs w:val="24"/>
          <w:highlight w:val="none"/>
          <w:lang w:val="en-US" w:eastAsia="zh-CN"/>
        </w:rPr>
        <w:t xml:space="preserve">，有效孔径：45mm；</w:t>
      </w:r>
      <w:r>
        <w:rPr>
          <w:rFonts w:hint="eastAsia" w:ascii="宋体" w:hAnsi="宋体" w:eastAsia="宋体" w:cs="宋体"/>
          <w:color w:val="000000"/>
          <w:sz w:val="24"/>
          <w:szCs w:val="24"/>
          <w:highlight w:val="none"/>
          <w:lang w:val="en-US" w:eastAsia="zh-CN"/>
        </w:rPr>
      </w:r>
      <w:r/>
    </w:p>
    <w:p>
      <w:pPr>
        <w:pStyle w:val="1033"/>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激光管类型：激光二极管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3"/>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激光波长：635nm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3"/>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有效射程(白天)：</w:t>
      </w:r>
      <w:r>
        <w:rPr>
          <w:rFonts w:hint="eastAsia" w:ascii="宋体" w:hAnsi="宋体" w:eastAsia="宋体" w:cs="宋体"/>
          <w:color w:val="000000"/>
          <w:sz w:val="24"/>
          <w:szCs w:val="24"/>
          <w:highlight w:val="none"/>
          <w:lang w:val="en-US" w:eastAsia="zh-CN"/>
        </w:rPr>
        <w:t xml:space="preserve">1000</w:t>
      </w:r>
      <w:r>
        <w:rPr>
          <w:rFonts w:hint="eastAsia" w:ascii="宋体" w:hAnsi="宋体" w:eastAsia="宋体" w:cs="宋体"/>
          <w:color w:val="000000"/>
          <w:sz w:val="24"/>
          <w:szCs w:val="24"/>
          <w:highlight w:val="none"/>
        </w:rPr>
        <w:t xml:space="preserve">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3"/>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最短视距</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3"/>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光斑大小：5mm/100m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3"/>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用波带片时十字线宽：1mm/30m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3"/>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激光束聚集时光斑中心：不大于5″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3"/>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▲10、激光指向和望远镜目视观察同时进行，通过望远镜目视观察,在视场中可看到清晰的激光束光斑；</w:t>
      </w:r>
      <w:r>
        <w:rPr>
          <w:rFonts w:hint="eastAsia" w:ascii="宋体" w:hAnsi="宋体" w:eastAsia="宋体" w:cs="宋体"/>
          <w:color w:val="000000"/>
          <w:sz w:val="24"/>
          <w:szCs w:val="24"/>
          <w:highlight w:val="none"/>
          <w:lang w:val="en-US" w:eastAsia="zh-CN"/>
        </w:rPr>
      </w:r>
      <w:r/>
    </w:p>
    <w:p>
      <w:pPr>
        <w:pStyle w:val="1033"/>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电源：</w:t>
      </w:r>
      <w:r>
        <w:rPr>
          <w:rFonts w:hint="eastAsia" w:ascii="宋体" w:hAnsi="宋体" w:eastAsia="宋体" w:cs="宋体"/>
          <w:color w:val="000000"/>
          <w:sz w:val="24"/>
          <w:szCs w:val="24"/>
          <w:highlight w:val="none"/>
          <w:lang w:val="en-US" w:eastAsia="zh-CN"/>
        </w:rPr>
        <w:t xml:space="preserve">6V镍氢电池（标配两块电池）</w:t>
      </w:r>
      <w:r>
        <w:rPr>
          <w:rFonts w:hint="eastAsia" w:ascii="宋体" w:hAnsi="宋体" w:eastAsia="宋体" w:cs="宋体"/>
          <w:color w:val="000000"/>
          <w:sz w:val="24"/>
          <w:szCs w:val="24"/>
          <w:highlight w:val="none"/>
          <w:lang w:val="en-US" w:eastAsia="zh-CN"/>
        </w:rPr>
      </w:r>
      <w:r/>
    </w:p>
    <w:p>
      <w:pPr>
        <w:pStyle w:val="1033"/>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12、显示屏：双面</w:t>
      </w:r>
      <w:r>
        <w:rPr>
          <w:rFonts w:hint="eastAsia" w:ascii="宋体" w:hAnsi="宋体" w:eastAsia="宋体" w:cs="宋体"/>
          <w:color w:val="000000"/>
          <w:sz w:val="24"/>
          <w:szCs w:val="24"/>
          <w:highlight w:val="none"/>
          <w:lang w:val="en-US" w:eastAsia="zh-CN"/>
        </w:rPr>
      </w:r>
      <w:r/>
    </w:p>
    <w:p>
      <w:pPr>
        <w:pStyle w:val="1033"/>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▲13、补偿器：自动垂直补偿，</w:t>
      </w:r>
      <w:r>
        <w:rPr>
          <w:rFonts w:hint="eastAsia" w:ascii="宋体" w:hAnsi="宋体" w:eastAsia="宋体" w:cs="宋体"/>
          <w:color w:val="000000"/>
          <w:sz w:val="24"/>
          <w:szCs w:val="24"/>
          <w:highlight w:val="none"/>
        </w:rPr>
        <w:t xml:space="preserve">工作范围：±3′</w:t>
      </w:r>
      <w:r>
        <w:rPr>
          <w:rFonts w:hint="eastAsia" w:ascii="宋体" w:hAnsi="宋体" w:eastAsia="宋体" w:cs="宋体"/>
          <w:color w:val="000000"/>
          <w:sz w:val="24"/>
          <w:szCs w:val="24"/>
          <w:highlight w:val="none"/>
          <w:lang w:val="en-US" w:eastAsia="zh-CN"/>
        </w:rPr>
      </w:r>
      <w:r/>
    </w:p>
    <w:p>
      <w:pPr>
        <w:pStyle w:val="1033"/>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14、数据接口：RS-232C</w:t>
      </w:r>
      <w:r>
        <w:rPr>
          <w:rFonts w:hint="eastAsia" w:ascii="宋体" w:hAnsi="宋体" w:eastAsia="宋体" w:cs="宋体"/>
          <w:color w:val="000000"/>
          <w:sz w:val="24"/>
          <w:szCs w:val="24"/>
          <w:highlight w:val="none"/>
          <w:lang w:val="en-US" w:eastAsia="zh-CN"/>
        </w:rPr>
      </w:r>
      <w:r/>
    </w:p>
    <w:p>
      <w:pPr>
        <w:pStyle w:val="1033"/>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工作温度：</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3"/>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lang w:val="en-US" w:eastAsia="zh-CN"/>
        </w:rPr>
        <w:t xml:space="preserve">水准仪</w:t>
      </w:r>
      <w:r>
        <w:rPr>
          <w:rFonts w:hint="eastAsia" w:ascii="宋体" w:hAnsi="宋体" w:eastAsia="宋体" w:cs="宋体"/>
          <w:b/>
          <w:bCs/>
          <w:sz w:val="24"/>
          <w:szCs w:val="24"/>
          <w:highlight w:val="none"/>
          <w:lang w:val="en-US" w:eastAsia="zh-CN"/>
        </w:rPr>
      </w:r>
      <w:r/>
    </w:p>
    <w:p>
      <w:pPr>
        <w:pStyle w:val="1033"/>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1、测量精度不低于±0.5″；</w:t>
      </w:r>
      <w:r>
        <w:rPr>
          <w:rFonts w:hint="eastAsia" w:ascii="宋体" w:hAnsi="宋体" w:eastAsia="宋体" w:cs="宋体"/>
          <w:color w:val="000000"/>
          <w:sz w:val="24"/>
          <w:szCs w:val="24"/>
          <w:highlight w:val="none"/>
          <w:lang w:val="en-US" w:eastAsia="zh-CN"/>
        </w:rPr>
      </w:r>
      <w:r/>
    </w:p>
    <w:p>
      <w:pPr>
        <w:pStyle w:val="1033"/>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2、放大倍数 ≥32×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33"/>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每公里往返测量高差标准偏差≤0.5mm(铟钢标尺)</w:t>
      </w:r>
      <w:r>
        <w:rPr>
          <w:rFonts w:hint="eastAsia" w:ascii="宋体" w:hAnsi="宋体" w:eastAsia="宋体" w:cs="宋体"/>
          <w:color w:val="000000"/>
          <w:sz w:val="24"/>
          <w:szCs w:val="24"/>
          <w:highlight w:val="none"/>
        </w:rPr>
      </w:r>
      <w:r/>
    </w:p>
    <w:p>
      <w:pPr>
        <w:pStyle w:val="1033"/>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4、与平板测微器一体化设计</w:t>
      </w:r>
      <w:r>
        <w:rPr>
          <w:rFonts w:hint="eastAsia" w:ascii="宋体" w:hAnsi="宋体" w:eastAsia="宋体" w:cs="宋体"/>
          <w:color w:val="000000"/>
          <w:sz w:val="24"/>
          <w:szCs w:val="24"/>
          <w:highlight w:val="none"/>
          <w:lang w:val="en-US" w:eastAsia="zh-CN"/>
        </w:rPr>
      </w:r>
      <w:r/>
    </w:p>
    <w:p>
      <w:pPr>
        <w:pStyle w:val="1033"/>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望远镜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正像</w:t>
      </w:r>
      <w:r>
        <w:rPr>
          <w:rFonts w:hint="eastAsia" w:ascii="宋体" w:hAnsi="宋体" w:eastAsia="宋体" w:cs="宋体"/>
          <w:color w:val="000000"/>
          <w:sz w:val="24"/>
          <w:szCs w:val="24"/>
          <w:highlight w:val="none"/>
        </w:rPr>
      </w:r>
      <w:r/>
    </w:p>
    <w:p>
      <w:pPr>
        <w:pStyle w:val="1033"/>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物镜口径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45mm</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033"/>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最短视距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1.6m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3"/>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8、补偿器：设备搭载空气阻尼补偿器，各项性能参数、技术指标均不低于徕卡同类空气阻尼补偿器水准，可抵御外界震动干扰，稳定设备运行状态，保障测量作业平稳可靠；</w:t>
      </w:r>
      <w:r>
        <w:rPr>
          <w:rFonts w:hint="eastAsia" w:ascii="宋体" w:hAnsi="宋体" w:eastAsia="宋体" w:cs="宋体"/>
          <w:color w:val="000000"/>
          <w:sz w:val="24"/>
          <w:szCs w:val="24"/>
          <w:highlight w:val="none"/>
          <w:lang w:val="en-US" w:eastAsia="zh-CN"/>
        </w:rPr>
      </w:r>
      <w:r/>
    </w:p>
    <w:p>
      <w:pPr>
        <w:pStyle w:val="1033"/>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补偿器工作范围 ±15′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033"/>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安平精度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±0.3″</w:t>
      </w:r>
      <w:r>
        <w:rPr>
          <w:rFonts w:hint="eastAsia" w:ascii="宋体" w:hAnsi="宋体" w:eastAsia="宋体" w:cs="宋体"/>
          <w:color w:val="000000"/>
          <w:sz w:val="24"/>
          <w:szCs w:val="24"/>
          <w:highlight w:val="none"/>
        </w:rPr>
      </w:r>
      <w:r/>
    </w:p>
    <w:p>
      <w:pPr>
        <w:pStyle w:val="1033"/>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圆水准器灵敏度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10′/2mm</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033"/>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测微范围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10mm</w:t>
      </w:r>
      <w:r>
        <w:rPr>
          <w:rFonts w:hint="eastAsia" w:ascii="宋体" w:hAnsi="宋体" w:eastAsia="宋体" w:cs="宋体"/>
          <w:color w:val="000000"/>
          <w:sz w:val="24"/>
          <w:szCs w:val="24"/>
          <w:highlight w:val="none"/>
        </w:rPr>
      </w:r>
      <w:r/>
    </w:p>
    <w:p>
      <w:pPr>
        <w:pStyle w:val="1033"/>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测微尺格值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0.1mm</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033"/>
        <w:jc w:val="left"/>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可估读值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0.01mm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sz w:val="24"/>
          <w:szCs w:val="24"/>
          <w:highlight w:val="none"/>
          <w:lang w:val="en-US" w:eastAsia="zh-CN"/>
        </w:rPr>
      </w:r>
      <w:r/>
    </w:p>
    <w:p>
      <w:pPr>
        <w:pStyle w:val="1033"/>
        <w:spacing w:after="5"/>
        <w:rPr>
          <w:rFonts w:hint="eastAsia" w:ascii="宋体" w:hAnsi="宋体" w:eastAsia="宋体" w:cs="宋体"/>
          <w:b/>
          <w:sz w:val="24"/>
          <w:szCs w:val="24"/>
          <w:highlight w:val="none"/>
        </w:rPr>
        <w:outlineLvl w:val="1"/>
      </w:pPr>
      <w:r/>
      <w:bookmarkStart w:id="119" w:name="_Toc4324"/>
      <w:r>
        <w:rPr>
          <w:rFonts w:hint="eastAsia" w:ascii="宋体" w:hAnsi="宋体" w:eastAsia="宋体" w:cs="宋体"/>
          <w:b/>
          <w:sz w:val="24"/>
          <w:szCs w:val="24"/>
          <w:highlight w:val="none"/>
        </w:rPr>
        <w:t xml:space="preserve">三、 商务要求：</w:t>
      </w:r>
      <w:bookmarkEnd w:id="117"/>
      <w:r/>
      <w:bookmarkEnd w:id="118"/>
      <w:r/>
      <w:bookmarkEnd w:id="119"/>
      <w:r>
        <w:rPr>
          <w:rFonts w:hint="eastAsia" w:ascii="宋体" w:hAnsi="宋体" w:eastAsia="宋体" w:cs="宋体"/>
          <w:b/>
          <w:sz w:val="24"/>
          <w:szCs w:val="24"/>
          <w:highlight w:val="none"/>
        </w:rPr>
      </w:r>
      <w:r/>
    </w:p>
    <w:p>
      <w:pPr>
        <w:pStyle w:val="1033"/>
        <w:ind w:firstLine="422"/>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（一）服务要求：</w:t>
      </w:r>
      <w:r>
        <w:rPr>
          <w:rFonts w:hint="eastAsia" w:ascii="宋体" w:hAnsi="宋体" w:eastAsia="宋体" w:cs="宋体"/>
          <w:b/>
          <w:sz w:val="24"/>
          <w:szCs w:val="24"/>
          <w:highlight w:val="none"/>
        </w:rPr>
      </w:r>
      <w:r/>
    </w:p>
    <w:p>
      <w:pPr>
        <w:pStyle w:val="1033"/>
        <w:ind w:firstLine="482"/>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1.交货期及交货地点：</w:t>
      </w:r>
      <w:r>
        <w:rPr>
          <w:rFonts w:hint="eastAsia" w:ascii="宋体" w:hAnsi="宋体" w:eastAsia="宋体" w:cs="宋体"/>
          <w:b/>
          <w:bCs/>
          <w:sz w:val="24"/>
          <w:szCs w:val="24"/>
          <w:highlight w:val="none"/>
        </w:rPr>
      </w:r>
      <w:r/>
    </w:p>
    <w:p>
      <w:pPr>
        <w:pStyle w:val="1033"/>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（1）交货时间：合同签订后90日历天内供齐所有货物，并完成安装、调试、服务及初步验收。</w:t>
      </w:r>
      <w:r>
        <w:rPr>
          <w:rFonts w:hint="eastAsia" w:ascii="宋体" w:hAnsi="宋体" w:eastAsia="宋体" w:cs="宋体"/>
          <w:sz w:val="24"/>
          <w:szCs w:val="24"/>
          <w:highlight w:val="none"/>
        </w:rPr>
      </w:r>
      <w:r/>
    </w:p>
    <w:p>
      <w:pPr>
        <w:pStyle w:val="1033"/>
        <w:ind w:firstLine="480"/>
        <w:spacing w:line="24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（2）交货地点：</w:t>
      </w:r>
      <w:r>
        <w:rPr>
          <w:rFonts w:hint="eastAsia" w:ascii="宋体" w:hAnsi="宋体" w:eastAsia="宋体" w:cs="宋体"/>
          <w:bCs/>
          <w:sz w:val="24"/>
          <w:szCs w:val="24"/>
          <w:highlight w:val="none"/>
        </w:rPr>
        <w:t xml:space="preserve">江苏省特种设备安全监督检验研究院（江苏省南京市鼓楼区草场门大街107号龙江大厦）或指定地点。</w:t>
      </w:r>
      <w:r>
        <w:rPr>
          <w:rFonts w:hint="eastAsia" w:ascii="宋体" w:hAnsi="宋体" w:eastAsia="宋体" w:cs="宋体"/>
          <w:bCs/>
          <w:sz w:val="24"/>
          <w:szCs w:val="24"/>
          <w:highlight w:val="none"/>
        </w:rPr>
      </w:r>
      <w:r/>
    </w:p>
    <w:p>
      <w:pPr>
        <w:pStyle w:val="1033"/>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设备包装要求：中标供应商必须按照采购人要求在指定的时间内完成采购人订购货物的制作（或订货），并在采购人规定时间内将货物运送到指定地点。供应商负责设备的包装，包装箱必须坚固，并做到防潮、密封，防水、防火、防锈和防震，并防止因运输而发生损坏，适于海、陆、空运输。包装材料必须符合中国进口动植物检验检疫的有关规定。</w:t>
      </w:r>
      <w:r>
        <w:rPr>
          <w:rFonts w:hint="eastAsia" w:ascii="宋体" w:hAnsi="宋体" w:eastAsia="宋体" w:cs="宋体"/>
          <w:bCs/>
          <w:sz w:val="24"/>
          <w:szCs w:val="24"/>
          <w:highlight w:val="none"/>
        </w:rPr>
      </w:r>
      <w:r/>
    </w:p>
    <w:p>
      <w:pPr>
        <w:pStyle w:val="1033"/>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（4）安装、调试和验收</w:t>
      </w:r>
      <w:r>
        <w:rPr>
          <w:rFonts w:hint="eastAsia" w:ascii="宋体" w:hAnsi="宋体" w:eastAsia="宋体" w:cs="宋体"/>
          <w:bCs/>
          <w:sz w:val="24"/>
          <w:szCs w:val="24"/>
          <w:highlight w:val="none"/>
        </w:rPr>
      </w:r>
      <w:r/>
    </w:p>
    <w:p>
      <w:pPr>
        <w:pStyle w:val="1033"/>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仪器到达最终买方现场并且实验室条件合格后，在接到买方通知后，卖方需安排有经验的工程技术人员到买方现场指导安装、调试仪器，按验收指标逐项测试，直至达到验收要求。如因产品质量导致产品无法正常使用，由中标供应商无偿更换。</w:t>
      </w:r>
      <w:r>
        <w:rPr>
          <w:rFonts w:hint="eastAsia" w:ascii="宋体" w:hAnsi="宋体" w:eastAsia="宋体" w:cs="宋体"/>
          <w:bCs/>
          <w:sz w:val="24"/>
          <w:szCs w:val="24"/>
          <w:highlight w:val="none"/>
        </w:rPr>
      </w:r>
      <w:r/>
    </w:p>
    <w:p>
      <w:pPr>
        <w:pStyle w:val="1033"/>
        <w:ind w:firstLine="482"/>
        <w:spacing w:line="240" w:lineRule="auto"/>
        <w:rPr>
          <w:rFonts w:hint="eastAsia" w:ascii="宋体" w:hAnsi="宋体" w:eastAsia="宋体" w:cs="宋体"/>
          <w:b/>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付款方式：</w:t>
      </w:r>
      <w:r>
        <w:rPr>
          <w:rFonts w:hint="eastAsia" w:ascii="宋体" w:hAnsi="宋体" w:eastAsia="宋体" w:cs="宋体"/>
          <w:b/>
          <w:sz w:val="24"/>
          <w:szCs w:val="24"/>
          <w:highlight w:val="none"/>
        </w:rPr>
      </w:r>
      <w:r/>
    </w:p>
    <w:p>
      <w:pPr>
        <w:pStyle w:val="1033"/>
        <w:ind w:firstLine="482"/>
        <w:spacing w:line="24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t xml:space="preserve">合同签订生效后，</w:t>
      </w:r>
      <w:r>
        <w:rPr>
          <w:rFonts w:hint="eastAsia" w:ascii="宋体" w:hAnsi="宋体" w:eastAsia="宋体" w:cs="宋体"/>
          <w:bCs/>
          <w:color w:val="ff0000"/>
          <w:sz w:val="24"/>
          <w:szCs w:val="24"/>
          <w:highlight w:val="none"/>
          <w:lang w:val="en-US" w:eastAsia="zh-CN"/>
        </w:rPr>
        <w:t xml:space="preserve">采购人</w:t>
      </w:r>
      <w:r>
        <w:rPr>
          <w:rFonts w:hint="eastAsia" w:ascii="宋体" w:hAnsi="宋体" w:eastAsia="宋体" w:cs="宋体"/>
          <w:bCs/>
          <w:color w:val="ff0000"/>
          <w:sz w:val="24"/>
          <w:szCs w:val="24"/>
          <w:highlight w:val="none"/>
        </w:rPr>
        <w:t xml:space="preserve">向</w:t>
      </w:r>
      <w:r>
        <w:rPr>
          <w:rFonts w:hint="eastAsia" w:ascii="宋体" w:hAnsi="宋体" w:eastAsia="宋体" w:cs="宋体"/>
          <w:bCs/>
          <w:color w:val="ff0000"/>
          <w:sz w:val="24"/>
          <w:szCs w:val="24"/>
          <w:highlight w:val="none"/>
          <w:lang w:val="en-US" w:eastAsia="zh-CN"/>
        </w:rPr>
        <w:t xml:space="preserve">供应商</w:t>
      </w:r>
      <w:r>
        <w:rPr>
          <w:rFonts w:hint="eastAsia" w:ascii="宋体" w:hAnsi="宋体" w:eastAsia="宋体" w:cs="宋体"/>
          <w:bCs/>
          <w:color w:val="ff0000"/>
          <w:sz w:val="24"/>
          <w:szCs w:val="24"/>
          <w:highlight w:val="none"/>
        </w:rPr>
        <w:t xml:space="preserve">支付合同总价的50%；</w:t>
      </w:r>
      <w:r>
        <w:rPr>
          <w:rFonts w:hint="eastAsia" w:ascii="宋体" w:hAnsi="宋体" w:eastAsia="宋体" w:cs="宋体"/>
          <w:bCs/>
          <w:color w:val="ff0000"/>
          <w:sz w:val="24"/>
          <w:szCs w:val="24"/>
          <w:highlight w:val="none"/>
          <w:lang w:val="en-US" w:eastAsia="zh-CN"/>
        </w:rPr>
        <w:t xml:space="preserve">供应商</w:t>
      </w:r>
      <w:r>
        <w:rPr>
          <w:rFonts w:hint="eastAsia" w:ascii="宋体" w:hAnsi="宋体" w:eastAsia="宋体" w:cs="宋体"/>
          <w:bCs/>
          <w:color w:val="ff0000"/>
          <w:sz w:val="24"/>
          <w:szCs w:val="24"/>
          <w:highlight w:val="none"/>
        </w:rPr>
        <w:t xml:space="preserve">在按照合同规定的期限内将设备、材料全部运抵交货地点，并安装调试结束，验收合格后，</w:t>
      </w:r>
      <w:r>
        <w:rPr>
          <w:rFonts w:hint="eastAsia" w:ascii="宋体" w:hAnsi="宋体" w:eastAsia="宋体" w:cs="宋体"/>
          <w:bCs/>
          <w:color w:val="ff0000"/>
          <w:sz w:val="24"/>
          <w:szCs w:val="24"/>
          <w:highlight w:val="none"/>
          <w:lang w:val="en-US" w:eastAsia="zh-CN"/>
        </w:rPr>
        <w:t xml:space="preserve">采购人</w:t>
      </w:r>
      <w:r>
        <w:rPr>
          <w:rFonts w:hint="eastAsia" w:ascii="宋体" w:hAnsi="宋体" w:eastAsia="宋体" w:cs="宋体"/>
          <w:bCs/>
          <w:color w:val="ff0000"/>
          <w:sz w:val="24"/>
          <w:szCs w:val="24"/>
          <w:highlight w:val="none"/>
        </w:rPr>
        <w:t xml:space="preserve">收到</w:t>
      </w:r>
      <w:r>
        <w:rPr>
          <w:rFonts w:hint="eastAsia" w:ascii="宋体" w:hAnsi="宋体" w:eastAsia="宋体" w:cs="宋体"/>
          <w:bCs/>
          <w:color w:val="ff0000"/>
          <w:sz w:val="24"/>
          <w:szCs w:val="24"/>
          <w:highlight w:val="none"/>
          <w:lang w:val="en-US" w:eastAsia="zh-CN"/>
        </w:rPr>
        <w:t xml:space="preserve">供应商</w:t>
      </w:r>
      <w:r>
        <w:rPr>
          <w:rFonts w:hint="eastAsia" w:ascii="宋体" w:hAnsi="宋体" w:eastAsia="宋体" w:cs="宋体"/>
          <w:bCs/>
          <w:color w:val="ff0000"/>
          <w:sz w:val="24"/>
          <w:szCs w:val="24"/>
          <w:highlight w:val="none"/>
        </w:rPr>
        <w:t xml:space="preserve">提供的合同总价10%的履约保函后向</w:t>
      </w:r>
      <w:r>
        <w:rPr>
          <w:rFonts w:hint="eastAsia" w:ascii="宋体" w:hAnsi="宋体" w:eastAsia="宋体" w:cs="宋体"/>
          <w:bCs/>
          <w:color w:val="ff0000"/>
          <w:sz w:val="24"/>
          <w:szCs w:val="24"/>
          <w:highlight w:val="none"/>
          <w:lang w:val="en-US" w:eastAsia="zh-CN"/>
        </w:rPr>
        <w:t xml:space="preserve">供应商</w:t>
      </w:r>
      <w:r>
        <w:rPr>
          <w:rFonts w:hint="eastAsia" w:ascii="宋体" w:hAnsi="宋体" w:eastAsia="宋体" w:cs="宋体"/>
          <w:bCs/>
          <w:color w:val="ff0000"/>
          <w:sz w:val="24"/>
          <w:szCs w:val="24"/>
          <w:highlight w:val="none"/>
        </w:rPr>
        <w:t xml:space="preserve">支付合同总价的50%；在设备通过</w:t>
      </w:r>
      <w:r>
        <w:rPr>
          <w:rFonts w:hint="eastAsia" w:ascii="宋体" w:hAnsi="宋体" w:eastAsia="宋体" w:cs="宋体"/>
          <w:bCs/>
          <w:color w:val="ff0000"/>
          <w:sz w:val="24"/>
          <w:szCs w:val="24"/>
          <w:highlight w:val="none"/>
          <w:lang w:val="en-US" w:eastAsia="zh-CN"/>
        </w:rPr>
        <w:t xml:space="preserve">采购人</w:t>
      </w:r>
      <w:r>
        <w:rPr>
          <w:rFonts w:hint="eastAsia" w:ascii="宋体" w:hAnsi="宋体" w:eastAsia="宋体" w:cs="宋体"/>
          <w:bCs/>
          <w:color w:val="ff0000"/>
          <w:sz w:val="24"/>
          <w:szCs w:val="24"/>
          <w:highlight w:val="none"/>
        </w:rPr>
        <w:t xml:space="preserve">验收合格，无质量问题后12个月内</w:t>
      </w:r>
      <w:r>
        <w:rPr>
          <w:rFonts w:hint="eastAsia" w:ascii="宋体" w:hAnsi="宋体" w:eastAsia="宋体" w:cs="宋体"/>
          <w:bCs/>
          <w:color w:val="ff0000"/>
          <w:sz w:val="24"/>
          <w:szCs w:val="24"/>
          <w:highlight w:val="none"/>
          <w:lang w:eastAsia="zh-CN"/>
        </w:rPr>
        <w:t xml:space="preserve">，</w:t>
      </w:r>
      <w:r>
        <w:rPr>
          <w:rFonts w:hint="eastAsia" w:ascii="宋体" w:hAnsi="宋体" w:eastAsia="宋体" w:cs="宋体"/>
          <w:bCs/>
          <w:color w:val="ff0000"/>
          <w:sz w:val="24"/>
          <w:szCs w:val="24"/>
          <w:highlight w:val="none"/>
          <w:lang w:val="en-US" w:eastAsia="zh-CN"/>
        </w:rPr>
        <w:t xml:space="preserve">采购人</w:t>
      </w:r>
      <w:r>
        <w:rPr>
          <w:rFonts w:hint="eastAsia" w:ascii="宋体" w:hAnsi="宋体" w:eastAsia="宋体" w:cs="宋体"/>
          <w:bCs/>
          <w:color w:val="ff0000"/>
          <w:sz w:val="24"/>
          <w:szCs w:val="24"/>
          <w:highlight w:val="none"/>
        </w:rPr>
        <w:t xml:space="preserve">将无息退还</w:t>
      </w:r>
      <w:r>
        <w:rPr>
          <w:rFonts w:hint="eastAsia" w:ascii="宋体" w:hAnsi="宋体" w:eastAsia="宋体" w:cs="宋体"/>
          <w:bCs/>
          <w:color w:val="ff0000"/>
          <w:sz w:val="24"/>
          <w:szCs w:val="24"/>
          <w:highlight w:val="none"/>
          <w:lang w:val="en-US" w:eastAsia="zh-CN"/>
        </w:rPr>
        <w:t xml:space="preserve">供应商</w:t>
      </w:r>
      <w:r>
        <w:rPr>
          <w:rFonts w:hint="eastAsia" w:ascii="宋体" w:hAnsi="宋体" w:eastAsia="宋体" w:cs="宋体"/>
          <w:bCs/>
          <w:color w:val="ff0000"/>
          <w:sz w:val="24"/>
          <w:szCs w:val="24"/>
          <w:highlight w:val="none"/>
        </w:rPr>
        <w:t xml:space="preserve">的履约保函。</w:t>
      </w:r>
      <w:r>
        <w:rPr>
          <w:rFonts w:hint="eastAsia" w:ascii="宋体" w:hAnsi="宋体" w:eastAsia="宋体" w:cs="宋体"/>
          <w:bCs/>
          <w:color w:val="ff0000"/>
          <w:sz w:val="24"/>
          <w:szCs w:val="24"/>
          <w:highlight w:val="none"/>
        </w:rPr>
      </w:r>
      <w:r/>
    </w:p>
    <w:p>
      <w:pPr>
        <w:pStyle w:val="1033"/>
        <w:ind w:firstLine="482"/>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3.培训：</w:t>
      </w:r>
      <w:r>
        <w:rPr>
          <w:rFonts w:hint="eastAsia" w:ascii="宋体" w:hAnsi="宋体" w:eastAsia="宋体" w:cs="宋体"/>
          <w:b/>
          <w:sz w:val="24"/>
          <w:szCs w:val="24"/>
          <w:highlight w:val="none"/>
        </w:rPr>
      </w:r>
      <w:r/>
    </w:p>
    <w:p>
      <w:pPr>
        <w:pStyle w:val="1033"/>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（1）现场培训：供应商在设备的组装、调试、验收完毕后即进行现场培训直至买方基本掌握使用操作、维护保养技术。</w:t>
      </w:r>
      <w:r>
        <w:rPr>
          <w:rFonts w:hint="eastAsia" w:ascii="宋体" w:hAnsi="宋体" w:eastAsia="宋体" w:cs="宋体"/>
          <w:bCs/>
          <w:sz w:val="24"/>
          <w:szCs w:val="24"/>
          <w:highlight w:val="none"/>
        </w:rPr>
      </w:r>
      <w:r/>
    </w:p>
    <w:p>
      <w:pPr>
        <w:pStyle w:val="1033"/>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（2）专门培训：供应商就设备的组装、检验、调试、使用和维护等培训采购人不少于2名技术人员，直到采购人受训人员全部掌握运行操作、维护保养技术，并能达到正确检修、维护、排除一般故障为止。</w:t>
      </w:r>
      <w:r>
        <w:rPr>
          <w:rFonts w:hint="eastAsia" w:ascii="宋体" w:hAnsi="宋体" w:eastAsia="宋体" w:cs="宋体"/>
          <w:bCs/>
          <w:sz w:val="24"/>
          <w:szCs w:val="24"/>
          <w:highlight w:val="none"/>
        </w:rPr>
      </w:r>
      <w:r/>
    </w:p>
    <w:p>
      <w:pPr>
        <w:pStyle w:val="1033"/>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（3）培训方式：理论知识和技术培训、实际操作培训。</w:t>
      </w:r>
      <w:r>
        <w:rPr>
          <w:rFonts w:hint="eastAsia" w:ascii="宋体" w:hAnsi="宋体" w:eastAsia="宋体" w:cs="宋体"/>
          <w:bCs/>
          <w:sz w:val="24"/>
          <w:szCs w:val="24"/>
          <w:highlight w:val="none"/>
        </w:rPr>
      </w:r>
      <w:r/>
    </w:p>
    <w:p>
      <w:pPr>
        <w:pStyle w:val="1033"/>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（4）培训人员、地点和时间：受训人员及培训次数由采购人确定，培训地点和时间由双方商定。</w:t>
      </w:r>
      <w:r>
        <w:rPr>
          <w:rFonts w:hint="eastAsia" w:ascii="宋体" w:hAnsi="宋体" w:eastAsia="宋体" w:cs="宋体"/>
          <w:bCs/>
          <w:sz w:val="24"/>
          <w:szCs w:val="24"/>
          <w:highlight w:val="none"/>
        </w:rPr>
      </w:r>
      <w:r/>
    </w:p>
    <w:p>
      <w:pPr>
        <w:pStyle w:val="1033"/>
        <w:ind w:firstLine="482"/>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4.质保及维保：</w:t>
      </w:r>
      <w:r>
        <w:rPr>
          <w:rFonts w:hint="eastAsia" w:ascii="宋体" w:hAnsi="宋体" w:eastAsia="宋体" w:cs="宋体"/>
          <w:b/>
          <w:sz w:val="24"/>
          <w:szCs w:val="24"/>
          <w:highlight w:val="none"/>
        </w:rPr>
      </w:r>
      <w:r/>
    </w:p>
    <w:p>
      <w:pPr>
        <w:pStyle w:val="1033"/>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（1）质保期：卖方所供设备、材料及安装的质量保证期为综合验收合格后1年。</w:t>
      </w:r>
      <w:r>
        <w:rPr>
          <w:rFonts w:hint="eastAsia" w:ascii="宋体" w:hAnsi="宋体" w:eastAsia="宋体" w:cs="宋体"/>
          <w:bCs/>
          <w:sz w:val="24"/>
          <w:szCs w:val="24"/>
          <w:highlight w:val="none"/>
        </w:rPr>
      </w:r>
      <w:r/>
    </w:p>
    <w:p>
      <w:pPr>
        <w:pStyle w:val="1033"/>
        <w:ind w:firstLine="480"/>
        <w:jc w:val="left"/>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在质保期内，因卖方所供设备、材料制造质量或安装问题出现设备故障时，卖方在接到买方通知后，2小时内予以回复，8小时内提出解决方案，24小时内派有经验的技术人员到达工作现场，免费予以排除故障、修复，无法修复应更换所供设备。卖方还应支付因更换所发生的运输、保险、安装、检测等有关的全部费用。更换主要部件后或更换所供设备后质保期重新计算。</w:t>
      </w:r>
      <w:r>
        <w:rPr>
          <w:rFonts w:hint="eastAsia" w:ascii="宋体" w:hAnsi="宋体" w:eastAsia="宋体" w:cs="宋体"/>
          <w:bCs/>
          <w:sz w:val="24"/>
          <w:szCs w:val="24"/>
          <w:highlight w:val="none"/>
        </w:rPr>
      </w:r>
      <w:r/>
    </w:p>
    <w:p>
      <w:pPr>
        <w:pStyle w:val="1033"/>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在质保期内，因买方使用不当原因出现设备故障时，卖方在接到买方通知后，设备厂家工程师应在招标文件中所述的时限内赶到买方现场，帮助排除故障、修复或更换零部件，需购买零部件时，仅收取成本费。</w:t>
      </w:r>
      <w:r>
        <w:rPr>
          <w:rFonts w:hint="eastAsia" w:ascii="宋体" w:hAnsi="宋体" w:eastAsia="宋体" w:cs="宋体"/>
          <w:bCs/>
          <w:sz w:val="24"/>
          <w:szCs w:val="24"/>
          <w:highlight w:val="none"/>
        </w:rPr>
      </w:r>
      <w:r/>
    </w:p>
    <w:p>
      <w:pPr>
        <w:pStyle w:val="1033"/>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（4）质保期满后，如设备出现故障，设备厂家在接到买方通知后，设备厂家工程师仍应在上述时间内响应、派人赶到买方现场，帮助排除故障、修复或更换零部件，需购买零部件时，酌情收取成本费。</w:t>
      </w:r>
      <w:r>
        <w:rPr>
          <w:rFonts w:hint="eastAsia" w:ascii="宋体" w:hAnsi="宋体" w:eastAsia="宋体" w:cs="宋体"/>
          <w:bCs/>
          <w:sz w:val="24"/>
          <w:szCs w:val="24"/>
          <w:highlight w:val="none"/>
        </w:rPr>
      </w:r>
      <w:r/>
    </w:p>
    <w:p>
      <w:pPr>
        <w:pStyle w:val="1033"/>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（5）设备维护保养：</w:t>
      </w:r>
      <w:r>
        <w:rPr>
          <w:rFonts w:hint="eastAsia" w:ascii="宋体" w:hAnsi="宋体" w:eastAsia="宋体" w:cs="宋体"/>
          <w:bCs/>
          <w:sz w:val="24"/>
          <w:szCs w:val="24"/>
          <w:highlight w:val="none"/>
        </w:rPr>
      </w:r>
      <w:r/>
    </w:p>
    <w:p>
      <w:pPr>
        <w:pStyle w:val="1033"/>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卖方应在设备质保期内免费提供一次全面的设备保养，在质保期外应根据买方需要提供设备全面保养服务，且保养费用不得超过投标时提交的报价。</w:t>
      </w:r>
      <w:r>
        <w:rPr>
          <w:rFonts w:hint="eastAsia" w:ascii="宋体" w:hAnsi="宋体" w:eastAsia="宋体" w:cs="宋体"/>
          <w:bCs/>
          <w:sz w:val="24"/>
          <w:szCs w:val="24"/>
          <w:highlight w:val="none"/>
        </w:rPr>
      </w:r>
      <w:r/>
    </w:p>
    <w:p>
      <w:pPr>
        <w:pStyle w:val="1274"/>
        <w:numPr>
          <w:ilvl w:val="0"/>
          <w:numId w:val="42"/>
        </w:numPr>
        <w:ind w:firstLine="480"/>
        <w:spacing w:line="240" w:lineRule="auto"/>
        <w:rPr>
          <w:rFonts w:hint="eastAsia" w:ascii="宋体" w:hAnsi="宋体" w:cs="宋体"/>
          <w:sz w:val="22"/>
          <w:szCs w:val="22"/>
          <w:highlight w:val="none"/>
        </w:rPr>
      </w:pPr>
      <w:r>
        <w:rPr>
          <w:rFonts w:hint="eastAsia" w:ascii="宋体" w:hAnsi="宋体" w:cs="宋体"/>
          <w:bCs/>
          <w:sz w:val="24"/>
          <w:highlight w:val="none"/>
        </w:rPr>
        <w:t xml:space="preserve">如有计量检定或校准项目，卖方请国内有资质的第三方或者采用买方推荐的机构对设备计量检定或校准，并由卖方承担首次计量检定/校准费用。计量检定/校准合格是验收合格指标之一。</w:t>
      </w:r>
      <w:r>
        <w:rPr>
          <w:rFonts w:hint="eastAsia" w:ascii="宋体" w:hAnsi="宋体" w:cs="宋体"/>
          <w:sz w:val="22"/>
          <w:szCs w:val="22"/>
          <w:highlight w:val="none"/>
        </w:rPr>
      </w:r>
      <w:r/>
    </w:p>
    <w:p>
      <w:pPr>
        <w:pStyle w:val="1033"/>
        <w:ind w:firstLine="422"/>
        <w:spacing w:line="240" w:lineRule="auto"/>
        <w:tabs>
          <w:tab w:val="left" w:pos="105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（二）报价要求及违约责任：</w:t>
      </w:r>
      <w:r>
        <w:rPr>
          <w:rFonts w:hint="eastAsia" w:ascii="宋体" w:hAnsi="宋体" w:eastAsia="宋体" w:cs="宋体"/>
          <w:b/>
          <w:sz w:val="24"/>
          <w:szCs w:val="24"/>
          <w:highlight w:val="none"/>
        </w:rPr>
      </w:r>
      <w:r/>
    </w:p>
    <w:p>
      <w:pPr>
        <w:pStyle w:val="1033"/>
        <w:ind w:firstLine="480"/>
        <w:spacing w:line="240" w:lineRule="auto"/>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报价，应包括本次采购范围内全部设备、材料、随设备提供的备品配件及专用工具的价格、全部税费、包装费、运杂费（运抵甲方项目现场）、保险费、安装费、调试费、甲方操作维护人员培训费，以及供应商认为需要的其他费用等，本合同执行期间合同总价款不变。</w:t>
      </w:r>
      <w:r>
        <w:rPr>
          <w:rFonts w:hint="eastAsia" w:ascii="宋体" w:hAnsi="宋体" w:eastAsia="宋体" w:cs="宋体"/>
          <w:sz w:val="24"/>
          <w:szCs w:val="24"/>
          <w:highlight w:val="none"/>
        </w:rPr>
      </w:r>
      <w:r/>
    </w:p>
    <w:p>
      <w:pPr>
        <w:pStyle w:val="1033"/>
        <w:ind w:firstLine="480"/>
        <w:spacing w:line="240" w:lineRule="auto"/>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2.在安装、调试、验收过程中，如发现有漏项、缺件，卖方应无条件、无偿补齐，所发生的一切费用，视为已包含在乙方投标时的投标报价之中，且并不因此而影响交付甲方使用的时间。</w:t>
      </w:r>
      <w:r>
        <w:rPr>
          <w:rFonts w:hint="eastAsia" w:ascii="宋体" w:hAnsi="宋体" w:eastAsia="宋体" w:cs="宋体"/>
          <w:sz w:val="24"/>
          <w:szCs w:val="24"/>
          <w:highlight w:val="none"/>
        </w:rPr>
      </w:r>
      <w:r/>
    </w:p>
    <w:p>
      <w:pPr>
        <w:pStyle w:val="1033"/>
        <w:ind w:firstLine="480"/>
        <w:spacing w:line="240" w:lineRule="auto"/>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3.供应商的任何错漏、优惠、竞争性报价不得作为减轻责任、减少服务、增加收费、降低质量的理由。</w:t>
      </w:r>
      <w:r>
        <w:rPr>
          <w:rFonts w:hint="eastAsia" w:ascii="宋体" w:hAnsi="宋体" w:eastAsia="宋体" w:cs="宋体"/>
          <w:sz w:val="24"/>
          <w:szCs w:val="24"/>
          <w:highlight w:val="none"/>
        </w:rPr>
      </w:r>
      <w:r/>
    </w:p>
    <w:p>
      <w:pPr>
        <w:pStyle w:val="1033"/>
        <w:ind w:firstLine="480"/>
        <w:spacing w:line="240" w:lineRule="auto"/>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4.供应商报价除包含招标文件中列明的项目外还应包括保障服务正常运行应当具有的物资和服务，对服务正常运行应当具有的物资和服务理解不一致的以采购人理解为准。</w:t>
      </w:r>
      <w:r>
        <w:rPr>
          <w:rFonts w:hint="eastAsia" w:ascii="宋体" w:hAnsi="宋体" w:eastAsia="宋体" w:cs="宋体"/>
          <w:sz w:val="24"/>
          <w:szCs w:val="24"/>
          <w:highlight w:val="none"/>
        </w:rPr>
      </w:r>
      <w:r/>
    </w:p>
    <w:p>
      <w:pPr>
        <w:pStyle w:val="1033"/>
        <w:ind w:firstLine="480"/>
        <w:spacing w:line="240" w:lineRule="auto"/>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5.中标供应商必须按照招标文件要求、投标文件中的承诺以及采购合同内容严格履行本项目。双方无正当理由不得无故终止和解除合同，否则违约方应向对方支付合同总额10%的违约金。</w:t>
      </w:r>
      <w:r>
        <w:rPr>
          <w:rFonts w:hint="eastAsia" w:ascii="宋体" w:hAnsi="宋体" w:eastAsia="宋体" w:cs="宋体"/>
          <w:sz w:val="24"/>
          <w:szCs w:val="24"/>
          <w:highlight w:val="none"/>
        </w:rPr>
      </w:r>
      <w:r/>
    </w:p>
    <w:p>
      <w:pPr>
        <w:pStyle w:val="1034"/>
        <w:ind w:firstLine="0"/>
        <w:tabs>
          <w:tab w:val="left" w:pos="1440" w:leader="none"/>
          <w:tab w:val="left" w:pos="5670" w:leader="none"/>
        </w:tabs>
        <w:rPr>
          <w:rFonts w:hint="eastAsia" w:ascii="宋体" w:hAnsi="宋体" w:eastAsia="宋体" w:cs="宋体"/>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highlight w:val="none"/>
        </w:rPr>
      </w:r>
      <w:r/>
    </w:p>
    <w:p>
      <w:pPr>
        <w:pStyle w:val="1034"/>
        <w:ind w:firstLine="0"/>
        <w:tabs>
          <w:tab w:val="left" w:pos="1440" w:leader="none"/>
          <w:tab w:val="left" w:pos="5670" w:leader="none"/>
        </w:tabs>
        <w:rPr>
          <w:rFonts w:hint="eastAsia" w:ascii="宋体" w:hAnsi="宋体" w:eastAsia="宋体" w:cs="宋体"/>
          <w:b w:val="0"/>
          <w:sz w:val="28"/>
          <w:highlight w:val="none"/>
        </w:rPr>
      </w:pPr>
      <w:r/>
      <w:bookmarkStart w:id="120" w:name="_Toc14714"/>
      <w:r>
        <w:rPr>
          <w:rFonts w:hint="eastAsia" w:ascii="宋体" w:hAnsi="宋体" w:eastAsia="宋体" w:cs="宋体"/>
          <w:highlight w:val="none"/>
        </w:rPr>
        <w:t xml:space="preserve">第五章 </w:t>
      </w:r>
      <w:bookmarkEnd w:id="112"/>
      <w:r>
        <w:rPr>
          <w:rFonts w:hint="eastAsia" w:ascii="宋体" w:hAnsi="宋体" w:eastAsia="宋体" w:cs="宋体"/>
          <w:highlight w:val="none"/>
        </w:rPr>
        <w:t xml:space="preserve">拟签订的合同文本</w:t>
      </w:r>
      <w:bookmarkEnd w:id="113"/>
      <w:r/>
      <w:bookmarkEnd w:id="120"/>
      <w:r>
        <w:rPr>
          <w:rFonts w:hint="eastAsia" w:ascii="宋体" w:hAnsi="宋体" w:eastAsia="宋体" w:cs="宋体"/>
          <w:b w:val="0"/>
          <w:sz w:val="28"/>
          <w:highlight w:val="none"/>
        </w:rPr>
      </w:r>
      <w:r/>
    </w:p>
    <w:p>
      <w:pPr>
        <w:pStyle w:val="1033"/>
        <w:jc w:val="center"/>
        <w:spacing w:before="360" w:after="360"/>
        <w:tabs>
          <w:tab w:val="left" w:pos="1440" w:leader="none"/>
          <w:tab w:val="left" w:pos="5670" w:leader="none"/>
        </w:tabs>
        <w:rPr>
          <w:rFonts w:hint="eastAsia" w:ascii="宋体" w:hAnsi="宋体" w:eastAsia="宋体" w:cs="宋体"/>
          <w:sz w:val="28"/>
          <w:szCs w:val="28"/>
          <w:highlight w:val="none"/>
        </w:rPr>
      </w:pPr>
      <w:r/>
      <w:bookmarkStart w:id="121" w:name="_Toc4445"/>
      <w:r>
        <w:rPr>
          <w:rFonts w:hint="eastAsia" w:ascii="宋体" w:hAnsi="宋体" w:eastAsia="宋体" w:cs="宋体"/>
          <w:sz w:val="28"/>
          <w:szCs w:val="28"/>
          <w:highlight w:val="none"/>
        </w:rPr>
      </w:r>
      <w:r/>
    </w:p>
    <w:p>
      <w:pPr>
        <w:pStyle w:val="1035"/>
        <w:rPr>
          <w:rFonts w:hint="eastAsia" w:eastAsia="宋体" w:cs="宋体"/>
          <w:highlight w:val="none"/>
        </w:rPr>
      </w:pPr>
      <w:r>
        <w:rPr>
          <w:rFonts w:hint="eastAsia" w:eastAsia="宋体" w:cs="宋体"/>
          <w:highlight w:val="none"/>
        </w:rPr>
      </w:r>
      <w:r/>
    </w:p>
    <w:p>
      <w:pPr>
        <w:pStyle w:val="1033"/>
        <w:jc w:val="center"/>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政府采购合同</w:t>
      </w:r>
      <w:r>
        <w:rPr>
          <w:rFonts w:hint="eastAsia" w:ascii="宋体" w:hAnsi="宋体" w:eastAsia="宋体" w:cs="宋体"/>
          <w:b/>
          <w:bCs/>
          <w:sz w:val="32"/>
          <w:szCs w:val="32"/>
          <w:highlight w:val="none"/>
        </w:rPr>
      </w:r>
      <w:r/>
    </w:p>
    <w:p>
      <w:pPr>
        <w:pStyle w:val="1033"/>
        <w:jc w:val="center"/>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（拟签订的合同文本）</w:t>
      </w:r>
      <w:r>
        <w:rPr>
          <w:rFonts w:hint="eastAsia" w:ascii="宋体" w:hAnsi="宋体" w:eastAsia="宋体" w:cs="宋体"/>
          <w:b/>
          <w:bCs/>
          <w:sz w:val="32"/>
          <w:szCs w:val="32"/>
          <w:highlight w:val="none"/>
        </w:rPr>
      </w:r>
      <w:r/>
    </w:p>
    <w:p>
      <w:pPr>
        <w:pStyle w:val="1033"/>
        <w:widowControl/>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1033"/>
        <w:ind w:firstLine="315"/>
        <w:widowControl/>
        <w:rPr>
          <w:rFonts w:hint="eastAsia" w:ascii="宋体" w:hAnsi="宋体" w:eastAsia="宋体" w:cs="宋体"/>
          <w:szCs w:val="21"/>
          <w:highlight w:val="none"/>
        </w:rPr>
      </w:pPr>
      <w:r>
        <w:rPr>
          <w:rFonts w:hint="eastAsia" w:ascii="宋体" w:hAnsi="宋体" w:eastAsia="宋体" w:cs="宋体"/>
          <w:szCs w:val="21"/>
          <w:highlight w:val="none"/>
        </w:rPr>
      </w:r>
      <w:r/>
    </w:p>
    <w:p>
      <w:pPr>
        <w:pStyle w:val="1033"/>
        <w:widowControl/>
        <w:rPr>
          <w:rFonts w:hint="eastAsia" w:ascii="宋体" w:hAnsi="宋体" w:eastAsia="宋体" w:cs="宋体"/>
          <w:szCs w:val="21"/>
          <w:highlight w:val="none"/>
        </w:rPr>
      </w:pPr>
      <w:r>
        <w:rPr>
          <w:rFonts w:hint="eastAsia" w:ascii="宋体" w:hAnsi="宋体" w:eastAsia="宋体" w:cs="宋体"/>
          <w:szCs w:val="21"/>
          <w:highlight w:val="none"/>
        </w:rPr>
      </w:r>
      <w:r/>
    </w:p>
    <w:p>
      <w:pPr>
        <w:pStyle w:val="1033"/>
        <w:widowControl/>
        <w:rPr>
          <w:rFonts w:hint="eastAsia" w:ascii="宋体" w:hAnsi="宋体" w:eastAsia="宋体" w:cs="宋体"/>
          <w:szCs w:val="21"/>
          <w:highlight w:val="none"/>
        </w:rPr>
      </w:pPr>
      <w:r>
        <w:rPr>
          <w:rFonts w:hint="eastAsia" w:ascii="宋体" w:hAnsi="宋体" w:eastAsia="宋体" w:cs="宋体"/>
          <w:szCs w:val="21"/>
          <w:highlight w:val="none"/>
        </w:rPr>
      </w:r>
      <w:r/>
    </w:p>
    <w:p>
      <w:pPr>
        <w:pStyle w:val="1033"/>
        <w:ind w:firstLine="1918"/>
        <w:widowControl/>
        <w:rPr>
          <w:rFonts w:hint="eastAsia" w:ascii="宋体" w:hAnsi="宋体" w:eastAsia="宋体" w:cs="宋体"/>
          <w:sz w:val="30"/>
          <w:szCs w:val="30"/>
          <w:highlight w:val="none"/>
        </w:rPr>
      </w:pPr>
      <w:r>
        <w:rPr>
          <w:rFonts w:hint="eastAsia" w:ascii="宋体" w:hAnsi="宋体" w:eastAsia="宋体" w:cs="宋体"/>
          <w:b/>
          <w:bCs/>
          <w:sz w:val="30"/>
          <w:szCs w:val="30"/>
          <w:highlight w:val="none"/>
        </w:rPr>
        <w:t xml:space="preserve">合同编号：</w:t>
      </w:r>
      <w:r>
        <w:rPr>
          <w:rFonts w:hint="eastAsia" w:ascii="宋体" w:hAnsi="宋体" w:eastAsia="宋体" w:cs="宋体"/>
          <w:b/>
          <w:bCs/>
          <w:sz w:val="30"/>
          <w:szCs w:val="30"/>
          <w:highlight w:val="none"/>
          <w:u w:val="single"/>
        </w:rPr>
        <w:t xml:space="preserve">           </w:t>
      </w:r>
      <w:r>
        <w:rPr>
          <w:rFonts w:hint="eastAsia" w:ascii="宋体" w:hAnsi="宋体" w:eastAsia="宋体" w:cs="宋体"/>
          <w:sz w:val="30"/>
          <w:szCs w:val="30"/>
          <w:highlight w:val="none"/>
        </w:rPr>
      </w:r>
      <w:r/>
    </w:p>
    <w:p>
      <w:pPr>
        <w:pStyle w:val="1033"/>
        <w:ind w:firstLine="1918"/>
        <w:widowControl/>
        <w:rPr>
          <w:rFonts w:hint="eastAsia" w:ascii="宋体" w:hAnsi="宋体" w:eastAsia="宋体" w:cs="宋体"/>
          <w:sz w:val="30"/>
          <w:szCs w:val="30"/>
          <w:highlight w:val="none"/>
        </w:rPr>
      </w:pPr>
      <w:r>
        <w:rPr>
          <w:rFonts w:hint="eastAsia" w:ascii="宋体" w:hAnsi="宋体" w:eastAsia="宋体" w:cs="宋体"/>
          <w:b/>
          <w:bCs/>
          <w:sz w:val="30"/>
          <w:szCs w:val="30"/>
          <w:highlight w:val="none"/>
        </w:rPr>
        <w:t xml:space="preserve">项目名称：</w:t>
      </w:r>
      <w:r>
        <w:rPr>
          <w:rFonts w:hint="eastAsia" w:ascii="宋体" w:hAnsi="宋体" w:eastAsia="宋体" w:cs="宋体"/>
          <w:b/>
          <w:bCs/>
          <w:sz w:val="30"/>
          <w:szCs w:val="30"/>
          <w:highlight w:val="none"/>
          <w:u w:val="single"/>
        </w:rPr>
        <w:t xml:space="preserve">           </w:t>
      </w:r>
      <w:r>
        <w:rPr>
          <w:rFonts w:hint="eastAsia" w:ascii="宋体" w:hAnsi="宋体" w:eastAsia="宋体" w:cs="宋体"/>
          <w:sz w:val="30"/>
          <w:szCs w:val="30"/>
          <w:highlight w:val="none"/>
        </w:rPr>
      </w:r>
      <w:r/>
    </w:p>
    <w:p>
      <w:pPr>
        <w:pStyle w:val="1033"/>
        <w:ind w:firstLine="1918"/>
        <w:widowControl/>
        <w:rPr>
          <w:rFonts w:hint="eastAsia" w:ascii="宋体" w:hAnsi="宋体" w:eastAsia="宋体" w:cs="宋体"/>
          <w:sz w:val="30"/>
          <w:szCs w:val="30"/>
          <w:highlight w:val="none"/>
        </w:rPr>
      </w:pPr>
      <w:r>
        <w:rPr>
          <w:rFonts w:hint="eastAsia" w:ascii="宋体" w:hAnsi="宋体" w:eastAsia="宋体" w:cs="宋体"/>
          <w:b/>
          <w:bCs/>
          <w:sz w:val="30"/>
          <w:szCs w:val="30"/>
          <w:highlight w:val="none"/>
        </w:rPr>
        <w:t xml:space="preserve">采购人（甲方）：</w:t>
      </w:r>
      <w:r>
        <w:rPr>
          <w:rFonts w:hint="eastAsia" w:ascii="宋体" w:hAnsi="宋体" w:eastAsia="宋体" w:cs="宋体"/>
          <w:b/>
          <w:bCs/>
          <w:sz w:val="30"/>
          <w:szCs w:val="30"/>
          <w:highlight w:val="none"/>
          <w:u w:val="single"/>
        </w:rPr>
        <w:t xml:space="preserve">        </w:t>
      </w:r>
      <w:r>
        <w:rPr>
          <w:rFonts w:hint="eastAsia" w:ascii="宋体" w:hAnsi="宋体" w:eastAsia="宋体" w:cs="宋体"/>
          <w:sz w:val="30"/>
          <w:szCs w:val="30"/>
          <w:highlight w:val="none"/>
        </w:rPr>
      </w:r>
      <w:r/>
    </w:p>
    <w:p>
      <w:pPr>
        <w:pStyle w:val="1033"/>
        <w:ind w:firstLine="1916"/>
        <w:widowControl/>
        <w:rPr>
          <w:rFonts w:hint="eastAsia" w:ascii="宋体" w:hAnsi="宋体" w:eastAsia="宋体" w:cs="宋体"/>
          <w:sz w:val="30"/>
          <w:szCs w:val="30"/>
          <w:highlight w:val="none"/>
        </w:rPr>
      </w:pPr>
      <w:r>
        <w:rPr>
          <w:rFonts w:hint="eastAsia" w:ascii="宋体" w:hAnsi="宋体" w:eastAsia="宋体" w:cs="宋体"/>
          <w:b/>
          <w:bCs/>
          <w:sz w:val="30"/>
          <w:szCs w:val="30"/>
          <w:highlight w:val="none"/>
        </w:rPr>
        <w:t xml:space="preserve">供应商（乙方）：</w:t>
      </w:r>
      <w:r>
        <w:rPr>
          <w:rFonts w:hint="eastAsia" w:ascii="宋体" w:hAnsi="宋体" w:eastAsia="宋体" w:cs="宋体"/>
          <w:b/>
          <w:bCs/>
          <w:sz w:val="30"/>
          <w:szCs w:val="30"/>
          <w:highlight w:val="none"/>
          <w:u w:val="single"/>
        </w:rPr>
        <w:t xml:space="preserve">        </w:t>
      </w:r>
      <w:r>
        <w:rPr>
          <w:rFonts w:hint="eastAsia" w:ascii="宋体" w:hAnsi="宋体" w:eastAsia="宋体" w:cs="宋体"/>
          <w:sz w:val="30"/>
          <w:szCs w:val="30"/>
          <w:highlight w:val="none"/>
        </w:rPr>
      </w:r>
      <w:r/>
    </w:p>
    <w:p>
      <w:pPr>
        <w:pStyle w:val="1033"/>
        <w:ind w:firstLine="1916"/>
        <w:widowControl/>
        <w:rPr>
          <w:rFonts w:hint="eastAsia" w:ascii="宋体" w:hAnsi="宋体" w:eastAsia="宋体" w:cs="宋体"/>
          <w:sz w:val="30"/>
          <w:szCs w:val="30"/>
          <w:highlight w:val="none"/>
        </w:rPr>
      </w:pPr>
      <w:r>
        <w:rPr>
          <w:rFonts w:hint="eastAsia" w:ascii="宋体" w:hAnsi="宋体" w:eastAsia="宋体" w:cs="宋体"/>
          <w:b/>
          <w:bCs/>
          <w:sz w:val="30"/>
          <w:szCs w:val="30"/>
          <w:highlight w:val="none"/>
        </w:rPr>
        <w:t xml:space="preserve">签订日期：</w:t>
      </w:r>
      <w:r>
        <w:rPr>
          <w:rFonts w:hint="eastAsia" w:ascii="宋体" w:hAnsi="宋体" w:eastAsia="宋体" w:cs="宋体"/>
          <w:b/>
          <w:bCs/>
          <w:sz w:val="30"/>
          <w:szCs w:val="30"/>
          <w:highlight w:val="none"/>
          <w:u w:val="single"/>
        </w:rPr>
        <w:t xml:space="preserve">           </w:t>
      </w:r>
      <w:r>
        <w:rPr>
          <w:rFonts w:hint="eastAsia" w:ascii="宋体" w:hAnsi="宋体" w:eastAsia="宋体" w:cs="宋体"/>
          <w:sz w:val="30"/>
          <w:szCs w:val="30"/>
          <w:highlight w:val="none"/>
        </w:rPr>
      </w:r>
      <w:r/>
    </w:p>
    <w:p>
      <w:pPr>
        <w:pStyle w:val="1033"/>
        <w:jc w:val="lef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033"/>
        <w:ind w:left="-420" w:right="-313" w:firstLine="241"/>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033"/>
        <w:ind w:left="108" w:firstLine="482"/>
        <w:jc w:val="left"/>
        <w:spacing w:line="480" w:lineRule="exact"/>
        <w:tabs>
          <w:tab w:val="left" w:pos="4785" w:leader="none"/>
        </w:tabs>
        <w:rPr>
          <w:rFonts w:hint="eastAsia" w:ascii="宋体" w:hAnsi="宋体" w:eastAsia="宋体" w:cs="宋体"/>
          <w:b/>
          <w:bCs/>
          <w:i/>
          <w:iCs/>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i/>
          <w:iCs/>
          <w:sz w:val="24"/>
          <w:szCs w:val="24"/>
          <w:highlight w:val="none"/>
        </w:rPr>
        <w:t xml:space="preserve">注：</w:t>
      </w:r>
      <w:bookmarkEnd w:id="121"/>
      <w:r>
        <w:rPr>
          <w:rFonts w:hint="eastAsia" w:ascii="宋体" w:hAnsi="宋体" w:eastAsia="宋体" w:cs="宋体"/>
          <w:b/>
          <w:bCs/>
          <w:i/>
          <w:iCs/>
          <w:sz w:val="24"/>
          <w:szCs w:val="24"/>
          <w:highlight w:val="none"/>
        </w:rPr>
        <w:t xml:space="preserve">货物类采购合同参考格式，本合同内容条款在正式签署前可具体补充细化，仅作参考，最终合同以采购人法务审查通过的版本为准。</w:t>
      </w:r>
      <w:r>
        <w:rPr>
          <w:rFonts w:hint="eastAsia" w:ascii="宋体" w:hAnsi="宋体" w:eastAsia="宋体" w:cs="宋体"/>
          <w:b/>
          <w:bCs/>
          <w:i/>
          <w:iCs/>
          <w:sz w:val="24"/>
          <w:szCs w:val="24"/>
          <w:highlight w:val="none"/>
        </w:rPr>
      </w:r>
      <w:r/>
    </w:p>
    <w:p>
      <w:pPr>
        <w:pStyle w:val="1033"/>
        <w:ind w:firstLine="293"/>
        <w:keepLines w:val="0"/>
        <w:keepNext w:val="0"/>
        <w:pageBreakBefore w:val="0"/>
        <w:spacing w:before="164" w:after="164"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甲方：江苏省特种设备安全监督检验研究院</w:t>
      </w:r>
      <w:r>
        <w:rPr>
          <w:rFonts w:hint="eastAsia" w:ascii="宋体" w:hAnsi="宋体" w:eastAsia="宋体" w:cs="宋体"/>
          <w:b/>
          <w:bCs/>
          <w:color w:val="000000"/>
          <w:szCs w:val="21"/>
          <w:highlight w:val="none"/>
        </w:rPr>
      </w:r>
      <w:r/>
    </w:p>
    <w:p>
      <w:pPr>
        <w:pStyle w:val="1033"/>
        <w:ind w:firstLine="293"/>
        <w:keepLines w:val="0"/>
        <w:keepNext w:val="0"/>
        <w:pageBreakBefore w:val="0"/>
        <w:spacing w:before="164" w:after="164"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乙方：</w:t>
      </w:r>
      <w:r>
        <w:rPr>
          <w:rFonts w:hint="eastAsia" w:ascii="宋体" w:hAnsi="宋体" w:eastAsia="宋体" w:cs="宋体"/>
          <w:b/>
          <w:bCs/>
          <w:color w:val="000000"/>
          <w:szCs w:val="21"/>
          <w:highlight w:val="none"/>
        </w:rPr>
      </w:r>
      <w:r/>
    </w:p>
    <w:p>
      <w:pPr>
        <w:pStyle w:val="1033"/>
        <w:ind w:firstLine="293"/>
        <w:keepLines w:val="0"/>
        <w:keepNext w:val="0"/>
        <w:pageBreakBefore w:val="0"/>
        <w:spacing w:before="164" w:after="164"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采购代理机构：江苏海外集团国际工程咨询有限公司</w:t>
      </w:r>
      <w:r>
        <w:rPr>
          <w:rFonts w:hint="eastAsia" w:ascii="宋体" w:hAnsi="宋体" w:eastAsia="宋体" w:cs="宋体"/>
          <w:b/>
          <w:bCs/>
          <w:color w:val="000000"/>
          <w:szCs w:val="21"/>
          <w:highlight w:val="none"/>
        </w:rPr>
      </w:r>
      <w:r/>
    </w:p>
    <w:p>
      <w:pPr>
        <w:pStyle w:val="1033"/>
        <w:ind w:left="108"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一、说明：</w:t>
      </w:r>
      <w:r>
        <w:rPr>
          <w:rFonts w:hint="eastAsia" w:ascii="宋体" w:hAnsi="宋体" w:eastAsia="宋体" w:cs="宋体"/>
          <w:color w:val="000000"/>
          <w:szCs w:val="21"/>
          <w:highlight w:val="none"/>
        </w:rPr>
      </w:r>
      <w:r/>
    </w:p>
    <w:p>
      <w:pPr>
        <w:pStyle w:val="1033"/>
        <w:ind w:left="108"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受甲方委托，采购代理机构于</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日组织了</w:t>
      </w:r>
      <w:r>
        <w:rPr>
          <w:rFonts w:hint="eastAsia" w:ascii="宋体" w:hAnsi="宋体" w:eastAsia="宋体" w:cs="宋体"/>
          <w:color w:val="000000"/>
          <w:szCs w:val="21"/>
          <w:highlight w:val="none"/>
          <w:u w:val="single"/>
        </w:rPr>
        <w:t xml:space="preserve">江苏省特种设备安全监督检验研究院所需</w:t>
      </w:r>
      <w:r>
        <w:rPr>
          <w:rFonts w:hint="eastAsia" w:ascii="宋体" w:hAnsi="宋体" w:eastAsia="宋体" w:cs="宋体"/>
          <w:color w:val="000000"/>
          <w:szCs w:val="21"/>
          <w:highlight w:val="none"/>
          <w:u w:val="single"/>
        </w:rPr>
        <w:t xml:space="preserve">检测设备</w:t>
      </w:r>
      <w:r>
        <w:rPr>
          <w:rFonts w:hint="eastAsia" w:ascii="宋体" w:hAnsi="宋体" w:eastAsia="宋体" w:cs="宋体"/>
          <w:color w:val="000000"/>
          <w:szCs w:val="21"/>
          <w:highlight w:val="none"/>
        </w:rPr>
        <w:t xml:space="preserve">采购项目（项目编号：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）的评审活动，经评委认真严格地评审，确定由乙方成交。</w:t>
      </w:r>
      <w:r>
        <w:rPr>
          <w:rFonts w:hint="eastAsia" w:ascii="宋体" w:hAnsi="宋体" w:eastAsia="宋体" w:cs="宋体"/>
          <w:color w:val="000000"/>
          <w:szCs w:val="21"/>
          <w:highlight w:val="none"/>
        </w:rPr>
      </w:r>
      <w:r/>
    </w:p>
    <w:p>
      <w:pPr>
        <w:pStyle w:val="1033"/>
        <w:ind w:left="108"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二、合同条款：</w:t>
      </w:r>
      <w:r>
        <w:rPr>
          <w:rFonts w:hint="eastAsia" w:ascii="宋体" w:hAnsi="宋体" w:eastAsia="宋体" w:cs="宋体"/>
          <w:color w:val="000000"/>
          <w:szCs w:val="21"/>
          <w:highlight w:val="none"/>
        </w:rPr>
      </w:r>
      <w:r/>
    </w:p>
    <w:p>
      <w:pPr>
        <w:pStyle w:val="1033"/>
        <w:ind w:left="108"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合同由甲乙双方签订，并依据</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号招标文件规定，按下列合同条款甲方同意购入，乙方同意出售下列设备及服务。</w:t>
      </w:r>
      <w:r>
        <w:rPr>
          <w:rFonts w:hint="eastAsia" w:ascii="宋体" w:hAnsi="宋体" w:eastAsia="宋体" w:cs="宋体"/>
          <w:color w:val="000000"/>
          <w:szCs w:val="21"/>
          <w:highlight w:val="none"/>
        </w:rPr>
      </w:r>
      <w:r/>
    </w:p>
    <w:p>
      <w:pPr>
        <w:pStyle w:val="1463"/>
        <w:ind w:left="0" w:firstLine="420"/>
        <w:keepLines w:val="0"/>
        <w:keepNext w:val="0"/>
        <w:pageBreakBefore w:val="0"/>
        <w:spacing w:before="0" w:after="0" w:line="360" w:lineRule="auto"/>
        <w:tabs>
          <w:tab w:val="left" w:pos="4785"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1.设备名称、型号规格、数量及服务内容。</w:t>
      </w:r>
      <w:r>
        <w:rPr>
          <w:rFonts w:hint="eastAsia" w:ascii="宋体" w:hAnsi="宋体" w:eastAsia="宋体" w:cs="宋体"/>
          <w:color w:val="000000"/>
          <w:sz w:val="21"/>
          <w:szCs w:val="21"/>
          <w:highlight w:val="none"/>
          <w:lang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0"/>
        <w:gridCol w:w="1598"/>
        <w:gridCol w:w="1359"/>
        <w:gridCol w:w="1106"/>
        <w:gridCol w:w="990"/>
        <w:gridCol w:w="1690"/>
        <w:gridCol w:w="1609"/>
      </w:tblGrid>
      <w:tr>
        <w:trPr>
          <w:trHeight w:val="19"/>
        </w:trPr>
        <w:tc>
          <w:tcPr>
            <w:tcW w:w="808" w:type="dxa"/>
            <w:vAlign w:val="center"/>
            <w:textDirection w:val="lrTb"/>
            <w:noWrap w:val="false"/>
          </w:tcPr>
          <w:p>
            <w:pPr>
              <w:pStyle w:val="1050"/>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设备</w:t>
            </w:r>
            <w:r>
              <w:rPr>
                <w:rFonts w:hint="eastAsia" w:ascii="宋体" w:hAnsi="宋体" w:cs="宋体"/>
                <w:color w:val="000000"/>
                <w:szCs w:val="21"/>
                <w:highlight w:val="none"/>
              </w:rPr>
              <w:t xml:space="preserve">名称</w:t>
            </w:r>
            <w:r>
              <w:rPr>
                <w:rFonts w:hint="eastAsia" w:ascii="宋体" w:hAnsi="宋体" w:cs="宋体"/>
                <w:color w:val="000000"/>
                <w:szCs w:val="21"/>
                <w:highlight w:val="none"/>
              </w:rPr>
            </w:r>
            <w:r/>
          </w:p>
        </w:tc>
        <w:tc>
          <w:tcPr>
            <w:tcW w:w="802" w:type="dxa"/>
            <w:vAlign w:val="center"/>
            <w:textDirection w:val="lrTb"/>
            <w:noWrap w:val="false"/>
          </w:tcPr>
          <w:p>
            <w:pPr>
              <w:pStyle w:val="1050"/>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品牌</w:t>
            </w:r>
            <w:r>
              <w:rPr>
                <w:rFonts w:hint="eastAsia" w:ascii="宋体" w:hAnsi="宋体" w:cs="宋体"/>
                <w:color w:val="000000"/>
                <w:szCs w:val="21"/>
                <w:highlight w:val="none"/>
              </w:rPr>
            </w:r>
            <w:r/>
          </w:p>
        </w:tc>
        <w:tc>
          <w:tcPr>
            <w:tcW w:w="682" w:type="dxa"/>
            <w:vAlign w:val="center"/>
            <w:textDirection w:val="lrTb"/>
            <w:noWrap w:val="false"/>
          </w:tcPr>
          <w:p>
            <w:pPr>
              <w:pStyle w:val="1050"/>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型号</w:t>
            </w:r>
            <w:r>
              <w:rPr>
                <w:rFonts w:hint="eastAsia" w:ascii="宋体" w:hAnsi="宋体" w:cs="宋体"/>
                <w:color w:val="000000"/>
                <w:szCs w:val="21"/>
                <w:highlight w:val="none"/>
              </w:rPr>
            </w:r>
            <w:r/>
          </w:p>
        </w:tc>
        <w:tc>
          <w:tcPr>
            <w:tcW w:w="555" w:type="dxa"/>
            <w:vAlign w:val="center"/>
            <w:textDirection w:val="lrTb"/>
            <w:noWrap w:val="false"/>
          </w:tcPr>
          <w:p>
            <w:pPr>
              <w:pStyle w:val="1050"/>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单位</w:t>
            </w:r>
            <w:r>
              <w:rPr>
                <w:rFonts w:hint="eastAsia" w:ascii="宋体" w:hAnsi="宋体" w:cs="宋体"/>
                <w:color w:val="000000"/>
                <w:szCs w:val="21"/>
                <w:highlight w:val="none"/>
              </w:rPr>
            </w:r>
            <w:r/>
          </w:p>
        </w:tc>
        <w:tc>
          <w:tcPr>
            <w:tcW w:w="497" w:type="dxa"/>
            <w:vAlign w:val="center"/>
            <w:textDirection w:val="lrTb"/>
            <w:noWrap w:val="false"/>
          </w:tcPr>
          <w:p>
            <w:pPr>
              <w:pStyle w:val="1050"/>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数量</w:t>
            </w:r>
            <w:r>
              <w:rPr>
                <w:rFonts w:hint="eastAsia" w:ascii="宋体" w:hAnsi="宋体" w:cs="宋体"/>
                <w:color w:val="000000"/>
                <w:szCs w:val="21"/>
                <w:highlight w:val="none"/>
              </w:rPr>
            </w:r>
            <w:r/>
          </w:p>
        </w:tc>
        <w:tc>
          <w:tcPr>
            <w:tcW w:w="848" w:type="dxa"/>
            <w:vAlign w:val="center"/>
            <w:textDirection w:val="lrTb"/>
            <w:noWrap w:val="false"/>
          </w:tcPr>
          <w:p>
            <w:pPr>
              <w:pStyle w:val="1050"/>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单价（元）</w:t>
            </w:r>
            <w:r>
              <w:rPr>
                <w:rFonts w:hint="eastAsia" w:ascii="宋体" w:hAnsi="宋体" w:cs="宋体"/>
                <w:color w:val="000000"/>
                <w:szCs w:val="21"/>
                <w:highlight w:val="none"/>
              </w:rPr>
            </w:r>
            <w:r/>
          </w:p>
        </w:tc>
        <w:tc>
          <w:tcPr>
            <w:tcW w:w="806" w:type="dxa"/>
            <w:vAlign w:val="center"/>
            <w:textDirection w:val="lrTb"/>
            <w:noWrap w:val="false"/>
          </w:tcPr>
          <w:p>
            <w:pPr>
              <w:pStyle w:val="1050"/>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总价（元）</w:t>
            </w:r>
            <w:r>
              <w:rPr>
                <w:rFonts w:hint="eastAsia" w:ascii="宋体" w:hAnsi="宋体" w:cs="宋体"/>
                <w:color w:val="000000"/>
                <w:szCs w:val="21"/>
                <w:highlight w:val="none"/>
              </w:rPr>
            </w:r>
            <w:r/>
          </w:p>
        </w:tc>
      </w:tr>
      <w:tr>
        <w:trPr>
          <w:trHeight w:val="19"/>
        </w:trPr>
        <w:tc>
          <w:tcPr>
            <w:tcW w:w="808" w:type="dxa"/>
            <w:vAlign w:val="center"/>
            <w:textDirection w:val="lrTb"/>
            <w:noWrap w:val="false"/>
          </w:tcPr>
          <w:p>
            <w:pPr>
              <w:pStyle w:val="1033"/>
              <w:jc w:val="center"/>
              <w:keepLines w:val="0"/>
              <w:keepNext w:val="0"/>
              <w:pageBreakBefore w:val="0"/>
              <w:spacing w:before="0" w:after="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2" w:type="dxa"/>
            <w:vAlign w:val="center"/>
            <w:textDirection w:val="lrTb"/>
            <w:noWrap w:val="false"/>
          </w:tcPr>
          <w:p>
            <w:pPr>
              <w:pStyle w:val="1050"/>
              <w:ind w:firstLine="0"/>
              <w:jc w:val="center"/>
              <w:keepLines w:val="0"/>
              <w:keepNext w:val="0"/>
              <w:pageBreakBefore w:val="0"/>
              <w:spacing w:before="0" w:after="0" w:line="360" w:lineRule="auto"/>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682" w:type="dxa"/>
            <w:vAlign w:val="center"/>
            <w:textDirection w:val="lrTb"/>
            <w:noWrap w:val="false"/>
          </w:tcPr>
          <w:p>
            <w:pPr>
              <w:pStyle w:val="1050"/>
              <w:ind w:firstLine="0"/>
              <w:jc w:val="center"/>
              <w:keepLines w:val="0"/>
              <w:keepNext w:val="0"/>
              <w:pageBreakBefore w:val="0"/>
              <w:spacing w:before="0" w:after="0" w:line="360" w:lineRule="auto"/>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555" w:type="dxa"/>
            <w:vAlign w:val="center"/>
            <w:textDirection w:val="lrTb"/>
            <w:noWrap w:val="false"/>
          </w:tcPr>
          <w:p>
            <w:pPr>
              <w:pStyle w:val="1050"/>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497" w:type="dxa"/>
            <w:vAlign w:val="center"/>
            <w:textDirection w:val="lrTb"/>
            <w:noWrap w:val="false"/>
          </w:tcPr>
          <w:p>
            <w:pPr>
              <w:pStyle w:val="1033"/>
              <w:jc w:val="center"/>
              <w:keepLines w:val="0"/>
              <w:keepNext w:val="0"/>
              <w:pageBreakBefore w:val="0"/>
              <w:spacing w:before="0" w:after="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8" w:type="dxa"/>
            <w:vAlign w:val="center"/>
            <w:textDirection w:val="lrTb"/>
            <w:noWrap w:val="false"/>
          </w:tcPr>
          <w:p>
            <w:pPr>
              <w:pStyle w:val="1050"/>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806" w:type="dxa"/>
            <w:vAlign w:val="center"/>
            <w:textDirection w:val="lrTb"/>
            <w:noWrap w:val="false"/>
          </w:tcPr>
          <w:p>
            <w:pPr>
              <w:pStyle w:val="1050"/>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tcW w:w="808" w:type="dxa"/>
            <w:vAlign w:val="center"/>
            <w:textDirection w:val="lrTb"/>
            <w:noWrap w:val="false"/>
          </w:tcPr>
          <w:p>
            <w:pPr>
              <w:pStyle w:val="1033"/>
              <w:jc w:val="center"/>
              <w:keepLines w:val="0"/>
              <w:keepNext w:val="0"/>
              <w:pageBreakBefore w:val="0"/>
              <w:spacing w:before="0" w:after="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2" w:type="dxa"/>
            <w:vAlign w:val="center"/>
            <w:textDirection w:val="lrTb"/>
            <w:noWrap w:val="false"/>
          </w:tcPr>
          <w:p>
            <w:pPr>
              <w:pStyle w:val="1050"/>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682" w:type="dxa"/>
            <w:vAlign w:val="center"/>
            <w:textDirection w:val="lrTb"/>
            <w:noWrap w:val="false"/>
          </w:tcPr>
          <w:p>
            <w:pPr>
              <w:pStyle w:val="1050"/>
              <w:ind w:firstLine="0"/>
              <w:jc w:val="center"/>
              <w:keepLines w:val="0"/>
              <w:keepNext w:val="0"/>
              <w:pageBreakBefore w:val="0"/>
              <w:spacing w:before="0" w:after="0" w:line="360" w:lineRule="auto"/>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555" w:type="dxa"/>
            <w:vAlign w:val="center"/>
            <w:textDirection w:val="lrTb"/>
            <w:noWrap w:val="false"/>
          </w:tcPr>
          <w:p>
            <w:pPr>
              <w:pStyle w:val="1050"/>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497" w:type="dxa"/>
            <w:vAlign w:val="center"/>
            <w:textDirection w:val="lrTb"/>
            <w:noWrap w:val="false"/>
          </w:tcPr>
          <w:p>
            <w:pPr>
              <w:pStyle w:val="1033"/>
              <w:jc w:val="center"/>
              <w:keepLines w:val="0"/>
              <w:keepNext w:val="0"/>
              <w:pageBreakBefore w:val="0"/>
              <w:spacing w:before="0" w:after="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8" w:type="dxa"/>
            <w:vAlign w:val="center"/>
            <w:textDirection w:val="lrTb"/>
            <w:noWrap w:val="false"/>
          </w:tcPr>
          <w:p>
            <w:pPr>
              <w:pStyle w:val="1050"/>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806" w:type="dxa"/>
            <w:vAlign w:val="center"/>
            <w:textDirection w:val="lrTb"/>
            <w:noWrap w:val="false"/>
          </w:tcPr>
          <w:p>
            <w:pPr>
              <w:pStyle w:val="1050"/>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tcW w:w="808" w:type="dxa"/>
            <w:vAlign w:val="center"/>
            <w:textDirection w:val="lrTb"/>
            <w:noWrap w:val="false"/>
          </w:tcPr>
          <w:p>
            <w:pPr>
              <w:pStyle w:val="1033"/>
              <w:jc w:val="center"/>
              <w:keepLines w:val="0"/>
              <w:keepNext w:val="0"/>
              <w:pageBreakBefore w:val="0"/>
              <w:spacing w:before="0" w:after="0" w:line="360" w:lineRule="auto"/>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02" w:type="dxa"/>
            <w:vAlign w:val="center"/>
            <w:textDirection w:val="lrTb"/>
            <w:noWrap w:val="false"/>
          </w:tcPr>
          <w:p>
            <w:pPr>
              <w:pStyle w:val="1050"/>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682" w:type="dxa"/>
            <w:vAlign w:val="center"/>
            <w:textDirection w:val="lrTb"/>
            <w:noWrap w:val="false"/>
          </w:tcPr>
          <w:p>
            <w:pPr>
              <w:pStyle w:val="1050"/>
              <w:ind w:firstLine="0"/>
              <w:jc w:val="center"/>
              <w:keepLines w:val="0"/>
              <w:keepNext w:val="0"/>
              <w:pageBreakBefore w:val="0"/>
              <w:spacing w:before="0" w:after="0" w:line="360" w:lineRule="auto"/>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555" w:type="dxa"/>
            <w:vAlign w:val="center"/>
            <w:textDirection w:val="lrTb"/>
            <w:noWrap w:val="false"/>
          </w:tcPr>
          <w:p>
            <w:pPr>
              <w:pStyle w:val="1050"/>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497" w:type="dxa"/>
            <w:vAlign w:val="center"/>
            <w:textDirection w:val="lrTb"/>
            <w:noWrap w:val="false"/>
          </w:tcPr>
          <w:p>
            <w:pPr>
              <w:pStyle w:val="1033"/>
              <w:jc w:val="center"/>
              <w:keepLines w:val="0"/>
              <w:keepNext w:val="0"/>
              <w:pageBreakBefore w:val="0"/>
              <w:spacing w:before="0" w:after="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8" w:type="dxa"/>
            <w:vAlign w:val="center"/>
            <w:textDirection w:val="lrTb"/>
            <w:noWrap w:val="false"/>
          </w:tcPr>
          <w:p>
            <w:pPr>
              <w:pStyle w:val="1050"/>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806" w:type="dxa"/>
            <w:vAlign w:val="center"/>
            <w:textDirection w:val="lrTb"/>
            <w:noWrap w:val="false"/>
          </w:tcPr>
          <w:p>
            <w:pPr>
              <w:pStyle w:val="1050"/>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tcW w:w="808" w:type="dxa"/>
            <w:vAlign w:val="center"/>
            <w:textDirection w:val="lrTb"/>
            <w:noWrap w:val="false"/>
          </w:tcPr>
          <w:p>
            <w:pPr>
              <w:pStyle w:val="1033"/>
              <w:jc w:val="center"/>
              <w:keepLines w:val="0"/>
              <w:keepNext w:val="0"/>
              <w:pageBreakBefore w:val="0"/>
              <w:spacing w:before="0" w:after="0" w:line="360" w:lineRule="auto"/>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02" w:type="dxa"/>
            <w:vAlign w:val="center"/>
            <w:textDirection w:val="lrTb"/>
            <w:noWrap w:val="false"/>
          </w:tcPr>
          <w:p>
            <w:pPr>
              <w:pStyle w:val="1050"/>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682" w:type="dxa"/>
            <w:vAlign w:val="center"/>
            <w:textDirection w:val="lrTb"/>
            <w:noWrap w:val="false"/>
          </w:tcPr>
          <w:p>
            <w:pPr>
              <w:pStyle w:val="1050"/>
              <w:ind w:firstLine="0"/>
              <w:jc w:val="center"/>
              <w:keepLines w:val="0"/>
              <w:keepNext w:val="0"/>
              <w:pageBreakBefore w:val="0"/>
              <w:spacing w:before="0" w:after="0" w:line="360" w:lineRule="auto"/>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555" w:type="dxa"/>
            <w:vAlign w:val="center"/>
            <w:textDirection w:val="lrTb"/>
            <w:noWrap w:val="false"/>
          </w:tcPr>
          <w:p>
            <w:pPr>
              <w:pStyle w:val="1050"/>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497" w:type="dxa"/>
            <w:vAlign w:val="center"/>
            <w:textDirection w:val="lrTb"/>
            <w:noWrap w:val="false"/>
          </w:tcPr>
          <w:p>
            <w:pPr>
              <w:pStyle w:val="1033"/>
              <w:jc w:val="center"/>
              <w:keepLines w:val="0"/>
              <w:keepNext w:val="0"/>
              <w:pageBreakBefore w:val="0"/>
              <w:spacing w:before="0" w:after="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8" w:type="dxa"/>
            <w:vAlign w:val="center"/>
            <w:textDirection w:val="lrTb"/>
            <w:noWrap w:val="false"/>
          </w:tcPr>
          <w:p>
            <w:pPr>
              <w:pStyle w:val="1050"/>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806" w:type="dxa"/>
            <w:vAlign w:val="center"/>
            <w:textDirection w:val="lrTb"/>
            <w:noWrap w:val="false"/>
          </w:tcPr>
          <w:p>
            <w:pPr>
              <w:pStyle w:val="1050"/>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gridSpan w:val="4"/>
            <w:tcW w:w="5673" w:type="dxa"/>
            <w:vAlign w:val="center"/>
            <w:textDirection w:val="lrTb"/>
            <w:noWrap w:val="false"/>
          </w:tcPr>
          <w:p>
            <w:pPr>
              <w:pStyle w:val="1050"/>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bCs/>
                <w:color w:val="000000"/>
                <w:szCs w:val="21"/>
                <w:highlight w:val="none"/>
              </w:rPr>
              <w:t xml:space="preserve">合计（元）</w:t>
            </w:r>
            <w:r>
              <w:rPr>
                <w:rFonts w:hint="eastAsia" w:ascii="宋体" w:hAnsi="宋体" w:cs="宋体"/>
                <w:color w:val="000000"/>
                <w:szCs w:val="21"/>
                <w:highlight w:val="none"/>
              </w:rPr>
            </w:r>
            <w:r/>
          </w:p>
        </w:tc>
        <w:tc>
          <w:tcPr>
            <w:gridSpan w:val="3"/>
            <w:tcW w:w="4289" w:type="dxa"/>
            <w:vAlign w:val="center"/>
            <w:textDirection w:val="lrTb"/>
            <w:noWrap w:val="false"/>
          </w:tcPr>
          <w:p>
            <w:pPr>
              <w:pStyle w:val="1050"/>
              <w:ind w:firstLine="0"/>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bl>
    <w:p>
      <w:pPr>
        <w:pStyle w:val="1033"/>
        <w:ind w:firstLine="420"/>
        <w:jc w:val="left"/>
        <w:keepLines w:val="0"/>
        <w:keepNext w:val="0"/>
        <w:pageBreakBefore w:val="0"/>
        <w:spacing w:before="0" w:after="0" w:line="360" w:lineRule="auto"/>
        <w:tabs>
          <w:tab w:val="left" w:pos="4785" w:leader="none"/>
        </w:tabs>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2.合同总价（大写）：</w:t>
      </w:r>
      <w:r>
        <w:rPr>
          <w:rFonts w:hint="eastAsia" w:ascii="宋体" w:hAnsi="宋体" w:eastAsia="宋体" w:cs="宋体"/>
          <w:b/>
          <w:bCs/>
          <w:color w:val="000000"/>
          <w:szCs w:val="21"/>
          <w:highlight w:val="none"/>
        </w:rPr>
        <w:t xml:space="preserve">人民币</w:t>
      </w:r>
      <w:r>
        <w:rPr>
          <w:rFonts w:hint="eastAsia" w:ascii="宋体" w:hAnsi="宋体" w:eastAsia="宋体" w:cs="宋体"/>
          <w:b/>
          <w:bCs/>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（含13%增值税）</w:t>
      </w:r>
      <w:r>
        <w:rPr>
          <w:rFonts w:hint="eastAsia" w:ascii="宋体" w:hAnsi="宋体" w:eastAsia="宋体" w:cs="宋体"/>
          <w:bCs/>
          <w:color w:val="000000"/>
          <w:szCs w:val="21"/>
          <w:highlight w:val="none"/>
        </w:rPr>
      </w:r>
      <w:r/>
    </w:p>
    <w:p>
      <w:pPr>
        <w:pStyle w:val="1033"/>
        <w:ind w:left="108" w:firstLine="1470"/>
        <w:jc w:val="left"/>
        <w:keepLines w:val="0"/>
        <w:keepNext w:val="0"/>
        <w:pageBreakBefore w:val="0"/>
        <w:spacing w:before="0" w:after="0" w:line="360" w:lineRule="auto"/>
        <w:tabs>
          <w:tab w:val="left" w:pos="4785"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（小写）：</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u w:val="single"/>
        </w:rPr>
        <w:t xml:space="preserve">       </w:t>
      </w:r>
      <w:r>
        <w:rPr>
          <w:rFonts w:hint="eastAsia" w:ascii="宋体" w:hAnsi="宋体" w:eastAsia="宋体" w:cs="宋体"/>
          <w:b/>
          <w:bCs/>
          <w:color w:val="000000"/>
          <w:szCs w:val="21"/>
          <w:highlight w:val="none"/>
        </w:rPr>
        <w:t xml:space="preserve">元。</w:t>
      </w:r>
      <w:r>
        <w:rPr>
          <w:rFonts w:hint="eastAsia" w:ascii="宋体" w:hAnsi="宋体" w:eastAsia="宋体" w:cs="宋体"/>
          <w:bCs/>
          <w:color w:val="000000"/>
          <w:szCs w:val="21"/>
          <w:highlight w:val="none"/>
        </w:rPr>
      </w:r>
      <w:r/>
    </w:p>
    <w:p>
      <w:pPr>
        <w:pStyle w:val="1033"/>
        <w:ind w:firstLine="420"/>
        <w:keepLines w:val="0"/>
        <w:keepNext w:val="0"/>
        <w:pageBreakBefore w:val="0"/>
        <w:spacing w:before="0" w:after="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2.1合同总</w:t>
      </w:r>
      <w:r>
        <w:rPr>
          <w:rFonts w:hint="eastAsia" w:ascii="宋体" w:hAnsi="宋体" w:eastAsia="宋体" w:cs="宋体"/>
          <w:bCs/>
          <w:color w:val="000000"/>
          <w:szCs w:val="21"/>
          <w:highlight w:val="none"/>
        </w:rPr>
        <w:t xml:space="preserve">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rPr>
          <w:rFonts w:hint="eastAsia" w:ascii="宋体" w:hAnsi="宋体" w:eastAsia="宋体" w:cs="宋体"/>
          <w:color w:val="000000"/>
          <w:szCs w:val="21"/>
          <w:highlight w:val="none"/>
        </w:rPr>
      </w:r>
      <w:r/>
    </w:p>
    <w:p>
      <w:pPr>
        <w:pStyle w:val="1033"/>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 在安装、调试、验收过程中，如发现有漏项、缺件，乙方应无条件、无偿补齐，所发生的一切费用，视为已包含在乙方投标时的投标报价之中，且并不因此而影响交付甲方使用的时间。</w:t>
      </w:r>
      <w:r>
        <w:rPr>
          <w:rFonts w:hint="eastAsia" w:ascii="宋体" w:hAnsi="宋体" w:eastAsia="宋体" w:cs="宋体"/>
          <w:color w:val="000000"/>
          <w:szCs w:val="21"/>
          <w:highlight w:val="none"/>
        </w:rPr>
      </w:r>
      <w:r/>
    </w:p>
    <w:p>
      <w:pPr>
        <w:pStyle w:val="1033"/>
        <w:ind w:left="108"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 交付使用时间：</w:t>
      </w:r>
      <w:r>
        <w:rPr>
          <w:rFonts w:hint="eastAsia" w:ascii="宋体" w:hAnsi="宋体" w:eastAsia="宋体" w:cs="宋体"/>
          <w:b/>
          <w:color w:val="000000"/>
          <w:szCs w:val="21"/>
          <w:highlight w:val="none"/>
          <w:u w:val="single"/>
        </w:rPr>
        <w:t xml:space="preserve">合同签订后    日历天内供齐所有货物及服务，完成安装、调试及初步验收。</w:t>
      </w:r>
      <w:r>
        <w:rPr>
          <w:rFonts w:hint="eastAsia" w:ascii="宋体" w:hAnsi="宋体" w:eastAsia="宋体" w:cs="宋体"/>
          <w:color w:val="000000"/>
          <w:szCs w:val="21"/>
          <w:highlight w:val="none"/>
        </w:rPr>
      </w:r>
      <w:r/>
    </w:p>
    <w:p>
      <w:pPr>
        <w:pStyle w:val="1033"/>
        <w:ind w:firstLine="525"/>
        <w:keepLines w:val="0"/>
        <w:keepNext w:val="0"/>
        <w:pageBreakBefore w:val="0"/>
        <w:spacing w:before="0" w:after="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 收货人：</w:t>
      </w:r>
      <w:r>
        <w:rPr>
          <w:rFonts w:hint="eastAsia" w:ascii="宋体" w:hAnsi="宋体" w:eastAsia="宋体" w:cs="宋体"/>
          <w:b/>
          <w:color w:val="000000"/>
          <w:szCs w:val="21"/>
          <w:highlight w:val="none"/>
          <w:u w:val="single"/>
        </w:rPr>
        <w:t xml:space="preserve">江苏省特种设备安全监督检验研究院</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r>
      <w:r/>
    </w:p>
    <w:p>
      <w:pPr>
        <w:pStyle w:val="1050"/>
        <w:ind w:firstLine="525"/>
        <w:keepLines w:val="0"/>
        <w:keepNext w:val="0"/>
        <w:pageBreakBefore w:val="0"/>
        <w:spacing w:before="0" w:after="0" w:line="360" w:lineRule="auto"/>
        <w:tabs>
          <w:tab w:val="left" w:pos="-235"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5. 交货地点：</w:t>
      </w:r>
      <w:r>
        <w:rPr>
          <w:rFonts w:hint="eastAsia" w:ascii="宋体" w:hAnsi="宋体" w:cs="宋体"/>
          <w:b/>
          <w:bCs/>
          <w:color w:val="000000"/>
          <w:szCs w:val="21"/>
          <w:highlight w:val="none"/>
          <w:u w:val="single"/>
        </w:rPr>
        <w:t xml:space="preserve">甲方指定地点。</w:t>
      </w:r>
      <w:r>
        <w:rPr>
          <w:rFonts w:hint="eastAsia" w:ascii="宋体" w:hAnsi="宋体" w:cs="宋体"/>
          <w:color w:val="000000"/>
          <w:szCs w:val="21"/>
          <w:highlight w:val="none"/>
          <w:u w:val="single"/>
        </w:rPr>
      </w:r>
      <w:r/>
    </w:p>
    <w:p>
      <w:pPr>
        <w:pStyle w:val="1050"/>
        <w:ind w:firstLine="525"/>
        <w:keepLines w:val="0"/>
        <w:keepNext w:val="0"/>
        <w:pageBreakBefore w:val="0"/>
        <w:spacing w:before="0" w:after="0" w:line="360" w:lineRule="auto"/>
        <w:tabs>
          <w:tab w:val="left" w:pos="-235"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6. 设备的制造应符合下列标准或规范并据此验收：</w:t>
      </w:r>
      <w:r>
        <w:rPr>
          <w:rFonts w:hint="eastAsia" w:ascii="宋体" w:hAnsi="宋体" w:cs="宋体"/>
          <w:b/>
          <w:bCs/>
          <w:color w:val="000000"/>
          <w:szCs w:val="21"/>
          <w:highlight w:val="none"/>
          <w:u w:val="single"/>
        </w:rPr>
        <w:t xml:space="preserve">招标文件、投标文件、双方签订的技术协议和国家的相关标准。</w:t>
      </w:r>
      <w:r>
        <w:rPr>
          <w:rFonts w:hint="eastAsia" w:ascii="宋体" w:hAnsi="宋体" w:cs="宋体"/>
          <w:color w:val="000000"/>
          <w:highlight w:val="none"/>
        </w:rPr>
        <w:t xml:space="preserve">（上述标准或规范不一致时，则以要求较高者为准。）</w:t>
      </w:r>
      <w:r>
        <w:rPr>
          <w:rFonts w:hint="eastAsia" w:ascii="宋体" w:hAnsi="宋体" w:cs="宋体"/>
          <w:color w:val="000000"/>
          <w:szCs w:val="21"/>
          <w:highlight w:val="none"/>
          <w:u w:val="single"/>
        </w:rPr>
      </w:r>
      <w:r/>
    </w:p>
    <w:p>
      <w:pPr>
        <w:pStyle w:val="1033"/>
        <w:ind w:left="108" w:firstLine="420"/>
        <w:jc w:val="left"/>
        <w:keepLines w:val="0"/>
        <w:keepNext w:val="0"/>
        <w:pageBreakBefore w:val="0"/>
        <w:spacing w:before="0" w:after="0" w:line="360" w:lineRule="auto"/>
        <w:widowControl w:val="off"/>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 包装要求：全部货物的外包装，必须采用防漏、防潮、防震、防锈、防盗和考虑到可能会发生的野蛮装卸等长途内陆运输及多次装卸之需要。</w:t>
      </w:r>
      <w:r>
        <w:rPr>
          <w:rFonts w:hint="eastAsia" w:ascii="宋体" w:hAnsi="宋体" w:eastAsia="宋体" w:cs="宋体"/>
          <w:color w:val="000000"/>
          <w:szCs w:val="21"/>
          <w:highlight w:val="none"/>
        </w:rPr>
      </w:r>
      <w:r/>
    </w:p>
    <w:p>
      <w:pPr>
        <w:pStyle w:val="1033"/>
        <w:ind w:left="108" w:firstLine="420"/>
        <w:jc w:val="left"/>
        <w:keepLines w:val="0"/>
        <w:keepNext w:val="0"/>
        <w:pageBreakBefore w:val="0"/>
        <w:spacing w:before="0" w:after="0" w:line="360" w:lineRule="auto"/>
        <w:widowControl w:val="off"/>
        <w:tabs>
          <w:tab w:val="left" w:pos="4785" w:leader="none"/>
        </w:tabs>
        <w:rPr>
          <w:rFonts w:hint="eastAsia" w:ascii="宋体" w:hAnsi="宋体" w:eastAsia="宋体" w:cs="宋体"/>
          <w:color w:val="ff0000"/>
          <w:szCs w:val="21"/>
          <w:highlight w:val="none"/>
        </w:rPr>
      </w:pPr>
      <w:r>
        <w:rPr>
          <w:rFonts w:hint="eastAsia" w:ascii="宋体" w:hAnsi="宋体" w:eastAsia="宋体" w:cs="宋体"/>
          <w:color w:val="ff0000"/>
          <w:szCs w:val="21"/>
          <w:highlight w:val="none"/>
        </w:rPr>
      </w:r>
      <w:r/>
    </w:p>
    <w:p>
      <w:pPr>
        <w:pStyle w:val="1033"/>
        <w:ind w:left="108" w:firstLine="420"/>
        <w:jc w:val="left"/>
        <w:keepLines w:val="0"/>
        <w:keepNext w:val="0"/>
        <w:pageBreakBefore w:val="0"/>
        <w:spacing w:before="0" w:after="0" w:line="360" w:lineRule="auto"/>
        <w:widowControl w:val="off"/>
        <w:tabs>
          <w:tab w:val="left" w:pos="4785" w:leader="none"/>
        </w:tabs>
        <w:rPr>
          <w:rFonts w:hint="eastAsia" w:ascii="宋体" w:hAnsi="宋体" w:eastAsia="宋体" w:cs="宋体"/>
          <w:color w:val="ff0000"/>
          <w:szCs w:val="21"/>
          <w:highlight w:val="none"/>
        </w:rPr>
      </w:pPr>
      <w:r>
        <w:rPr>
          <w:rFonts w:hint="eastAsia" w:ascii="宋体" w:hAnsi="宋体" w:eastAsia="宋体" w:cs="宋体"/>
          <w:color w:val="ff0000"/>
          <w:szCs w:val="21"/>
          <w:highlight w:val="none"/>
        </w:rPr>
        <w:t xml:space="preserve">8.1合同签订生效后，甲方向乙方支付合同总价的50%；乙方在按照合同规定的期限内将设备、材料全部运抵交货地点，并安装调试结束，验收合格后，甲方收到乙方提供的合同总价10%的履约保函后向乙方支付合同总价的50%；在设备通过</w:t>
      </w:r>
      <w:r>
        <w:rPr>
          <w:rFonts w:hint="eastAsia" w:ascii="宋体" w:hAnsi="宋体" w:eastAsia="宋体" w:cs="宋体"/>
          <w:color w:val="ff0000"/>
          <w:szCs w:val="21"/>
          <w:highlight w:val="none"/>
          <w:lang w:val="en-US" w:eastAsia="zh-CN"/>
        </w:rPr>
        <w:t xml:space="preserve">甲方</w:t>
      </w:r>
      <w:r>
        <w:rPr>
          <w:rFonts w:hint="eastAsia" w:ascii="宋体" w:hAnsi="宋体" w:eastAsia="宋体" w:cs="宋体"/>
          <w:color w:val="ff0000"/>
          <w:szCs w:val="21"/>
          <w:highlight w:val="none"/>
        </w:rPr>
        <w:t xml:space="preserve">验收合格，无质量问题后12个月内</w:t>
      </w:r>
      <w:r>
        <w:rPr>
          <w:rFonts w:hint="eastAsia" w:ascii="宋体" w:hAnsi="宋体" w:eastAsia="宋体" w:cs="宋体"/>
          <w:color w:val="ff0000"/>
          <w:szCs w:val="21"/>
          <w:highlight w:val="none"/>
          <w:lang w:eastAsia="zh-CN"/>
        </w:rPr>
        <w:t xml:space="preserve">，</w:t>
      </w:r>
      <w:r>
        <w:rPr>
          <w:rFonts w:hint="eastAsia" w:ascii="宋体" w:hAnsi="宋体" w:eastAsia="宋体" w:cs="宋体"/>
          <w:color w:val="ff0000"/>
          <w:szCs w:val="21"/>
          <w:highlight w:val="none"/>
        </w:rPr>
        <w:t xml:space="preserve">甲方将无息退还乙方的履约保函。</w:t>
      </w:r>
      <w:r>
        <w:rPr>
          <w:rFonts w:hint="eastAsia" w:ascii="宋体" w:hAnsi="宋体" w:eastAsia="宋体" w:cs="宋体"/>
          <w:color w:val="ff0000"/>
          <w:szCs w:val="21"/>
          <w:highlight w:val="none"/>
        </w:rPr>
      </w:r>
      <w:r/>
    </w:p>
    <w:p>
      <w:pPr>
        <w:pStyle w:val="1033"/>
        <w:ind w:left="108" w:firstLine="420"/>
        <w:jc w:val="left"/>
        <w:keepLines w:val="0"/>
        <w:keepNext w:val="0"/>
        <w:pageBreakBefore w:val="0"/>
        <w:spacing w:before="0" w:after="0" w:line="360" w:lineRule="auto"/>
        <w:widowControl w:val="off"/>
        <w:tabs>
          <w:tab w:val="left" w:pos="4785" w:leader="none"/>
        </w:tabs>
        <w:rPr>
          <w:rFonts w:hint="eastAsia" w:ascii="宋体" w:hAnsi="宋体" w:eastAsia="宋体" w:cs="宋体"/>
          <w:color w:val="ff0000"/>
          <w:szCs w:val="21"/>
          <w:highlight w:val="none"/>
        </w:rPr>
      </w:pPr>
      <w:r>
        <w:rPr>
          <w:rFonts w:hint="eastAsia" w:ascii="宋体" w:hAnsi="宋体" w:eastAsia="宋体" w:cs="宋体"/>
          <w:color w:val="ff0000"/>
          <w:szCs w:val="21"/>
          <w:highlight w:val="none"/>
        </w:rPr>
        <w:t xml:space="preserve">8.2履约保函</w:t>
      </w:r>
      <w:r>
        <w:rPr>
          <w:rFonts w:hint="eastAsia" w:ascii="宋体" w:hAnsi="宋体" w:eastAsia="宋体" w:cs="宋体"/>
          <w:color w:val="ff0000"/>
          <w:szCs w:val="21"/>
          <w:highlight w:val="none"/>
        </w:rPr>
      </w:r>
      <w:r/>
    </w:p>
    <w:p>
      <w:pPr>
        <w:pStyle w:val="1033"/>
        <w:ind w:left="108" w:firstLine="420"/>
        <w:jc w:val="left"/>
        <w:keepLines w:val="0"/>
        <w:keepNext w:val="0"/>
        <w:pageBreakBefore w:val="0"/>
        <w:spacing w:before="0" w:after="0" w:line="360" w:lineRule="auto"/>
        <w:widowControl w:val="off"/>
        <w:tabs>
          <w:tab w:val="left" w:pos="4785" w:leader="none"/>
        </w:tabs>
        <w:rPr>
          <w:rFonts w:hint="eastAsia" w:ascii="宋体" w:hAnsi="宋体" w:eastAsia="宋体" w:cs="宋体"/>
          <w:color w:val="ff0000"/>
          <w:szCs w:val="21"/>
          <w:highlight w:val="none"/>
        </w:rPr>
      </w:pPr>
      <w:r>
        <w:rPr>
          <w:rFonts w:hint="eastAsia" w:ascii="宋体" w:hAnsi="宋体" w:eastAsia="宋体" w:cs="宋体"/>
          <w:color w:val="ff0000"/>
          <w:szCs w:val="21"/>
          <w:highlight w:val="none"/>
        </w:rPr>
        <w:t xml:space="preserve">（1）履约保函金额：合同总价10%；</w:t>
      </w:r>
      <w:r>
        <w:rPr>
          <w:rFonts w:hint="eastAsia" w:ascii="宋体" w:hAnsi="宋体" w:eastAsia="宋体" w:cs="宋体"/>
          <w:color w:val="ff0000"/>
          <w:szCs w:val="21"/>
          <w:highlight w:val="none"/>
        </w:rPr>
      </w:r>
      <w:r/>
    </w:p>
    <w:p>
      <w:pPr>
        <w:pStyle w:val="1033"/>
        <w:ind w:left="108" w:firstLine="420"/>
        <w:jc w:val="left"/>
        <w:keepLines w:val="0"/>
        <w:keepNext w:val="0"/>
        <w:pageBreakBefore w:val="0"/>
        <w:spacing w:before="0" w:after="0" w:line="360" w:lineRule="auto"/>
        <w:widowControl w:val="off"/>
        <w:tabs>
          <w:tab w:val="left" w:pos="4785" w:leader="none"/>
        </w:tabs>
        <w:rPr>
          <w:rFonts w:hint="eastAsia" w:ascii="宋体" w:hAnsi="宋体" w:eastAsia="宋体" w:cs="宋体"/>
          <w:color w:val="ff0000"/>
          <w:szCs w:val="21"/>
          <w:highlight w:val="none"/>
        </w:rPr>
      </w:pPr>
      <w:r>
        <w:rPr>
          <w:rFonts w:hint="eastAsia" w:ascii="宋体" w:hAnsi="宋体" w:eastAsia="宋体" w:cs="宋体"/>
          <w:color w:val="ff0000"/>
          <w:szCs w:val="21"/>
          <w:highlight w:val="none"/>
        </w:rPr>
        <w:t xml:space="preserve">（2）履约保函的形式：乙方应当以支票、汇票、本票或者金融机构、担保机构出具的保函等非现金形式提交；</w:t>
      </w:r>
      <w:r>
        <w:rPr>
          <w:rFonts w:hint="eastAsia" w:ascii="宋体" w:hAnsi="宋体" w:eastAsia="宋体" w:cs="宋体"/>
          <w:color w:val="ff0000"/>
          <w:szCs w:val="21"/>
          <w:highlight w:val="none"/>
        </w:rPr>
      </w:r>
      <w:r/>
    </w:p>
    <w:p>
      <w:pPr>
        <w:pStyle w:val="1033"/>
        <w:ind w:left="108" w:firstLine="420"/>
        <w:jc w:val="left"/>
        <w:keepLines w:val="0"/>
        <w:keepNext w:val="0"/>
        <w:pageBreakBefore w:val="0"/>
        <w:spacing w:before="0" w:after="0" w:line="360" w:lineRule="auto"/>
        <w:widowControl w:val="off"/>
        <w:tabs>
          <w:tab w:val="left" w:pos="4785" w:leader="none"/>
        </w:tabs>
        <w:rPr>
          <w:rFonts w:hint="eastAsia" w:ascii="宋体" w:hAnsi="宋体" w:eastAsia="宋体" w:cs="宋体"/>
          <w:color w:val="ff0000"/>
          <w:szCs w:val="21"/>
          <w:highlight w:val="none"/>
        </w:rPr>
      </w:pPr>
      <w:r>
        <w:rPr>
          <w:rFonts w:hint="eastAsia" w:ascii="宋体" w:hAnsi="宋体" w:eastAsia="宋体" w:cs="宋体"/>
          <w:color w:val="ff0000"/>
          <w:szCs w:val="21"/>
          <w:highlight w:val="none"/>
        </w:rPr>
        <w:t xml:space="preserve">（3）履约保函的退还：在设备通过甲方验收合格，无质量问题后12个月内，甲方将无息退还乙方的履约保函；</w:t>
      </w:r>
      <w:r>
        <w:rPr>
          <w:rFonts w:hint="eastAsia" w:ascii="宋体" w:hAnsi="宋体" w:eastAsia="宋体" w:cs="宋体"/>
          <w:color w:val="ff0000"/>
          <w:szCs w:val="21"/>
          <w:highlight w:val="none"/>
        </w:rPr>
      </w:r>
      <w:r/>
    </w:p>
    <w:p>
      <w:pPr>
        <w:pStyle w:val="1033"/>
        <w:ind w:left="108" w:firstLine="420"/>
        <w:jc w:val="left"/>
        <w:keepLines w:val="0"/>
        <w:keepNext w:val="0"/>
        <w:pageBreakBefore w:val="0"/>
        <w:spacing w:before="0" w:after="0" w:line="360" w:lineRule="auto"/>
        <w:widowControl w:val="off"/>
        <w:tabs>
          <w:tab w:val="left" w:pos="4785" w:leader="none"/>
        </w:tabs>
        <w:rPr>
          <w:rFonts w:hint="eastAsia" w:ascii="宋体" w:hAnsi="宋体" w:eastAsia="宋体" w:cs="宋体"/>
          <w:color w:val="ff0000"/>
          <w:szCs w:val="21"/>
          <w:highlight w:val="none"/>
        </w:rPr>
      </w:pPr>
      <w:r>
        <w:rPr>
          <w:rFonts w:hint="eastAsia" w:ascii="宋体" w:hAnsi="宋体" w:eastAsia="宋体" w:cs="宋体"/>
          <w:color w:val="ff0000"/>
          <w:szCs w:val="21"/>
          <w:highlight w:val="none"/>
        </w:rPr>
        <w:t xml:space="preserve">（4）逾期退还履约保函的处理：甲方未按照规定退还履约保函的（因乙方自身原因导致无法及时退还的除外），由财政部门依照《中华人民共和国政府采购法》等有关规定处理；</w:t>
      </w:r>
      <w:r>
        <w:rPr>
          <w:rFonts w:hint="eastAsia" w:ascii="宋体" w:hAnsi="宋体" w:eastAsia="宋体" w:cs="宋体"/>
          <w:color w:val="ff0000"/>
          <w:szCs w:val="21"/>
          <w:highlight w:val="none"/>
        </w:rPr>
      </w:r>
      <w:r/>
    </w:p>
    <w:p>
      <w:pPr>
        <w:pStyle w:val="1033"/>
        <w:ind w:left="108" w:firstLine="420"/>
        <w:jc w:val="left"/>
        <w:keepLines w:val="0"/>
        <w:keepNext w:val="0"/>
        <w:pageBreakBefore w:val="0"/>
        <w:spacing w:before="0" w:after="0" w:line="360" w:lineRule="auto"/>
        <w:widowControl w:val="off"/>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ff0000"/>
          <w:szCs w:val="21"/>
          <w:highlight w:val="none"/>
        </w:rPr>
        <w:t xml:space="preserve">（5）不予退还履约保函的处理：对于符合政府采购政策和招标文件规定不予退还的履约保函，甲方应当确认相关情形后按照财政非税收入管理等规定上缴甲方同级预算级次国库。</w:t>
      </w:r>
      <w:r>
        <w:rPr>
          <w:rFonts w:hint="eastAsia" w:ascii="宋体" w:hAnsi="宋体" w:eastAsia="宋体" w:cs="宋体"/>
          <w:color w:val="000000"/>
          <w:szCs w:val="21"/>
          <w:highlight w:val="none"/>
        </w:rPr>
      </w:r>
      <w:r/>
    </w:p>
    <w:p>
      <w:pPr>
        <w:pStyle w:val="1033"/>
        <w:numPr>
          <w:ilvl w:val="0"/>
          <w:numId w:val="43"/>
        </w:numPr>
        <w:ind w:left="108"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交付和验收</w:t>
      </w:r>
      <w:r>
        <w:rPr>
          <w:rFonts w:hint="eastAsia" w:ascii="宋体" w:hAnsi="宋体" w:eastAsia="宋体" w:cs="宋体"/>
          <w:color w:val="000000"/>
          <w:szCs w:val="21"/>
          <w:highlight w:val="none"/>
        </w:rPr>
      </w:r>
      <w:r/>
    </w:p>
    <w:p>
      <w:pPr>
        <w:pStyle w:val="1033"/>
        <w:ind w:firstLine="630"/>
        <w:jc w:val="left"/>
        <w:keepLines w:val="0"/>
        <w:keepNext w:val="0"/>
        <w:pageBreakBefore w:val="0"/>
        <w:spacing w:before="0" w:after="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9.1乙方应当在合同签订后，根据招标文件及投标文件的要求完成服务事项。</w:t>
      </w:r>
      <w:r>
        <w:rPr>
          <w:rFonts w:hint="eastAsia" w:ascii="宋体" w:hAnsi="宋体" w:eastAsia="宋体" w:cs="宋体"/>
          <w:color w:val="000000"/>
          <w:szCs w:val="21"/>
          <w:highlight w:val="none"/>
        </w:rPr>
      </w:r>
      <w:r/>
    </w:p>
    <w:p>
      <w:pPr>
        <w:pStyle w:val="1033"/>
        <w:ind w:firstLine="630"/>
        <w:jc w:val="left"/>
        <w:keepLines w:val="0"/>
        <w:keepNext w:val="0"/>
        <w:pageBreakBefore w:val="0"/>
        <w:spacing w:before="0" w:after="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9.2验收标准：按行业通行标准和乙方投标文件的承诺（不低于国家相关标准）。</w:t>
      </w:r>
      <w:r>
        <w:rPr>
          <w:rFonts w:hint="eastAsia" w:ascii="宋体" w:hAnsi="宋体" w:eastAsia="宋体" w:cs="宋体"/>
          <w:color w:val="000000"/>
          <w:szCs w:val="21"/>
          <w:highlight w:val="none"/>
        </w:rPr>
      </w:r>
      <w:r/>
    </w:p>
    <w:p>
      <w:pPr>
        <w:pStyle w:val="1033"/>
        <w:ind w:firstLine="630"/>
        <w:jc w:val="left"/>
        <w:keepLines w:val="0"/>
        <w:keepNext w:val="0"/>
        <w:pageBreakBefore w:val="0"/>
        <w:spacing w:before="0" w:after="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9.3验收方式：所提供的设备（含服务）符合招标文件及投标文件、双方签订的技术协议和国家的相关标准，综合验收合格后，经甲方项目负责人确认填写项目验收报告。</w:t>
      </w:r>
      <w:r>
        <w:rPr>
          <w:rFonts w:hint="eastAsia" w:ascii="宋体" w:hAnsi="宋体" w:eastAsia="宋体" w:cs="宋体"/>
          <w:color w:val="000000"/>
          <w:szCs w:val="21"/>
          <w:highlight w:val="none"/>
        </w:rPr>
      </w:r>
      <w:r/>
    </w:p>
    <w:p>
      <w:pPr>
        <w:pStyle w:val="1033"/>
        <w:ind w:left="108"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 质保期及售后服务</w:t>
      </w:r>
      <w:r>
        <w:rPr>
          <w:rFonts w:hint="eastAsia" w:ascii="宋体" w:hAnsi="宋体" w:eastAsia="宋体" w:cs="宋体"/>
          <w:color w:val="000000"/>
          <w:szCs w:val="21"/>
          <w:highlight w:val="none"/>
        </w:rPr>
      </w:r>
      <w:r/>
    </w:p>
    <w:p>
      <w:pPr>
        <w:pStyle w:val="1033"/>
        <w:ind w:left="108" w:firstLine="420"/>
        <w:jc w:val="left"/>
        <w:keepLines w:val="0"/>
        <w:keepNext w:val="0"/>
        <w:pageBreakBefore w:val="0"/>
        <w:spacing w:before="0" w:after="0" w:line="360" w:lineRule="auto"/>
        <w:tabs>
          <w:tab w:val="left" w:pos="4785" w:leader="none"/>
        </w:tabs>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10.1 乙方所供设备、材料及安装的质量保证期：</w:t>
      </w:r>
      <w:r>
        <w:rPr>
          <w:rFonts w:hint="eastAsia" w:ascii="宋体" w:hAnsi="宋体" w:eastAsia="宋体" w:cs="宋体"/>
          <w:b/>
          <w:bCs/>
          <w:color w:val="000000"/>
          <w:szCs w:val="21"/>
          <w:highlight w:val="none"/>
          <w:u w:val="single"/>
        </w:rPr>
        <w:t xml:space="preserve">安装验收合格后</w:t>
      </w:r>
      <w:r>
        <w:rPr>
          <w:rFonts w:hint="eastAsia" w:ascii="宋体" w:hAnsi="宋体" w:eastAsia="宋体" w:cs="宋体"/>
          <w:b/>
          <w:bCs/>
          <w:color w:val="000000"/>
          <w:szCs w:val="21"/>
          <w:highlight w:val="none"/>
          <w:u w:val="single"/>
          <w:lang w:val="en-US" w:eastAsia="zh-CN"/>
        </w:rPr>
        <w:t xml:space="preserve">  </w:t>
      </w:r>
      <w:r>
        <w:rPr>
          <w:rFonts w:hint="eastAsia" w:ascii="宋体" w:hAnsi="宋体" w:eastAsia="宋体" w:cs="宋体"/>
          <w:b/>
          <w:bCs/>
          <w:color w:val="000000"/>
          <w:szCs w:val="21"/>
          <w:highlight w:val="none"/>
          <w:u w:val="single"/>
        </w:rPr>
        <w:t xml:space="preserve">年。</w:t>
      </w:r>
      <w:r>
        <w:rPr>
          <w:rFonts w:hint="eastAsia" w:ascii="宋体" w:hAnsi="宋体" w:eastAsia="宋体" w:cs="宋体"/>
          <w:b/>
          <w:bCs/>
          <w:color w:val="000000"/>
          <w:szCs w:val="21"/>
          <w:highlight w:val="none"/>
        </w:rPr>
      </w:r>
      <w:r/>
    </w:p>
    <w:p>
      <w:pPr>
        <w:pStyle w:val="1033"/>
        <w:ind w:left="108"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10.2 在质保期内，因乙方所供设备、材料制造质量或安装问题出现设备故障时，乙方在接到甲方通知</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包括书面通知、电话、传真、电子邮件等</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rPr>
          <w:rFonts w:hint="eastAsia" w:ascii="宋体" w:hAnsi="宋体" w:eastAsia="宋体" w:cs="宋体"/>
          <w:color w:val="000000"/>
          <w:szCs w:val="21"/>
          <w:highlight w:val="none"/>
        </w:rPr>
      </w:r>
      <w:r/>
    </w:p>
    <w:p>
      <w:pPr>
        <w:pStyle w:val="1033"/>
        <w:ind w:left="108"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10.3 在质保期内，因甲方使用不当原因出现设备故障时，乙方在</w:t>
      </w:r>
      <w:r>
        <w:rPr>
          <w:rFonts w:hint="eastAsia" w:ascii="宋体" w:hAnsi="宋体" w:eastAsia="宋体" w:cs="宋体"/>
          <w:color w:val="000000"/>
          <w:szCs w:val="21"/>
          <w:highlight w:val="none"/>
          <w:lang w:eastAsia="zh-CN"/>
        </w:rPr>
        <w:t xml:space="preserve">接到</w:t>
      </w:r>
      <w:r>
        <w:rPr>
          <w:rFonts w:hint="eastAsia" w:ascii="宋体" w:hAnsi="宋体" w:eastAsia="宋体" w:cs="宋体"/>
          <w:color w:val="000000"/>
          <w:szCs w:val="21"/>
          <w:highlight w:val="none"/>
        </w:rPr>
        <w:t xml:space="preserve">甲方通知后，应在10.2条款中所述的时限内响应并派</w:t>
      </w:r>
      <w:r>
        <w:rPr>
          <w:rFonts w:hint="eastAsia" w:ascii="宋体" w:hAnsi="宋体" w:eastAsia="宋体" w:cs="宋体"/>
          <w:color w:val="000000"/>
          <w:szCs w:val="21"/>
          <w:highlight w:val="none"/>
        </w:rPr>
        <w:t xml:space="preserve">设备厂家工程师</w:t>
      </w:r>
      <w:r>
        <w:rPr>
          <w:rFonts w:hint="eastAsia" w:ascii="宋体" w:hAnsi="宋体" w:eastAsia="宋体" w:cs="宋体"/>
          <w:color w:val="000000"/>
          <w:szCs w:val="21"/>
          <w:highlight w:val="none"/>
        </w:rPr>
        <w:t xml:space="preserve">赶到甲方现场，帮助排除故障、修复或更换零部件，需购买零部件时，仅收取成本费。</w:t>
      </w:r>
      <w:r>
        <w:rPr>
          <w:rFonts w:hint="eastAsia" w:ascii="宋体" w:hAnsi="宋体" w:eastAsia="宋体" w:cs="宋体"/>
          <w:color w:val="000000"/>
          <w:szCs w:val="21"/>
          <w:highlight w:val="none"/>
        </w:rPr>
      </w:r>
      <w:r/>
    </w:p>
    <w:p>
      <w:pPr>
        <w:pStyle w:val="1033"/>
        <w:ind w:left="108"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10.4 质保期满后，如设备出现故障，</w:t>
      </w: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rPr>
        <w:t xml:space="preserve">在</w:t>
      </w:r>
      <w:r>
        <w:rPr>
          <w:rFonts w:hint="eastAsia" w:ascii="宋体" w:hAnsi="宋体" w:eastAsia="宋体" w:cs="宋体"/>
          <w:color w:val="000000"/>
          <w:szCs w:val="21"/>
          <w:highlight w:val="none"/>
          <w:lang w:eastAsia="zh-CN"/>
        </w:rPr>
        <w:t xml:space="preserve">接到</w:t>
      </w:r>
      <w:r>
        <w:rPr>
          <w:rFonts w:hint="eastAsia" w:ascii="宋体" w:hAnsi="宋体" w:eastAsia="宋体" w:cs="宋体"/>
          <w:color w:val="000000"/>
          <w:szCs w:val="21"/>
          <w:highlight w:val="none"/>
        </w:rPr>
        <w:t xml:space="preserve">甲方通知后，仍应在上述时限内响应、派</w:t>
      </w:r>
      <w:r>
        <w:rPr>
          <w:rFonts w:hint="eastAsia" w:ascii="宋体" w:hAnsi="宋体" w:eastAsia="宋体" w:cs="宋体"/>
          <w:color w:val="000000"/>
          <w:szCs w:val="21"/>
          <w:highlight w:val="none"/>
        </w:rPr>
        <w:t xml:space="preserve">设备厂家工程师</w:t>
      </w:r>
      <w:r>
        <w:rPr>
          <w:rFonts w:hint="eastAsia" w:ascii="宋体" w:hAnsi="宋体" w:eastAsia="宋体" w:cs="宋体"/>
          <w:color w:val="000000"/>
          <w:szCs w:val="21"/>
          <w:highlight w:val="none"/>
        </w:rPr>
        <w:t xml:space="preserve">赶到甲方现场，帮助排除故障、修复或更换零部件，需购买零部件时，酌情收取成本费。</w:t>
      </w:r>
      <w:r>
        <w:rPr>
          <w:rFonts w:hint="eastAsia" w:ascii="宋体" w:hAnsi="宋体" w:eastAsia="宋体" w:cs="宋体"/>
          <w:color w:val="000000"/>
          <w:szCs w:val="21"/>
          <w:highlight w:val="none"/>
        </w:rPr>
      </w:r>
      <w:r/>
    </w:p>
    <w:p>
      <w:pPr>
        <w:pStyle w:val="1033"/>
        <w:ind w:left="108"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技术资料</w:t>
      </w:r>
      <w:r>
        <w:rPr>
          <w:rFonts w:hint="eastAsia" w:ascii="宋体" w:hAnsi="宋体" w:eastAsia="宋体" w:cs="宋体"/>
          <w:color w:val="000000"/>
          <w:szCs w:val="21"/>
          <w:highlight w:val="none"/>
        </w:rPr>
      </w:r>
      <w:r/>
    </w:p>
    <w:p>
      <w:pPr>
        <w:pStyle w:val="1033"/>
        <w:ind w:left="108"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按第四章技术规格、参数及其他要求中的要求提供相关资料（见附件）。</w:t>
      </w:r>
      <w:r>
        <w:rPr>
          <w:rFonts w:hint="eastAsia" w:ascii="宋体" w:hAnsi="宋体" w:eastAsia="宋体" w:cs="宋体"/>
          <w:color w:val="000000"/>
          <w:szCs w:val="21"/>
          <w:highlight w:val="none"/>
        </w:rPr>
      </w:r>
      <w:r/>
    </w:p>
    <w:p>
      <w:pPr>
        <w:pStyle w:val="1033"/>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12.货物风险承担</w:t>
      </w:r>
      <w:r>
        <w:rPr>
          <w:rFonts w:hint="eastAsia" w:ascii="宋体" w:hAnsi="宋体" w:eastAsia="宋体" w:cs="宋体"/>
          <w:color w:val="000000"/>
          <w:szCs w:val="21"/>
          <w:highlight w:val="none"/>
        </w:rPr>
      </w:r>
      <w:r/>
    </w:p>
    <w:p>
      <w:pPr>
        <w:pStyle w:val="1033"/>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12.1乙方应当按照甲方指定的地点交货，需要运输的货物，乙方应当妥善保障货物在运输过程中的安全。</w:t>
      </w:r>
      <w:r>
        <w:rPr>
          <w:rFonts w:hint="eastAsia" w:ascii="宋体" w:hAnsi="宋体" w:eastAsia="宋体" w:cs="宋体"/>
          <w:color w:val="000000"/>
          <w:szCs w:val="21"/>
          <w:highlight w:val="none"/>
        </w:rPr>
      </w:r>
      <w:r/>
    </w:p>
    <w:p>
      <w:pPr>
        <w:pStyle w:val="1033"/>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12.2乙方将货物运输至甲方指定的地点后，应当及时通知甲方进行接收，由甲方进行检验。</w:t>
      </w:r>
      <w:r>
        <w:rPr>
          <w:rFonts w:hint="eastAsia" w:ascii="宋体" w:hAnsi="宋体" w:eastAsia="宋体" w:cs="宋体"/>
          <w:color w:val="000000"/>
          <w:szCs w:val="21"/>
          <w:highlight w:val="none"/>
        </w:rPr>
      </w:r>
      <w:r/>
    </w:p>
    <w:p>
      <w:pPr>
        <w:pStyle w:val="1033"/>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12.3在货物验收合格之前毁损、灭失的风险由乙方承担，因甲方原因造成货物毁损、灭失的除外。</w:t>
      </w:r>
      <w:r>
        <w:rPr>
          <w:rFonts w:hint="eastAsia" w:ascii="宋体" w:hAnsi="宋体" w:eastAsia="宋体" w:cs="宋体"/>
          <w:color w:val="000000"/>
          <w:szCs w:val="21"/>
          <w:highlight w:val="none"/>
        </w:rPr>
      </w:r>
      <w:r/>
    </w:p>
    <w:p>
      <w:pPr>
        <w:pStyle w:val="1033"/>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 乙方的违约责任</w:t>
      </w:r>
      <w:r>
        <w:rPr>
          <w:rFonts w:hint="eastAsia" w:ascii="宋体" w:hAnsi="宋体" w:eastAsia="宋体" w:cs="宋体"/>
          <w:color w:val="000000"/>
          <w:szCs w:val="21"/>
          <w:highlight w:val="none"/>
        </w:rPr>
      </w:r>
      <w:r/>
    </w:p>
    <w:p>
      <w:pPr>
        <w:pStyle w:val="1033"/>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13.1乙方未按合同规定的质量要求交货，甲方有权拒收，由此造成的直接损失和间接损失由乙方承担。</w:t>
      </w:r>
      <w:r>
        <w:rPr>
          <w:rFonts w:hint="eastAsia" w:ascii="宋体" w:hAnsi="宋体" w:eastAsia="宋体" w:cs="宋体"/>
          <w:color w:val="000000"/>
          <w:szCs w:val="21"/>
          <w:highlight w:val="none"/>
        </w:rPr>
      </w:r>
      <w:r/>
    </w:p>
    <w:p>
      <w:pPr>
        <w:pStyle w:val="1033"/>
        <w:ind w:firstLine="420"/>
        <w:jc w:val="left"/>
        <w:keepLines w:val="0"/>
        <w:keepNext w:val="0"/>
        <w:pageBreakBefore w:val="0"/>
        <w:spacing w:before="0" w:after="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13.2</w:t>
      </w:r>
      <w:r>
        <w:rPr>
          <w:rFonts w:hint="eastAsia" w:ascii="宋体" w:hAnsi="宋体" w:eastAsia="宋体" w:cs="宋体"/>
          <w:color w:val="000000"/>
          <w:szCs w:val="21"/>
          <w:highlight w:val="none"/>
        </w:rPr>
        <w:t xml:space="preserve">乙方逾期交付的，每逾期1天，乙方应向甲方支付合同总价款的5‰的逾期违约金。</w:t>
      </w:r>
      <w:r>
        <w:rPr>
          <w:rFonts w:hint="eastAsia" w:ascii="宋体" w:hAnsi="宋体" w:eastAsia="宋体" w:cs="宋体"/>
          <w:color w:val="000000"/>
          <w:szCs w:val="21"/>
          <w:highlight w:val="none"/>
        </w:rPr>
      </w:r>
      <w:r/>
    </w:p>
    <w:p>
      <w:pPr>
        <w:pStyle w:val="1033"/>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13.3货物有合格证及说明书等资料的，在交付货物时，乙方应当一并交付合格证及说明书等资料，未交付的甲方有权拒绝接收。因此造成的损失由乙方承担。</w:t>
      </w:r>
      <w:r>
        <w:rPr>
          <w:rFonts w:hint="eastAsia" w:ascii="宋体" w:hAnsi="宋体" w:eastAsia="宋体" w:cs="宋体"/>
          <w:color w:val="000000"/>
          <w:szCs w:val="21"/>
          <w:highlight w:val="none"/>
        </w:rPr>
      </w:r>
      <w:r/>
    </w:p>
    <w:p>
      <w:pPr>
        <w:pStyle w:val="1033"/>
        <w:ind w:firstLine="420"/>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宋体" w:hAnsi="宋体" w:eastAsia="宋体" w:cs="宋体"/>
          <w:color w:val="000000"/>
          <w:szCs w:val="21"/>
          <w:highlight w:val="none"/>
        </w:rPr>
        <w:t xml:space="preserve">（违约金标准：合同金额</w:t>
      </w:r>
      <w:r>
        <w:rPr>
          <w:rFonts w:hint="eastAsia" w:ascii="宋体" w:hAnsi="宋体" w:eastAsia="宋体" w:cs="宋体"/>
          <w:color w:val="000000"/>
          <w:szCs w:val="21"/>
          <w:highlight w:val="none"/>
          <w:lang w:eastAsia="zh-CN"/>
        </w:rPr>
        <w:t xml:space="preserve">50万元（含</w:t>
      </w:r>
      <w:r>
        <w:rPr>
          <w:rFonts w:hint="eastAsia" w:ascii="宋体" w:hAnsi="宋体" w:eastAsia="宋体" w:cs="宋体"/>
          <w:color w:val="000000"/>
          <w:szCs w:val="21"/>
          <w:highlight w:val="none"/>
        </w:rPr>
        <w:t xml:space="preserve">）以下的违约金按照合同总价款的20%计算，合同金额50万至100万（含）的违约金按照合同总价款的10%计算，合同金额超过100</w:t>
      </w:r>
      <w:r>
        <w:rPr>
          <w:rFonts w:hint="eastAsia" w:ascii="宋体" w:hAnsi="宋体" w:eastAsia="宋体" w:cs="宋体"/>
          <w:color w:val="000000"/>
          <w:szCs w:val="21"/>
          <w:highlight w:val="none"/>
          <w:lang w:eastAsia="zh-CN"/>
        </w:rPr>
        <w:t xml:space="preserve">万元</w:t>
      </w:r>
      <w:r>
        <w:rPr>
          <w:rFonts w:hint="eastAsia" w:ascii="宋体" w:hAnsi="宋体" w:eastAsia="宋体" w:cs="宋体"/>
          <w:color w:val="000000"/>
          <w:szCs w:val="21"/>
          <w:highlight w:val="none"/>
        </w:rPr>
        <w:t xml:space="preserve">的违约金按照合同总价款的5%计算）</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33"/>
        <w:ind w:firstLine="420"/>
        <w:jc w:val="left"/>
        <w:keepLines w:val="0"/>
        <w:keepNext w:val="0"/>
        <w:pageBreakBefore w:val="0"/>
        <w:spacing w:before="0" w:after="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13.5乙方逾期交付达10天，视为乙方拒绝交付、不能交付或不能完成合同，甲方有权解除合同，解除合同的通知自到达乙方时生效，解除合同造成的直接损失和间接损失全部由乙方承担。</w:t>
      </w:r>
      <w:r>
        <w:rPr>
          <w:rFonts w:hint="eastAsia" w:ascii="宋体" w:hAnsi="宋体" w:eastAsia="宋体" w:cs="宋体"/>
          <w:color w:val="000000"/>
          <w:szCs w:val="21"/>
          <w:highlight w:val="none"/>
        </w:rPr>
      </w:r>
      <w:r/>
    </w:p>
    <w:p>
      <w:pPr>
        <w:pStyle w:val="1033"/>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13.6本合同所有货物的制造及安装，都必须由乙方自己或投标文件中明确的单位承担，不得分包给其他单位。否则，甲方有权按乙方拒绝交付、不能交付或不能完成合同处理。</w:t>
      </w:r>
      <w:r>
        <w:rPr>
          <w:rFonts w:hint="eastAsia" w:ascii="宋体" w:hAnsi="宋体" w:eastAsia="宋体" w:cs="宋体"/>
          <w:color w:val="000000"/>
          <w:szCs w:val="21"/>
          <w:highlight w:val="none"/>
        </w:rPr>
      </w:r>
      <w:r/>
    </w:p>
    <w:p>
      <w:pPr>
        <w:pStyle w:val="1033"/>
        <w:ind w:firstLine="420"/>
        <w:keepLines w:val="0"/>
        <w:keepNext w:val="0"/>
        <w:pageBreakBefore w:val="0"/>
        <w:spacing w:before="0" w:after="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13.7</w:t>
      </w:r>
      <w:r>
        <w:rPr>
          <w:rFonts w:hint="eastAsia" w:ascii="宋体" w:hAnsi="宋体" w:eastAsia="宋体" w:cs="宋体"/>
          <w:color w:val="000000"/>
          <w:szCs w:val="21"/>
          <w:highlight w:val="none"/>
        </w:rPr>
        <w:t xml:space="preserve">乙方所交付的货物或服务不符合合同规定的，甲方有权拒收。甲方拒收的，乙方应向甲方支付违约金</w:t>
      </w:r>
      <w:bookmarkStart w:id="122" w:name="OLE_LINK8"/>
      <w:r>
        <w:rPr>
          <w:rFonts w:hint="eastAsia" w:ascii="宋体" w:hAnsi="宋体" w:eastAsia="宋体" w:cs="宋体"/>
          <w:color w:val="000000"/>
          <w:szCs w:val="21"/>
          <w:highlight w:val="none"/>
        </w:rPr>
        <w:t xml:space="preserve">（违约金标准：合同金额</w:t>
      </w:r>
      <w:r>
        <w:rPr>
          <w:rFonts w:hint="eastAsia" w:ascii="宋体" w:hAnsi="宋体" w:eastAsia="宋体" w:cs="宋体"/>
          <w:color w:val="000000"/>
          <w:szCs w:val="21"/>
          <w:highlight w:val="none"/>
          <w:lang w:eastAsia="zh-CN"/>
        </w:rPr>
        <w:t xml:space="preserve">50万元（含</w:t>
      </w:r>
      <w:r>
        <w:rPr>
          <w:rFonts w:hint="eastAsia" w:ascii="宋体" w:hAnsi="宋体" w:eastAsia="宋体" w:cs="宋体"/>
          <w:color w:val="000000"/>
          <w:szCs w:val="21"/>
          <w:highlight w:val="none"/>
        </w:rPr>
        <w:t xml:space="preserve">）以下的违约金按照合同总价款的20%计算，合同金额50万至100</w:t>
      </w:r>
      <w:r>
        <w:rPr>
          <w:rFonts w:hint="eastAsia" w:ascii="宋体" w:hAnsi="宋体" w:eastAsia="宋体" w:cs="宋体"/>
          <w:color w:val="000000"/>
          <w:szCs w:val="21"/>
          <w:highlight w:val="none"/>
          <w:lang w:eastAsia="zh-CN"/>
        </w:rPr>
        <w:t xml:space="preserve">万元</w:t>
      </w:r>
      <w:r>
        <w:rPr>
          <w:rFonts w:hint="eastAsia" w:ascii="宋体" w:hAnsi="宋体" w:eastAsia="宋体" w:cs="宋体"/>
          <w:color w:val="000000"/>
          <w:szCs w:val="21"/>
          <w:highlight w:val="none"/>
        </w:rPr>
        <w:t xml:space="preserve">（含）的违约金按照合同总价款的10%计算，合同金额超过100</w:t>
      </w:r>
      <w:r>
        <w:rPr>
          <w:rFonts w:hint="eastAsia" w:ascii="宋体" w:hAnsi="宋体" w:eastAsia="宋体" w:cs="宋体"/>
          <w:color w:val="000000"/>
          <w:szCs w:val="21"/>
          <w:highlight w:val="none"/>
          <w:lang w:eastAsia="zh-CN"/>
        </w:rPr>
        <w:t xml:space="preserve">万元的违约金</w:t>
      </w:r>
      <w:r>
        <w:rPr>
          <w:rFonts w:hint="eastAsia" w:ascii="宋体" w:hAnsi="宋体" w:eastAsia="宋体" w:cs="宋体"/>
          <w:color w:val="000000"/>
          <w:szCs w:val="21"/>
          <w:highlight w:val="none"/>
        </w:rPr>
        <w:t xml:space="preserve">按照合同总价款的5%计算）</w:t>
      </w:r>
      <w:bookmarkEnd w:id="122"/>
      <w:r>
        <w:rPr>
          <w:rFonts w:hint="eastAsia" w:ascii="宋体" w:hAnsi="宋体" w:eastAsia="宋体" w:cs="宋体"/>
          <w:color w:val="000000"/>
          <w:szCs w:val="21"/>
          <w:highlight w:val="none"/>
        </w:rPr>
        <w:t xml:space="preserve">。甲方未拒收的，采购代理机构发现后将向有关部门反映，并责成乙方按照采购结果提供服务。</w:t>
      </w:r>
      <w:r>
        <w:rPr>
          <w:rFonts w:hint="eastAsia" w:ascii="宋体" w:hAnsi="宋体" w:eastAsia="宋体" w:cs="宋体"/>
          <w:color w:val="000000"/>
          <w:szCs w:val="21"/>
          <w:highlight w:val="none"/>
        </w:rPr>
      </w:r>
      <w:r/>
    </w:p>
    <w:p>
      <w:pPr>
        <w:pStyle w:val="1033"/>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13.8乙方履行义务不符合合同约定时，甲方将扣减合同总价款10%的尾款，同时甲方有权按照本合同的约定追究乙方的违约责任。</w:t>
      </w:r>
      <w:r>
        <w:rPr>
          <w:rFonts w:hint="eastAsia" w:ascii="宋体" w:hAnsi="宋体" w:eastAsia="宋体" w:cs="宋体"/>
          <w:color w:val="000000"/>
          <w:szCs w:val="21"/>
          <w:highlight w:val="none"/>
        </w:rPr>
      </w:r>
      <w:r/>
    </w:p>
    <w:p>
      <w:pPr>
        <w:pStyle w:val="1033"/>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13.9乙方应当向甲方提供合法且符合甲方要求的发票</w:t>
      </w:r>
      <w:r>
        <w:rPr>
          <w:rFonts w:hint="eastAsia" w:ascii="宋体" w:hAnsi="宋体" w:eastAsia="宋体" w:cs="宋体"/>
          <w:color w:val="000000"/>
          <w:szCs w:val="21"/>
          <w:highlight w:val="none"/>
          <w:lang w:eastAsia="zh-CN"/>
        </w:rPr>
        <w:t xml:space="preserve">，在</w:t>
      </w:r>
      <w:r>
        <w:rPr>
          <w:rFonts w:hint="eastAsia" w:ascii="宋体" w:hAnsi="宋体" w:eastAsia="宋体" w:cs="宋体"/>
          <w:color w:val="000000"/>
          <w:szCs w:val="21"/>
          <w:highlight w:val="none"/>
        </w:rPr>
        <w:t xml:space="preserve">乙方未提供发票之前甲方有权拒绝支付合同款项，由此造成的损失由乙方承担，因乙方未提供发票导致甲方未支付货款的，并不因此免除乙方按约定供货的义务。</w:t>
      </w:r>
      <w:r>
        <w:rPr>
          <w:rFonts w:hint="eastAsia" w:ascii="宋体" w:hAnsi="宋体" w:eastAsia="宋体" w:cs="宋体"/>
          <w:color w:val="000000"/>
          <w:szCs w:val="21"/>
          <w:highlight w:val="none"/>
        </w:rPr>
        <w:tab/>
      </w:r>
      <w:r>
        <w:rPr>
          <w:rFonts w:hint="eastAsia" w:ascii="宋体" w:hAnsi="宋体" w:eastAsia="宋体" w:cs="宋体"/>
          <w:color w:val="000000"/>
          <w:szCs w:val="21"/>
          <w:highlight w:val="none"/>
        </w:rPr>
      </w:r>
      <w:r/>
    </w:p>
    <w:p>
      <w:pPr>
        <w:pStyle w:val="1033"/>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14.甲方的违约责任</w:t>
      </w:r>
      <w:r>
        <w:rPr>
          <w:rFonts w:hint="eastAsia" w:ascii="宋体" w:hAnsi="宋体" w:eastAsia="宋体" w:cs="宋体"/>
          <w:color w:val="000000"/>
          <w:szCs w:val="21"/>
          <w:highlight w:val="none"/>
        </w:rPr>
      </w:r>
      <w:r/>
    </w:p>
    <w:p>
      <w:pPr>
        <w:pStyle w:val="1033"/>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14.1甲方未按合同规定的时间和要求向乙方提供技术资料等，乙方交付时间顺延。</w:t>
      </w:r>
      <w:r>
        <w:rPr>
          <w:rFonts w:hint="eastAsia" w:ascii="宋体" w:hAnsi="宋体" w:eastAsia="宋体" w:cs="宋体"/>
          <w:color w:val="000000"/>
          <w:szCs w:val="21"/>
          <w:highlight w:val="none"/>
        </w:rPr>
      </w:r>
      <w:r/>
    </w:p>
    <w:p>
      <w:pPr>
        <w:pStyle w:val="1033"/>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 乙方供给甲方的设备、材料及乙方自己的施工用具，进入甲方现场后的保管，由乙方负责；乙方在甲方现场安装、调试、验收人员的安全、保险、食宿、交通由乙方负责。</w:t>
      </w:r>
      <w:r>
        <w:rPr>
          <w:rFonts w:hint="eastAsia" w:ascii="宋体" w:hAnsi="宋体" w:eastAsia="宋体" w:cs="宋体"/>
          <w:color w:val="000000"/>
          <w:szCs w:val="21"/>
          <w:highlight w:val="none"/>
        </w:rPr>
      </w:r>
      <w:r/>
    </w:p>
    <w:p>
      <w:pPr>
        <w:pStyle w:val="1033"/>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 乙方在设备安装、调试、验收过程中，甲方提供下列条件和配合，超出下列范围的由乙方自理：</w:t>
      </w:r>
      <w:r>
        <w:rPr>
          <w:rFonts w:hint="eastAsia" w:ascii="宋体" w:hAnsi="宋体" w:eastAsia="宋体" w:cs="宋体"/>
          <w:color w:val="000000"/>
          <w:szCs w:val="21"/>
          <w:highlight w:val="none"/>
          <w:u w:val="single"/>
        </w:rPr>
        <w:t xml:space="preserve">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33"/>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eastAsia="宋体" w:cs="宋体"/>
          <w:color w:val="000000"/>
          <w:szCs w:val="21"/>
          <w:highlight w:val="none"/>
          <w:lang w:val="zh-CN"/>
        </w:rPr>
        <w:t xml:space="preserve">甲方为解决纠纷支付的律师费、诉讼费、差旅费等合理费用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33"/>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三、合同的变更和终止</w:t>
      </w:r>
      <w:r>
        <w:rPr>
          <w:rFonts w:hint="eastAsia" w:ascii="宋体" w:hAnsi="宋体" w:eastAsia="宋体" w:cs="宋体"/>
          <w:color w:val="000000"/>
          <w:szCs w:val="21"/>
          <w:highlight w:val="none"/>
        </w:rPr>
      </w:r>
      <w:r/>
    </w:p>
    <w:p>
      <w:pPr>
        <w:pStyle w:val="1033"/>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1、除《</w:t>
      </w:r>
      <w:r>
        <w:rPr>
          <w:rFonts w:hint="eastAsia" w:ascii="宋体" w:hAnsi="宋体" w:eastAsia="宋体" w:cs="宋体"/>
          <w:color w:val="000000"/>
          <w:szCs w:val="21"/>
          <w:highlight w:val="none"/>
          <w:lang w:eastAsia="zh-CN"/>
        </w:rPr>
        <w:t xml:space="preserve">中华人民共和国政府采购法</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第五十条</w:t>
      </w:r>
      <w:r>
        <w:rPr>
          <w:rFonts w:hint="eastAsia" w:ascii="宋体" w:hAnsi="宋体" w:eastAsia="宋体" w:cs="宋体"/>
          <w:color w:val="000000"/>
          <w:szCs w:val="21"/>
          <w:highlight w:val="none"/>
        </w:rPr>
        <w:t xml:space="preserve">第二款规定的情形外，本合同一经签订，甲乙双方不得擅自变更、中止或终止合同。</w:t>
      </w:r>
      <w:r>
        <w:rPr>
          <w:rFonts w:hint="eastAsia" w:ascii="宋体" w:hAnsi="宋体" w:eastAsia="宋体" w:cs="宋体"/>
          <w:color w:val="000000"/>
          <w:szCs w:val="21"/>
          <w:highlight w:val="none"/>
        </w:rPr>
      </w:r>
      <w:r/>
    </w:p>
    <w:p>
      <w:pPr>
        <w:pStyle w:val="1033"/>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2、除发生法律规定的不能预见、不能避免并不能克服的客观情况外，甲乙双方不得放弃或拒绝履行合同。</w:t>
      </w:r>
      <w:r>
        <w:rPr>
          <w:rFonts w:hint="eastAsia" w:ascii="宋体" w:hAnsi="宋体" w:eastAsia="宋体" w:cs="宋体"/>
          <w:color w:val="000000"/>
          <w:szCs w:val="21"/>
          <w:highlight w:val="none"/>
        </w:rPr>
      </w:r>
      <w:r/>
    </w:p>
    <w:p>
      <w:pPr>
        <w:pStyle w:val="1033"/>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3、在不改变合同其他条款的前提下，甲方有权在合同价款百分之十的范围内追加与合同标的相同的货物或服务，并就此与乙方签订补充合同，乙方不得拒绝。</w:t>
      </w:r>
      <w:r>
        <w:rPr>
          <w:rFonts w:hint="eastAsia" w:ascii="宋体" w:hAnsi="宋体" w:eastAsia="宋体" w:cs="宋体"/>
          <w:color w:val="000000"/>
          <w:szCs w:val="21"/>
          <w:highlight w:val="none"/>
        </w:rPr>
      </w:r>
      <w:r/>
    </w:p>
    <w:p>
      <w:pPr>
        <w:pStyle w:val="1033"/>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bookmarkStart w:id="123" w:name="_Toc19018"/>
      <w:r>
        <w:rPr>
          <w:rFonts w:hint="eastAsia" w:ascii="宋体" w:hAnsi="宋体" w:eastAsia="宋体" w:cs="宋体"/>
          <w:color w:val="000000"/>
          <w:szCs w:val="21"/>
          <w:highlight w:val="none"/>
        </w:rPr>
        <w:t xml:space="preserve">四、合同权利义务的转让</w:t>
      </w:r>
      <w:bookmarkEnd w:id="123"/>
      <w:r>
        <w:rPr>
          <w:rFonts w:hint="eastAsia" w:ascii="宋体" w:hAnsi="宋体" w:eastAsia="宋体" w:cs="宋体"/>
          <w:color w:val="000000"/>
          <w:szCs w:val="21"/>
          <w:highlight w:val="none"/>
        </w:rPr>
      </w:r>
      <w:r/>
    </w:p>
    <w:p>
      <w:pPr>
        <w:pStyle w:val="1033"/>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合同履行过程中，乙方未经甲方书面同意，不得将合同权利义务转让给第三方，否则甲方有权解除合同，同时乙方应当向甲方支付合同总价款10%的违约金，造成甲方损失的还应当进行赔偿。</w:t>
      </w:r>
      <w:r>
        <w:rPr>
          <w:rFonts w:hint="eastAsia" w:ascii="宋体" w:hAnsi="宋体" w:eastAsia="宋体" w:cs="宋体"/>
          <w:color w:val="000000"/>
          <w:szCs w:val="21"/>
          <w:highlight w:val="none"/>
        </w:rPr>
      </w:r>
      <w:r/>
    </w:p>
    <w:p>
      <w:pPr>
        <w:pStyle w:val="1033"/>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五、货物、服务的购买或租赁权利瑕疵</w:t>
      </w:r>
      <w:r>
        <w:rPr>
          <w:rFonts w:hint="eastAsia" w:ascii="宋体" w:hAnsi="宋体" w:eastAsia="宋体" w:cs="宋体"/>
          <w:color w:val="000000"/>
          <w:szCs w:val="21"/>
          <w:highlight w:val="none"/>
        </w:rPr>
      </w:r>
      <w:r/>
    </w:p>
    <w:p>
      <w:pPr>
        <w:pStyle w:val="1033"/>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乙方应保证提供的货物、设备或服务不存在所有权、抵押权、使用权、知识产权等权利瑕疵。</w:t>
      </w:r>
      <w:r>
        <w:rPr>
          <w:rFonts w:hint="eastAsia" w:ascii="宋体" w:hAnsi="宋体" w:eastAsia="宋体" w:cs="宋体"/>
          <w:color w:val="000000"/>
          <w:szCs w:val="21"/>
          <w:highlight w:val="none"/>
        </w:rPr>
      </w:r>
      <w:r/>
    </w:p>
    <w:p>
      <w:pPr>
        <w:pStyle w:val="1033"/>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bookmarkStart w:id="124" w:name="_Toc30322"/>
      <w:r>
        <w:rPr>
          <w:rFonts w:hint="eastAsia" w:ascii="宋体" w:hAnsi="宋体" w:eastAsia="宋体" w:cs="宋体"/>
          <w:color w:val="000000"/>
          <w:szCs w:val="21"/>
          <w:highlight w:val="none"/>
        </w:rPr>
        <w:t xml:space="preserve">六、争议解决条款</w:t>
      </w:r>
      <w:bookmarkEnd w:id="124"/>
      <w:r>
        <w:rPr>
          <w:rFonts w:hint="eastAsia" w:ascii="宋体" w:hAnsi="宋体" w:eastAsia="宋体" w:cs="宋体"/>
          <w:color w:val="000000"/>
          <w:szCs w:val="21"/>
          <w:highlight w:val="none"/>
        </w:rPr>
      </w:r>
      <w:r/>
    </w:p>
    <w:p>
      <w:pPr>
        <w:pStyle w:val="1033"/>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合同履行过程中发生争议，双方应友好协商，协商不成的，同意提交南京仲裁委员会按其仲裁规则裁决，仲裁产生的仲裁费、鉴定费、保全费、担保费、律师费等合理支出由违约方承担。</w:t>
      </w:r>
      <w:r>
        <w:rPr>
          <w:rFonts w:hint="eastAsia" w:ascii="宋体" w:hAnsi="宋体" w:eastAsia="宋体" w:cs="宋体"/>
          <w:color w:val="000000"/>
          <w:szCs w:val="21"/>
          <w:highlight w:val="none"/>
        </w:rPr>
      </w:r>
      <w:r/>
    </w:p>
    <w:p>
      <w:pPr>
        <w:pStyle w:val="1033"/>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bookmarkStart w:id="125" w:name="_Toc20895"/>
      <w:r>
        <w:rPr>
          <w:rFonts w:hint="eastAsia" w:ascii="宋体" w:hAnsi="宋体" w:eastAsia="宋体" w:cs="宋体"/>
          <w:color w:val="000000"/>
          <w:szCs w:val="21"/>
          <w:highlight w:val="none"/>
        </w:rPr>
        <w:t xml:space="preserve">七、</w:t>
      </w:r>
      <w:bookmarkEnd w:id="125"/>
      <w:r>
        <w:rPr>
          <w:rFonts w:hint="eastAsia" w:ascii="宋体" w:hAnsi="宋体" w:eastAsia="宋体" w:cs="宋体"/>
          <w:color w:val="000000"/>
          <w:szCs w:val="21"/>
          <w:highlight w:val="none"/>
        </w:rPr>
        <w:t xml:space="preserve">廉洁条款</w:t>
      </w:r>
      <w:r>
        <w:rPr>
          <w:rFonts w:hint="eastAsia" w:ascii="宋体" w:hAnsi="宋体" w:eastAsia="宋体" w:cs="宋体"/>
          <w:color w:val="000000"/>
          <w:szCs w:val="21"/>
          <w:highlight w:val="none"/>
        </w:rPr>
      </w:r>
      <w:r/>
    </w:p>
    <w:p>
      <w:pPr>
        <w:pStyle w:val="1033"/>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合同签订前、履行期间及履行完毕后，乙方应当遵守廉洁原则，不得向甲方工作人员行贿、变相行贿，不得以任何理由向甲方工作人员及第三方赠送礼品、礼金、各种有价证券及其他支付凭证，</w:t>
      </w:r>
      <w:r>
        <w:rPr>
          <w:rFonts w:hint="eastAsia" w:ascii="宋体" w:hAnsi="宋体" w:eastAsia="宋体" w:cs="宋体"/>
          <w:color w:val="000000"/>
          <w:szCs w:val="21"/>
          <w:highlight w:val="none"/>
          <w:lang w:eastAsia="zh-CN"/>
        </w:rPr>
        <w:t xml:space="preserve">不得</w:t>
      </w:r>
      <w:r>
        <w:rPr>
          <w:rFonts w:hint="eastAsia" w:ascii="宋体" w:hAnsi="宋体" w:eastAsia="宋体" w:cs="宋体"/>
          <w:color w:val="000000"/>
          <w:szCs w:val="21"/>
          <w:highlight w:val="none"/>
        </w:rPr>
        <w:t xml:space="preserve">以任何理由为甲方工作人员报销应由个人支付的费用。一旦发生上述事由，甲方有权无条件解除本合同。</w:t>
      </w:r>
      <w:r>
        <w:rPr>
          <w:rFonts w:hint="eastAsia" w:ascii="宋体" w:hAnsi="宋体" w:eastAsia="宋体" w:cs="宋体"/>
          <w:color w:val="000000"/>
          <w:szCs w:val="21"/>
          <w:highlight w:val="none"/>
        </w:rPr>
      </w:r>
      <w:r/>
    </w:p>
    <w:p>
      <w:pPr>
        <w:pStyle w:val="1033"/>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八、保密条款</w:t>
      </w:r>
      <w:r>
        <w:rPr>
          <w:rFonts w:hint="eastAsia" w:ascii="宋体" w:hAnsi="宋体" w:eastAsia="宋体" w:cs="宋体"/>
          <w:color w:val="000000"/>
          <w:szCs w:val="21"/>
          <w:highlight w:val="none"/>
        </w:rPr>
      </w:r>
      <w:r/>
    </w:p>
    <w:p>
      <w:pPr>
        <w:pStyle w:val="1033"/>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eastAsia="宋体" w:cs="宋体"/>
          <w:color w:val="000000"/>
          <w:szCs w:val="21"/>
          <w:highlight w:val="none"/>
        </w:rPr>
      </w:r>
      <w:r/>
    </w:p>
    <w:p>
      <w:pPr>
        <w:pStyle w:val="1107"/>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九、不可抗力</w:t>
      </w:r>
      <w:r>
        <w:rPr>
          <w:rFonts w:hint="eastAsia" w:ascii="宋体" w:hAnsi="宋体" w:eastAsia="宋体" w:cs="宋体"/>
          <w:color w:val="000000"/>
          <w:sz w:val="21"/>
          <w:szCs w:val="21"/>
          <w:highlight w:val="none"/>
          <w:lang w:val="en-US" w:eastAsia="zh-CN" w:bidi="ar-SA"/>
        </w:rPr>
      </w:r>
      <w:r/>
    </w:p>
    <w:p>
      <w:pPr>
        <w:pStyle w:val="1107"/>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本项目所指的不可抗力按照国家法律法规等规定执行，包括：（1）战争、叛乱、恐怖主义、骚乱、空中飞行物体坠落或其他非发包人或承包人责任造成的爆炸、火灾、自然灾害等以及《中华人民共和国民法典》中不可抗力定义的内容；（2）本地区发生烈度Ⅶ度以上（含Ⅶ度）的地震。</w:t>
      </w:r>
      <w:r>
        <w:rPr>
          <w:rFonts w:hint="eastAsia" w:ascii="宋体" w:hAnsi="宋体" w:eastAsia="宋体" w:cs="宋体"/>
          <w:color w:val="000000"/>
          <w:sz w:val="21"/>
          <w:szCs w:val="21"/>
          <w:highlight w:val="none"/>
          <w:lang w:val="en-US" w:eastAsia="zh-CN" w:bidi="ar-SA"/>
        </w:rPr>
      </w:r>
      <w:r/>
    </w:p>
    <w:p>
      <w:pPr>
        <w:pStyle w:val="1033"/>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十</w:t>
      </w:r>
      <w:r>
        <w:rPr>
          <w:rFonts w:hint="eastAsia" w:ascii="宋体" w:hAnsi="宋体" w:eastAsia="宋体" w:cs="宋体"/>
          <w:color w:val="000000"/>
          <w:szCs w:val="21"/>
          <w:highlight w:val="none"/>
        </w:rPr>
        <w:t xml:space="preserve">、送达条款</w:t>
      </w:r>
      <w:r>
        <w:rPr>
          <w:rFonts w:hint="eastAsia" w:ascii="宋体" w:hAnsi="宋体" w:eastAsia="宋体" w:cs="宋体"/>
          <w:color w:val="000000"/>
          <w:szCs w:val="21"/>
          <w:highlight w:val="none"/>
        </w:rPr>
      </w:r>
      <w:r/>
    </w:p>
    <w:p>
      <w:pPr>
        <w:pStyle w:val="1033"/>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rPr>
          <w:rFonts w:hint="eastAsia" w:ascii="宋体" w:hAnsi="宋体" w:eastAsia="宋体" w:cs="宋体"/>
          <w:color w:val="000000"/>
          <w:szCs w:val="21"/>
          <w:highlight w:val="none"/>
        </w:rPr>
      </w:r>
      <w:r/>
    </w:p>
    <w:p>
      <w:pPr>
        <w:pStyle w:val="1107"/>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十一、其他</w:t>
      </w:r>
      <w:r>
        <w:rPr>
          <w:rFonts w:hint="eastAsia" w:ascii="宋体" w:hAnsi="宋体" w:eastAsia="宋体" w:cs="宋体"/>
          <w:color w:val="000000"/>
          <w:sz w:val="21"/>
          <w:szCs w:val="21"/>
          <w:highlight w:val="none"/>
          <w:lang w:val="en-US" w:eastAsia="zh-CN" w:bidi="ar-SA"/>
        </w:rPr>
      </w:r>
      <w:r/>
    </w:p>
    <w:p>
      <w:pPr>
        <w:pStyle w:val="1107"/>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11.1、合同的生效：本合同一式陆份，自甲乙双方签字并加盖骑缝章之日起生效。</w:t>
      </w:r>
      <w:r>
        <w:rPr>
          <w:rFonts w:hint="eastAsia" w:ascii="宋体" w:hAnsi="宋体" w:eastAsia="宋体" w:cs="宋体"/>
          <w:color w:val="000000"/>
          <w:sz w:val="21"/>
          <w:szCs w:val="21"/>
          <w:highlight w:val="none"/>
          <w:lang w:val="en-US" w:eastAsia="zh-CN" w:bidi="ar-SA"/>
        </w:rPr>
      </w:r>
      <w:r/>
    </w:p>
    <w:p>
      <w:pPr>
        <w:pStyle w:val="1107"/>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11.2、未尽事宜、双方协商解决，并按《中华人民共和国民法典》及相关法律、法规的规定调整。</w:t>
      </w:r>
      <w:r>
        <w:rPr>
          <w:rFonts w:hint="eastAsia" w:ascii="宋体" w:hAnsi="宋体" w:eastAsia="宋体" w:cs="宋体"/>
          <w:color w:val="000000"/>
          <w:sz w:val="21"/>
          <w:szCs w:val="21"/>
          <w:highlight w:val="none"/>
          <w:lang w:val="en-US" w:eastAsia="zh-CN" w:bidi="ar-SA"/>
        </w:rPr>
      </w:r>
      <w:r/>
    </w:p>
    <w:p>
      <w:pPr>
        <w:pStyle w:val="1107"/>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1"/>
          <w:szCs w:val="21"/>
          <w:highlight w:val="none"/>
          <w:lang w:val="en-US" w:eastAsia="zh-CN" w:bidi="ar-SA"/>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rPr>
          <w:rFonts w:hint="eastAsia" w:ascii="宋体" w:hAnsi="宋体" w:eastAsia="宋体" w:cs="宋体"/>
          <w:color w:val="000000"/>
          <w:szCs w:val="21"/>
          <w:highlight w:val="none"/>
        </w:rPr>
      </w:r>
      <w:r/>
    </w:p>
    <w:p>
      <w:pPr>
        <w:pStyle w:val="1033"/>
        <w:ind w:firstLine="42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（以下无正文）</w:t>
      </w:r>
      <w:r>
        <w:rPr>
          <w:rFonts w:hint="eastAsia" w:ascii="宋体" w:hAnsi="宋体" w:eastAsia="宋体" w:cs="宋体"/>
          <w:color w:val="000000"/>
          <w:szCs w:val="21"/>
          <w:highlight w:val="none"/>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甲方（盖章）：</w:t>
            </w: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单位名称：江苏省特种设备安全监督检验研究院</w:t>
            </w: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单位地址：江苏省南京市鼓楼区草场门大街107号龙江大厦</w:t>
            </w: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委托代理人（签字）：</w:t>
            </w: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签订日期：  年  月  日</w:t>
            </w:r>
            <w:r>
              <w:rPr>
                <w:rFonts w:hint="eastAsia" w:ascii="宋体" w:hAnsi="宋体" w:eastAsia="宋体" w:cs="宋体"/>
                <w:color w:val="000000"/>
                <w:szCs w:val="21"/>
                <w:highlight w:val="none"/>
              </w:rPr>
            </w:r>
            <w:r/>
          </w:p>
        </w:tc>
        <w:tc>
          <w:tcPr>
            <w:tcW w:w="4684" w:type="dxa"/>
            <w:vAlign w:val="top"/>
            <w:textDirection w:val="lrTb"/>
            <w:noWrap w:val="false"/>
          </w:tcPr>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乙方（盖章）：</w:t>
            </w: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w:t>
            </w: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单位地址：</w:t>
            </w: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委托代理人（签字）：</w:t>
            </w: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传真：</w:t>
            </w: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帐号：</w:t>
            </w: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税号：</w:t>
            </w: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签订日期：  年  月  日</w:t>
            </w:r>
            <w:r>
              <w:rPr>
                <w:rFonts w:hint="eastAsia" w:ascii="宋体" w:hAnsi="宋体" w:eastAsia="宋体" w:cs="宋体"/>
                <w:color w:val="000000"/>
                <w:szCs w:val="21"/>
                <w:highlight w:val="none"/>
              </w:rPr>
            </w:r>
            <w:r/>
          </w:p>
        </w:tc>
      </w:tr>
    </w:tbl>
    <w:p>
      <w:pPr>
        <w:pStyle w:val="1033"/>
        <w:spacing w:line="240" w:lineRule="auto"/>
        <w:rPr>
          <w:rFonts w:hint="eastAsia" w:ascii="宋体" w:hAnsi="宋体" w:eastAsia="宋体" w:cs="宋体"/>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eastAsia="仿宋_GB2312" w:cs="仿宋_GB2312"/>
          <w:color w:val="000000"/>
          <w:sz w:val="24"/>
          <w:szCs w:val="24"/>
          <w:highlight w:val="none"/>
        </w:rPr>
        <w:t xml:space="preserve">    </w:t>
      </w:r>
      <w:r>
        <w:rPr>
          <w:rFonts w:hint="eastAsia" w:eastAsia="仿宋_GB2312" w:cs="仿宋_GB2312"/>
          <w:sz w:val="24"/>
          <w:szCs w:val="24"/>
          <w:highlight w:val="none"/>
        </w:rPr>
        <w:t xml:space="preserve">   </w:t>
      </w:r>
      <w:bookmarkStart w:id="126" w:name="_Toc27786"/>
      <w:r/>
      <w:bookmarkStart w:id="127" w:name="_Toc15343"/>
      <w:r/>
      <w:bookmarkStart w:id="128" w:name="OLE_LINK6"/>
      <w:r>
        <w:rPr>
          <w:rFonts w:hint="eastAsia" w:ascii="宋体" w:hAnsi="宋体" w:eastAsia="宋体" w:cs="宋体"/>
          <w:highlight w:val="none"/>
        </w:rPr>
      </w:r>
      <w:r/>
    </w:p>
    <w:p>
      <w:pPr>
        <w:pStyle w:val="1034"/>
        <w:ind w:firstLine="0"/>
        <w:tabs>
          <w:tab w:val="left" w:pos="1440" w:leader="none"/>
          <w:tab w:val="left" w:pos="5670" w:leader="none"/>
        </w:tabs>
        <w:rPr>
          <w:rFonts w:hint="eastAsia" w:ascii="宋体" w:hAnsi="宋体" w:eastAsia="宋体" w:cs="宋体"/>
          <w:highlight w:val="none"/>
        </w:rPr>
      </w:pPr>
      <w:r/>
      <w:bookmarkStart w:id="129" w:name="_Toc16547"/>
      <w:r>
        <w:rPr>
          <w:rFonts w:hint="eastAsia" w:ascii="宋体" w:hAnsi="宋体" w:eastAsia="宋体" w:cs="宋体"/>
          <w:highlight w:val="none"/>
        </w:rPr>
        <w:t xml:space="preserve">第六章 </w:t>
      </w:r>
      <w:bookmarkEnd w:id="126"/>
      <w:r>
        <w:rPr>
          <w:rFonts w:hint="eastAsia" w:ascii="宋体" w:hAnsi="宋体" w:eastAsia="宋体" w:cs="宋体"/>
          <w:highlight w:val="none"/>
        </w:rPr>
        <w:t xml:space="preserve">投标文件格式及附件</w:t>
      </w:r>
      <w:bookmarkEnd w:id="127"/>
      <w:r/>
      <w:bookmarkEnd w:id="129"/>
      <w:r>
        <w:rPr>
          <w:rFonts w:hint="eastAsia" w:ascii="宋体" w:hAnsi="宋体" w:eastAsia="宋体" w:cs="宋体"/>
          <w:highlight w:val="none"/>
        </w:rPr>
      </w:r>
      <w:r/>
    </w:p>
    <w:p>
      <w:pPr>
        <w:pStyle w:val="1033"/>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1033"/>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1033"/>
        <w:jc w:val="center"/>
        <w:rPr>
          <w:rFonts w:hint="eastAsia" w:ascii="宋体" w:hAnsi="宋体" w:eastAsia="宋体" w:cs="宋体"/>
          <w:bCs/>
          <w:sz w:val="40"/>
          <w:szCs w:val="40"/>
          <w:highlight w:val="none"/>
          <w:lang w:eastAsia="zh-CN"/>
        </w:rPr>
      </w:pPr>
      <w:r>
        <w:rPr>
          <w:rFonts w:hint="eastAsia" w:ascii="宋体" w:hAnsi="宋体" w:eastAsia="宋体" w:cs="宋体"/>
          <w:bCs/>
          <w:sz w:val="40"/>
          <w:szCs w:val="40"/>
          <w:highlight w:val="none"/>
          <w:lang w:eastAsia="zh-CN"/>
        </w:rPr>
        <w:t xml:space="preserve">江苏省特检院老旧设备更新项目-机电类检验检测设备采购（全站仪等设备）</w:t>
      </w:r>
      <w:r>
        <w:rPr>
          <w:rFonts w:hint="eastAsia" w:ascii="宋体" w:hAnsi="宋体" w:eastAsia="宋体" w:cs="宋体"/>
          <w:bCs/>
          <w:sz w:val="40"/>
          <w:szCs w:val="40"/>
          <w:highlight w:val="none"/>
          <w:lang w:eastAsia="zh-CN"/>
        </w:rPr>
      </w:r>
      <w:r/>
    </w:p>
    <w:p>
      <w:pPr>
        <w:pStyle w:val="1033"/>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1033"/>
        <w:jc w:val="center"/>
        <w:rPr>
          <w:rFonts w:hint="eastAsia" w:ascii="宋体" w:hAnsi="宋体" w:eastAsia="宋体" w:cs="宋体"/>
          <w:sz w:val="44"/>
          <w:szCs w:val="44"/>
          <w:highlight w:val="none"/>
        </w:rPr>
      </w:pPr>
      <w:r>
        <w:rPr>
          <w:rFonts w:hint="eastAsia" w:ascii="宋体" w:hAnsi="宋体" w:eastAsia="宋体" w:cs="宋体"/>
          <w:sz w:val="44"/>
          <w:szCs w:val="44"/>
          <w:highlight w:val="none"/>
        </w:rPr>
        <w:t xml:space="preserve">投标文件</w:t>
      </w:r>
      <w:r>
        <w:rPr>
          <w:rFonts w:hint="eastAsia" w:ascii="宋体" w:hAnsi="宋体" w:eastAsia="宋体" w:cs="宋体"/>
          <w:sz w:val="44"/>
          <w:szCs w:val="44"/>
          <w:highlight w:val="none"/>
        </w:rPr>
      </w:r>
      <w:r/>
    </w:p>
    <w:p>
      <w:pPr>
        <w:pStyle w:val="1033"/>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1033"/>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1033"/>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项目编号：</w:t>
      </w:r>
      <w:r>
        <w:rPr>
          <w:rFonts w:hint="eastAsia" w:ascii="宋体" w:hAnsi="宋体" w:eastAsia="宋体" w:cs="宋体"/>
          <w:sz w:val="30"/>
          <w:szCs w:val="30"/>
          <w:highlight w:val="none"/>
        </w:rPr>
      </w:r>
      <w:r/>
    </w:p>
    <w:p>
      <w:pPr>
        <w:pStyle w:val="1033"/>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lang w:val="en-US" w:eastAsia="zh-CN"/>
        </w:rPr>
        <w:t xml:space="preserve">采购</w:t>
      </w:r>
      <w:r>
        <w:rPr>
          <w:rFonts w:hint="eastAsia" w:ascii="宋体" w:hAnsi="宋体" w:eastAsia="宋体" w:cs="宋体"/>
          <w:sz w:val="30"/>
          <w:szCs w:val="30"/>
          <w:highlight w:val="none"/>
        </w:rPr>
        <w:t xml:space="preserve">分包号（标段号）：</w:t>
      </w:r>
      <w:r>
        <w:rPr>
          <w:rFonts w:hint="eastAsia" w:ascii="宋体" w:hAnsi="宋体" w:eastAsia="宋体" w:cs="宋体"/>
          <w:sz w:val="30"/>
          <w:szCs w:val="30"/>
          <w:highlight w:val="none"/>
        </w:rPr>
      </w:r>
      <w:r/>
    </w:p>
    <w:p>
      <w:pPr>
        <w:pStyle w:val="1033"/>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投标人名称：（加盖单位公章）</w:t>
      </w:r>
      <w:r>
        <w:rPr>
          <w:rFonts w:hint="eastAsia" w:ascii="宋体" w:hAnsi="宋体" w:eastAsia="宋体" w:cs="宋体"/>
          <w:sz w:val="30"/>
          <w:szCs w:val="30"/>
          <w:highlight w:val="none"/>
        </w:rPr>
      </w:r>
      <w:r/>
    </w:p>
    <w:p>
      <w:pPr>
        <w:pStyle w:val="1033"/>
        <w:ind w:firstLine="1386"/>
        <w:rPr>
          <w:rFonts w:hint="eastAsia" w:ascii="宋体" w:hAnsi="宋体" w:eastAsia="宋体" w:cs="宋体"/>
          <w:bCs/>
          <w:sz w:val="30"/>
          <w:szCs w:val="30"/>
          <w:highlight w:val="none"/>
        </w:rPr>
      </w:pPr>
      <w:r>
        <w:rPr>
          <w:rFonts w:hint="eastAsia" w:ascii="宋体" w:hAnsi="宋体" w:eastAsia="宋体" w:cs="宋体"/>
          <w:sz w:val="30"/>
          <w:szCs w:val="30"/>
          <w:highlight w:val="none"/>
        </w:rPr>
        <w:t xml:space="preserve">联系人：</w:t>
      </w:r>
      <w:r>
        <w:rPr>
          <w:rFonts w:hint="eastAsia" w:ascii="宋体" w:hAnsi="宋体" w:eastAsia="宋体" w:cs="宋体"/>
          <w:bCs/>
          <w:sz w:val="30"/>
          <w:szCs w:val="30"/>
          <w:highlight w:val="none"/>
        </w:rPr>
      </w:r>
      <w:r/>
    </w:p>
    <w:p>
      <w:pPr>
        <w:pStyle w:val="1033"/>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联系方式：</w:t>
      </w:r>
      <w:r>
        <w:rPr>
          <w:rFonts w:hint="eastAsia" w:ascii="宋体" w:hAnsi="宋体" w:eastAsia="宋体" w:cs="宋体"/>
          <w:sz w:val="30"/>
          <w:szCs w:val="30"/>
          <w:highlight w:val="none"/>
        </w:rPr>
      </w:r>
      <w:r/>
    </w:p>
    <w:p>
      <w:pPr>
        <w:pStyle w:val="1033"/>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单位地址：</w:t>
      </w:r>
      <w:r>
        <w:rPr>
          <w:rFonts w:hint="eastAsia" w:ascii="宋体" w:hAnsi="宋体" w:eastAsia="宋体" w:cs="宋体"/>
          <w:sz w:val="30"/>
          <w:szCs w:val="30"/>
          <w:highlight w:val="none"/>
        </w:rPr>
      </w:r>
      <w:r/>
    </w:p>
    <w:p>
      <w:pPr>
        <w:pStyle w:val="1033"/>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  年  月  日</w:t>
      </w:r>
      <w:r>
        <w:rPr>
          <w:rFonts w:hint="eastAsia" w:ascii="宋体" w:hAnsi="宋体" w:eastAsia="宋体" w:cs="宋体"/>
          <w:sz w:val="30"/>
          <w:szCs w:val="30"/>
          <w:highlight w:val="none"/>
        </w:rPr>
      </w:r>
      <w:r/>
    </w:p>
    <w:p>
      <w:pPr>
        <w:pStyle w:val="1073"/>
        <w:ind w:left="0"/>
        <w:jc w:val="center"/>
        <w:rPr>
          <w:rFonts w:hint="eastAsia" w:ascii="宋体" w:hAnsi="宋体" w:eastAsia="宋体" w:cs="宋体"/>
          <w:sz w:val="32"/>
          <w:szCs w:val="32"/>
          <w:highlight w:val="none"/>
        </w:rPr>
      </w:pPr>
      <w:r>
        <w:rPr>
          <w:rFonts w:hint="eastAsia" w:ascii="宋体" w:hAnsi="宋体" w:cs="宋体"/>
          <w:highlight w:val="none"/>
        </w:rPr>
        <w:br w:type="page" w:clear="all"/>
      </w:r>
      <w:bookmarkStart w:id="130" w:name="_Toc19767"/>
      <w:r/>
      <w:bookmarkStart w:id="131" w:name="_Toc25564"/>
      <w:r>
        <w:rPr>
          <w:rFonts w:hint="eastAsia" w:ascii="宋体" w:hAnsi="宋体" w:eastAsia="宋体" w:cs="宋体"/>
          <w:sz w:val="32"/>
          <w:szCs w:val="32"/>
          <w:highlight w:val="none"/>
        </w:rPr>
        <w:t xml:space="preserve">1.投标申请及声明</w:t>
      </w:r>
      <w:bookmarkEnd w:id="130"/>
      <w:r/>
      <w:bookmarkEnd w:id="131"/>
      <w:r>
        <w:rPr>
          <w:rFonts w:hint="eastAsia" w:ascii="宋体" w:hAnsi="宋体" w:eastAsia="宋体" w:cs="宋体"/>
          <w:sz w:val="32"/>
          <w:szCs w:val="32"/>
          <w:highlight w:val="none"/>
        </w:rPr>
      </w:r>
      <w:r/>
    </w:p>
    <w:p>
      <w:pPr>
        <w:pStyle w:val="1033"/>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致：江苏省特种设备安全监督检验研究院、江苏海外集团国际工程咨询有限公司</w:t>
      </w:r>
      <w:r>
        <w:rPr>
          <w:rFonts w:hint="eastAsia" w:ascii="宋体" w:hAnsi="宋体" w:eastAsia="宋体" w:cs="宋体"/>
          <w:sz w:val="24"/>
          <w:szCs w:val="24"/>
          <w:highlight w:val="none"/>
        </w:rPr>
      </w:r>
      <w:r/>
    </w:p>
    <w:p>
      <w:pPr>
        <w:pStyle w:val="1033"/>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（项目编号）招标邀请，正式授权下述签字人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（姓名和职务）代表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（投标人名称），提交投标文件并参加投标。</w:t>
      </w:r>
      <w:r>
        <w:rPr>
          <w:rFonts w:hint="eastAsia" w:ascii="宋体" w:hAnsi="宋体" w:eastAsia="宋体" w:cs="宋体"/>
          <w:sz w:val="24"/>
          <w:szCs w:val="24"/>
          <w:highlight w:val="none"/>
        </w:rPr>
      </w:r>
      <w:r/>
    </w:p>
    <w:p>
      <w:pPr>
        <w:pStyle w:val="1033"/>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据此函，签字人兹宣布同意如下：</w:t>
      </w:r>
      <w:r>
        <w:rPr>
          <w:rFonts w:hint="eastAsia" w:ascii="宋体" w:hAnsi="宋体" w:eastAsia="宋体" w:cs="宋体"/>
          <w:sz w:val="24"/>
          <w:szCs w:val="24"/>
          <w:highlight w:val="none"/>
        </w:rPr>
      </w:r>
      <w:r/>
    </w:p>
    <w:p>
      <w:pPr>
        <w:pStyle w:val="1033"/>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1.我们的资格条件完全符合本次采购要求，我们同意并向贵方提供了与本次采购活动有关的所有证据和资料。</w:t>
      </w:r>
      <w:r>
        <w:rPr>
          <w:rFonts w:hint="eastAsia" w:ascii="宋体" w:hAnsi="宋体" w:eastAsia="宋体" w:cs="宋体"/>
          <w:sz w:val="24"/>
          <w:szCs w:val="24"/>
          <w:highlight w:val="none"/>
        </w:rPr>
      </w:r>
      <w:r/>
    </w:p>
    <w:p>
      <w:pPr>
        <w:pStyle w:val="1033"/>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，我们的报价：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33"/>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3.我们已详细审核全部招标文件及其有效补充文件，我们放弃对招标文件任何误解的权利，在提交投标文件后，不对招标文件本身提出质疑。否则，属于不诚信和故意扰乱采购活动行为，我们将无条件接受处罚。</w:t>
      </w:r>
      <w:r>
        <w:rPr>
          <w:rFonts w:hint="eastAsia" w:ascii="宋体" w:hAnsi="宋体" w:eastAsia="宋体" w:cs="宋体"/>
          <w:sz w:val="24"/>
          <w:szCs w:val="24"/>
          <w:highlight w:val="none"/>
        </w:rPr>
      </w:r>
      <w:r/>
    </w:p>
    <w:p>
      <w:pPr>
        <w:pStyle w:val="1033"/>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4.一旦我方中标，我方将根据招标文件的规定，严格履行合同，保证在规定的时间内完成本项目规定的服务内容。</w:t>
      </w:r>
      <w:r>
        <w:rPr>
          <w:rFonts w:hint="eastAsia" w:ascii="宋体" w:hAnsi="宋体" w:eastAsia="宋体" w:cs="宋体"/>
          <w:sz w:val="24"/>
          <w:szCs w:val="24"/>
          <w:highlight w:val="none"/>
        </w:rPr>
      </w:r>
      <w:r/>
    </w:p>
    <w:p>
      <w:pPr>
        <w:pStyle w:val="1033"/>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我方决不提供虚假材料谋取中标、决不采取不正当手段诋毁、排挤其他供应商、决不与采购人、其他供应商或者采购代理机构恶意串通、决不向采购人、采购代理机构工作人员和评审小组进行商业贿赂、决不拒绝有关部门监督检查或提供虚假情况，如有违反，无条件接受贵方及相关管理部门的处罚。</w:t>
      </w:r>
      <w:r>
        <w:rPr>
          <w:rFonts w:hint="eastAsia" w:ascii="宋体" w:hAnsi="宋体" w:eastAsia="宋体" w:cs="宋体"/>
          <w:sz w:val="24"/>
          <w:szCs w:val="24"/>
          <w:highlight w:val="none"/>
        </w:rPr>
      </w:r>
      <w:r/>
    </w:p>
    <w:p>
      <w:pPr>
        <w:pStyle w:val="1033"/>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6.我方正式通讯方式为：</w:t>
      </w:r>
      <w:r>
        <w:rPr>
          <w:rFonts w:hint="eastAsia" w:ascii="宋体" w:hAnsi="宋体" w:eastAsia="宋体" w:cs="宋体"/>
          <w:sz w:val="24"/>
          <w:szCs w:val="24"/>
          <w:highlight w:val="none"/>
        </w:rPr>
      </w:r>
      <w:r/>
    </w:p>
    <w:p>
      <w:pPr>
        <w:pStyle w:val="1033"/>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rPr>
      </w:r>
      <w:r/>
    </w:p>
    <w:p>
      <w:pPr>
        <w:pStyle w:val="1033"/>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w:t>
      </w:r>
      <w:r>
        <w:rPr>
          <w:rFonts w:hint="eastAsia" w:ascii="宋体" w:hAnsi="宋体" w:eastAsia="宋体" w:cs="宋体"/>
          <w:sz w:val="24"/>
          <w:szCs w:val="24"/>
          <w:highlight w:val="none"/>
        </w:rPr>
      </w:r>
      <w:r/>
    </w:p>
    <w:p>
      <w:pPr>
        <w:pStyle w:val="1033"/>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w:t>
      </w:r>
      <w:r>
        <w:rPr>
          <w:rFonts w:hint="eastAsia" w:ascii="宋体" w:hAnsi="宋体" w:eastAsia="宋体" w:cs="宋体"/>
          <w:sz w:val="24"/>
          <w:szCs w:val="24"/>
          <w:highlight w:val="none"/>
        </w:rPr>
      </w:r>
      <w:r/>
    </w:p>
    <w:p>
      <w:pPr>
        <w:pStyle w:val="1033"/>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7.我方正式开户银行和账号为：</w:t>
      </w:r>
      <w:r>
        <w:rPr>
          <w:rFonts w:hint="eastAsia" w:ascii="宋体" w:hAnsi="宋体" w:eastAsia="宋体" w:cs="宋体"/>
          <w:sz w:val="24"/>
          <w:szCs w:val="24"/>
          <w:highlight w:val="none"/>
        </w:rPr>
      </w:r>
      <w:r/>
    </w:p>
    <w:p>
      <w:pPr>
        <w:pStyle w:val="1033"/>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rPr>
      </w:r>
      <w:r/>
    </w:p>
    <w:p>
      <w:pPr>
        <w:pStyle w:val="1033"/>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账号：</w:t>
      </w:r>
      <w:r>
        <w:rPr>
          <w:rFonts w:hint="eastAsia" w:ascii="宋体" w:hAnsi="宋体" w:eastAsia="宋体" w:cs="宋体"/>
          <w:sz w:val="24"/>
          <w:szCs w:val="24"/>
          <w:highlight w:val="none"/>
        </w:rPr>
      </w:r>
      <w:r/>
    </w:p>
    <w:p>
      <w:pPr>
        <w:pStyle w:val="1033"/>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33"/>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授权代表（签字）：</w:t>
      </w:r>
      <w:r>
        <w:rPr>
          <w:rFonts w:hint="eastAsia" w:ascii="宋体" w:hAnsi="宋体" w:eastAsia="宋体" w:cs="宋体"/>
          <w:sz w:val="24"/>
          <w:szCs w:val="24"/>
          <w:highlight w:val="none"/>
        </w:rPr>
      </w:r>
      <w:r/>
    </w:p>
    <w:p>
      <w:pPr>
        <w:pStyle w:val="1033"/>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33"/>
        <w:numPr>
          <w:ilvl w:val="0"/>
          <w:numId w:val="44"/>
        </w:numPr>
        <w:jc w:val="center"/>
        <w:tabs>
          <w:tab w:val="left" w:pos="312" w:leader="none"/>
        </w:tabs>
        <w:rPr>
          <w:rFonts w:hint="eastAsia" w:ascii="宋体" w:hAnsi="宋体" w:eastAsia="宋体" w:cs="宋体"/>
          <w:sz w:val="32"/>
          <w:szCs w:val="32"/>
          <w:highlight w:val="none"/>
        </w:rPr>
      </w:pPr>
      <w:r>
        <w:rPr>
          <w:rFonts w:hint="eastAsia" w:ascii="宋体" w:hAnsi="宋体" w:eastAsia="宋体" w:cs="宋体"/>
          <w:highlight w:val="none"/>
        </w:rPr>
        <w:br w:type="page" w:clear="all"/>
      </w:r>
      <w:bookmarkStart w:id="132" w:name="_Toc7351"/>
      <w:r/>
      <w:bookmarkStart w:id="133" w:name="_Toc3313"/>
      <w:r>
        <w:rPr>
          <w:rFonts w:hint="eastAsia" w:ascii="宋体" w:hAnsi="宋体" w:eastAsia="宋体" w:cs="宋体"/>
          <w:sz w:val="32"/>
          <w:szCs w:val="32"/>
          <w:highlight w:val="none"/>
        </w:rPr>
        <w:t xml:space="preserve">授权委托书</w:t>
      </w:r>
      <w:bookmarkEnd w:id="132"/>
      <w:r/>
      <w:bookmarkEnd w:id="133"/>
      <w:r>
        <w:rPr>
          <w:rFonts w:hint="eastAsia" w:ascii="宋体" w:hAnsi="宋体" w:eastAsia="宋体" w:cs="宋体"/>
          <w:sz w:val="32"/>
          <w:szCs w:val="32"/>
          <w:highlight w:val="none"/>
        </w:rPr>
      </w:r>
      <w:r/>
    </w:p>
    <w:p>
      <w:pPr>
        <w:pStyle w:val="1033"/>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法人授权委托书</w:t>
      </w:r>
      <w:r>
        <w:rPr>
          <w:rFonts w:hint="eastAsia" w:ascii="宋体" w:hAnsi="宋体" w:eastAsia="宋体" w:cs="宋体"/>
          <w:sz w:val="28"/>
          <w:szCs w:val="28"/>
          <w:highlight w:val="none"/>
        </w:rPr>
      </w:r>
      <w:r/>
    </w:p>
    <w:p>
      <w:pPr>
        <w:pStyle w:val="1033"/>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致：江苏省特种设备安全监督检验研究院、</w:t>
      </w:r>
      <w:r>
        <w:rPr>
          <w:rFonts w:hint="eastAsia" w:ascii="宋体" w:hAnsi="宋体" w:eastAsia="宋体" w:cs="宋体"/>
          <w:sz w:val="24"/>
          <w:szCs w:val="24"/>
          <w:highlight w:val="none"/>
        </w:rPr>
      </w:r>
      <w:r/>
    </w:p>
    <w:p>
      <w:pPr>
        <w:pStyle w:val="1033"/>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江苏海外集团国际工程咨询有限公司</w:t>
      </w:r>
      <w:r>
        <w:rPr>
          <w:rFonts w:hint="eastAsia" w:ascii="宋体" w:hAnsi="宋体" w:eastAsia="宋体" w:cs="宋体"/>
          <w:sz w:val="24"/>
          <w:szCs w:val="24"/>
          <w:highlight w:val="none"/>
        </w:rPr>
      </w:r>
      <w:r/>
    </w:p>
    <w:p>
      <w:pPr>
        <w:pStyle w:val="1033"/>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3"/>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本授权书声明：注册于</w:t>
      </w:r>
      <w:r>
        <w:rPr>
          <w:rFonts w:hint="eastAsia" w:ascii="宋体" w:hAnsi="宋体" w:eastAsia="宋体" w:cs="宋体"/>
          <w:sz w:val="24"/>
          <w:szCs w:val="24"/>
          <w:highlight w:val="none"/>
          <w:u w:val="single"/>
        </w:rPr>
        <w:t xml:space="preserve">       （供应商住址）</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      （投标人名称）</w:t>
      </w: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u w:val="single"/>
        </w:rPr>
        <w:t xml:space="preserve">    （法定代表人姓名、职务）</w:t>
      </w:r>
      <w:r>
        <w:rPr>
          <w:rFonts w:hint="eastAsia" w:ascii="宋体" w:hAnsi="宋体" w:eastAsia="宋体" w:cs="宋体"/>
          <w:sz w:val="24"/>
          <w:szCs w:val="24"/>
          <w:highlight w:val="none"/>
        </w:rPr>
        <w:t xml:space="preserve">代表本公司授权在下面签字的</w:t>
      </w:r>
      <w:r>
        <w:rPr>
          <w:rFonts w:hint="eastAsia" w:ascii="宋体" w:hAnsi="宋体" w:eastAsia="宋体" w:cs="宋体"/>
          <w:sz w:val="24"/>
          <w:szCs w:val="24"/>
          <w:highlight w:val="none"/>
          <w:u w:val="single"/>
        </w:rPr>
        <w:t xml:space="preserve">          （供应商代表姓名、职务）</w:t>
      </w:r>
      <w:r>
        <w:rPr>
          <w:rFonts w:hint="eastAsia" w:ascii="宋体" w:hAnsi="宋体" w:eastAsia="宋体" w:cs="宋体"/>
          <w:sz w:val="24"/>
          <w:szCs w:val="24"/>
          <w:highlight w:val="none"/>
        </w:rPr>
        <w:t xml:space="preserve">为本公司的合法代理人，就贵方组织的</w:t>
      </w:r>
      <w:r>
        <w:rPr>
          <w:rFonts w:hint="eastAsia" w:ascii="宋体" w:hAnsi="宋体" w:eastAsia="宋体" w:cs="宋体"/>
          <w:sz w:val="24"/>
          <w:szCs w:val="24"/>
          <w:highlight w:val="none"/>
          <w:u w:val="single"/>
        </w:rPr>
        <w:t xml:space="preserve">      （项目名称）（项目编号）</w:t>
      </w:r>
      <w:r>
        <w:rPr>
          <w:rFonts w:hint="eastAsia" w:ascii="宋体" w:hAnsi="宋体" w:eastAsia="宋体" w:cs="宋体"/>
          <w:sz w:val="24"/>
          <w:szCs w:val="24"/>
          <w:highlight w:val="none"/>
        </w:rPr>
        <w:t xml:space="preserve">公开招标活动，以本公司名义处理一切与之有关的事务。</w:t>
      </w:r>
      <w:r>
        <w:rPr>
          <w:rFonts w:hint="eastAsia" w:ascii="宋体" w:hAnsi="宋体" w:eastAsia="宋体" w:cs="宋体"/>
          <w:sz w:val="24"/>
          <w:szCs w:val="24"/>
          <w:highlight w:val="none"/>
        </w:rPr>
      </w:r>
      <w:r/>
    </w:p>
    <w:p>
      <w:pPr>
        <w:pStyle w:val="1033"/>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本授权书于    年  月  日签字生效，特此声明。</w:t>
      </w:r>
      <w:r>
        <w:rPr>
          <w:rFonts w:hint="eastAsia" w:ascii="宋体" w:hAnsi="宋体" w:eastAsia="宋体" w:cs="宋体"/>
          <w:sz w:val="24"/>
          <w:szCs w:val="24"/>
          <w:highlight w:val="none"/>
        </w:rPr>
      </w:r>
      <w:r/>
    </w:p>
    <w:p>
      <w:pPr>
        <w:pStyle w:val="1033"/>
        <w:ind w:firstLine="480"/>
        <w:spacing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附：法定代表人身份证复印件：</w:t>
      </w:r>
      <w:r>
        <w:rPr>
          <w:rFonts w:hint="eastAsia" w:ascii="宋体" w:hAnsi="宋体" w:eastAsia="宋体" w:cs="宋体"/>
          <w:sz w:val="24"/>
          <w:szCs w:val="24"/>
          <w:highlight w:val="none"/>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0"/>
        <w:gridCol w:w="4705"/>
      </w:tblGrid>
      <w:tr>
        <w:trPr>
          <w:trHeight w:val="2366"/>
        </w:trPr>
        <w:tc>
          <w:tcPr>
            <w:tcW w:w="4920" w:type="dxa"/>
            <w:vAlign w:val="top"/>
            <w:textDirection w:val="lrTb"/>
            <w:noWrap w:val="false"/>
          </w:tcPr>
          <w:p>
            <w:pPr>
              <w:pStyle w:val="1033"/>
              <w:rPr>
                <w:rFonts w:hint="eastAsia" w:ascii="宋体" w:hAnsi="宋体" w:eastAsia="宋体" w:cs="宋体"/>
                <w:highlight w:val="none"/>
              </w:rPr>
            </w:pPr>
            <w:r>
              <w:rPr>
                <w:rFonts w:hint="eastAsia" w:ascii="宋体" w:hAnsi="宋体" w:eastAsia="宋体" w:cs="宋体"/>
                <w:highlight w:val="none"/>
              </w:rPr>
            </w:r>
            <w:r/>
          </w:p>
        </w:tc>
        <w:tc>
          <w:tcPr>
            <w:tcW w:w="4705" w:type="dxa"/>
            <w:vAlign w:val="top"/>
            <w:textDirection w:val="lrTb"/>
            <w:noWrap w:val="false"/>
          </w:tcPr>
          <w:p>
            <w:pPr>
              <w:pStyle w:val="1033"/>
              <w:rPr>
                <w:rFonts w:hint="eastAsia" w:ascii="宋体" w:hAnsi="宋体" w:eastAsia="宋体" w:cs="宋体"/>
                <w:highlight w:val="none"/>
              </w:rPr>
            </w:pPr>
            <w:r>
              <w:rPr>
                <w:rFonts w:hint="eastAsia" w:ascii="宋体" w:hAnsi="宋体" w:eastAsia="宋体" w:cs="宋体"/>
                <w:highlight w:val="none"/>
              </w:rPr>
            </w:r>
            <w:r/>
          </w:p>
        </w:tc>
      </w:tr>
    </w:tbl>
    <w:p>
      <w:pPr>
        <w:pStyle w:val="1033"/>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授权代表身份证复印件：</w:t>
      </w:r>
      <w:r>
        <w:rPr>
          <w:rFonts w:hint="eastAsia" w:ascii="宋体" w:hAnsi="宋体" w:eastAsia="宋体" w:cs="宋体"/>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2"/>
        <w:gridCol w:w="4718"/>
      </w:tblGrid>
      <w:tr>
        <w:trPr>
          <w:trHeight w:val="2222"/>
        </w:trPr>
        <w:tc>
          <w:tcPr>
            <w:tcW w:w="4932" w:type="dxa"/>
            <w:vAlign w:val="top"/>
            <w:textDirection w:val="lrTb"/>
            <w:noWrap w:val="false"/>
          </w:tcPr>
          <w:p>
            <w:pPr>
              <w:pStyle w:val="1033"/>
              <w:rPr>
                <w:rFonts w:hint="eastAsia" w:ascii="宋体" w:hAnsi="宋体" w:eastAsia="宋体" w:cs="宋体"/>
                <w:highlight w:val="none"/>
              </w:rPr>
            </w:pPr>
            <w:r>
              <w:rPr>
                <w:rFonts w:hint="eastAsia" w:ascii="宋体" w:hAnsi="宋体" w:eastAsia="宋体" w:cs="宋体"/>
                <w:highlight w:val="none"/>
              </w:rPr>
            </w:r>
            <w:r/>
          </w:p>
        </w:tc>
        <w:tc>
          <w:tcPr>
            <w:tcW w:w="4718" w:type="dxa"/>
            <w:vAlign w:val="top"/>
            <w:textDirection w:val="lrTb"/>
            <w:noWrap w:val="false"/>
          </w:tcPr>
          <w:p>
            <w:pPr>
              <w:pStyle w:val="1033"/>
              <w:rPr>
                <w:rFonts w:hint="eastAsia" w:ascii="宋体" w:hAnsi="宋体" w:eastAsia="宋体" w:cs="宋体"/>
                <w:highlight w:val="none"/>
              </w:rPr>
            </w:pPr>
            <w:r>
              <w:rPr>
                <w:rFonts w:hint="eastAsia" w:ascii="宋体" w:hAnsi="宋体" w:eastAsia="宋体" w:cs="宋体"/>
                <w:highlight w:val="none"/>
              </w:rPr>
            </w:r>
            <w:r/>
          </w:p>
        </w:tc>
      </w:tr>
    </w:tbl>
    <w:p>
      <w:pPr>
        <w:pStyle w:val="103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3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法定代表人签章：</w:t>
      </w:r>
      <w:r>
        <w:rPr>
          <w:rFonts w:hint="eastAsia" w:ascii="宋体" w:hAnsi="宋体" w:eastAsia="宋体" w:cs="宋体"/>
          <w:sz w:val="24"/>
          <w:szCs w:val="24"/>
          <w:highlight w:val="none"/>
        </w:rPr>
      </w:r>
      <w:r/>
    </w:p>
    <w:p>
      <w:pPr>
        <w:pStyle w:val="103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授权代表（签字）：</w:t>
      </w:r>
      <w:r>
        <w:rPr>
          <w:rFonts w:hint="eastAsia" w:ascii="宋体" w:hAnsi="宋体" w:eastAsia="宋体" w:cs="宋体"/>
          <w:sz w:val="24"/>
          <w:szCs w:val="24"/>
          <w:highlight w:val="none"/>
        </w:rPr>
      </w:r>
      <w:r/>
    </w:p>
    <w:p>
      <w:pPr>
        <w:pStyle w:val="1033"/>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33"/>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3"/>
        <w:spacing w:before="0" w:after="0"/>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highlight w:val="none"/>
        </w:rPr>
      </w:r>
      <w:r/>
    </w:p>
    <w:p>
      <w:pPr>
        <w:pStyle w:val="1033"/>
        <w:spacing w:before="0" w:after="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授权委托书附件：</w:t>
      </w:r>
      <w:r>
        <w:rPr>
          <w:rFonts w:hint="eastAsia" w:ascii="宋体" w:hAnsi="宋体" w:eastAsia="宋体" w:cs="宋体"/>
          <w:b/>
          <w:bCs/>
          <w:sz w:val="24"/>
          <w:szCs w:val="24"/>
          <w:highlight w:val="none"/>
        </w:rPr>
      </w:r>
      <w:r/>
    </w:p>
    <w:p>
      <w:pPr>
        <w:pStyle w:val="1033"/>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授权代表社保证明：</w:t>
      </w:r>
      <w:r>
        <w:rPr>
          <w:rFonts w:hint="eastAsia" w:ascii="宋体" w:hAnsi="宋体" w:eastAsia="宋体" w:cs="宋体"/>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0"/>
      </w:tblGrid>
      <w:tr>
        <w:trPr>
          <w:trHeight w:val="5747"/>
        </w:trPr>
        <w:tc>
          <w:tcPr>
            <w:tcW w:w="9650" w:type="dxa"/>
            <w:vAlign w:val="top"/>
            <w:textDirection w:val="lrTb"/>
            <w:noWrap w:val="false"/>
          </w:tcPr>
          <w:p>
            <w:pPr>
              <w:pStyle w:val="1033"/>
              <w:rPr>
                <w:highlight w:val="none"/>
              </w:rPr>
            </w:pPr>
            <w:r>
              <w:rPr>
                <w:highlight w:val="none"/>
              </w:rPr>
            </w:r>
            <w:r/>
          </w:p>
        </w:tc>
      </w:tr>
    </w:tbl>
    <w:p>
      <w:pPr>
        <w:pStyle w:val="1033"/>
        <w:spacing w:before="0" w:after="0"/>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highlight w:val="none"/>
        </w:rPr>
        <w:t xml:space="preserve">注：提供投标截止时间前近六个月内任一个月社保证明（加盖社保中心章或社保中心参保缴费证明电子专用章），若授权代表属企业退休人员、现役军人等客观原因无法提供养老保险金缴费证明，需在投标文件内提供具体情况说明及证明。</w:t>
      </w:r>
      <w:r>
        <w:rPr>
          <w:rFonts w:hint="eastAsia" w:ascii="宋体" w:hAnsi="宋体" w:eastAsia="宋体" w:cs="宋体"/>
          <w:sz w:val="24"/>
          <w:szCs w:val="24"/>
          <w:highlight w:val="none"/>
        </w:rPr>
      </w:r>
      <w:r/>
    </w:p>
    <w:p>
      <w:pPr>
        <w:pStyle w:val="1033"/>
        <w:jc w:val="center"/>
        <w:rPr>
          <w:rFonts w:hint="eastAsia" w:ascii="宋体" w:hAnsi="宋体" w:eastAsia="宋体" w:cs="宋体"/>
          <w:sz w:val="32"/>
          <w:szCs w:val="32"/>
          <w:highlight w:val="none"/>
        </w:rPr>
      </w:pPr>
      <w:r/>
      <w:bookmarkStart w:id="134" w:name="_Toc19427"/>
      <w:r/>
      <w:bookmarkStart w:id="135" w:name="_Toc23857"/>
      <w:r>
        <w:rPr>
          <w:rFonts w:hint="eastAsia" w:ascii="宋体" w:hAnsi="宋体" w:eastAsia="宋体" w:cs="宋体"/>
          <w:sz w:val="32"/>
          <w:szCs w:val="32"/>
          <w:highlight w:val="none"/>
        </w:rPr>
        <w:t xml:space="preserve">3.报价表格格式</w:t>
      </w:r>
      <w:r>
        <w:rPr>
          <w:rFonts w:hint="eastAsia" w:ascii="宋体" w:hAnsi="宋体" w:eastAsia="宋体" w:cs="宋体"/>
          <w:sz w:val="32"/>
          <w:szCs w:val="32"/>
          <w:highlight w:val="none"/>
        </w:rPr>
      </w:r>
      <w:r/>
    </w:p>
    <w:p>
      <w:pPr>
        <w:pStyle w:val="1033"/>
        <w:jc w:val="center"/>
        <w:widowControl/>
        <w:rPr>
          <w:rFonts w:hint="eastAsia" w:ascii="宋体" w:hAnsi="宋体" w:eastAsia="宋体" w:cs="宋体"/>
          <w:bCs/>
          <w:szCs w:val="21"/>
          <w:highlight w:val="none"/>
        </w:rPr>
      </w:pPr>
      <w:r>
        <w:rPr>
          <w:rFonts w:hint="eastAsia" w:ascii="宋体" w:hAnsi="宋体" w:eastAsia="宋体" w:cs="宋体"/>
          <w:b/>
          <w:sz w:val="24"/>
          <w:szCs w:val="24"/>
          <w:highlight w:val="none"/>
        </w:rPr>
        <w:t xml:space="preserve">（1）报价一览表</w:t>
      </w:r>
      <w:bookmarkEnd w:id="134"/>
      <w:r/>
      <w:bookmarkEnd w:id="135"/>
      <w:r>
        <w:rPr>
          <w:rFonts w:hint="eastAsia" w:ascii="宋体" w:hAnsi="宋体" w:eastAsia="宋体" w:cs="宋体"/>
          <w:b/>
          <w:sz w:val="24"/>
          <w:szCs w:val="24"/>
          <w:highlight w:val="none"/>
        </w:rPr>
        <w:t xml:space="preserve">（格式）</w:t>
      </w:r>
      <w:r>
        <w:rPr>
          <w:rFonts w:hint="eastAsia" w:ascii="宋体" w:hAnsi="宋体" w:eastAsia="宋体" w:cs="宋体"/>
          <w:bCs/>
          <w:szCs w:val="21"/>
          <w:highlight w:val="none"/>
        </w:rPr>
      </w:r>
      <w:r/>
    </w:p>
    <w:tbl>
      <w:tblPr>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8"/>
        <w:gridCol w:w="3345"/>
        <w:gridCol w:w="9"/>
        <w:gridCol w:w="4241"/>
      </w:tblGrid>
      <w:tr>
        <w:trPr>
          <w:cantSplit/>
          <w:trHeight w:val="555"/>
        </w:trPr>
        <w:tc>
          <w:tcPr>
            <w:tcW w:w="1988" w:type="dxa"/>
            <w:vAlign w:val="center"/>
            <w:textDirection w:val="lrTb"/>
            <w:noWrap w:val="false"/>
          </w:tcPr>
          <w:p>
            <w:pPr>
              <w:pStyle w:val="1033"/>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项目名称</w:t>
            </w:r>
            <w:r>
              <w:rPr>
                <w:rFonts w:hint="eastAsia" w:ascii="宋体" w:hAnsi="宋体" w:eastAsia="宋体" w:cs="宋体"/>
                <w:b/>
                <w:bCs/>
                <w:highlight w:val="none"/>
              </w:rPr>
            </w:r>
            <w:r/>
          </w:p>
        </w:tc>
        <w:tc>
          <w:tcPr>
            <w:gridSpan w:val="3"/>
            <w:tcW w:w="7595" w:type="dxa"/>
            <w:vAlign w:val="center"/>
            <w:textDirection w:val="lrTb"/>
            <w:noWrap w:val="false"/>
          </w:tcPr>
          <w:p>
            <w:pPr>
              <w:pStyle w:val="1033"/>
              <w:spacing w:before="0" w:after="0" w:line="440" w:lineRule="exact"/>
              <w:rPr>
                <w:rFonts w:hint="eastAsia" w:ascii="宋体" w:hAnsi="宋体" w:eastAsia="宋体" w:cs="宋体"/>
                <w:highlight w:val="none"/>
              </w:rPr>
            </w:pPr>
            <w:r>
              <w:rPr>
                <w:rFonts w:hint="eastAsia" w:ascii="宋体" w:hAnsi="宋体" w:eastAsia="宋体" w:cs="宋体"/>
                <w:highlight w:val="none"/>
              </w:rPr>
            </w:r>
            <w:r/>
          </w:p>
        </w:tc>
      </w:tr>
      <w:tr>
        <w:trPr>
          <w:cantSplit/>
          <w:trHeight w:val="515"/>
        </w:trPr>
        <w:tc>
          <w:tcPr>
            <w:tcW w:w="1988" w:type="dxa"/>
            <w:vAlign w:val="center"/>
            <w:textDirection w:val="lrTb"/>
            <w:noWrap w:val="false"/>
          </w:tcPr>
          <w:p>
            <w:pPr>
              <w:pStyle w:val="1033"/>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项目编号</w:t>
            </w:r>
            <w:r>
              <w:rPr>
                <w:rFonts w:hint="eastAsia" w:ascii="宋体" w:hAnsi="宋体" w:eastAsia="宋体" w:cs="宋体"/>
                <w:b/>
                <w:bCs/>
                <w:highlight w:val="none"/>
              </w:rPr>
            </w:r>
            <w:r/>
          </w:p>
        </w:tc>
        <w:tc>
          <w:tcPr>
            <w:gridSpan w:val="3"/>
            <w:tcW w:w="7595" w:type="dxa"/>
            <w:vAlign w:val="center"/>
            <w:textDirection w:val="lrTb"/>
            <w:noWrap w:val="false"/>
          </w:tcPr>
          <w:p>
            <w:pPr>
              <w:pStyle w:val="1033"/>
              <w:spacing w:before="0" w:after="0" w:line="440" w:lineRule="exact"/>
              <w:rPr>
                <w:rFonts w:hint="eastAsia" w:ascii="宋体" w:hAnsi="宋体" w:eastAsia="宋体" w:cs="宋体"/>
                <w:highlight w:val="none"/>
              </w:rPr>
            </w:pPr>
            <w:r>
              <w:rPr>
                <w:rFonts w:hint="eastAsia" w:ascii="宋体" w:hAnsi="宋体" w:eastAsia="宋体" w:cs="宋体"/>
                <w:highlight w:val="none"/>
              </w:rPr>
            </w:r>
            <w:r/>
          </w:p>
        </w:tc>
      </w:tr>
      <w:tr>
        <w:trPr>
          <w:cantSplit/>
          <w:trHeight w:val="485"/>
        </w:trPr>
        <w:tc>
          <w:tcPr>
            <w:tcW w:w="1988" w:type="dxa"/>
            <w:vAlign w:val="center"/>
            <w:textDirection w:val="lrTb"/>
            <w:noWrap w:val="false"/>
          </w:tcPr>
          <w:p>
            <w:pPr>
              <w:pStyle w:val="1033"/>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采购</w:t>
            </w:r>
            <w:r>
              <w:rPr>
                <w:rFonts w:hint="eastAsia" w:ascii="宋体" w:hAnsi="宋体" w:eastAsia="宋体" w:cs="宋体"/>
                <w:b/>
                <w:bCs/>
                <w:highlight w:val="none"/>
              </w:rPr>
              <w:t xml:space="preserve">分包号（标段号）</w:t>
            </w:r>
            <w:r>
              <w:rPr>
                <w:rFonts w:hint="eastAsia" w:ascii="宋体" w:hAnsi="宋体" w:eastAsia="宋体" w:cs="宋体"/>
                <w:b/>
                <w:bCs/>
                <w:highlight w:val="none"/>
              </w:rPr>
            </w:r>
            <w:r/>
          </w:p>
        </w:tc>
        <w:tc>
          <w:tcPr>
            <w:gridSpan w:val="3"/>
            <w:tcW w:w="7595" w:type="dxa"/>
            <w:vAlign w:val="center"/>
            <w:textDirection w:val="lrTb"/>
            <w:noWrap w:val="false"/>
          </w:tcPr>
          <w:p>
            <w:pPr>
              <w:pStyle w:val="1033"/>
              <w:spacing w:before="0" w:after="0" w:line="440" w:lineRule="exact"/>
              <w:rPr>
                <w:rFonts w:hint="eastAsia" w:ascii="宋体" w:hAnsi="宋体" w:eastAsia="宋体" w:cs="宋体"/>
                <w:highlight w:val="none"/>
              </w:rPr>
            </w:pPr>
            <w:r>
              <w:rPr>
                <w:rFonts w:hint="eastAsia" w:ascii="宋体" w:hAnsi="宋体" w:eastAsia="宋体" w:cs="宋体"/>
                <w:highlight w:val="none"/>
              </w:rPr>
            </w:r>
            <w:r/>
          </w:p>
        </w:tc>
      </w:tr>
      <w:tr>
        <w:trPr>
          <w:cantSplit/>
          <w:trHeight w:val="505"/>
        </w:trPr>
        <w:tc>
          <w:tcPr>
            <w:tcW w:w="1988" w:type="dxa"/>
            <w:vAlign w:val="center"/>
            <w:textDirection w:val="lrTb"/>
            <w:noWrap w:val="false"/>
          </w:tcPr>
          <w:p>
            <w:pPr>
              <w:pStyle w:val="1033"/>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投标报价（含税）</w:t>
            </w:r>
            <w:r>
              <w:rPr>
                <w:rFonts w:hint="eastAsia" w:ascii="宋体" w:hAnsi="宋体" w:eastAsia="宋体" w:cs="宋体"/>
                <w:b/>
                <w:bCs/>
                <w:highlight w:val="none"/>
              </w:rPr>
            </w:r>
            <w:r/>
          </w:p>
        </w:tc>
        <w:tc>
          <w:tcPr>
            <w:gridSpan w:val="2"/>
            <w:tcW w:w="3354" w:type="dxa"/>
            <w:vAlign w:val="center"/>
            <w:textDirection w:val="lrTb"/>
            <w:noWrap w:val="false"/>
          </w:tcPr>
          <w:p>
            <w:pPr>
              <w:pStyle w:val="1033"/>
              <w:jc w:val="center"/>
              <w:spacing w:before="0" w:after="0" w:line="240" w:lineRule="auto"/>
              <w:rPr>
                <w:rFonts w:hint="eastAsia" w:ascii="宋体" w:hAnsi="宋体" w:eastAsia="宋体" w:cs="宋体"/>
                <w:highlight w:val="none"/>
                <w:lang w:val="zh-CN"/>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元</w:t>
            </w:r>
            <w:r>
              <w:rPr>
                <w:rFonts w:hint="eastAsia" w:ascii="宋体" w:hAnsi="宋体" w:eastAsia="宋体" w:cs="宋体"/>
                <w:highlight w:val="none"/>
                <w:lang w:val="zh-CN"/>
              </w:rPr>
            </w:r>
            <w:r/>
          </w:p>
        </w:tc>
        <w:tc>
          <w:tcPr>
            <w:tcW w:w="4241" w:type="dxa"/>
            <w:vAlign w:val="center"/>
            <w:textDirection w:val="lrTb"/>
            <w:noWrap w:val="false"/>
          </w:tcPr>
          <w:p>
            <w:pPr>
              <w:pStyle w:val="1033"/>
              <w:jc w:val="center"/>
              <w:spacing w:before="0" w:after="0" w:line="240" w:lineRule="auto"/>
              <w:rPr>
                <w:rFonts w:hint="eastAsia" w:ascii="宋体" w:hAnsi="宋体" w:eastAsia="宋体" w:cs="宋体"/>
                <w:highlight w:val="none"/>
                <w:u w:val="singl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元</w:t>
            </w:r>
            <w:r>
              <w:rPr>
                <w:rFonts w:hint="eastAsia" w:ascii="宋体" w:hAnsi="宋体" w:eastAsia="宋体" w:cs="宋体"/>
                <w:highlight w:val="none"/>
                <w:u w:val="single"/>
              </w:rPr>
            </w:r>
            <w:r/>
          </w:p>
        </w:tc>
      </w:tr>
      <w:tr>
        <w:trPr>
          <w:cantSplit/>
          <w:trHeight w:val="505"/>
        </w:trPr>
        <w:tc>
          <w:tcPr>
            <w:tcW w:w="1988" w:type="dxa"/>
            <w:vAlign w:val="center"/>
            <w:textDirection w:val="lrTb"/>
            <w:noWrap w:val="false"/>
          </w:tcPr>
          <w:p>
            <w:pPr>
              <w:pStyle w:val="1033"/>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税率</w:t>
            </w:r>
            <w:r>
              <w:rPr>
                <w:rFonts w:hint="eastAsia" w:ascii="宋体" w:hAnsi="宋体" w:eastAsia="宋体" w:cs="宋体"/>
                <w:b/>
                <w:bCs/>
                <w:highlight w:val="none"/>
              </w:rPr>
            </w:r>
            <w:r/>
          </w:p>
        </w:tc>
        <w:tc>
          <w:tcPr>
            <w:gridSpan w:val="3"/>
            <w:tcW w:w="7595" w:type="dxa"/>
            <w:vAlign w:val="center"/>
            <w:textDirection w:val="lrTb"/>
            <w:noWrap w:val="false"/>
          </w:tcPr>
          <w:p>
            <w:pPr>
              <w:pStyle w:val="1033"/>
              <w:jc w:val="center"/>
              <w:spacing w:before="0" w:after="0" w:line="240" w:lineRule="auto"/>
              <w:rPr>
                <w:rFonts w:hint="eastAsia" w:ascii="宋体" w:hAnsi="宋体" w:eastAsia="宋体" w:cs="宋体"/>
                <w:highlight w:val="none"/>
                <w:lang w:val="zh-CN"/>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rPr>
                <w:rFonts w:hint="eastAsia" w:ascii="宋体" w:hAnsi="宋体" w:eastAsia="宋体" w:cs="宋体"/>
                <w:highlight w:val="none"/>
                <w:lang w:val="zh-CN"/>
              </w:rPr>
            </w:r>
            <w:r/>
          </w:p>
        </w:tc>
      </w:tr>
      <w:tr>
        <w:trPr>
          <w:cantSplit/>
          <w:trHeight w:val="495"/>
        </w:trPr>
        <w:tc>
          <w:tcPr>
            <w:tcW w:w="1988" w:type="dxa"/>
            <w:vAlign w:val="center"/>
            <w:textDirection w:val="lrTb"/>
            <w:noWrap w:val="false"/>
          </w:tcPr>
          <w:p>
            <w:pPr>
              <w:pStyle w:val="1033"/>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交货期</w:t>
            </w:r>
            <w:r>
              <w:rPr>
                <w:rFonts w:hint="eastAsia" w:ascii="宋体" w:hAnsi="宋体" w:eastAsia="宋体" w:cs="宋体"/>
                <w:b/>
                <w:bCs/>
                <w:highlight w:val="none"/>
              </w:rPr>
            </w:r>
            <w:r/>
          </w:p>
        </w:tc>
        <w:tc>
          <w:tcPr>
            <w:gridSpan w:val="3"/>
            <w:tcW w:w="7595" w:type="dxa"/>
            <w:vAlign w:val="center"/>
            <w:textDirection w:val="lrTb"/>
            <w:noWrap w:val="false"/>
          </w:tcPr>
          <w:p>
            <w:pPr>
              <w:pStyle w:val="1033"/>
              <w:jc w:val="center"/>
              <w:spacing w:before="0" w:after="0" w:line="240" w:lineRule="auto"/>
              <w:rPr>
                <w:rFonts w:hint="eastAsia" w:ascii="宋体" w:hAnsi="宋体" w:eastAsia="宋体" w:cs="宋体"/>
                <w:highlight w:val="none"/>
                <w:lang w:val="zh-CN"/>
              </w:rPr>
            </w:pPr>
            <w:r>
              <w:rPr>
                <w:rFonts w:hint="eastAsia" w:ascii="宋体" w:hAnsi="宋体" w:eastAsia="宋体" w:cs="宋体"/>
                <w:highlight w:val="none"/>
                <w:u w:val="single"/>
              </w:rPr>
              <w:t xml:space="preserve">   </w:t>
            </w:r>
            <w:r>
              <w:rPr>
                <w:rFonts w:hint="eastAsia" w:ascii="宋体" w:hAnsi="宋体" w:eastAsia="宋体" w:cs="宋体"/>
                <w:highlight w:val="none"/>
                <w:lang w:val="zh-CN"/>
              </w:rPr>
            </w:r>
            <w:r/>
          </w:p>
        </w:tc>
      </w:tr>
      <w:tr>
        <w:trPr>
          <w:cantSplit/>
          <w:trHeight w:val="648"/>
        </w:trPr>
        <w:tc>
          <w:tcPr>
            <w:tcW w:w="1988" w:type="dxa"/>
            <w:vAlign w:val="center"/>
            <w:vMerge w:val="restart"/>
            <w:textDirection w:val="lrTb"/>
            <w:noWrap w:val="false"/>
          </w:tcPr>
          <w:p>
            <w:pPr>
              <w:pStyle w:val="1033"/>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企业类型</w:t>
            </w:r>
            <w:r>
              <w:rPr>
                <w:rFonts w:hint="eastAsia" w:ascii="宋体" w:hAnsi="宋体" w:eastAsia="宋体" w:cs="宋体"/>
                <w:b/>
                <w:bCs/>
                <w:highlight w:val="none"/>
              </w:rPr>
            </w:r>
            <w:r/>
          </w:p>
        </w:tc>
        <w:tc>
          <w:tcPr>
            <w:tcW w:w="3345" w:type="dxa"/>
            <w:vAlign w:val="center"/>
            <w:textDirection w:val="lrTb"/>
            <w:noWrap w:val="false"/>
          </w:tcPr>
          <w:p>
            <w:pPr>
              <w:pStyle w:val="1033"/>
              <w:jc w:val="center"/>
              <w:spacing w:before="0" w:after="0" w:line="240" w:lineRule="auto"/>
              <w:rPr>
                <w:rFonts w:hint="eastAsia" w:ascii="宋体" w:hAnsi="宋体" w:eastAsia="宋体" w:cs="宋体"/>
                <w:highlight w:val="none"/>
              </w:rPr>
            </w:pPr>
            <w:r>
              <w:rPr>
                <w:rFonts w:hint="eastAsia" w:ascii="宋体" w:hAnsi="宋体" w:eastAsia="宋体" w:cs="宋体"/>
                <w:highlight w:val="none"/>
                <w:lang w:val="zh-CN"/>
              </w:rPr>
              <w:t xml:space="preserve">是否属于小微型企业</w:t>
            </w:r>
            <w:r>
              <w:rPr>
                <w:rFonts w:hint="eastAsia" w:ascii="宋体" w:hAnsi="宋体" w:eastAsia="宋体" w:cs="宋体"/>
                <w:highlight w:val="none"/>
              </w:rPr>
            </w:r>
            <w:r/>
          </w:p>
        </w:tc>
        <w:tc>
          <w:tcPr>
            <w:gridSpan w:val="2"/>
            <w:tcW w:w="4250" w:type="dxa"/>
            <w:vAlign w:val="center"/>
            <w:textDirection w:val="lrTb"/>
            <w:noWrap w:val="false"/>
          </w:tcPr>
          <w:p>
            <w:pPr>
              <w:pStyle w:val="1033"/>
              <w:jc w:val="center"/>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是</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否</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cantSplit/>
          <w:trHeight w:val="627"/>
        </w:trPr>
        <w:tc>
          <w:tcPr>
            <w:tcW w:w="1988" w:type="dxa"/>
            <w:vAlign w:val="center"/>
            <w:vMerge w:val="continue"/>
            <w:textDirection w:val="lrTb"/>
            <w:noWrap w:val="false"/>
          </w:tcPr>
          <w:p>
            <w:pPr>
              <w:pStyle w:val="1033"/>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r>
            <w:r/>
          </w:p>
        </w:tc>
        <w:tc>
          <w:tcPr>
            <w:tcW w:w="3345" w:type="dxa"/>
            <w:vAlign w:val="center"/>
            <w:textDirection w:val="lrTb"/>
            <w:noWrap w:val="false"/>
          </w:tcPr>
          <w:p>
            <w:pPr>
              <w:pStyle w:val="1033"/>
              <w:jc w:val="center"/>
              <w:spacing w:before="0" w:after="0" w:line="240" w:lineRule="auto"/>
              <w:rPr>
                <w:rFonts w:hint="eastAsia" w:ascii="宋体" w:hAnsi="宋体" w:eastAsia="宋体" w:cs="宋体"/>
                <w:highlight w:val="none"/>
              </w:rPr>
            </w:pPr>
            <w:r>
              <w:rPr>
                <w:rFonts w:hint="eastAsia" w:ascii="宋体" w:hAnsi="宋体" w:eastAsia="宋体" w:cs="宋体"/>
                <w:highlight w:val="none"/>
                <w:lang w:val="zh-CN"/>
              </w:rPr>
              <w:t xml:space="preserve">是否属于残疾人福利性单位</w:t>
            </w:r>
            <w:r>
              <w:rPr>
                <w:rFonts w:hint="eastAsia" w:ascii="宋体" w:hAnsi="宋体" w:eastAsia="宋体" w:cs="宋体"/>
                <w:highlight w:val="none"/>
              </w:rPr>
            </w:r>
            <w:r/>
          </w:p>
        </w:tc>
        <w:tc>
          <w:tcPr>
            <w:gridSpan w:val="2"/>
            <w:tcW w:w="4250" w:type="dxa"/>
            <w:vAlign w:val="center"/>
            <w:textDirection w:val="lrTb"/>
            <w:noWrap w:val="false"/>
          </w:tcPr>
          <w:p>
            <w:pPr>
              <w:pStyle w:val="1033"/>
              <w:jc w:val="center"/>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是</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否</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cantSplit/>
          <w:trHeight w:val="612"/>
        </w:trPr>
        <w:tc>
          <w:tcPr>
            <w:tcW w:w="1988" w:type="dxa"/>
            <w:vAlign w:val="center"/>
            <w:vMerge w:val="continue"/>
            <w:textDirection w:val="lrTb"/>
            <w:noWrap w:val="false"/>
          </w:tcPr>
          <w:p>
            <w:pPr>
              <w:pStyle w:val="1033"/>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r>
            <w:r/>
          </w:p>
        </w:tc>
        <w:tc>
          <w:tcPr>
            <w:tcW w:w="3345" w:type="dxa"/>
            <w:vAlign w:val="center"/>
            <w:textDirection w:val="lrTb"/>
            <w:noWrap w:val="false"/>
          </w:tcPr>
          <w:p>
            <w:pPr>
              <w:pStyle w:val="1033"/>
              <w:jc w:val="center"/>
              <w:spacing w:before="0" w:after="0" w:line="240" w:lineRule="auto"/>
              <w:rPr>
                <w:rFonts w:hint="eastAsia" w:ascii="宋体" w:hAnsi="宋体" w:eastAsia="宋体" w:cs="宋体"/>
                <w:highlight w:val="none"/>
              </w:rPr>
            </w:pPr>
            <w:r>
              <w:rPr>
                <w:rFonts w:hint="eastAsia" w:ascii="宋体" w:hAnsi="宋体" w:eastAsia="宋体" w:cs="宋体"/>
                <w:highlight w:val="none"/>
                <w:lang w:val="zh-CN"/>
              </w:rPr>
              <w:t xml:space="preserve">是否属于监狱企业</w:t>
            </w:r>
            <w:r>
              <w:rPr>
                <w:rFonts w:hint="eastAsia" w:ascii="宋体" w:hAnsi="宋体" w:eastAsia="宋体" w:cs="宋体"/>
                <w:highlight w:val="none"/>
              </w:rPr>
            </w:r>
            <w:r/>
          </w:p>
        </w:tc>
        <w:tc>
          <w:tcPr>
            <w:gridSpan w:val="2"/>
            <w:tcW w:w="4250" w:type="dxa"/>
            <w:vAlign w:val="center"/>
            <w:textDirection w:val="lrTb"/>
            <w:noWrap w:val="false"/>
          </w:tcPr>
          <w:p>
            <w:pPr>
              <w:pStyle w:val="1033"/>
              <w:jc w:val="center"/>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是</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否</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cantSplit/>
          <w:trHeight w:val="680"/>
        </w:trPr>
        <w:tc>
          <w:tcPr>
            <w:tcW w:w="1988" w:type="dxa"/>
            <w:vAlign w:val="center"/>
            <w:textDirection w:val="lrTb"/>
            <w:noWrap w:val="false"/>
          </w:tcPr>
          <w:p>
            <w:pPr>
              <w:pStyle w:val="1033"/>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售后服务承诺</w:t>
            </w:r>
            <w:r>
              <w:rPr>
                <w:rFonts w:hint="eastAsia" w:ascii="宋体" w:hAnsi="宋体" w:eastAsia="宋体" w:cs="宋体"/>
                <w:b/>
                <w:bCs/>
                <w:highlight w:val="none"/>
              </w:rPr>
            </w:r>
            <w:r/>
          </w:p>
        </w:tc>
        <w:tc>
          <w:tcPr>
            <w:gridSpan w:val="3"/>
            <w:tcW w:w="7595" w:type="dxa"/>
            <w:vAlign w:val="center"/>
            <w:textDirection w:val="lrTb"/>
            <w:noWrap w:val="false"/>
          </w:tcPr>
          <w:p>
            <w:pPr>
              <w:pStyle w:val="1033"/>
              <w:jc w:val="left"/>
              <w:spacing w:before="0" w:after="0"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cantSplit/>
          <w:trHeight w:val="680"/>
        </w:trPr>
        <w:tc>
          <w:tcPr>
            <w:tcW w:w="1988" w:type="dxa"/>
            <w:vAlign w:val="center"/>
            <w:textDirection w:val="lrTb"/>
            <w:noWrap w:val="false"/>
          </w:tcPr>
          <w:p>
            <w:pPr>
              <w:pStyle w:val="1033"/>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优惠条件承诺</w:t>
            </w:r>
            <w:r>
              <w:rPr>
                <w:rFonts w:hint="eastAsia" w:ascii="宋体" w:hAnsi="宋体" w:eastAsia="宋体" w:cs="宋体"/>
                <w:b/>
                <w:bCs/>
                <w:highlight w:val="none"/>
              </w:rPr>
            </w:r>
            <w:r/>
          </w:p>
        </w:tc>
        <w:tc>
          <w:tcPr>
            <w:gridSpan w:val="3"/>
            <w:tcW w:w="7595" w:type="dxa"/>
            <w:vAlign w:val="center"/>
            <w:textDirection w:val="lrTb"/>
            <w:noWrap w:val="false"/>
          </w:tcPr>
          <w:p>
            <w:pPr>
              <w:pStyle w:val="1033"/>
              <w:jc w:val="left"/>
              <w:spacing w:before="0" w:after="0"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cantSplit/>
          <w:trHeight w:val="698"/>
        </w:trPr>
        <w:tc>
          <w:tcPr>
            <w:tcW w:w="1988" w:type="dxa"/>
            <w:vAlign w:val="center"/>
            <w:textDirection w:val="lrTb"/>
            <w:noWrap w:val="false"/>
          </w:tcPr>
          <w:p>
            <w:pPr>
              <w:pStyle w:val="1033"/>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备注</w:t>
            </w:r>
            <w:r>
              <w:rPr>
                <w:rFonts w:hint="eastAsia" w:ascii="宋体" w:hAnsi="宋体" w:eastAsia="宋体" w:cs="宋体"/>
                <w:b/>
                <w:bCs/>
                <w:highlight w:val="none"/>
              </w:rPr>
            </w:r>
            <w:r/>
          </w:p>
        </w:tc>
        <w:tc>
          <w:tcPr>
            <w:gridSpan w:val="3"/>
            <w:tcW w:w="7595" w:type="dxa"/>
            <w:vAlign w:val="top"/>
            <w:textDirection w:val="lrTb"/>
            <w:noWrap w:val="false"/>
          </w:tcPr>
          <w:p>
            <w:pPr>
              <w:pStyle w:val="1033"/>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r>
    </w:tbl>
    <w:p>
      <w:pPr>
        <w:pStyle w:val="1033"/>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说明：</w:t>
      </w:r>
      <w:r>
        <w:rPr>
          <w:rFonts w:hint="eastAsia" w:ascii="宋体" w:hAnsi="宋体" w:eastAsia="宋体" w:cs="宋体"/>
          <w:bCs/>
          <w:szCs w:val="21"/>
          <w:highlight w:val="none"/>
        </w:rPr>
      </w:r>
      <w:r/>
    </w:p>
    <w:p>
      <w:pPr>
        <w:pStyle w:val="1033"/>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1.报价币种：人民币。</w:t>
      </w:r>
      <w:r>
        <w:rPr>
          <w:rFonts w:hint="eastAsia" w:ascii="宋体" w:hAnsi="宋体" w:eastAsia="宋体" w:cs="宋体"/>
          <w:bCs/>
          <w:szCs w:val="21"/>
          <w:highlight w:val="none"/>
        </w:rPr>
      </w:r>
      <w:r/>
    </w:p>
    <w:p>
      <w:pPr>
        <w:pStyle w:val="1033"/>
        <w:spacing w:line="240" w:lineRule="auto"/>
        <w:rPr>
          <w:rFonts w:hint="eastAsia" w:ascii="宋体" w:hAnsi="宋体" w:eastAsia="宋体" w:cs="宋体"/>
          <w:b/>
          <w:szCs w:val="21"/>
          <w:highlight w:val="none"/>
        </w:rPr>
      </w:pPr>
      <w:r>
        <w:rPr>
          <w:rFonts w:hint="eastAsia" w:ascii="宋体" w:hAnsi="宋体" w:eastAsia="宋体" w:cs="宋体"/>
          <w:bCs/>
          <w:szCs w:val="21"/>
          <w:highlight w:val="none"/>
        </w:rPr>
        <w:t xml:space="preserve">2.</w:t>
      </w:r>
      <w:r>
        <w:rPr>
          <w:rFonts w:hint="eastAsia" w:ascii="宋体" w:hAnsi="宋体" w:eastAsia="宋体" w:cs="宋体"/>
          <w:b/>
          <w:szCs w:val="21"/>
          <w:highlight w:val="none"/>
        </w:rPr>
        <w:t xml:space="preserve">在供应商“是否属于小和微型企业”、“</w:t>
      </w:r>
      <w:r>
        <w:rPr>
          <w:rFonts w:hint="eastAsia" w:ascii="宋体" w:hAnsi="宋体" w:eastAsia="宋体" w:cs="宋体"/>
          <w:b/>
          <w:szCs w:val="21"/>
          <w:highlight w:val="none"/>
          <w:lang w:val="zh-CN"/>
        </w:rPr>
        <w:t xml:space="preserve">是否属于残疾人福利性单位</w:t>
      </w:r>
      <w:r>
        <w:rPr>
          <w:rFonts w:hint="eastAsia" w:ascii="宋体" w:hAnsi="宋体" w:eastAsia="宋体" w:cs="宋体"/>
          <w:b/>
          <w:szCs w:val="21"/>
          <w:highlight w:val="none"/>
        </w:rPr>
        <w:t xml:space="preserve">”、“</w:t>
      </w:r>
      <w:r>
        <w:rPr>
          <w:rFonts w:hint="eastAsia" w:ascii="宋体" w:hAnsi="宋体" w:eastAsia="宋体" w:cs="宋体"/>
          <w:b/>
          <w:szCs w:val="21"/>
          <w:highlight w:val="none"/>
          <w:lang w:val="zh-CN"/>
        </w:rPr>
        <w:t xml:space="preserve">是否属于监狱企业</w:t>
      </w:r>
      <w:r>
        <w:rPr>
          <w:rFonts w:hint="eastAsia" w:ascii="宋体" w:hAnsi="宋体" w:eastAsia="宋体" w:cs="宋体"/>
          <w:b/>
          <w:szCs w:val="21"/>
          <w:highlight w:val="none"/>
        </w:rPr>
        <w:t xml:space="preserve">”栏后“是”或“否”上打“√”,并按要求提供分项报价表及中小企业声明函。评审过程中，如果小、微型企业报价无法划分计算的，将不予认可。</w:t>
      </w:r>
      <w:r>
        <w:rPr>
          <w:rFonts w:hint="eastAsia" w:ascii="宋体" w:hAnsi="宋体" w:eastAsia="宋体" w:cs="宋体"/>
          <w:b/>
          <w:szCs w:val="21"/>
          <w:highlight w:val="none"/>
        </w:rPr>
      </w:r>
      <w:r/>
    </w:p>
    <w:p>
      <w:pPr>
        <w:pStyle w:val="1033"/>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3.本项目仅接受一个价格，不得填报有选择性报价方案。如有优惠条款须注明，但不得影响报价，影响项目履约交付。</w:t>
      </w:r>
      <w:r>
        <w:rPr>
          <w:rFonts w:hint="eastAsia" w:ascii="宋体" w:hAnsi="宋体" w:eastAsia="宋体" w:cs="宋体"/>
          <w:bCs/>
          <w:szCs w:val="21"/>
          <w:highlight w:val="none"/>
        </w:rPr>
      </w:r>
      <w:r/>
    </w:p>
    <w:p>
      <w:pPr>
        <w:pStyle w:val="1033"/>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4.供应商应报出最具有竞争力的价格，项目总报价中包含的所有要求提供货物和服务本身已支付或将支付的各种税费及其他相关费用。</w:t>
      </w:r>
      <w:r>
        <w:rPr>
          <w:rFonts w:hint="eastAsia" w:ascii="宋体" w:hAnsi="宋体" w:eastAsia="宋体" w:cs="宋体"/>
          <w:bCs/>
          <w:szCs w:val="21"/>
          <w:highlight w:val="none"/>
        </w:rPr>
      </w:r>
      <w:r/>
    </w:p>
    <w:p>
      <w:pPr>
        <w:pStyle w:val="1033"/>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33"/>
        <w:jc w:val="left"/>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1033"/>
        <w:jc w:val="left"/>
        <w:spacing w:before="0" w:after="0"/>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36" w:name="_Toc25567"/>
      <w:r/>
      <w:bookmarkStart w:id="137" w:name="_Toc467065082"/>
      <w:r/>
      <w:bookmarkStart w:id="138" w:name="_Toc403725575"/>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33"/>
        <w:jc w:val="center"/>
        <w:widowControl/>
        <w:rPr>
          <w:rFonts w:hint="eastAsia" w:ascii="宋体" w:hAnsi="宋体" w:eastAsia="宋体" w:cs="宋体"/>
          <w:b/>
          <w:sz w:val="24"/>
          <w:highlight w:val="none"/>
        </w:rPr>
      </w:pPr>
      <w:r>
        <w:rPr>
          <w:rFonts w:hint="eastAsia" w:ascii="宋体" w:hAnsi="宋体" w:eastAsia="宋体" w:cs="宋体"/>
          <w:b/>
          <w:sz w:val="24"/>
          <w:highlight w:val="none"/>
        </w:rPr>
        <w:t xml:space="preserve">（2）分项价格表（格式）</w:t>
      </w:r>
      <w:r>
        <w:rPr>
          <w:rFonts w:hint="eastAsia" w:ascii="宋体" w:hAnsi="宋体" w:eastAsia="宋体" w:cs="宋体"/>
          <w:b/>
          <w:sz w:val="24"/>
          <w:highlight w:val="none"/>
        </w:rPr>
      </w:r>
      <w:r/>
    </w:p>
    <w:p>
      <w:pPr>
        <w:pStyle w:val="1033"/>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   （项目编号）</w:t>
      </w:r>
      <w:r>
        <w:rPr>
          <w:rFonts w:hint="eastAsia" w:ascii="宋体" w:hAnsi="宋体" w:eastAsia="宋体" w:cs="宋体"/>
          <w:sz w:val="24"/>
          <w:highlight w:val="none"/>
        </w:rPr>
        <w:t xml:space="preserve">                         货币单位：人民币（元）</w:t>
      </w:r>
      <w:r>
        <w:rPr>
          <w:rFonts w:hint="eastAsia" w:ascii="宋体" w:hAnsi="宋体" w:eastAsia="宋体" w:cs="宋体"/>
          <w:sz w:val="24"/>
          <w:highlight w:val="none"/>
        </w:rPr>
      </w:r>
      <w:r/>
    </w:p>
    <w:p>
      <w:pPr>
        <w:pStyle w:val="1033"/>
        <w:spacing w:line="24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采购</w:t>
      </w:r>
      <w:r>
        <w:rPr>
          <w:rFonts w:hint="eastAsia" w:ascii="宋体" w:hAnsi="宋体" w:eastAsia="宋体" w:cs="宋体"/>
          <w:sz w:val="24"/>
          <w:highlight w:val="none"/>
        </w:rPr>
        <w:t xml:space="preserve">分包号（标段号）：</w:t>
      </w:r>
      <w:r>
        <w:rPr>
          <w:rFonts w:hint="eastAsia" w:ascii="宋体" w:hAnsi="宋体" w:eastAsia="宋体" w:cs="宋体"/>
          <w:sz w:val="24"/>
          <w:highlight w:val="none"/>
          <w:u w:val="single"/>
        </w:rPr>
        <w:t xml:space="preserve">   （标段号）   </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033"/>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u w:val="single"/>
        </w:rPr>
        <w:t xml:space="preserve">   （项目名称）  </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033"/>
        <w:rPr>
          <w:rFonts w:hint="eastAsia" w:ascii="宋体" w:hAnsi="宋体" w:eastAsia="宋体" w:cs="宋体"/>
          <w:b/>
          <w:bCs/>
          <w:sz w:val="24"/>
          <w:highlight w:val="none"/>
        </w:rPr>
      </w:pPr>
      <w:r>
        <w:rPr>
          <w:rFonts w:hint="eastAsia" w:ascii="宋体" w:hAnsi="宋体" w:eastAsia="宋体" w:cs="宋体"/>
          <w:b/>
          <w:bCs/>
          <w:sz w:val="24"/>
          <w:highlight w:val="none"/>
        </w:rPr>
        <w:t xml:space="preserve">分项报价清单：</w:t>
      </w:r>
      <w:r>
        <w:rPr>
          <w:rFonts w:hint="eastAsia" w:ascii="宋体" w:hAnsi="宋体" w:eastAsia="宋体" w:cs="宋体"/>
          <w:b/>
          <w:bCs/>
          <w:sz w:val="24"/>
          <w:highlight w:val="none"/>
        </w:rPr>
      </w:r>
      <w:r/>
    </w:p>
    <w:tbl>
      <w:tblPr>
        <w:tblW w:w="10530"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31"/>
        <w:gridCol w:w="1024"/>
        <w:gridCol w:w="1005"/>
        <w:gridCol w:w="1800"/>
        <w:gridCol w:w="1659"/>
        <w:gridCol w:w="911"/>
        <w:gridCol w:w="823"/>
        <w:gridCol w:w="1132"/>
        <w:gridCol w:w="905"/>
        <w:gridCol w:w="740"/>
      </w:tblGrid>
      <w:tr>
        <w:trPr>
          <w:trHeight w:val="2317"/>
        </w:trPr>
        <w:tc>
          <w:tcPr>
            <w:tcMar>
              <w:left w:w="15" w:type="dxa"/>
              <w:top w:w="15" w:type="dxa"/>
              <w:right w:w="15" w:type="dxa"/>
              <w:bottom w:w="0" w:type="dxa"/>
            </w:tcMar>
            <w:tcW w:w="531" w:type="dxa"/>
            <w:vAlign w:val="center"/>
            <w:textDirection w:val="lrTb"/>
            <w:noWrap w:val="false"/>
          </w:tcPr>
          <w:p>
            <w:pPr>
              <w:pStyle w:val="1033"/>
              <w:jc w:val="center"/>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Mar>
              <w:left w:w="15" w:type="dxa"/>
              <w:top w:w="15" w:type="dxa"/>
              <w:right w:w="15" w:type="dxa"/>
              <w:bottom w:w="0" w:type="dxa"/>
            </w:tcMar>
            <w:tcW w:w="1024" w:type="dxa"/>
            <w:vAlign w:val="center"/>
            <w:textDirection w:val="lrTb"/>
            <w:noWrap w:val="false"/>
          </w:tcPr>
          <w:p>
            <w:pPr>
              <w:pStyle w:val="1033"/>
              <w:jc w:val="center"/>
              <w:rPr>
                <w:rFonts w:hint="eastAsia" w:ascii="宋体" w:hAnsi="宋体" w:eastAsia="宋体" w:cs="宋体"/>
                <w:sz w:val="24"/>
                <w:highlight w:val="none"/>
              </w:rPr>
            </w:pPr>
            <w:r>
              <w:rPr>
                <w:rFonts w:hint="eastAsia" w:ascii="宋体" w:hAnsi="宋体" w:eastAsia="宋体" w:cs="宋体"/>
                <w:sz w:val="24"/>
                <w:highlight w:val="none"/>
              </w:rPr>
              <w:t xml:space="preserve">名称（标的名称）</w:t>
            </w:r>
            <w:r>
              <w:rPr>
                <w:rFonts w:hint="eastAsia" w:ascii="宋体" w:hAnsi="宋体" w:eastAsia="宋体" w:cs="宋体"/>
                <w:sz w:val="24"/>
                <w:highlight w:val="none"/>
              </w:rPr>
            </w:r>
            <w:r/>
          </w:p>
        </w:tc>
        <w:tc>
          <w:tcPr>
            <w:tcMar>
              <w:left w:w="15" w:type="dxa"/>
              <w:top w:w="15" w:type="dxa"/>
              <w:right w:w="15" w:type="dxa"/>
              <w:bottom w:w="0" w:type="dxa"/>
            </w:tcMar>
            <w:tcW w:w="1005" w:type="dxa"/>
            <w:vAlign w:val="center"/>
            <w:textDirection w:val="lrTb"/>
            <w:noWrap w:val="false"/>
          </w:tcPr>
          <w:p>
            <w:pPr>
              <w:pStyle w:val="1033"/>
              <w:jc w:val="center"/>
              <w:rPr>
                <w:rFonts w:hint="eastAsia" w:ascii="宋体" w:hAnsi="宋体" w:eastAsia="宋体" w:cs="宋体"/>
                <w:sz w:val="24"/>
                <w:highlight w:val="none"/>
              </w:rPr>
            </w:pPr>
            <w:r>
              <w:rPr>
                <w:rFonts w:hint="eastAsia" w:ascii="宋体" w:hAnsi="宋体" w:eastAsia="宋体" w:cs="宋体"/>
                <w:sz w:val="24"/>
                <w:highlight w:val="none"/>
              </w:rPr>
              <w:t xml:space="preserve">品牌、规格、型号</w:t>
            </w:r>
            <w:r>
              <w:rPr>
                <w:rFonts w:hint="eastAsia" w:ascii="宋体" w:hAnsi="宋体" w:eastAsia="宋体" w:cs="宋体"/>
                <w:sz w:val="24"/>
                <w:highlight w:val="none"/>
              </w:rPr>
            </w:r>
            <w:r/>
          </w:p>
        </w:tc>
        <w:tc>
          <w:tcPr>
            <w:tcMar>
              <w:left w:w="15" w:type="dxa"/>
              <w:top w:w="15" w:type="dxa"/>
              <w:right w:w="15" w:type="dxa"/>
              <w:bottom w:w="0" w:type="dxa"/>
            </w:tcMar>
            <w:tcW w:w="1800" w:type="dxa"/>
            <w:vAlign w:val="center"/>
            <w:textDirection w:val="lrTb"/>
            <w:noWrap w:val="false"/>
          </w:tcPr>
          <w:p>
            <w:pPr>
              <w:pStyle w:val="1033"/>
              <w:jc w:val="center"/>
              <w:rPr>
                <w:rFonts w:hint="eastAsia" w:ascii="宋体" w:hAnsi="宋体" w:eastAsia="宋体" w:cs="宋体"/>
                <w:sz w:val="24"/>
                <w:highlight w:val="none"/>
              </w:rPr>
            </w:pPr>
            <w:r>
              <w:rPr>
                <w:rFonts w:hint="eastAsia" w:ascii="宋体" w:hAnsi="宋体" w:eastAsia="宋体" w:cs="宋体"/>
                <w:sz w:val="24"/>
                <w:highlight w:val="none"/>
              </w:rPr>
              <w:t xml:space="preserve">产品制造企业名称（全称）</w:t>
            </w:r>
            <w:r>
              <w:rPr>
                <w:rFonts w:hint="eastAsia" w:ascii="宋体" w:hAnsi="宋体" w:eastAsia="宋体" w:cs="宋体"/>
                <w:sz w:val="24"/>
                <w:highlight w:val="none"/>
              </w:rPr>
            </w:r>
            <w:r/>
          </w:p>
        </w:tc>
        <w:tc>
          <w:tcPr>
            <w:tcMar>
              <w:left w:w="15" w:type="dxa"/>
              <w:top w:w="15" w:type="dxa"/>
              <w:right w:w="15" w:type="dxa"/>
              <w:bottom w:w="0" w:type="dxa"/>
            </w:tcMar>
            <w:tcW w:w="1659" w:type="dxa"/>
            <w:vAlign w:val="top"/>
            <w:textDirection w:val="lrTb"/>
            <w:noWrap w:val="false"/>
          </w:tcPr>
          <w:p>
            <w:pPr>
              <w:pStyle w:val="1033"/>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产品制造企业的划分（注明：大型、中型、小型、微型、监狱企业、残疾人福利性单位）</w:t>
            </w:r>
            <w:r>
              <w:rPr>
                <w:rFonts w:hint="eastAsia" w:ascii="宋体" w:hAnsi="宋体" w:eastAsia="宋体" w:cs="宋体"/>
                <w:sz w:val="24"/>
                <w:highlight w:val="none"/>
              </w:rPr>
            </w:r>
            <w:r/>
          </w:p>
        </w:tc>
        <w:tc>
          <w:tcPr>
            <w:tcMar>
              <w:left w:w="15" w:type="dxa"/>
              <w:top w:w="15" w:type="dxa"/>
              <w:right w:w="15" w:type="dxa"/>
              <w:bottom w:w="0" w:type="dxa"/>
            </w:tcMar>
            <w:tcW w:w="911" w:type="dxa"/>
            <w:vAlign w:val="center"/>
            <w:textDirection w:val="lrTb"/>
            <w:noWrap w:val="false"/>
          </w:tcPr>
          <w:p>
            <w:pPr>
              <w:pStyle w:val="1033"/>
              <w:jc w:val="center"/>
              <w:rPr>
                <w:rFonts w:hint="eastAsia" w:ascii="宋体" w:hAnsi="宋体" w:eastAsia="宋体" w:cs="宋体"/>
                <w:sz w:val="24"/>
                <w:highlight w:val="none"/>
              </w:rPr>
            </w:pPr>
            <w:r>
              <w:rPr>
                <w:rFonts w:hint="eastAsia" w:ascii="宋体" w:hAnsi="宋体" w:eastAsia="宋体" w:cs="宋体"/>
                <w:sz w:val="24"/>
                <w:highlight w:val="none"/>
              </w:rPr>
              <w:t xml:space="preserve">单位</w:t>
            </w:r>
            <w:r>
              <w:rPr>
                <w:rFonts w:hint="eastAsia" w:ascii="宋体" w:hAnsi="宋体" w:eastAsia="宋体" w:cs="宋体"/>
                <w:sz w:val="24"/>
                <w:highlight w:val="none"/>
              </w:rPr>
            </w:r>
            <w:r/>
          </w:p>
        </w:tc>
        <w:tc>
          <w:tcPr>
            <w:tcMar>
              <w:left w:w="15" w:type="dxa"/>
              <w:top w:w="15" w:type="dxa"/>
              <w:right w:w="15" w:type="dxa"/>
              <w:bottom w:w="0" w:type="dxa"/>
            </w:tcMar>
            <w:tcW w:w="823" w:type="dxa"/>
            <w:vAlign w:val="center"/>
            <w:textDirection w:val="lrTb"/>
            <w:noWrap w:val="false"/>
          </w:tcPr>
          <w:p>
            <w:pPr>
              <w:pStyle w:val="1033"/>
              <w:jc w:val="center"/>
              <w:rPr>
                <w:rFonts w:hint="eastAsia" w:ascii="宋体" w:hAnsi="宋体" w:eastAsia="宋体" w:cs="宋体"/>
                <w:sz w:val="24"/>
                <w:highlight w:val="none"/>
              </w:rPr>
            </w:pPr>
            <w:r>
              <w:rPr>
                <w:rFonts w:hint="eastAsia" w:ascii="宋体" w:hAnsi="宋体" w:eastAsia="宋体" w:cs="宋体"/>
                <w:sz w:val="24"/>
                <w:highlight w:val="none"/>
              </w:rPr>
              <w:t xml:space="preserve">数量</w:t>
            </w:r>
            <w:r>
              <w:rPr>
                <w:rFonts w:hint="eastAsia" w:ascii="宋体" w:hAnsi="宋体" w:eastAsia="宋体" w:cs="宋体"/>
                <w:sz w:val="24"/>
                <w:highlight w:val="none"/>
              </w:rPr>
            </w:r>
            <w:r/>
          </w:p>
        </w:tc>
        <w:tc>
          <w:tcPr>
            <w:tcMar>
              <w:left w:w="15" w:type="dxa"/>
              <w:top w:w="15" w:type="dxa"/>
              <w:right w:w="15" w:type="dxa"/>
              <w:bottom w:w="0" w:type="dxa"/>
            </w:tcMar>
            <w:tcW w:w="1132" w:type="dxa"/>
            <w:vAlign w:val="center"/>
            <w:textDirection w:val="lrTb"/>
            <w:noWrap w:val="false"/>
          </w:tcPr>
          <w:p>
            <w:pPr>
              <w:pStyle w:val="1033"/>
              <w:jc w:val="center"/>
              <w:rPr>
                <w:rFonts w:hint="eastAsia" w:ascii="宋体" w:hAnsi="宋体" w:eastAsia="宋体" w:cs="宋体"/>
                <w:sz w:val="24"/>
                <w:highlight w:val="none"/>
              </w:rPr>
            </w:pPr>
            <w:r>
              <w:rPr>
                <w:rFonts w:hint="eastAsia" w:ascii="宋体" w:hAnsi="宋体" w:eastAsia="宋体" w:cs="宋体"/>
                <w:sz w:val="24"/>
                <w:highlight w:val="none"/>
              </w:rPr>
              <w:t xml:space="preserve">含税单价（元）</w:t>
            </w:r>
            <w:r>
              <w:rPr>
                <w:rFonts w:hint="eastAsia" w:ascii="宋体" w:hAnsi="宋体" w:eastAsia="宋体" w:cs="宋体"/>
                <w:sz w:val="24"/>
                <w:highlight w:val="none"/>
              </w:rPr>
            </w:r>
            <w:r/>
          </w:p>
        </w:tc>
        <w:tc>
          <w:tcPr>
            <w:tcMar>
              <w:left w:w="15" w:type="dxa"/>
              <w:top w:w="15" w:type="dxa"/>
              <w:right w:w="15" w:type="dxa"/>
              <w:bottom w:w="0" w:type="dxa"/>
            </w:tcMar>
            <w:tcW w:w="905" w:type="dxa"/>
            <w:vAlign w:val="center"/>
            <w:textDirection w:val="lrTb"/>
            <w:noWrap w:val="false"/>
          </w:tcPr>
          <w:p>
            <w:pPr>
              <w:pStyle w:val="1033"/>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小计（元）</w:t>
            </w:r>
            <w:r>
              <w:rPr>
                <w:rFonts w:hint="eastAsia" w:ascii="宋体" w:hAnsi="宋体" w:eastAsia="宋体" w:cs="宋体"/>
                <w:sz w:val="24"/>
                <w:highlight w:val="none"/>
              </w:rPr>
            </w:r>
            <w:r/>
          </w:p>
        </w:tc>
        <w:tc>
          <w:tcPr>
            <w:tcMar>
              <w:left w:w="15" w:type="dxa"/>
              <w:top w:w="15" w:type="dxa"/>
              <w:right w:w="15" w:type="dxa"/>
              <w:bottom w:w="0" w:type="dxa"/>
            </w:tcMar>
            <w:tcW w:w="740" w:type="dxa"/>
            <w:vAlign w:val="center"/>
            <w:textDirection w:val="lrTb"/>
            <w:noWrap w:val="false"/>
          </w:tcPr>
          <w:p>
            <w:pPr>
              <w:pStyle w:val="1033"/>
              <w:jc w:val="center"/>
              <w:rPr>
                <w:rFonts w:hint="eastAsia" w:ascii="宋体" w:hAnsi="宋体" w:eastAsia="宋体" w:cs="宋体"/>
                <w:sz w:val="24"/>
                <w:highlight w:val="none"/>
              </w:rPr>
            </w:pPr>
            <w:r>
              <w:rPr>
                <w:rFonts w:hint="eastAsia" w:ascii="宋体" w:hAnsi="宋体" w:eastAsia="宋体" w:cs="宋体"/>
                <w:sz w:val="24"/>
                <w:highlight w:val="none"/>
              </w:rPr>
              <w:t xml:space="preserve">备注</w:t>
            </w:r>
            <w:r>
              <w:rPr>
                <w:rFonts w:hint="eastAsia" w:ascii="宋体" w:hAnsi="宋体" w:eastAsia="宋体" w:cs="宋体"/>
                <w:sz w:val="24"/>
                <w:highlight w:val="none"/>
              </w:rPr>
            </w:r>
            <w:r/>
          </w:p>
        </w:tc>
      </w:tr>
      <w:tr>
        <w:trPr>
          <w:trHeight w:val="551"/>
        </w:trPr>
        <w:tc>
          <w:tcPr>
            <w:tcMar>
              <w:left w:w="15" w:type="dxa"/>
              <w:top w:w="15" w:type="dxa"/>
              <w:right w:w="15" w:type="dxa"/>
              <w:bottom w:w="0" w:type="dxa"/>
            </w:tcMar>
            <w:tcW w:w="531" w:type="dxa"/>
            <w:vAlign w:val="center"/>
            <w:textDirection w:val="lrTb"/>
            <w:noWrap w:val="false"/>
          </w:tcPr>
          <w:p>
            <w:pPr>
              <w:pStyle w:val="1033"/>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Mar>
              <w:left w:w="15" w:type="dxa"/>
              <w:top w:w="15" w:type="dxa"/>
              <w:right w:w="15" w:type="dxa"/>
              <w:bottom w:w="0" w:type="dxa"/>
            </w:tcMar>
            <w:tcW w:w="1024" w:type="dxa"/>
            <w:vAlign w:val="center"/>
            <w:textDirection w:val="lrTb"/>
            <w:noWrap w:val="false"/>
          </w:tcPr>
          <w:p>
            <w:pPr>
              <w:pStyle w:val="1033"/>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1005" w:type="dxa"/>
            <w:vAlign w:val="center"/>
            <w:textDirection w:val="lrTb"/>
            <w:noWrap w:val="false"/>
          </w:tcPr>
          <w:p>
            <w:pPr>
              <w:pStyle w:val="1033"/>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1800" w:type="dxa"/>
            <w:vAlign w:val="center"/>
            <w:textDirection w:val="lrTb"/>
            <w:noWrap w:val="false"/>
          </w:tcPr>
          <w:p>
            <w:pPr>
              <w:pStyle w:val="1033"/>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659" w:type="dxa"/>
            <w:vAlign w:val="center"/>
            <w:textDirection w:val="lrTb"/>
            <w:noWrap w:val="false"/>
          </w:tcPr>
          <w:p>
            <w:pPr>
              <w:pStyle w:val="1033"/>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ffffff"/>
            <w:tcMar>
              <w:left w:w="15" w:type="dxa"/>
              <w:top w:w="15" w:type="dxa"/>
              <w:right w:w="15" w:type="dxa"/>
              <w:bottom w:w="0" w:type="dxa"/>
            </w:tcMar>
            <w:tcW w:w="911" w:type="dxa"/>
            <w:vAlign w:val="center"/>
            <w:textDirection w:val="lrTb"/>
            <w:noWrap w:val="false"/>
          </w:tcPr>
          <w:p>
            <w:pPr>
              <w:pStyle w:val="1033"/>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823" w:type="dxa"/>
            <w:vAlign w:val="center"/>
            <w:textDirection w:val="lrTb"/>
            <w:noWrap w:val="false"/>
          </w:tcPr>
          <w:p>
            <w:pPr>
              <w:pStyle w:val="1033"/>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1132" w:type="dxa"/>
            <w:vAlign w:val="center"/>
            <w:textDirection w:val="lrTb"/>
            <w:noWrap w:val="false"/>
          </w:tcPr>
          <w:p>
            <w:pPr>
              <w:pStyle w:val="1033"/>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905" w:type="dxa"/>
            <w:vAlign w:val="center"/>
            <w:textDirection w:val="lrTb"/>
            <w:noWrap w:val="false"/>
          </w:tcPr>
          <w:p>
            <w:pPr>
              <w:pStyle w:val="1033"/>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740" w:type="dxa"/>
            <w:vAlign w:val="center"/>
            <w:textDirection w:val="lrTb"/>
            <w:noWrap w:val="false"/>
          </w:tcPr>
          <w:p>
            <w:pPr>
              <w:pStyle w:val="1033"/>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1"/>
        </w:trPr>
        <w:tc>
          <w:tcPr>
            <w:tcMar>
              <w:left w:w="15" w:type="dxa"/>
              <w:top w:w="15" w:type="dxa"/>
              <w:right w:w="15" w:type="dxa"/>
              <w:bottom w:w="0" w:type="dxa"/>
            </w:tcMar>
            <w:tcW w:w="531" w:type="dxa"/>
            <w:vAlign w:val="center"/>
            <w:textDirection w:val="lrTb"/>
            <w:noWrap w:val="false"/>
          </w:tcPr>
          <w:p>
            <w:pPr>
              <w:pStyle w:val="1033"/>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tcMar>
              <w:left w:w="15" w:type="dxa"/>
              <w:top w:w="15" w:type="dxa"/>
              <w:right w:w="15" w:type="dxa"/>
              <w:bottom w:w="0" w:type="dxa"/>
            </w:tcMar>
            <w:tcW w:w="1024" w:type="dxa"/>
            <w:vAlign w:val="center"/>
            <w:textDirection w:val="lrTb"/>
            <w:noWrap w:val="false"/>
          </w:tcPr>
          <w:p>
            <w:pPr>
              <w:pStyle w:val="1033"/>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1005" w:type="dxa"/>
            <w:vAlign w:val="center"/>
            <w:textDirection w:val="lrTb"/>
            <w:noWrap w:val="false"/>
          </w:tcPr>
          <w:p>
            <w:pPr>
              <w:pStyle w:val="1033"/>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1800" w:type="dxa"/>
            <w:vAlign w:val="center"/>
            <w:textDirection w:val="lrTb"/>
            <w:noWrap w:val="false"/>
          </w:tcPr>
          <w:p>
            <w:pPr>
              <w:pStyle w:val="1033"/>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659" w:type="dxa"/>
            <w:vAlign w:val="center"/>
            <w:textDirection w:val="lrTb"/>
            <w:noWrap w:val="false"/>
          </w:tcPr>
          <w:p>
            <w:pPr>
              <w:pStyle w:val="1033"/>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ffffff"/>
            <w:tcMar>
              <w:left w:w="15" w:type="dxa"/>
              <w:top w:w="15" w:type="dxa"/>
              <w:right w:w="15" w:type="dxa"/>
              <w:bottom w:w="0" w:type="dxa"/>
            </w:tcMar>
            <w:tcW w:w="911" w:type="dxa"/>
            <w:vAlign w:val="center"/>
            <w:textDirection w:val="lrTb"/>
            <w:noWrap w:val="false"/>
          </w:tcPr>
          <w:p>
            <w:pPr>
              <w:pStyle w:val="1033"/>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823" w:type="dxa"/>
            <w:vAlign w:val="center"/>
            <w:textDirection w:val="lrTb"/>
            <w:noWrap w:val="false"/>
          </w:tcPr>
          <w:p>
            <w:pPr>
              <w:pStyle w:val="1033"/>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1132" w:type="dxa"/>
            <w:vAlign w:val="center"/>
            <w:textDirection w:val="lrTb"/>
            <w:noWrap w:val="false"/>
          </w:tcPr>
          <w:p>
            <w:pPr>
              <w:pStyle w:val="1033"/>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905" w:type="dxa"/>
            <w:vAlign w:val="center"/>
            <w:textDirection w:val="lrTb"/>
            <w:noWrap w:val="false"/>
          </w:tcPr>
          <w:p>
            <w:pPr>
              <w:pStyle w:val="1033"/>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740" w:type="dxa"/>
            <w:vAlign w:val="center"/>
            <w:textDirection w:val="lrTb"/>
            <w:noWrap w:val="false"/>
          </w:tcPr>
          <w:p>
            <w:pPr>
              <w:pStyle w:val="1033"/>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1"/>
        </w:trPr>
        <w:tc>
          <w:tcPr>
            <w:tcMar>
              <w:left w:w="15" w:type="dxa"/>
              <w:top w:w="15" w:type="dxa"/>
              <w:right w:w="15" w:type="dxa"/>
              <w:bottom w:w="0" w:type="dxa"/>
            </w:tcMar>
            <w:tcW w:w="531" w:type="dxa"/>
            <w:vAlign w:val="center"/>
            <w:textDirection w:val="lrTb"/>
            <w:noWrap w:val="false"/>
          </w:tcPr>
          <w:p>
            <w:pPr>
              <w:pStyle w:val="1033"/>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tcMar>
              <w:left w:w="15" w:type="dxa"/>
              <w:top w:w="15" w:type="dxa"/>
              <w:right w:w="15" w:type="dxa"/>
              <w:bottom w:w="0" w:type="dxa"/>
            </w:tcMar>
            <w:tcW w:w="1024" w:type="dxa"/>
            <w:vAlign w:val="center"/>
            <w:textDirection w:val="lrTb"/>
            <w:noWrap w:val="false"/>
          </w:tcPr>
          <w:p>
            <w:pPr>
              <w:pStyle w:val="1033"/>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1005" w:type="dxa"/>
            <w:vAlign w:val="center"/>
            <w:textDirection w:val="lrTb"/>
            <w:noWrap w:val="false"/>
          </w:tcPr>
          <w:p>
            <w:pPr>
              <w:pStyle w:val="1033"/>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1800" w:type="dxa"/>
            <w:vAlign w:val="center"/>
            <w:textDirection w:val="lrTb"/>
            <w:noWrap w:val="false"/>
          </w:tcPr>
          <w:p>
            <w:pPr>
              <w:pStyle w:val="1033"/>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659" w:type="dxa"/>
            <w:vAlign w:val="center"/>
            <w:textDirection w:val="lrTb"/>
            <w:noWrap w:val="false"/>
          </w:tcPr>
          <w:p>
            <w:pPr>
              <w:pStyle w:val="1033"/>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ffffff"/>
            <w:tcMar>
              <w:left w:w="15" w:type="dxa"/>
              <w:top w:w="15" w:type="dxa"/>
              <w:right w:w="15" w:type="dxa"/>
              <w:bottom w:w="0" w:type="dxa"/>
            </w:tcMar>
            <w:tcW w:w="911" w:type="dxa"/>
            <w:vAlign w:val="center"/>
            <w:textDirection w:val="lrTb"/>
            <w:noWrap w:val="false"/>
          </w:tcPr>
          <w:p>
            <w:pPr>
              <w:pStyle w:val="1033"/>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823" w:type="dxa"/>
            <w:vAlign w:val="center"/>
            <w:textDirection w:val="lrTb"/>
            <w:noWrap w:val="false"/>
          </w:tcPr>
          <w:p>
            <w:pPr>
              <w:pStyle w:val="1033"/>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1132" w:type="dxa"/>
            <w:vAlign w:val="center"/>
            <w:textDirection w:val="lrTb"/>
            <w:noWrap w:val="false"/>
          </w:tcPr>
          <w:p>
            <w:pPr>
              <w:pStyle w:val="1033"/>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905" w:type="dxa"/>
            <w:vAlign w:val="center"/>
            <w:textDirection w:val="lrTb"/>
            <w:noWrap w:val="false"/>
          </w:tcPr>
          <w:p>
            <w:pPr>
              <w:pStyle w:val="1033"/>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740" w:type="dxa"/>
            <w:vAlign w:val="center"/>
            <w:textDirection w:val="lrTb"/>
            <w:noWrap w:val="false"/>
          </w:tcPr>
          <w:p>
            <w:pPr>
              <w:pStyle w:val="1033"/>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613"/>
        </w:trPr>
        <w:tc>
          <w:tcPr>
            <w:gridSpan w:val="4"/>
            <w:tcMar>
              <w:left w:w="15" w:type="dxa"/>
              <w:top w:w="15" w:type="dxa"/>
              <w:right w:w="15" w:type="dxa"/>
              <w:bottom w:w="0" w:type="dxa"/>
            </w:tcMar>
            <w:tcW w:w="4360" w:type="dxa"/>
            <w:vAlign w:val="center"/>
            <w:textDirection w:val="lrTb"/>
            <w:noWrap w:val="false"/>
          </w:tcPr>
          <w:p>
            <w:pPr>
              <w:pStyle w:val="1033"/>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总价合计（含税）</w:t>
            </w:r>
            <w:r>
              <w:rPr>
                <w:rFonts w:hint="eastAsia" w:ascii="宋体" w:hAnsi="宋体" w:eastAsia="宋体" w:cs="宋体"/>
                <w:sz w:val="24"/>
                <w:highlight w:val="none"/>
              </w:rPr>
            </w:r>
            <w:r/>
          </w:p>
        </w:tc>
        <w:tc>
          <w:tcPr>
            <w:gridSpan w:val="5"/>
            <w:tcMar>
              <w:left w:w="15" w:type="dxa"/>
              <w:top w:w="15" w:type="dxa"/>
              <w:right w:w="15" w:type="dxa"/>
              <w:bottom w:w="0" w:type="dxa"/>
            </w:tcMar>
            <w:tcW w:w="5430" w:type="dxa"/>
            <w:vAlign w:val="center"/>
            <w:textDirection w:val="lrTb"/>
            <w:noWrap w:val="false"/>
          </w:tcPr>
          <w:p>
            <w:pPr>
              <w:pStyle w:val="1033"/>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元</w:t>
            </w:r>
            <w:r>
              <w:rPr>
                <w:rFonts w:hint="eastAsia" w:ascii="宋体" w:hAnsi="宋体" w:eastAsia="宋体" w:cs="宋体"/>
                <w:sz w:val="24"/>
                <w:highlight w:val="none"/>
              </w:rPr>
            </w:r>
            <w:r/>
          </w:p>
        </w:tc>
        <w:tc>
          <w:tcPr>
            <w:tcMar>
              <w:left w:w="15" w:type="dxa"/>
              <w:top w:w="15" w:type="dxa"/>
              <w:right w:w="15" w:type="dxa"/>
              <w:bottom w:w="0" w:type="dxa"/>
            </w:tcMar>
            <w:tcW w:w="740" w:type="dxa"/>
            <w:vAlign w:val="center"/>
            <w:textDirection w:val="lrTb"/>
            <w:noWrap w:val="false"/>
          </w:tcPr>
          <w:p>
            <w:pPr>
              <w:pStyle w:val="1033"/>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1033"/>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其中“小型和微型和监狱企业和残疾人福利性单位”总价合计（含税）</w:t>
            </w:r>
            <w:r>
              <w:rPr>
                <w:rFonts w:hint="eastAsia" w:ascii="宋体" w:hAnsi="宋体" w:eastAsia="宋体" w:cs="宋体"/>
                <w:sz w:val="24"/>
                <w:highlight w:val="none"/>
              </w:rPr>
            </w:r>
            <w:r/>
          </w:p>
        </w:tc>
        <w:tc>
          <w:tcPr>
            <w:gridSpan w:val="5"/>
            <w:tcMar>
              <w:left w:w="15" w:type="dxa"/>
              <w:top w:w="15" w:type="dxa"/>
              <w:right w:w="15" w:type="dxa"/>
              <w:bottom w:w="0" w:type="dxa"/>
            </w:tcMar>
            <w:tcW w:w="5430" w:type="dxa"/>
            <w:vAlign w:val="center"/>
            <w:textDirection w:val="lrTb"/>
            <w:noWrap w:val="false"/>
          </w:tcPr>
          <w:p>
            <w:pPr>
              <w:pStyle w:val="1033"/>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元</w:t>
            </w:r>
            <w:r>
              <w:rPr>
                <w:rFonts w:hint="eastAsia" w:ascii="宋体" w:hAnsi="宋体" w:eastAsia="宋体" w:cs="宋体"/>
                <w:sz w:val="24"/>
                <w:highlight w:val="none"/>
              </w:rPr>
            </w:r>
            <w:r/>
          </w:p>
        </w:tc>
        <w:tc>
          <w:tcPr>
            <w:tcMar>
              <w:left w:w="15" w:type="dxa"/>
              <w:top w:w="15" w:type="dxa"/>
              <w:right w:w="15" w:type="dxa"/>
              <w:bottom w:w="0" w:type="dxa"/>
            </w:tcMar>
            <w:tcW w:w="740" w:type="dxa"/>
            <w:vAlign w:val="center"/>
            <w:textDirection w:val="lrTb"/>
            <w:noWrap w:val="false"/>
          </w:tcPr>
          <w:p>
            <w:pPr>
              <w:pStyle w:val="1033"/>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802"/>
        </w:trPr>
        <w:tc>
          <w:tcPr>
            <w:gridSpan w:val="9"/>
            <w:tcMar>
              <w:left w:w="15" w:type="dxa"/>
              <w:top w:w="15" w:type="dxa"/>
              <w:right w:w="15" w:type="dxa"/>
              <w:bottom w:w="0" w:type="dxa"/>
            </w:tcMar>
            <w:tcW w:w="9790" w:type="dxa"/>
            <w:vAlign w:val="center"/>
            <w:textDirection w:val="lrTb"/>
            <w:noWrap w:val="false"/>
          </w:tcPr>
          <w:p>
            <w:pPr>
              <w:pStyle w:val="1033"/>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本采购包中提供的符合本国产品标准的产品成本之和占该采购包提供的全部产品成本之和的比例为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rPr>
            </w:r>
            <w:r/>
          </w:p>
        </w:tc>
        <w:tc>
          <w:tcPr>
            <w:tcMar>
              <w:left w:w="15" w:type="dxa"/>
              <w:top w:w="15" w:type="dxa"/>
              <w:right w:w="15" w:type="dxa"/>
              <w:bottom w:w="0" w:type="dxa"/>
            </w:tcMar>
            <w:tcW w:w="740" w:type="dxa"/>
            <w:vAlign w:val="center"/>
            <w:textDirection w:val="lrTb"/>
            <w:noWrap w:val="false"/>
          </w:tcPr>
          <w:p>
            <w:pPr>
              <w:pStyle w:val="1033"/>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43"/>
        </w:trPr>
        <w:tc>
          <w:tcPr>
            <w:gridSpan w:val="4"/>
            <w:tcMar>
              <w:left w:w="15" w:type="dxa"/>
              <w:top w:w="15" w:type="dxa"/>
              <w:right w:w="15" w:type="dxa"/>
              <w:bottom w:w="0" w:type="dxa"/>
            </w:tcMar>
            <w:tcW w:w="4360" w:type="dxa"/>
            <w:vAlign w:val="center"/>
            <w:textDirection w:val="lrTb"/>
            <w:noWrap w:val="false"/>
          </w:tcPr>
          <w:p>
            <w:pPr>
              <w:pStyle w:val="1033"/>
              <w:jc w:val="center"/>
              <w:spacing w:before="0" w:after="0" w:line="240" w:lineRule="auto"/>
              <w:rPr>
                <w:rFonts w:hint="eastAsia" w:ascii="宋体" w:hAnsi="宋体" w:eastAsia="宋体" w:cs="宋体"/>
                <w:b/>
                <w:bCs/>
                <w:highlight w:val="none"/>
              </w:rPr>
            </w:pPr>
            <w:r>
              <w:rPr>
                <w:rFonts w:hint="eastAsia" w:ascii="宋体" w:hAnsi="宋体" w:eastAsia="宋体" w:cs="宋体"/>
                <w:sz w:val="24"/>
                <w:highlight w:val="none"/>
              </w:rPr>
              <w:t xml:space="preserve">备注：货物中有无进口产品</w:t>
            </w:r>
            <w:r>
              <w:rPr>
                <w:rFonts w:hint="eastAsia" w:ascii="宋体" w:hAnsi="宋体" w:eastAsia="宋体" w:cs="宋体"/>
                <w:b/>
                <w:bCs/>
                <w:highlight w:val="none"/>
              </w:rPr>
            </w:r>
            <w:r/>
          </w:p>
        </w:tc>
        <w:tc>
          <w:tcPr>
            <w:gridSpan w:val="5"/>
            <w:tcMar>
              <w:left w:w="15" w:type="dxa"/>
              <w:top w:w="15" w:type="dxa"/>
              <w:right w:w="15" w:type="dxa"/>
              <w:bottom w:w="0" w:type="dxa"/>
            </w:tcMar>
            <w:tcW w:w="5430" w:type="dxa"/>
            <w:vAlign w:val="center"/>
            <w:textDirection w:val="lrTb"/>
            <w:noWrap w:val="false"/>
          </w:tcPr>
          <w:p>
            <w:pPr>
              <w:pStyle w:val="1033"/>
              <w:jc w:val="center"/>
              <w:spacing w:before="0" w:after="0" w:line="240" w:lineRule="auto"/>
              <w:rPr>
                <w:rFonts w:hint="eastAsia" w:ascii="宋体" w:hAnsi="宋体" w:eastAsia="宋体" w:cs="宋体"/>
                <w:highlight w:val="none"/>
                <w:u w:val="single"/>
              </w:rPr>
            </w:pPr>
            <w:r>
              <w:rPr>
                <w:rFonts w:hint="eastAsia" w:ascii="宋体" w:hAnsi="宋体" w:eastAsia="宋体" w:cs="宋体"/>
                <w:sz w:val="24"/>
                <w:highlight w:val="none"/>
                <w:lang w:val="zh-CN"/>
              </w:rPr>
              <w:t xml:space="preserve">有</w:t>
            </w:r>
            <w:r>
              <w:rPr>
                <w:rFonts w:hint="eastAsia" w:ascii="宋体" w:hAnsi="宋体" w:eastAsia="宋体" w:cs="宋体"/>
                <w:sz w:val="24"/>
                <w:highlight w:val="none"/>
              </w:rPr>
              <w:t xml:space="preserve">（  ）（填写货物名称：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lang w:val="zh-CN"/>
              </w:rPr>
              <w:t xml:space="preserve">无</w:t>
            </w:r>
            <w:r>
              <w:rPr>
                <w:rFonts w:hint="eastAsia" w:ascii="宋体" w:hAnsi="宋体" w:eastAsia="宋体" w:cs="宋体"/>
                <w:sz w:val="24"/>
                <w:highlight w:val="none"/>
              </w:rPr>
              <w:t xml:space="preserve">（  ）</w:t>
            </w:r>
            <w:r>
              <w:rPr>
                <w:rFonts w:hint="eastAsia" w:ascii="宋体" w:hAnsi="宋体" w:eastAsia="宋体" w:cs="宋体"/>
                <w:highlight w:val="none"/>
                <w:u w:val="single"/>
              </w:rPr>
            </w:r>
            <w:r/>
          </w:p>
        </w:tc>
        <w:tc>
          <w:tcPr>
            <w:tcMar>
              <w:left w:w="15" w:type="dxa"/>
              <w:top w:w="15" w:type="dxa"/>
              <w:right w:w="15" w:type="dxa"/>
              <w:bottom w:w="0" w:type="dxa"/>
            </w:tcMar>
            <w:tcW w:w="740" w:type="dxa"/>
            <w:vAlign w:val="center"/>
            <w:textDirection w:val="lrTb"/>
            <w:noWrap w:val="false"/>
          </w:tcPr>
          <w:p>
            <w:pPr>
              <w:pStyle w:val="1033"/>
              <w:jc w:val="center"/>
              <w:spacing w:before="0" w:after="0" w:line="24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r>
    </w:tbl>
    <w:p>
      <w:pPr>
        <w:pStyle w:val="1033"/>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1033"/>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（公章）</w:t>
      </w:r>
      <w:r>
        <w:rPr>
          <w:rFonts w:hint="eastAsia" w:ascii="宋体" w:hAnsi="宋体" w:eastAsia="宋体" w:cs="宋体"/>
          <w:sz w:val="24"/>
          <w:highlight w:val="none"/>
        </w:rPr>
      </w:r>
      <w:r/>
    </w:p>
    <w:p>
      <w:pPr>
        <w:pStyle w:val="1033"/>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授权代表：</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（签字或盖章）</w:t>
      </w:r>
      <w:r>
        <w:rPr>
          <w:rFonts w:hint="eastAsia" w:ascii="宋体" w:hAnsi="宋体" w:eastAsia="宋体" w:cs="宋体"/>
          <w:sz w:val="24"/>
          <w:highlight w:val="none"/>
        </w:rPr>
      </w:r>
      <w:r/>
    </w:p>
    <w:p>
      <w:pPr>
        <w:pStyle w:val="1033"/>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1033"/>
        <w:rPr>
          <w:rFonts w:hint="eastAsia" w:ascii="宋体" w:hAnsi="宋体" w:eastAsia="宋体" w:cs="宋体"/>
          <w:sz w:val="24"/>
          <w:highlight w:val="none"/>
        </w:rPr>
      </w:pPr>
      <w:r>
        <w:rPr>
          <w:rFonts w:hint="eastAsia" w:ascii="宋体" w:hAnsi="宋体" w:eastAsia="宋体" w:cs="宋体"/>
          <w:sz w:val="24"/>
          <w:highlight w:val="none"/>
        </w:rPr>
        <w:t xml:space="preserve">说明：</w:t>
      </w:r>
      <w:r>
        <w:rPr>
          <w:rFonts w:hint="eastAsia" w:ascii="宋体" w:hAnsi="宋体" w:eastAsia="宋体" w:cs="宋体"/>
          <w:sz w:val="24"/>
          <w:highlight w:val="none"/>
        </w:rPr>
      </w:r>
      <w:r/>
    </w:p>
    <w:p>
      <w:pPr>
        <w:pStyle w:val="1033"/>
        <w:ind w:firstLine="480"/>
        <w:rPr>
          <w:rFonts w:hint="eastAsia" w:ascii="宋体" w:hAnsi="宋体" w:eastAsia="宋体" w:cs="宋体"/>
          <w:sz w:val="24"/>
          <w:highlight w:val="none"/>
        </w:rPr>
      </w:pPr>
      <w:r>
        <w:rPr>
          <w:rFonts w:hint="eastAsia" w:ascii="宋体" w:hAnsi="宋体" w:eastAsia="宋体" w:cs="宋体"/>
          <w:sz w:val="24"/>
          <w:highlight w:val="none"/>
        </w:rPr>
        <w:t xml:space="preserve">1.本表格中需列明所投分包“第四章 采购需求”技术要求中全部设备。</w:t>
      </w:r>
      <w:r>
        <w:rPr>
          <w:rFonts w:hint="eastAsia" w:ascii="宋体" w:hAnsi="宋体" w:eastAsia="宋体" w:cs="宋体"/>
          <w:sz w:val="24"/>
          <w:highlight w:val="none"/>
        </w:rPr>
      </w:r>
      <w:r/>
    </w:p>
    <w:p>
      <w:pPr>
        <w:pStyle w:val="1033"/>
        <w:ind w:firstLine="480"/>
        <w:rPr>
          <w:rFonts w:hint="eastAsia" w:ascii="宋体" w:hAnsi="宋体" w:eastAsia="宋体" w:cs="宋体"/>
          <w:sz w:val="24"/>
          <w:highlight w:val="none"/>
        </w:rPr>
      </w:pPr>
      <w:r>
        <w:rPr>
          <w:rFonts w:hint="eastAsia" w:ascii="宋体" w:hAnsi="宋体" w:eastAsia="宋体" w:cs="宋体"/>
          <w:sz w:val="24"/>
          <w:highlight w:val="none"/>
        </w:rPr>
        <w:t xml:space="preserve">2.中小微企业的划分具体以《政府采购促进中小企业发展暂行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sz w:val="24"/>
          <w:highlight w:val="none"/>
        </w:rPr>
      </w:r>
      <w:r/>
    </w:p>
    <w:p>
      <w:pPr>
        <w:pStyle w:val="1033"/>
        <w:ind w:firstLine="480"/>
        <w:rPr>
          <w:rFonts w:hint="eastAsia" w:ascii="宋体" w:hAnsi="宋体" w:eastAsia="宋体" w:cs="宋体"/>
          <w:sz w:val="24"/>
          <w:highlight w:val="none"/>
        </w:rPr>
      </w:pPr>
      <w:r>
        <w:rPr>
          <w:rFonts w:hint="eastAsia" w:ascii="宋体" w:hAnsi="宋体" w:eastAsia="宋体" w:cs="宋体"/>
          <w:sz w:val="24"/>
          <w:highlight w:val="none"/>
        </w:rPr>
        <w:t xml:space="preserve">3.享受政府采购支持政策的残疾人福利性单位应满足的条件以《关于促进残疾人就业政府采购政策的通知》（财库〔2017〕141号）的规定为准。</w:t>
      </w:r>
      <w:r>
        <w:rPr>
          <w:rFonts w:hint="eastAsia" w:ascii="宋体" w:hAnsi="宋体" w:eastAsia="宋体" w:cs="宋体"/>
          <w:sz w:val="24"/>
          <w:highlight w:val="none"/>
        </w:rPr>
      </w:r>
      <w:r/>
    </w:p>
    <w:p>
      <w:pPr>
        <w:pStyle w:val="1033"/>
        <w:ind w:firstLine="482"/>
        <w:rPr>
          <w:rFonts w:hint="eastAsia" w:ascii="宋体" w:hAnsi="宋体" w:eastAsia="宋体" w:cs="宋体"/>
          <w:b/>
          <w:bCs/>
          <w:sz w:val="24"/>
          <w:highlight w:val="none"/>
        </w:rPr>
      </w:pPr>
      <w:r>
        <w:rPr>
          <w:rFonts w:hint="eastAsia" w:ascii="宋体" w:hAnsi="宋体" w:eastAsia="宋体" w:cs="宋体"/>
          <w:b/>
          <w:bCs/>
          <w:sz w:val="24"/>
          <w:highlight w:val="none"/>
        </w:rPr>
        <w:t xml:space="preserve">4．供应商为“小型”或“微型”或“监狱企业”、“残疾人福利性单位”的，须算出“小型和微型和监狱企业和残疾人福利性单位”总价合计”。供应商未按上述要求提供的，价格将不做相应扣除。</w:t>
      </w:r>
      <w:r>
        <w:rPr>
          <w:rFonts w:hint="eastAsia" w:ascii="宋体" w:hAnsi="宋体" w:eastAsia="宋体" w:cs="宋体"/>
          <w:b/>
          <w:bCs/>
          <w:sz w:val="24"/>
          <w:highlight w:val="none"/>
        </w:rPr>
      </w:r>
      <w:r/>
    </w:p>
    <w:p>
      <w:pPr>
        <w:pStyle w:val="1033"/>
        <w:ind w:firstLine="482"/>
        <w:rPr>
          <w:rFonts w:hint="eastAsia" w:ascii="宋体" w:hAnsi="宋体" w:eastAsia="宋体" w:cs="宋体"/>
          <w:sz w:val="24"/>
          <w:highlight w:val="none"/>
        </w:rPr>
      </w:pPr>
      <w:r>
        <w:rPr>
          <w:rFonts w:hint="eastAsia" w:ascii="宋体" w:hAnsi="宋体" w:eastAsia="宋体" w:cs="宋体"/>
          <w:b/>
          <w:bCs/>
          <w:sz w:val="24"/>
          <w:highlight w:val="none"/>
          <w:lang w:val="en-US" w:eastAsia="zh-CN"/>
        </w:rPr>
        <w:t xml:space="preserve">5</w:t>
      </w:r>
      <w:r>
        <w:rPr>
          <w:rFonts w:hint="eastAsia" w:ascii="宋体" w:hAnsi="宋体" w:eastAsia="宋体" w:cs="宋体"/>
          <w:b/>
          <w:bCs/>
          <w:sz w:val="24"/>
          <w:highlight w:val="none"/>
        </w:rPr>
        <w:t xml:space="preserve">.在“货物中有无进口产品”栏后的“有”或“无”上打“√”，如果有进口设备，须填写货物名称。</w:t>
      </w:r>
      <w:r>
        <w:rPr>
          <w:rFonts w:hint="eastAsia" w:ascii="宋体" w:hAnsi="宋体" w:eastAsia="宋体" w:cs="宋体"/>
          <w:sz w:val="24"/>
          <w:highlight w:val="none"/>
        </w:rPr>
      </w:r>
      <w:r/>
    </w:p>
    <w:p>
      <w:pPr>
        <w:pStyle w:val="1033"/>
        <w:ind w:firstLine="482"/>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．如果不提供详细分项报价将视为没有实质性响应招标文件。</w:t>
      </w:r>
      <w:r>
        <w:rPr>
          <w:rFonts w:hint="eastAsia" w:ascii="宋体" w:hAnsi="宋体" w:eastAsia="宋体" w:cs="宋体"/>
          <w:b/>
          <w:bCs/>
          <w:sz w:val="24"/>
          <w:highlight w:val="none"/>
        </w:rPr>
      </w:r>
      <w:r/>
    </w:p>
    <w:p>
      <w:pPr>
        <w:pStyle w:val="1033"/>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.供应商对以上数据的真实性负责。</w:t>
      </w:r>
      <w:r>
        <w:rPr>
          <w:rFonts w:hint="eastAsia" w:ascii="宋体" w:hAnsi="宋体" w:eastAsia="宋体" w:cs="宋体"/>
          <w:sz w:val="24"/>
          <w:highlight w:val="none"/>
        </w:rPr>
      </w:r>
      <w:r/>
    </w:p>
    <w:p>
      <w:pPr>
        <w:pStyle w:val="1033"/>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.采购人或采购代理机构有权将以上内容进行公示。</w:t>
      </w:r>
      <w:r>
        <w:rPr>
          <w:rFonts w:hint="eastAsia" w:ascii="宋体" w:hAnsi="宋体" w:eastAsia="宋体" w:cs="宋体"/>
          <w:sz w:val="24"/>
          <w:highlight w:val="none"/>
        </w:rPr>
      </w:r>
      <w:r/>
    </w:p>
    <w:p>
      <w:pPr>
        <w:pStyle w:val="1033"/>
        <w:rPr>
          <w:rFonts w:hint="eastAsia" w:ascii="宋体" w:hAnsi="宋体" w:eastAsia="宋体" w:cs="宋体"/>
          <w:highlight w:val="none"/>
        </w:rPr>
      </w:pPr>
      <w:r>
        <w:rPr>
          <w:rFonts w:hint="eastAsia" w:ascii="宋体" w:hAnsi="宋体" w:eastAsia="宋体" w:cs="宋体"/>
          <w:highlight w:val="none"/>
        </w:rPr>
      </w:r>
      <w:r/>
    </w:p>
    <w:p>
      <w:pPr>
        <w:pStyle w:val="1033"/>
        <w:jc w:val="center"/>
        <w:widowControl/>
        <w:rPr>
          <w:rFonts w:hint="eastAsia" w:ascii="宋体" w:hAnsi="宋体" w:eastAsia="宋体" w:cs="宋体"/>
          <w:b/>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sz w:val="24"/>
          <w:highlight w:val="none"/>
        </w:rPr>
      </w:r>
      <w:r/>
    </w:p>
    <w:p>
      <w:pPr>
        <w:pStyle w:val="1033"/>
        <w:jc w:val="center"/>
        <w:widowControl/>
        <w:rPr>
          <w:rFonts w:hint="eastAsia" w:ascii="宋体" w:hAnsi="宋体" w:eastAsia="宋体" w:cs="宋体"/>
          <w:b/>
          <w:sz w:val="24"/>
          <w:highlight w:val="none"/>
        </w:rPr>
      </w:pPr>
      <w:r>
        <w:rPr>
          <w:rFonts w:hint="eastAsia" w:ascii="宋体" w:hAnsi="宋体" w:eastAsia="宋体" w:cs="宋体"/>
          <w:b/>
          <w:sz w:val="24"/>
          <w:highlight w:val="none"/>
        </w:rPr>
        <w:t xml:space="preserve">（3）产品配置清单（格式）</w:t>
      </w:r>
      <w:r>
        <w:rPr>
          <w:rFonts w:hint="eastAsia" w:ascii="宋体" w:hAnsi="宋体" w:eastAsia="宋体" w:cs="宋体"/>
          <w:b/>
          <w:sz w:val="24"/>
          <w:highlight w:val="none"/>
        </w:rPr>
      </w:r>
      <w:r/>
    </w:p>
    <w:tbl>
      <w:tblPr>
        <w:tblW w:w="9309"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2"/>
        <w:gridCol w:w="2497"/>
        <w:gridCol w:w="1512"/>
        <w:gridCol w:w="1217"/>
        <w:gridCol w:w="1166"/>
        <w:gridCol w:w="1675"/>
      </w:tblGrid>
      <w:tr>
        <w:trPr>
          <w:trHeight w:val="604"/>
        </w:trPr>
        <w:tc>
          <w:tcPr>
            <w:tcW w:w="1242" w:type="dxa"/>
            <w:vAlign w:val="center"/>
            <w:textDirection w:val="lrTb"/>
            <w:noWrap w:val="false"/>
          </w:tcPr>
          <w:p>
            <w:pPr>
              <w:pStyle w:val="1033"/>
              <w:ind w:right="-5"/>
              <w:jc w:val="center"/>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W w:w="2497" w:type="dxa"/>
            <w:vAlign w:val="center"/>
            <w:textDirection w:val="lrTb"/>
            <w:noWrap w:val="false"/>
          </w:tcPr>
          <w:p>
            <w:pPr>
              <w:pStyle w:val="1033"/>
              <w:ind w:right="-5"/>
              <w:jc w:val="center"/>
              <w:tabs>
                <w:tab w:val="left" w:pos="972"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产品（含备品备件）名称</w:t>
            </w:r>
            <w:r>
              <w:rPr>
                <w:rFonts w:hint="eastAsia" w:ascii="宋体" w:hAnsi="宋体" w:eastAsia="宋体" w:cs="宋体"/>
                <w:szCs w:val="21"/>
                <w:highlight w:val="none"/>
              </w:rPr>
            </w:r>
            <w:r/>
          </w:p>
        </w:tc>
        <w:tc>
          <w:tcPr>
            <w:tcW w:w="1512" w:type="dxa"/>
            <w:vAlign w:val="center"/>
            <w:textDirection w:val="lrTb"/>
            <w:noWrap w:val="false"/>
          </w:tcPr>
          <w:p>
            <w:pPr>
              <w:pStyle w:val="1033"/>
              <w:ind w:right="-5"/>
              <w:jc w:val="center"/>
              <w:rPr>
                <w:rFonts w:hint="eastAsia" w:ascii="宋体" w:hAnsi="宋体" w:eastAsia="宋体" w:cs="宋体"/>
                <w:szCs w:val="21"/>
                <w:highlight w:val="none"/>
              </w:rPr>
            </w:pPr>
            <w:r>
              <w:rPr>
                <w:rFonts w:hint="eastAsia" w:ascii="宋体" w:hAnsi="宋体" w:eastAsia="宋体" w:cs="宋体"/>
                <w:szCs w:val="21"/>
                <w:highlight w:val="none"/>
              </w:rPr>
              <w:t xml:space="preserve">型号及规格</w:t>
            </w:r>
            <w:r>
              <w:rPr>
                <w:rFonts w:hint="eastAsia" w:ascii="宋体" w:hAnsi="宋体" w:eastAsia="宋体" w:cs="宋体"/>
                <w:szCs w:val="21"/>
                <w:highlight w:val="none"/>
              </w:rPr>
            </w:r>
            <w:r/>
          </w:p>
        </w:tc>
        <w:tc>
          <w:tcPr>
            <w:tcW w:w="1217" w:type="dxa"/>
            <w:vAlign w:val="center"/>
            <w:textDirection w:val="lrTb"/>
            <w:noWrap w:val="false"/>
          </w:tcPr>
          <w:p>
            <w:pPr>
              <w:pStyle w:val="1033"/>
              <w:ind w:right="-5"/>
              <w:jc w:val="center"/>
              <w:rPr>
                <w:rFonts w:hint="eastAsia" w:ascii="宋体" w:hAnsi="宋体" w:eastAsia="宋体" w:cs="宋体"/>
                <w:szCs w:val="21"/>
                <w:highlight w:val="none"/>
              </w:rPr>
            </w:pPr>
            <w:r>
              <w:rPr>
                <w:rFonts w:hint="eastAsia" w:ascii="宋体" w:hAnsi="宋体" w:eastAsia="宋体" w:cs="宋体"/>
                <w:szCs w:val="21"/>
                <w:highlight w:val="none"/>
              </w:rPr>
              <w:t xml:space="preserve">数量</w:t>
            </w:r>
            <w:r>
              <w:rPr>
                <w:rFonts w:hint="eastAsia" w:ascii="宋体" w:hAnsi="宋体" w:eastAsia="宋体" w:cs="宋体"/>
                <w:szCs w:val="21"/>
                <w:highlight w:val="none"/>
              </w:rPr>
            </w:r>
            <w:r/>
          </w:p>
          <w:p>
            <w:pPr>
              <w:pStyle w:val="1033"/>
              <w:ind w:right="-5"/>
              <w:jc w:val="center"/>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W w:w="1166" w:type="dxa"/>
            <w:vAlign w:val="center"/>
            <w:textDirection w:val="lrTb"/>
            <w:noWrap w:val="false"/>
          </w:tcPr>
          <w:p>
            <w:pPr>
              <w:pStyle w:val="1033"/>
              <w:ind w:right="-5"/>
              <w:jc w:val="center"/>
              <w:rPr>
                <w:rFonts w:hint="eastAsia" w:ascii="宋体" w:hAnsi="宋体" w:eastAsia="宋体" w:cs="宋体"/>
                <w:szCs w:val="21"/>
                <w:highlight w:val="none"/>
              </w:rPr>
            </w:pPr>
            <w:r>
              <w:rPr>
                <w:rFonts w:hint="eastAsia" w:ascii="宋体" w:hAnsi="宋体" w:eastAsia="宋体" w:cs="宋体"/>
                <w:szCs w:val="21"/>
                <w:highlight w:val="none"/>
              </w:rPr>
              <w:t xml:space="preserve">单价</w:t>
            </w:r>
            <w:r>
              <w:rPr>
                <w:rFonts w:hint="eastAsia" w:ascii="宋体" w:hAnsi="宋体" w:eastAsia="宋体" w:cs="宋体"/>
                <w:szCs w:val="21"/>
                <w:highlight w:val="none"/>
              </w:rPr>
            </w:r>
            <w:r/>
          </w:p>
          <w:p>
            <w:pPr>
              <w:pStyle w:val="1033"/>
              <w:ind w:right="-5"/>
              <w:jc w:val="center"/>
              <w:rPr>
                <w:rFonts w:hint="eastAsia" w:ascii="宋体" w:hAnsi="宋体" w:eastAsia="宋体" w:cs="宋体"/>
                <w:szCs w:val="21"/>
                <w:highlight w:val="none"/>
              </w:rPr>
            </w:pPr>
            <w:r>
              <w:rPr>
                <w:rFonts w:hint="eastAsia" w:ascii="宋体" w:hAnsi="宋体" w:eastAsia="宋体" w:cs="宋体"/>
                <w:szCs w:val="21"/>
                <w:highlight w:val="none"/>
              </w:rPr>
              <w:t xml:space="preserve">（万元）</w:t>
            </w:r>
            <w:r>
              <w:rPr>
                <w:rFonts w:hint="eastAsia" w:ascii="宋体" w:hAnsi="宋体" w:eastAsia="宋体" w:cs="宋体"/>
                <w:szCs w:val="21"/>
                <w:highlight w:val="none"/>
              </w:rPr>
            </w:r>
            <w:r/>
          </w:p>
        </w:tc>
        <w:tc>
          <w:tcPr>
            <w:tcW w:w="1675" w:type="dxa"/>
            <w:vAlign w:val="center"/>
            <w:textDirection w:val="lrTb"/>
            <w:noWrap w:val="false"/>
          </w:tcPr>
          <w:p>
            <w:pPr>
              <w:pStyle w:val="1033"/>
              <w:ind w:right="-5"/>
              <w:jc w:val="center"/>
              <w:rPr>
                <w:rFonts w:hint="eastAsia" w:ascii="宋体" w:hAnsi="宋体" w:eastAsia="宋体" w:cs="宋体"/>
                <w:szCs w:val="21"/>
                <w:highlight w:val="none"/>
              </w:rPr>
            </w:pPr>
            <w:r>
              <w:rPr>
                <w:rFonts w:hint="eastAsia" w:ascii="宋体" w:hAnsi="宋体" w:eastAsia="宋体" w:cs="宋体"/>
                <w:szCs w:val="21"/>
                <w:highlight w:val="none"/>
              </w:rPr>
              <w:t xml:space="preserve">备注（如外购请注明产地、制造商）</w:t>
            </w:r>
            <w:r>
              <w:rPr>
                <w:rFonts w:hint="eastAsia" w:ascii="宋体" w:hAnsi="宋体" w:eastAsia="宋体" w:cs="宋体"/>
                <w:szCs w:val="21"/>
                <w:highlight w:val="none"/>
              </w:rPr>
            </w:r>
            <w:r/>
          </w:p>
        </w:tc>
      </w:tr>
      <w:tr>
        <w:trPr>
          <w:trHeight w:val="604"/>
        </w:trPr>
        <w:tc>
          <w:tcPr>
            <w:tcW w:w="1242" w:type="dxa"/>
            <w:vAlign w:val="center"/>
            <w:textDirection w:val="lrTb"/>
            <w:noWrap w:val="false"/>
          </w:tcPr>
          <w:p>
            <w:pPr>
              <w:pStyle w:val="1033"/>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2497" w:type="dxa"/>
            <w:vAlign w:val="center"/>
            <w:textDirection w:val="lrTb"/>
            <w:noWrap w:val="false"/>
          </w:tcPr>
          <w:p>
            <w:pPr>
              <w:pStyle w:val="1033"/>
              <w:jc w:val="center"/>
              <w:spacing w:line="240" w:lineRule="auto"/>
              <w:rPr>
                <w:rFonts w:hint="eastAsia" w:eastAsia="仿宋"/>
                <w:szCs w:val="21"/>
                <w:highlight w:val="none"/>
              </w:rPr>
            </w:pPr>
            <w:r>
              <w:rPr>
                <w:rFonts w:hint="eastAsia" w:eastAsia="仿宋"/>
                <w:szCs w:val="21"/>
                <w:highlight w:val="none"/>
              </w:rPr>
            </w:r>
            <w:r/>
          </w:p>
        </w:tc>
        <w:tc>
          <w:tcPr>
            <w:tcW w:w="1512" w:type="dxa"/>
            <w:vAlign w:val="top"/>
            <w:textDirection w:val="lrTb"/>
            <w:noWrap w:val="false"/>
          </w:tcPr>
          <w:p>
            <w:pPr>
              <w:pStyle w:val="1033"/>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17" w:type="dxa"/>
            <w:vAlign w:val="top"/>
            <w:textDirection w:val="lrTb"/>
            <w:noWrap w:val="false"/>
          </w:tcPr>
          <w:p>
            <w:pPr>
              <w:pStyle w:val="1033"/>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66" w:type="dxa"/>
            <w:vAlign w:val="top"/>
            <w:textDirection w:val="lrTb"/>
            <w:noWrap w:val="false"/>
          </w:tcPr>
          <w:p>
            <w:pPr>
              <w:pStyle w:val="1033"/>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675" w:type="dxa"/>
            <w:vAlign w:val="top"/>
            <w:textDirection w:val="lrTb"/>
            <w:noWrap w:val="false"/>
          </w:tcPr>
          <w:p>
            <w:pPr>
              <w:pStyle w:val="1033"/>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1242" w:type="dxa"/>
            <w:vAlign w:val="center"/>
            <w:textDirection w:val="lrTb"/>
            <w:noWrap w:val="false"/>
          </w:tcPr>
          <w:p>
            <w:pPr>
              <w:pStyle w:val="1033"/>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tcW w:w="2497" w:type="dxa"/>
            <w:vAlign w:val="center"/>
            <w:textDirection w:val="lrTb"/>
            <w:noWrap w:val="false"/>
          </w:tcPr>
          <w:p>
            <w:pPr>
              <w:pStyle w:val="1033"/>
              <w:jc w:val="center"/>
              <w:spacing w:line="240" w:lineRule="auto"/>
              <w:rPr>
                <w:rFonts w:hint="eastAsia" w:eastAsia="仿宋"/>
                <w:szCs w:val="21"/>
                <w:highlight w:val="none"/>
              </w:rPr>
            </w:pPr>
            <w:r>
              <w:rPr>
                <w:rFonts w:hint="eastAsia" w:eastAsia="仿宋"/>
                <w:szCs w:val="21"/>
                <w:highlight w:val="none"/>
              </w:rPr>
            </w:r>
            <w:r/>
          </w:p>
        </w:tc>
        <w:tc>
          <w:tcPr>
            <w:tcW w:w="1512" w:type="dxa"/>
            <w:vAlign w:val="top"/>
            <w:textDirection w:val="lrTb"/>
            <w:noWrap w:val="false"/>
          </w:tcPr>
          <w:p>
            <w:pPr>
              <w:pStyle w:val="1033"/>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17" w:type="dxa"/>
            <w:vAlign w:val="top"/>
            <w:textDirection w:val="lrTb"/>
            <w:noWrap w:val="false"/>
          </w:tcPr>
          <w:p>
            <w:pPr>
              <w:pStyle w:val="1033"/>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66" w:type="dxa"/>
            <w:vAlign w:val="top"/>
            <w:textDirection w:val="lrTb"/>
            <w:noWrap w:val="false"/>
          </w:tcPr>
          <w:p>
            <w:pPr>
              <w:pStyle w:val="1033"/>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675" w:type="dxa"/>
            <w:vAlign w:val="top"/>
            <w:textDirection w:val="lrTb"/>
            <w:noWrap w:val="false"/>
          </w:tcPr>
          <w:p>
            <w:pPr>
              <w:pStyle w:val="1033"/>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1242" w:type="dxa"/>
            <w:vAlign w:val="center"/>
            <w:textDirection w:val="lrTb"/>
            <w:noWrap w:val="false"/>
          </w:tcPr>
          <w:p>
            <w:pPr>
              <w:pStyle w:val="1033"/>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tcW w:w="2497" w:type="dxa"/>
            <w:vAlign w:val="center"/>
            <w:textDirection w:val="lrTb"/>
            <w:noWrap w:val="false"/>
          </w:tcPr>
          <w:p>
            <w:pPr>
              <w:pStyle w:val="1033"/>
              <w:jc w:val="center"/>
              <w:spacing w:line="240" w:lineRule="auto"/>
              <w:rPr>
                <w:rFonts w:hint="eastAsia" w:eastAsia="仿宋"/>
                <w:szCs w:val="21"/>
                <w:highlight w:val="none"/>
              </w:rPr>
            </w:pPr>
            <w:r>
              <w:rPr>
                <w:rFonts w:hint="eastAsia" w:eastAsia="仿宋"/>
                <w:szCs w:val="21"/>
                <w:highlight w:val="none"/>
              </w:rPr>
            </w:r>
            <w:r/>
          </w:p>
        </w:tc>
        <w:tc>
          <w:tcPr>
            <w:tcW w:w="1512" w:type="dxa"/>
            <w:vAlign w:val="top"/>
            <w:textDirection w:val="lrTb"/>
            <w:noWrap w:val="false"/>
          </w:tcPr>
          <w:p>
            <w:pPr>
              <w:pStyle w:val="1033"/>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17" w:type="dxa"/>
            <w:vAlign w:val="top"/>
            <w:textDirection w:val="lrTb"/>
            <w:noWrap w:val="false"/>
          </w:tcPr>
          <w:p>
            <w:pPr>
              <w:pStyle w:val="1033"/>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66" w:type="dxa"/>
            <w:vAlign w:val="top"/>
            <w:textDirection w:val="lrTb"/>
            <w:noWrap w:val="false"/>
          </w:tcPr>
          <w:p>
            <w:pPr>
              <w:pStyle w:val="1033"/>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675" w:type="dxa"/>
            <w:vAlign w:val="top"/>
            <w:textDirection w:val="lrTb"/>
            <w:noWrap w:val="false"/>
          </w:tcPr>
          <w:p>
            <w:pPr>
              <w:pStyle w:val="1033"/>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1242" w:type="dxa"/>
            <w:vAlign w:val="center"/>
            <w:textDirection w:val="lrTb"/>
            <w:noWrap w:val="false"/>
          </w:tcPr>
          <w:p>
            <w:pPr>
              <w:pStyle w:val="1033"/>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rPr>
            </w:r>
            <w:r/>
          </w:p>
        </w:tc>
        <w:tc>
          <w:tcPr>
            <w:tcW w:w="2497" w:type="dxa"/>
            <w:vAlign w:val="center"/>
            <w:textDirection w:val="lrTb"/>
            <w:noWrap w:val="false"/>
          </w:tcPr>
          <w:p>
            <w:pPr>
              <w:pStyle w:val="1033"/>
              <w:jc w:val="center"/>
              <w:spacing w:line="240" w:lineRule="auto"/>
              <w:rPr>
                <w:rFonts w:hint="eastAsia" w:eastAsia="仿宋"/>
                <w:szCs w:val="21"/>
                <w:highlight w:val="none"/>
              </w:rPr>
            </w:pPr>
            <w:r>
              <w:rPr>
                <w:rFonts w:hint="eastAsia" w:eastAsia="仿宋"/>
                <w:szCs w:val="21"/>
                <w:highlight w:val="none"/>
              </w:rPr>
            </w:r>
            <w:r/>
          </w:p>
        </w:tc>
        <w:tc>
          <w:tcPr>
            <w:tcW w:w="1512" w:type="dxa"/>
            <w:vAlign w:val="top"/>
            <w:textDirection w:val="lrTb"/>
            <w:noWrap w:val="false"/>
          </w:tcPr>
          <w:p>
            <w:pPr>
              <w:pStyle w:val="1033"/>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17" w:type="dxa"/>
            <w:vAlign w:val="top"/>
            <w:textDirection w:val="lrTb"/>
            <w:noWrap w:val="false"/>
          </w:tcPr>
          <w:p>
            <w:pPr>
              <w:pStyle w:val="1033"/>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66" w:type="dxa"/>
            <w:vAlign w:val="top"/>
            <w:textDirection w:val="lrTb"/>
            <w:noWrap w:val="false"/>
          </w:tcPr>
          <w:p>
            <w:pPr>
              <w:pStyle w:val="1033"/>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675" w:type="dxa"/>
            <w:vAlign w:val="top"/>
            <w:textDirection w:val="lrTb"/>
            <w:noWrap w:val="false"/>
          </w:tcPr>
          <w:p>
            <w:pPr>
              <w:pStyle w:val="1033"/>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1242" w:type="dxa"/>
            <w:vAlign w:val="center"/>
            <w:textDirection w:val="lrTb"/>
            <w:noWrap w:val="false"/>
          </w:tcPr>
          <w:p>
            <w:pPr>
              <w:pStyle w:val="1033"/>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rPr>
            </w:r>
            <w:r/>
          </w:p>
        </w:tc>
        <w:tc>
          <w:tcPr>
            <w:tcW w:w="2497" w:type="dxa"/>
            <w:vAlign w:val="center"/>
            <w:textDirection w:val="lrTb"/>
            <w:noWrap w:val="false"/>
          </w:tcPr>
          <w:p>
            <w:pPr>
              <w:pStyle w:val="1033"/>
              <w:jc w:val="center"/>
              <w:spacing w:line="240" w:lineRule="auto"/>
              <w:rPr>
                <w:rFonts w:hint="eastAsia" w:eastAsia="仿宋"/>
                <w:bCs/>
                <w:szCs w:val="21"/>
                <w:highlight w:val="none"/>
              </w:rPr>
            </w:pPr>
            <w:r>
              <w:rPr>
                <w:rFonts w:hint="eastAsia" w:eastAsia="仿宋"/>
                <w:bCs/>
                <w:szCs w:val="21"/>
                <w:highlight w:val="none"/>
              </w:rPr>
            </w:r>
            <w:r/>
          </w:p>
        </w:tc>
        <w:tc>
          <w:tcPr>
            <w:tcW w:w="1512" w:type="dxa"/>
            <w:vAlign w:val="top"/>
            <w:textDirection w:val="lrTb"/>
            <w:noWrap w:val="false"/>
          </w:tcPr>
          <w:p>
            <w:pPr>
              <w:pStyle w:val="1033"/>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17" w:type="dxa"/>
            <w:vAlign w:val="top"/>
            <w:textDirection w:val="lrTb"/>
            <w:noWrap w:val="false"/>
          </w:tcPr>
          <w:p>
            <w:pPr>
              <w:pStyle w:val="1033"/>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66" w:type="dxa"/>
            <w:vAlign w:val="top"/>
            <w:textDirection w:val="lrTb"/>
            <w:noWrap w:val="false"/>
          </w:tcPr>
          <w:p>
            <w:pPr>
              <w:pStyle w:val="1033"/>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675" w:type="dxa"/>
            <w:vAlign w:val="top"/>
            <w:textDirection w:val="lrTb"/>
            <w:noWrap w:val="false"/>
          </w:tcPr>
          <w:p>
            <w:pPr>
              <w:pStyle w:val="1033"/>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1242" w:type="dxa"/>
            <w:vAlign w:val="center"/>
            <w:textDirection w:val="lrTb"/>
            <w:noWrap w:val="false"/>
          </w:tcPr>
          <w:p>
            <w:pPr>
              <w:pStyle w:val="1033"/>
              <w:jc w:val="center"/>
              <w:spacing w:line="240" w:lineRule="auto"/>
              <w:rPr>
                <w:rFonts w:ascii="宋体" w:hAnsi="宋体" w:eastAsia="宋体" w:cs="宋体"/>
                <w:sz w:val="24"/>
                <w:highlight w:val="none"/>
              </w:rPr>
            </w:pPr>
            <w:r>
              <w:rPr>
                <w:rFonts w:hint="eastAsia" w:ascii="宋体" w:hAnsi="宋体" w:eastAsia="宋体" w:cs="宋体"/>
                <w:sz w:val="24"/>
                <w:highlight w:val="none"/>
              </w:rPr>
              <w:t xml:space="preserve">...</w:t>
            </w:r>
            <w:r>
              <w:rPr>
                <w:rFonts w:ascii="宋体" w:hAnsi="宋体" w:eastAsia="宋体" w:cs="宋体"/>
                <w:sz w:val="24"/>
                <w:highlight w:val="none"/>
              </w:rPr>
            </w:r>
            <w:r/>
          </w:p>
        </w:tc>
        <w:tc>
          <w:tcPr>
            <w:tcW w:w="2497" w:type="dxa"/>
            <w:vAlign w:val="center"/>
            <w:textDirection w:val="lrTb"/>
            <w:noWrap w:val="false"/>
          </w:tcPr>
          <w:p>
            <w:pPr>
              <w:pStyle w:val="1033"/>
              <w:jc w:val="center"/>
              <w:spacing w:line="240" w:lineRule="auto"/>
              <w:rPr>
                <w:rFonts w:hint="eastAsia" w:eastAsia="仿宋"/>
                <w:bCs/>
                <w:szCs w:val="21"/>
                <w:highlight w:val="none"/>
              </w:rPr>
            </w:pPr>
            <w:r>
              <w:rPr>
                <w:rFonts w:hint="eastAsia" w:eastAsia="仿宋"/>
                <w:bCs/>
                <w:szCs w:val="21"/>
                <w:highlight w:val="none"/>
              </w:rPr>
            </w:r>
            <w:r/>
          </w:p>
        </w:tc>
        <w:tc>
          <w:tcPr>
            <w:tcW w:w="1512" w:type="dxa"/>
            <w:vAlign w:val="top"/>
            <w:textDirection w:val="lrTb"/>
            <w:noWrap w:val="false"/>
          </w:tcPr>
          <w:p>
            <w:pPr>
              <w:pStyle w:val="1033"/>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17" w:type="dxa"/>
            <w:vAlign w:val="top"/>
            <w:textDirection w:val="lrTb"/>
            <w:noWrap w:val="false"/>
          </w:tcPr>
          <w:p>
            <w:pPr>
              <w:pStyle w:val="1033"/>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66" w:type="dxa"/>
            <w:vAlign w:val="top"/>
            <w:textDirection w:val="lrTb"/>
            <w:noWrap w:val="false"/>
          </w:tcPr>
          <w:p>
            <w:pPr>
              <w:pStyle w:val="1033"/>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675" w:type="dxa"/>
            <w:vAlign w:val="top"/>
            <w:textDirection w:val="lrTb"/>
            <w:noWrap w:val="false"/>
          </w:tcPr>
          <w:p>
            <w:pPr>
              <w:pStyle w:val="1033"/>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gridSpan w:val="4"/>
            <w:tcW w:w="6468" w:type="dxa"/>
            <w:vAlign w:val="center"/>
            <w:textDirection w:val="lrTb"/>
            <w:noWrap w:val="false"/>
          </w:tcPr>
          <w:p>
            <w:pPr>
              <w:pStyle w:val="1033"/>
              <w:ind w:right="-5"/>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合计</w:t>
            </w:r>
            <w:r>
              <w:rPr>
                <w:rFonts w:hint="eastAsia" w:ascii="宋体" w:hAnsi="宋体" w:eastAsia="宋体" w:cs="宋体"/>
                <w:b/>
                <w:szCs w:val="21"/>
                <w:highlight w:val="none"/>
              </w:rPr>
            </w:r>
            <w:r/>
          </w:p>
        </w:tc>
        <w:tc>
          <w:tcPr>
            <w:tcW w:w="1166" w:type="dxa"/>
            <w:vAlign w:val="top"/>
            <w:textDirection w:val="lrTb"/>
            <w:noWrap w:val="false"/>
          </w:tcPr>
          <w:p>
            <w:pPr>
              <w:pStyle w:val="1033"/>
              <w:ind w:right="-5"/>
              <w:jc w:val="right"/>
              <w:rPr>
                <w:rFonts w:hint="eastAsia" w:ascii="宋体" w:hAnsi="宋体" w:eastAsia="宋体" w:cs="宋体"/>
                <w:b/>
                <w:szCs w:val="21"/>
                <w:highlight w:val="none"/>
              </w:rPr>
            </w:pPr>
            <w:r>
              <w:rPr>
                <w:rFonts w:hint="eastAsia" w:ascii="宋体" w:hAnsi="宋体" w:eastAsia="宋体" w:cs="宋体"/>
                <w:b/>
                <w:szCs w:val="21"/>
                <w:highlight w:val="none"/>
              </w:rPr>
              <w:t xml:space="preserve">元</w:t>
            </w:r>
            <w:r>
              <w:rPr>
                <w:rFonts w:hint="eastAsia" w:ascii="宋体" w:hAnsi="宋体" w:eastAsia="宋体" w:cs="宋体"/>
                <w:b/>
                <w:szCs w:val="21"/>
                <w:highlight w:val="none"/>
              </w:rPr>
            </w:r>
            <w:r/>
          </w:p>
        </w:tc>
        <w:tc>
          <w:tcPr>
            <w:tcW w:w="1675" w:type="dxa"/>
            <w:vAlign w:val="top"/>
            <w:textDirection w:val="lrTb"/>
            <w:noWrap w:val="false"/>
          </w:tcPr>
          <w:p>
            <w:pPr>
              <w:pStyle w:val="1033"/>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bl>
    <w:p>
      <w:pPr>
        <w:pStyle w:val="1033"/>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33"/>
        <w:jc w:val="center"/>
        <w:widowControl/>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1033"/>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（4）中小企业声明函（货物类）</w:t>
      </w:r>
      <w:r>
        <w:rPr>
          <w:rFonts w:hint="eastAsia" w:ascii="宋体" w:hAnsi="宋体" w:eastAsia="宋体" w:cs="宋体"/>
          <w:b/>
          <w:sz w:val="24"/>
          <w:szCs w:val="24"/>
          <w:highlight w:val="none"/>
        </w:rPr>
      </w:r>
      <w:r/>
    </w:p>
    <w:p>
      <w:pPr>
        <w:pStyle w:val="1033"/>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本公司郑重声明，根据《政府采购促进中小企业发展管理办法》（财库﹝2020﹞46 号）的规定，本公司参加</w:t>
      </w:r>
      <w:r>
        <w:rPr>
          <w:rFonts w:hint="eastAsia" w:ascii="宋体" w:hAnsi="宋体" w:eastAsia="宋体" w:cs="宋体"/>
          <w:sz w:val="24"/>
          <w:highlight w:val="none"/>
          <w:u w:val="single"/>
        </w:rPr>
        <w:t xml:space="preserve">（单位名称）</w:t>
      </w:r>
      <w:r>
        <w:rPr>
          <w:rFonts w:hint="eastAsia" w:ascii="宋体" w:hAnsi="宋体" w:eastAsia="宋体" w:cs="宋体"/>
          <w:sz w:val="24"/>
          <w:highlight w:val="none"/>
        </w:rPr>
        <w:t xml:space="preserve">的</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采购活动，</w:t>
      </w:r>
      <w:r>
        <w:rPr>
          <w:rFonts w:hint="eastAsia" w:ascii="宋体" w:hAnsi="宋体" w:eastAsia="宋体" w:cs="宋体"/>
          <w:b/>
          <w:bCs/>
          <w:sz w:val="24"/>
          <w:highlight w:val="none"/>
        </w:rPr>
        <w:t xml:space="preserve">提供的货物全部由符合政策要求的中小企业制造</w:t>
      </w:r>
      <w:r>
        <w:rPr>
          <w:rFonts w:hint="eastAsia" w:ascii="宋体" w:hAnsi="宋体" w:eastAsia="宋体" w:cs="宋体"/>
          <w:sz w:val="24"/>
          <w:highlight w:val="none"/>
        </w:rPr>
        <w:t xml:space="preserve">。相关企业（含联合体中的中小企业、签订分包意向协议的中小企业）的具体情况如下： </w:t>
      </w:r>
      <w:r>
        <w:rPr>
          <w:rFonts w:hint="eastAsia" w:ascii="宋体" w:hAnsi="宋体" w:eastAsia="宋体" w:cs="宋体"/>
          <w:sz w:val="24"/>
          <w:highlight w:val="none"/>
        </w:rPr>
      </w:r>
      <w:r/>
    </w:p>
    <w:p>
      <w:pPr>
        <w:pStyle w:val="1033"/>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（标的名称）</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（招标文件中明确的所属行业） </w:t>
      </w:r>
      <w:r>
        <w:rPr>
          <w:rFonts w:hint="eastAsia" w:ascii="宋体" w:hAnsi="宋体" w:eastAsia="宋体" w:cs="宋体"/>
          <w:sz w:val="24"/>
          <w:highlight w:val="none"/>
        </w:rPr>
        <w:t xml:space="preserve">行业；制造商为（企业名称），从业人</w:t>
      </w:r>
      <w:r>
        <w:rPr>
          <w:rFonts w:hint="eastAsia" w:ascii="宋体" w:hAnsi="宋体" w:eastAsia="宋体" w:cs="宋体"/>
          <w:sz w:val="24"/>
          <w:highlight w:val="none"/>
          <w:u w:val="single"/>
        </w:rPr>
        <w:t xml:space="preserve">员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（中型企业、小型企业、微型企业）</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33"/>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（标的名称）</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（招标文件中明确的所属行业）</w:t>
      </w:r>
      <w:r>
        <w:rPr>
          <w:rFonts w:hint="eastAsia" w:ascii="宋体" w:hAnsi="宋体" w:eastAsia="宋体" w:cs="宋体"/>
          <w:sz w:val="24"/>
          <w:highlight w:val="none"/>
        </w:rPr>
        <w:t xml:space="preserve"> 行业；制造商为（企业名称），从业人</w:t>
      </w:r>
      <w:r>
        <w:rPr>
          <w:rFonts w:hint="eastAsia" w:ascii="宋体" w:hAnsi="宋体" w:eastAsia="宋体" w:cs="宋体"/>
          <w:sz w:val="24"/>
          <w:highlight w:val="none"/>
          <w:u w:val="single"/>
        </w:rPr>
        <w:t xml:space="preserve">员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（中型企业、小型企业、微型企业）</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33"/>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33"/>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 </w:t>
      </w:r>
      <w:r>
        <w:rPr>
          <w:rFonts w:hint="eastAsia" w:ascii="宋体" w:hAnsi="宋体" w:eastAsia="宋体" w:cs="宋体"/>
          <w:sz w:val="24"/>
          <w:highlight w:val="none"/>
        </w:rPr>
      </w:r>
      <w:r/>
    </w:p>
    <w:p>
      <w:pPr>
        <w:pStyle w:val="1033"/>
        <w:ind w:firstLine="482"/>
        <w:spacing w:line="44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本企业对上述声明内容的真实性负责。如有虚假，将依法承担相应责任。 </w:t>
      </w:r>
      <w:r>
        <w:rPr>
          <w:rFonts w:hint="eastAsia" w:ascii="宋体" w:hAnsi="宋体" w:eastAsia="宋体" w:cs="宋体"/>
          <w:b/>
          <w:bCs/>
          <w:sz w:val="24"/>
          <w:highlight w:val="none"/>
        </w:rPr>
      </w:r>
      <w:r/>
    </w:p>
    <w:p>
      <w:pPr>
        <w:pStyle w:val="1033"/>
        <w:ind w:firstLine="42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33"/>
        <w:ind w:firstLine="4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投标人名称（公章）：</w:t>
      </w:r>
      <w:r>
        <w:rPr>
          <w:rFonts w:hint="eastAsia" w:ascii="宋体" w:hAnsi="宋体" w:eastAsia="宋体" w:cs="宋体"/>
          <w:sz w:val="24"/>
          <w:highlight w:val="none"/>
        </w:rPr>
      </w:r>
      <w:r/>
    </w:p>
    <w:p>
      <w:pPr>
        <w:pStyle w:val="1033"/>
        <w:ind w:firstLine="420"/>
        <w:spacing w:line="440" w:lineRule="exact"/>
        <w:rPr>
          <w:rFonts w:hint="eastAsia" w:ascii="宋体" w:hAnsi="宋体" w:eastAsia="宋体" w:cs="宋体"/>
          <w:sz w:val="32"/>
          <w:szCs w:val="32"/>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32"/>
          <w:szCs w:val="32"/>
          <w:highlight w:val="none"/>
        </w:rPr>
      </w:r>
      <w:r/>
    </w:p>
    <w:p>
      <w:pPr>
        <w:pStyle w:val="1033"/>
        <w:rPr>
          <w:rFonts w:hint="eastAsia" w:ascii="宋体" w:hAnsi="宋体" w:eastAsia="宋体" w:cs="宋体"/>
          <w:b/>
          <w:szCs w:val="21"/>
          <w:highlight w:val="none"/>
        </w:rPr>
      </w:pPr>
      <w:r>
        <w:rPr>
          <w:rFonts w:hint="eastAsia" w:ascii="宋体" w:hAnsi="宋体" w:eastAsia="宋体" w:cs="宋体"/>
          <w:b/>
          <w:szCs w:val="21"/>
          <w:highlight w:val="none"/>
        </w:rPr>
      </w:r>
      <w:r/>
    </w:p>
    <w:p>
      <w:pPr>
        <w:pStyle w:val="1033"/>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注：1、从业人员、营业收入、资产总额填报上一年度数据，无上一年度数据的新成立企业可不填报。</w:t>
      </w:r>
      <w:r>
        <w:rPr>
          <w:rFonts w:hint="eastAsia" w:ascii="宋体" w:hAnsi="宋体" w:eastAsia="宋体" w:cs="宋体"/>
          <w:b/>
          <w:sz w:val="22"/>
          <w:szCs w:val="22"/>
          <w:highlight w:val="none"/>
        </w:rPr>
      </w:r>
      <w:r/>
    </w:p>
    <w:p>
      <w:pPr>
        <w:pStyle w:val="1033"/>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2、上述“相关企业”含联合体中的中小企业、签订分包意向协议的中小企业；</w:t>
      </w:r>
      <w:r>
        <w:rPr>
          <w:rFonts w:hint="eastAsia" w:ascii="宋体" w:hAnsi="宋体" w:eastAsia="宋体" w:cs="宋体"/>
          <w:b/>
          <w:sz w:val="22"/>
          <w:szCs w:val="22"/>
          <w:highlight w:val="none"/>
        </w:rPr>
      </w:r>
      <w:r/>
    </w:p>
    <w:p>
      <w:pPr>
        <w:pStyle w:val="1033"/>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3、供应商不得修改中小企业声明函格式，须列明全部货物制造商信息，未按上述要求提供声明函的，价格将不做相应扣除。</w:t>
      </w:r>
      <w:r>
        <w:rPr>
          <w:rFonts w:hint="eastAsia" w:ascii="宋体" w:hAnsi="宋体" w:eastAsia="宋体" w:cs="宋体"/>
          <w:b/>
          <w:sz w:val="22"/>
          <w:szCs w:val="22"/>
          <w:highlight w:val="none"/>
        </w:rPr>
      </w:r>
      <w:r/>
    </w:p>
    <w:p>
      <w:pPr>
        <w:pStyle w:val="1033"/>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4、供应商对以上数据的真实性负责，中标供应商如享受本项目小微企业扶持政策的，其《中小企业声明函》将随本项目的中标结果同时公告，接受社会监督。</w:t>
      </w:r>
      <w:r>
        <w:rPr>
          <w:rFonts w:hint="eastAsia" w:ascii="宋体" w:hAnsi="宋体" w:eastAsia="宋体" w:cs="宋体"/>
          <w:b/>
          <w:sz w:val="22"/>
          <w:szCs w:val="22"/>
          <w:highlight w:val="none"/>
        </w:rPr>
      </w:r>
      <w:r/>
    </w:p>
    <w:p>
      <w:pPr>
        <w:pStyle w:val="1033"/>
        <w:jc w:val="center"/>
        <w:widowControl/>
        <w:rPr>
          <w:rFonts w:hint="eastAsia" w:ascii="宋体" w:hAnsi="宋体" w:eastAsia="宋体" w:cs="宋体"/>
          <w:b/>
          <w:sz w:val="22"/>
          <w:szCs w:val="22"/>
          <w:highlight w:val="none"/>
        </w:rPr>
      </w:pPr>
      <w:r>
        <w:rPr>
          <w:rFonts w:hint="eastAsia" w:ascii="宋体" w:hAnsi="宋体" w:eastAsia="宋体" w:cs="宋体"/>
          <w:b/>
          <w:sz w:val="22"/>
          <w:szCs w:val="22"/>
          <w:highlight w:val="none"/>
        </w:rPr>
      </w:r>
      <w:r/>
    </w:p>
    <w:p>
      <w:pPr>
        <w:pStyle w:val="1033"/>
        <w:jc w:val="center"/>
        <w:widowControl/>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1033"/>
        <w:ind w:firstLine="482"/>
        <w:jc w:val="center"/>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b/>
          <w:bCs/>
          <w:sz w:val="24"/>
          <w:szCs w:val="28"/>
          <w:highlight w:val="none"/>
        </w:rPr>
        <w:t xml:space="preserve">附：</w:t>
      </w:r>
      <w:r>
        <w:rPr>
          <w:rFonts w:hint="eastAsia" w:ascii="仿宋" w:hAnsi="仿宋" w:eastAsia="仿宋" w:cs="仿宋"/>
          <w:sz w:val="24"/>
          <w:szCs w:val="28"/>
          <w:highlight w:val="none"/>
        </w:rPr>
        <w:t xml:space="preserve">中小企业划型标准规定</w:t>
      </w:r>
      <w:r>
        <w:rPr>
          <w:rFonts w:hint="eastAsia" w:ascii="仿宋" w:hAnsi="仿宋" w:eastAsia="仿宋" w:cs="仿宋"/>
          <w:highlight w:val="none"/>
        </w:rPr>
      </w:r>
      <w:r/>
    </w:p>
    <w:p>
      <w:pPr>
        <w:pStyle w:val="1033"/>
        <w:ind w:firstLine="420"/>
        <w:jc w:val="center"/>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工信部联企业〔2011〕300号</w:t>
      </w:r>
      <w:r>
        <w:rPr>
          <w:rFonts w:hint="eastAsia" w:ascii="仿宋" w:hAnsi="仿宋" w:eastAsia="仿宋" w:cs="仿宋"/>
          <w:highlight w:val="none"/>
        </w:rPr>
      </w:r>
      <w:r/>
    </w:p>
    <w:p>
      <w:pPr>
        <w:pStyle w:val="1033"/>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一、根据《中华人民共和国中小企业促进法》和《国务院关于进一步促进中小企业发展的若干意见》（国发〔2009〕36号），制定本规定。</w:t>
      </w:r>
      <w:r>
        <w:rPr>
          <w:rFonts w:hint="eastAsia" w:ascii="仿宋" w:hAnsi="仿宋" w:eastAsia="仿宋" w:cs="仿宋"/>
          <w:highlight w:val="none"/>
        </w:rPr>
      </w:r>
      <w:r/>
    </w:p>
    <w:p>
      <w:pPr>
        <w:pStyle w:val="1033"/>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二、中小企业划分为中型、小型、微型三种类型，具体标准根据企业从业人员、营业收入、资产总额等指标，结合行业特点制定。</w:t>
      </w:r>
      <w:r>
        <w:rPr>
          <w:rFonts w:hint="eastAsia" w:ascii="仿宋" w:hAnsi="仿宋" w:eastAsia="仿宋" w:cs="仿宋"/>
          <w:highlight w:val="none"/>
        </w:rPr>
      </w:r>
      <w:r/>
    </w:p>
    <w:p>
      <w:pPr>
        <w:pStyle w:val="1033"/>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highlight w:val="none"/>
        </w:rPr>
      </w:r>
      <w:r/>
    </w:p>
    <w:p>
      <w:pPr>
        <w:pStyle w:val="1033"/>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四、各行业划型标准为：</w:t>
      </w:r>
      <w:r>
        <w:rPr>
          <w:rFonts w:hint="eastAsia" w:ascii="仿宋" w:hAnsi="仿宋" w:eastAsia="仿宋" w:cs="仿宋"/>
          <w:highlight w:val="none"/>
        </w:rPr>
      </w:r>
      <w:r/>
    </w:p>
    <w:p>
      <w:pPr>
        <w:pStyle w:val="1033"/>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highlight w:val="none"/>
        </w:rPr>
      </w:r>
      <w:r/>
    </w:p>
    <w:p>
      <w:pPr>
        <w:pStyle w:val="1033"/>
        <w:ind w:firstLine="422"/>
        <w:spacing w:before="0" w:after="0" w:line="336" w:lineRule="auto"/>
        <w:shd w:val="clear" w:color="auto" w:fill="ffffff"/>
        <w:widowControl/>
        <w:rPr>
          <w:rFonts w:hint="eastAsia" w:ascii="仿宋" w:hAnsi="仿宋" w:eastAsia="仿宋" w:cs="仿宋"/>
          <w:b/>
          <w:bCs/>
          <w:highlight w:val="none"/>
        </w:rPr>
      </w:pPr>
      <w:r>
        <w:rPr>
          <w:rFonts w:hint="eastAsia" w:ascii="仿宋" w:hAnsi="仿宋" w:eastAsia="仿宋" w:cs="仿宋"/>
          <w:b/>
          <w:bCs/>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b/>
          <w:bCs/>
          <w:highlight w:val="none"/>
        </w:rPr>
      </w:r>
      <w:r/>
    </w:p>
    <w:p>
      <w:pPr>
        <w:pStyle w:val="1033"/>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highlight w:val="none"/>
        </w:rPr>
      </w:r>
      <w:r/>
    </w:p>
    <w:p>
      <w:pPr>
        <w:pStyle w:val="1033"/>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highlight w:val="none"/>
        </w:rPr>
      </w:r>
      <w:r/>
    </w:p>
    <w:p>
      <w:pPr>
        <w:pStyle w:val="1033"/>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highlight w:val="none"/>
        </w:rPr>
      </w:r>
      <w:r/>
    </w:p>
    <w:p>
      <w:pPr>
        <w:pStyle w:val="1033"/>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highlight w:val="none"/>
        </w:rPr>
      </w:r>
      <w:r/>
    </w:p>
    <w:p>
      <w:pPr>
        <w:pStyle w:val="1033"/>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highlight w:val="none"/>
        </w:rPr>
      </w:r>
      <w:r/>
    </w:p>
    <w:p>
      <w:pPr>
        <w:pStyle w:val="1033"/>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highlight w:val="none"/>
        </w:rPr>
      </w:r>
      <w:r/>
    </w:p>
    <w:p>
      <w:pPr>
        <w:pStyle w:val="1033"/>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highlight w:val="none"/>
        </w:rPr>
      </w:r>
      <w:r/>
    </w:p>
    <w:p>
      <w:pPr>
        <w:pStyle w:val="1033"/>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highlight w:val="none"/>
        </w:rPr>
      </w:r>
      <w:r/>
    </w:p>
    <w:p>
      <w:pPr>
        <w:pStyle w:val="1033"/>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highlight w:val="none"/>
        </w:rPr>
      </w:r>
      <w:r/>
    </w:p>
    <w:p>
      <w:pPr>
        <w:pStyle w:val="1033"/>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highlight w:val="none"/>
        </w:rPr>
      </w:r>
      <w:r/>
    </w:p>
    <w:p>
      <w:pPr>
        <w:pStyle w:val="1033"/>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highlight w:val="none"/>
        </w:rPr>
      </w:r>
      <w:r/>
    </w:p>
    <w:p>
      <w:pPr>
        <w:pStyle w:val="1033"/>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highlight w:val="none"/>
        </w:rPr>
      </w:r>
      <w:r/>
    </w:p>
    <w:p>
      <w:pPr>
        <w:pStyle w:val="1033"/>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highlight w:val="none"/>
        </w:rPr>
      </w:r>
      <w:r/>
    </w:p>
    <w:p>
      <w:pPr>
        <w:pStyle w:val="1033"/>
        <w:ind w:firstLine="422"/>
        <w:spacing w:before="0" w:after="0" w:line="336" w:lineRule="auto"/>
        <w:shd w:val="clear" w:color="auto" w:fill="ffffff"/>
        <w:widowControl/>
        <w:rPr>
          <w:rFonts w:hint="eastAsia" w:ascii="仿宋" w:hAnsi="仿宋" w:eastAsia="仿宋" w:cs="仿宋"/>
          <w:b/>
          <w:bCs/>
          <w:highlight w:val="none"/>
        </w:rPr>
      </w:pPr>
      <w:r>
        <w:rPr>
          <w:rFonts w:hint="eastAsia" w:ascii="仿宋" w:hAnsi="仿宋" w:eastAsia="仿宋" w:cs="仿宋"/>
          <w:b/>
          <w:bCs/>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b/>
          <w:bCs/>
          <w:highlight w:val="none"/>
        </w:rPr>
      </w:r>
      <w:r/>
    </w:p>
    <w:p>
      <w:pPr>
        <w:pStyle w:val="1033"/>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五、企业类型的划分以统计部门的统计数据为依据。</w:t>
      </w:r>
      <w:r>
        <w:rPr>
          <w:rFonts w:hint="eastAsia" w:ascii="仿宋" w:hAnsi="仿宋" w:eastAsia="仿宋" w:cs="仿宋"/>
          <w:highlight w:val="none"/>
        </w:rPr>
      </w:r>
      <w:r/>
    </w:p>
    <w:p>
      <w:pPr>
        <w:pStyle w:val="1033"/>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六、本规定适用于在中华人民共和国境内依法设立的各类所有制和各种组织形式的企业。个体工商户和本规定以外的行业，参照本规定进行划型。</w:t>
      </w:r>
      <w:r>
        <w:rPr>
          <w:rFonts w:hint="eastAsia" w:ascii="仿宋" w:hAnsi="仿宋" w:eastAsia="仿宋" w:cs="仿宋"/>
          <w:highlight w:val="none"/>
        </w:rPr>
      </w:r>
      <w:r/>
    </w:p>
    <w:p>
      <w:pPr>
        <w:pStyle w:val="1033"/>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highlight w:val="none"/>
        </w:rPr>
      </w:r>
      <w:r/>
    </w:p>
    <w:p>
      <w:pPr>
        <w:pStyle w:val="1033"/>
        <w:ind w:firstLine="420"/>
        <w:spacing w:before="0" w:after="0" w:line="336" w:lineRule="auto"/>
        <w:shd w:val="clear" w:color="auto" w:fill="ffffff"/>
        <w:widowControl/>
        <w:rPr>
          <w:rFonts w:hint="eastAsia" w:ascii="仿宋" w:hAnsi="仿宋" w:eastAsia="仿宋" w:cs="仿宋"/>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仿宋" w:hAnsi="仿宋" w:eastAsia="仿宋" w:cs="仿宋"/>
          <w:highlight w:val="none"/>
        </w:rPr>
        <w:t xml:space="preserve">八、本规定由工业和信息化部、国家统计局会同有关部门根据《国民经济行业分类》修订情况和企业发展变化情况适时修订。</w:t>
      </w:r>
      <w:r>
        <w:rPr>
          <w:rFonts w:hint="eastAsia" w:ascii="仿宋" w:hAnsi="仿宋" w:eastAsia="仿宋" w:cs="仿宋"/>
          <w:highlight w:val="none"/>
        </w:rPr>
      </w:r>
      <w:r/>
    </w:p>
    <w:p>
      <w:pPr>
        <w:pStyle w:val="1033"/>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（5）残疾人福利性单位声明函（如需）</w:t>
      </w:r>
      <w:r>
        <w:rPr>
          <w:rFonts w:hint="eastAsia" w:ascii="宋体" w:hAnsi="宋体" w:eastAsia="宋体" w:cs="宋体"/>
          <w:b/>
          <w:sz w:val="24"/>
          <w:szCs w:val="24"/>
          <w:highlight w:val="none"/>
        </w:rPr>
      </w:r>
      <w:r/>
    </w:p>
    <w:p>
      <w:pPr>
        <w:pStyle w:val="1033"/>
        <w:ind w:firstLine="420"/>
        <w:spacing w:before="0" w:after="0" w:line="440" w:lineRule="exact"/>
        <w:rPr>
          <w:rFonts w:hint="eastAsia" w:ascii="宋体" w:hAnsi="宋体" w:eastAsia="宋体" w:cs="宋体"/>
          <w:sz w:val="24"/>
          <w:szCs w:val="24"/>
          <w:highlight w:val="none"/>
        </w:rPr>
      </w:pPr>
      <w:r>
        <w:rPr>
          <w:rFonts w:hint="eastAsia" w:ascii="宋体" w:hAnsi="宋体" w:eastAsia="宋体" w:cs="宋体"/>
          <w:highlight w:val="none"/>
        </w:rPr>
        <w:t xml:space="preserve">本</w:t>
      </w:r>
      <w:r>
        <w:rPr>
          <w:rFonts w:hint="eastAsia" w:ascii="宋体" w:hAnsi="宋体" w:eastAsia="宋体" w:cs="宋体"/>
          <w:sz w:val="24"/>
          <w:szCs w:val="24"/>
          <w:highlight w:val="none"/>
        </w:rPr>
        <w:t xml:space="preserve">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由本单位承担工程/提供服务），或者提供其他残疾人福利性单位制造的货物（不包括使用非残疾人福利性单位注册商标的货物）。</w:t>
      </w:r>
      <w:r>
        <w:rPr>
          <w:rFonts w:hint="eastAsia" w:ascii="宋体" w:hAnsi="宋体" w:eastAsia="宋体" w:cs="宋体"/>
          <w:sz w:val="24"/>
          <w:szCs w:val="24"/>
          <w:highlight w:val="none"/>
        </w:rPr>
      </w:r>
      <w:r/>
    </w:p>
    <w:p>
      <w:pPr>
        <w:pStyle w:val="1033"/>
        <w:ind w:firstLine="482"/>
        <w:spacing w:before="0" w:after="0"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本单位对上述声明的真实性负责。如有虚假，将依法承担相应责任。</w:t>
      </w:r>
      <w:r>
        <w:rPr>
          <w:rFonts w:hint="eastAsia" w:ascii="宋体" w:hAnsi="宋体" w:eastAsia="宋体" w:cs="宋体"/>
          <w:b/>
          <w:bCs/>
          <w:sz w:val="24"/>
          <w:szCs w:val="24"/>
          <w:highlight w:val="none"/>
        </w:rPr>
      </w:r>
      <w:r/>
    </w:p>
    <w:p>
      <w:pPr>
        <w:pStyle w:val="1033"/>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3"/>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33"/>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81"/>
        <w:rPr>
          <w:rFonts w:hint="eastAsia" w:ascii="宋体" w:hAnsi="宋体" w:eastAsia="宋体" w:cs="宋体"/>
          <w:highlight w:val="none"/>
        </w:rPr>
      </w:pPr>
      <w:r>
        <w:rPr>
          <w:rFonts w:hint="eastAsia" w:ascii="宋体" w:hAnsi="宋体" w:eastAsia="宋体" w:cs="宋体"/>
          <w:highlight w:val="none"/>
        </w:rPr>
      </w:r>
      <w:r/>
    </w:p>
    <w:p>
      <w:pPr>
        <w:pStyle w:val="1033"/>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（6）属于监狱企业的证明文件（如需）</w:t>
      </w:r>
      <w:r>
        <w:rPr>
          <w:rFonts w:hint="eastAsia" w:ascii="宋体" w:hAnsi="宋体" w:eastAsia="宋体" w:cs="宋体"/>
          <w:b/>
          <w:sz w:val="24"/>
          <w:szCs w:val="24"/>
          <w:highlight w:val="none"/>
        </w:rPr>
      </w:r>
      <w:r/>
    </w:p>
    <w:p>
      <w:pPr>
        <w:pStyle w:val="1033"/>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（提供由省级以上监狱管理局、戒毒管理局（含新疆生产建设兵团）出具的属于监狱企业的证明文件）</w:t>
      </w:r>
      <w:r>
        <w:rPr>
          <w:rFonts w:hint="eastAsia" w:ascii="宋体" w:hAnsi="宋体" w:eastAsia="宋体" w:cs="宋体"/>
          <w:sz w:val="24"/>
          <w:szCs w:val="24"/>
          <w:highlight w:val="none"/>
        </w:rPr>
      </w:r>
      <w:r/>
    </w:p>
    <w:p>
      <w:pPr>
        <w:pStyle w:val="1033"/>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73"/>
        <w:ind w:left="0"/>
        <w:rPr>
          <w:rFonts w:hint="eastAsia" w:ascii="宋体" w:hAnsi="宋体" w:cs="宋体"/>
          <w:highlight w:val="none"/>
        </w:rPr>
      </w:pPr>
      <w:r>
        <w:rPr>
          <w:rFonts w:hint="eastAsia" w:ascii="宋体" w:hAnsi="宋体" w:cs="宋体"/>
          <w:highlight w:val="none"/>
        </w:rPr>
      </w:r>
      <w:r/>
    </w:p>
    <w:p>
      <w:pPr>
        <w:pStyle w:val="1033"/>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136"/>
      <w:r/>
      <w:bookmarkEnd w:id="137"/>
      <w:r/>
      <w:bookmarkEnd w:id="138"/>
      <w:r/>
      <w:bookmarkStart w:id="139" w:name="_Toc788"/>
      <w:r/>
      <w:bookmarkStart w:id="140" w:name="_Toc27811"/>
      <w:r/>
      <w:bookmarkStart w:id="141" w:name="_Toc5019"/>
      <w:r>
        <w:rPr>
          <w:rFonts w:hint="eastAsia" w:ascii="宋体" w:hAnsi="宋体" w:eastAsia="宋体" w:cs="宋体"/>
          <w:sz w:val="32"/>
          <w:szCs w:val="32"/>
          <w:highlight w:val="none"/>
        </w:rPr>
      </w:r>
      <w:r/>
    </w:p>
    <w:p>
      <w:pPr>
        <w:pStyle w:val="1033"/>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（7）关于符合本国产品标准的声明函</w:t>
      </w:r>
      <w:r>
        <w:rPr>
          <w:rFonts w:hint="eastAsia" w:ascii="宋体" w:hAnsi="宋体" w:eastAsia="宋体" w:cs="宋体"/>
          <w:b/>
          <w:sz w:val="24"/>
          <w:szCs w:val="24"/>
          <w:highlight w:val="none"/>
        </w:rPr>
      </w:r>
      <w:r/>
    </w:p>
    <w:p>
      <w:pPr>
        <w:pStyle w:val="1033"/>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sz w:val="24"/>
          <w:szCs w:val="24"/>
          <w:highlight w:val="none"/>
        </w:rPr>
      </w:r>
      <w:r/>
    </w:p>
    <w:p>
      <w:pPr>
        <w:pStyle w:val="1033"/>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（产品名称1）</w:t>
      </w:r>
      <w:r>
        <w:rPr>
          <w:rFonts w:hint="eastAsia" w:ascii="宋体" w:hAnsi="宋体" w:eastAsia="宋体" w:cs="宋体"/>
          <w:sz w:val="24"/>
          <w:szCs w:val="24"/>
          <w:highlight w:val="none"/>
        </w:rPr>
        <w:t xml:space="preserve">，生产厂为</w:t>
      </w:r>
      <w:r>
        <w:rPr>
          <w:rFonts w:hint="eastAsia" w:ascii="宋体" w:hAnsi="宋体" w:eastAsia="宋体" w:cs="宋体"/>
          <w:sz w:val="24"/>
          <w:szCs w:val="24"/>
          <w:highlight w:val="none"/>
          <w:u w:val="single"/>
        </w:rPr>
        <w:t xml:space="preserve">（厂名）</w:t>
      </w:r>
      <w:r>
        <w:rPr>
          <w:rFonts w:hint="eastAsia" w:ascii="宋体" w:hAnsi="宋体" w:eastAsia="宋体" w:cs="宋体"/>
          <w:sz w:val="24"/>
          <w:szCs w:val="24"/>
          <w:highlight w:val="none"/>
        </w:rPr>
        <w:t xml:space="preserve">，厂址为</w:t>
      </w:r>
      <w:r>
        <w:rPr>
          <w:rFonts w:hint="eastAsia" w:ascii="宋体" w:hAnsi="宋体" w:eastAsia="宋体" w:cs="宋体"/>
          <w:sz w:val="24"/>
          <w:szCs w:val="24"/>
          <w:highlight w:val="none"/>
          <w:u w:val="single"/>
        </w:rPr>
        <w:t xml:space="preserve">（生产厂址）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（产品名称1）</w:t>
      </w:r>
      <w:r>
        <w:rPr>
          <w:rFonts w:hint="eastAsia" w:ascii="宋体" w:hAnsi="宋体" w:eastAsia="宋体" w:cs="宋体"/>
          <w:sz w:val="24"/>
          <w:szCs w:val="24"/>
          <w:highlight w:val="none"/>
        </w:rPr>
        <w:t xml:space="preserve">的中国境内生产的组件成本占比≥</w:t>
      </w:r>
      <w:r>
        <w:rPr>
          <w:rFonts w:hint="eastAsia" w:ascii="宋体" w:hAnsi="宋体" w:eastAsia="宋体" w:cs="宋体"/>
          <w:sz w:val="24"/>
          <w:szCs w:val="24"/>
          <w:highlight w:val="none"/>
          <w:u w:val="single"/>
        </w:rPr>
        <w:t xml:space="preserve">（规定比例）</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（产品名称1）</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（关键组件）</w:t>
      </w:r>
      <w:r>
        <w:rPr>
          <w:rFonts w:hint="eastAsia" w:ascii="宋体" w:hAnsi="宋体" w:eastAsia="宋体" w:cs="宋体"/>
          <w:sz w:val="24"/>
          <w:szCs w:val="24"/>
          <w:highlight w:val="none"/>
        </w:rPr>
        <w:t xml:space="preserve">在中国境内生产。</w:t>
      </w:r>
      <w:r>
        <w:rPr>
          <w:rFonts w:hint="eastAsia" w:ascii="宋体" w:hAnsi="宋体" w:eastAsia="宋体" w:cs="宋体"/>
          <w:sz w:val="24"/>
          <w:szCs w:val="24"/>
          <w:highlight w:val="none"/>
          <w:u w:val="single"/>
        </w:rPr>
        <w:t xml:space="preserve">（产品名称1）</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（关键工序）</w:t>
      </w:r>
      <w:r>
        <w:rPr>
          <w:rFonts w:hint="eastAsia" w:ascii="宋体" w:hAnsi="宋体" w:eastAsia="宋体" w:cs="宋体"/>
          <w:sz w:val="24"/>
          <w:szCs w:val="24"/>
          <w:highlight w:val="none"/>
        </w:rPr>
        <w:t xml:space="preserve">在中国境内完成。</w:t>
      </w:r>
      <w:r>
        <w:rPr>
          <w:rFonts w:hint="eastAsia" w:ascii="宋体" w:hAnsi="宋体" w:eastAsia="宋体" w:cs="宋体"/>
          <w:sz w:val="24"/>
          <w:szCs w:val="24"/>
          <w:highlight w:val="none"/>
        </w:rPr>
      </w:r>
      <w:r/>
    </w:p>
    <w:p>
      <w:pPr>
        <w:pStyle w:val="1033"/>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（产品名称2）</w:t>
      </w:r>
      <w:r>
        <w:rPr>
          <w:rFonts w:hint="eastAsia" w:ascii="宋体" w:hAnsi="宋体" w:eastAsia="宋体" w:cs="宋体"/>
          <w:sz w:val="24"/>
          <w:szCs w:val="24"/>
          <w:highlight w:val="none"/>
        </w:rPr>
        <w:t xml:space="preserve">，生产厂为</w:t>
      </w:r>
      <w:r>
        <w:rPr>
          <w:rFonts w:hint="eastAsia" w:ascii="宋体" w:hAnsi="宋体" w:eastAsia="宋体" w:cs="宋体"/>
          <w:sz w:val="24"/>
          <w:szCs w:val="24"/>
          <w:highlight w:val="none"/>
          <w:u w:val="single"/>
        </w:rPr>
        <w:t xml:space="preserve">（厂名）</w:t>
      </w:r>
      <w:r>
        <w:rPr>
          <w:rFonts w:hint="eastAsia" w:ascii="宋体" w:hAnsi="宋体" w:eastAsia="宋体" w:cs="宋体"/>
          <w:sz w:val="24"/>
          <w:szCs w:val="24"/>
          <w:highlight w:val="none"/>
        </w:rPr>
        <w:t xml:space="preserve">，厂址为</w:t>
      </w:r>
      <w:r>
        <w:rPr>
          <w:rFonts w:hint="eastAsia" w:ascii="宋体" w:hAnsi="宋体" w:eastAsia="宋体" w:cs="宋体"/>
          <w:sz w:val="24"/>
          <w:szCs w:val="24"/>
          <w:highlight w:val="none"/>
          <w:u w:val="single"/>
        </w:rPr>
        <w:t xml:space="preserve">（生产厂址）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（产品名称2）</w:t>
      </w:r>
      <w:r>
        <w:rPr>
          <w:rFonts w:hint="eastAsia" w:ascii="宋体" w:hAnsi="宋体" w:eastAsia="宋体" w:cs="宋体"/>
          <w:sz w:val="24"/>
          <w:szCs w:val="24"/>
          <w:highlight w:val="none"/>
        </w:rPr>
        <w:t xml:space="preserve">的中国境内生产的组件成本占比≥</w:t>
      </w:r>
      <w:r>
        <w:rPr>
          <w:rFonts w:hint="eastAsia" w:ascii="宋体" w:hAnsi="宋体" w:eastAsia="宋体" w:cs="宋体"/>
          <w:sz w:val="24"/>
          <w:szCs w:val="24"/>
          <w:highlight w:val="none"/>
          <w:u w:val="single"/>
        </w:rPr>
        <w:t xml:space="preserve">（规定比例）</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（产品名称2）</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（关键组件）</w:t>
      </w:r>
      <w:r>
        <w:rPr>
          <w:rFonts w:hint="eastAsia" w:ascii="宋体" w:hAnsi="宋体" w:eastAsia="宋体" w:cs="宋体"/>
          <w:sz w:val="24"/>
          <w:szCs w:val="24"/>
          <w:highlight w:val="none"/>
        </w:rPr>
        <w:t xml:space="preserve">在中国境内生产。</w:t>
      </w:r>
      <w:r>
        <w:rPr>
          <w:rFonts w:hint="eastAsia" w:ascii="宋体" w:hAnsi="宋体" w:eastAsia="宋体" w:cs="宋体"/>
          <w:sz w:val="24"/>
          <w:szCs w:val="24"/>
          <w:highlight w:val="none"/>
          <w:u w:val="single"/>
        </w:rPr>
        <w:t xml:space="preserve">（产品名称2）</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（关键工序）</w:t>
      </w:r>
      <w:r>
        <w:rPr>
          <w:rFonts w:hint="eastAsia" w:ascii="宋体" w:hAnsi="宋体" w:eastAsia="宋体" w:cs="宋体"/>
          <w:sz w:val="24"/>
          <w:szCs w:val="24"/>
          <w:highlight w:val="none"/>
        </w:rPr>
        <w:t xml:space="preserve">在中国境内完成。</w:t>
      </w:r>
      <w:r>
        <w:rPr>
          <w:rFonts w:hint="eastAsia" w:ascii="宋体" w:hAnsi="宋体" w:eastAsia="宋体" w:cs="宋体"/>
          <w:sz w:val="24"/>
          <w:szCs w:val="24"/>
          <w:highlight w:val="none"/>
        </w:rPr>
      </w:r>
      <w:r/>
    </w:p>
    <w:p>
      <w:pPr>
        <w:pStyle w:val="1033"/>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33"/>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3"/>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本公司（单位）对上述声明内容的真实性负责。如有虚假，愿承担相应法律责任。</w:t>
      </w:r>
      <w:r>
        <w:rPr>
          <w:rFonts w:hint="eastAsia" w:ascii="宋体" w:hAnsi="宋体" w:eastAsia="宋体" w:cs="宋体"/>
          <w:sz w:val="24"/>
          <w:szCs w:val="24"/>
          <w:highlight w:val="none"/>
        </w:rPr>
      </w:r>
      <w:r/>
    </w:p>
    <w:p>
      <w:pPr>
        <w:pStyle w:val="103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3"/>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公司（单位）名称（盖章/加盖CA电子公章）：   </w:t>
      </w:r>
      <w:r>
        <w:rPr>
          <w:rFonts w:hint="eastAsia" w:ascii="宋体" w:hAnsi="宋体" w:eastAsia="宋体" w:cs="宋体"/>
          <w:sz w:val="24"/>
          <w:szCs w:val="24"/>
          <w:highlight w:val="none"/>
        </w:rPr>
      </w:r>
      <w:r/>
    </w:p>
    <w:p>
      <w:pPr>
        <w:pStyle w:val="1033"/>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33"/>
        <w:jc w:val="left"/>
        <w:spacing w:before="0" w:after="0" w:line="24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说明：</w:t>
      </w:r>
      <w:r>
        <w:rPr>
          <w:rFonts w:ascii="宋体" w:hAnsi="宋体" w:eastAsia="宋体" w:cs="宋体"/>
          <w:sz w:val="24"/>
          <w:szCs w:val="24"/>
          <w:highlight w:val="none"/>
        </w:rPr>
      </w:r>
      <w:r/>
    </w:p>
    <w:p>
      <w:pPr>
        <w:pStyle w:val="1033"/>
        <w:ind w:firstLine="482"/>
        <w:spacing w:before="0" w:after="0" w:line="240" w:lineRule="auto"/>
        <w:rPr>
          <w:rFonts w:hint="eastAsia" w:ascii="宋体" w:hAnsi="宋体" w:eastAsia="仿宋" w:cs="宋体"/>
          <w:sz w:val="24"/>
          <w:szCs w:val="24"/>
          <w:highlight w:val="none"/>
        </w:rPr>
      </w:pPr>
      <w:r>
        <w:rPr>
          <w:rStyle w:val="1120"/>
          <w:rFonts w:hint="eastAsia" w:ascii="仿宋" w:hAnsi="仿宋" w:eastAsia="仿宋" w:cs="仿宋"/>
          <w:i w:val="0"/>
          <w:iCs w:val="0"/>
          <w:spacing w:val="0"/>
          <w:sz w:val="24"/>
          <w:szCs w:val="24"/>
          <w:highlight w:val="none"/>
          <w:shd w:val="clear" w:color="auto" w:fill="ffffff"/>
        </w:rPr>
        <w:t xml:space="preserve">“（产品名称）</w:t>
      </w:r>
      <w:r>
        <w:rPr>
          <w:rStyle w:val="1120"/>
          <w:rFonts w:hint="eastAsia" w:ascii="仿宋" w:hAnsi="仿宋" w:eastAsia="仿宋" w:cs="仿宋"/>
          <w:i w:val="0"/>
          <w:iCs w:val="0"/>
          <w:spacing w:val="0"/>
          <w:sz w:val="24"/>
          <w:szCs w:val="24"/>
          <w:highlight w:val="none"/>
          <w:shd w:val="clear" w:color="auto" w:fill="ffffff"/>
          <w:vertAlign w:val="superscript"/>
        </w:rPr>
        <w:t xml:space="preserve">1</w:t>
      </w:r>
      <w:r>
        <w:rPr>
          <w:rFonts w:hint="eastAsia" w:ascii="仿宋" w:hAnsi="仿宋" w:eastAsia="仿宋" w:cs="仿宋"/>
          <w:sz w:val="24"/>
          <w:szCs w:val="24"/>
          <w:highlight w:val="none"/>
          <w:shd w:val="clear" w:color="auto" w:fill="ffffff"/>
        </w:rPr>
        <w:t xml:space="preserve">，生产厂为</w:t>
      </w:r>
      <w:r>
        <w:rPr>
          <w:rStyle w:val="1120"/>
          <w:rFonts w:hint="eastAsia" w:ascii="仿宋" w:hAnsi="仿宋" w:eastAsia="仿宋" w:cs="仿宋"/>
          <w:i w:val="0"/>
          <w:iCs w:val="0"/>
          <w:spacing w:val="0"/>
          <w:sz w:val="24"/>
          <w:szCs w:val="24"/>
          <w:highlight w:val="none"/>
          <w:shd w:val="clear" w:color="auto" w:fill="ffffff"/>
        </w:rPr>
        <w:t xml:space="preserve">（厂名）</w:t>
      </w:r>
      <w:r>
        <w:rPr>
          <w:rStyle w:val="1120"/>
          <w:rFonts w:hint="eastAsia" w:ascii="仿宋" w:hAnsi="仿宋" w:eastAsia="仿宋" w:cs="仿宋"/>
          <w:i w:val="0"/>
          <w:iCs w:val="0"/>
          <w:spacing w:val="0"/>
          <w:sz w:val="24"/>
          <w:szCs w:val="24"/>
          <w:highlight w:val="none"/>
          <w:shd w:val="clear" w:color="auto" w:fill="ffffff"/>
          <w:vertAlign w:val="superscript"/>
        </w:rPr>
        <w:t xml:space="preserve">2</w:t>
      </w:r>
      <w:r>
        <w:rPr>
          <w:rFonts w:hint="eastAsia" w:ascii="仿宋" w:hAnsi="仿宋" w:eastAsia="仿宋" w:cs="仿宋"/>
          <w:sz w:val="24"/>
          <w:szCs w:val="24"/>
          <w:highlight w:val="none"/>
          <w:shd w:val="clear" w:color="auto" w:fill="ffffff"/>
        </w:rPr>
        <w:t xml:space="preserve">，厂址为</w:t>
      </w:r>
      <w:r>
        <w:rPr>
          <w:rStyle w:val="1120"/>
          <w:rFonts w:hint="eastAsia" w:ascii="仿宋" w:hAnsi="仿宋" w:eastAsia="仿宋" w:cs="仿宋"/>
          <w:i w:val="0"/>
          <w:iCs w:val="0"/>
          <w:spacing w:val="0"/>
          <w:sz w:val="24"/>
          <w:szCs w:val="24"/>
          <w:highlight w:val="none"/>
          <w:shd w:val="clear" w:color="auto" w:fill="ffffff"/>
        </w:rPr>
        <w:t xml:space="preserve">（生产厂址）</w:t>
      </w:r>
      <w:r>
        <w:rPr>
          <w:rFonts w:hint="eastAsia" w:ascii="仿宋" w:hAnsi="仿宋" w:eastAsia="仿宋" w:cs="仿宋"/>
          <w:sz w:val="24"/>
          <w:szCs w:val="24"/>
          <w:highlight w:val="none"/>
          <w:shd w:val="clear" w:color="auto" w:fill="ffffff"/>
        </w:rPr>
        <w:t xml:space="preserve">。</w:t>
      </w:r>
      <w:r>
        <w:rPr>
          <w:rStyle w:val="1120"/>
          <w:rFonts w:hint="eastAsia" w:ascii="仿宋" w:hAnsi="仿宋" w:eastAsia="仿宋" w:cs="仿宋"/>
          <w:i w:val="0"/>
          <w:iCs w:val="0"/>
          <w:spacing w:val="0"/>
          <w:sz w:val="24"/>
          <w:szCs w:val="24"/>
          <w:highlight w:val="none"/>
          <w:shd w:val="clear" w:color="auto" w:fill="ffffff"/>
        </w:rPr>
        <w:t xml:space="preserve">（产品名称）</w:t>
      </w:r>
      <w:r>
        <w:rPr>
          <w:rFonts w:hint="eastAsia" w:ascii="仿宋" w:hAnsi="仿宋" w:eastAsia="仿宋" w:cs="仿宋"/>
          <w:sz w:val="24"/>
          <w:szCs w:val="24"/>
          <w:highlight w:val="none"/>
          <w:shd w:val="clear" w:color="auto" w:fill="ffffff"/>
        </w:rPr>
        <w:t xml:space="preserve">的中国境内生产的组件成本占比≥</w:t>
      </w:r>
      <w:r>
        <w:rPr>
          <w:rStyle w:val="1120"/>
          <w:rFonts w:hint="eastAsia" w:ascii="仿宋" w:hAnsi="仿宋" w:eastAsia="仿宋" w:cs="仿宋"/>
          <w:i w:val="0"/>
          <w:iCs w:val="0"/>
          <w:spacing w:val="0"/>
          <w:sz w:val="24"/>
          <w:szCs w:val="24"/>
          <w:highlight w:val="none"/>
          <w:shd w:val="clear" w:color="auto" w:fill="ffffff"/>
        </w:rPr>
        <w:t xml:space="preserve">（规定比例）</w:t>
      </w:r>
      <w:r>
        <w:rPr>
          <w:rStyle w:val="1120"/>
          <w:rFonts w:hint="eastAsia" w:ascii="仿宋" w:hAnsi="仿宋" w:eastAsia="仿宋" w:cs="仿宋"/>
          <w:i w:val="0"/>
          <w:iCs w:val="0"/>
          <w:spacing w:val="0"/>
          <w:sz w:val="24"/>
          <w:szCs w:val="24"/>
          <w:highlight w:val="none"/>
          <w:shd w:val="clear" w:color="auto" w:fill="ffffff"/>
          <w:vertAlign w:val="superscript"/>
        </w:rPr>
        <w:t xml:space="preserve">3</w:t>
      </w:r>
      <w:r>
        <w:rPr>
          <w:rFonts w:hint="eastAsia" w:ascii="仿宋" w:hAnsi="仿宋" w:eastAsia="仿宋" w:cs="仿宋"/>
          <w:sz w:val="24"/>
          <w:szCs w:val="24"/>
          <w:highlight w:val="none"/>
          <w:shd w:val="clear" w:color="auto" w:fill="ffffff"/>
        </w:rPr>
        <w:t xml:space="preserve">。</w:t>
      </w:r>
      <w:r>
        <w:rPr>
          <w:rStyle w:val="1120"/>
          <w:rFonts w:hint="eastAsia" w:ascii="仿宋" w:hAnsi="仿宋" w:eastAsia="仿宋" w:cs="仿宋"/>
          <w:i w:val="0"/>
          <w:iCs w:val="0"/>
          <w:spacing w:val="0"/>
          <w:sz w:val="24"/>
          <w:szCs w:val="24"/>
          <w:highlight w:val="none"/>
          <w:shd w:val="clear" w:color="auto" w:fill="ffffff"/>
        </w:rPr>
        <w:t xml:space="preserve">（产品名称）</w:t>
      </w:r>
      <w:r>
        <w:rPr>
          <w:rFonts w:hint="eastAsia" w:ascii="仿宋" w:hAnsi="仿宋" w:eastAsia="仿宋" w:cs="仿宋"/>
          <w:sz w:val="24"/>
          <w:szCs w:val="24"/>
          <w:highlight w:val="none"/>
          <w:shd w:val="clear" w:color="auto" w:fill="ffffff"/>
        </w:rPr>
        <w:t xml:space="preserve">的</w:t>
      </w:r>
      <w:r>
        <w:rPr>
          <w:rStyle w:val="1120"/>
          <w:rFonts w:hint="eastAsia" w:ascii="仿宋" w:hAnsi="仿宋" w:eastAsia="仿宋" w:cs="仿宋"/>
          <w:i w:val="0"/>
          <w:iCs w:val="0"/>
          <w:spacing w:val="0"/>
          <w:sz w:val="24"/>
          <w:szCs w:val="24"/>
          <w:highlight w:val="none"/>
          <w:shd w:val="clear" w:color="auto" w:fill="ffffff"/>
        </w:rPr>
        <w:t xml:space="preserve">（关键组件）</w:t>
      </w:r>
      <w:r>
        <w:rPr>
          <w:rStyle w:val="1120"/>
          <w:rFonts w:hint="eastAsia" w:ascii="仿宋" w:hAnsi="仿宋" w:eastAsia="仿宋" w:cs="仿宋"/>
          <w:i w:val="0"/>
          <w:iCs w:val="0"/>
          <w:spacing w:val="0"/>
          <w:sz w:val="24"/>
          <w:szCs w:val="24"/>
          <w:highlight w:val="none"/>
          <w:shd w:val="clear" w:color="auto" w:fill="ffffff"/>
          <w:vertAlign w:val="superscript"/>
        </w:rPr>
        <w:t xml:space="preserve">4</w:t>
      </w:r>
      <w:r>
        <w:rPr>
          <w:rFonts w:hint="eastAsia" w:ascii="仿宋" w:hAnsi="仿宋" w:eastAsia="仿宋" w:cs="仿宋"/>
          <w:sz w:val="24"/>
          <w:szCs w:val="24"/>
          <w:highlight w:val="none"/>
          <w:shd w:val="clear" w:color="auto" w:fill="ffffff"/>
        </w:rPr>
        <w:t xml:space="preserve">在中国境内生产。</w:t>
      </w:r>
      <w:r>
        <w:rPr>
          <w:rStyle w:val="1120"/>
          <w:rFonts w:hint="eastAsia" w:ascii="仿宋" w:hAnsi="仿宋" w:eastAsia="仿宋" w:cs="仿宋"/>
          <w:i w:val="0"/>
          <w:iCs w:val="0"/>
          <w:spacing w:val="0"/>
          <w:sz w:val="24"/>
          <w:szCs w:val="24"/>
          <w:highlight w:val="none"/>
          <w:shd w:val="clear" w:color="auto" w:fill="ffffff"/>
        </w:rPr>
        <w:t xml:space="preserve">（产品名称）</w:t>
      </w:r>
      <w:r>
        <w:rPr>
          <w:rFonts w:hint="eastAsia" w:ascii="仿宋" w:hAnsi="仿宋" w:eastAsia="仿宋" w:cs="仿宋"/>
          <w:sz w:val="24"/>
          <w:szCs w:val="24"/>
          <w:highlight w:val="none"/>
          <w:shd w:val="clear" w:color="auto" w:fill="ffffff"/>
        </w:rPr>
        <w:t xml:space="preserve">的</w:t>
      </w:r>
      <w:r>
        <w:rPr>
          <w:rStyle w:val="1120"/>
          <w:rFonts w:hint="eastAsia" w:ascii="仿宋" w:hAnsi="仿宋" w:eastAsia="仿宋" w:cs="仿宋"/>
          <w:i w:val="0"/>
          <w:iCs w:val="0"/>
          <w:spacing w:val="0"/>
          <w:sz w:val="24"/>
          <w:szCs w:val="24"/>
          <w:highlight w:val="none"/>
          <w:shd w:val="clear" w:color="auto" w:fill="ffffff"/>
        </w:rPr>
        <w:t xml:space="preserve">（关键工序）</w:t>
      </w:r>
      <w:r>
        <w:rPr>
          <w:rStyle w:val="1120"/>
          <w:rFonts w:hint="eastAsia" w:ascii="仿宋" w:hAnsi="仿宋" w:eastAsia="仿宋" w:cs="仿宋"/>
          <w:i w:val="0"/>
          <w:iCs w:val="0"/>
          <w:spacing w:val="0"/>
          <w:sz w:val="24"/>
          <w:szCs w:val="24"/>
          <w:highlight w:val="none"/>
          <w:shd w:val="clear" w:color="auto" w:fill="ffffff"/>
          <w:vertAlign w:val="superscript"/>
        </w:rPr>
        <w:t xml:space="preserve">5</w:t>
      </w:r>
      <w:r>
        <w:rPr>
          <w:rFonts w:hint="eastAsia" w:ascii="仿宋" w:hAnsi="仿宋" w:eastAsia="仿宋" w:cs="仿宋"/>
          <w:sz w:val="24"/>
          <w:szCs w:val="24"/>
          <w:highlight w:val="none"/>
          <w:shd w:val="clear" w:color="auto" w:fill="ffffff"/>
        </w:rPr>
        <w:t xml:space="preserve">在中国境内完成。”</w:t>
      </w:r>
      <w:r>
        <w:rPr>
          <w:rFonts w:hint="eastAsia" w:ascii="宋体" w:hAnsi="宋体" w:eastAsia="仿宋" w:cs="宋体"/>
          <w:sz w:val="24"/>
          <w:szCs w:val="24"/>
          <w:highlight w:val="none"/>
        </w:rPr>
      </w:r>
      <w:r/>
    </w:p>
    <w:p>
      <w:pPr>
        <w:pStyle w:val="1033"/>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3"/>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1.产品如有型号，请在“产品名称”栏一并填写。</w:t>
      </w:r>
      <w:r>
        <w:rPr>
          <w:rFonts w:hint="eastAsia" w:ascii="宋体" w:hAnsi="宋体" w:eastAsia="宋体" w:cs="宋体"/>
          <w:sz w:val="24"/>
          <w:szCs w:val="24"/>
          <w:highlight w:val="none"/>
        </w:rPr>
      </w:r>
      <w:r/>
    </w:p>
    <w:p>
      <w:pPr>
        <w:pStyle w:val="1033"/>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2.生产厂名与厂址应与生产厂营业执照载明的相关信息保持一致。</w:t>
      </w:r>
      <w:r>
        <w:rPr>
          <w:rFonts w:hint="eastAsia" w:ascii="宋体" w:hAnsi="宋体" w:eastAsia="宋体" w:cs="宋体"/>
          <w:sz w:val="24"/>
          <w:szCs w:val="24"/>
          <w:highlight w:val="none"/>
        </w:rPr>
      </w:r>
      <w:r/>
    </w:p>
    <w:p>
      <w:pPr>
        <w:pStyle w:val="1033"/>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3.该产品的中国境内生产的组件成本占比相关要求实施前，“规定比例”栏可不填，下同。</w:t>
      </w:r>
      <w:r>
        <w:rPr>
          <w:rFonts w:hint="eastAsia" w:ascii="宋体" w:hAnsi="宋体" w:eastAsia="宋体" w:cs="宋体"/>
          <w:sz w:val="24"/>
          <w:szCs w:val="24"/>
          <w:highlight w:val="none"/>
        </w:rPr>
      </w:r>
      <w:r/>
    </w:p>
    <w:p>
      <w:pPr>
        <w:pStyle w:val="1033"/>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4.该产品的关键组件要求实施前，“关键组件”栏可不填，下同。</w:t>
      </w:r>
      <w:r>
        <w:rPr>
          <w:rFonts w:hint="eastAsia" w:ascii="宋体" w:hAnsi="宋体" w:eastAsia="宋体" w:cs="宋体"/>
          <w:sz w:val="24"/>
          <w:szCs w:val="24"/>
          <w:highlight w:val="none"/>
        </w:rPr>
      </w:r>
      <w:r/>
    </w:p>
    <w:p>
      <w:pPr>
        <w:pStyle w:val="1033"/>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5.该产品的关键工序要求实施前，“关键工序”栏可不填，下同。</w:t>
      </w:r>
      <w:r>
        <w:rPr>
          <w:rFonts w:hint="eastAsia" w:ascii="宋体" w:hAnsi="宋体" w:eastAsia="宋体" w:cs="宋体"/>
          <w:sz w:val="24"/>
          <w:szCs w:val="24"/>
          <w:highlight w:val="none"/>
        </w:rPr>
      </w:r>
      <w:r/>
    </w:p>
    <w:p>
      <w:pPr>
        <w:pStyle w:val="1033"/>
        <w:ind w:firstLine="420"/>
        <w:jc w:val="left"/>
        <w:spacing w:before="0" w:after="0" w:line="240" w:lineRule="auto"/>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highlight w:val="none"/>
        </w:rPr>
        <w:t xml:space="preserve">6.采购人或采购代理机构有权将以上内容进行公示。</w:t>
      </w:r>
      <w:r>
        <w:rPr>
          <w:rFonts w:hint="eastAsia" w:ascii="宋体" w:hAnsi="宋体" w:eastAsia="宋体" w:cs="宋体"/>
          <w:sz w:val="24"/>
          <w:szCs w:val="24"/>
          <w:highlight w:val="none"/>
        </w:rPr>
      </w:r>
      <w:r/>
    </w:p>
    <w:p>
      <w:pPr>
        <w:pStyle w:val="1033"/>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《关于符合本国产品标准的声明函》附件</w:t>
      </w:r>
      <w:r>
        <w:rPr>
          <w:rFonts w:hint="eastAsia" w:ascii="宋体" w:hAnsi="宋体" w:eastAsia="宋体" w:cs="宋体"/>
          <w:b/>
          <w:sz w:val="28"/>
          <w:szCs w:val="28"/>
          <w:highlight w:val="none"/>
        </w:rPr>
      </w:r>
      <w:r/>
    </w:p>
    <w:p>
      <w:pPr>
        <w:pStyle w:val="1033"/>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成本比例声明函</w:t>
      </w:r>
      <w:r>
        <w:rPr>
          <w:rFonts w:hint="eastAsia" w:ascii="宋体" w:hAnsi="宋体" w:eastAsia="宋体" w:cs="宋体"/>
          <w:b/>
          <w:sz w:val="28"/>
          <w:szCs w:val="28"/>
          <w:highlight w:val="none"/>
        </w:rPr>
      </w:r>
      <w:r/>
    </w:p>
    <w:p>
      <w:pPr>
        <w:pStyle w:val="1033"/>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适用于采购项目或者采购包中含有多种产品时，不提供或者提供声明的比例达不到要求时，不享受价格扣除）</w:t>
      </w:r>
      <w:r>
        <w:rPr>
          <w:rFonts w:hint="eastAsia" w:ascii="宋体" w:hAnsi="宋体" w:eastAsia="宋体" w:cs="宋体"/>
          <w:sz w:val="24"/>
          <w:szCs w:val="24"/>
          <w:highlight w:val="none"/>
        </w:rPr>
      </w:r>
      <w:r/>
    </w:p>
    <w:p>
      <w:pPr>
        <w:pStyle w:val="1033"/>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3"/>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单位）郑重声明，根据《国务院办公厅关于在政府采购中实施本国产品标准及相关政策的通知》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国办发</w:t>
      </w:r>
      <w:r>
        <w:rPr>
          <w:rFonts w:hint="eastAsia" w:ascii="宋体" w:hAnsi="宋体" w:eastAsia="宋体" w:cs="宋体"/>
          <w:sz w:val="24"/>
          <w:szCs w:val="24"/>
          <w:highlight w:val="none"/>
          <w:lang w:eastAsia="zh-CN"/>
        </w:rPr>
        <w:t xml:space="preserve">〔2025〕34号</w:t>
      </w:r>
      <w:r>
        <w:rPr>
          <w:rFonts w:hint="eastAsia" w:ascii="宋体" w:hAnsi="宋体" w:eastAsia="宋体" w:cs="宋体"/>
          <w:sz w:val="24"/>
          <w:szCs w:val="24"/>
          <w:highlight w:val="none"/>
        </w:rPr>
        <w:t xml:space="preserve">）的规定，本公司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单位）提供的全部产品中，符合本国产品标准的产品成本之和占本公司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单位）提供的全部产品成本之和的比例达到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填写具体百分比）。</w:t>
      </w:r>
      <w:r>
        <w:rPr>
          <w:rFonts w:hint="eastAsia" w:ascii="宋体" w:hAnsi="宋体" w:eastAsia="宋体" w:cs="宋体"/>
          <w:sz w:val="24"/>
          <w:szCs w:val="24"/>
          <w:highlight w:val="none"/>
        </w:rPr>
      </w:r>
      <w:r/>
    </w:p>
    <w:p>
      <w:pPr>
        <w:pStyle w:val="1033"/>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单位）对上述声明内容的真实性负责。如有虚假，愿承担相应法律责任。</w:t>
      </w:r>
      <w:r>
        <w:rPr>
          <w:rFonts w:hint="eastAsia" w:ascii="宋体" w:hAnsi="宋体" w:eastAsia="宋体" w:cs="宋体"/>
          <w:sz w:val="24"/>
          <w:szCs w:val="24"/>
          <w:highlight w:val="none"/>
        </w:rPr>
      </w:r>
      <w:r/>
    </w:p>
    <w:p>
      <w:pPr>
        <w:pStyle w:val="1033"/>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3"/>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单位）名称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盖章/加盖CA电子公章）</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1033"/>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年  月  日</w:t>
      </w:r>
      <w:r>
        <w:rPr>
          <w:rFonts w:hint="eastAsia" w:ascii="宋体" w:hAnsi="宋体" w:eastAsia="宋体" w:cs="宋体"/>
          <w:sz w:val="24"/>
          <w:szCs w:val="24"/>
          <w:highlight w:val="none"/>
        </w:rPr>
      </w:r>
      <w:r/>
    </w:p>
    <w:p>
      <w:pPr>
        <w:pStyle w:val="1033"/>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3"/>
        <w:ind w:firstLine="480"/>
        <w:jc w:val="left"/>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根据《国务院办公厅关于在政府采购中实施本国产品标准及相关政策的通知》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sz w:val="24"/>
          <w:szCs w:val="24"/>
          <w:highlight w:val="none"/>
        </w:rPr>
      </w:r>
      <w:r/>
    </w:p>
    <w:p>
      <w:pPr>
        <w:pStyle w:val="1033"/>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4.资格审查</w:t>
      </w:r>
      <w:r>
        <w:rPr>
          <w:rFonts w:hint="eastAsia" w:ascii="宋体" w:hAnsi="宋体" w:eastAsia="宋体" w:cs="宋体"/>
          <w:sz w:val="32"/>
          <w:szCs w:val="32"/>
          <w:highlight w:val="none"/>
        </w:rPr>
      </w:r>
      <w:r/>
    </w:p>
    <w:p>
      <w:pPr>
        <w:pStyle w:val="1033"/>
        <w:ind w:firstLine="480"/>
        <w:jc w:val="left"/>
        <w:spacing w:before="0" w:after="0" w:line="44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供应商根据第一章招标公告中第二项投标人资质要求，逐一提供相应资质文件，并加盖公章；根据文件内容提供</w:t>
      </w:r>
      <w:r>
        <w:rPr>
          <w:rFonts w:hint="eastAsia" w:ascii="宋体" w:hAnsi="宋体" w:eastAsia="宋体" w:cs="宋体"/>
          <w:sz w:val="24"/>
          <w:szCs w:val="24"/>
          <w:highlight w:val="none"/>
        </w:rPr>
        <w:t xml:space="preserve">相关承诺，格式自拟，并</w:t>
      </w:r>
      <w:r>
        <w:rPr>
          <w:rFonts w:hint="eastAsia" w:ascii="宋体" w:hAnsi="宋体" w:eastAsia="宋体" w:cs="宋体"/>
          <w:bCs/>
          <w:sz w:val="24"/>
          <w:szCs w:val="24"/>
          <w:highlight w:val="none"/>
        </w:rPr>
        <w:t xml:space="preserve">加盖公章</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33"/>
        <w:jc w:val="center"/>
        <w:spacing w:before="0" w:after="0"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（1）资格审查承诺函（格式）</w:t>
      </w:r>
      <w:r>
        <w:rPr>
          <w:rFonts w:hint="eastAsia" w:ascii="宋体" w:hAnsi="宋体" w:eastAsia="宋体" w:cs="宋体"/>
          <w:b/>
          <w:sz w:val="24"/>
          <w:szCs w:val="24"/>
          <w:highlight w:val="none"/>
        </w:rPr>
      </w:r>
      <w:r/>
    </w:p>
    <w:p>
      <w:pPr>
        <w:pStyle w:val="1033"/>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致：江苏省特种设备安全监督检验研究院、江苏海外集团国际工程咨询有限公司</w:t>
      </w:r>
      <w:r>
        <w:rPr>
          <w:rFonts w:hint="eastAsia" w:ascii="宋体" w:hAnsi="宋体" w:eastAsia="宋体" w:cs="宋体"/>
          <w:sz w:val="24"/>
          <w:szCs w:val="24"/>
          <w:highlight w:val="none"/>
        </w:rPr>
      </w:r>
      <w:r/>
    </w:p>
    <w:p>
      <w:pPr>
        <w:pStyle w:val="1033"/>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为确保</w:t>
      </w:r>
      <w:r>
        <w:rPr>
          <w:rFonts w:hint="eastAsia" w:ascii="宋体" w:hAnsi="宋体" w:eastAsia="宋体" w:cs="宋体"/>
          <w:sz w:val="24"/>
          <w:szCs w:val="24"/>
          <w:highlight w:val="none"/>
          <w:u w:val="single"/>
        </w:rPr>
        <w:t xml:space="preserve">（项目名称）（项目编号）</w:t>
      </w:r>
      <w:r>
        <w:rPr>
          <w:rFonts w:hint="eastAsia" w:ascii="宋体" w:hAnsi="宋体" w:eastAsia="宋体" w:cs="宋体"/>
          <w:sz w:val="24"/>
          <w:szCs w:val="24"/>
          <w:highlight w:val="none"/>
        </w:rPr>
        <w:t xml:space="preserve">招标工作顺利进行，我公司在此承诺：</w:t>
      </w:r>
      <w:r>
        <w:rPr>
          <w:rFonts w:hint="eastAsia" w:ascii="宋体" w:hAnsi="宋体" w:eastAsia="宋体" w:cs="宋体"/>
          <w:sz w:val="24"/>
          <w:szCs w:val="24"/>
          <w:highlight w:val="none"/>
        </w:rPr>
      </w:r>
      <w:r/>
    </w:p>
    <w:p>
      <w:pPr>
        <w:pStyle w:val="1033"/>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1.我公司未处于被责令停业、投标资格被取消或者财产被接管，冻结和破产状态。</w:t>
      </w:r>
      <w:r>
        <w:rPr>
          <w:rFonts w:hint="eastAsia" w:ascii="宋体" w:hAnsi="宋体" w:eastAsia="宋体" w:cs="宋体"/>
          <w:sz w:val="24"/>
          <w:szCs w:val="24"/>
          <w:highlight w:val="none"/>
        </w:rPr>
      </w:r>
      <w:r/>
    </w:p>
    <w:p>
      <w:pPr>
        <w:pStyle w:val="1033"/>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2.我公司的资格审查资料中的重要内容没有失实或弄虚作假。</w:t>
      </w:r>
      <w:r>
        <w:rPr>
          <w:rFonts w:hint="eastAsia" w:ascii="宋体" w:hAnsi="宋体" w:eastAsia="宋体" w:cs="宋体"/>
          <w:sz w:val="24"/>
          <w:szCs w:val="24"/>
          <w:highlight w:val="none"/>
        </w:rPr>
      </w:r>
      <w:r/>
    </w:p>
    <w:p>
      <w:pPr>
        <w:pStyle w:val="1033"/>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3.我公司符合法律、法规规定的其他条件。</w:t>
      </w:r>
      <w:r>
        <w:rPr>
          <w:rFonts w:hint="eastAsia" w:ascii="宋体" w:hAnsi="宋体" w:eastAsia="宋体" w:cs="宋体"/>
          <w:sz w:val="24"/>
          <w:szCs w:val="24"/>
          <w:highlight w:val="none"/>
        </w:rPr>
      </w:r>
      <w:r/>
    </w:p>
    <w:p>
      <w:pPr>
        <w:pStyle w:val="1033"/>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4.我公司无下列行为：</w:t>
      </w:r>
      <w:r>
        <w:rPr>
          <w:rFonts w:hint="eastAsia" w:ascii="宋体" w:hAnsi="宋体" w:eastAsia="宋体" w:cs="宋体"/>
          <w:sz w:val="24"/>
          <w:szCs w:val="24"/>
          <w:highlight w:val="none"/>
        </w:rPr>
      </w:r>
      <w:r/>
    </w:p>
    <w:p>
      <w:pPr>
        <w:pStyle w:val="1033"/>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（1）有违反法律、法规行为，依法被取消投标资格且期限未满的；</w:t>
      </w:r>
      <w:r>
        <w:rPr>
          <w:rFonts w:hint="eastAsia" w:ascii="宋体" w:hAnsi="宋体" w:eastAsia="宋体" w:cs="宋体"/>
          <w:sz w:val="24"/>
          <w:szCs w:val="24"/>
          <w:highlight w:val="none"/>
        </w:rPr>
      </w:r>
      <w:r/>
    </w:p>
    <w:p>
      <w:pPr>
        <w:pStyle w:val="1033"/>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（2）因招标活动中有违法违规和不良行为，被有关行政监督部门公示且公示期限未满的。</w:t>
      </w:r>
      <w:r>
        <w:rPr>
          <w:rFonts w:hint="eastAsia" w:ascii="宋体" w:hAnsi="宋体" w:eastAsia="宋体" w:cs="宋体"/>
          <w:sz w:val="24"/>
          <w:szCs w:val="24"/>
          <w:highlight w:val="none"/>
        </w:rPr>
      </w:r>
      <w:r/>
    </w:p>
    <w:p>
      <w:pPr>
        <w:pStyle w:val="1033"/>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5.在参加本次政府采购活动中不存在与参加本项目的其他供应商单位负责人为同一人或者存在直接控股、管理关系的情形。</w:t>
      </w:r>
      <w:r>
        <w:rPr>
          <w:rFonts w:hint="eastAsia" w:ascii="宋体" w:hAnsi="宋体" w:eastAsia="宋体" w:cs="宋体"/>
          <w:sz w:val="24"/>
          <w:szCs w:val="24"/>
          <w:highlight w:val="none"/>
        </w:rPr>
      </w:r>
      <w:r/>
    </w:p>
    <w:p>
      <w:pPr>
        <w:pStyle w:val="1033"/>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6.我公司中标后，不对本项目转包、分包。</w:t>
      </w:r>
      <w:r>
        <w:rPr>
          <w:rFonts w:hint="eastAsia" w:ascii="宋体" w:hAnsi="宋体" w:eastAsia="宋体" w:cs="宋体"/>
          <w:sz w:val="24"/>
          <w:szCs w:val="24"/>
          <w:highlight w:val="none"/>
        </w:rPr>
      </w:r>
      <w:r/>
    </w:p>
    <w:p>
      <w:pPr>
        <w:pStyle w:val="1033"/>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7.我公司未为采购项目提供整体设计、规范编制或者项目管理、监理、检测等服务。</w:t>
      </w:r>
      <w:r>
        <w:rPr>
          <w:rFonts w:hint="eastAsia" w:ascii="宋体" w:hAnsi="宋体" w:eastAsia="宋体" w:cs="宋体"/>
          <w:sz w:val="24"/>
          <w:szCs w:val="24"/>
          <w:highlight w:val="none"/>
        </w:rPr>
      </w:r>
      <w:r/>
    </w:p>
    <w:p>
      <w:pPr>
        <w:pStyle w:val="1033"/>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8.我公司投标文件中的重要内容没有失实或弄虚作假。</w:t>
      </w:r>
      <w:r>
        <w:rPr>
          <w:rFonts w:hint="eastAsia" w:ascii="宋体" w:hAnsi="宋体" w:eastAsia="宋体" w:cs="宋体"/>
          <w:sz w:val="24"/>
          <w:szCs w:val="24"/>
          <w:highlight w:val="none"/>
        </w:rPr>
      </w:r>
      <w:r/>
    </w:p>
    <w:p>
      <w:pPr>
        <w:pStyle w:val="1033"/>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本公司对上述承诺的真实性负责。如有虚假，将依法承担相应责任。</w:t>
      </w:r>
      <w:r>
        <w:rPr>
          <w:rFonts w:hint="eastAsia" w:ascii="宋体" w:hAnsi="宋体" w:eastAsia="宋体" w:cs="宋体"/>
          <w:sz w:val="24"/>
          <w:szCs w:val="24"/>
          <w:highlight w:val="none"/>
        </w:rPr>
      </w:r>
      <w:r/>
    </w:p>
    <w:p>
      <w:pPr>
        <w:pStyle w:val="1033"/>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特此承诺！</w:t>
      </w:r>
      <w:r>
        <w:rPr>
          <w:rFonts w:hint="eastAsia" w:ascii="宋体" w:hAnsi="宋体" w:eastAsia="宋体" w:cs="宋体"/>
          <w:sz w:val="24"/>
          <w:szCs w:val="24"/>
          <w:highlight w:val="none"/>
        </w:rPr>
      </w:r>
      <w:r/>
    </w:p>
    <w:p>
      <w:pPr>
        <w:pStyle w:val="1033"/>
        <w:ind w:firstLine="48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33"/>
        <w:ind w:firstLine="47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法定代表人或授权代表（签字或签章）：</w:t>
      </w:r>
      <w:r>
        <w:rPr>
          <w:rFonts w:hint="eastAsia" w:ascii="宋体" w:hAnsi="宋体" w:eastAsia="宋体" w:cs="宋体"/>
          <w:sz w:val="24"/>
          <w:szCs w:val="24"/>
          <w:highlight w:val="none"/>
        </w:rPr>
      </w:r>
      <w:r/>
    </w:p>
    <w:p>
      <w:pPr>
        <w:pStyle w:val="1033"/>
        <w:ind w:firstLine="47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33"/>
        <w:jc w:val="center"/>
        <w:widowControl/>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1033"/>
        <w:jc w:val="center"/>
        <w:widowControl/>
        <w:rPr>
          <w:rFonts w:hint="eastAsia" w:ascii="宋体" w:hAnsi="宋体" w:eastAsia="宋体" w:cs="宋体"/>
          <w:b/>
          <w:sz w:val="28"/>
          <w:szCs w:val="28"/>
          <w:highlight w:val="none"/>
        </w:rPr>
      </w:pPr>
      <w:r>
        <w:rPr>
          <w:rFonts w:hint="eastAsia" w:ascii="宋体" w:hAnsi="宋体" w:eastAsia="宋体" w:cs="宋体"/>
          <w:b/>
          <w:sz w:val="24"/>
          <w:szCs w:val="24"/>
          <w:highlight w:val="none"/>
        </w:rPr>
        <w:t xml:space="preserve">（2）无重大违法记录声明函（格式）</w:t>
      </w:r>
      <w:r>
        <w:rPr>
          <w:rFonts w:hint="eastAsia" w:ascii="宋体" w:hAnsi="宋体" w:eastAsia="宋体" w:cs="宋体"/>
          <w:b/>
          <w:sz w:val="28"/>
          <w:szCs w:val="28"/>
          <w:highlight w:val="none"/>
        </w:rPr>
      </w:r>
      <w:r/>
    </w:p>
    <w:p>
      <w:pPr>
        <w:pStyle w:val="1033"/>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致：江苏省特种设备安全监督检验研究院、江苏海外集团国际工程咨询有限公司</w:t>
      </w:r>
      <w:r>
        <w:rPr>
          <w:rFonts w:hint="eastAsia" w:ascii="宋体" w:hAnsi="宋体" w:eastAsia="宋体" w:cs="宋体"/>
          <w:sz w:val="24"/>
          <w:szCs w:val="24"/>
          <w:highlight w:val="none"/>
        </w:rPr>
      </w:r>
      <w:r/>
    </w:p>
    <w:p>
      <w:pPr>
        <w:pStyle w:val="1033"/>
        <w:ind w:firstLine="480"/>
        <w:spacing w:before="0" w:after="0"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我公司郑重声明：参加本次政府采购活动前 3 年内，我公司在经营活动中没有重大违法记录，没有因违法经营受到刑事处罚或者责令停产停业、吊销许可证或者执照、较大数额罚款等行政处罚。</w:t>
      </w:r>
      <w:r>
        <w:rPr>
          <w:rFonts w:hint="eastAsia" w:ascii="宋体" w:hAnsi="宋体" w:eastAsia="宋体" w:cs="宋体"/>
          <w:sz w:val="24"/>
          <w:szCs w:val="24"/>
          <w:highlight w:val="none"/>
        </w:rPr>
      </w:r>
      <w:r/>
    </w:p>
    <w:p>
      <w:pPr>
        <w:pStyle w:val="1033"/>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rPr>
          <w:rFonts w:hint="eastAsia" w:ascii="宋体" w:hAnsi="宋体" w:eastAsia="宋体" w:cs="宋体"/>
          <w:sz w:val="24"/>
          <w:szCs w:val="24"/>
          <w:highlight w:val="none"/>
        </w:rPr>
      </w:r>
      <w:r/>
    </w:p>
    <w:p>
      <w:pPr>
        <w:pStyle w:val="1033"/>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33"/>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1033"/>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3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3"/>
        <w:jc w:val="center"/>
        <w:widowControl/>
        <w:rPr>
          <w:rFonts w:hint="eastAsia" w:ascii="宋体" w:hAnsi="宋体" w:eastAsia="宋体" w:cs="宋体"/>
          <w:b/>
          <w:sz w:val="28"/>
          <w:szCs w:val="28"/>
          <w:highlight w:val="none"/>
        </w:rPr>
      </w:pPr>
      <w:r>
        <w:rPr>
          <w:rFonts w:hint="eastAsia" w:ascii="宋体" w:hAnsi="宋体" w:eastAsia="宋体" w:cs="宋体"/>
          <w:b/>
          <w:sz w:val="24"/>
          <w:szCs w:val="24"/>
          <w:highlight w:val="none"/>
        </w:rPr>
        <w:t xml:space="preserve">（3）具备履行合同所必需的设备和专业技术能力的书面声明（格式）</w:t>
      </w:r>
      <w:r>
        <w:rPr>
          <w:rFonts w:hint="eastAsia" w:ascii="宋体" w:hAnsi="宋体" w:eastAsia="宋体" w:cs="宋体"/>
          <w:b/>
          <w:sz w:val="28"/>
          <w:szCs w:val="28"/>
          <w:highlight w:val="none"/>
        </w:rPr>
      </w:r>
      <w:r/>
    </w:p>
    <w:p>
      <w:pPr>
        <w:pStyle w:val="1033"/>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致：江苏省特种设备安全监督检验研究院、江苏海外集团国际工程咨询有限公司</w:t>
      </w:r>
      <w:r>
        <w:rPr>
          <w:rFonts w:hint="eastAsia" w:ascii="宋体" w:hAnsi="宋体" w:eastAsia="宋体" w:cs="宋体"/>
          <w:sz w:val="24"/>
          <w:szCs w:val="24"/>
          <w:highlight w:val="none"/>
        </w:rPr>
      </w:r>
      <w:r/>
    </w:p>
    <w:p>
      <w:pPr>
        <w:pStyle w:val="1033"/>
        <w:ind w:firstLine="480"/>
        <w:spacing w:before="0" w:after="0"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eastAsia="宋体" w:cs="宋体"/>
          <w:sz w:val="24"/>
          <w:szCs w:val="24"/>
          <w:highlight w:val="none"/>
        </w:rPr>
      </w:r>
      <w:r/>
    </w:p>
    <w:p>
      <w:pPr>
        <w:pStyle w:val="1033"/>
        <w:ind w:firstLine="480"/>
        <w:spacing w:before="0" w:after="0"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主要设备有：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33"/>
        <w:ind w:firstLine="480"/>
        <w:spacing w:before="0" w:after="0"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主要专业技术能力有：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33"/>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rPr>
          <w:rFonts w:hint="eastAsia" w:ascii="宋体" w:hAnsi="宋体" w:eastAsia="宋体" w:cs="宋体"/>
          <w:sz w:val="24"/>
          <w:szCs w:val="24"/>
          <w:highlight w:val="none"/>
        </w:rPr>
      </w:r>
      <w:r/>
    </w:p>
    <w:p>
      <w:pPr>
        <w:pStyle w:val="1033"/>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33"/>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法定代表人或授权代表（签字或签章）：</w:t>
      </w:r>
      <w:r>
        <w:rPr>
          <w:rFonts w:hint="eastAsia" w:ascii="宋体" w:hAnsi="宋体" w:eastAsia="宋体" w:cs="宋体"/>
          <w:sz w:val="24"/>
          <w:szCs w:val="24"/>
          <w:highlight w:val="none"/>
        </w:rPr>
      </w:r>
      <w:r/>
    </w:p>
    <w:p>
      <w:pPr>
        <w:pStyle w:val="1033"/>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33"/>
        <w:jc w:val="center"/>
        <w:widowControl/>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1033"/>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（4）声明函（格式）</w:t>
      </w:r>
      <w:r>
        <w:rPr>
          <w:rFonts w:hint="eastAsia" w:ascii="宋体" w:hAnsi="宋体" w:eastAsia="宋体" w:cs="宋体"/>
          <w:b/>
          <w:sz w:val="24"/>
          <w:szCs w:val="24"/>
          <w:highlight w:val="none"/>
        </w:rPr>
      </w:r>
      <w:r/>
    </w:p>
    <w:p>
      <w:pPr>
        <w:pStyle w:val="1033"/>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致：江苏省特种设备安全监督检验研究院、江苏海外集团国际工程咨询有限公司</w:t>
      </w:r>
      <w:r>
        <w:rPr>
          <w:rFonts w:hint="eastAsia" w:ascii="宋体" w:hAnsi="宋体" w:eastAsia="宋体" w:cs="宋体"/>
          <w:sz w:val="24"/>
          <w:szCs w:val="24"/>
          <w:highlight w:val="none"/>
        </w:rPr>
      </w:r>
      <w:r/>
    </w:p>
    <w:p>
      <w:pPr>
        <w:pStyle w:val="1033"/>
        <w:ind w:firstLine="480"/>
        <w:spacing w:before="0" w:after="0"/>
        <w:rPr>
          <w:rFonts w:hint="eastAsia" w:ascii="宋体" w:hAnsi="宋体" w:eastAsia="宋体" w:cs="宋体"/>
          <w:highlight w:val="none"/>
        </w:rPr>
      </w:pPr>
      <w:r>
        <w:rPr>
          <w:rFonts w:hint="eastAsia" w:ascii="宋体" w:hAnsi="宋体" w:eastAsia="宋体" w:cs="宋体"/>
          <w:sz w:val="24"/>
          <w:szCs w:val="24"/>
          <w:highlight w:val="none"/>
        </w:rPr>
        <w:t xml:space="preserve">我公司郑重声明：在提交投标文件时，未被国家财政部指定的信用记录查询渠道（中国政府采购网www.ccgp.gov.cn、信用中国网站</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）列入失信被执行主体、重大税收违法案件当事主体、政府采购严重违法失信行为当事主体等严重失信记录名单。</w:t>
      </w:r>
      <w:r>
        <w:rPr>
          <w:rFonts w:hint="eastAsia" w:ascii="宋体" w:hAnsi="宋体" w:eastAsia="宋体" w:cs="宋体"/>
          <w:highlight w:val="none"/>
        </w:rPr>
      </w:r>
      <w:r/>
    </w:p>
    <w:p>
      <w:pPr>
        <w:pStyle w:val="1033"/>
        <w:spacing w:before="0" w:after="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rPr>
          <w:rFonts w:hint="eastAsia" w:ascii="宋体" w:hAnsi="宋体" w:eastAsia="宋体" w:cs="宋体"/>
          <w:sz w:val="24"/>
          <w:szCs w:val="24"/>
          <w:highlight w:val="none"/>
        </w:rPr>
      </w:r>
      <w:r/>
    </w:p>
    <w:p>
      <w:pPr>
        <w:pStyle w:val="1033"/>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33"/>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法定代表人或授权代表（签字或签章）：</w:t>
      </w:r>
      <w:r>
        <w:rPr>
          <w:rFonts w:hint="eastAsia" w:ascii="宋体" w:hAnsi="宋体" w:eastAsia="宋体" w:cs="宋体"/>
          <w:sz w:val="24"/>
          <w:szCs w:val="24"/>
          <w:highlight w:val="none"/>
        </w:rPr>
      </w:r>
      <w:r/>
    </w:p>
    <w:p>
      <w:pPr>
        <w:pStyle w:val="1033"/>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33"/>
        <w:ind w:firstLine="219"/>
        <w:spacing w:before="0" w:after="0" w:line="48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中国政府采购网自查截图：</w:t>
      </w:r>
      <w:r>
        <w:rPr>
          <w:rFonts w:hint="eastAsia" w:ascii="宋体" w:hAnsi="宋体" w:eastAsia="宋体" w:cs="宋体"/>
          <w:b/>
          <w:bCs/>
          <w:sz w:val="24"/>
          <w:szCs w:val="24"/>
          <w:highlight w:val="none"/>
        </w:rPr>
      </w:r>
      <w:r/>
    </w:p>
    <w:p>
      <w:pPr>
        <w:pStyle w:val="1033"/>
        <w:ind w:firstLine="219"/>
        <w:spacing w:before="0" w:after="0" w:line="48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信用中国网站自查截图：</w:t>
      </w:r>
      <w:r>
        <w:rPr>
          <w:rFonts w:hint="eastAsia" w:ascii="宋体" w:hAnsi="宋体" w:eastAsia="宋体" w:cs="宋体"/>
          <w:b/>
          <w:bCs/>
          <w:sz w:val="24"/>
          <w:szCs w:val="24"/>
          <w:highlight w:val="none"/>
        </w:rPr>
      </w:r>
      <w:r/>
    </w:p>
    <w:p>
      <w:pPr>
        <w:pStyle w:val="1033"/>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（5）“不存在与参加本项目的其他供应商单位负责人为同一人或者存在直接控股、管理关系”的承诺函（格式）</w:t>
      </w:r>
      <w:r>
        <w:rPr>
          <w:rFonts w:hint="eastAsia" w:ascii="宋体" w:hAnsi="宋体" w:eastAsia="宋体" w:cs="宋体"/>
          <w:b/>
          <w:sz w:val="24"/>
          <w:szCs w:val="24"/>
          <w:highlight w:val="none"/>
        </w:rPr>
      </w:r>
      <w:r/>
    </w:p>
    <w:p>
      <w:pPr>
        <w:pStyle w:val="1033"/>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致：江苏省特种设备安全监督检验研究院、江苏海外集团国际工程咨询有限公司</w:t>
      </w:r>
      <w:r>
        <w:rPr>
          <w:rFonts w:hint="eastAsia" w:ascii="宋体" w:hAnsi="宋体" w:eastAsia="宋体" w:cs="宋体"/>
          <w:sz w:val="24"/>
          <w:szCs w:val="24"/>
          <w:highlight w:val="none"/>
        </w:rPr>
      </w:r>
      <w:r/>
    </w:p>
    <w:p>
      <w:pPr>
        <w:pStyle w:val="1033"/>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w:t>
      </w:r>
      <w:r>
        <w:rPr>
          <w:rFonts w:hint="eastAsia" w:ascii="宋体" w:hAnsi="宋体" w:eastAsia="宋体" w:cs="宋体"/>
          <w:sz w:val="24"/>
          <w:szCs w:val="24"/>
          <w:highlight w:val="none"/>
          <w:u w:val="single"/>
        </w:rPr>
        <w:t xml:space="preserve">（项目名称）（项目编号）</w:t>
      </w:r>
      <w:r>
        <w:rPr>
          <w:rFonts w:hint="eastAsia" w:ascii="宋体" w:hAnsi="宋体" w:eastAsia="宋体" w:cs="宋体"/>
          <w:sz w:val="24"/>
          <w:szCs w:val="24"/>
          <w:highlight w:val="none"/>
        </w:rPr>
        <w:t xml:space="preserve">采购公告，我公司郑重承诺：在参加本次政府采购活动中不存在与参加本项目的其他供应商单位负责人为同一人或者存在直接控股、管理关系的情形。本公司对上述承诺的真实性负责。如有虚假，将依法承担相应责任。</w:t>
      </w:r>
      <w:r>
        <w:rPr>
          <w:rFonts w:hint="eastAsia" w:ascii="宋体" w:hAnsi="宋体" w:eastAsia="宋体" w:cs="宋体"/>
          <w:sz w:val="24"/>
          <w:szCs w:val="24"/>
          <w:highlight w:val="none"/>
        </w:rPr>
      </w:r>
      <w:r/>
    </w:p>
    <w:p>
      <w:pPr>
        <w:pStyle w:val="1033"/>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特此承诺！</w:t>
      </w:r>
      <w:r>
        <w:rPr>
          <w:rFonts w:hint="eastAsia" w:ascii="宋体" w:hAnsi="宋体" w:eastAsia="宋体" w:cs="宋体"/>
          <w:sz w:val="24"/>
          <w:szCs w:val="24"/>
          <w:highlight w:val="none"/>
        </w:rPr>
      </w:r>
      <w:r/>
    </w:p>
    <w:p>
      <w:pPr>
        <w:pStyle w:val="1033"/>
        <w:ind w:left="420"/>
        <w:spacing w:before="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33"/>
        <w:ind w:left="420"/>
        <w:spacing w:before="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法定代表人或授权代表（签字或签章）：</w:t>
      </w:r>
      <w:r>
        <w:rPr>
          <w:rFonts w:hint="eastAsia" w:ascii="宋体" w:hAnsi="宋体" w:eastAsia="宋体" w:cs="宋体"/>
          <w:sz w:val="24"/>
          <w:szCs w:val="24"/>
          <w:highlight w:val="none"/>
        </w:rPr>
      </w:r>
      <w:r/>
    </w:p>
    <w:p>
      <w:pPr>
        <w:pStyle w:val="1033"/>
        <w:ind w:left="420"/>
        <w:spacing w:before="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33"/>
        <w:jc w:val="left"/>
        <w:widowControl/>
        <w:rPr>
          <w:rFonts w:hint="eastAsia" w:ascii="宋体" w:hAnsi="宋体" w:eastAsia="宋体" w:cs="宋体"/>
          <w:b/>
          <w:bCs/>
          <w:sz w:val="28"/>
          <w:szCs w:val="28"/>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sz w:val="28"/>
          <w:szCs w:val="28"/>
          <w:highlight w:val="none"/>
          <w:lang w:bidi="ar"/>
        </w:rPr>
      </w:r>
      <w:r/>
    </w:p>
    <w:p>
      <w:pPr>
        <w:pStyle w:val="1033"/>
        <w:jc w:val="left"/>
        <w:widowControl/>
        <w:rPr>
          <w:rFonts w:hint="eastAsia" w:ascii="宋体" w:hAnsi="宋体" w:eastAsia="宋体" w:cs="宋体"/>
          <w:sz w:val="20"/>
          <w:szCs w:val="18"/>
          <w:highlight w:val="none"/>
        </w:rPr>
      </w:pPr>
      <w:r>
        <w:rPr>
          <w:rFonts w:hint="eastAsia" w:ascii="宋体" w:hAnsi="宋体" w:eastAsia="宋体" w:cs="宋体"/>
          <w:b/>
          <w:bCs/>
          <w:sz w:val="24"/>
          <w:szCs w:val="24"/>
          <w:highlight w:val="none"/>
          <w:lang w:bidi="ar"/>
        </w:rPr>
        <w:t xml:space="preserve">单位负责人、公司控股关系及公司管理关系释义：</w:t>
      </w:r>
      <w:r>
        <w:rPr>
          <w:rFonts w:hint="eastAsia" w:ascii="宋体" w:hAnsi="宋体" w:eastAsia="宋体" w:cs="宋体"/>
          <w:sz w:val="20"/>
          <w:szCs w:val="18"/>
          <w:highlight w:val="none"/>
        </w:rPr>
      </w:r>
      <w:r/>
    </w:p>
    <w:p>
      <w:pPr>
        <w:pStyle w:val="1033"/>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①单位负责人：</w:t>
      </w:r>
      <w:r>
        <w:rPr>
          <w:rFonts w:hint="eastAsia" w:ascii="宋体" w:hAnsi="宋体" w:eastAsia="宋体" w:cs="宋体"/>
          <w:sz w:val="24"/>
          <w:szCs w:val="24"/>
          <w:highlight w:val="none"/>
          <w:lang w:bidi="ar"/>
        </w:rPr>
        <w:t xml:space="preserve">是指 </w:t>
      </w:r>
      <w:r>
        <w:rPr>
          <w:rFonts w:hint="eastAsia" w:ascii="宋体" w:hAnsi="宋体" w:eastAsia="宋体" w:cs="宋体"/>
          <w:b/>
          <w:bCs/>
          <w:sz w:val="12"/>
          <w:szCs w:val="12"/>
          <w:highlight w:val="none"/>
          <w:lang w:bidi="ar"/>
        </w:rPr>
        <w:t xml:space="preserve">A</w:t>
      </w:r>
      <w:r>
        <w:rPr>
          <w:rFonts w:hint="eastAsia" w:ascii="宋体" w:hAnsi="宋体" w:eastAsia="宋体" w:cs="宋体"/>
          <w:b/>
          <w:bCs/>
          <w:sz w:val="24"/>
          <w:szCs w:val="24"/>
          <w:highlight w:val="none"/>
          <w:lang w:bidi="ar"/>
        </w:rPr>
        <w:t xml:space="preserve">单位法定代表人</w:t>
      </w:r>
      <w:r>
        <w:rPr>
          <w:rFonts w:hint="eastAsia" w:ascii="宋体" w:hAnsi="宋体" w:eastAsia="宋体" w:cs="宋体"/>
          <w:sz w:val="24"/>
          <w:szCs w:val="24"/>
          <w:highlight w:val="none"/>
          <w:lang w:bidi="ar"/>
        </w:rPr>
        <w:t xml:space="preserve">或者 </w:t>
      </w:r>
      <w:r>
        <w:rPr>
          <w:rFonts w:hint="eastAsia" w:ascii="宋体" w:hAnsi="宋体" w:eastAsia="宋体" w:cs="宋体"/>
          <w:b/>
          <w:bCs/>
          <w:sz w:val="12"/>
          <w:szCs w:val="12"/>
          <w:highlight w:val="none"/>
          <w:lang w:bidi="ar"/>
        </w:rPr>
        <w:t xml:space="preserve">B</w:t>
      </w:r>
      <w:r>
        <w:rPr>
          <w:rFonts w:hint="eastAsia" w:ascii="宋体" w:hAnsi="宋体" w:eastAsia="宋体" w:cs="宋体"/>
          <w:b/>
          <w:bCs/>
          <w:sz w:val="24"/>
          <w:szCs w:val="24"/>
          <w:highlight w:val="none"/>
          <w:lang w:bidi="ar"/>
        </w:rPr>
        <w:t xml:space="preserve">法律、行政法规规定代表单位行使职权的主要负责人。 </w:t>
      </w:r>
      <w:r>
        <w:rPr>
          <w:rFonts w:hint="eastAsia" w:ascii="宋体" w:hAnsi="宋体" w:eastAsia="宋体" w:cs="宋体"/>
          <w:highlight w:val="none"/>
        </w:rPr>
      </w:r>
      <w:r/>
    </w:p>
    <w:p>
      <w:pPr>
        <w:pStyle w:val="1033"/>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A：所谓法定代表人：</w:t>
      </w:r>
      <w:r>
        <w:rPr>
          <w:rFonts w:hint="eastAsia" w:ascii="宋体" w:hAnsi="宋体" w:eastAsia="宋体" w:cs="宋体"/>
          <w:sz w:val="24"/>
          <w:szCs w:val="24"/>
          <w:highlight w:val="none"/>
          <w:lang w:bidi="ar"/>
        </w:rPr>
        <w:t xml:space="preserve">是指由法律或者法人组织章程规定，代表法人对外行使民事权利、履行民事义务的负责人。如《中华人民共和国公司法》规定，公司法定代表人依照公司章程的规定由董事长、执行董事或者经理担任；《中华人民共和国全民所有制工业企业法》（以下简称《中华人民共和国全民所有制工业企业法》）规定，厂长是企业的法定代表人；国家机关的最高行政官员是机关法人的法定代表人等。</w:t>
      </w:r>
      <w:r>
        <w:rPr>
          <w:rFonts w:hint="eastAsia" w:ascii="宋体" w:hAnsi="宋体" w:eastAsia="宋体" w:cs="宋体"/>
          <w:highlight w:val="none"/>
        </w:rPr>
      </w:r>
      <w:r/>
    </w:p>
    <w:p>
      <w:pPr>
        <w:pStyle w:val="1033"/>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B：所谓法律、行政法规规定代表单位行使职权的主要负责人：</w:t>
      </w:r>
      <w:r>
        <w:rPr>
          <w:rFonts w:hint="eastAsia" w:ascii="宋体" w:hAnsi="宋体" w:eastAsia="宋体" w:cs="宋体"/>
          <w:sz w:val="24"/>
          <w:szCs w:val="24"/>
          <w:highlight w:val="none"/>
          <w:lang w:bidi="ar"/>
        </w:rPr>
        <w:t xml:space="preserve">是指除法定代表人以外，法律、行政法规规定的代表单位行使职权的主要负责人。如个人独资企业的投资人，代表合伙企业执行合伙企业事务的合伙人等。</w:t>
      </w:r>
      <w:r>
        <w:rPr>
          <w:rFonts w:hint="eastAsia" w:ascii="宋体" w:hAnsi="宋体" w:eastAsia="宋体" w:cs="宋体"/>
          <w:highlight w:val="none"/>
        </w:rPr>
      </w:r>
      <w:r/>
    </w:p>
    <w:p>
      <w:pPr>
        <w:pStyle w:val="1033"/>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②控股关系：</w:t>
      </w:r>
      <w:r>
        <w:rPr>
          <w:rFonts w:hint="eastAsia" w:ascii="宋体" w:hAnsi="宋体" w:eastAsia="宋体" w:cs="宋体"/>
          <w:sz w:val="24"/>
          <w:szCs w:val="24"/>
          <w:highlight w:val="none"/>
          <w:lang w:bidi="ar"/>
        </w:rPr>
        <w:t xml:space="preserve">政府采购法实施条例所谓控股关系是指单位或个人股东的控股关系。控股的含义：根据《中华人民共和国公司法》第二百一十六条规定：“本法相关用语的含义：</w:t>
      </w:r>
      <w:r>
        <w:rPr>
          <w:rFonts w:hint="eastAsia" w:ascii="宋体" w:hAnsi="宋体" w:eastAsia="宋体" w:cs="宋体"/>
          <w:b/>
          <w:bCs/>
          <w:sz w:val="24"/>
          <w:szCs w:val="24"/>
          <w:highlight w:val="none"/>
          <w:lang w:bidi="ar"/>
        </w:rPr>
        <w:t xml:space="preserve">（二）控股股东，是指 </w:t>
      </w:r>
      <w:r>
        <w:rPr>
          <w:rFonts w:hint="eastAsia" w:ascii="宋体" w:hAnsi="宋体" w:eastAsia="宋体" w:cs="宋体"/>
          <w:b/>
          <w:bCs/>
          <w:sz w:val="12"/>
          <w:szCs w:val="12"/>
          <w:highlight w:val="none"/>
          <w:lang w:bidi="ar"/>
        </w:rPr>
        <w:t xml:space="preserve">A</w:t>
      </w:r>
      <w:r>
        <w:rPr>
          <w:rFonts w:hint="eastAsia" w:ascii="宋体" w:hAnsi="宋体" w:eastAsia="宋体" w:cs="宋体"/>
          <w:b/>
          <w:bCs/>
          <w:sz w:val="24"/>
          <w:szCs w:val="24"/>
          <w:highlight w:val="none"/>
          <w:lang w:bidi="ar"/>
        </w:rPr>
        <w:t xml:space="preserve">其出资额占有限责任公司资本总额百分之五十以上或者其持有的股份占股份有限公司股本总额百分之五十以上的股东；</w:t>
      </w:r>
      <w:r>
        <w:rPr>
          <w:rFonts w:hint="eastAsia" w:ascii="宋体" w:hAnsi="宋体" w:eastAsia="宋体" w:cs="宋体"/>
          <w:b/>
          <w:bCs/>
          <w:sz w:val="12"/>
          <w:szCs w:val="12"/>
          <w:highlight w:val="none"/>
          <w:lang w:bidi="ar"/>
        </w:rPr>
        <w:t xml:space="preserve">B</w:t>
      </w:r>
      <w:r>
        <w:rPr>
          <w:rFonts w:hint="eastAsia" w:ascii="宋体" w:hAnsi="宋体" w:eastAsia="宋体" w:cs="宋体"/>
          <w:b/>
          <w:bCs/>
          <w:sz w:val="24"/>
          <w:szCs w:val="24"/>
          <w:highlight w:val="none"/>
          <w:lang w:bidi="ar"/>
        </w:rPr>
        <w:t xml:space="preserve">出资额或者持有股份的比例虽然不足百分之五十，但依其出资额或者持有的股份所享有的表决权已足以对股东会、股东会的决议产生重大影响的股东</w:t>
      </w:r>
      <w:r>
        <w:rPr>
          <w:rFonts w:hint="eastAsia" w:ascii="宋体" w:hAnsi="宋体" w:eastAsia="宋体" w:cs="宋体"/>
          <w:sz w:val="24"/>
          <w:szCs w:val="24"/>
          <w:highlight w:val="none"/>
          <w:lang w:bidi="ar"/>
        </w:rPr>
        <w:t xml:space="preserve">”。实践中，一般对A所述情形称为绝对控股，B所述情形称为相对控股，政府采购法实施条例所称“控股”包括绝对控股和相对控股。</w:t>
      </w:r>
      <w:r>
        <w:rPr>
          <w:rFonts w:hint="eastAsia" w:ascii="宋体" w:hAnsi="宋体" w:eastAsia="宋体" w:cs="宋体"/>
          <w:highlight w:val="none"/>
        </w:rPr>
      </w:r>
      <w:r/>
    </w:p>
    <w:p>
      <w:pPr>
        <w:pStyle w:val="1033"/>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③管理关系：</w:t>
      </w:r>
      <w:r>
        <w:rPr>
          <w:rFonts w:hint="eastAsia" w:ascii="宋体" w:hAnsi="宋体" w:eastAsia="宋体" w:cs="宋体"/>
          <w:sz w:val="24"/>
          <w:szCs w:val="24"/>
          <w:highlight w:val="none"/>
          <w:lang w:bidi="ar"/>
        </w:rPr>
        <w:t xml:space="preserve">政府采购法实施条例所谓管理关系是指不具有出资持股关系的其他单位之间存在的管理与被管理关系，如一些上下级关系的事业单位和团体组织。</w:t>
      </w:r>
      <w:r>
        <w:rPr>
          <w:rFonts w:hint="eastAsia" w:ascii="宋体" w:hAnsi="宋体" w:eastAsia="宋体" w:cs="宋体"/>
          <w:highlight w:val="none"/>
        </w:rPr>
      </w:r>
      <w:r/>
    </w:p>
    <w:p>
      <w:pPr>
        <w:pStyle w:val="1069"/>
        <w:jc w:val="center"/>
        <w:spacing w:before="240" w:after="240"/>
        <w:rPr>
          <w:rFonts w:hint="eastAsia" w:ascii="宋体" w:hAnsi="宋体" w:eastAsia="宋体" w:cs="宋体"/>
          <w:b/>
          <w:szCs w:val="28"/>
          <w:highlight w:val="none"/>
        </w:rPr>
      </w:pPr>
      <w:r>
        <w:rPr>
          <w:rFonts w:hint="eastAsia" w:ascii="宋体" w:hAnsi="宋体" w:eastAsia="宋体" w:cs="宋体"/>
          <w:b/>
          <w:szCs w:val="28"/>
          <w:highlight w:val="none"/>
        </w:rPr>
      </w:r>
      <w:r/>
    </w:p>
    <w:p>
      <w:pPr>
        <w:pStyle w:val="1069"/>
        <w:jc w:val="left"/>
        <w:spacing w:before="0" w:after="0"/>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1069"/>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（6）具有独立承担民事责任的能力（提供法人或者其他组织的营业执照；供应商为自然人的，提供其身份证）</w:t>
      </w:r>
      <w:r>
        <w:rPr>
          <w:rFonts w:hint="eastAsia" w:ascii="宋体" w:hAnsi="宋体" w:eastAsia="宋体" w:cs="宋体"/>
          <w:b/>
          <w:sz w:val="24"/>
          <w:szCs w:val="24"/>
          <w:highlight w:val="none"/>
        </w:rPr>
      </w:r>
      <w:r/>
    </w:p>
    <w:p>
      <w:pPr>
        <w:pStyle w:val="1069"/>
        <w:jc w:val="left"/>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营业执照复印件：</w:t>
      </w:r>
      <w:r>
        <w:rPr>
          <w:rFonts w:hint="eastAsia" w:ascii="宋体" w:hAnsi="宋体" w:eastAsia="宋体" w:cs="宋体"/>
          <w:bCs/>
          <w:sz w:val="24"/>
          <w:szCs w:val="24"/>
          <w:highlight w:val="none"/>
        </w:rPr>
      </w:r>
      <w:r/>
    </w:p>
    <w:p>
      <w:pPr>
        <w:pStyle w:val="1069"/>
        <w:jc w:val="left"/>
        <w:spacing w:before="240" w:after="24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69"/>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（7）具有良好的商业信誉和健全的财务会计制度</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提供距开标时间六个月内任意一个月份的财务状况报告（至少包括资产负债表和利润表）（法人或者其他组织成立未满三个月的可以不提供），或其银行出具的资信证书复印件（开标前六个月内），或2025年度经审计的财务报告</w:t>
      </w:r>
      <w:r>
        <w:rPr>
          <w:rFonts w:hint="eastAsia" w:ascii="宋体" w:hAnsi="宋体" w:eastAsia="宋体" w:cs="宋体"/>
          <w:b/>
          <w:sz w:val="24"/>
          <w:szCs w:val="24"/>
          <w:highlight w:val="none"/>
          <w:lang w:eastAsia="zh-CN"/>
        </w:rPr>
        <w:t xml:space="preserve">复印件并加盖公章</w:t>
      </w:r>
      <w:r>
        <w:rPr>
          <w:rFonts w:hint="eastAsia" w:ascii="宋体" w:hAnsi="宋体" w:eastAsia="宋体" w:cs="宋体"/>
          <w:b/>
          <w:sz w:val="24"/>
          <w:szCs w:val="24"/>
          <w:highlight w:val="none"/>
        </w:rPr>
        <w:t xml:space="preserve">装订在投标文件中，否则视为未提供）</w:t>
      </w:r>
      <w:r>
        <w:rPr>
          <w:rFonts w:hint="eastAsia" w:ascii="宋体" w:hAnsi="宋体" w:eastAsia="宋体" w:cs="宋体"/>
          <w:b/>
          <w:sz w:val="24"/>
          <w:szCs w:val="24"/>
          <w:highlight w:val="none"/>
        </w:rPr>
      </w:r>
      <w:r/>
    </w:p>
    <w:p>
      <w:pPr>
        <w:pStyle w:val="1069"/>
        <w:jc w:val="left"/>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相关资料：</w:t>
      </w:r>
      <w:r>
        <w:rPr>
          <w:rFonts w:hint="eastAsia" w:ascii="宋体" w:hAnsi="宋体" w:eastAsia="宋体" w:cs="宋体"/>
          <w:bCs/>
          <w:sz w:val="24"/>
          <w:szCs w:val="24"/>
          <w:highlight w:val="none"/>
        </w:rPr>
      </w:r>
      <w:r/>
    </w:p>
    <w:p>
      <w:pPr>
        <w:pStyle w:val="1069"/>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69"/>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（8）有依法缴纳税收的良好记录</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提供距开标时间六个月内任一月份的缴纳税收凭据</w:t>
      </w:r>
      <w:r>
        <w:rPr>
          <w:rFonts w:hint="eastAsia" w:ascii="宋体" w:hAnsi="宋体" w:eastAsia="宋体" w:cs="宋体"/>
          <w:b/>
          <w:sz w:val="24"/>
          <w:szCs w:val="24"/>
          <w:highlight w:val="none"/>
          <w:lang w:eastAsia="zh-CN"/>
        </w:rPr>
        <w:t xml:space="preserve">复印件并加盖公章（</w:t>
      </w:r>
      <w:r>
        <w:rPr>
          <w:rFonts w:hint="eastAsia" w:ascii="宋体" w:hAnsi="宋体" w:eastAsia="宋体" w:cs="宋体"/>
          <w:b/>
          <w:sz w:val="24"/>
          <w:szCs w:val="24"/>
          <w:highlight w:val="none"/>
        </w:rPr>
        <w:t xml:space="preserve">依法免税的应提供相应文件说明））</w:t>
      </w:r>
      <w:r>
        <w:rPr>
          <w:rFonts w:hint="eastAsia" w:ascii="宋体" w:hAnsi="宋体" w:eastAsia="宋体" w:cs="宋体"/>
          <w:b/>
          <w:sz w:val="24"/>
          <w:szCs w:val="24"/>
          <w:highlight w:val="none"/>
        </w:rPr>
      </w:r>
      <w:r/>
    </w:p>
    <w:p>
      <w:pPr>
        <w:pStyle w:val="1069"/>
        <w:jc w:val="left"/>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缴纳税收的相关资料：</w:t>
      </w:r>
      <w:r>
        <w:rPr>
          <w:rFonts w:hint="eastAsia" w:ascii="宋体" w:hAnsi="宋体" w:eastAsia="宋体" w:cs="宋体"/>
          <w:bCs/>
          <w:sz w:val="24"/>
          <w:szCs w:val="24"/>
          <w:highlight w:val="none"/>
        </w:rPr>
      </w:r>
      <w:r/>
    </w:p>
    <w:p>
      <w:pPr>
        <w:pStyle w:val="1069"/>
        <w:jc w:val="left"/>
        <w:spacing w:before="240" w:after="24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69"/>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（9）有依法缴纳社会保障资金的良好记录</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b/>
          <w:sz w:val="24"/>
          <w:szCs w:val="24"/>
          <w:highlight w:val="none"/>
        </w:rPr>
      </w:r>
      <w:r/>
    </w:p>
    <w:p>
      <w:pPr>
        <w:pStyle w:val="1069"/>
        <w:jc w:val="left"/>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依法缴纳社会保障资金的相关资料：</w:t>
      </w:r>
      <w:r>
        <w:rPr>
          <w:rFonts w:hint="eastAsia" w:ascii="宋体" w:hAnsi="宋体" w:eastAsia="宋体" w:cs="宋体"/>
          <w:bCs/>
          <w:sz w:val="24"/>
          <w:szCs w:val="24"/>
          <w:highlight w:val="none"/>
        </w:rPr>
      </w:r>
      <w:r/>
    </w:p>
    <w:p>
      <w:pPr>
        <w:pStyle w:val="1033"/>
        <w:spacing w:line="440" w:lineRule="exact"/>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1069"/>
        <w:jc w:val="left"/>
        <w:spacing w:before="240" w:after="24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（10）招标公告中“投标人资质要求”所要求其他的证明材料</w:t>
      </w:r>
      <w:r>
        <w:rPr>
          <w:rFonts w:hint="eastAsia" w:ascii="宋体" w:hAnsi="宋体" w:eastAsia="宋体" w:cs="宋体"/>
          <w:b/>
          <w:sz w:val="24"/>
          <w:szCs w:val="24"/>
          <w:highlight w:val="none"/>
        </w:rPr>
      </w:r>
      <w:r/>
    </w:p>
    <w:p>
      <w:pPr>
        <w:pStyle w:val="1069"/>
        <w:jc w:val="left"/>
        <w:spacing w:before="0" w:after="0"/>
        <w:rPr>
          <w:rFonts w:hint="eastAsia" w:ascii="宋体" w:hAnsi="宋体" w:eastAsia="宋体" w:cs="宋体"/>
          <w:bCs/>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sz w:val="24"/>
          <w:szCs w:val="24"/>
          <w:highlight w:val="none"/>
        </w:rPr>
        <w:t xml:space="preserve">（投标文件按照第一章招标公告中“投标人资质要求”要求，逐条提供除以上资格审查格式以外的其他证明材料）</w:t>
      </w:r>
      <w:r>
        <w:rPr>
          <w:rFonts w:hint="eastAsia" w:ascii="宋体" w:hAnsi="宋体" w:eastAsia="宋体" w:cs="宋体"/>
          <w:bCs/>
          <w:sz w:val="24"/>
          <w:szCs w:val="24"/>
          <w:highlight w:val="none"/>
        </w:rPr>
      </w:r>
      <w:r/>
    </w:p>
    <w:p>
      <w:pPr>
        <w:pStyle w:val="1033"/>
        <w:jc w:val="center"/>
        <w:rPr>
          <w:rFonts w:hint="eastAsia" w:ascii="宋体" w:hAnsi="宋体" w:eastAsia="宋体" w:cs="宋体"/>
          <w:sz w:val="24"/>
          <w:szCs w:val="24"/>
          <w:highlight w:val="none"/>
        </w:rPr>
      </w:pPr>
      <w:r>
        <w:rPr>
          <w:rFonts w:hint="eastAsia" w:ascii="宋体" w:hAnsi="宋体" w:eastAsia="宋体" w:cs="宋体"/>
          <w:sz w:val="32"/>
          <w:szCs w:val="32"/>
          <w:highlight w:val="none"/>
        </w:rPr>
        <w:t xml:space="preserve">5.</w:t>
      </w:r>
      <w:bookmarkEnd w:id="139"/>
      <w:r/>
      <w:bookmarkEnd w:id="140"/>
      <w:r/>
      <w:bookmarkEnd w:id="141"/>
      <w:r>
        <w:rPr>
          <w:rFonts w:hint="eastAsia" w:ascii="宋体" w:hAnsi="宋体" w:eastAsia="宋体" w:cs="宋体"/>
          <w:sz w:val="32"/>
          <w:szCs w:val="32"/>
          <w:highlight w:val="none"/>
        </w:rPr>
        <w:t xml:space="preserve">技术条款偏离表（技术要求响应表）</w:t>
      </w:r>
      <w:r>
        <w:rPr>
          <w:rFonts w:hint="eastAsia" w:ascii="宋体" w:hAnsi="宋体" w:eastAsia="宋体" w:cs="宋体"/>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454"/>
        <w:gridCol w:w="2161"/>
        <w:gridCol w:w="2202"/>
        <w:gridCol w:w="1648"/>
        <w:gridCol w:w="765"/>
        <w:gridCol w:w="735"/>
      </w:tblGrid>
      <w:tr>
        <w:trPr/>
        <w:tc>
          <w:tcPr>
            <w:tcW w:w="839" w:type="dxa"/>
            <w:vAlign w:val="center"/>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序号</w:t>
            </w:r>
            <w:r>
              <w:rPr>
                <w:rFonts w:hint="eastAsia" w:ascii="宋体" w:hAnsi="宋体" w:eastAsia="宋体" w:cs="宋体"/>
                <w:bCs/>
                <w:sz w:val="24"/>
                <w:highlight w:val="none"/>
              </w:rPr>
            </w:r>
            <w:r/>
          </w:p>
        </w:tc>
        <w:tc>
          <w:tcPr>
            <w:tcW w:w="1454" w:type="dxa"/>
            <w:vAlign w:val="center"/>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招标文件条目号</w:t>
            </w:r>
            <w:r>
              <w:rPr>
                <w:rFonts w:hint="eastAsia" w:ascii="宋体" w:hAnsi="宋体" w:eastAsia="宋体" w:cs="宋体"/>
                <w:bCs/>
                <w:sz w:val="24"/>
                <w:highlight w:val="none"/>
              </w:rPr>
            </w:r>
            <w:r/>
          </w:p>
        </w:tc>
        <w:tc>
          <w:tcPr>
            <w:tcW w:w="2161" w:type="dxa"/>
            <w:vAlign w:val="center"/>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招标文件要求的规格、参数</w:t>
            </w:r>
            <w:r>
              <w:rPr>
                <w:rFonts w:hint="eastAsia" w:ascii="宋体" w:hAnsi="宋体" w:eastAsia="宋体" w:cs="宋体"/>
                <w:bCs/>
                <w:sz w:val="24"/>
                <w:highlight w:val="none"/>
              </w:rPr>
            </w:r>
            <w:r/>
          </w:p>
        </w:tc>
        <w:tc>
          <w:tcPr>
            <w:tcW w:w="2202" w:type="dxa"/>
            <w:vAlign w:val="center"/>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投标响应</w:t>
            </w:r>
            <w:r>
              <w:rPr>
                <w:rFonts w:hint="eastAsia" w:ascii="宋体" w:hAnsi="宋体" w:eastAsia="宋体" w:cs="宋体"/>
                <w:bCs/>
                <w:sz w:val="24"/>
                <w:highlight w:val="none"/>
              </w:rPr>
            </w:r>
            <w:r/>
          </w:p>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规格、参数</w:t>
            </w:r>
            <w:r>
              <w:rPr>
                <w:rFonts w:hint="eastAsia" w:ascii="宋体" w:hAnsi="宋体" w:eastAsia="宋体" w:cs="宋体"/>
                <w:bCs/>
                <w:sz w:val="24"/>
                <w:highlight w:val="none"/>
              </w:rPr>
            </w:r>
            <w:r/>
          </w:p>
        </w:tc>
        <w:tc>
          <w:tcPr>
            <w:tcW w:w="1648" w:type="dxa"/>
            <w:vAlign w:val="center"/>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sz w:val="24"/>
                <w:szCs w:val="24"/>
                <w:highlight w:val="none"/>
              </w:rPr>
              <w:t xml:space="preserve">偏离情况（+/-/=）</w:t>
            </w:r>
            <w:r>
              <w:rPr>
                <w:rFonts w:hint="eastAsia" w:ascii="宋体" w:hAnsi="宋体" w:eastAsia="宋体" w:cs="宋体"/>
                <w:bCs/>
                <w:sz w:val="24"/>
                <w:highlight w:val="none"/>
              </w:rPr>
            </w:r>
            <w:r/>
          </w:p>
        </w:tc>
        <w:tc>
          <w:tcPr>
            <w:tcW w:w="765" w:type="dxa"/>
            <w:vAlign w:val="center"/>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证明材料页码</w:t>
            </w:r>
            <w:r>
              <w:rPr>
                <w:rFonts w:hint="eastAsia" w:ascii="宋体" w:hAnsi="宋体" w:eastAsia="宋体" w:cs="宋体"/>
                <w:bCs/>
                <w:sz w:val="24"/>
                <w:highlight w:val="none"/>
              </w:rPr>
            </w:r>
            <w:r/>
          </w:p>
        </w:tc>
        <w:tc>
          <w:tcPr>
            <w:tcW w:w="735" w:type="dxa"/>
            <w:vAlign w:val="center"/>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备注</w:t>
            </w:r>
            <w:r>
              <w:rPr>
                <w:rFonts w:hint="eastAsia" w:ascii="宋体" w:hAnsi="宋体" w:eastAsia="宋体" w:cs="宋体"/>
                <w:bCs/>
                <w:sz w:val="24"/>
                <w:highlight w:val="none"/>
              </w:rPr>
            </w:r>
            <w:r/>
          </w:p>
        </w:tc>
      </w:tr>
      <w:tr>
        <w:trPr/>
        <w:tc>
          <w:tcPr>
            <w:tcW w:w="839"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hint="eastAsia" w:ascii="宋体" w:hAnsi="宋体" w:eastAsia="宋体" w:cs="宋体"/>
                <w:bCs/>
                <w:sz w:val="24"/>
                <w:highlight w:val="none"/>
              </w:rPr>
            </w:r>
            <w:r/>
          </w:p>
        </w:tc>
        <w:tc>
          <w:tcPr>
            <w:tcW w:w="1454"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rPr>
            </w:r>
            <w:r/>
          </w:p>
        </w:tc>
        <w:tc>
          <w:tcPr>
            <w:tcW w:w="1454"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3</w:t>
            </w:r>
            <w:r>
              <w:rPr>
                <w:rFonts w:hint="eastAsia" w:ascii="宋体" w:hAnsi="宋体" w:eastAsia="宋体" w:cs="宋体"/>
                <w:bCs/>
                <w:sz w:val="24"/>
                <w:highlight w:val="none"/>
              </w:rPr>
            </w:r>
            <w:r/>
          </w:p>
        </w:tc>
        <w:tc>
          <w:tcPr>
            <w:tcW w:w="1454"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4</w:t>
            </w:r>
            <w:r>
              <w:rPr>
                <w:rFonts w:hint="eastAsia" w:ascii="宋体" w:hAnsi="宋体" w:eastAsia="宋体" w:cs="宋体"/>
                <w:bCs/>
                <w:sz w:val="24"/>
                <w:highlight w:val="none"/>
              </w:rPr>
            </w:r>
            <w:r/>
          </w:p>
        </w:tc>
        <w:tc>
          <w:tcPr>
            <w:tcW w:w="1454"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5</w:t>
            </w:r>
            <w:r>
              <w:rPr>
                <w:rFonts w:hint="eastAsia" w:ascii="宋体" w:hAnsi="宋体" w:eastAsia="宋体" w:cs="宋体"/>
                <w:bCs/>
                <w:sz w:val="24"/>
                <w:highlight w:val="none"/>
              </w:rPr>
            </w:r>
            <w:r/>
          </w:p>
        </w:tc>
        <w:tc>
          <w:tcPr>
            <w:tcW w:w="1454"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6</w:t>
            </w:r>
            <w:r>
              <w:rPr>
                <w:rFonts w:hint="eastAsia" w:ascii="宋体" w:hAnsi="宋体" w:eastAsia="宋体" w:cs="宋体"/>
                <w:bCs/>
                <w:sz w:val="24"/>
                <w:highlight w:val="none"/>
              </w:rPr>
            </w:r>
            <w:r/>
          </w:p>
        </w:tc>
        <w:tc>
          <w:tcPr>
            <w:tcW w:w="1454"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7</w:t>
            </w:r>
            <w:r>
              <w:rPr>
                <w:rFonts w:hint="eastAsia" w:ascii="宋体" w:hAnsi="宋体" w:eastAsia="宋体" w:cs="宋体"/>
                <w:bCs/>
                <w:sz w:val="24"/>
                <w:highlight w:val="none"/>
              </w:rPr>
            </w:r>
            <w:r/>
          </w:p>
        </w:tc>
        <w:tc>
          <w:tcPr>
            <w:tcW w:w="1454"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8</w:t>
            </w:r>
            <w:r>
              <w:rPr>
                <w:rFonts w:hint="eastAsia" w:ascii="宋体" w:hAnsi="宋体" w:eastAsia="宋体" w:cs="宋体"/>
                <w:bCs/>
                <w:sz w:val="24"/>
                <w:highlight w:val="none"/>
              </w:rPr>
            </w:r>
            <w:r/>
          </w:p>
        </w:tc>
        <w:tc>
          <w:tcPr>
            <w:tcW w:w="1454"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454"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33"/>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bl>
    <w:p>
      <w:pPr>
        <w:pStyle w:val="103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3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1033"/>
        <w:rPr>
          <w:rFonts w:hint="eastAsia" w:ascii="宋体" w:hAnsi="宋体" w:eastAsia="宋体" w:cs="宋体"/>
          <w:sz w:val="20"/>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0"/>
          <w:highlight w:val="none"/>
        </w:rPr>
      </w:r>
      <w:r/>
    </w:p>
    <w:p>
      <w:pPr>
        <w:pStyle w:val="1033"/>
        <w:rPr>
          <w:rFonts w:hint="eastAsia" w:ascii="宋体" w:hAnsi="宋体" w:eastAsia="宋体" w:cs="宋体"/>
          <w:szCs w:val="21"/>
          <w:highlight w:val="none"/>
        </w:rPr>
      </w:pPr>
      <w:r/>
      <w:bookmarkStart w:id="142" w:name="_Toc10292"/>
      <w:r/>
      <w:bookmarkStart w:id="143" w:name="_Toc5552"/>
      <w:r/>
      <w:bookmarkStart w:id="144" w:name="_Toc11669"/>
      <w:r>
        <w:rPr>
          <w:rFonts w:hint="eastAsia" w:ascii="宋体" w:hAnsi="宋体" w:eastAsia="宋体" w:cs="宋体"/>
          <w:szCs w:val="21"/>
          <w:highlight w:val="none"/>
        </w:rPr>
        <w:t xml:space="preserve">说明：①此表为表样，行数可自行添加，但表式不变。</w:t>
      </w:r>
      <w:r>
        <w:rPr>
          <w:rFonts w:hint="eastAsia" w:ascii="宋体" w:hAnsi="宋体" w:eastAsia="宋体" w:cs="宋体"/>
          <w:szCs w:val="21"/>
          <w:highlight w:val="none"/>
        </w:rPr>
      </w:r>
      <w:r/>
    </w:p>
    <w:p>
      <w:pPr>
        <w:pStyle w:val="1033"/>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②是否偏离用符号“+、=、-”或填写“正偏离、完全响应、负偏离”分别表示正偏离、完全响应、负偏离。</w:t>
      </w:r>
      <w:r>
        <w:rPr>
          <w:rFonts w:hint="eastAsia" w:ascii="宋体" w:hAnsi="宋体" w:eastAsia="宋体" w:cs="宋体"/>
          <w:szCs w:val="21"/>
          <w:highlight w:val="none"/>
        </w:rPr>
      </w:r>
      <w:r/>
    </w:p>
    <w:p>
      <w:pPr>
        <w:pStyle w:val="1033"/>
        <w:rPr>
          <w:rFonts w:hint="eastAsia" w:ascii="宋体" w:hAnsi="宋体" w:eastAsia="宋体" w:cs="宋体"/>
          <w:szCs w:val="21"/>
          <w:highlight w:val="none"/>
        </w:rPr>
      </w:pPr>
      <w:r>
        <w:rPr>
          <w:rFonts w:hint="eastAsia" w:ascii="宋体" w:hAnsi="宋体" w:eastAsia="宋体" w:cs="宋体"/>
          <w:b/>
          <w:bCs/>
          <w:szCs w:val="21"/>
          <w:highlight w:val="none"/>
        </w:rPr>
        <w:t xml:space="preserve">③供应商必须仔细阅读本招标文件“第四章”中所有相关采购要求，并对所有技术要求偏离的条目列入上表。供应商必须根据所提供服务的实际情况如实填写，评审小组如发现有虚假描述的，该投标文件视为无效</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33"/>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highlight w:val="none"/>
        </w:rPr>
      </w:r>
      <w:r/>
    </w:p>
    <w:p>
      <w:pPr>
        <w:pStyle w:val="1033"/>
        <w:spacing w:line="420" w:lineRule="exact"/>
        <w:rPr>
          <w:rFonts w:hint="eastAsia" w:ascii="宋体" w:hAnsi="宋体" w:eastAsia="宋体" w:cs="宋体"/>
          <w:b/>
          <w:sz w:val="24"/>
          <w:szCs w:val="24"/>
          <w:highlight w:val="none"/>
          <w:lang w:val="zh-CN"/>
        </w:rPr>
      </w:pPr>
      <w:r/>
      <w:bookmarkStart w:id="145" w:name="_Toc23012"/>
      <w:r/>
      <w:bookmarkStart w:id="146" w:name="_Toc22168"/>
      <w:r>
        <w:rPr>
          <w:rFonts w:hint="eastAsia" w:eastAsia="宋体" w:cs="宋体"/>
          <w:b/>
          <w:sz w:val="24"/>
          <w:szCs w:val="24"/>
          <w:highlight w:val="none"/>
        </w:rPr>
        <w:t xml:space="preserve">附件：</w:t>
      </w:r>
      <w:r>
        <w:rPr>
          <w:rFonts w:hint="eastAsia" w:ascii="宋体" w:hAnsi="宋体" w:eastAsia="宋体" w:cs="宋体"/>
          <w:b/>
          <w:sz w:val="24"/>
          <w:szCs w:val="24"/>
          <w:highlight w:val="none"/>
          <w:lang w:val="zh-CN"/>
        </w:rPr>
        <w:t xml:space="preserve">“★”</w:t>
      </w:r>
      <w:r>
        <w:rPr>
          <w:rFonts w:hint="eastAsia" w:ascii="宋体" w:hAnsi="宋体" w:eastAsia="宋体" w:cs="宋体"/>
          <w:b/>
          <w:sz w:val="24"/>
          <w:szCs w:val="24"/>
          <w:highlight w:val="none"/>
        </w:rPr>
        <w:t xml:space="preserve">及</w:t>
      </w:r>
      <w:r>
        <w:rPr>
          <w:rFonts w:hint="eastAsia" w:ascii="宋体" w:hAnsi="宋体" w:eastAsia="宋体" w:cs="宋体"/>
          <w:b/>
          <w:sz w:val="24"/>
          <w:szCs w:val="24"/>
          <w:highlight w:val="none"/>
          <w:lang w:val="zh-CN"/>
        </w:rPr>
        <w:t xml:space="preserve">“▲”参数技术支持材料</w:t>
      </w:r>
      <w:bookmarkEnd w:id="145"/>
      <w:r/>
      <w:bookmarkEnd w:id="146"/>
      <w:r>
        <w:rPr>
          <w:rFonts w:hint="eastAsia" w:ascii="宋体" w:hAnsi="宋体" w:eastAsia="宋体" w:cs="宋体"/>
          <w:b/>
          <w:sz w:val="24"/>
          <w:szCs w:val="24"/>
          <w:highlight w:val="none"/>
          <w:lang w:val="zh-CN"/>
        </w:rPr>
      </w:r>
      <w:r/>
    </w:p>
    <w:p>
      <w:pPr>
        <w:pStyle w:val="1073"/>
        <w:ind w:left="0"/>
        <w:rPr>
          <w:rFonts w:hint="eastAsia" w:ascii="宋体" w:hAnsi="宋体" w:cs="宋体"/>
          <w:highlight w:val="none"/>
        </w:rPr>
      </w:pPr>
      <w:r>
        <w:rPr>
          <w:rFonts w:hint="eastAsia" w:ascii="宋体" w:hAnsi="宋体" w:cs="宋体"/>
          <w:highlight w:val="none"/>
        </w:rPr>
      </w:r>
      <w:r/>
    </w:p>
    <w:p>
      <w:pPr>
        <w:pStyle w:val="1073"/>
        <w:ind w:left="0" w:firstLine="420"/>
        <w:rPr>
          <w:rFonts w:hint="eastAsia" w:ascii="宋体" w:hAnsi="宋体" w:cs="宋体"/>
          <w:highlight w:val="none"/>
        </w:rPr>
      </w:pPr>
      <w:r>
        <w:rPr>
          <w:rFonts w:hint="eastAsia" w:ascii="宋体" w:hAnsi="宋体" w:cs="宋体"/>
          <w:highlight w:val="none"/>
        </w:rPr>
        <w:t xml:space="preserve">供应商应当根据招标文件要求编制投标文件，投标文件应对招标文件提出的要求和条件作出实质性响应，对带星号（“★”）的技术条款须在投标文件中提供招标文件技术参数中所要求的技术支持资料（技术支持资料种类以文件第四章要求为准，如无特殊要求则为明确说明该技术内容的公开发行的手册、彩页、官网截图、功能页面截图、</w:t>
      </w:r>
      <w:r>
        <w:rPr>
          <w:rFonts w:hint="eastAsia" w:ascii="宋体" w:hAnsi="宋体" w:cs="宋体"/>
          <w:highlight w:val="none"/>
          <w:lang w:eastAsia="zh-CN"/>
        </w:rPr>
        <w:t xml:space="preserve">检测报告或白皮书等</w:t>
      </w:r>
      <w:r>
        <w:rPr>
          <w:rFonts w:hint="eastAsia" w:ascii="宋体" w:hAnsi="宋体" w:cs="宋体"/>
          <w:highlight w:val="none"/>
        </w:rPr>
        <w:t xml:space="preserve">），未提供技术支持资料的，或未对招标文件做出实质性响应，将导致投标文件被视为无效。</w:t>
      </w:r>
      <w:r>
        <w:rPr>
          <w:rFonts w:hint="eastAsia" w:ascii="宋体" w:hAnsi="宋体" w:cs="宋体"/>
          <w:highlight w:val="none"/>
        </w:rPr>
      </w:r>
      <w:r/>
    </w:p>
    <w:p>
      <w:pPr>
        <w:pStyle w:val="1073"/>
        <w:ind w:left="0" w:firstLine="420"/>
        <w:rPr>
          <w:rFonts w:hint="eastAsia" w:ascii="宋体" w:hAnsi="宋体" w:cs="宋体"/>
          <w:highlight w:val="none"/>
        </w:rPr>
      </w:pPr>
      <w:r>
        <w:rPr>
          <w:rFonts w:hint="eastAsia" w:ascii="宋体" w:hAnsi="宋体" w:cs="宋体"/>
          <w:highlight w:val="none"/>
        </w:rPr>
        <w:t xml:space="preserve">对带▲号参数指标（如有）为主要技术参数要求，投标文件中须提供技术支持资料（技术支持资料种类以文件第四章要求为准，如无特殊要求则为明确说明该技术内容的公开发行的手册、彩页、官网截图、功能页面截图、</w:t>
      </w:r>
      <w:r>
        <w:rPr>
          <w:rFonts w:hint="eastAsia" w:ascii="宋体" w:hAnsi="宋体" w:cs="宋体"/>
          <w:highlight w:val="none"/>
          <w:lang w:eastAsia="zh-CN"/>
        </w:rPr>
        <w:t xml:space="preserve">检测报告或白皮书等</w:t>
      </w:r>
      <w:r>
        <w:rPr>
          <w:rFonts w:hint="eastAsia" w:ascii="宋体" w:hAnsi="宋体" w:cs="宋体"/>
          <w:highlight w:val="none"/>
        </w:rPr>
        <w:t xml:space="preserve">），否则将视为未响应▲号参数，作负偏离处理。</w:t>
      </w:r>
      <w:r>
        <w:rPr>
          <w:rFonts w:hint="eastAsia" w:ascii="宋体" w:hAnsi="宋体" w:cs="宋体"/>
          <w:highlight w:val="none"/>
        </w:rPr>
      </w:r>
      <w:r/>
    </w:p>
    <w:p>
      <w:pPr>
        <w:pStyle w:val="1033"/>
        <w:rPr>
          <w:rFonts w:hint="eastAsia" w:ascii="宋体" w:hAnsi="宋体" w:eastAsia="宋体" w:cs="宋体"/>
          <w:highlight w:val="none"/>
        </w:rPr>
      </w:pPr>
      <w:r>
        <w:rPr>
          <w:rFonts w:hint="eastAsia" w:ascii="宋体" w:hAnsi="宋体" w:eastAsia="宋体" w:cs="宋体"/>
          <w:highlight w:val="none"/>
        </w:rPr>
      </w:r>
      <w:r/>
    </w:p>
    <w:p>
      <w:pPr>
        <w:pStyle w:val="1033"/>
        <w:rPr>
          <w:rFonts w:hint="eastAsia" w:ascii="宋体" w:hAnsi="宋体" w:eastAsia="宋体" w:cs="宋体"/>
          <w:highlight w:val="none"/>
        </w:rPr>
      </w:pPr>
      <w:r>
        <w:rPr>
          <w:rFonts w:hint="eastAsia" w:ascii="宋体" w:hAnsi="宋体" w:eastAsia="宋体" w:cs="宋体"/>
          <w:highlight w:val="none"/>
        </w:rPr>
        <w:t xml:space="preserve">★项参数要求及证明材料：</w:t>
      </w:r>
      <w:r>
        <w:rPr>
          <w:rFonts w:hint="eastAsia" w:ascii="宋体" w:hAnsi="宋体" w:eastAsia="宋体" w:cs="宋体"/>
          <w:highlight w:val="none"/>
        </w:rPr>
      </w:r>
      <w:r/>
    </w:p>
    <w:p>
      <w:pPr>
        <w:pStyle w:val="1033"/>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p>
      <w:pPr>
        <w:pStyle w:val="1033"/>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rPr>
      </w:r>
      <w:r/>
    </w:p>
    <w:p>
      <w:pPr>
        <w:pStyle w:val="1033"/>
        <w:rPr>
          <w:rFonts w:hint="eastAsia" w:ascii="宋体" w:hAnsi="宋体" w:eastAsia="宋体" w:cs="宋体"/>
          <w:highlight w:val="none"/>
        </w:rPr>
      </w:pPr>
      <w:r>
        <w:rPr>
          <w:rFonts w:hint="eastAsia" w:ascii="宋体" w:hAnsi="宋体" w:eastAsia="宋体" w:cs="宋体"/>
          <w:highlight w:val="none"/>
        </w:rPr>
        <w:t xml:space="preserve">3.</w:t>
      </w:r>
      <w:r>
        <w:rPr>
          <w:rFonts w:hint="eastAsia" w:ascii="宋体" w:hAnsi="宋体" w:eastAsia="宋体" w:cs="宋体"/>
          <w:highlight w:val="none"/>
        </w:rPr>
      </w:r>
      <w:r/>
    </w:p>
    <w:p>
      <w:pPr>
        <w:pStyle w:val="1033"/>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rPr>
      </w:r>
      <w:r/>
    </w:p>
    <w:p>
      <w:pPr>
        <w:pStyle w:val="1033"/>
        <w:rPr>
          <w:rFonts w:hint="eastAsia" w:ascii="宋体" w:hAnsi="宋体" w:eastAsia="宋体" w:cs="宋体"/>
          <w:highlight w:val="none"/>
        </w:rPr>
      </w:pPr>
      <w:r>
        <w:rPr>
          <w:rFonts w:hint="eastAsia" w:ascii="宋体" w:hAnsi="宋体" w:eastAsia="宋体" w:cs="宋体"/>
          <w:highlight w:val="none"/>
        </w:rPr>
      </w:r>
      <w:r/>
    </w:p>
    <w:p>
      <w:pPr>
        <w:pStyle w:val="1033"/>
        <w:rPr>
          <w:rFonts w:hint="eastAsia" w:ascii="宋体" w:hAnsi="宋体" w:eastAsia="宋体" w:cs="宋体"/>
          <w:highlight w:val="none"/>
        </w:rPr>
      </w:pPr>
      <w:r>
        <w:rPr>
          <w:rFonts w:hint="eastAsia" w:ascii="宋体" w:hAnsi="宋体" w:eastAsia="宋体" w:cs="宋体"/>
          <w:highlight w:val="none"/>
        </w:rPr>
        <w:t xml:space="preserve">▲项参数要求及证明材料：</w:t>
      </w:r>
      <w:r>
        <w:rPr>
          <w:rFonts w:hint="eastAsia" w:ascii="宋体" w:hAnsi="宋体" w:eastAsia="宋体" w:cs="宋体"/>
          <w:highlight w:val="none"/>
        </w:rPr>
      </w:r>
      <w:r/>
    </w:p>
    <w:p>
      <w:pPr>
        <w:pStyle w:val="1033"/>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p>
      <w:pPr>
        <w:pStyle w:val="1033"/>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rPr>
      </w:r>
      <w:r/>
    </w:p>
    <w:p>
      <w:pPr>
        <w:pStyle w:val="1033"/>
        <w:rPr>
          <w:rFonts w:hint="eastAsia" w:ascii="宋体" w:hAnsi="宋体" w:eastAsia="宋体" w:cs="宋体"/>
          <w:highlight w:val="none"/>
        </w:rPr>
      </w:pPr>
      <w:r>
        <w:rPr>
          <w:rFonts w:hint="eastAsia" w:ascii="宋体" w:hAnsi="宋体" w:eastAsia="宋体" w:cs="宋体"/>
          <w:highlight w:val="none"/>
        </w:rPr>
        <w:t xml:space="preserve">3.</w:t>
      </w:r>
      <w:r>
        <w:rPr>
          <w:rFonts w:hint="eastAsia" w:ascii="宋体" w:hAnsi="宋体" w:eastAsia="宋体" w:cs="宋体"/>
          <w:highlight w:val="none"/>
        </w:rPr>
      </w:r>
      <w:r/>
    </w:p>
    <w:p>
      <w:pPr>
        <w:pStyle w:val="1033"/>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rPr>
      </w:r>
      <w:r/>
    </w:p>
    <w:p>
      <w:pPr>
        <w:pStyle w:val="1033"/>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highlight w:val="none"/>
        </w:rPr>
      </w:r>
      <w:r/>
    </w:p>
    <w:p>
      <w:pPr>
        <w:pStyle w:val="1033"/>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6.</w:t>
      </w:r>
      <w:bookmarkEnd w:id="142"/>
      <w:r/>
      <w:bookmarkEnd w:id="143"/>
      <w:r/>
      <w:bookmarkEnd w:id="144"/>
      <w:r>
        <w:rPr>
          <w:rFonts w:hint="eastAsia" w:ascii="宋体" w:hAnsi="宋体" w:eastAsia="宋体" w:cs="宋体"/>
          <w:sz w:val="32"/>
          <w:szCs w:val="32"/>
          <w:highlight w:val="none"/>
        </w:rPr>
        <w:t xml:space="preserve">商务条款偏离表（商务要求响应表）</w:t>
      </w:r>
      <w:r>
        <w:rPr>
          <w:rFonts w:hint="eastAsia" w:ascii="宋体" w:hAnsi="宋体" w:eastAsia="宋体" w:cs="宋体"/>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1"/>
        <w:gridCol w:w="3112"/>
        <w:gridCol w:w="2685"/>
        <w:gridCol w:w="1527"/>
        <w:gridCol w:w="1052"/>
      </w:tblGrid>
      <w:tr>
        <w:trPr>
          <w:trHeight w:val="643"/>
        </w:trPr>
        <w:tc>
          <w:tcPr>
            <w:tcW w:w="1011" w:type="dxa"/>
            <w:vAlign w:val="center"/>
            <w:textDirection w:val="lrTb"/>
            <w:noWrap w:val="false"/>
          </w:tcPr>
          <w:p>
            <w:pPr>
              <w:pStyle w:val="1033"/>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3112" w:type="dxa"/>
            <w:vAlign w:val="center"/>
            <w:textDirection w:val="lrTb"/>
            <w:noWrap w:val="false"/>
          </w:tcPr>
          <w:p>
            <w:pPr>
              <w:pStyle w:val="1033"/>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招标文件商务部分要求</w:t>
            </w:r>
            <w:r>
              <w:rPr>
                <w:rFonts w:hint="eastAsia" w:ascii="宋体" w:hAnsi="宋体" w:eastAsia="宋体" w:cs="宋体"/>
                <w:sz w:val="24"/>
                <w:szCs w:val="24"/>
                <w:highlight w:val="none"/>
              </w:rPr>
            </w:r>
            <w:r/>
          </w:p>
        </w:tc>
        <w:tc>
          <w:tcPr>
            <w:tcW w:w="2685" w:type="dxa"/>
            <w:vAlign w:val="center"/>
            <w:textDirection w:val="lrTb"/>
            <w:noWrap w:val="false"/>
          </w:tcPr>
          <w:p>
            <w:pPr>
              <w:pStyle w:val="1033"/>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供应商的响应及承诺</w:t>
            </w:r>
            <w:r>
              <w:rPr>
                <w:rFonts w:hint="eastAsia" w:ascii="宋体" w:hAnsi="宋体" w:eastAsia="宋体" w:cs="宋体"/>
                <w:sz w:val="24"/>
                <w:szCs w:val="24"/>
                <w:highlight w:val="none"/>
              </w:rPr>
            </w:r>
            <w:r/>
          </w:p>
        </w:tc>
        <w:tc>
          <w:tcPr>
            <w:tcW w:w="1527" w:type="dxa"/>
            <w:vAlign w:val="center"/>
            <w:textDirection w:val="lrTb"/>
            <w:noWrap w:val="false"/>
          </w:tcPr>
          <w:p>
            <w:pPr>
              <w:pStyle w:val="1033"/>
              <w:jc w:val="center"/>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偏离情况（+/-/=）</w:t>
            </w:r>
            <w:r>
              <w:rPr>
                <w:rFonts w:hint="eastAsia" w:ascii="宋体" w:hAnsi="宋体" w:eastAsia="宋体" w:cs="宋体"/>
                <w:sz w:val="24"/>
                <w:szCs w:val="24"/>
                <w:highlight w:val="none"/>
              </w:rPr>
            </w:r>
            <w:r/>
          </w:p>
        </w:tc>
        <w:tc>
          <w:tcPr>
            <w:tcW w:w="1052" w:type="dxa"/>
            <w:vAlign w:val="center"/>
            <w:textDirection w:val="lrTb"/>
            <w:noWrap w:val="false"/>
          </w:tcPr>
          <w:p>
            <w:pPr>
              <w:pStyle w:val="1033"/>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tc>
      </w:tr>
      <w:tr>
        <w:trPr>
          <w:trHeight w:val="447"/>
        </w:trPr>
        <w:tc>
          <w:tcPr>
            <w:tcW w:w="1011" w:type="dxa"/>
            <w:vAlign w:val="center"/>
            <w:textDirection w:val="lrTb"/>
            <w:noWrap w:val="false"/>
          </w:tcPr>
          <w:p>
            <w:pPr>
              <w:pStyle w:val="1033"/>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3112" w:type="dxa"/>
            <w:vAlign w:val="center"/>
            <w:textDirection w:val="lrTb"/>
            <w:noWrap w:val="false"/>
          </w:tcPr>
          <w:p>
            <w:pPr>
              <w:pStyle w:val="1033"/>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33"/>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33"/>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33"/>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7"/>
        </w:trPr>
        <w:tc>
          <w:tcPr>
            <w:tcW w:w="1011" w:type="dxa"/>
            <w:vAlign w:val="center"/>
            <w:textDirection w:val="lrTb"/>
            <w:noWrap w:val="false"/>
          </w:tcPr>
          <w:p>
            <w:pPr>
              <w:pStyle w:val="1033"/>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3112" w:type="dxa"/>
            <w:vAlign w:val="center"/>
            <w:textDirection w:val="lrTb"/>
            <w:noWrap w:val="false"/>
          </w:tcPr>
          <w:p>
            <w:pPr>
              <w:pStyle w:val="1033"/>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33"/>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33"/>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33"/>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12"/>
        </w:trPr>
        <w:tc>
          <w:tcPr>
            <w:tcW w:w="1011" w:type="dxa"/>
            <w:vAlign w:val="center"/>
            <w:textDirection w:val="lrTb"/>
            <w:noWrap w:val="false"/>
          </w:tcPr>
          <w:p>
            <w:pPr>
              <w:pStyle w:val="1033"/>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3112" w:type="dxa"/>
            <w:vAlign w:val="center"/>
            <w:textDirection w:val="lrTb"/>
            <w:noWrap w:val="false"/>
          </w:tcPr>
          <w:p>
            <w:pPr>
              <w:pStyle w:val="1033"/>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33"/>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33"/>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33"/>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41"/>
        </w:trPr>
        <w:tc>
          <w:tcPr>
            <w:tcW w:w="1011" w:type="dxa"/>
            <w:vAlign w:val="center"/>
            <w:textDirection w:val="lrTb"/>
            <w:noWrap w:val="false"/>
          </w:tcPr>
          <w:p>
            <w:pPr>
              <w:pStyle w:val="1033"/>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3112" w:type="dxa"/>
            <w:vAlign w:val="center"/>
            <w:textDirection w:val="lrTb"/>
            <w:noWrap w:val="false"/>
          </w:tcPr>
          <w:p>
            <w:pPr>
              <w:pStyle w:val="1033"/>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33"/>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33"/>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33"/>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1"/>
        </w:trPr>
        <w:tc>
          <w:tcPr>
            <w:tcW w:w="1011" w:type="dxa"/>
            <w:vAlign w:val="center"/>
            <w:textDirection w:val="lrTb"/>
            <w:noWrap w:val="false"/>
          </w:tcPr>
          <w:p>
            <w:pPr>
              <w:pStyle w:val="1033"/>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3112" w:type="dxa"/>
            <w:vAlign w:val="center"/>
            <w:textDirection w:val="lrTb"/>
            <w:noWrap w:val="false"/>
          </w:tcPr>
          <w:p>
            <w:pPr>
              <w:pStyle w:val="1033"/>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33"/>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33"/>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33"/>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61"/>
        </w:trPr>
        <w:tc>
          <w:tcPr>
            <w:tcW w:w="1011" w:type="dxa"/>
            <w:vAlign w:val="center"/>
            <w:textDirection w:val="lrTb"/>
            <w:noWrap w:val="false"/>
          </w:tcPr>
          <w:p>
            <w:pPr>
              <w:pStyle w:val="1033"/>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3112" w:type="dxa"/>
            <w:vAlign w:val="center"/>
            <w:textDirection w:val="lrTb"/>
            <w:noWrap w:val="false"/>
          </w:tcPr>
          <w:p>
            <w:pPr>
              <w:pStyle w:val="1033"/>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33"/>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33"/>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33"/>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76"/>
        </w:trPr>
        <w:tc>
          <w:tcPr>
            <w:tcW w:w="1011" w:type="dxa"/>
            <w:vAlign w:val="center"/>
            <w:textDirection w:val="lrTb"/>
            <w:noWrap w:val="false"/>
          </w:tcPr>
          <w:p>
            <w:pPr>
              <w:pStyle w:val="1033"/>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12" w:type="dxa"/>
            <w:vAlign w:val="center"/>
            <w:textDirection w:val="lrTb"/>
            <w:noWrap w:val="false"/>
          </w:tcPr>
          <w:p>
            <w:pPr>
              <w:pStyle w:val="1033"/>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33"/>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33"/>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33"/>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33"/>
        <w:rPr>
          <w:rFonts w:hint="eastAsia" w:ascii="宋体" w:hAnsi="宋体" w:eastAsia="宋体" w:cs="宋体"/>
          <w:szCs w:val="21"/>
          <w:highlight w:val="none"/>
        </w:rPr>
      </w:pPr>
      <w:r>
        <w:rPr>
          <w:rFonts w:hint="eastAsia" w:ascii="宋体" w:hAnsi="宋体" w:eastAsia="宋体" w:cs="宋体"/>
          <w:szCs w:val="21"/>
          <w:highlight w:val="none"/>
        </w:rPr>
        <w:t xml:space="preserve">说明：1. 供应商须根据第五章《合同条款及格式》及第四章《采购需求》的要求填写此表，作为投标文件的组成部分，如果行数不够，请自行增加。</w:t>
      </w:r>
      <w:r>
        <w:rPr>
          <w:rFonts w:hint="eastAsia" w:ascii="宋体" w:hAnsi="宋体" w:eastAsia="宋体" w:cs="宋体"/>
          <w:szCs w:val="21"/>
          <w:highlight w:val="none"/>
        </w:rPr>
      </w:r>
      <w:r/>
    </w:p>
    <w:p>
      <w:pPr>
        <w:pStyle w:val="1033"/>
        <w:rPr>
          <w:rFonts w:hint="eastAsia" w:ascii="宋体" w:hAnsi="宋体" w:eastAsia="宋体" w:cs="宋体"/>
          <w:szCs w:val="21"/>
          <w:highlight w:val="none"/>
        </w:rPr>
      </w:pPr>
      <w:r>
        <w:rPr>
          <w:rFonts w:hint="eastAsia" w:ascii="宋体" w:hAnsi="宋体" w:eastAsia="宋体" w:cs="宋体"/>
          <w:szCs w:val="21"/>
          <w:highlight w:val="none"/>
        </w:rPr>
        <w:t xml:space="preserve">2. 所有偏离必须在本表中列出，未在本偏离表中列出偏离，将视为供应商已完全接受招标文件要求。如完全无偏离，也无其他说明，可在本表第一行填写“全部无偏离”。</w:t>
      </w:r>
      <w:r>
        <w:rPr>
          <w:rFonts w:hint="eastAsia" w:ascii="宋体" w:hAnsi="宋体" w:eastAsia="宋体" w:cs="宋体"/>
          <w:szCs w:val="21"/>
          <w:highlight w:val="none"/>
        </w:rPr>
      </w:r>
      <w:r/>
    </w:p>
    <w:p>
      <w:pPr>
        <w:pStyle w:val="1033"/>
        <w:rPr>
          <w:rFonts w:hint="eastAsia" w:ascii="宋体" w:hAnsi="宋体" w:eastAsia="宋体" w:cs="宋体"/>
          <w:szCs w:val="21"/>
          <w:highlight w:val="none"/>
        </w:rPr>
      </w:pPr>
      <w:r>
        <w:rPr>
          <w:rFonts w:hint="eastAsia" w:ascii="宋体" w:hAnsi="宋体" w:eastAsia="宋体" w:cs="宋体"/>
          <w:szCs w:val="21"/>
          <w:highlight w:val="none"/>
        </w:rPr>
        <w:t xml:space="preserve">3. 偏离包括正、负偏离，正偏离指供应商的响应高于招标文件要求，负偏离指供应商的响应低于招标文件要求。是否偏离用符号“+、=、-”或填写“正偏离、完全响应、负偏离”分别表示正偏离、完全响应、负偏离。</w:t>
      </w:r>
      <w:r>
        <w:rPr>
          <w:rFonts w:hint="eastAsia" w:ascii="宋体" w:hAnsi="宋体" w:eastAsia="宋体" w:cs="宋体"/>
          <w:szCs w:val="21"/>
          <w:highlight w:val="none"/>
        </w:rPr>
      </w:r>
      <w:r/>
    </w:p>
    <w:p>
      <w:pPr>
        <w:pStyle w:val="1033"/>
        <w:rPr>
          <w:rFonts w:hint="eastAsia" w:ascii="宋体" w:hAnsi="宋体" w:eastAsia="宋体" w:cs="宋体"/>
          <w:szCs w:val="21"/>
          <w:highlight w:val="none"/>
        </w:rPr>
      </w:pPr>
      <w:r>
        <w:rPr>
          <w:rFonts w:hint="eastAsia" w:ascii="宋体" w:hAnsi="宋体" w:eastAsia="宋体" w:cs="宋体"/>
          <w:szCs w:val="21"/>
          <w:highlight w:val="none"/>
        </w:rPr>
        <w:t xml:space="preserve">4. 如供应商将此表空白，视为供应商无任何偏离。</w:t>
      </w:r>
      <w:r>
        <w:rPr>
          <w:rFonts w:hint="eastAsia" w:ascii="宋体" w:hAnsi="宋体" w:eastAsia="宋体" w:cs="宋体"/>
          <w:szCs w:val="21"/>
          <w:highlight w:val="none"/>
        </w:rPr>
      </w:r>
      <w:r/>
    </w:p>
    <w:p>
      <w:pPr>
        <w:pStyle w:val="1033"/>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3"/>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33"/>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1033"/>
        <w:jc w:val="left"/>
        <w:spacing w:before="0" w:after="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3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3"/>
        <w:rPr>
          <w:rFonts w:hint="eastAsia" w:ascii="宋体" w:hAnsi="宋体" w:eastAsia="宋体" w:cs="宋体"/>
          <w:highlight w:val="none"/>
        </w:rPr>
      </w:pPr>
      <w:r>
        <w:rPr>
          <w:rFonts w:hint="eastAsia" w:ascii="宋体" w:hAnsi="宋体" w:eastAsia="宋体" w:cs="宋体"/>
          <w:highlight w:val="none"/>
        </w:rPr>
      </w:r>
      <w:r/>
    </w:p>
    <w:p>
      <w:pPr>
        <w:pStyle w:val="1033"/>
        <w:numPr>
          <w:ilvl w:val="0"/>
          <w:numId w:val="45"/>
        </w:numPr>
        <w:jc w:val="center"/>
        <w:tabs>
          <w:tab w:val="left" w:pos="312" w:leader="none"/>
        </w:tabs>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47" w:name="_Toc12051"/>
      <w:r/>
      <w:bookmarkStart w:id="148" w:name="_Toc12952"/>
      <w:r/>
      <w:bookmarkStart w:id="149" w:name="_Toc29152"/>
      <w:r/>
      <w:bookmarkStart w:id="150" w:name="_Toc25254"/>
      <w:r>
        <w:rPr>
          <w:rFonts w:hint="eastAsia" w:ascii="宋体" w:hAnsi="宋体" w:eastAsia="宋体" w:cs="宋体"/>
          <w:sz w:val="32"/>
          <w:szCs w:val="32"/>
          <w:highlight w:val="none"/>
        </w:rPr>
      </w:r>
      <w:r/>
    </w:p>
    <w:p>
      <w:pPr>
        <w:pStyle w:val="1033"/>
        <w:numPr>
          <w:ilvl w:val="0"/>
          <w:numId w:val="45"/>
        </w:numPr>
        <w:jc w:val="center"/>
        <w:tabs>
          <w:tab w:val="left" w:pos="312" w:leader="none"/>
        </w:tabs>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经营业绩（提供合同复印件）</w:t>
      </w:r>
      <w:bookmarkEnd w:id="147"/>
      <w:r/>
      <w:bookmarkEnd w:id="148"/>
      <w:r/>
      <w:bookmarkEnd w:id="149"/>
      <w:r/>
      <w:bookmarkEnd w:id="150"/>
      <w:r>
        <w:rPr>
          <w:rFonts w:hint="eastAsia" w:ascii="宋体" w:hAnsi="宋体" w:eastAsia="宋体" w:cs="宋体"/>
          <w:sz w:val="32"/>
          <w:szCs w:val="32"/>
          <w:highlight w:val="none"/>
        </w:rPr>
      </w:r>
      <w:r/>
    </w:p>
    <w:tbl>
      <w:tblPr>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1033"/>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2028" w:type="dxa"/>
            <w:vAlign w:val="center"/>
            <w:textDirection w:val="lrTb"/>
            <w:noWrap w:val="false"/>
          </w:tcPr>
          <w:p>
            <w:pPr>
              <w:pStyle w:val="1033"/>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业绩名称</w:t>
            </w:r>
            <w:r>
              <w:rPr>
                <w:rFonts w:hint="eastAsia" w:ascii="宋体" w:hAnsi="宋体" w:eastAsia="宋体" w:cs="宋体"/>
                <w:sz w:val="24"/>
                <w:szCs w:val="24"/>
                <w:highlight w:val="none"/>
              </w:rPr>
            </w:r>
            <w:r/>
          </w:p>
          <w:p>
            <w:pPr>
              <w:pStyle w:val="1033"/>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rPr>
            </w:r>
            <w:r/>
          </w:p>
        </w:tc>
        <w:tc>
          <w:tcPr>
            <w:tcW w:w="1695" w:type="dxa"/>
            <w:vAlign w:val="center"/>
            <w:textDirection w:val="lrTb"/>
            <w:noWrap w:val="false"/>
          </w:tcPr>
          <w:p>
            <w:pPr>
              <w:pStyle w:val="1033"/>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采购单位及联系人、联系方式</w:t>
            </w:r>
            <w:r>
              <w:rPr>
                <w:rFonts w:hint="eastAsia" w:ascii="宋体" w:hAnsi="宋体" w:eastAsia="宋体" w:cs="宋体"/>
                <w:sz w:val="24"/>
                <w:szCs w:val="24"/>
                <w:highlight w:val="none"/>
              </w:rPr>
            </w:r>
            <w:r/>
          </w:p>
        </w:tc>
        <w:tc>
          <w:tcPr>
            <w:tcW w:w="1275" w:type="dxa"/>
            <w:vAlign w:val="center"/>
            <w:textDirection w:val="lrTb"/>
            <w:noWrap w:val="false"/>
          </w:tcPr>
          <w:p>
            <w:pPr>
              <w:pStyle w:val="1033"/>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w:t>
            </w:r>
            <w:r>
              <w:rPr>
                <w:rFonts w:hint="eastAsia" w:ascii="宋体" w:hAnsi="宋体" w:eastAsia="宋体" w:cs="宋体"/>
                <w:sz w:val="24"/>
                <w:szCs w:val="24"/>
                <w:highlight w:val="none"/>
              </w:rPr>
            </w:r>
            <w:r/>
          </w:p>
          <w:p>
            <w:pPr>
              <w:pStyle w:val="1033"/>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rPr>
            </w:r>
            <w:r/>
          </w:p>
        </w:tc>
        <w:tc>
          <w:tcPr>
            <w:tcW w:w="1418" w:type="dxa"/>
            <w:vAlign w:val="center"/>
            <w:textDirection w:val="lrTb"/>
            <w:noWrap w:val="false"/>
          </w:tcPr>
          <w:p>
            <w:pPr>
              <w:pStyle w:val="1033"/>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合同金额</w:t>
            </w:r>
            <w:r>
              <w:rPr>
                <w:rFonts w:hint="eastAsia" w:ascii="宋体" w:hAnsi="宋体" w:eastAsia="宋体" w:cs="宋体"/>
                <w:sz w:val="24"/>
                <w:szCs w:val="24"/>
                <w:highlight w:val="none"/>
              </w:rPr>
            </w:r>
            <w:r/>
          </w:p>
          <w:p>
            <w:pPr>
              <w:pStyle w:val="1033"/>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2551" w:type="dxa"/>
            <w:vAlign w:val="center"/>
            <w:textDirection w:val="lrTb"/>
            <w:noWrap w:val="false"/>
          </w:tcPr>
          <w:p>
            <w:pPr>
              <w:pStyle w:val="1033"/>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证明材料</w:t>
            </w:r>
            <w:r>
              <w:rPr>
                <w:rFonts w:hint="eastAsia" w:ascii="宋体" w:hAnsi="宋体" w:eastAsia="宋体" w:cs="宋体"/>
                <w:sz w:val="24"/>
                <w:szCs w:val="24"/>
                <w:highlight w:val="none"/>
              </w:rPr>
            </w:r>
            <w:r/>
          </w:p>
          <w:p>
            <w:pPr>
              <w:pStyle w:val="1033"/>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（第几页—第几页）</w:t>
            </w:r>
            <w:r>
              <w:rPr>
                <w:rFonts w:hint="eastAsia" w:ascii="宋体" w:hAnsi="宋体" w:eastAsia="宋体" w:cs="宋体"/>
                <w:sz w:val="24"/>
                <w:szCs w:val="24"/>
                <w:highlight w:val="none"/>
              </w:rPr>
            </w:r>
            <w:r/>
          </w:p>
        </w:tc>
      </w:tr>
      <w:tr>
        <w:trPr>
          <w:trHeight w:val="530"/>
        </w:trPr>
        <w:tc>
          <w:tcPr>
            <w:tcW w:w="652" w:type="dxa"/>
            <w:vAlign w:val="center"/>
            <w:textDirection w:val="lrTb"/>
            <w:noWrap w:val="false"/>
          </w:tcPr>
          <w:p>
            <w:pPr>
              <w:pStyle w:val="1033"/>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2028" w:type="dxa"/>
            <w:vAlign w:val="center"/>
            <w:textDirection w:val="lrTb"/>
            <w:noWrap w:val="false"/>
          </w:tcPr>
          <w:p>
            <w:pPr>
              <w:pStyle w:val="1033"/>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1033"/>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1033"/>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1033"/>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1033"/>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8"/>
        </w:trPr>
        <w:tc>
          <w:tcPr>
            <w:tcW w:w="652" w:type="dxa"/>
            <w:vAlign w:val="center"/>
            <w:textDirection w:val="lrTb"/>
            <w:noWrap w:val="false"/>
          </w:tcPr>
          <w:p>
            <w:pPr>
              <w:pStyle w:val="1033"/>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2028" w:type="dxa"/>
            <w:vAlign w:val="center"/>
            <w:textDirection w:val="lrTb"/>
            <w:noWrap w:val="false"/>
          </w:tcPr>
          <w:p>
            <w:pPr>
              <w:pStyle w:val="1033"/>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1033"/>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1033"/>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1033"/>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1033"/>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7"/>
        </w:trPr>
        <w:tc>
          <w:tcPr>
            <w:tcW w:w="652" w:type="dxa"/>
            <w:vAlign w:val="center"/>
            <w:textDirection w:val="lrTb"/>
            <w:noWrap w:val="false"/>
          </w:tcPr>
          <w:p>
            <w:pPr>
              <w:pStyle w:val="1033"/>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2028" w:type="dxa"/>
            <w:vAlign w:val="center"/>
            <w:textDirection w:val="lrTb"/>
            <w:noWrap w:val="false"/>
          </w:tcPr>
          <w:p>
            <w:pPr>
              <w:pStyle w:val="1033"/>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1033"/>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1033"/>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1033"/>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1033"/>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7"/>
        </w:trPr>
        <w:tc>
          <w:tcPr>
            <w:tcW w:w="652" w:type="dxa"/>
            <w:vAlign w:val="center"/>
            <w:textDirection w:val="lrTb"/>
            <w:noWrap w:val="false"/>
          </w:tcPr>
          <w:p>
            <w:pPr>
              <w:pStyle w:val="1033"/>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2028" w:type="dxa"/>
            <w:vAlign w:val="center"/>
            <w:textDirection w:val="lrTb"/>
            <w:noWrap w:val="false"/>
          </w:tcPr>
          <w:p>
            <w:pPr>
              <w:pStyle w:val="1033"/>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1033"/>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1033"/>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1033"/>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1033"/>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7"/>
        </w:trPr>
        <w:tc>
          <w:tcPr>
            <w:tcW w:w="652" w:type="dxa"/>
            <w:vAlign w:val="center"/>
            <w:textDirection w:val="lrTb"/>
            <w:noWrap w:val="false"/>
          </w:tcPr>
          <w:p>
            <w:pPr>
              <w:pStyle w:val="1033"/>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2028" w:type="dxa"/>
            <w:vAlign w:val="center"/>
            <w:textDirection w:val="lrTb"/>
            <w:noWrap w:val="false"/>
          </w:tcPr>
          <w:p>
            <w:pPr>
              <w:pStyle w:val="1033"/>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1033"/>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1033"/>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1033"/>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1033"/>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7"/>
        </w:trPr>
        <w:tc>
          <w:tcPr>
            <w:tcW w:w="652" w:type="dxa"/>
            <w:vAlign w:val="center"/>
            <w:textDirection w:val="lrTb"/>
            <w:noWrap w:val="false"/>
          </w:tcPr>
          <w:p>
            <w:pPr>
              <w:pStyle w:val="1033"/>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28" w:type="dxa"/>
            <w:vAlign w:val="center"/>
            <w:textDirection w:val="lrTb"/>
            <w:noWrap w:val="false"/>
          </w:tcPr>
          <w:p>
            <w:pPr>
              <w:pStyle w:val="1033"/>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1033"/>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1033"/>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1033"/>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1033"/>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33"/>
        <w:rPr>
          <w:rFonts w:hint="eastAsia" w:ascii="宋体" w:hAnsi="宋体" w:eastAsia="宋体" w:cs="宋体"/>
          <w:szCs w:val="21"/>
          <w:highlight w:val="none"/>
        </w:rPr>
      </w:pPr>
      <w:r>
        <w:rPr>
          <w:rFonts w:hint="eastAsia" w:ascii="宋体" w:hAnsi="宋体" w:eastAsia="宋体" w:cs="宋体"/>
          <w:szCs w:val="21"/>
          <w:highlight w:val="none"/>
        </w:rPr>
        <w:t xml:space="preserve">注：此表为表样，行数可自行添加，但表式不变。根据评分标准要求，附上业绩证明材料</w:t>
      </w:r>
      <w:r>
        <w:rPr>
          <w:rFonts w:hint="eastAsia" w:ascii="宋体" w:hAnsi="宋体" w:eastAsia="宋体" w:cs="宋体"/>
          <w:szCs w:val="21"/>
          <w:highlight w:val="none"/>
        </w:rPr>
      </w:r>
      <w:r/>
    </w:p>
    <w:p>
      <w:pPr>
        <w:pStyle w:val="1033"/>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33"/>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3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附：供应商业绩合同复印件</w:t>
      </w:r>
      <w:bookmarkStart w:id="151" w:name="_Toc3055"/>
      <w:r/>
      <w:bookmarkStart w:id="152" w:name="_Toc5435"/>
      <w:r/>
      <w:bookmarkStart w:id="153" w:name="_Toc478493367"/>
      <w:r/>
      <w:bookmarkStart w:id="154" w:name="_Toc448874878"/>
      <w:r/>
      <w:bookmarkStart w:id="155" w:name="_Toc17430"/>
      <w:r/>
      <w:bookmarkStart w:id="156" w:name="_Toc30172"/>
      <w:r>
        <w:rPr>
          <w:rFonts w:hint="eastAsia" w:ascii="宋体" w:hAnsi="宋体" w:eastAsia="宋体" w:cs="宋体"/>
          <w:sz w:val="24"/>
          <w:szCs w:val="24"/>
          <w:highlight w:val="none"/>
        </w:rPr>
      </w:r>
      <w:r/>
    </w:p>
    <w:p>
      <w:pPr>
        <w:pStyle w:val="1033"/>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highlight w:val="none"/>
        </w:rPr>
      </w:r>
      <w:r/>
    </w:p>
    <w:p>
      <w:pPr>
        <w:pStyle w:val="1033"/>
        <w:jc w:val="center"/>
        <w:rPr>
          <w:rFonts w:hint="eastAsia" w:ascii="宋体" w:hAnsi="宋体" w:eastAsia="宋体" w:cs="宋体"/>
          <w:b/>
          <w:bCs/>
          <w:sz w:val="32"/>
          <w:szCs w:val="32"/>
          <w:highlight w:val="none"/>
        </w:rPr>
      </w:pPr>
      <w:r>
        <w:rPr>
          <w:rFonts w:hint="eastAsia" w:ascii="宋体" w:hAnsi="宋体" w:eastAsia="宋体" w:cs="宋体"/>
          <w:sz w:val="32"/>
          <w:szCs w:val="32"/>
          <w:highlight w:val="none"/>
        </w:rPr>
        <w:t xml:space="preserve">8.项目实施方案</w:t>
      </w:r>
      <w:bookmarkEnd w:id="151"/>
      <w:r/>
      <w:bookmarkEnd w:id="152"/>
      <w:r/>
      <w:bookmarkEnd w:id="153"/>
      <w:r/>
      <w:bookmarkEnd w:id="154"/>
      <w:r/>
      <w:bookmarkEnd w:id="155"/>
      <w:r/>
      <w:bookmarkEnd w:id="156"/>
      <w:r>
        <w:rPr>
          <w:rFonts w:hint="eastAsia" w:ascii="宋体" w:hAnsi="宋体" w:eastAsia="宋体" w:cs="宋体"/>
          <w:b/>
          <w:bCs/>
          <w:sz w:val="32"/>
          <w:szCs w:val="32"/>
          <w:highlight w:val="none"/>
        </w:rPr>
      </w:r>
      <w:r/>
    </w:p>
    <w:p>
      <w:pPr>
        <w:pStyle w:val="1033"/>
        <w:ind w:left="21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本项应包含且不限于下列内容：</w:t>
      </w:r>
      <w:r>
        <w:rPr>
          <w:rFonts w:hint="eastAsia" w:ascii="宋体" w:hAnsi="宋体" w:eastAsia="宋体" w:cs="宋体"/>
          <w:sz w:val="24"/>
          <w:szCs w:val="24"/>
          <w:highlight w:val="none"/>
        </w:rPr>
      </w:r>
      <w:r/>
    </w:p>
    <w:p>
      <w:pPr>
        <w:pStyle w:val="1033"/>
        <w:numPr>
          <w:ilvl w:val="0"/>
          <w:numId w:val="46"/>
        </w:numPr>
        <w:ind w:left="21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人员配备方案；</w:t>
      </w:r>
      <w:r>
        <w:rPr>
          <w:rFonts w:hint="eastAsia" w:ascii="宋体" w:hAnsi="宋体" w:eastAsia="宋体" w:cs="宋体"/>
          <w:sz w:val="24"/>
          <w:szCs w:val="24"/>
          <w:highlight w:val="none"/>
        </w:rPr>
      </w:r>
      <w:r/>
    </w:p>
    <w:p>
      <w:pPr>
        <w:pStyle w:val="1033"/>
        <w:numPr>
          <w:ilvl w:val="0"/>
          <w:numId w:val="46"/>
        </w:numPr>
        <w:ind w:left="21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服务方案；</w:t>
      </w:r>
      <w:r>
        <w:rPr>
          <w:rFonts w:hint="eastAsia" w:ascii="宋体" w:hAnsi="宋体" w:eastAsia="宋体" w:cs="宋体"/>
          <w:sz w:val="24"/>
          <w:szCs w:val="24"/>
          <w:highlight w:val="none"/>
        </w:rPr>
      </w:r>
      <w:r/>
    </w:p>
    <w:p>
      <w:pPr>
        <w:pStyle w:val="1033"/>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3"/>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3"/>
        <w:ind w:left="216"/>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33"/>
        <w:ind w:left="216"/>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33"/>
        <w:rPr>
          <w:rFonts w:hint="eastAsia" w:ascii="宋体" w:hAnsi="宋体" w:eastAsia="宋体" w:cs="宋体"/>
          <w:highlight w:val="none"/>
        </w:rPr>
      </w:pPr>
      <w:r>
        <w:rPr>
          <w:rFonts w:hint="eastAsia" w:ascii="宋体" w:hAnsi="宋体" w:eastAsia="宋体" w:cs="宋体"/>
          <w:highlight w:val="none"/>
        </w:rPr>
      </w:r>
      <w:r/>
    </w:p>
    <w:p>
      <w:pPr>
        <w:pStyle w:val="1033"/>
        <w:jc w:val="center"/>
        <w:rPr>
          <w:rFonts w:hint="eastAsia" w:ascii="宋体" w:hAnsi="宋体" w:eastAsia="宋体" w:cs="宋体"/>
          <w:highlight w:val="none"/>
        </w:rPr>
      </w:pPr>
      <w:r/>
      <w:bookmarkStart w:id="157" w:name="_Toc8684"/>
      <w:r/>
      <w:bookmarkStart w:id="158" w:name="_Toc9040"/>
      <w:r>
        <w:rPr>
          <w:rFonts w:hint="eastAsia" w:ascii="宋体" w:hAnsi="宋体" w:eastAsia="宋体" w:cs="宋体"/>
          <w:highlight w:val="none"/>
        </w:rPr>
        <w:br w:type="page" w:clear="all"/>
      </w:r>
      <w:bookmarkStart w:id="159" w:name="_Toc1628"/>
      <w:r>
        <w:rPr>
          <w:rFonts w:hint="eastAsia" w:ascii="宋体" w:hAnsi="宋体" w:eastAsia="宋体" w:cs="宋体"/>
          <w:sz w:val="32"/>
          <w:szCs w:val="32"/>
          <w:highlight w:val="none"/>
        </w:rPr>
        <w:t xml:space="preserve">9.人员配备、资质及人员管理</w:t>
      </w:r>
      <w:bookmarkEnd w:id="157"/>
      <w:r/>
      <w:bookmarkEnd w:id="159"/>
      <w:r>
        <w:rPr>
          <w:rFonts w:hint="eastAsia" w:ascii="宋体" w:hAnsi="宋体" w:eastAsia="宋体" w:cs="宋体"/>
          <w:highlight w:val="none"/>
        </w:rPr>
      </w:r>
      <w:r/>
    </w:p>
    <w:p>
      <w:pPr>
        <w:pStyle w:val="1033"/>
        <w:ind w:firstLine="465"/>
        <w:spacing w:before="4"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人员配备一览表</w:t>
      </w:r>
      <w:r>
        <w:rPr>
          <w:rFonts w:hint="eastAsia" w:ascii="宋体" w:hAnsi="宋体" w:eastAsia="宋体" w:cs="宋体"/>
          <w:sz w:val="24"/>
          <w:szCs w:val="24"/>
          <w:highlight w:val="none"/>
        </w:rPr>
      </w:r>
      <w:r/>
    </w:p>
    <w:tbl>
      <w:tblPr>
        <w:tblpPr w:horzAnchor="page" w:tblpX="1241" w:vertAnchor="text" w:tblpY="375" w:leftFromText="180" w:topFromText="0" w:rightFromText="180" w:bottomFromText="0"/>
        <w:tblW w:w="9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047"/>
        <w:gridCol w:w="2038"/>
        <w:gridCol w:w="868"/>
        <w:gridCol w:w="1010"/>
        <w:gridCol w:w="1758"/>
        <w:gridCol w:w="1904"/>
      </w:tblGrid>
      <w:tr>
        <w:trPr>
          <w:trHeight w:val="90"/>
        </w:trPr>
        <w:tc>
          <w:tcPr>
            <w:tcW w:w="715"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1047"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rPr>
            </w:r>
            <w:r/>
          </w:p>
        </w:tc>
        <w:tc>
          <w:tcPr>
            <w:tcW w:w="2038"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在本项目中担任的职务</w:t>
            </w:r>
            <w:r>
              <w:rPr>
                <w:rFonts w:hint="eastAsia" w:ascii="宋体" w:hAnsi="宋体" w:eastAsia="宋体" w:cs="宋体"/>
                <w:sz w:val="24"/>
                <w:szCs w:val="24"/>
                <w:highlight w:val="none"/>
              </w:rPr>
            </w:r>
            <w:r/>
          </w:p>
        </w:tc>
        <w:tc>
          <w:tcPr>
            <w:tcW w:w="868"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岗位职称</w:t>
            </w:r>
            <w:r>
              <w:rPr>
                <w:rFonts w:hint="eastAsia" w:ascii="宋体" w:hAnsi="宋体" w:eastAsia="宋体" w:cs="宋体"/>
                <w:sz w:val="24"/>
                <w:szCs w:val="24"/>
                <w:highlight w:val="none"/>
              </w:rPr>
            </w:r>
            <w:r/>
          </w:p>
        </w:tc>
        <w:tc>
          <w:tcPr>
            <w:tcW w:w="1010"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rPr>
            </w:r>
            <w:r/>
          </w:p>
        </w:tc>
        <w:tc>
          <w:tcPr>
            <w:tcW w:w="1758"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身份证号码</w:t>
            </w:r>
            <w:r>
              <w:rPr>
                <w:rFonts w:hint="eastAsia" w:ascii="宋体" w:hAnsi="宋体" w:eastAsia="宋体" w:cs="宋体"/>
                <w:sz w:val="24"/>
                <w:szCs w:val="24"/>
                <w:highlight w:val="none"/>
              </w:rPr>
            </w:r>
            <w:r/>
          </w:p>
        </w:tc>
        <w:tc>
          <w:tcPr>
            <w:tcW w:w="1904"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主要资历、经验</w:t>
            </w: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047"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1033"/>
              <w:jc w:val="center"/>
              <w:spacing w:before="4" w:line="520" w:lineRule="exact"/>
              <w:widowControl/>
              <w:rPr>
                <w:rFonts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项目负责人（项目经理）</w:t>
            </w:r>
            <w:r>
              <w:rPr>
                <w:rFonts w:ascii="宋体" w:hAnsi="宋体" w:eastAsia="宋体" w:cs="宋体"/>
                <w:sz w:val="24"/>
                <w:szCs w:val="24"/>
                <w:highlight w:val="none"/>
              </w:rPr>
            </w:r>
            <w:r/>
          </w:p>
        </w:tc>
        <w:tc>
          <w:tcPr>
            <w:tcW w:w="868"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1047"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1033"/>
              <w:jc w:val="center"/>
              <w:spacing w:before="4" w:line="520" w:lineRule="exact"/>
              <w:widowControl/>
              <w:rPr>
                <w:rFonts w:ascii="宋体" w:hAnsi="宋体" w:eastAsia="宋体" w:cs="宋体"/>
                <w:sz w:val="24"/>
                <w:szCs w:val="24"/>
                <w:highlight w:val="none"/>
              </w:rPr>
              <w:framePr w:vAnchor="text" w:hAnchor="page" w:x="1241" w:y="375"/>
            </w:pPr>
            <w:r>
              <w:rPr>
                <w:rFonts w:ascii="宋体" w:hAnsi="宋体" w:eastAsia="宋体" w:cs="宋体"/>
                <w:sz w:val="24"/>
                <w:szCs w:val="24"/>
                <w:highlight w:val="none"/>
              </w:rPr>
            </w:r>
            <w:r/>
          </w:p>
        </w:tc>
        <w:tc>
          <w:tcPr>
            <w:tcW w:w="868"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1047"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868"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1047"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868"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1047"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868"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1047"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W w:w="868"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1033"/>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bl>
    <w:p>
      <w:pPr>
        <w:pStyle w:val="1033"/>
        <w:rPr>
          <w:rFonts w:hint="eastAsia" w:ascii="宋体" w:hAnsi="宋体" w:eastAsia="宋体" w:cs="宋体"/>
          <w:szCs w:val="21"/>
          <w:highlight w:val="none"/>
        </w:rPr>
      </w:pPr>
      <w:r>
        <w:rPr>
          <w:rFonts w:hint="eastAsia" w:ascii="宋体" w:hAnsi="宋体" w:eastAsia="宋体" w:cs="宋体"/>
          <w:szCs w:val="21"/>
          <w:highlight w:val="none"/>
        </w:rPr>
        <w:t xml:space="preserve">注：此表为表样，行数可自行添加，但表式不变。</w:t>
      </w:r>
      <w:r>
        <w:rPr>
          <w:rFonts w:hint="eastAsia" w:ascii="宋体" w:hAnsi="宋体" w:eastAsia="宋体" w:cs="宋体"/>
          <w:szCs w:val="21"/>
          <w:highlight w:val="none"/>
        </w:rPr>
      </w:r>
      <w:r/>
    </w:p>
    <w:p>
      <w:pPr>
        <w:pStyle w:val="1033"/>
        <w:ind w:firstLine="7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3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bookmarkEnd w:id="128"/>
      <w:r/>
      <w:bookmarkEnd w:id="158"/>
      <w:r>
        <w:rPr>
          <w:rFonts w:hint="eastAsia" w:ascii="宋体" w:hAnsi="宋体" w:eastAsia="宋体" w:cs="宋体"/>
          <w:sz w:val="24"/>
          <w:szCs w:val="24"/>
          <w:highlight w:val="none"/>
        </w:rPr>
      </w:r>
      <w:r/>
    </w:p>
    <w:p>
      <w:pPr>
        <w:pStyle w:val="1033"/>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033"/>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highlight w:val="none"/>
        </w:rPr>
      </w:r>
      <w:r/>
    </w:p>
    <w:p>
      <w:pPr>
        <w:pStyle w:val="1033"/>
        <w:jc w:val="center"/>
        <w:rPr>
          <w:rFonts w:ascii="宋体" w:hAnsi="宋体" w:eastAsia="宋体" w:cs="宋体"/>
          <w:sz w:val="32"/>
          <w:szCs w:val="32"/>
          <w:highlight w:val="none"/>
        </w:rPr>
      </w:pPr>
      <w:r>
        <w:rPr>
          <w:rFonts w:hint="eastAsia" w:ascii="宋体" w:hAnsi="宋体" w:eastAsia="宋体" w:cs="宋体"/>
          <w:sz w:val="32"/>
          <w:szCs w:val="32"/>
          <w:highlight w:val="none"/>
        </w:rPr>
        <w:t xml:space="preserve">10.相关承诺</w:t>
      </w:r>
      <w:r>
        <w:rPr>
          <w:rFonts w:ascii="宋体" w:hAnsi="宋体" w:eastAsia="宋体" w:cs="宋体"/>
          <w:sz w:val="32"/>
          <w:szCs w:val="32"/>
          <w:highlight w:val="none"/>
        </w:rPr>
      </w:r>
      <w:r/>
    </w:p>
    <w:p>
      <w:pPr>
        <w:pStyle w:val="1033"/>
        <w:ind w:firstLine="480"/>
        <w:spacing w:before="0" w:after="0" w:line="4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（投标人认为需要提供的与本次</w:t>
      </w:r>
      <w:r>
        <w:rPr>
          <w:rFonts w:hint="eastAsia" w:ascii="宋体" w:hAnsi="宋体" w:eastAsia="宋体" w:cs="宋体"/>
          <w:sz w:val="24"/>
          <w:szCs w:val="24"/>
          <w:highlight w:val="none"/>
        </w:rPr>
        <w:t xml:space="preserve">招标采购需求中</w:t>
      </w:r>
      <w:r>
        <w:rPr>
          <w:rFonts w:hint="eastAsia" w:ascii="宋体" w:hAnsi="宋体" w:eastAsia="宋体" w:cs="宋体"/>
          <w:sz w:val="24"/>
          <w:szCs w:val="24"/>
          <w:highlight w:val="none"/>
          <w:lang w:val="zh-CN"/>
        </w:rPr>
        <w:t xml:space="preserve">有关的</w:t>
      </w:r>
      <w:r>
        <w:rPr>
          <w:rFonts w:hint="eastAsia" w:ascii="宋体" w:hAnsi="宋体" w:eastAsia="宋体" w:cs="宋体"/>
          <w:sz w:val="24"/>
          <w:szCs w:val="24"/>
          <w:highlight w:val="none"/>
        </w:rPr>
        <w:t xml:space="preserve">承诺</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1033"/>
        <w:ind w:firstLine="480"/>
        <w:spacing w:before="0" w:after="0" w:line="4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1033"/>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033"/>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033"/>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11.其他材料</w:t>
      </w:r>
      <w:r>
        <w:rPr>
          <w:rFonts w:hint="eastAsia" w:ascii="宋体" w:hAnsi="宋体" w:eastAsia="宋体" w:cs="宋体"/>
          <w:sz w:val="32"/>
          <w:szCs w:val="32"/>
          <w:highlight w:val="none"/>
        </w:rPr>
      </w:r>
      <w:r/>
    </w:p>
    <w:p>
      <w:pPr>
        <w:pStyle w:val="1033"/>
        <w:ind w:firstLine="480"/>
        <w:spacing w:before="0" w:after="0" w:line="44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lang w:val="zh-CN"/>
        </w:rPr>
        <w:t xml:space="preserve">（投标人认为需要提供的与本次</w:t>
      </w:r>
      <w:r>
        <w:rPr>
          <w:rFonts w:hint="eastAsia" w:ascii="宋体" w:hAnsi="宋体" w:eastAsia="宋体" w:cs="宋体"/>
          <w:sz w:val="24"/>
          <w:szCs w:val="24"/>
          <w:highlight w:val="none"/>
        </w:rPr>
        <w:t xml:space="preserve">招标</w:t>
      </w:r>
      <w:r>
        <w:rPr>
          <w:rFonts w:hint="eastAsia" w:ascii="宋体" w:hAnsi="宋体" w:eastAsia="宋体" w:cs="宋体"/>
          <w:sz w:val="24"/>
          <w:szCs w:val="24"/>
          <w:highlight w:val="none"/>
          <w:lang w:val="zh-CN"/>
        </w:rPr>
        <w:t xml:space="preserve">有关的其他材料）</w:t>
      </w:r>
      <w:r>
        <w:rPr>
          <w:rFonts w:hint="eastAsia" w:ascii="宋体" w:hAnsi="宋体" w:eastAsia="宋体" w:cs="宋体"/>
          <w:bCs/>
          <w:sz w:val="24"/>
          <w:szCs w:val="24"/>
          <w:highlight w:val="none"/>
        </w:rPr>
      </w:r>
      <w:r/>
    </w:p>
    <w:sectPr>
      <w:footnotePr/>
      <w:endnotePr/>
      <w:type w:val="nextPage"/>
      <w:pgSz w:w="11906" w:h="16838" w:orient="portrait"/>
      <w:pgMar w:top="1440" w:right="1080" w:bottom="1440" w:left="1080"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华文细黑">
    <w:panose1 w:val="02010600040101010101"/>
  </w:font>
  <w:font w:name="汉仪大黑简">
    <w:panose1 w:val="020B0503020202020204"/>
  </w:font>
  <w:font w:name="楷体">
    <w:panose1 w:val="02010609060101010101"/>
  </w:font>
  <w:font w:name="Wingdings">
    <w:panose1 w:val="05000000000000000000"/>
  </w:font>
  <w:font w:name="华文楷体">
    <w:panose1 w:val="02010600040101010101"/>
  </w:font>
  <w:font w:name="Tahoma">
    <w:panose1 w:val="020B0604030504040204"/>
  </w:font>
  <w:font w:name="Courier New">
    <w:panose1 w:val="02070309020205020404"/>
  </w:font>
  <w:font w:name="楷体_GB2312">
    <w:panose1 w:val="02010609060101010101"/>
  </w:font>
  <w:font w:name="ˎ̥">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w:r/>
  </w:p>
  <w:p>
    <w:pPr>
      <w:pStyle w:val="10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w:r/>
  </w:p>
  <w:p>
    <w:pPr>
      <w:pStyle w:val="103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w:r/>
  </w:p>
  <w:p>
    <w:pPr>
      <w:pStyle w:val="103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30200" cy="41529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1085"/>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rPr>
                              <w:sz w:val="24"/>
                              <w:szCs w:val="28"/>
                            </w:rPr>
                          </w:r>
                          <w:r/>
                        </w:p>
                        <w:p>
                          <w:pPr>
                            <w:pStyle w:val="103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1085"/>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rPr>
                        <w:sz w:val="24"/>
                        <w:szCs w:val="28"/>
                      </w:rPr>
                    </w:r>
                    <w:r/>
                  </w:p>
                  <w:p>
                    <w:pPr>
                      <w:pStyle w:val="1033"/>
                    </w:pPr>
                    <w:r/>
                    <w:r/>
                  </w:p>
                </w:txbxContent>
              </v:textbox>
            </v:shape>
          </w:pict>
        </mc:Fallback>
      </mc:AlternateContent>
    </w:r>
    <w:r/>
  </w:p>
  <w:p>
    <w:pPr>
      <w:pStyle w:val="10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right"/>
      <w:rPr>
        <w:b/>
        <w:bCs/>
        <w:color w:val="2f5496"/>
        <w:sz w:val="16"/>
        <w:szCs w:val="15"/>
      </w:rPr>
    </w:pPr>
    <w:r>
      <w:rPr>
        <w:b/>
        <w:bCs/>
        <w:color w:val="2f5496"/>
        <w:sz w:val="16"/>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w:r/>
  </w:p>
  <w:p>
    <w:pPr>
      <w:pStyle w:val="103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left"/>
      <w:rPr>
        <w:rFonts w:hint="eastAsia" w:eastAsia="宋体"/>
        <w:b/>
        <w:bCs/>
        <w:color w:val="243f61"/>
        <w:sz w:val="15"/>
        <w:szCs w:val="13"/>
      </w:rPr>
    </w:pPr>
    <w:r>
      <mc:AlternateContent>
        <mc:Choice Requires="wpg">
          <w:drawing>
            <wp:inline xmlns:wp="http://schemas.openxmlformats.org/drawingml/2006/wordprocessingDrawing" distT="0" distB="0" distL="0" distR="0">
              <wp:extent cx="2309482" cy="30284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09482" cy="302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1.8pt;height:23.8pt;mso-wrap-distance-left:0.0pt;mso-wrap-distance-top:0.0pt;mso-wrap-distance-right:0.0pt;mso-wrap-distance-bottom:0.0pt;" stroked="f">
              <v:path textboxrect="0,0,0,0"/>
              <v:imagedata r:id="rId1" o:title=""/>
            </v:shape>
          </w:pict>
        </mc:Fallback>
      </mc:AlternateContent>
    </w:r>
    <w:r>
      <w:rPr>
        <w:rFonts w:hint="eastAsia" w:eastAsia="宋体"/>
        <w:b/>
        <w:bCs/>
        <w:color w:val="243f61"/>
        <w:sz w:val="15"/>
        <w:szCs w:val="13"/>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22.2.%1"/>
      <w:lvlJc w:val="left"/>
      <w:pPr>
        <w:pStyle w:val="1033"/>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nothing"/>
      <w:lvlText w:val="%1、"/>
      <w:lvlJc w:val="left"/>
      <w:pPr>
        <w:pStyle w:val="103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22.2.3.%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26.%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1033"/>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5.%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21.%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8.%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03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1"/>
      <w:numFmt w:val="decimal"/>
      <w:isLgl w:val="false"/>
      <w:suff w:val="nothing"/>
      <w:lvlText w:val="%1、"/>
      <w:lvlJc w:val="left"/>
      <w:pPr>
        <w:pStyle w:val="103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8.%1"/>
      <w:lvlJc w:val="left"/>
      <w:pPr>
        <w:pStyle w:val="1033"/>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4.%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chineseCounting"/>
      <w:isLgl w:val="false"/>
      <w:suff w:val="nothing"/>
      <w:lvlText w:val="%1、"/>
      <w:lvlJc w:val="left"/>
      <w:pPr>
        <w:pStyle w:val="10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pStyle w:val="10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tab"/>
      <w:lvlText w:val="%1."/>
      <w:lvlJc w:val="left"/>
      <w:pPr>
        <w:pStyle w:val="103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1347"/>
      <w:isLgl w:val="false"/>
      <w:suff w:val="tab"/>
      <w:lvlText w:val=""/>
      <w:lvlJc w:val="left"/>
      <w:pPr>
        <w:pStyle w:val="1033"/>
        <w:ind w:left="420" w:hanging="420"/>
        <w:tabs>
          <w:tab w:val="num" w:pos="420" w:leader="none"/>
        </w:tabs>
      </w:pPr>
      <w:rPr>
        <w:rFonts w:ascii="Wingdings" w:hAnsi="Wingdings"/>
      </w:rPr>
    </w:lvl>
    <w:lvl w:ilvl="1">
      <w:start w:val="1"/>
      <w:numFmt w:val="decimal"/>
      <w:isLgl w:val="false"/>
      <w:suff w:val="tab"/>
      <w:lvlText w:val="（%2）"/>
      <w:lvlJc w:val="left"/>
      <w:pPr>
        <w:pStyle w:val="1033"/>
        <w:ind w:left="1500" w:hanging="1080"/>
        <w:tabs>
          <w:tab w:val="num" w:pos="1500" w:leader="none"/>
        </w:tabs>
      </w:pPr>
      <w:rPr>
        <w:rFonts w:hint="eastAsia"/>
      </w:rPr>
    </w:lvl>
    <w:lvl w:ilvl="2">
      <w:start w:val="1"/>
      <w:numFmt w:val="decimal"/>
      <w:isLgl w:val="false"/>
      <w:suff w:val="tab"/>
      <w:lvlText w:val="（%3）"/>
      <w:lvlJc w:val="left"/>
      <w:pPr>
        <w:pStyle w:val="1033"/>
        <w:ind w:left="1560" w:hanging="720"/>
        <w:tabs>
          <w:tab w:val="num" w:pos="1560" w:leader="none"/>
        </w:tabs>
      </w:pPr>
      <w:rPr>
        <w:rFonts w:hint="eastAsia"/>
      </w:rPr>
    </w:lvl>
    <w:lvl w:ilvl="3">
      <w:start w:val="1"/>
      <w:numFmt w:val="decimal"/>
      <w:isLgl w:val="false"/>
      <w:suff w:val="tab"/>
      <w:lvlText w:val="%4."/>
      <w:lvlJc w:val="left"/>
      <w:pPr>
        <w:pStyle w:val="1033"/>
        <w:ind w:left="1680" w:hanging="420"/>
        <w:tabs>
          <w:tab w:val="num" w:pos="1680" w:leader="none"/>
        </w:tabs>
      </w:pPr>
    </w:lvl>
    <w:lvl w:ilvl="4">
      <w:start w:val="1"/>
      <w:numFmt w:val="lowerLetter"/>
      <w:isLgl w:val="false"/>
      <w:suff w:val="tab"/>
      <w:lvlText w:val="%5)"/>
      <w:lvlJc w:val="left"/>
      <w:pPr>
        <w:pStyle w:val="1033"/>
        <w:ind w:left="2100" w:hanging="420"/>
        <w:tabs>
          <w:tab w:val="num" w:pos="2100" w:leader="none"/>
        </w:tabs>
      </w:pPr>
    </w:lvl>
    <w:lvl w:ilvl="5">
      <w:start w:val="1"/>
      <w:numFmt w:val="lowerRoman"/>
      <w:isLgl w:val="false"/>
      <w:suff w:val="tab"/>
      <w:lvlText w:val="%6."/>
      <w:lvlJc w:val="right"/>
      <w:pPr>
        <w:pStyle w:val="1033"/>
        <w:ind w:left="2520" w:hanging="420"/>
        <w:tabs>
          <w:tab w:val="num" w:pos="2520" w:leader="none"/>
        </w:tabs>
      </w:pPr>
    </w:lvl>
    <w:lvl w:ilvl="6">
      <w:start w:val="1"/>
      <w:numFmt w:val="decimal"/>
      <w:isLgl w:val="false"/>
      <w:suff w:val="tab"/>
      <w:lvlText w:val="%7."/>
      <w:lvlJc w:val="left"/>
      <w:pPr>
        <w:pStyle w:val="1033"/>
        <w:ind w:left="2940" w:hanging="420"/>
        <w:tabs>
          <w:tab w:val="num" w:pos="2940" w:leader="none"/>
        </w:tabs>
      </w:pPr>
    </w:lvl>
    <w:lvl w:ilvl="7">
      <w:start w:val="1"/>
      <w:numFmt w:val="lowerLetter"/>
      <w:isLgl w:val="false"/>
      <w:suff w:val="tab"/>
      <w:lvlText w:val="%8)"/>
      <w:lvlJc w:val="left"/>
      <w:pPr>
        <w:pStyle w:val="1033"/>
        <w:ind w:left="3360" w:hanging="420"/>
        <w:tabs>
          <w:tab w:val="num" w:pos="3360" w:leader="none"/>
        </w:tabs>
      </w:pPr>
    </w:lvl>
    <w:lvl w:ilvl="8">
      <w:start w:val="1"/>
      <w:numFmt w:val="lowerRoman"/>
      <w:isLgl w:val="false"/>
      <w:suff w:val="tab"/>
      <w:lvlText w:val="%9."/>
      <w:lvlJc w:val="right"/>
      <w:pPr>
        <w:pStyle w:val="1033"/>
        <w:ind w:left="3780" w:hanging="420"/>
        <w:tabs>
          <w:tab w:val="num" w:pos="3780" w:leader="none"/>
        </w:tabs>
      </w:pPr>
    </w:lvl>
  </w:abstractNum>
  <w:abstractNum w:abstractNumId="19">
    <w:multiLevelType w:val="hybridMultilevel"/>
    <w:lvl w:ilvl="0">
      <w:start w:val="1"/>
      <w:numFmt w:val="decimal"/>
      <w:pStyle w:val="1415"/>
      <w:isLgl w:val="false"/>
      <w:suff w:val="tab"/>
      <w:lvlText w:val="(%1)"/>
      <w:lvlJc w:val="left"/>
      <w:pPr>
        <w:pStyle w:val="1033"/>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33"/>
        <w:ind w:left="840" w:hanging="420"/>
        <w:tabs>
          <w:tab w:val="num" w:pos="840" w:leader="none"/>
        </w:tabs>
      </w:pPr>
    </w:lvl>
    <w:lvl w:ilvl="2">
      <w:start w:val="1"/>
      <w:numFmt w:val="lowerRoman"/>
      <w:isLgl w:val="false"/>
      <w:suff w:val="tab"/>
      <w:lvlText w:val="%3."/>
      <w:lvlJc w:val="right"/>
      <w:pPr>
        <w:pStyle w:val="1033"/>
        <w:ind w:left="1260" w:hanging="420"/>
        <w:tabs>
          <w:tab w:val="num" w:pos="1260" w:leader="none"/>
        </w:tabs>
      </w:pPr>
    </w:lvl>
    <w:lvl w:ilvl="3">
      <w:start w:val="1"/>
      <w:numFmt w:val="decimal"/>
      <w:isLgl w:val="false"/>
      <w:suff w:val="tab"/>
      <w:lvlText w:val="%4."/>
      <w:lvlJc w:val="left"/>
      <w:pPr>
        <w:pStyle w:val="1033"/>
        <w:ind w:left="1680" w:hanging="420"/>
        <w:tabs>
          <w:tab w:val="num" w:pos="1680" w:leader="none"/>
        </w:tabs>
      </w:pPr>
    </w:lvl>
    <w:lvl w:ilvl="4">
      <w:start w:val="1"/>
      <w:numFmt w:val="lowerLetter"/>
      <w:pStyle w:val="1399"/>
      <w:isLgl w:val="false"/>
      <w:suff w:val="tab"/>
      <w:lvlText w:val="%5)"/>
      <w:lvlJc w:val="left"/>
      <w:pPr>
        <w:pStyle w:val="1033"/>
        <w:ind w:left="2100" w:hanging="420"/>
        <w:tabs>
          <w:tab w:val="num" w:pos="2100" w:leader="none"/>
        </w:tabs>
      </w:pPr>
    </w:lvl>
    <w:lvl w:ilvl="5">
      <w:start w:val="1"/>
      <w:numFmt w:val="lowerRoman"/>
      <w:isLgl w:val="false"/>
      <w:suff w:val="tab"/>
      <w:lvlText w:val="%6."/>
      <w:lvlJc w:val="right"/>
      <w:pPr>
        <w:pStyle w:val="1033"/>
        <w:ind w:left="2520" w:hanging="420"/>
        <w:tabs>
          <w:tab w:val="num" w:pos="2520" w:leader="none"/>
        </w:tabs>
      </w:pPr>
    </w:lvl>
    <w:lvl w:ilvl="6">
      <w:start w:val="1"/>
      <w:numFmt w:val="decimal"/>
      <w:isLgl w:val="false"/>
      <w:suff w:val="tab"/>
      <w:lvlText w:val="%7."/>
      <w:lvlJc w:val="left"/>
      <w:pPr>
        <w:pStyle w:val="1033"/>
        <w:ind w:left="2940" w:hanging="420"/>
        <w:tabs>
          <w:tab w:val="num" w:pos="2940" w:leader="none"/>
        </w:tabs>
      </w:pPr>
    </w:lvl>
    <w:lvl w:ilvl="7">
      <w:start w:val="1"/>
      <w:numFmt w:val="lowerLetter"/>
      <w:isLgl w:val="false"/>
      <w:suff w:val="tab"/>
      <w:lvlText w:val="%8)"/>
      <w:lvlJc w:val="left"/>
      <w:pPr>
        <w:pStyle w:val="1033"/>
        <w:ind w:left="3360" w:hanging="420"/>
        <w:tabs>
          <w:tab w:val="num" w:pos="3360" w:leader="none"/>
        </w:tabs>
      </w:pPr>
    </w:lvl>
    <w:lvl w:ilvl="8">
      <w:start w:val="1"/>
      <w:numFmt w:val="lowerRoman"/>
      <w:isLgl w:val="false"/>
      <w:suff w:val="tab"/>
      <w:lvlText w:val="%9."/>
      <w:lvlJc w:val="right"/>
      <w:pPr>
        <w:pStyle w:val="1033"/>
        <w:ind w:left="3780" w:hanging="420"/>
        <w:tabs>
          <w:tab w:val="num" w:pos="3780" w:leader="none"/>
        </w:tabs>
      </w:pPr>
    </w:lvl>
  </w:abstractNum>
  <w:abstractNum w:abstractNumId="20">
    <w:multiLevelType w:val="hybridMultilevel"/>
    <w:lvl w:ilvl="0">
      <w:start w:val="1"/>
      <w:numFmt w:val="bullet"/>
      <w:pStyle w:val="1296"/>
      <w:isLgl w:val="false"/>
      <w:suff w:val="tab"/>
      <w:lvlText w:val=""/>
      <w:lvlJc w:val="left"/>
      <w:pPr>
        <w:pStyle w:val="1033"/>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258"/>
      <w:isLgl w:val="false"/>
      <w:suff w:val="tab"/>
      <w:lvlText w:val="%1"/>
      <w:lvlJc w:val="left"/>
      <w:pPr>
        <w:pStyle w:val="1033"/>
        <w:ind w:left="567" w:hanging="567"/>
        <w:tabs>
          <w:tab w:val="num" w:pos="567" w:leader="none"/>
        </w:tabs>
      </w:pPr>
      <w:rPr>
        <w:rFonts w:hint="eastAsia"/>
      </w:rPr>
    </w:lvl>
    <w:lvl w:ilvl="1">
      <w:start w:val="1"/>
      <w:numFmt w:val="decimal"/>
      <w:pStyle w:val="1367"/>
      <w:isLgl w:val="false"/>
      <w:suff w:val="tab"/>
      <w:lvlText w:val="%1.%2"/>
      <w:lvlJc w:val="left"/>
      <w:pPr>
        <w:pStyle w:val="1033"/>
        <w:ind w:left="567" w:hanging="283"/>
        <w:tabs>
          <w:tab w:val="num" w:pos="1004" w:leader="none"/>
        </w:tabs>
      </w:pPr>
      <w:rPr>
        <w:rFonts w:hint="eastAsia"/>
      </w:rPr>
    </w:lvl>
    <w:lvl w:ilvl="2">
      <w:start w:val="1"/>
      <w:numFmt w:val="decimal"/>
      <w:pStyle w:val="1368"/>
      <w:isLgl w:val="false"/>
      <w:suff w:val="tab"/>
      <w:lvlText w:val="%1.%2.%3"/>
      <w:lvlJc w:val="left"/>
      <w:pPr>
        <w:pStyle w:val="1033"/>
        <w:ind w:left="1134" w:hanging="567"/>
        <w:tabs>
          <w:tab w:val="num" w:pos="1647" w:leader="none"/>
        </w:tabs>
      </w:pPr>
      <w:rPr>
        <w:rFonts w:hint="eastAsia"/>
      </w:rPr>
    </w:lvl>
    <w:lvl w:ilvl="3">
      <w:start w:val="1"/>
      <w:numFmt w:val="decimal"/>
      <w:isLgl w:val="false"/>
      <w:suff w:val="tab"/>
      <w:lvlText w:val="%1.%2.%3.%4"/>
      <w:lvlJc w:val="left"/>
      <w:pPr>
        <w:pStyle w:val="1033"/>
        <w:ind w:left="2851" w:hanging="708"/>
        <w:tabs>
          <w:tab w:val="num" w:pos="3223" w:leader="none"/>
        </w:tabs>
      </w:pPr>
      <w:rPr>
        <w:rFonts w:hint="eastAsia"/>
      </w:rPr>
    </w:lvl>
    <w:lvl w:ilvl="4">
      <w:start w:val="1"/>
      <w:numFmt w:val="decimal"/>
      <w:isLgl w:val="false"/>
      <w:suff w:val="tab"/>
      <w:lvlText w:val="%1.%2.%3.%4.%5"/>
      <w:lvlJc w:val="left"/>
      <w:pPr>
        <w:pStyle w:val="1033"/>
        <w:ind w:left="3418" w:hanging="850"/>
        <w:tabs>
          <w:tab w:val="num" w:pos="3648" w:leader="none"/>
        </w:tabs>
      </w:pPr>
      <w:rPr>
        <w:rFonts w:hint="eastAsia"/>
      </w:rPr>
    </w:lvl>
    <w:lvl w:ilvl="5">
      <w:start w:val="1"/>
      <w:numFmt w:val="decimal"/>
      <w:isLgl w:val="false"/>
      <w:suff w:val="tab"/>
      <w:lvlText w:val="%1.%2.%3.%4.%5.%6"/>
      <w:lvlJc w:val="left"/>
      <w:pPr>
        <w:pStyle w:val="1033"/>
        <w:ind w:left="4127" w:hanging="1134"/>
        <w:tabs>
          <w:tab w:val="num" w:pos="4433" w:leader="none"/>
        </w:tabs>
      </w:pPr>
      <w:rPr>
        <w:rFonts w:hint="eastAsia"/>
      </w:rPr>
    </w:lvl>
    <w:lvl w:ilvl="6">
      <w:start w:val="1"/>
      <w:numFmt w:val="decimal"/>
      <w:isLgl w:val="false"/>
      <w:suff w:val="tab"/>
      <w:lvlText w:val="%1.%2.%3.%4.%5.%6.%7"/>
      <w:lvlJc w:val="left"/>
      <w:pPr>
        <w:pStyle w:val="1033"/>
        <w:ind w:left="4694" w:hanging="1276"/>
        <w:tabs>
          <w:tab w:val="num" w:pos="4858" w:leader="none"/>
        </w:tabs>
      </w:pPr>
      <w:rPr>
        <w:rFonts w:hint="eastAsia"/>
      </w:rPr>
    </w:lvl>
    <w:lvl w:ilvl="7">
      <w:start w:val="1"/>
      <w:numFmt w:val="decimal"/>
      <w:isLgl w:val="false"/>
      <w:suff w:val="tab"/>
      <w:lvlText w:val="%1.%2.%3.%4.%5.%6.%7.%8"/>
      <w:lvlJc w:val="left"/>
      <w:pPr>
        <w:pStyle w:val="1033"/>
        <w:ind w:left="5261" w:hanging="1418"/>
        <w:tabs>
          <w:tab w:val="num" w:pos="5643" w:leader="none"/>
        </w:tabs>
      </w:pPr>
      <w:rPr>
        <w:rFonts w:hint="eastAsia"/>
      </w:rPr>
    </w:lvl>
    <w:lvl w:ilvl="8">
      <w:start w:val="1"/>
      <w:numFmt w:val="decimal"/>
      <w:isLgl w:val="false"/>
      <w:suff w:val="tab"/>
      <w:lvlText w:val="%1.%2.%3.%4.%5.%6.%7.%8.%9"/>
      <w:lvlJc w:val="left"/>
      <w:pPr>
        <w:pStyle w:val="1033"/>
        <w:ind w:left="5969" w:hanging="1700"/>
        <w:tabs>
          <w:tab w:val="num" w:pos="6429" w:leader="none"/>
        </w:tabs>
      </w:pPr>
      <w:rPr>
        <w:rFonts w:hint="eastAsia"/>
      </w:rPr>
    </w:lvl>
  </w:abstractNum>
  <w:abstractNum w:abstractNumId="22">
    <w:multiLevelType w:val="hybridMultilevel"/>
    <w:lvl w:ilvl="0">
      <w:start w:val="7"/>
      <w:numFmt w:val="decimal"/>
      <w:isLgl w:val="false"/>
      <w:suff w:val="tab"/>
      <w:lvlText w:val="%1."/>
      <w:lvlJc w:val="left"/>
      <w:pPr>
        <w:pStyle w:val="103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10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9"/>
      <w:numFmt w:val="decimal"/>
      <w:isLgl w:val="false"/>
      <w:suff w:val="space"/>
      <w:lvlText w:val="%1."/>
      <w:lvlJc w:val="left"/>
      <w:pPr>
        <w:pStyle w:val="1033"/>
      </w:pPr>
    </w:lvl>
    <w:lvl w:ilvl="1">
      <w:start w:val="1"/>
      <w:numFmt w:val="bullet"/>
      <w:isLgl w:val="false"/>
      <w:suff w:val="tab"/>
      <w:lvlText w:val="o"/>
      <w:lvlJc w:val="left"/>
      <w:pPr>
        <w:pStyle w:val="1033"/>
        <w:ind w:left="1440" w:hanging="360"/>
      </w:pPr>
      <w:rPr>
        <w:rFonts w:ascii="Courier New" w:hAnsi="Courier New" w:eastAsia="Courier New" w:cs="Courier New"/>
      </w:rPr>
    </w:lvl>
    <w:lvl w:ilvl="2">
      <w:start w:val="1"/>
      <w:numFmt w:val="bullet"/>
      <w:isLgl w:val="false"/>
      <w:suff w:val="tab"/>
      <w:lvlText w:val="§"/>
      <w:lvlJc w:val="left"/>
      <w:pPr>
        <w:pStyle w:val="1033"/>
        <w:ind w:left="2160" w:hanging="360"/>
      </w:pPr>
      <w:rPr>
        <w:rFonts w:ascii="Wingdings" w:hAnsi="Wingdings" w:eastAsia="Wingdings" w:cs="Wingdings"/>
      </w:rPr>
    </w:lvl>
    <w:lvl w:ilvl="3">
      <w:start w:val="1"/>
      <w:numFmt w:val="bullet"/>
      <w:isLgl w:val="false"/>
      <w:suff w:val="tab"/>
      <w:lvlText w:val="·"/>
      <w:lvlJc w:val="left"/>
      <w:pPr>
        <w:pStyle w:val="1033"/>
        <w:ind w:left="2880" w:hanging="360"/>
      </w:pPr>
      <w:rPr>
        <w:rFonts w:ascii="Symbol" w:hAnsi="Symbol" w:eastAsia="Symbol" w:cs="Symbol"/>
      </w:rPr>
    </w:lvl>
    <w:lvl w:ilvl="4">
      <w:start w:val="1"/>
      <w:numFmt w:val="bullet"/>
      <w:isLgl w:val="false"/>
      <w:suff w:val="tab"/>
      <w:lvlText w:val="o"/>
      <w:lvlJc w:val="left"/>
      <w:pPr>
        <w:pStyle w:val="1033"/>
        <w:ind w:left="3600" w:hanging="360"/>
      </w:pPr>
      <w:rPr>
        <w:rFonts w:ascii="Courier New" w:hAnsi="Courier New" w:eastAsia="Courier New" w:cs="Courier New"/>
      </w:rPr>
    </w:lvl>
    <w:lvl w:ilvl="5">
      <w:start w:val="1"/>
      <w:numFmt w:val="bullet"/>
      <w:isLgl w:val="false"/>
      <w:suff w:val="tab"/>
      <w:lvlText w:val="§"/>
      <w:lvlJc w:val="left"/>
      <w:pPr>
        <w:pStyle w:val="1033"/>
        <w:ind w:left="4320" w:hanging="360"/>
      </w:pPr>
      <w:rPr>
        <w:rFonts w:ascii="Wingdings" w:hAnsi="Wingdings" w:eastAsia="Wingdings" w:cs="Wingdings"/>
      </w:rPr>
    </w:lvl>
    <w:lvl w:ilvl="6">
      <w:start w:val="1"/>
      <w:numFmt w:val="bullet"/>
      <w:isLgl w:val="false"/>
      <w:suff w:val="tab"/>
      <w:lvlText w:val="·"/>
      <w:lvlJc w:val="left"/>
      <w:pPr>
        <w:pStyle w:val="1033"/>
        <w:ind w:left="5040" w:hanging="360"/>
      </w:pPr>
      <w:rPr>
        <w:rFonts w:ascii="Symbol" w:hAnsi="Symbol" w:eastAsia="Symbol" w:cs="Symbol"/>
      </w:rPr>
    </w:lvl>
    <w:lvl w:ilvl="7">
      <w:start w:val="1"/>
      <w:numFmt w:val="bullet"/>
      <w:isLgl w:val="false"/>
      <w:suff w:val="tab"/>
      <w:lvlText w:val="o"/>
      <w:lvlJc w:val="left"/>
      <w:pPr>
        <w:pStyle w:val="1033"/>
        <w:ind w:left="5760" w:hanging="360"/>
      </w:pPr>
      <w:rPr>
        <w:rFonts w:ascii="Courier New" w:hAnsi="Courier New" w:eastAsia="Courier New" w:cs="Courier New"/>
      </w:rPr>
    </w:lvl>
    <w:lvl w:ilvl="8">
      <w:start w:val="1"/>
      <w:numFmt w:val="bullet"/>
      <w:isLgl w:val="false"/>
      <w:suff w:val="tab"/>
      <w:lvlText w:val="§"/>
      <w:lvlJc w:val="left"/>
      <w:pPr>
        <w:pStyle w:val="1033"/>
        <w:ind w:left="6480" w:hanging="360"/>
      </w:pPr>
      <w:rPr>
        <w:rFonts w:ascii="Wingdings" w:hAnsi="Wingdings" w:eastAsia="Wingdings" w:cs="Wingdings"/>
      </w:rPr>
    </w:lvl>
  </w:abstractNum>
  <w:abstractNum w:abstractNumId="25">
    <w:multiLevelType w:val="hybridMultilevel"/>
    <w:lvl w:ilvl="0">
      <w:start w:val="1"/>
      <w:numFmt w:val="chineseCounting"/>
      <w:isLgl w:val="false"/>
      <w:suff w:val="nothing"/>
      <w:lvlText w:val="（%1）"/>
      <w:lvlJc w:val="left"/>
      <w:pPr>
        <w:pStyle w:val="1033"/>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space"/>
      <w:lvlText w:val="24.%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space"/>
      <w:lvlText w:val="22.%1"/>
      <w:lvlJc w:val="left"/>
      <w:pPr>
        <w:pStyle w:val="1033"/>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6"/>
      <w:numFmt w:val="decimal"/>
      <w:isLgl w:val="false"/>
      <w:suff w:val="nothing"/>
      <w:lvlText w:val="（%1）"/>
      <w:lvlJc w:val="left"/>
      <w:pPr>
        <w:pStyle w:val="10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space"/>
      <w:lvlText w:val="23.%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space"/>
      <w:lvlText w:val="25.%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space"/>
      <w:lvlText w:val="22.%1"/>
      <w:lvlJc w:val="left"/>
      <w:pPr>
        <w:pStyle w:val="103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6"/>
      <w:numFmt w:val="decimal"/>
      <w:isLgl w:val="false"/>
      <w:suff w:val="nothing"/>
      <w:lvlText w:val="%1、"/>
      <w:lvlJc w:val="left"/>
      <w:pPr>
        <w:pStyle w:val="1033"/>
        <w:ind w:left="653"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space"/>
      <w:lvlText w:val="19.2.%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space"/>
      <w:lvlText w:val="22.2.2.%1"/>
      <w:lvlJc w:val="left"/>
      <w:pPr>
        <w:pStyle w:val="1033"/>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space"/>
      <w:lvlText w:val="19.%1"/>
      <w:lvlJc w:val="left"/>
      <w:pPr>
        <w:pStyle w:val="103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space"/>
      <w:lvlText w:val="19.1.%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6.%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space"/>
      <w:lvlText w:val="11.%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space"/>
      <w:lvlText w:val="20.%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space"/>
      <w:lvlText w:val="2.%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space"/>
      <w:lvlText w:val="3.%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pStyle w:val="1033"/>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space"/>
      <w:lvlText w:val="14.%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num>
  <w:num w:numId="2">
    <w:abstractNumId w:val="20"/>
  </w:num>
  <w:num w:numId="3">
    <w:abstractNumId w:val="18"/>
  </w:num>
  <w:num w:numId="4">
    <w:abstractNumId w:val="19"/>
  </w:num>
  <w:num w:numId="5">
    <w:abstractNumId w:val="6"/>
  </w:num>
  <w:num w:numId="6">
    <w:abstractNumId w:val="11"/>
  </w:num>
  <w:num w:numId="7">
    <w:abstractNumId w:val="42"/>
  </w:num>
  <w:num w:numId="8">
    <w:abstractNumId w:val="43"/>
  </w:num>
  <w:num w:numId="9">
    <w:abstractNumId w:val="0"/>
  </w:num>
  <w:num w:numId="10">
    <w:abstractNumId w:val="2"/>
  </w:num>
  <w:num w:numId="11">
    <w:abstractNumId w:val="14"/>
  </w:num>
  <w:num w:numId="12">
    <w:abstractNumId w:val="7"/>
  </w:num>
  <w:num w:numId="13">
    <w:abstractNumId w:val="32"/>
  </w:num>
  <w:num w:numId="14">
    <w:abstractNumId w:val="39"/>
  </w:num>
  <w:num w:numId="15">
    <w:abstractNumId w:val="9"/>
  </w:num>
  <w:num w:numId="16">
    <w:abstractNumId w:val="33"/>
  </w:num>
  <w:num w:numId="17">
    <w:abstractNumId w:val="40"/>
  </w:num>
  <w:num w:numId="18">
    <w:abstractNumId w:val="45"/>
  </w:num>
  <w:num w:numId="19">
    <w:abstractNumId w:val="3"/>
  </w:num>
  <w:num w:numId="20">
    <w:abstractNumId w:val="13"/>
  </w:num>
  <w:num w:numId="21">
    <w:abstractNumId w:val="37"/>
  </w:num>
  <w:num w:numId="22">
    <w:abstractNumId w:val="38"/>
  </w:num>
  <w:num w:numId="23">
    <w:abstractNumId w:val="35"/>
  </w:num>
  <w:num w:numId="24">
    <w:abstractNumId w:val="41"/>
  </w:num>
  <w:num w:numId="25">
    <w:abstractNumId w:val="12"/>
  </w:num>
  <w:num w:numId="26">
    <w:abstractNumId w:val="8"/>
  </w:num>
  <w:num w:numId="27">
    <w:abstractNumId w:val="31"/>
  </w:num>
  <w:num w:numId="28">
    <w:abstractNumId w:val="27"/>
  </w:num>
  <w:num w:numId="29">
    <w:abstractNumId w:val="25"/>
  </w:num>
  <w:num w:numId="30">
    <w:abstractNumId w:val="1"/>
  </w:num>
  <w:num w:numId="31">
    <w:abstractNumId w:val="44"/>
  </w:num>
  <w:num w:numId="32">
    <w:abstractNumId w:val="36"/>
  </w:num>
  <w:num w:numId="33">
    <w:abstractNumId w:val="34"/>
  </w:num>
  <w:num w:numId="34">
    <w:abstractNumId w:val="4"/>
  </w:num>
  <w:num w:numId="35">
    <w:abstractNumId w:val="29"/>
  </w:num>
  <w:num w:numId="36">
    <w:abstractNumId w:val="10"/>
  </w:num>
  <w:num w:numId="37">
    <w:abstractNumId w:val="26"/>
  </w:num>
  <w:num w:numId="38">
    <w:abstractNumId w:val="30"/>
  </w:num>
  <w:num w:numId="39">
    <w:abstractNumId w:val="5"/>
  </w:num>
  <w:num w:numId="40">
    <w:abstractNumId w:val="15"/>
  </w:num>
  <w:num w:numId="41">
    <w:abstractNumId w:val="16"/>
  </w:num>
  <w:num w:numId="42">
    <w:abstractNumId w:val="28"/>
  </w:num>
  <w:num w:numId="43">
    <w:abstractNumId w:val="24"/>
  </w:num>
  <w:num w:numId="44">
    <w:abstractNumId w:val="17"/>
  </w:num>
  <w:num w:numId="45">
    <w:abstractNumId w:val="22"/>
  </w:num>
  <w:num w:numId="4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7">
    <w:name w:val="Heading 1"/>
    <w:basedOn w:val="1033"/>
    <w:next w:val="1033"/>
    <w:link w:val="858"/>
    <w:uiPriority w:val="9"/>
    <w:qFormat/>
    <w:pPr>
      <w:keepLines/>
      <w:keepNext/>
      <w:spacing w:before="480" w:after="200"/>
      <w:outlineLvl w:val="0"/>
    </w:pPr>
    <w:rPr>
      <w:rFonts w:ascii="Arial" w:hAnsi="Arial" w:eastAsia="Arial" w:cs="Arial"/>
      <w:sz w:val="40"/>
      <w:szCs w:val="40"/>
    </w:rPr>
  </w:style>
  <w:style w:type="character" w:styleId="858">
    <w:name w:val="Heading 1 Char"/>
    <w:link w:val="857"/>
    <w:uiPriority w:val="9"/>
    <w:rPr>
      <w:rFonts w:ascii="Arial" w:hAnsi="Arial" w:eastAsia="Arial" w:cs="Arial"/>
      <w:sz w:val="40"/>
      <w:szCs w:val="40"/>
    </w:rPr>
  </w:style>
  <w:style w:type="paragraph" w:styleId="859">
    <w:name w:val="Heading 2"/>
    <w:basedOn w:val="1033"/>
    <w:next w:val="1033"/>
    <w:link w:val="860"/>
    <w:uiPriority w:val="9"/>
    <w:unhideWhenUsed/>
    <w:qFormat/>
    <w:pPr>
      <w:keepLines/>
      <w:keepNext/>
      <w:spacing w:before="360" w:after="200"/>
      <w:outlineLvl w:val="1"/>
    </w:pPr>
    <w:rPr>
      <w:rFonts w:ascii="Arial" w:hAnsi="Arial" w:eastAsia="Arial" w:cs="Arial"/>
      <w:sz w:val="34"/>
    </w:rPr>
  </w:style>
  <w:style w:type="character" w:styleId="860">
    <w:name w:val="Heading 2 Char"/>
    <w:link w:val="859"/>
    <w:uiPriority w:val="9"/>
    <w:rPr>
      <w:rFonts w:ascii="Arial" w:hAnsi="Arial" w:eastAsia="Arial" w:cs="Arial"/>
      <w:sz w:val="34"/>
    </w:rPr>
  </w:style>
  <w:style w:type="paragraph" w:styleId="861">
    <w:name w:val="Heading 3"/>
    <w:basedOn w:val="1033"/>
    <w:next w:val="1033"/>
    <w:link w:val="862"/>
    <w:uiPriority w:val="9"/>
    <w:unhideWhenUsed/>
    <w:qFormat/>
    <w:pPr>
      <w:keepLines/>
      <w:keepNext/>
      <w:spacing w:before="320" w:after="200"/>
      <w:outlineLvl w:val="2"/>
    </w:pPr>
    <w:rPr>
      <w:rFonts w:ascii="Arial" w:hAnsi="Arial" w:eastAsia="Arial" w:cs="Arial"/>
      <w:sz w:val="30"/>
      <w:szCs w:val="30"/>
    </w:rPr>
  </w:style>
  <w:style w:type="character" w:styleId="862">
    <w:name w:val="Heading 3 Char"/>
    <w:link w:val="861"/>
    <w:uiPriority w:val="9"/>
    <w:rPr>
      <w:rFonts w:ascii="Arial" w:hAnsi="Arial" w:eastAsia="Arial" w:cs="Arial"/>
      <w:sz w:val="30"/>
      <w:szCs w:val="30"/>
    </w:rPr>
  </w:style>
  <w:style w:type="paragraph" w:styleId="863">
    <w:name w:val="Heading 4"/>
    <w:basedOn w:val="1033"/>
    <w:next w:val="1033"/>
    <w:link w:val="864"/>
    <w:uiPriority w:val="9"/>
    <w:unhideWhenUsed/>
    <w:qFormat/>
    <w:pPr>
      <w:keepLines/>
      <w:keepNext/>
      <w:spacing w:before="320" w:after="200"/>
      <w:outlineLvl w:val="3"/>
    </w:pPr>
    <w:rPr>
      <w:rFonts w:ascii="Arial" w:hAnsi="Arial" w:eastAsia="Arial" w:cs="Arial"/>
      <w:b/>
      <w:bCs/>
      <w:sz w:val="26"/>
      <w:szCs w:val="26"/>
    </w:rPr>
  </w:style>
  <w:style w:type="character" w:styleId="864">
    <w:name w:val="Heading 4 Char"/>
    <w:link w:val="863"/>
    <w:uiPriority w:val="9"/>
    <w:rPr>
      <w:rFonts w:ascii="Arial" w:hAnsi="Arial" w:eastAsia="Arial" w:cs="Arial"/>
      <w:b/>
      <w:bCs/>
      <w:sz w:val="26"/>
      <w:szCs w:val="26"/>
    </w:rPr>
  </w:style>
  <w:style w:type="paragraph" w:styleId="865">
    <w:name w:val="Heading 5"/>
    <w:basedOn w:val="1033"/>
    <w:next w:val="1033"/>
    <w:link w:val="866"/>
    <w:uiPriority w:val="9"/>
    <w:unhideWhenUsed/>
    <w:qFormat/>
    <w:pPr>
      <w:keepLines/>
      <w:keepNext/>
      <w:spacing w:before="320" w:after="200"/>
      <w:outlineLvl w:val="4"/>
    </w:pPr>
    <w:rPr>
      <w:rFonts w:ascii="Arial" w:hAnsi="Arial" w:eastAsia="Arial" w:cs="Arial"/>
      <w:b/>
      <w:bCs/>
      <w:sz w:val="24"/>
      <w:szCs w:val="24"/>
    </w:rPr>
  </w:style>
  <w:style w:type="character" w:styleId="866">
    <w:name w:val="Heading 5 Char"/>
    <w:link w:val="865"/>
    <w:uiPriority w:val="9"/>
    <w:rPr>
      <w:rFonts w:ascii="Arial" w:hAnsi="Arial" w:eastAsia="Arial" w:cs="Arial"/>
      <w:b/>
      <w:bCs/>
      <w:sz w:val="24"/>
      <w:szCs w:val="24"/>
    </w:rPr>
  </w:style>
  <w:style w:type="paragraph" w:styleId="867">
    <w:name w:val="Heading 6"/>
    <w:basedOn w:val="1033"/>
    <w:next w:val="1033"/>
    <w:link w:val="868"/>
    <w:uiPriority w:val="9"/>
    <w:unhideWhenUsed/>
    <w:qFormat/>
    <w:pPr>
      <w:keepLines/>
      <w:keepNext/>
      <w:spacing w:before="320" w:after="200"/>
      <w:outlineLvl w:val="5"/>
    </w:pPr>
    <w:rPr>
      <w:rFonts w:ascii="Arial" w:hAnsi="Arial" w:eastAsia="Arial" w:cs="Arial"/>
      <w:b/>
      <w:bCs/>
      <w:sz w:val="22"/>
      <w:szCs w:val="22"/>
    </w:rPr>
  </w:style>
  <w:style w:type="character" w:styleId="868">
    <w:name w:val="Heading 6 Char"/>
    <w:link w:val="867"/>
    <w:uiPriority w:val="9"/>
    <w:rPr>
      <w:rFonts w:ascii="Arial" w:hAnsi="Arial" w:eastAsia="Arial" w:cs="Arial"/>
      <w:b/>
      <w:bCs/>
      <w:sz w:val="22"/>
      <w:szCs w:val="22"/>
    </w:rPr>
  </w:style>
  <w:style w:type="paragraph" w:styleId="869">
    <w:name w:val="Heading 7"/>
    <w:basedOn w:val="1033"/>
    <w:next w:val="1033"/>
    <w:link w:val="870"/>
    <w:uiPriority w:val="9"/>
    <w:unhideWhenUsed/>
    <w:qFormat/>
    <w:pPr>
      <w:keepLines/>
      <w:keepNext/>
      <w:spacing w:before="320" w:after="200"/>
      <w:outlineLvl w:val="6"/>
    </w:pPr>
    <w:rPr>
      <w:rFonts w:ascii="Arial" w:hAnsi="Arial" w:eastAsia="Arial" w:cs="Arial"/>
      <w:b/>
      <w:bCs/>
      <w:i/>
      <w:iCs/>
      <w:sz w:val="22"/>
      <w:szCs w:val="22"/>
    </w:rPr>
  </w:style>
  <w:style w:type="character" w:styleId="870">
    <w:name w:val="Heading 7 Char"/>
    <w:link w:val="869"/>
    <w:uiPriority w:val="9"/>
    <w:rPr>
      <w:rFonts w:ascii="Arial" w:hAnsi="Arial" w:eastAsia="Arial" w:cs="Arial"/>
      <w:b/>
      <w:bCs/>
      <w:i/>
      <w:iCs/>
      <w:sz w:val="22"/>
      <w:szCs w:val="22"/>
    </w:rPr>
  </w:style>
  <w:style w:type="paragraph" w:styleId="871">
    <w:name w:val="Heading 8"/>
    <w:basedOn w:val="1033"/>
    <w:next w:val="1033"/>
    <w:link w:val="872"/>
    <w:uiPriority w:val="9"/>
    <w:unhideWhenUsed/>
    <w:qFormat/>
    <w:pPr>
      <w:keepLines/>
      <w:keepNext/>
      <w:spacing w:before="320" w:after="200"/>
      <w:outlineLvl w:val="7"/>
    </w:pPr>
    <w:rPr>
      <w:rFonts w:ascii="Arial" w:hAnsi="Arial" w:eastAsia="Arial" w:cs="Arial"/>
      <w:i/>
      <w:iCs/>
      <w:sz w:val="22"/>
      <w:szCs w:val="22"/>
    </w:rPr>
  </w:style>
  <w:style w:type="character" w:styleId="872">
    <w:name w:val="Heading 8 Char"/>
    <w:link w:val="871"/>
    <w:uiPriority w:val="9"/>
    <w:rPr>
      <w:rFonts w:ascii="Arial" w:hAnsi="Arial" w:eastAsia="Arial" w:cs="Arial"/>
      <w:i/>
      <w:iCs/>
      <w:sz w:val="22"/>
      <w:szCs w:val="22"/>
    </w:rPr>
  </w:style>
  <w:style w:type="paragraph" w:styleId="873">
    <w:name w:val="Heading 9"/>
    <w:basedOn w:val="1033"/>
    <w:next w:val="1033"/>
    <w:link w:val="874"/>
    <w:uiPriority w:val="9"/>
    <w:unhideWhenUsed/>
    <w:qFormat/>
    <w:pPr>
      <w:keepLines/>
      <w:keepNext/>
      <w:spacing w:before="320" w:after="200"/>
      <w:outlineLvl w:val="8"/>
    </w:pPr>
    <w:rPr>
      <w:rFonts w:ascii="Arial" w:hAnsi="Arial" w:eastAsia="Arial" w:cs="Arial"/>
      <w:i/>
      <w:iCs/>
      <w:sz w:val="21"/>
      <w:szCs w:val="21"/>
    </w:rPr>
  </w:style>
  <w:style w:type="character" w:styleId="874">
    <w:name w:val="Heading 9 Char"/>
    <w:link w:val="873"/>
    <w:uiPriority w:val="9"/>
    <w:rPr>
      <w:rFonts w:ascii="Arial" w:hAnsi="Arial" w:eastAsia="Arial" w:cs="Arial"/>
      <w:i/>
      <w:iCs/>
      <w:sz w:val="21"/>
      <w:szCs w:val="21"/>
    </w:rPr>
  </w:style>
  <w:style w:type="paragraph" w:styleId="875">
    <w:name w:val="Title"/>
    <w:basedOn w:val="1033"/>
    <w:next w:val="1033"/>
    <w:link w:val="876"/>
    <w:uiPriority w:val="10"/>
    <w:qFormat/>
    <w:pPr>
      <w:contextualSpacing/>
      <w:spacing w:before="300" w:after="200"/>
    </w:pPr>
    <w:rPr>
      <w:sz w:val="48"/>
      <w:szCs w:val="48"/>
    </w:rPr>
  </w:style>
  <w:style w:type="character" w:styleId="876">
    <w:name w:val="Title Char"/>
    <w:link w:val="875"/>
    <w:uiPriority w:val="10"/>
    <w:rPr>
      <w:sz w:val="48"/>
      <w:szCs w:val="48"/>
    </w:rPr>
  </w:style>
  <w:style w:type="paragraph" w:styleId="877">
    <w:name w:val="Subtitle"/>
    <w:basedOn w:val="1033"/>
    <w:next w:val="1033"/>
    <w:link w:val="878"/>
    <w:uiPriority w:val="11"/>
    <w:qFormat/>
    <w:pPr>
      <w:spacing w:before="200" w:after="200"/>
    </w:pPr>
    <w:rPr>
      <w:sz w:val="24"/>
      <w:szCs w:val="24"/>
    </w:rPr>
  </w:style>
  <w:style w:type="character" w:styleId="878">
    <w:name w:val="Subtitle Char"/>
    <w:link w:val="877"/>
    <w:uiPriority w:val="11"/>
    <w:rPr>
      <w:sz w:val="24"/>
      <w:szCs w:val="24"/>
    </w:rPr>
  </w:style>
  <w:style w:type="paragraph" w:styleId="879">
    <w:name w:val="Quote"/>
    <w:basedOn w:val="1033"/>
    <w:next w:val="1033"/>
    <w:link w:val="880"/>
    <w:uiPriority w:val="29"/>
    <w:qFormat/>
    <w:pPr>
      <w:ind w:left="720" w:right="720"/>
    </w:pPr>
    <w:rPr>
      <w:i/>
    </w:rPr>
  </w:style>
  <w:style w:type="character" w:styleId="880">
    <w:name w:val="Quote Char"/>
    <w:link w:val="879"/>
    <w:uiPriority w:val="29"/>
    <w:rPr>
      <w:i/>
    </w:rPr>
  </w:style>
  <w:style w:type="paragraph" w:styleId="881">
    <w:name w:val="Intense Quote"/>
    <w:basedOn w:val="1033"/>
    <w:next w:val="1033"/>
    <w:link w:val="8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name w:val="Intense Quote Char"/>
    <w:link w:val="881"/>
    <w:uiPriority w:val="30"/>
    <w:rPr>
      <w:i/>
    </w:rPr>
  </w:style>
  <w:style w:type="paragraph" w:styleId="883">
    <w:name w:val="Header"/>
    <w:basedOn w:val="1033"/>
    <w:link w:val="884"/>
    <w:uiPriority w:val="99"/>
    <w:unhideWhenUsed/>
    <w:pPr>
      <w:spacing w:after="0" w:line="240" w:lineRule="auto"/>
      <w:tabs>
        <w:tab w:val="center" w:pos="7143" w:leader="none"/>
        <w:tab w:val="right" w:pos="14287" w:leader="none"/>
      </w:tabs>
    </w:pPr>
  </w:style>
  <w:style w:type="character" w:styleId="884">
    <w:name w:val="Header Char"/>
    <w:link w:val="883"/>
    <w:uiPriority w:val="99"/>
  </w:style>
  <w:style w:type="paragraph" w:styleId="885">
    <w:name w:val="Footer"/>
    <w:basedOn w:val="1033"/>
    <w:link w:val="888"/>
    <w:uiPriority w:val="99"/>
    <w:unhideWhenUsed/>
    <w:pPr>
      <w:spacing w:after="0" w:line="240" w:lineRule="auto"/>
      <w:tabs>
        <w:tab w:val="center" w:pos="7143" w:leader="none"/>
        <w:tab w:val="right" w:pos="14287" w:leader="none"/>
      </w:tabs>
    </w:pPr>
  </w:style>
  <w:style w:type="character" w:styleId="886">
    <w:name w:val="Footer Char"/>
    <w:link w:val="885"/>
    <w:uiPriority w:val="99"/>
  </w:style>
  <w:style w:type="paragraph" w:styleId="887">
    <w:name w:val="Caption"/>
    <w:basedOn w:val="1033"/>
    <w:next w:val="1033"/>
    <w:uiPriority w:val="35"/>
    <w:semiHidden/>
    <w:unhideWhenUsed/>
    <w:qFormat/>
    <w:pPr>
      <w:spacing w:line="276" w:lineRule="auto"/>
    </w:pPr>
    <w:rPr>
      <w:b/>
      <w:bCs/>
      <w:color w:val="4f81bd" w:themeColor="accent1"/>
      <w:sz w:val="18"/>
      <w:szCs w:val="18"/>
    </w:rPr>
  </w:style>
  <w:style w:type="character" w:styleId="888">
    <w:name w:val="Caption Char"/>
    <w:basedOn w:val="887"/>
    <w:link w:val="885"/>
    <w:uiPriority w:val="99"/>
  </w:style>
  <w:style w:type="table" w:styleId="8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5">
    <w:name w:val="Hyperlink"/>
    <w:uiPriority w:val="99"/>
    <w:unhideWhenUsed/>
    <w:rPr>
      <w:color w:val="0000ff" w:themeColor="hyperlink"/>
      <w:u w:val="single"/>
    </w:rPr>
  </w:style>
  <w:style w:type="paragraph" w:styleId="1016">
    <w:name w:val="footnote text"/>
    <w:basedOn w:val="1033"/>
    <w:link w:val="1017"/>
    <w:uiPriority w:val="99"/>
    <w:semiHidden/>
    <w:unhideWhenUsed/>
    <w:pPr>
      <w:spacing w:after="40" w:line="240" w:lineRule="auto"/>
    </w:pPr>
    <w:rPr>
      <w:sz w:val="18"/>
    </w:rPr>
  </w:style>
  <w:style w:type="character" w:styleId="1017">
    <w:name w:val="Footnote Text Char"/>
    <w:link w:val="1016"/>
    <w:uiPriority w:val="99"/>
    <w:rPr>
      <w:sz w:val="18"/>
    </w:rPr>
  </w:style>
  <w:style w:type="character" w:styleId="1018">
    <w:name w:val="footnote reference"/>
    <w:uiPriority w:val="99"/>
    <w:unhideWhenUsed/>
    <w:rPr>
      <w:vertAlign w:val="superscript"/>
    </w:rPr>
  </w:style>
  <w:style w:type="paragraph" w:styleId="1019">
    <w:name w:val="endnote text"/>
    <w:basedOn w:val="1033"/>
    <w:link w:val="1020"/>
    <w:uiPriority w:val="99"/>
    <w:semiHidden/>
    <w:unhideWhenUsed/>
    <w:pPr>
      <w:spacing w:after="0" w:line="240" w:lineRule="auto"/>
    </w:pPr>
    <w:rPr>
      <w:sz w:val="20"/>
    </w:rPr>
  </w:style>
  <w:style w:type="character" w:styleId="1020">
    <w:name w:val="Endnote Text Char"/>
    <w:link w:val="1019"/>
    <w:uiPriority w:val="99"/>
    <w:rPr>
      <w:sz w:val="20"/>
    </w:rPr>
  </w:style>
  <w:style w:type="character" w:styleId="1021">
    <w:name w:val="endnote reference"/>
    <w:uiPriority w:val="99"/>
    <w:semiHidden/>
    <w:unhideWhenUsed/>
    <w:rPr>
      <w:vertAlign w:val="superscript"/>
    </w:rPr>
  </w:style>
  <w:style w:type="paragraph" w:styleId="1022">
    <w:name w:val="toc 1"/>
    <w:basedOn w:val="1033"/>
    <w:next w:val="1033"/>
    <w:uiPriority w:val="39"/>
    <w:unhideWhenUsed/>
    <w:pPr>
      <w:ind w:left="0" w:right="0" w:firstLine="0"/>
      <w:spacing w:after="57"/>
    </w:pPr>
  </w:style>
  <w:style w:type="paragraph" w:styleId="1023">
    <w:name w:val="toc 2"/>
    <w:basedOn w:val="1033"/>
    <w:next w:val="1033"/>
    <w:uiPriority w:val="39"/>
    <w:unhideWhenUsed/>
    <w:pPr>
      <w:ind w:left="283" w:right="0" w:firstLine="0"/>
      <w:spacing w:after="57"/>
    </w:pPr>
  </w:style>
  <w:style w:type="paragraph" w:styleId="1024">
    <w:name w:val="toc 3"/>
    <w:basedOn w:val="1033"/>
    <w:next w:val="1033"/>
    <w:uiPriority w:val="39"/>
    <w:unhideWhenUsed/>
    <w:pPr>
      <w:ind w:left="567" w:right="0" w:firstLine="0"/>
      <w:spacing w:after="57"/>
    </w:pPr>
  </w:style>
  <w:style w:type="paragraph" w:styleId="1025">
    <w:name w:val="toc 4"/>
    <w:basedOn w:val="1033"/>
    <w:next w:val="1033"/>
    <w:uiPriority w:val="39"/>
    <w:unhideWhenUsed/>
    <w:pPr>
      <w:ind w:left="850" w:right="0" w:firstLine="0"/>
      <w:spacing w:after="57"/>
    </w:pPr>
  </w:style>
  <w:style w:type="paragraph" w:styleId="1026">
    <w:name w:val="toc 5"/>
    <w:basedOn w:val="1033"/>
    <w:next w:val="1033"/>
    <w:uiPriority w:val="39"/>
    <w:unhideWhenUsed/>
    <w:pPr>
      <w:ind w:left="1134" w:right="0" w:firstLine="0"/>
      <w:spacing w:after="57"/>
    </w:pPr>
  </w:style>
  <w:style w:type="paragraph" w:styleId="1027">
    <w:name w:val="toc 6"/>
    <w:basedOn w:val="1033"/>
    <w:next w:val="1033"/>
    <w:uiPriority w:val="39"/>
    <w:unhideWhenUsed/>
    <w:pPr>
      <w:ind w:left="1417" w:right="0" w:firstLine="0"/>
      <w:spacing w:after="57"/>
    </w:pPr>
  </w:style>
  <w:style w:type="paragraph" w:styleId="1028">
    <w:name w:val="toc 7"/>
    <w:basedOn w:val="1033"/>
    <w:next w:val="1033"/>
    <w:uiPriority w:val="39"/>
    <w:unhideWhenUsed/>
    <w:pPr>
      <w:ind w:left="1701" w:right="0" w:firstLine="0"/>
      <w:spacing w:after="57"/>
    </w:pPr>
  </w:style>
  <w:style w:type="paragraph" w:styleId="1029">
    <w:name w:val="toc 8"/>
    <w:basedOn w:val="1033"/>
    <w:next w:val="1033"/>
    <w:uiPriority w:val="39"/>
    <w:unhideWhenUsed/>
    <w:pPr>
      <w:ind w:left="1984" w:right="0" w:firstLine="0"/>
      <w:spacing w:after="57"/>
    </w:pPr>
  </w:style>
  <w:style w:type="paragraph" w:styleId="1030">
    <w:name w:val="toc 9"/>
    <w:basedOn w:val="1033"/>
    <w:next w:val="1033"/>
    <w:uiPriority w:val="39"/>
    <w:unhideWhenUsed/>
    <w:pPr>
      <w:ind w:left="2268" w:right="0" w:firstLine="0"/>
      <w:spacing w:after="57"/>
    </w:pPr>
  </w:style>
  <w:style w:type="paragraph" w:styleId="1031">
    <w:name w:val="TOC Heading"/>
    <w:uiPriority w:val="39"/>
    <w:unhideWhenUsed/>
  </w:style>
  <w:style w:type="paragraph" w:styleId="1032">
    <w:name w:val="table of figures"/>
    <w:basedOn w:val="1033"/>
    <w:next w:val="1033"/>
    <w:uiPriority w:val="99"/>
    <w:unhideWhenUsed/>
    <w:pPr>
      <w:spacing w:after="0" w:afterAutospacing="0"/>
    </w:pPr>
  </w:style>
  <w:style w:type="paragraph" w:styleId="1033" w:default="1">
    <w:name w:val="Normal"/>
    <w:next w:val="1033"/>
    <w:link w:val="1033"/>
    <w:qFormat/>
    <w:pPr>
      <w:jc w:val="both"/>
      <w:spacing w:before="120" w:after="120" w:line="360" w:lineRule="auto"/>
      <w:widowControl w:val="off"/>
    </w:pPr>
    <w:rPr>
      <w:rFonts w:eastAsia="微软雅黑"/>
      <w:sz w:val="21"/>
      <w:lang w:val="en-US" w:eastAsia="zh-CN" w:bidi="ar-SA"/>
    </w:rPr>
  </w:style>
  <w:style w:type="paragraph" w:styleId="1034">
    <w:name w:val="标题 1"/>
    <w:basedOn w:val="1033"/>
    <w:next w:val="1033"/>
    <w:link w:val="1045"/>
    <w:qFormat/>
    <w:pPr>
      <w:ind w:firstLine="1440"/>
      <w:jc w:val="center"/>
      <w:keepNext/>
      <w:spacing w:before="240" w:after="240"/>
      <w:tabs>
        <w:tab w:val="left" w:pos="1440" w:leader="none"/>
        <w:tab w:val="left" w:pos="5670" w:leader="none"/>
      </w:tabs>
      <w:outlineLvl w:val="0"/>
    </w:pPr>
    <w:rPr>
      <w:rFonts w:ascii="黑体"/>
      <w:b/>
      <w:sz w:val="32"/>
      <w:szCs w:val="28"/>
    </w:rPr>
  </w:style>
  <w:style w:type="paragraph" w:styleId="1035">
    <w:name w:val="标题 2"/>
    <w:basedOn w:val="1033"/>
    <w:next w:val="1033"/>
    <w:link w:val="1046"/>
    <w:qFormat/>
    <w:pPr>
      <w:jc w:val="left"/>
      <w:keepLines/>
      <w:keepNext/>
      <w:outlineLvl w:val="1"/>
    </w:pPr>
    <w:rPr>
      <w:rFonts w:ascii="宋体" w:hAnsi="宋体"/>
      <w:b/>
      <w:sz w:val="28"/>
      <w:szCs w:val="24"/>
    </w:rPr>
  </w:style>
  <w:style w:type="paragraph" w:styleId="1036">
    <w:name w:val="标题 3"/>
    <w:basedOn w:val="1033"/>
    <w:next w:val="1033"/>
    <w:link w:val="1047"/>
    <w:qFormat/>
    <w:pPr>
      <w:keepLines/>
      <w:keepNext/>
      <w:spacing w:line="390" w:lineRule="atLeast"/>
      <w:shd w:val="clear" w:color="auto" w:fill="ffffff"/>
      <w:outlineLvl w:val="2"/>
    </w:pPr>
    <w:rPr>
      <w:rFonts w:ascii="宋体" w:hAnsi="宋体"/>
      <w:b/>
      <w:sz w:val="24"/>
      <w:szCs w:val="21"/>
    </w:rPr>
  </w:style>
  <w:style w:type="paragraph" w:styleId="1037">
    <w:name w:val="标题 4"/>
    <w:basedOn w:val="1033"/>
    <w:next w:val="1033"/>
    <w:link w:val="1048"/>
    <w:qFormat/>
    <w:pPr>
      <w:keepLines/>
      <w:keepNext/>
      <w:spacing w:before="120" w:after="120"/>
      <w:outlineLvl w:val="3"/>
    </w:pPr>
    <w:rPr>
      <w:rFonts w:ascii="Arial" w:hAnsi="Arial" w:eastAsia="黑体"/>
      <w:b/>
      <w:sz w:val="28"/>
    </w:rPr>
  </w:style>
  <w:style w:type="paragraph" w:styleId="1038">
    <w:name w:val="标题 5"/>
    <w:basedOn w:val="1033"/>
    <w:next w:val="1050"/>
    <w:link w:val="1049"/>
    <w:qFormat/>
    <w:pPr>
      <w:keepNext/>
      <w:spacing w:before="145" w:after="145"/>
      <w:outlineLvl w:val="4"/>
    </w:pPr>
    <w:rPr>
      <w:rFonts w:ascii="黑体" w:eastAsia="黑体"/>
      <w:b/>
      <w:color w:val="000000"/>
      <w:sz w:val="28"/>
    </w:rPr>
  </w:style>
  <w:style w:type="paragraph" w:styleId="1039">
    <w:name w:val="标题 6"/>
    <w:basedOn w:val="1033"/>
    <w:next w:val="1033"/>
    <w:link w:val="1051"/>
    <w:qFormat/>
    <w:pPr>
      <w:keepLines/>
      <w:keepNext/>
      <w:spacing w:before="240" w:after="64" w:line="320" w:lineRule="auto"/>
      <w:outlineLvl w:val="5"/>
    </w:pPr>
    <w:rPr>
      <w:rFonts w:ascii="Arial" w:hAnsi="Arial" w:eastAsia="黑体"/>
      <w:b/>
      <w:bCs/>
      <w:sz w:val="24"/>
      <w:szCs w:val="24"/>
    </w:rPr>
  </w:style>
  <w:style w:type="paragraph" w:styleId="1040">
    <w:name w:val="标题 7"/>
    <w:basedOn w:val="1033"/>
    <w:next w:val="1033"/>
    <w:link w:val="1052"/>
    <w:qFormat/>
    <w:pPr>
      <w:keepLines/>
      <w:keepNext/>
      <w:spacing w:before="240" w:after="64" w:line="320" w:lineRule="auto"/>
      <w:outlineLvl w:val="6"/>
    </w:pPr>
    <w:rPr>
      <w:rFonts w:eastAsia="宋体"/>
      <w:b/>
      <w:bCs/>
      <w:sz w:val="24"/>
      <w:szCs w:val="24"/>
    </w:rPr>
  </w:style>
  <w:style w:type="paragraph" w:styleId="1041">
    <w:name w:val="标题 8"/>
    <w:basedOn w:val="1033"/>
    <w:next w:val="1033"/>
    <w:link w:val="1053"/>
    <w:qFormat/>
    <w:pPr>
      <w:keepLines/>
      <w:keepNext/>
      <w:spacing w:before="240" w:after="64" w:line="320" w:lineRule="auto"/>
      <w:outlineLvl w:val="7"/>
    </w:pPr>
    <w:rPr>
      <w:rFonts w:ascii="Arial" w:hAnsi="Arial" w:eastAsia="黑体"/>
      <w:sz w:val="24"/>
      <w:szCs w:val="24"/>
    </w:rPr>
  </w:style>
  <w:style w:type="paragraph" w:styleId="1042">
    <w:name w:val="标题 9"/>
    <w:basedOn w:val="1033"/>
    <w:next w:val="1033"/>
    <w:link w:val="1054"/>
    <w:qFormat/>
    <w:pPr>
      <w:keepLines/>
      <w:keepNext/>
      <w:spacing w:before="240" w:after="64" w:line="320" w:lineRule="auto"/>
      <w:outlineLvl w:val="8"/>
    </w:pPr>
    <w:rPr>
      <w:rFonts w:ascii="Arial" w:hAnsi="Arial" w:eastAsia="黑体"/>
      <w:szCs w:val="21"/>
    </w:rPr>
  </w:style>
  <w:style w:type="character" w:styleId="1043">
    <w:name w:val="默认段落字体"/>
    <w:next w:val="1043"/>
    <w:link w:val="1033"/>
    <w:rPr>
      <w:rFonts w:ascii="Times New Roman" w:hAnsi="Times New Roman" w:eastAsia="宋体" w:cs="Times New Roman"/>
    </w:rPr>
  </w:style>
  <w:style w:type="table" w:styleId="1044">
    <w:name w:val="普通表格"/>
    <w:next w:val="1044"/>
    <w:link w:val="1033"/>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1045">
    <w:name w:val="标题 1 字符"/>
    <w:next w:val="1045"/>
    <w:link w:val="1034"/>
    <w:rPr>
      <w:rFonts w:ascii="黑体" w:hAnsi="Times New Roman" w:eastAsia="微软雅黑" w:cs="Times New Roman"/>
      <w:b/>
      <w:sz w:val="32"/>
      <w:szCs w:val="28"/>
    </w:rPr>
  </w:style>
  <w:style w:type="character" w:styleId="1046">
    <w:name w:val="标题 2 字符"/>
    <w:next w:val="1046"/>
    <w:link w:val="1035"/>
    <w:rPr>
      <w:rFonts w:ascii="宋体" w:hAnsi="宋体" w:eastAsia="微软雅黑" w:cs="Times New Roman"/>
      <w:b/>
      <w:sz w:val="28"/>
      <w:szCs w:val="24"/>
    </w:rPr>
  </w:style>
  <w:style w:type="character" w:styleId="1047">
    <w:name w:val="标题 3 字符"/>
    <w:next w:val="1047"/>
    <w:link w:val="1036"/>
    <w:rPr>
      <w:rFonts w:ascii="宋体" w:hAnsi="宋体" w:eastAsia="微软雅黑" w:cs="Times New Roman"/>
      <w:b/>
      <w:sz w:val="24"/>
      <w:szCs w:val="21"/>
      <w:shd w:val="clear" w:color="auto" w:fill="ffffff"/>
    </w:rPr>
  </w:style>
  <w:style w:type="character" w:styleId="1048">
    <w:name w:val="标题 4 字符"/>
    <w:next w:val="1048"/>
    <w:link w:val="1037"/>
    <w:rPr>
      <w:rFonts w:ascii="Arial" w:hAnsi="Arial" w:eastAsia="黑体" w:cs="Times New Roman"/>
      <w:b/>
      <w:sz w:val="28"/>
      <w:lang w:val="en-US" w:eastAsia="zh-CN" w:bidi="ar-SA"/>
    </w:rPr>
  </w:style>
  <w:style w:type="character" w:styleId="1049">
    <w:name w:val="标题 5 字符"/>
    <w:next w:val="1049"/>
    <w:link w:val="1038"/>
    <w:rPr>
      <w:rFonts w:ascii="黑体" w:hAnsi="Times New Roman" w:eastAsia="黑体" w:cs="Times New Roman"/>
      <w:b/>
      <w:color w:val="000000"/>
      <w:sz w:val="28"/>
      <w:lang w:val="en-US" w:eastAsia="zh-CN" w:bidi="ar-SA"/>
    </w:rPr>
  </w:style>
  <w:style w:type="paragraph" w:styleId="1050">
    <w:name w:val="正文缩进"/>
    <w:basedOn w:val="1033"/>
    <w:next w:val="1050"/>
    <w:link w:val="1033"/>
    <w:pPr>
      <w:ind w:firstLine="420"/>
    </w:pPr>
    <w:rPr>
      <w:rFonts w:ascii="Times New Roman" w:hAnsi="Times New Roman" w:eastAsia="宋体" w:cs="Times New Roman"/>
    </w:rPr>
  </w:style>
  <w:style w:type="character" w:styleId="1051">
    <w:name w:val="标题 6 字符"/>
    <w:next w:val="1051"/>
    <w:link w:val="1039"/>
    <w:rPr>
      <w:rFonts w:ascii="Arial" w:hAnsi="Arial" w:eastAsia="黑体" w:cs="Times New Roman"/>
      <w:b/>
      <w:bCs/>
      <w:sz w:val="24"/>
      <w:szCs w:val="24"/>
      <w:lang w:val="en-US" w:eastAsia="zh-CN" w:bidi="ar-SA"/>
    </w:rPr>
  </w:style>
  <w:style w:type="character" w:styleId="1052">
    <w:name w:val="标题 7 字符"/>
    <w:next w:val="1052"/>
    <w:link w:val="1040"/>
    <w:rPr>
      <w:rFonts w:ascii="Times New Roman" w:hAnsi="Times New Roman" w:eastAsia="宋体" w:cs="Times New Roman"/>
      <w:b/>
      <w:bCs/>
      <w:sz w:val="24"/>
      <w:szCs w:val="24"/>
      <w:lang w:val="en-US" w:eastAsia="zh-CN" w:bidi="ar-SA"/>
    </w:rPr>
  </w:style>
  <w:style w:type="character" w:styleId="1053">
    <w:name w:val="标题 8 字符"/>
    <w:next w:val="1053"/>
    <w:link w:val="1041"/>
    <w:rPr>
      <w:rFonts w:ascii="Arial" w:hAnsi="Arial" w:eastAsia="黑体" w:cs="Times New Roman"/>
      <w:sz w:val="24"/>
      <w:szCs w:val="24"/>
      <w:lang w:val="en-US" w:eastAsia="zh-CN" w:bidi="ar-SA"/>
    </w:rPr>
  </w:style>
  <w:style w:type="character" w:styleId="1054">
    <w:name w:val="标题 9 字符"/>
    <w:next w:val="1054"/>
    <w:link w:val="1042"/>
    <w:rPr>
      <w:rFonts w:ascii="Arial" w:hAnsi="Arial" w:eastAsia="黑体" w:cs="Times New Roman"/>
      <w:sz w:val="21"/>
      <w:szCs w:val="21"/>
      <w:lang w:val="en-US" w:eastAsia="zh-CN" w:bidi="ar-SA"/>
    </w:rPr>
  </w:style>
  <w:style w:type="paragraph" w:styleId="1055">
    <w:name w:val="列表 3"/>
    <w:basedOn w:val="1033"/>
    <w:next w:val="1055"/>
    <w:link w:val="1033"/>
    <w:pPr>
      <w:ind w:left="1260" w:hanging="420"/>
    </w:pPr>
    <w:rPr>
      <w:rFonts w:ascii="Times New Roman" w:hAnsi="Times New Roman" w:eastAsia="宋体" w:cs="Times New Roman"/>
    </w:rPr>
  </w:style>
  <w:style w:type="paragraph" w:styleId="1056">
    <w:name w:val="目录 7"/>
    <w:basedOn w:val="1033"/>
    <w:next w:val="1033"/>
    <w:link w:val="1033"/>
    <w:pPr>
      <w:ind w:left="1680"/>
      <w:jc w:val="left"/>
      <w:spacing w:before="0" w:after="0"/>
    </w:pPr>
    <w:rPr>
      <w:rFonts w:ascii="Calibri" w:hAnsi="Calibri" w:eastAsia="宋体" w:cs="Times New Roman"/>
      <w:sz w:val="18"/>
      <w:szCs w:val="18"/>
    </w:rPr>
  </w:style>
  <w:style w:type="paragraph" w:styleId="1057">
    <w:name w:val="列表编号 2"/>
    <w:basedOn w:val="1033"/>
    <w:next w:val="1057"/>
    <w:link w:val="1033"/>
    <w:pPr>
      <w:ind w:left="1440" w:hanging="1440"/>
      <w:spacing w:line="360" w:lineRule="auto"/>
      <w:tabs>
        <w:tab w:val="left" w:pos="1440" w:leader="none"/>
      </w:tabs>
    </w:pPr>
    <w:rPr>
      <w:rFonts w:ascii="Times New Roman" w:hAnsi="Times New Roman" w:eastAsia="宋体" w:cs="Times New Roman"/>
      <w:sz w:val="24"/>
      <w:szCs w:val="24"/>
    </w:rPr>
  </w:style>
  <w:style w:type="paragraph" w:styleId="1058">
    <w:name w:val="索引 8"/>
    <w:basedOn w:val="1033"/>
    <w:next w:val="1033"/>
    <w:link w:val="1033"/>
    <w:pPr>
      <w:ind w:left="2940"/>
    </w:pPr>
    <w:rPr>
      <w:rFonts w:ascii="Times New Roman" w:hAnsi="Times New Roman" w:eastAsia="宋体" w:cs="Times New Roman"/>
    </w:rPr>
  </w:style>
  <w:style w:type="paragraph" w:styleId="1059">
    <w:name w:val="列表编号"/>
    <w:basedOn w:val="1033"/>
    <w:next w:val="1059"/>
    <w:link w:val="1033"/>
    <w:pPr>
      <w:ind w:left="2952" w:hanging="432"/>
      <w:tabs>
        <w:tab w:val="left" w:pos="2952" w:leader="none"/>
      </w:tabs>
    </w:pPr>
    <w:rPr>
      <w:rFonts w:ascii="Times New Roman" w:hAnsi="Times New Roman" w:eastAsia="宋体" w:cs="Times New Roman"/>
      <w:szCs w:val="24"/>
    </w:rPr>
  </w:style>
  <w:style w:type="paragraph" w:styleId="1060">
    <w:name w:val="索引 5"/>
    <w:basedOn w:val="1033"/>
    <w:next w:val="1033"/>
    <w:link w:val="1033"/>
    <w:pPr>
      <w:ind w:left="1680"/>
    </w:pPr>
    <w:rPr>
      <w:rFonts w:ascii="Times New Roman" w:hAnsi="Times New Roman" w:eastAsia="宋体" w:cs="Times New Roman"/>
    </w:rPr>
  </w:style>
  <w:style w:type="paragraph" w:styleId="1061">
    <w:name w:val="文档结构图"/>
    <w:basedOn w:val="1033"/>
    <w:next w:val="1061"/>
    <w:link w:val="1062"/>
    <w:pPr>
      <w:shd w:val="clear" w:color="auto" w:fill="000080"/>
    </w:pPr>
    <w:rPr>
      <w:rFonts w:eastAsia="宋体"/>
    </w:rPr>
  </w:style>
  <w:style w:type="character" w:styleId="1062">
    <w:name w:val="文档结构图 字符"/>
    <w:next w:val="1062"/>
    <w:link w:val="1061"/>
    <w:rPr>
      <w:rFonts w:ascii="Times New Roman" w:hAnsi="Times New Roman" w:eastAsia="宋体" w:cs="Times New Roman"/>
      <w:sz w:val="21"/>
      <w:lang w:val="en-US" w:eastAsia="zh-CN" w:bidi="ar-SA"/>
    </w:rPr>
  </w:style>
  <w:style w:type="paragraph" w:styleId="1063">
    <w:name w:val="引文目录标题"/>
    <w:basedOn w:val="1033"/>
    <w:next w:val="1033"/>
    <w:link w:val="1033"/>
    <w:uiPriority w:val="99"/>
    <w:qFormat/>
    <w:pPr>
      <w:spacing w:before="120"/>
    </w:pPr>
    <w:rPr>
      <w:rFonts w:ascii="Cambria" w:hAnsi="Cambria"/>
      <w:sz w:val="24"/>
    </w:rPr>
  </w:style>
  <w:style w:type="paragraph" w:styleId="1064">
    <w:name w:val="批注文字"/>
    <w:basedOn w:val="1033"/>
    <w:next w:val="1064"/>
    <w:link w:val="1065"/>
    <w:pPr>
      <w:jc w:val="left"/>
    </w:pPr>
    <w:rPr>
      <w:rFonts w:hint="eastAsia" w:ascii="微软雅黑" w:hAnsi="微软雅黑"/>
    </w:rPr>
  </w:style>
  <w:style w:type="character" w:styleId="1065">
    <w:name w:val="批注文字 字符"/>
    <w:next w:val="1065"/>
    <w:link w:val="1064"/>
    <w:rPr>
      <w:rFonts w:hint="eastAsia" w:ascii="微软雅黑" w:hAnsi="微软雅黑" w:eastAsia="微软雅黑" w:cs="微软雅黑"/>
      <w:sz w:val="21"/>
    </w:rPr>
  </w:style>
  <w:style w:type="paragraph" w:styleId="1066">
    <w:name w:val="索引 6"/>
    <w:basedOn w:val="1033"/>
    <w:next w:val="1033"/>
    <w:link w:val="1033"/>
    <w:pPr>
      <w:ind w:left="2100"/>
    </w:pPr>
    <w:rPr>
      <w:rFonts w:ascii="Times New Roman" w:hAnsi="Times New Roman" w:eastAsia="宋体" w:cs="Times New Roman"/>
    </w:rPr>
  </w:style>
  <w:style w:type="paragraph" w:styleId="1067">
    <w:name w:val="称呼"/>
    <w:basedOn w:val="1033"/>
    <w:next w:val="1033"/>
    <w:link w:val="1033"/>
    <w:rPr>
      <w:rFonts w:ascii="仿宋_GB2312" w:hAnsi="Times New Roman" w:eastAsia="仿宋_GB2312" w:cs="Times New Roman"/>
      <w:sz w:val="28"/>
    </w:rPr>
  </w:style>
  <w:style w:type="paragraph" w:styleId="1068">
    <w:name w:val="正文文本 3"/>
    <w:basedOn w:val="1033"/>
    <w:next w:val="1068"/>
    <w:link w:val="1033"/>
    <w:rPr>
      <w:rFonts w:ascii="仿宋_GB2312" w:hAnsi="Arial" w:eastAsia="仿宋_GB2312" w:cs="Times New Roman"/>
      <w:sz w:val="32"/>
    </w:rPr>
  </w:style>
  <w:style w:type="paragraph" w:styleId="1069">
    <w:name w:val="正文文本"/>
    <w:basedOn w:val="1033"/>
    <w:next w:val="1069"/>
    <w:link w:val="1033"/>
    <w:rPr>
      <w:rFonts w:ascii="楷体_GB2312" w:hAnsi="Arial" w:eastAsia="楷体_GB2312" w:cs="Times New Roman"/>
      <w:sz w:val="28"/>
    </w:rPr>
  </w:style>
  <w:style w:type="paragraph" w:styleId="1070">
    <w:name w:val="正文文本缩进"/>
    <w:basedOn w:val="1033"/>
    <w:next w:val="1070"/>
    <w:link w:val="1071"/>
    <w:pPr>
      <w:ind w:firstLine="645"/>
    </w:pPr>
    <w:rPr>
      <w:rFonts w:ascii="楷体_GB2312" w:eastAsia="楷体_GB2312"/>
      <w:sz w:val="32"/>
    </w:rPr>
  </w:style>
  <w:style w:type="character" w:styleId="1071">
    <w:name w:val="正文文本缩进 字符"/>
    <w:next w:val="1071"/>
    <w:link w:val="1070"/>
    <w:rPr>
      <w:rFonts w:ascii="楷体_GB2312" w:hAnsi="Times New Roman" w:eastAsia="楷体_GB2312" w:cs="Times New Roman"/>
      <w:sz w:val="32"/>
      <w:lang w:val="en-US" w:eastAsia="zh-CN" w:bidi="ar-SA"/>
    </w:rPr>
  </w:style>
  <w:style w:type="paragraph" w:styleId="1072">
    <w:name w:val="文本块"/>
    <w:basedOn w:val="1033"/>
    <w:next w:val="1072"/>
    <w:link w:val="1033"/>
    <w:pPr>
      <w:ind w:left="1440" w:right="1440"/>
      <w:spacing w:after="120"/>
    </w:pPr>
    <w:rPr>
      <w:rFonts w:ascii="Times New Roman" w:hAnsi="Times New Roman" w:eastAsia="宋体" w:cs="Times New Roman"/>
    </w:rPr>
  </w:style>
  <w:style w:type="paragraph" w:styleId="1073">
    <w:name w:val="索引 4"/>
    <w:basedOn w:val="1033"/>
    <w:next w:val="1033"/>
    <w:link w:val="1033"/>
    <w:pPr>
      <w:ind w:left="1260"/>
    </w:pPr>
    <w:rPr>
      <w:rFonts w:ascii="Times New Roman" w:hAnsi="Times New Roman" w:eastAsia="宋体" w:cs="Times New Roman"/>
    </w:rPr>
  </w:style>
  <w:style w:type="paragraph" w:styleId="1074">
    <w:name w:val="目录 5"/>
    <w:basedOn w:val="1033"/>
    <w:next w:val="1033"/>
    <w:link w:val="1033"/>
    <w:pPr>
      <w:ind w:left="1120"/>
      <w:jc w:val="left"/>
      <w:spacing w:before="0" w:after="0"/>
    </w:pPr>
    <w:rPr>
      <w:rFonts w:ascii="Calibri" w:hAnsi="Calibri" w:eastAsia="宋体" w:cs="Times New Roman"/>
      <w:sz w:val="18"/>
      <w:szCs w:val="18"/>
    </w:rPr>
  </w:style>
  <w:style w:type="paragraph" w:styleId="1075">
    <w:name w:val="目录 3"/>
    <w:basedOn w:val="1033"/>
    <w:next w:val="1033"/>
    <w:link w:val="1033"/>
    <w:pPr>
      <w:ind w:left="560"/>
      <w:jc w:val="left"/>
      <w:spacing w:before="0" w:after="0"/>
    </w:pPr>
    <w:rPr>
      <w:rFonts w:ascii="Calibri" w:hAnsi="Calibri" w:eastAsia="宋体" w:cs="Times New Roman"/>
      <w:i/>
      <w:iCs/>
      <w:sz w:val="20"/>
    </w:rPr>
  </w:style>
  <w:style w:type="paragraph" w:styleId="1076">
    <w:name w:val="纯文本"/>
    <w:basedOn w:val="1033"/>
    <w:next w:val="1076"/>
    <w:link w:val="1077"/>
    <w:rPr>
      <w:rFonts w:ascii="宋体" w:hAnsi="Courier New" w:eastAsia="宋体"/>
    </w:rPr>
  </w:style>
  <w:style w:type="character" w:styleId="1077">
    <w:name w:val="纯文本 字符"/>
    <w:next w:val="1077"/>
    <w:link w:val="1076"/>
    <w:rPr>
      <w:rFonts w:ascii="宋体" w:hAnsi="Courier New" w:eastAsia="宋体" w:cs="Times New Roman"/>
      <w:sz w:val="21"/>
      <w:lang w:val="en-US" w:eastAsia="zh-CN" w:bidi="ar-SA"/>
    </w:rPr>
  </w:style>
  <w:style w:type="paragraph" w:styleId="1078">
    <w:name w:val="目录 8"/>
    <w:basedOn w:val="1033"/>
    <w:next w:val="1033"/>
    <w:link w:val="1033"/>
    <w:pPr>
      <w:ind w:left="1960"/>
      <w:jc w:val="left"/>
      <w:spacing w:before="0" w:after="0"/>
    </w:pPr>
    <w:rPr>
      <w:rFonts w:ascii="Calibri" w:hAnsi="Calibri" w:eastAsia="宋体" w:cs="Times New Roman"/>
      <w:sz w:val="18"/>
      <w:szCs w:val="18"/>
    </w:rPr>
  </w:style>
  <w:style w:type="paragraph" w:styleId="1079">
    <w:name w:val="索引 3"/>
    <w:basedOn w:val="1033"/>
    <w:next w:val="1033"/>
    <w:link w:val="1033"/>
    <w:pPr>
      <w:ind w:left="840"/>
    </w:pPr>
    <w:rPr>
      <w:rFonts w:ascii="Times New Roman" w:hAnsi="Times New Roman" w:eastAsia="宋体" w:cs="Times New Roman"/>
    </w:rPr>
  </w:style>
  <w:style w:type="paragraph" w:styleId="1080">
    <w:name w:val="日期"/>
    <w:basedOn w:val="1033"/>
    <w:next w:val="1033"/>
    <w:link w:val="1033"/>
    <w:pPr>
      <w:ind w:left="100"/>
    </w:pPr>
    <w:rPr>
      <w:rFonts w:ascii="Times New Roman" w:hAnsi="Times New Roman" w:eastAsia="宋体" w:cs="Times New Roman"/>
      <w:sz w:val="28"/>
    </w:rPr>
  </w:style>
  <w:style w:type="paragraph" w:styleId="1081">
    <w:name w:val="正文文本缩进 2"/>
    <w:basedOn w:val="1033"/>
    <w:next w:val="1081"/>
    <w:link w:val="1082"/>
    <w:pPr>
      <w:ind w:left="630" w:firstLine="645"/>
    </w:pPr>
    <w:rPr>
      <w:rFonts w:ascii="Arial" w:hAnsi="Arial" w:eastAsia="仿宋_GB2312"/>
      <w:sz w:val="32"/>
    </w:rPr>
  </w:style>
  <w:style w:type="character" w:styleId="1082">
    <w:name w:val="正文文本缩进 2 字符"/>
    <w:next w:val="1082"/>
    <w:link w:val="1081"/>
    <w:rPr>
      <w:rFonts w:ascii="Arial" w:hAnsi="Arial" w:eastAsia="仿宋_GB2312" w:cs="Times New Roman"/>
      <w:sz w:val="32"/>
      <w:lang w:val="en-US" w:eastAsia="zh-CN" w:bidi="ar-SA"/>
    </w:rPr>
  </w:style>
  <w:style w:type="paragraph" w:styleId="1083">
    <w:name w:val="尾注文本"/>
    <w:basedOn w:val="1033"/>
    <w:next w:val="1083"/>
    <w:link w:val="1033"/>
    <w:pPr>
      <w:jc w:val="left"/>
    </w:pPr>
    <w:rPr>
      <w:rFonts w:ascii="Times New Roman" w:hAnsi="Times New Roman" w:eastAsia="宋体" w:cs="Times New Roman"/>
      <w:sz w:val="20"/>
      <w:szCs w:val="24"/>
    </w:rPr>
  </w:style>
  <w:style w:type="paragraph" w:styleId="1084">
    <w:name w:val="批注框文本"/>
    <w:basedOn w:val="1033"/>
    <w:next w:val="1084"/>
    <w:link w:val="1033"/>
    <w:rPr>
      <w:rFonts w:ascii="Times New Roman" w:hAnsi="Times New Roman" w:eastAsia="宋体" w:cs="Times New Roman"/>
      <w:sz w:val="18"/>
      <w:szCs w:val="18"/>
    </w:rPr>
  </w:style>
  <w:style w:type="paragraph" w:styleId="1085">
    <w:name w:val="页脚"/>
    <w:basedOn w:val="1033"/>
    <w:next w:val="1085"/>
    <w:link w:val="1086"/>
    <w:pPr>
      <w:jc w:val="left"/>
      <w:tabs>
        <w:tab w:val="center" w:pos="4153" w:leader="none"/>
        <w:tab w:val="right" w:pos="8306" w:leader="none"/>
      </w:tabs>
    </w:pPr>
    <w:rPr>
      <w:rFonts w:eastAsia="宋体"/>
      <w:sz w:val="18"/>
    </w:rPr>
  </w:style>
  <w:style w:type="character" w:styleId="1086">
    <w:name w:val="页脚 字符"/>
    <w:next w:val="1086"/>
    <w:link w:val="1085"/>
    <w:rPr>
      <w:rFonts w:ascii="Times New Roman" w:hAnsi="Times New Roman" w:eastAsia="宋体" w:cs="Times New Roman"/>
      <w:sz w:val="18"/>
    </w:rPr>
  </w:style>
  <w:style w:type="paragraph" w:styleId="1087">
    <w:name w:val="寄信人地址"/>
    <w:basedOn w:val="1033"/>
    <w:next w:val="1087"/>
    <w:link w:val="1033"/>
    <w:rPr>
      <w:rFonts w:ascii="Arial" w:hAnsi="Arial" w:eastAsia="宋体" w:cs="Times New Roman"/>
    </w:rPr>
  </w:style>
  <w:style w:type="paragraph" w:styleId="1088">
    <w:name w:val="页眉"/>
    <w:basedOn w:val="1033"/>
    <w:next w:val="1088"/>
    <w:link w:val="1033"/>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1089">
    <w:name w:val="签名"/>
    <w:basedOn w:val="1033"/>
    <w:next w:val="1089"/>
    <w:link w:val="1033"/>
    <w:pPr>
      <w:jc w:val="center"/>
      <w:spacing w:after="600" w:line="312" w:lineRule="atLeast"/>
    </w:pPr>
    <w:rPr>
      <w:rFonts w:ascii="Times New Roman" w:hAnsi="Times New Roman" w:eastAsia="仿宋_GB2312" w:cs="Times New Roman"/>
      <w:sz w:val="24"/>
    </w:rPr>
  </w:style>
  <w:style w:type="paragraph" w:styleId="1090">
    <w:name w:val="目录 1"/>
    <w:basedOn w:val="1033"/>
    <w:next w:val="1033"/>
    <w:link w:val="1033"/>
    <w:pPr>
      <w:jc w:val="left"/>
    </w:pPr>
    <w:rPr>
      <w:rFonts w:ascii="Calibri" w:hAnsi="Calibri" w:eastAsia="宋体" w:cs="Times New Roman"/>
      <w:b/>
      <w:bCs/>
      <w:caps/>
      <w:sz w:val="20"/>
    </w:rPr>
  </w:style>
  <w:style w:type="paragraph" w:styleId="1091">
    <w:name w:val="目录 4"/>
    <w:basedOn w:val="1033"/>
    <w:next w:val="1033"/>
    <w:link w:val="1033"/>
    <w:pPr>
      <w:ind w:left="840"/>
      <w:jc w:val="left"/>
      <w:spacing w:before="0" w:after="0"/>
    </w:pPr>
    <w:rPr>
      <w:rFonts w:ascii="Calibri" w:hAnsi="Calibri" w:eastAsia="宋体" w:cs="Times New Roman"/>
      <w:sz w:val="18"/>
      <w:szCs w:val="18"/>
    </w:rPr>
  </w:style>
  <w:style w:type="paragraph" w:styleId="1092">
    <w:name w:val="索引标题"/>
    <w:basedOn w:val="1033"/>
    <w:next w:val="1093"/>
    <w:link w:val="1033"/>
    <w:rPr>
      <w:rFonts w:ascii="Times New Roman" w:hAnsi="Times New Roman" w:eastAsia="宋体" w:cs="Times New Roman"/>
    </w:rPr>
  </w:style>
  <w:style w:type="paragraph" w:styleId="1093">
    <w:name w:val="索引 1"/>
    <w:basedOn w:val="1033"/>
    <w:next w:val="1033"/>
    <w:link w:val="1033"/>
    <w:rPr>
      <w:rFonts w:ascii="仿宋_GB2312" w:hAnsi="宋体" w:eastAsia="仿宋_GB2312" w:cs="Times New Roman"/>
      <w:sz w:val="30"/>
      <w:szCs w:val="24"/>
    </w:rPr>
  </w:style>
  <w:style w:type="paragraph" w:styleId="1094">
    <w:name w:val="副标题"/>
    <w:basedOn w:val="1033"/>
    <w:next w:val="1033"/>
    <w:link w:val="1033"/>
    <w:qFormat/>
    <w:pPr>
      <w:jc w:val="left"/>
      <w:spacing w:after="600" w:line="276" w:lineRule="auto"/>
      <w:widowControl/>
    </w:pPr>
    <w:rPr>
      <w:rFonts w:ascii="Cambria" w:hAnsi="Cambria" w:eastAsia="宋体" w:cs="Times New Roman"/>
      <w:i/>
      <w:iCs/>
      <w:spacing w:val="13"/>
      <w:sz w:val="24"/>
      <w:szCs w:val="24"/>
      <w:lang w:eastAsia="en-US" w:bidi="en-US"/>
    </w:rPr>
  </w:style>
  <w:style w:type="paragraph" w:styleId="1095">
    <w:name w:val="脚注文本"/>
    <w:basedOn w:val="1033"/>
    <w:next w:val="1095"/>
    <w:link w:val="1033"/>
    <w:pPr>
      <w:jc w:val="left"/>
    </w:pPr>
    <w:rPr>
      <w:rFonts w:ascii="Times New Roman" w:hAnsi="Times New Roman" w:eastAsia="宋体" w:cs="Times New Roman"/>
      <w:sz w:val="18"/>
      <w:szCs w:val="18"/>
    </w:rPr>
  </w:style>
  <w:style w:type="paragraph" w:styleId="1096">
    <w:name w:val="目录 6"/>
    <w:basedOn w:val="1033"/>
    <w:next w:val="1033"/>
    <w:link w:val="1033"/>
    <w:pPr>
      <w:ind w:left="1400"/>
      <w:jc w:val="left"/>
      <w:spacing w:before="0" w:after="0"/>
    </w:pPr>
    <w:rPr>
      <w:rFonts w:ascii="Calibri" w:hAnsi="Calibri" w:eastAsia="宋体" w:cs="Times New Roman"/>
      <w:sz w:val="18"/>
      <w:szCs w:val="18"/>
    </w:rPr>
  </w:style>
  <w:style w:type="paragraph" w:styleId="1097">
    <w:name w:val="正文文本缩进 3"/>
    <w:basedOn w:val="1033"/>
    <w:next w:val="1097"/>
    <w:link w:val="1098"/>
    <w:pPr>
      <w:ind w:left="645" w:firstLine="645"/>
    </w:pPr>
    <w:rPr>
      <w:rFonts w:ascii="Arial" w:hAnsi="Arial" w:eastAsia="仿宋_GB2312"/>
      <w:color w:val="ffff00"/>
      <w:sz w:val="32"/>
    </w:rPr>
  </w:style>
  <w:style w:type="character" w:styleId="1098">
    <w:name w:val="正文文本缩进 3 字符"/>
    <w:next w:val="1098"/>
    <w:link w:val="1097"/>
    <w:rPr>
      <w:rFonts w:ascii="Arial" w:hAnsi="Arial" w:eastAsia="仿宋_GB2312" w:cs="Times New Roman"/>
      <w:color w:val="ffff00"/>
      <w:sz w:val="32"/>
      <w:lang w:val="en-US" w:eastAsia="zh-CN" w:bidi="ar-SA"/>
    </w:rPr>
  </w:style>
  <w:style w:type="paragraph" w:styleId="1099">
    <w:name w:val="索引 7"/>
    <w:basedOn w:val="1033"/>
    <w:next w:val="1033"/>
    <w:link w:val="1033"/>
    <w:pPr>
      <w:ind w:left="2520"/>
    </w:pPr>
    <w:rPr>
      <w:rFonts w:ascii="Times New Roman" w:hAnsi="Times New Roman" w:eastAsia="宋体" w:cs="Times New Roman"/>
    </w:rPr>
  </w:style>
  <w:style w:type="paragraph" w:styleId="1100">
    <w:name w:val="索引 9"/>
    <w:basedOn w:val="1033"/>
    <w:next w:val="1033"/>
    <w:link w:val="1033"/>
    <w:pPr>
      <w:ind w:left="3360"/>
    </w:pPr>
    <w:rPr>
      <w:rFonts w:ascii="Times New Roman" w:hAnsi="Times New Roman" w:eastAsia="宋体" w:cs="Times New Roman"/>
    </w:rPr>
  </w:style>
  <w:style w:type="paragraph" w:styleId="1101">
    <w:name w:val="图表目录"/>
    <w:basedOn w:val="1033"/>
    <w:next w:val="1033"/>
    <w:link w:val="1033"/>
    <w:pPr>
      <w:ind w:left="840" w:hanging="420"/>
    </w:pPr>
    <w:rPr>
      <w:rFonts w:ascii="Times New Roman" w:hAnsi="Times New Roman" w:eastAsia="宋体" w:cs="Times New Roman"/>
    </w:rPr>
  </w:style>
  <w:style w:type="paragraph" w:styleId="1102">
    <w:name w:val="目录 2"/>
    <w:basedOn w:val="1033"/>
    <w:next w:val="1033"/>
    <w:link w:val="1033"/>
    <w:pPr>
      <w:ind w:left="280"/>
      <w:jc w:val="left"/>
      <w:spacing w:before="0" w:after="0"/>
    </w:pPr>
    <w:rPr>
      <w:rFonts w:ascii="Calibri" w:hAnsi="Calibri" w:eastAsia="宋体" w:cs="Times New Roman"/>
      <w:smallCaps/>
      <w:sz w:val="20"/>
    </w:rPr>
  </w:style>
  <w:style w:type="paragraph" w:styleId="1103">
    <w:name w:val="目录 9"/>
    <w:basedOn w:val="1033"/>
    <w:next w:val="1033"/>
    <w:link w:val="1033"/>
    <w:pPr>
      <w:ind w:left="2240"/>
      <w:jc w:val="left"/>
      <w:spacing w:before="0" w:after="0"/>
    </w:pPr>
    <w:rPr>
      <w:rFonts w:ascii="Calibri" w:hAnsi="Calibri" w:eastAsia="宋体" w:cs="Times New Roman"/>
      <w:sz w:val="18"/>
      <w:szCs w:val="18"/>
    </w:rPr>
  </w:style>
  <w:style w:type="paragraph" w:styleId="1104">
    <w:name w:val="正文文本 2"/>
    <w:basedOn w:val="1033"/>
    <w:next w:val="1104"/>
    <w:link w:val="1033"/>
    <w:pPr>
      <w:jc w:val="center"/>
      <w:widowControl/>
    </w:pPr>
    <w:rPr>
      <w:rFonts w:ascii="楷体_GB2312" w:hAnsi="Times New Roman" w:eastAsia="楷体_GB2312" w:cs="Times New Roman"/>
      <w:sz w:val="28"/>
    </w:rPr>
  </w:style>
  <w:style w:type="paragraph" w:styleId="1105">
    <w:name w:val="HTML 预设格式"/>
    <w:basedOn w:val="1033"/>
    <w:next w:val="1105"/>
    <w:link w:val="110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106">
    <w:name w:val="HTML 预设格式 字符"/>
    <w:next w:val="1106"/>
    <w:link w:val="1105"/>
    <w:rPr>
      <w:rFonts w:ascii="黑体" w:hAnsi="Courier New" w:eastAsia="黑体" w:cs="Courier New"/>
      <w:lang w:val="en-US" w:eastAsia="zh-CN" w:bidi="ar-SA"/>
    </w:rPr>
  </w:style>
  <w:style w:type="paragraph" w:styleId="1107">
    <w:name w:val="普通(网站)"/>
    <w:basedOn w:val="1033"/>
    <w:next w:val="1107"/>
    <w:link w:val="1033"/>
    <w:pPr>
      <w:jc w:val="left"/>
      <w:spacing w:before="100" w:beforeAutospacing="1" w:after="100" w:afterAutospacing="1"/>
      <w:widowControl/>
    </w:pPr>
    <w:rPr>
      <w:rFonts w:ascii="Arial" w:hAnsi="Arial" w:eastAsia="Arial Unicode MS" w:cs="Arial"/>
      <w:sz w:val="24"/>
      <w:szCs w:val="24"/>
    </w:rPr>
  </w:style>
  <w:style w:type="paragraph" w:styleId="1108">
    <w:name w:val="索引 2"/>
    <w:basedOn w:val="1033"/>
    <w:next w:val="1033"/>
    <w:link w:val="1033"/>
    <w:pPr>
      <w:ind w:left="420"/>
    </w:pPr>
    <w:rPr>
      <w:rFonts w:ascii="Times New Roman" w:hAnsi="Times New Roman" w:eastAsia="宋体" w:cs="Times New Roman"/>
    </w:rPr>
  </w:style>
  <w:style w:type="paragraph" w:styleId="1109">
    <w:name w:val="标题"/>
    <w:basedOn w:val="1033"/>
    <w:next w:val="1109"/>
    <w:link w:val="1110"/>
    <w:qFormat/>
    <w:pPr>
      <w:jc w:val="center"/>
      <w:spacing w:line="480" w:lineRule="auto"/>
      <w:widowControl/>
    </w:pPr>
    <w:rPr>
      <w:rFonts w:ascii="微软雅黑" w:hAnsi="微软雅黑"/>
      <w:sz w:val="36"/>
      <w:szCs w:val="24"/>
      <w:lang w:val="zh-CN"/>
    </w:rPr>
  </w:style>
  <w:style w:type="character" w:styleId="1110">
    <w:name w:val="标题 字符"/>
    <w:next w:val="1110"/>
    <w:link w:val="1109"/>
    <w:rPr>
      <w:rFonts w:ascii="微软雅黑" w:hAnsi="微软雅黑" w:eastAsia="微软雅黑" w:cs="Times New Roman"/>
      <w:sz w:val="36"/>
      <w:szCs w:val="24"/>
      <w:lang w:val="zh-CN"/>
    </w:rPr>
  </w:style>
  <w:style w:type="paragraph" w:styleId="1111">
    <w:name w:val="批注主题"/>
    <w:basedOn w:val="1064"/>
    <w:next w:val="1064"/>
    <w:link w:val="1112"/>
    <w:rPr>
      <w:rFonts w:ascii="Times New Roman" w:hAnsi="Times New Roman" w:eastAsia="宋体"/>
      <w:b/>
      <w:bCs/>
    </w:rPr>
  </w:style>
  <w:style w:type="character" w:styleId="1112">
    <w:name w:val="批注主题 字符"/>
    <w:next w:val="1112"/>
    <w:link w:val="1111"/>
    <w:rPr>
      <w:rFonts w:ascii="Times New Roman" w:hAnsi="Times New Roman" w:eastAsia="宋体" w:cs="Times New Roman"/>
      <w:b/>
      <w:bCs/>
      <w:sz w:val="21"/>
      <w:lang w:val="en-US" w:eastAsia="zh-CN" w:bidi="ar-SA"/>
    </w:rPr>
  </w:style>
  <w:style w:type="paragraph" w:styleId="1113">
    <w:name w:val="正文首行缩进"/>
    <w:basedOn w:val="1069"/>
    <w:next w:val="1113"/>
    <w:link w:val="1033"/>
    <w:pPr>
      <w:ind w:firstLine="420"/>
      <w:spacing w:after="120"/>
    </w:pPr>
    <w:rPr>
      <w:rFonts w:ascii="Times New Roman" w:hAnsi="Times New Roman" w:eastAsia="宋体" w:cs="Times New Roman"/>
      <w:sz w:val="21"/>
      <w:szCs w:val="24"/>
    </w:rPr>
  </w:style>
  <w:style w:type="paragraph" w:styleId="1114">
    <w:name w:val="正文首行缩进 2"/>
    <w:basedOn w:val="1070"/>
    <w:next w:val="1114"/>
    <w:link w:val="1033"/>
    <w:pPr>
      <w:ind w:left="420" w:firstLine="420"/>
      <w:spacing w:after="120" w:line="240" w:lineRule="auto"/>
    </w:pPr>
    <w:rPr>
      <w:rFonts w:ascii="Times New Roman" w:hAnsi="Times New Roman" w:eastAsia="宋体" w:cs="Times New Roman"/>
      <w:sz w:val="21"/>
    </w:rPr>
  </w:style>
  <w:style w:type="table" w:styleId="1115">
    <w:name w:val="网格型"/>
    <w:basedOn w:val="1044"/>
    <w:next w:val="1115"/>
    <w:link w:val="1033"/>
    <w:pPr>
      <w:jc w:val="both"/>
      <w:widowControl w:val="off"/>
    </w:pPr>
    <w:rPr>
      <w:rFonts w:ascii="Times New Roman" w:hAnsi="Times New Roman" w:eastAsia="宋体" w:cs="Times New Roman"/>
    </w:rPr>
    <w:tblPr/>
  </w:style>
  <w:style w:type="character" w:styleId="1116">
    <w:name w:val="要点"/>
    <w:next w:val="1116"/>
    <w:link w:val="1033"/>
    <w:qFormat/>
    <w:rPr>
      <w:rFonts w:ascii="Times New Roman" w:hAnsi="Times New Roman" w:eastAsia="宋体" w:cs="Times New Roman"/>
      <w:b/>
      <w:bCs/>
    </w:rPr>
  </w:style>
  <w:style w:type="character" w:styleId="1117">
    <w:name w:val="尾注引用"/>
    <w:next w:val="1117"/>
    <w:link w:val="1033"/>
    <w:rPr>
      <w:rFonts w:ascii="Times New Roman" w:hAnsi="Times New Roman" w:eastAsia="宋体" w:cs="Times New Roman"/>
      <w:b w:val="0"/>
      <w:bCs w:val="0"/>
      <w:i w:val="0"/>
      <w:iCs w:val="0"/>
      <w:vertAlign w:val="superscript"/>
    </w:rPr>
  </w:style>
  <w:style w:type="character" w:styleId="1118">
    <w:name w:val="页码"/>
    <w:next w:val="1118"/>
    <w:link w:val="1033"/>
    <w:rPr>
      <w:rFonts w:ascii="Times New Roman" w:hAnsi="Times New Roman" w:eastAsia="宋体" w:cs="Times New Roman"/>
    </w:rPr>
  </w:style>
  <w:style w:type="character" w:styleId="1119">
    <w:name w:val="已访问的超链接"/>
    <w:next w:val="1119"/>
    <w:link w:val="1033"/>
    <w:rPr>
      <w:rFonts w:ascii="Times New Roman" w:hAnsi="Times New Roman" w:eastAsia="宋体" w:cs="Times New Roman"/>
      <w:color w:val="0076be"/>
      <w:u w:val="none"/>
    </w:rPr>
  </w:style>
  <w:style w:type="character" w:styleId="1120">
    <w:name w:val="强调"/>
    <w:next w:val="1120"/>
    <w:link w:val="1033"/>
    <w:qFormat/>
    <w:rPr>
      <w:rFonts w:ascii="Times New Roman" w:hAnsi="Times New Roman" w:eastAsia="宋体" w:cs="Times New Roman"/>
      <w:b/>
      <w:bCs/>
      <w:i/>
      <w:iCs/>
      <w:spacing w:val="10"/>
      <w:shd w:val="clear" w:color="auto" w:fill="auto"/>
    </w:rPr>
  </w:style>
  <w:style w:type="character" w:styleId="1121">
    <w:name w:val="行号"/>
    <w:next w:val="1121"/>
    <w:link w:val="1033"/>
    <w:rPr>
      <w:rFonts w:ascii="Times New Roman" w:hAnsi="Times New Roman" w:eastAsia="宋体" w:cs="Times New Roman"/>
    </w:rPr>
  </w:style>
  <w:style w:type="character" w:styleId="1122">
    <w:name w:val="HTML 定义"/>
    <w:next w:val="1122"/>
    <w:link w:val="1033"/>
    <w:rPr>
      <w:rFonts w:ascii="Times New Roman" w:hAnsi="Times New Roman" w:eastAsia="宋体" w:cs="Times New Roman"/>
      <w:b w:val="0"/>
      <w:i w:val="0"/>
    </w:rPr>
  </w:style>
  <w:style w:type="character" w:styleId="1123">
    <w:name w:val="HTML 打字机"/>
    <w:next w:val="1123"/>
    <w:link w:val="1033"/>
    <w:rPr>
      <w:rFonts w:ascii="宋体" w:hAnsi="宋体" w:eastAsia="宋体" w:cs="宋体"/>
      <w:b w:val="0"/>
      <w:bCs w:val="0"/>
      <w:i w:val="0"/>
      <w:iCs w:val="0"/>
      <w:sz w:val="24"/>
      <w:szCs w:val="24"/>
    </w:rPr>
  </w:style>
  <w:style w:type="character" w:styleId="1124">
    <w:name w:val="HTML 缩写"/>
    <w:next w:val="1124"/>
    <w:link w:val="1033"/>
    <w:rPr>
      <w:rFonts w:ascii="Times New Roman" w:hAnsi="Times New Roman" w:eastAsia="宋体" w:cs="Times New Roman"/>
    </w:rPr>
  </w:style>
  <w:style w:type="character" w:styleId="1125">
    <w:name w:val="HTML 变量"/>
    <w:next w:val="1125"/>
    <w:link w:val="1033"/>
    <w:rPr>
      <w:rFonts w:ascii="Times New Roman" w:hAnsi="Times New Roman" w:eastAsia="宋体" w:cs="Times New Roman"/>
      <w:b w:val="0"/>
      <w:i w:val="0"/>
    </w:rPr>
  </w:style>
  <w:style w:type="character" w:styleId="1126">
    <w:name w:val="超链接"/>
    <w:next w:val="1126"/>
    <w:link w:val="1033"/>
    <w:rPr>
      <w:rFonts w:ascii="Times New Roman" w:hAnsi="Times New Roman" w:eastAsia="宋体" w:cs="Times New Roman"/>
      <w:color w:val="0076be"/>
      <w:u w:val="none"/>
    </w:rPr>
  </w:style>
  <w:style w:type="character" w:styleId="1127">
    <w:name w:val="HTML 代码"/>
    <w:next w:val="1127"/>
    <w:link w:val="1033"/>
    <w:rPr>
      <w:rFonts w:ascii="Courier New" w:hAnsi="Courier New" w:eastAsia="宋体" w:cs="Times New Roman"/>
      <w:b w:val="0"/>
      <w:i w:val="0"/>
      <w:sz w:val="20"/>
    </w:rPr>
  </w:style>
  <w:style w:type="character" w:styleId="1128">
    <w:name w:val="批注引用"/>
    <w:next w:val="1128"/>
    <w:link w:val="1033"/>
    <w:rPr>
      <w:rFonts w:ascii="Times New Roman" w:hAnsi="Times New Roman" w:eastAsia="宋体" w:cs="Times New Roman"/>
      <w:sz w:val="21"/>
    </w:rPr>
  </w:style>
  <w:style w:type="character" w:styleId="1129">
    <w:name w:val="HTML 引文"/>
    <w:next w:val="1129"/>
    <w:link w:val="1033"/>
    <w:rPr>
      <w:rFonts w:ascii="Times New Roman" w:hAnsi="Times New Roman" w:eastAsia="宋体" w:cs="Times New Roman"/>
      <w:b w:val="0"/>
      <w:i w:val="0"/>
    </w:rPr>
  </w:style>
  <w:style w:type="character" w:styleId="1130">
    <w:name w:val="脚注引用"/>
    <w:next w:val="1130"/>
    <w:link w:val="1033"/>
    <w:rPr>
      <w:rFonts w:ascii="Times New Roman" w:hAnsi="Times New Roman" w:eastAsia="宋体" w:cs="Times New Roman"/>
      <w:vertAlign w:val="superscript"/>
    </w:rPr>
  </w:style>
  <w:style w:type="character" w:styleId="1131">
    <w:name w:val="HTML 样本"/>
    <w:next w:val="1131"/>
    <w:link w:val="1033"/>
    <w:rPr>
      <w:rFonts w:ascii="Courier New" w:hAnsi="宋体" w:eastAsia="宋体" w:cs="Courier New"/>
      <w:b w:val="0"/>
      <w:bCs w:val="0"/>
      <w:i w:val="0"/>
      <w:iCs w:val="0"/>
    </w:rPr>
  </w:style>
  <w:style w:type="paragraph" w:styleId="1132">
    <w:name w:val="BodyText1I1"/>
    <w:basedOn w:val="1133"/>
    <w:next w:val="1033"/>
    <w:link w:val="1033"/>
    <w:qFormat/>
    <w:pPr>
      <w:ind w:firstLine="420"/>
      <w:spacing w:after="120"/>
    </w:pPr>
    <w:rPr>
      <w:sz w:val="24"/>
    </w:rPr>
  </w:style>
  <w:style w:type="paragraph" w:styleId="1133">
    <w:name w:val="BodyText1"/>
    <w:basedOn w:val="1033"/>
    <w:next w:val="1133"/>
    <w:link w:val="1033"/>
    <w:qFormat/>
    <w:rPr>
      <w:sz w:val="32"/>
    </w:rPr>
  </w:style>
  <w:style w:type="paragraph" w:styleId="1134">
    <w:name w:val="Default"/>
    <w:next w:val="1134"/>
    <w:link w:val="1033"/>
    <w:pPr>
      <w:widowControl w:val="off"/>
    </w:pPr>
    <w:rPr>
      <w:rFonts w:ascii="宋体" w:cs="宋体"/>
      <w:color w:val="000000"/>
      <w:sz w:val="24"/>
      <w:szCs w:val="24"/>
      <w:lang w:val="en-US" w:eastAsia="zh-CN" w:bidi="ar-SA"/>
    </w:rPr>
  </w:style>
  <w:style w:type="paragraph" w:styleId="1135">
    <w:name w:val="一级条标题"/>
    <w:basedOn w:val="1136"/>
    <w:next w:val="1137"/>
    <w:link w:val="1033"/>
    <w:qFormat/>
    <w:pPr>
      <w:outlineLvl w:val="2"/>
    </w:pPr>
    <w:rPr>
      <w:rFonts w:ascii="Calibri" w:hAnsi="Calibri" w:eastAsia="黑体" w:cs="Times New Roman"/>
      <w:sz w:val="21"/>
      <w:szCs w:val="21"/>
      <w:lang w:val="en-US" w:eastAsia="zh-CN" w:bidi="ar-SA"/>
    </w:rPr>
  </w:style>
  <w:style w:type="paragraph" w:styleId="1136">
    <w:name w:val="章标题"/>
    <w:next w:val="1137"/>
    <w:link w:val="1033"/>
    <w:pPr>
      <w:jc w:val="both"/>
      <w:spacing w:before="156" w:after="156"/>
      <w:outlineLvl w:val="1"/>
    </w:pPr>
    <w:rPr>
      <w:rFonts w:eastAsia="黑体"/>
      <w:sz w:val="21"/>
      <w:lang w:val="en-US" w:eastAsia="zh-CN" w:bidi="ar-SA"/>
    </w:rPr>
  </w:style>
  <w:style w:type="paragraph" w:styleId="1137">
    <w:name w:val="段"/>
    <w:next w:val="1033"/>
    <w:link w:val="1033"/>
    <w:pPr>
      <w:ind w:firstLine="200"/>
      <w:jc w:val="both"/>
    </w:pPr>
    <w:rPr>
      <w:rFonts w:ascii="宋体"/>
      <w:sz w:val="21"/>
      <w:lang w:val="en-US" w:eastAsia="zh-CN" w:bidi="ar-SA"/>
    </w:rPr>
  </w:style>
  <w:style w:type="paragraph" w:styleId="1138">
    <w:name w:val="[Normal]"/>
    <w:next w:val="1138"/>
    <w:link w:val="1033"/>
    <w:rPr>
      <w:rFonts w:ascii="Arial Unicode MS" w:hAnsi="Arial Unicode MS" w:eastAsia="Arial Unicode MS" w:cs="Courier New"/>
      <w:sz w:val="24"/>
      <w:szCs w:val="22"/>
      <w:lang w:val="zh-CN" w:eastAsia="zh-CN" w:bidi="ar-SA"/>
    </w:rPr>
  </w:style>
  <w:style w:type="character" w:styleId="1139">
    <w:name w:val="font01"/>
    <w:next w:val="1139"/>
    <w:link w:val="1033"/>
    <w:rPr>
      <w:rFonts w:hint="eastAsia" w:ascii="宋体" w:hAnsi="宋体" w:eastAsia="宋体" w:cs="宋体"/>
      <w:color w:val="000000"/>
      <w:sz w:val="22"/>
      <w:szCs w:val="22"/>
      <w:u w:val="none"/>
    </w:rPr>
  </w:style>
  <w:style w:type="character" w:styleId="1140">
    <w:name w:val="书籍标题"/>
    <w:next w:val="1140"/>
    <w:link w:val="1033"/>
    <w:qFormat/>
    <w:rPr>
      <w:rFonts w:ascii="Times New Roman" w:hAnsi="Times New Roman" w:eastAsia="宋体" w:cs="Times New Roman"/>
      <w:i/>
      <w:iCs/>
      <w:smallCaps/>
      <w:spacing w:val="5"/>
    </w:rPr>
  </w:style>
  <w:style w:type="character" w:styleId="1141">
    <w:name w:val="纯文本 Char Char Char1"/>
    <w:next w:val="1141"/>
    <w:link w:val="1033"/>
    <w:rPr>
      <w:rFonts w:ascii="宋体" w:hAnsi="Courier New" w:eastAsia="宋体" w:cs="Times New Roman"/>
      <w:sz w:val="21"/>
      <w:szCs w:val="21"/>
      <w:lang w:val="en-US" w:eastAsia="zh-CN" w:bidi="ar-SA"/>
    </w:rPr>
  </w:style>
  <w:style w:type="character" w:styleId="1142">
    <w:name w:val="纯文本 Char1"/>
    <w:next w:val="1142"/>
    <w:link w:val="1033"/>
    <w:rPr>
      <w:rFonts w:ascii="宋体" w:hAnsi="Courier New" w:eastAsia="宋体" w:cs="Courier New"/>
      <w:sz w:val="21"/>
      <w:szCs w:val="21"/>
    </w:rPr>
  </w:style>
  <w:style w:type="character" w:styleId="1143">
    <w:name w:val="不明显参考"/>
    <w:next w:val="1143"/>
    <w:link w:val="1033"/>
    <w:qFormat/>
    <w:rPr>
      <w:rFonts w:ascii="Times New Roman" w:hAnsi="Times New Roman" w:eastAsia="宋体" w:cs="Times New Roman"/>
      <w:smallCaps/>
    </w:rPr>
  </w:style>
  <w:style w:type="character" w:styleId="1144">
    <w:name w:val="标准小四 Char Char"/>
    <w:next w:val="1144"/>
    <w:link w:val="1033"/>
    <w:rPr>
      <w:rFonts w:ascii="Arial" w:hAnsi="Arial" w:eastAsia="宋体" w:cs="Times New Roman"/>
      <w:sz w:val="24"/>
      <w:szCs w:val="21"/>
      <w:lang w:val="en-US" w:eastAsia="zh-CN" w:bidi="ar-SA"/>
    </w:rPr>
  </w:style>
  <w:style w:type="character" w:styleId="1145">
    <w:name w:val="style131"/>
    <w:next w:val="1145"/>
    <w:link w:val="1033"/>
    <w:rPr>
      <w:rFonts w:ascii="Times New Roman" w:hAnsi="Times New Roman" w:eastAsia="宋体" w:cs="Times New Roman"/>
      <w:sz w:val="18"/>
      <w:szCs w:val="18"/>
    </w:rPr>
  </w:style>
  <w:style w:type="character" w:styleId="1146">
    <w:name w:val=" Char Char24"/>
    <w:next w:val="1146"/>
    <w:link w:val="1033"/>
    <w:rPr>
      <w:rFonts w:ascii="Times New Roman" w:hAnsi="Times New Roman" w:eastAsia="宋体" w:cs="Times New Roman"/>
      <w:b/>
      <w:bCs/>
      <w:sz w:val="28"/>
      <w:szCs w:val="28"/>
    </w:rPr>
  </w:style>
  <w:style w:type="character" w:styleId="1147">
    <w:name w:val=" Char Char23"/>
    <w:next w:val="1147"/>
    <w:link w:val="1033"/>
    <w:rPr>
      <w:rFonts w:ascii="Arial" w:hAnsi="Arial" w:eastAsia="黑体" w:cs="Times New Roman"/>
      <w:b/>
      <w:bCs/>
      <w:sz w:val="24"/>
      <w:szCs w:val="24"/>
    </w:rPr>
  </w:style>
  <w:style w:type="character" w:styleId="1148">
    <w:name w:val="t1"/>
    <w:next w:val="1148"/>
    <w:link w:val="1033"/>
    <w:rPr>
      <w:rFonts w:ascii="Times New Roman" w:hAnsi="Times New Roman" w:eastAsia="宋体" w:cs="Times New Roman"/>
      <w:vanish w:val="0"/>
    </w:rPr>
  </w:style>
  <w:style w:type="character" w:styleId="1149">
    <w:name w:val="concon"/>
    <w:next w:val="1149"/>
    <w:link w:val="1033"/>
    <w:rPr>
      <w:rFonts w:ascii="Times New Roman" w:hAnsi="Times New Roman" w:eastAsia="宋体" w:cs="Times New Roman"/>
      <w:b w:val="0"/>
      <w:bCs w:val="0"/>
      <w:i w:val="0"/>
      <w:iCs w:val="0"/>
    </w:rPr>
  </w:style>
  <w:style w:type="character" w:styleId="1150">
    <w:name w:val="Title1 Char,H1 Char,Normal + Font: Helvetica Char,Bold Char,Space Before 12 pt Char,Not Bold Char,h1 Char,H11 Char,H12 Char,H111 Char,H13 Char,H112 Char,1 Char,h:1 Char,h:1app Char,level 1 Char,Level 1 Head Char,heading 1 Char,Huvudrubrik Char,章 Char"/>
    <w:next w:val="1150"/>
    <w:link w:val="1033"/>
    <w:rPr>
      <w:rFonts w:ascii="Times New Roman" w:hAnsi="Times New Roman" w:eastAsia="宋体" w:cs="Times New Roman"/>
      <w:b/>
      <w:bCs/>
      <w:sz w:val="44"/>
      <w:szCs w:val="44"/>
      <w:lang w:val="en-US" w:eastAsia="zh-CN" w:bidi="ar-SA"/>
    </w:rPr>
  </w:style>
  <w:style w:type="character" w:styleId="1151">
    <w:name w:val=" Char Char25"/>
    <w:next w:val="1151"/>
    <w:link w:val="1033"/>
    <w:rPr>
      <w:rFonts w:ascii="Arial" w:hAnsi="Arial" w:eastAsia="黑体" w:cs="Times New Roman"/>
      <w:b/>
      <w:sz w:val="28"/>
    </w:rPr>
  </w:style>
  <w:style w:type="character" w:styleId="1152">
    <w:name w:val=" Char Char20"/>
    <w:next w:val="1152"/>
    <w:link w:val="1033"/>
    <w:rPr>
      <w:rFonts w:ascii="Arial" w:hAnsi="Arial" w:eastAsia="黑体" w:cs="Times New Roman"/>
      <w:sz w:val="21"/>
      <w:szCs w:val="21"/>
    </w:rPr>
  </w:style>
  <w:style w:type="character" w:styleId="1153">
    <w:name w:val="小四 段落 宋体 Char Char Char Char Char"/>
    <w:next w:val="1153"/>
    <w:link w:val="1033"/>
    <w:rPr>
      <w:rFonts w:ascii="Times New Roman" w:hAnsi="Times New Roman" w:eastAsia="宋体" w:cs="Times New Roman"/>
      <w:sz w:val="24"/>
      <w:szCs w:val="24"/>
      <w:lang w:val="en-US" w:eastAsia="zh-CN" w:bidi="ar-SA"/>
    </w:rPr>
  </w:style>
  <w:style w:type="character" w:styleId="1154">
    <w:name w:val="style13"/>
    <w:next w:val="1154"/>
    <w:link w:val="1033"/>
    <w:rPr>
      <w:rFonts w:ascii="Times New Roman" w:hAnsi="Times New Roman" w:eastAsia="宋体" w:cs="Times New Roman"/>
      <w:sz w:val="18"/>
      <w:szCs w:val="18"/>
    </w:rPr>
  </w:style>
  <w:style w:type="character" w:styleId="1155">
    <w:name w:val="2nd level Char,h2 Char,2 Char,Header 2 Char,l2 Char,Titre2 Char,Head 2 Char,H2 Char,Heading 2 Hidden Char,Heading 2 CCBS Char,heading 2 Char,第一章 标题 2 Char,ISO1 Char,UNDERRUBRIK 1-2 Char,Underrubrik1 Char,prop2 Char,Level 2 Topic Heading Char,H21 Char"/>
    <w:next w:val="1155"/>
    <w:link w:val="1033"/>
    <w:rPr>
      <w:rFonts w:ascii="Arial" w:hAnsi="Arial" w:eastAsia="黑体" w:cs="Times New Roman"/>
      <w:b/>
      <w:bCs/>
      <w:sz w:val="32"/>
      <w:szCs w:val="32"/>
      <w:lang w:val="en-US" w:eastAsia="zh-CN" w:bidi="ar-SA"/>
    </w:rPr>
  </w:style>
  <w:style w:type="character" w:styleId="1156">
    <w:name w:val="l-selected"/>
    <w:next w:val="1156"/>
    <w:link w:val="1033"/>
    <w:rPr>
      <w:rFonts w:ascii="Times New Roman" w:hAnsi="Times New Roman" w:eastAsia="宋体" w:cs="Times New Roman"/>
      <w:color w:val="355686"/>
      <w:shd w:val="clear" w:color="auto" w:fill="ffffff"/>
    </w:rPr>
  </w:style>
  <w:style w:type="character" w:styleId="1157">
    <w:name w:val=" Char Char21"/>
    <w:next w:val="1157"/>
    <w:link w:val="1033"/>
    <w:rPr>
      <w:rFonts w:ascii="Arial" w:hAnsi="Arial" w:eastAsia="黑体" w:cs="Times New Roman"/>
      <w:sz w:val="24"/>
      <w:szCs w:val="24"/>
    </w:rPr>
  </w:style>
  <w:style w:type="character" w:styleId="1158">
    <w:name w:val="content"/>
    <w:next w:val="1158"/>
    <w:link w:val="1033"/>
    <w:rPr>
      <w:rFonts w:ascii="Times New Roman" w:hAnsi="Times New Roman" w:eastAsia="宋体" w:cs="Times New Roman"/>
    </w:rPr>
  </w:style>
  <w:style w:type="character" w:styleId="1159">
    <w:name w:val="l-open"/>
    <w:next w:val="1159"/>
    <w:link w:val="1033"/>
    <w:rPr>
      <w:rFonts w:ascii="Times New Roman" w:hAnsi="Times New Roman" w:eastAsia="宋体" w:cs="Times New Roman"/>
    </w:rPr>
  </w:style>
  <w:style w:type="character" w:styleId="1160">
    <w:name w:val="title_emph1"/>
    <w:next w:val="1160"/>
    <w:link w:val="1033"/>
    <w:rPr>
      <w:rFonts w:ascii="Arial" w:hAnsi="Times New Roman" w:eastAsia="宋体" w:cs="Arial"/>
      <w:b/>
      <w:bCs/>
      <w:i w:val="0"/>
      <w:iCs w:val="0"/>
      <w:sz w:val="18"/>
      <w:szCs w:val="18"/>
    </w:rPr>
  </w:style>
  <w:style w:type="character" w:styleId="1161">
    <w:name w:val="textcontents"/>
    <w:next w:val="1161"/>
    <w:link w:val="1033"/>
    <w:rPr>
      <w:rFonts w:ascii="Times New Roman" w:hAnsi="Times New Roman" w:eastAsia="宋体" w:cs="Times New Roman"/>
    </w:rPr>
  </w:style>
  <w:style w:type="character" w:styleId="1162">
    <w:name w:val="正文 + 宋体 Char,小四 Char,黑色 Char,行距: 1.5 倍行距 Char"/>
    <w:next w:val="1162"/>
    <w:link w:val="1033"/>
    <w:rPr>
      <w:rFonts w:ascii="Times New Roman" w:hAnsi="Times New Roman" w:eastAsia="宋体" w:cs="Times New Roman"/>
      <w:sz w:val="21"/>
      <w:szCs w:val="24"/>
      <w:lang w:val="en-US" w:eastAsia="zh-CN" w:bidi="ar-SA"/>
    </w:rPr>
  </w:style>
  <w:style w:type="character" w:styleId="1163">
    <w:name w:val="param-value"/>
    <w:next w:val="1163"/>
    <w:link w:val="1033"/>
    <w:rPr>
      <w:rFonts w:ascii="Times New Roman" w:hAnsi="Times New Roman" w:eastAsia="宋体" w:cs="Times New Roman"/>
    </w:rPr>
  </w:style>
  <w:style w:type="character" w:styleId="1164">
    <w:name w:val=" Char Char2"/>
    <w:next w:val="1164"/>
    <w:link w:val="1033"/>
    <w:rPr>
      <w:rFonts w:ascii="宋体" w:hAnsi="Courier New" w:eastAsia="宋体" w:cs="Times New Roman"/>
      <w:sz w:val="21"/>
      <w:szCs w:val="21"/>
      <w:lang w:val="en-US" w:eastAsia="zh-CN" w:bidi="ar-SA"/>
    </w:rPr>
  </w:style>
  <w:style w:type="character" w:styleId="1165">
    <w:name w:val="小四 段落 宋体 Char Char Char Char1"/>
    <w:next w:val="1165"/>
    <w:link w:val="1033"/>
    <w:rPr>
      <w:rFonts w:ascii="Times New Roman" w:hAnsi="Times New Roman" w:eastAsia="宋体" w:cs="Times New Roman"/>
      <w:sz w:val="24"/>
      <w:szCs w:val="24"/>
      <w:lang w:val="en-US" w:eastAsia="zh-CN" w:bidi="ar-SA"/>
    </w:rPr>
  </w:style>
  <w:style w:type="character" w:styleId="1166">
    <w:name w:val=" Char Char28"/>
    <w:next w:val="1166"/>
    <w:link w:val="1033"/>
    <w:rPr>
      <w:rFonts w:ascii="Arial" w:hAnsi="Arial" w:eastAsia="黑体" w:cs="Arial"/>
      <w:b/>
      <w:bCs/>
      <w:sz w:val="32"/>
      <w:szCs w:val="32"/>
    </w:rPr>
  </w:style>
  <w:style w:type="character" w:styleId="1167">
    <w:name w:val="普通文字1 Char,普通文字2 Char,普通文字3 Char,普通文字4 Char,普通文字5 Char,普通文字6 Char,普通文字11 Char,普通文字21 Char,普通文字31 Char,普通文字41 Char,普通文字7 Char Char,普通文字 Char1,普通文字 Char Char"/>
    <w:next w:val="1167"/>
    <w:link w:val="1033"/>
    <w:rPr>
      <w:rFonts w:ascii="宋体" w:hAnsi="Times New Roman" w:eastAsia="宋体" w:cs="Times New Roman"/>
      <w:b w:val="0"/>
      <w:bCs w:val="0"/>
      <w:i w:val="0"/>
      <w:iCs w:val="0"/>
      <w:sz w:val="21"/>
      <w:szCs w:val="21"/>
      <w:lang w:val="en-US" w:eastAsia="zh-CN" w:bidi="ar-SA"/>
    </w:rPr>
  </w:style>
  <w:style w:type="character" w:styleId="1168">
    <w:name w:val="font31"/>
    <w:next w:val="1168"/>
    <w:link w:val="1033"/>
    <w:rPr>
      <w:rFonts w:hint="eastAsia" w:ascii="宋体" w:hAnsi="宋体" w:eastAsia="宋体" w:cs="宋体"/>
      <w:i w:val="0"/>
      <w:iCs w:val="0"/>
      <w:color w:val="000000"/>
      <w:sz w:val="18"/>
      <w:szCs w:val="18"/>
      <w:u w:val="none"/>
    </w:rPr>
  </w:style>
  <w:style w:type="character" w:styleId="1169">
    <w:name w:val="￥正文 Char"/>
    <w:next w:val="1169"/>
    <w:link w:val="1170"/>
    <w:rPr>
      <w:rFonts w:ascii="Times New Roman" w:hAnsi="Times New Roman" w:eastAsia="宋体" w:cs="Times New Roman"/>
      <w:sz w:val="24"/>
    </w:rPr>
  </w:style>
  <w:style w:type="paragraph" w:styleId="1170">
    <w:name w:val="￥正文"/>
    <w:basedOn w:val="1033"/>
    <w:next w:val="1170"/>
    <w:link w:val="1169"/>
    <w:pPr>
      <w:ind w:firstLine="200"/>
      <w:spacing w:before="0" w:after="0"/>
    </w:pPr>
    <w:rPr>
      <w:rFonts w:eastAsia="宋体"/>
      <w:sz w:val="24"/>
    </w:rPr>
  </w:style>
  <w:style w:type="character" w:styleId="1171">
    <w:name w:val="已访问的超链接1"/>
    <w:next w:val="1171"/>
    <w:link w:val="1033"/>
    <w:rPr>
      <w:rFonts w:ascii="Times New Roman" w:hAnsi="Times New Roman" w:eastAsia="宋体" w:cs="Times New Roman"/>
      <w:b w:val="0"/>
      <w:bCs w:val="0"/>
      <w:i w:val="0"/>
      <w:iCs w:val="0"/>
      <w:color w:val="000000"/>
      <w:u w:val="none"/>
    </w:rPr>
  </w:style>
  <w:style w:type="character" w:styleId="1172">
    <w:name w:val="小四 段落 宋体 Char Char Char1"/>
    <w:next w:val="1172"/>
    <w:link w:val="1033"/>
    <w:rPr>
      <w:rFonts w:ascii="宋体" w:hAnsi="宋体" w:eastAsia="宋体" w:cs="Times New Roman"/>
      <w:sz w:val="24"/>
      <w:szCs w:val="24"/>
      <w:lang w:val="en-US" w:eastAsia="zh-CN" w:bidi="ar-SA"/>
    </w:rPr>
  </w:style>
  <w:style w:type="character" w:styleId="1173">
    <w:name w:val="批注文字 Char"/>
    <w:next w:val="1173"/>
    <w:link w:val="1033"/>
    <w:rPr>
      <w:rFonts w:ascii="Times New Roman" w:hAnsi="Times New Roman" w:eastAsia="宋体" w:cs="Times New Roman"/>
      <w:sz w:val="21"/>
      <w:lang w:val="en-US" w:eastAsia="zh-CN" w:bidi="ar-SA"/>
    </w:rPr>
  </w:style>
  <w:style w:type="character" w:styleId="1174">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74"/>
    <w:link w:val="1033"/>
    <w:rPr>
      <w:rFonts w:ascii="Times New Roman" w:hAnsi="Times New Roman" w:eastAsia="宋体" w:cs="Times New Roman"/>
      <w:b/>
      <w:bCs/>
      <w:sz w:val="32"/>
      <w:szCs w:val="32"/>
      <w:lang w:val="en-US" w:eastAsia="zh-CN" w:bidi="ar-SA"/>
    </w:rPr>
  </w:style>
  <w:style w:type="character" w:styleId="1175">
    <w:name w:val="标准文本 Char"/>
    <w:next w:val="1175"/>
    <w:link w:val="1033"/>
    <w:rPr>
      <w:rFonts w:ascii="Times New Roman" w:hAnsi="Times New Roman" w:eastAsia="宋体" w:cs="宋体"/>
      <w:sz w:val="24"/>
      <w:szCs w:val="24"/>
      <w:lang w:val="en-US" w:eastAsia="zh-CN" w:bidi="ar-SA"/>
    </w:rPr>
  </w:style>
  <w:style w:type="character" w:styleId="1176">
    <w:name w:val="point_normal1"/>
    <w:next w:val="1176"/>
    <w:link w:val="1033"/>
    <w:rPr>
      <w:rFonts w:ascii="Arial" w:hAnsi="Arial" w:eastAsia="宋体" w:cs="Arial"/>
      <w:sz w:val="18"/>
      <w:szCs w:val="18"/>
    </w:rPr>
  </w:style>
  <w:style w:type="character" w:styleId="1177">
    <w:name w:val="font101"/>
    <w:next w:val="1177"/>
    <w:link w:val="1033"/>
    <w:rPr>
      <w:rFonts w:hint="eastAsia" w:ascii="宋体" w:hAnsi="宋体" w:eastAsia="宋体" w:cs="宋体"/>
      <w:i w:val="0"/>
      <w:iCs w:val="0"/>
      <w:color w:val="000000"/>
      <w:sz w:val="16"/>
      <w:szCs w:val="16"/>
      <w:u w:val="none"/>
    </w:rPr>
  </w:style>
  <w:style w:type="character" w:styleId="1178">
    <w:name w:val="subtitle1"/>
    <w:next w:val="1178"/>
    <w:link w:val="1033"/>
    <w:rPr>
      <w:rFonts w:ascii="Georgia" w:hAnsi="Georgia" w:eastAsia="宋体" w:cs="Times New Roman"/>
      <w:b/>
      <w:bCs/>
      <w:i w:val="0"/>
      <w:iCs w:val="0"/>
      <w:color w:val="666666"/>
      <w:sz w:val="18"/>
      <w:szCs w:val="18"/>
    </w:rPr>
  </w:style>
  <w:style w:type="character" w:styleId="1179">
    <w:name w:val="l-selected2"/>
    <w:next w:val="1179"/>
    <w:link w:val="1033"/>
    <w:rPr>
      <w:rFonts w:ascii="Times New Roman" w:hAnsi="Times New Roman" w:eastAsia="宋体" w:cs="Times New Roman"/>
      <w:color w:val="355686"/>
      <w:shd w:val="clear" w:color="auto" w:fill="ffffff"/>
    </w:rPr>
  </w:style>
  <w:style w:type="character" w:styleId="1180">
    <w:name w:val="标题 Char1"/>
    <w:next w:val="1180"/>
    <w:link w:val="1033"/>
    <w:rPr>
      <w:rFonts w:ascii="Cambria" w:hAnsi="Times New Roman" w:eastAsia="宋体" w:cs="Times New Roman"/>
      <w:b/>
      <w:bCs/>
      <w:i w:val="0"/>
      <w:iCs w:val="0"/>
      <w:sz w:val="32"/>
      <w:szCs w:val="32"/>
    </w:rPr>
  </w:style>
  <w:style w:type="character" w:styleId="1181">
    <w:name w:val="小四 段落 宋体 Char1"/>
    <w:next w:val="1181"/>
    <w:link w:val="1033"/>
    <w:rPr>
      <w:rFonts w:ascii="Times New Roman" w:hAnsi="Times New Roman" w:eastAsia="宋体" w:cs="Times New Roman"/>
      <w:sz w:val="24"/>
      <w:szCs w:val="24"/>
      <w:lang w:val="en-US" w:eastAsia="zh-CN" w:bidi="ar-SA"/>
    </w:rPr>
  </w:style>
  <w:style w:type="character" w:styleId="1182">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182"/>
    <w:link w:val="1033"/>
    <w:rPr>
      <w:rFonts w:ascii="Times New Roman" w:hAnsi="Times New Roman" w:eastAsia="宋体" w:cs="Times New Roman"/>
      <w:sz w:val="21"/>
      <w:lang w:val="en-US" w:eastAsia="zh-CN" w:bidi="ar-SA"/>
    </w:rPr>
  </w:style>
  <w:style w:type="character" w:styleId="1183">
    <w:name w:val="标题 3 Char Char"/>
    <w:next w:val="1183"/>
    <w:link w:val="1033"/>
    <w:rPr>
      <w:rFonts w:ascii="Times New Roman" w:hAnsi="Times New Roman" w:eastAsia="仿宋_GB2312" w:cs="Times New Roman"/>
      <w:b/>
      <w:bCs/>
      <w:sz w:val="28"/>
      <w:szCs w:val="32"/>
      <w:lang w:val="en-US" w:eastAsia="zh-CN" w:bidi="ar-SA"/>
    </w:rPr>
  </w:style>
  <w:style w:type="character" w:styleId="1184">
    <w:name w:val="不明显强调"/>
    <w:next w:val="1184"/>
    <w:link w:val="1033"/>
    <w:qFormat/>
    <w:rPr>
      <w:rFonts w:ascii="Times New Roman" w:hAnsi="Times New Roman" w:eastAsia="宋体" w:cs="Times New Roman"/>
      <w:i/>
      <w:iCs/>
    </w:rPr>
  </w:style>
  <w:style w:type="character" w:styleId="1185">
    <w:name w:val=" Char Char26"/>
    <w:next w:val="1185"/>
    <w:link w:val="1033"/>
    <w:rPr>
      <w:rFonts w:ascii="Times New Roman" w:hAnsi="Times New Roman" w:eastAsia="宋体" w:cs="Times New Roman"/>
      <w:b/>
      <w:bCs/>
      <w:sz w:val="32"/>
      <w:szCs w:val="32"/>
    </w:rPr>
  </w:style>
  <w:style w:type="character" w:styleId="1186">
    <w:name w:val="l-over"/>
    <w:next w:val="1186"/>
    <w:link w:val="1033"/>
    <w:rPr>
      <w:rFonts w:ascii="Times New Roman" w:hAnsi="Times New Roman" w:eastAsia="宋体" w:cs="Times New Roman"/>
    </w:rPr>
  </w:style>
  <w:style w:type="character" w:styleId="1187">
    <w:name w:val="样式 首行缩进:  2 字符 Char"/>
    <w:next w:val="1187"/>
    <w:link w:val="1033"/>
    <w:rPr>
      <w:rFonts w:ascii="Times New Roman" w:hAnsi="Times New Roman" w:eastAsia="宋体" w:cs="宋体"/>
      <w:sz w:val="24"/>
      <w:lang w:val="en-US" w:eastAsia="zh-CN" w:bidi="ar-SA"/>
    </w:rPr>
  </w:style>
  <w:style w:type="character" w:styleId="1188">
    <w:name w:val="新图表正文 Char Char"/>
    <w:next w:val="1188"/>
    <w:link w:val="1189"/>
    <w:rPr>
      <w:rFonts w:ascii="宋体" w:hAnsi="宋体"/>
      <w:sz w:val="18"/>
      <w:szCs w:val="21"/>
      <w:lang w:val="en-US" w:eastAsia="zh-CN" w:bidi="ar-SA"/>
    </w:rPr>
  </w:style>
  <w:style w:type="paragraph" w:styleId="1189">
    <w:name w:val="新图表正文"/>
    <w:next w:val="1189"/>
    <w:link w:val="1188"/>
    <w:pPr>
      <w:jc w:val="both"/>
    </w:pPr>
    <w:rPr>
      <w:rFonts w:ascii="宋体" w:hAnsi="宋体"/>
      <w:sz w:val="18"/>
      <w:szCs w:val="21"/>
      <w:lang w:val="en-US" w:eastAsia="zh-CN" w:bidi="ar-SA"/>
    </w:rPr>
  </w:style>
  <w:style w:type="character" w:styleId="1190">
    <w:name w:val="listbenefit"/>
    <w:next w:val="1190"/>
    <w:link w:val="1033"/>
    <w:rPr>
      <w:rFonts w:ascii="Times New Roman" w:hAnsi="Times New Roman" w:eastAsia="宋体" w:cs="Times New Roman"/>
      <w:b w:val="0"/>
      <w:bCs w:val="0"/>
      <w:i w:val="0"/>
      <w:iCs w:val="0"/>
    </w:rPr>
  </w:style>
  <w:style w:type="character" w:styleId="1191">
    <w:name w:val="列出段落 Char,Bullet List Char,numbered Char,FooterText Char,List Paragraph1 Char,Paragraphe de liste1 Char"/>
    <w:next w:val="1191"/>
    <w:link w:val="1192"/>
    <w:rPr>
      <w:rFonts w:ascii="Arial" w:hAnsi="Arial" w:eastAsia="黑体" w:cs="Times New Roman"/>
      <w:sz w:val="24"/>
      <w:szCs w:val="24"/>
      <w:lang w:eastAsia="en-US"/>
    </w:rPr>
  </w:style>
  <w:style w:type="paragraph" w:styleId="1192">
    <w:name w:val="列出段落1"/>
    <w:basedOn w:val="1033"/>
    <w:next w:val="1192"/>
    <w:link w:val="1191"/>
    <w:pPr>
      <w:contextualSpacing/>
      <w:ind w:left="720"/>
      <w:jc w:val="left"/>
      <w:widowControl/>
    </w:pPr>
    <w:rPr>
      <w:rFonts w:ascii="Arial" w:hAnsi="Arial" w:eastAsia="黑体"/>
      <w:sz w:val="24"/>
      <w:szCs w:val="24"/>
      <w:lang w:eastAsia="en-US"/>
    </w:rPr>
  </w:style>
  <w:style w:type="character" w:styleId="1193">
    <w:name w:val="正文缩进 Char1"/>
    <w:next w:val="1193"/>
    <w:link w:val="1194"/>
    <w:rPr>
      <w:rFonts w:ascii="Times New Roman" w:hAnsi="Times New Roman" w:eastAsia="宋体" w:cs="Times New Roman"/>
      <w:lang w:bidi="ar-SA"/>
    </w:rPr>
  </w:style>
  <w:style w:type="paragraph" w:styleId="1194">
    <w:name w:val="Normal Indent1"/>
    <w:basedOn w:val="1033"/>
    <w:next w:val="1194"/>
    <w:link w:val="1193"/>
    <w:pPr>
      <w:ind w:firstLine="420"/>
    </w:pPr>
    <w:rPr>
      <w:rFonts w:eastAsia="宋体"/>
      <w:sz w:val="20"/>
    </w:rPr>
  </w:style>
  <w:style w:type="character" w:styleId="1195">
    <w:name w:val="font81"/>
    <w:basedOn w:val="1043"/>
    <w:next w:val="1195"/>
    <w:link w:val="1033"/>
    <w:rPr>
      <w:rFonts w:hint="eastAsia" w:ascii="宋体" w:hAnsi="宋体" w:eastAsia="宋体" w:cs="宋体"/>
      <w:i w:val="0"/>
      <w:iCs w:val="0"/>
      <w:color w:val="000000"/>
      <w:sz w:val="16"/>
      <w:szCs w:val="16"/>
      <w:u w:val="none"/>
    </w:rPr>
  </w:style>
  <w:style w:type="character" w:styleId="1196">
    <w:name w:val="ih151"/>
    <w:next w:val="1196"/>
    <w:link w:val="1033"/>
    <w:rPr>
      <w:rFonts w:ascii="Times New Roman" w:hAnsi="Times New Roman" w:eastAsia="宋体" w:cs="Times New Roman"/>
      <w:b w:val="0"/>
      <w:bCs w:val="0"/>
      <w:i w:val="0"/>
      <w:iCs w:val="0"/>
      <w:caps w:val="0"/>
      <w:smallCaps w:val="0"/>
      <w:color w:val="666666"/>
      <w:sz w:val="18"/>
      <w:szCs w:val="18"/>
      <w:u w:val="none"/>
    </w:rPr>
  </w:style>
  <w:style w:type="character" w:styleId="1197">
    <w:name w:val="纯文本 Char Char Char"/>
    <w:next w:val="1197"/>
    <w:link w:val="1033"/>
    <w:rPr>
      <w:rFonts w:ascii="宋体" w:hAnsi="Courier New" w:eastAsia="宋体" w:cs="Times New Roman"/>
      <w:sz w:val="21"/>
      <w:szCs w:val="21"/>
      <w:lang w:val="en-US" w:eastAsia="zh-CN" w:bidi="ar-SA"/>
    </w:rPr>
  </w:style>
  <w:style w:type="character" w:styleId="1198">
    <w:name w:val="引用 字符"/>
    <w:next w:val="1198"/>
    <w:link w:val="1199"/>
    <w:rPr>
      <w:rFonts w:ascii="Calibri" w:hAnsi="Calibri" w:eastAsia="宋体" w:cs="Times New Roman"/>
      <w:i/>
      <w:iCs/>
      <w:sz w:val="22"/>
      <w:szCs w:val="22"/>
      <w:lang w:val="en-US" w:eastAsia="en-US" w:bidi="en-US"/>
    </w:rPr>
  </w:style>
  <w:style w:type="paragraph" w:styleId="1199">
    <w:name w:val="引用"/>
    <w:basedOn w:val="1033"/>
    <w:next w:val="1033"/>
    <w:link w:val="1198"/>
    <w:qFormat/>
    <w:pPr>
      <w:ind w:left="360" w:right="360"/>
      <w:jc w:val="left"/>
      <w:spacing w:before="200" w:line="276" w:lineRule="auto"/>
      <w:widowControl/>
    </w:pPr>
    <w:rPr>
      <w:rFonts w:ascii="Calibri" w:hAnsi="Calibri" w:eastAsia="宋体"/>
      <w:i/>
      <w:iCs/>
      <w:sz w:val="22"/>
      <w:szCs w:val="22"/>
      <w:lang w:eastAsia="en-US" w:bidi="en-US"/>
    </w:rPr>
  </w:style>
  <w:style w:type="character" w:styleId="1200">
    <w:name w:val="font91"/>
    <w:next w:val="1200"/>
    <w:link w:val="1033"/>
    <w:rPr>
      <w:rFonts w:ascii="Arial" w:hAnsi="Arial" w:eastAsia="宋体" w:cs="Arial"/>
      <w:i w:val="0"/>
      <w:iCs w:val="0"/>
      <w:color w:val="000000"/>
      <w:sz w:val="16"/>
      <w:szCs w:val="16"/>
      <w:u w:val="none"/>
    </w:rPr>
  </w:style>
  <w:style w:type="character" w:styleId="1201">
    <w:name w:val="3zw"/>
    <w:next w:val="1201"/>
    <w:link w:val="1033"/>
    <w:rPr>
      <w:rFonts w:ascii="Times New Roman" w:hAnsi="Times New Roman" w:eastAsia="宋体" w:cs="Times New Roman"/>
    </w:rPr>
  </w:style>
  <w:style w:type="character" w:styleId="1202">
    <w:name w:val="样式 首行缩进:  2 字符 Char Char"/>
    <w:next w:val="1202"/>
    <w:link w:val="1203"/>
    <w:rPr>
      <w:rFonts w:ascii="Times New Roman" w:hAnsi="Times New Roman" w:eastAsia="宋体" w:cs="宋体"/>
      <w:sz w:val="24"/>
      <w:lang w:val="en-US" w:eastAsia="zh-CN" w:bidi="ar-SA"/>
    </w:rPr>
  </w:style>
  <w:style w:type="paragraph" w:styleId="1203">
    <w:name w:val="样式 首行缩进:  2 字符"/>
    <w:basedOn w:val="1033"/>
    <w:next w:val="1203"/>
    <w:link w:val="1202"/>
    <w:pPr>
      <w:ind w:firstLine="480"/>
      <w:spacing w:line="360" w:lineRule="auto"/>
    </w:pPr>
    <w:rPr>
      <w:rFonts w:eastAsia="宋体" w:cs="宋体"/>
      <w:sz w:val="24"/>
    </w:rPr>
  </w:style>
  <w:style w:type="character" w:styleId="1204">
    <w:name w:val="A2"/>
    <w:next w:val="1204"/>
    <w:link w:val="1033"/>
    <w:rPr>
      <w:rFonts w:ascii="Times New Roman" w:hAnsi="Times New Roman" w:eastAsia="宋体" w:cs="Helvetica"/>
      <w:color w:val="000000"/>
      <w:sz w:val="18"/>
      <w:szCs w:val="18"/>
    </w:rPr>
  </w:style>
  <w:style w:type="character" w:styleId="1205">
    <w:name w:val=" Char Char27"/>
    <w:next w:val="1205"/>
    <w:link w:val="1033"/>
    <w:rPr>
      <w:rFonts w:ascii="Times New Roman" w:hAnsi="Times New Roman" w:eastAsia="宋体" w:cs="Times New Roman"/>
      <w:b/>
      <w:bCs/>
      <w:sz w:val="44"/>
      <w:szCs w:val="44"/>
    </w:rPr>
  </w:style>
  <w:style w:type="character" w:styleId="1206">
    <w:name w:val="无间隔 字符"/>
    <w:next w:val="1206"/>
    <w:link w:val="1207"/>
    <w:rPr>
      <w:rFonts w:eastAsia="微软雅黑"/>
      <w:sz w:val="24"/>
      <w:szCs w:val="22"/>
      <w:lang w:val="en-US" w:eastAsia="zh-CN" w:bidi="ar-SA"/>
    </w:rPr>
  </w:style>
  <w:style w:type="paragraph" w:styleId="1207">
    <w:name w:val="无间隔"/>
    <w:next w:val="1207"/>
    <w:link w:val="1206"/>
    <w:qFormat/>
    <w:pPr>
      <w:jc w:val="both"/>
      <w:widowControl w:val="off"/>
    </w:pPr>
    <w:rPr>
      <w:rFonts w:eastAsia="微软雅黑"/>
      <w:sz w:val="24"/>
      <w:szCs w:val="22"/>
      <w:lang w:val="en-US" w:eastAsia="zh-CN" w:bidi="ar-SA"/>
    </w:rPr>
  </w:style>
  <w:style w:type="character" w:styleId="1208">
    <w:name w:val="标准文本 Char Char"/>
    <w:next w:val="1208"/>
    <w:link w:val="1033"/>
    <w:rPr>
      <w:rFonts w:ascii="Times New Roman" w:hAnsi="Times New Roman" w:eastAsia="宋体" w:cs="宋体"/>
      <w:sz w:val="24"/>
      <w:szCs w:val="24"/>
      <w:lang w:val="en-US" w:eastAsia="zh-CN" w:bidi="ar-SA"/>
    </w:rPr>
  </w:style>
  <w:style w:type="character" w:styleId="1209">
    <w:name w:val=" Char Char29"/>
    <w:next w:val="1209"/>
    <w:link w:val="1033"/>
    <w:rPr>
      <w:rFonts w:ascii="Times New Roman" w:hAnsi="Times New Roman" w:eastAsia="宋体" w:cs="Times New Roman"/>
      <w:b/>
      <w:bCs/>
      <w:sz w:val="44"/>
      <w:szCs w:val="44"/>
    </w:rPr>
  </w:style>
  <w:style w:type="character" w:styleId="1210">
    <w:name w:val="标准小四 Char"/>
    <w:next w:val="1210"/>
    <w:link w:val="1033"/>
    <w:rPr>
      <w:rFonts w:ascii="Arial" w:hAnsi="Arial" w:eastAsia="宋体" w:cs="Times New Roman"/>
      <w:sz w:val="24"/>
      <w:szCs w:val="21"/>
      <w:lang w:val="en-US" w:eastAsia="zh-CN" w:bidi="ar-SA"/>
    </w:rPr>
  </w:style>
  <w:style w:type="character" w:styleId="1211">
    <w:name w:val="华宇段落1 Char Char Char"/>
    <w:next w:val="1211"/>
    <w:link w:val="1033"/>
    <w:rPr>
      <w:rFonts w:ascii="Times New Roman" w:hAnsi="Times New Roman" w:eastAsia="宋体" w:cs="Times New Roman"/>
      <w:bCs/>
      <w:sz w:val="24"/>
      <w:szCs w:val="24"/>
      <w:lang w:val="en-US" w:eastAsia="zh-CN" w:bidi="ar-SA"/>
    </w:rPr>
  </w:style>
  <w:style w:type="character" w:styleId="1212">
    <w:name w:val="样式 非加粗"/>
    <w:next w:val="1212"/>
    <w:link w:val="1033"/>
    <w:rPr>
      <w:rFonts w:ascii="Times New Roman" w:hAnsi="Times New Roman" w:eastAsia="宋体" w:cs="Times New Roman"/>
      <w:sz w:val="28"/>
    </w:rPr>
  </w:style>
  <w:style w:type="character" w:styleId="1213">
    <w:name w:val="小四 段落 宋体 Char Char Char Char Char Char Char Char"/>
    <w:next w:val="1213"/>
    <w:link w:val="1033"/>
    <w:rPr>
      <w:rFonts w:ascii="Times New Roman" w:hAnsi="Times New Roman" w:eastAsia="宋体" w:cs="Times New Roman"/>
      <w:sz w:val="24"/>
      <w:szCs w:val="24"/>
      <w:lang w:val="en-US" w:eastAsia="zh-CN" w:bidi="ar-SA"/>
    </w:rPr>
  </w:style>
  <w:style w:type="character" w:styleId="1214">
    <w:name w:val="华宇段落1 Char Char"/>
    <w:next w:val="1214"/>
    <w:link w:val="1033"/>
    <w:rPr>
      <w:rFonts w:ascii="Times New Roman" w:hAnsi="Times New Roman" w:eastAsia="宋体" w:cs="Times New Roman"/>
      <w:bCs/>
      <w:sz w:val="24"/>
      <w:szCs w:val="24"/>
      <w:lang w:val="en-US" w:eastAsia="zh-CN" w:bidi="ar-SA"/>
    </w:rPr>
  </w:style>
  <w:style w:type="character" w:styleId="1215">
    <w:name w:val="小四 段落 宋体 Char Char Char Char Char Char"/>
    <w:next w:val="1215"/>
    <w:link w:val="1033"/>
    <w:rPr>
      <w:rFonts w:ascii="Times New Roman" w:hAnsi="Times New Roman" w:eastAsia="宋体" w:cs="Times New Roman"/>
      <w:sz w:val="24"/>
      <w:szCs w:val="24"/>
      <w:lang w:val="en-US" w:eastAsia="zh-CN" w:bidi="ar-SA"/>
    </w:rPr>
  </w:style>
  <w:style w:type="character" w:styleId="1216">
    <w:name w:val="表格抬头 Char"/>
    <w:next w:val="1216"/>
    <w:link w:val="1217"/>
    <w:rPr>
      <w:rFonts w:ascii="黑体" w:hAnsi="Times New Roman" w:eastAsia="黑体" w:cs="Times New Roman"/>
      <w:b/>
      <w:sz w:val="21"/>
      <w:lang w:bidi="ar-SA"/>
    </w:rPr>
  </w:style>
  <w:style w:type="paragraph" w:styleId="1217">
    <w:name w:val="表格抬头"/>
    <w:basedOn w:val="1033"/>
    <w:next w:val="1217"/>
    <w:link w:val="1216"/>
    <w:pPr>
      <w:jc w:val="center"/>
    </w:pPr>
    <w:rPr>
      <w:rFonts w:ascii="黑体" w:eastAsia="黑体"/>
      <w:b/>
    </w:rPr>
  </w:style>
  <w:style w:type="character" w:styleId="1218">
    <w:name w:val=" Char Char22"/>
    <w:next w:val="1218"/>
    <w:link w:val="1033"/>
    <w:rPr>
      <w:rFonts w:ascii="Times New Roman" w:hAnsi="Times New Roman" w:eastAsia="宋体" w:cs="Times New Roman"/>
      <w:b/>
      <w:bCs/>
      <w:sz w:val="24"/>
      <w:szCs w:val="24"/>
    </w:rPr>
  </w:style>
  <w:style w:type="character" w:styleId="1219">
    <w:name w:val="样式 宋体 小四"/>
    <w:next w:val="1219"/>
    <w:link w:val="1033"/>
    <w:rPr>
      <w:rFonts w:ascii="宋体" w:hAnsi="宋体" w:eastAsia="宋体" w:cs="Times New Roman"/>
      <w:sz w:val="24"/>
    </w:rPr>
  </w:style>
  <w:style w:type="character" w:styleId="1220">
    <w:name w:val="明显引用 字符"/>
    <w:next w:val="1220"/>
    <w:link w:val="1221"/>
    <w:rPr>
      <w:rFonts w:ascii="Calibri" w:hAnsi="Calibri" w:eastAsia="宋体" w:cs="Times New Roman"/>
      <w:b/>
      <w:bCs/>
      <w:i/>
      <w:iCs/>
      <w:sz w:val="22"/>
      <w:szCs w:val="22"/>
      <w:lang w:val="en-US" w:eastAsia="en-US" w:bidi="en-US"/>
    </w:rPr>
  </w:style>
  <w:style w:type="paragraph" w:styleId="1221">
    <w:name w:val="明显引用"/>
    <w:basedOn w:val="1033"/>
    <w:next w:val="1033"/>
    <w:link w:val="1220"/>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1222">
    <w:name w:val="明显强调"/>
    <w:next w:val="1222"/>
    <w:link w:val="1033"/>
    <w:qFormat/>
    <w:rPr>
      <w:rFonts w:ascii="Times New Roman" w:hAnsi="Times New Roman" w:eastAsia="宋体" w:cs="Times New Roman"/>
      <w:b/>
      <w:bCs/>
    </w:rPr>
  </w:style>
  <w:style w:type="character" w:styleId="1223">
    <w:name w:val="标题 3 Char,h3 Char,3rd level Char,3 Char,标题4 Char,Heading 3 - old Char,标题 3 Char1,正文 + 小三 Char,H3 Char,sect1.2.3 Char,BOD 0 Char,l3 Char,CT Char,Level 3 Head Char,3rd lev...] Char Char,heading 3 Char,123456 Char,F Char Char,Map Char,H31 Char,level_3 Char"/>
    <w:next w:val="1223"/>
    <w:link w:val="1033"/>
    <w:rPr>
      <w:rFonts w:ascii="宋体" w:hAnsi="宋体" w:eastAsia="宋体" w:cs="Times New Roman"/>
      <w:b/>
      <w:bCs/>
      <w:sz w:val="24"/>
      <w:szCs w:val="32"/>
      <w:lang w:val="en-US" w:eastAsia="zh-CN" w:bidi="ar-SA"/>
    </w:rPr>
  </w:style>
  <w:style w:type="character" w:styleId="1224">
    <w:name w:val="normalfont1"/>
    <w:next w:val="1224"/>
    <w:link w:val="1033"/>
    <w:rPr>
      <w:rFonts w:ascii="ˎ̥" w:hAnsi="ˎ̥" w:eastAsia="宋体" w:cs="Times New Roman"/>
      <w:sz w:val="18"/>
      <w:szCs w:val="18"/>
      <w:u w:val="none"/>
    </w:rPr>
  </w:style>
  <w:style w:type="character" w:styleId="1225">
    <w:name w:val="111111 Char"/>
    <w:next w:val="1225"/>
    <w:link w:val="1226"/>
    <w:rPr>
      <w:rFonts w:ascii="宋体" w:hAnsi="宋体" w:eastAsia="黑体" w:cs="宋体"/>
      <w:b/>
      <w:bCs/>
      <w:sz w:val="21"/>
      <w:szCs w:val="21"/>
      <w:lang w:val="en-US" w:eastAsia="zh-CN" w:bidi="ar-SA"/>
    </w:rPr>
  </w:style>
  <w:style w:type="paragraph" w:styleId="1226">
    <w:name w:val="111111"/>
    <w:basedOn w:val="1033"/>
    <w:next w:val="1226"/>
    <w:link w:val="1225"/>
    <w:pPr>
      <w:jc w:val="center"/>
      <w:spacing w:before="120" w:after="120"/>
    </w:pPr>
    <w:rPr>
      <w:rFonts w:ascii="宋体" w:hAnsi="宋体" w:eastAsia="黑体" w:cs="宋体"/>
      <w:b/>
      <w:bCs/>
      <w:szCs w:val="21"/>
    </w:rPr>
  </w:style>
  <w:style w:type="character" w:styleId="1227">
    <w:name w:val="apple-converted-space"/>
    <w:next w:val="1227"/>
    <w:link w:val="1033"/>
    <w:rPr>
      <w:rFonts w:ascii="Times New Roman" w:hAnsi="Times New Roman" w:eastAsia="宋体" w:cs="Times New Roman"/>
    </w:rPr>
  </w:style>
  <w:style w:type="character" w:styleId="1228">
    <w:name w:val="纯文本 Char Char"/>
    <w:next w:val="1228"/>
    <w:link w:val="1033"/>
    <w:rPr>
      <w:rFonts w:ascii="宋体" w:hAnsi="Courier New" w:eastAsia="宋体" w:cs="Times New Roman"/>
      <w:sz w:val="21"/>
      <w:szCs w:val="21"/>
      <w:lang w:val="en-US" w:eastAsia="zh-CN" w:bidi="ar-SA"/>
    </w:rPr>
  </w:style>
  <w:style w:type="character" w:styleId="1229">
    <w:name w:val="NormalCharacter1"/>
    <w:next w:val="1229"/>
    <w:link w:val="1033"/>
    <w:rPr>
      <w:rFonts w:ascii="Times New Roman" w:hAnsi="Times New Roman" w:eastAsia="宋体" w:cs="Times New Roman"/>
      <w:sz w:val="21"/>
      <w:szCs w:val="22"/>
      <w:lang w:val="en-US" w:eastAsia="zh-CN" w:bidi="ar-SA"/>
    </w:rPr>
  </w:style>
  <w:style w:type="character" w:styleId="1230">
    <w:name w:val=" Char Char17"/>
    <w:next w:val="1230"/>
    <w:link w:val="1033"/>
    <w:rPr>
      <w:rFonts w:ascii="宋体" w:hAnsi="Courier New" w:eastAsia="宋体" w:cs="Times New Roman"/>
      <w:sz w:val="21"/>
      <w:szCs w:val="21"/>
    </w:rPr>
  </w:style>
  <w:style w:type="character" w:styleId="1231">
    <w:name w:val="明显参考"/>
    <w:next w:val="1231"/>
    <w:link w:val="1033"/>
    <w:qFormat/>
    <w:rPr>
      <w:rFonts w:ascii="Times New Roman" w:hAnsi="Times New Roman" w:eastAsia="宋体" w:cs="Times New Roman"/>
      <w:smallCaps/>
      <w:spacing w:val="5"/>
      <w:u w:val="single"/>
    </w:rPr>
  </w:style>
  <w:style w:type="character" w:styleId="1232">
    <w:name w:val="h Char Char"/>
    <w:next w:val="1232"/>
    <w:link w:val="1033"/>
    <w:rPr>
      <w:rFonts w:ascii="Times New Roman" w:hAnsi="Times New Roman" w:eastAsia="宋体" w:cs="Times New Roman"/>
      <w:b w:val="0"/>
      <w:bCs w:val="0"/>
      <w:i w:val="0"/>
      <w:iCs w:val="0"/>
      <w:sz w:val="18"/>
      <w:szCs w:val="18"/>
      <w:lang w:val="en-US" w:eastAsia="zh-CN" w:bidi="ar-SA"/>
    </w:rPr>
  </w:style>
  <w:style w:type="character" w:styleId="1233">
    <w:name w:val="case31"/>
    <w:next w:val="1233"/>
    <w:link w:val="1033"/>
    <w:rPr>
      <w:rFonts w:ascii="Times New Roman" w:hAnsi="Times New Roman" w:eastAsia="宋体" w:cs="Times New Roman"/>
      <w:b w:val="0"/>
      <w:bCs w:val="0"/>
      <w:i w:val="0"/>
      <w:iCs w:val="0"/>
      <w:sz w:val="21"/>
      <w:szCs w:val="21"/>
    </w:rPr>
  </w:style>
  <w:style w:type="character" w:styleId="1234">
    <w:name w:val="para_small"/>
    <w:next w:val="1234"/>
    <w:link w:val="1033"/>
    <w:rPr>
      <w:rFonts w:ascii="Times New Roman" w:hAnsi="Times New Roman" w:eastAsia="宋体" w:cs="Times New Roman"/>
    </w:rPr>
  </w:style>
  <w:style w:type="character" w:styleId="1235">
    <w:name w:val="content_lineheight1"/>
    <w:next w:val="1235"/>
    <w:link w:val="1033"/>
    <w:rPr>
      <w:rFonts w:ascii="Times New Roman" w:hAnsi="Times New Roman" w:eastAsia="宋体" w:cs="Times New Roman"/>
    </w:rPr>
  </w:style>
  <w:style w:type="paragraph" w:styleId="1236">
    <w:name w:val=" Char Char Char Char Char Char Char Char Char Char Char Char Char Char"/>
    <w:basedOn w:val="1033"/>
    <w:next w:val="1236"/>
    <w:link w:val="1033"/>
    <w:rPr>
      <w:rFonts w:ascii="Tahoma" w:hAnsi="Tahoma" w:eastAsia="宋体" w:cs="Times New Roman"/>
      <w:sz w:val="24"/>
    </w:rPr>
  </w:style>
  <w:style w:type="paragraph" w:styleId="1237">
    <w:name w:val="xl58"/>
    <w:basedOn w:val="1033"/>
    <w:next w:val="1237"/>
    <w:link w:val="1033"/>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238">
    <w:name w:val="正文缩进2字符"/>
    <w:basedOn w:val="1033"/>
    <w:next w:val="1238"/>
    <w:link w:val="1033"/>
    <w:pPr>
      <w:ind w:firstLine="200"/>
      <w:spacing w:line="300" w:lineRule="auto"/>
    </w:pPr>
    <w:rPr>
      <w:rFonts w:ascii="仿宋_GB2312" w:hAnsi="Times New Roman" w:eastAsia="仿宋_GB2312" w:cs="Times New Roman"/>
      <w:sz w:val="32"/>
      <w:szCs w:val="32"/>
    </w:rPr>
  </w:style>
  <w:style w:type="paragraph" w:styleId="1239">
    <w:name w:val="正文表标题"/>
    <w:next w:val="1137"/>
    <w:link w:val="1033"/>
    <w:pPr>
      <w:ind w:left="900" w:hanging="420"/>
      <w:jc w:val="center"/>
      <w:tabs>
        <w:tab w:val="left" w:pos="900" w:leader="none"/>
      </w:tabs>
    </w:pPr>
    <w:rPr>
      <w:rFonts w:ascii="黑体" w:eastAsia="黑体"/>
      <w:sz w:val="21"/>
      <w:lang w:val="en-US" w:eastAsia="zh-CN" w:bidi="ar-SA"/>
    </w:rPr>
  </w:style>
  <w:style w:type="paragraph" w:styleId="1240">
    <w:name w:val=" Char Char1 Char Char Char Char1 Char Char Char Char Char Char"/>
    <w:basedOn w:val="1033"/>
    <w:next w:val="1240"/>
    <w:link w:val="1033"/>
    <w:rPr>
      <w:rFonts w:ascii="Tahoma" w:hAnsi="Tahoma" w:eastAsia="宋体" w:cs="Times New Roman"/>
      <w:sz w:val="24"/>
    </w:rPr>
  </w:style>
  <w:style w:type="paragraph" w:styleId="1241">
    <w:name w:val="段落"/>
    <w:basedOn w:val="1033"/>
    <w:next w:val="1241"/>
    <w:link w:val="1033"/>
    <w:pPr>
      <w:ind w:firstLine="480"/>
      <w:spacing w:line="460" w:lineRule="exact"/>
    </w:pPr>
    <w:rPr>
      <w:rFonts w:ascii="Times New Roman" w:hAnsi="Times New Roman" w:eastAsia="宋体" w:cs="Times New Roman"/>
      <w:sz w:val="24"/>
    </w:rPr>
  </w:style>
  <w:style w:type="paragraph" w:styleId="1242">
    <w:name w:val=" Char Char"/>
    <w:basedOn w:val="1033"/>
    <w:next w:val="1242"/>
    <w:link w:val="1033"/>
    <w:rPr>
      <w:rFonts w:ascii="Tahoma" w:hAnsi="Tahoma" w:eastAsia="宋体" w:cs="Times New Roman"/>
      <w:sz w:val="24"/>
    </w:rPr>
  </w:style>
  <w:style w:type="paragraph" w:styleId="1243">
    <w:name w:val="xl44"/>
    <w:basedOn w:val="1033"/>
    <w:next w:val="1243"/>
    <w:link w:val="103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244">
    <w:name w:val="flNote"/>
    <w:basedOn w:val="1033"/>
    <w:next w:val="1244"/>
    <w:link w:val="1033"/>
    <w:pPr>
      <w:jc w:val="center"/>
      <w:spacing w:before="567" w:line="360" w:lineRule="atLeast"/>
    </w:pPr>
    <w:rPr>
      <w:rFonts w:ascii="Times New Roman" w:hAnsi="Times New Roman" w:eastAsia="黑体" w:cs="Times New Roman"/>
      <w:b/>
      <w:sz w:val="24"/>
    </w:rPr>
  </w:style>
  <w:style w:type="paragraph" w:styleId="1245">
    <w:name w:val="正文文本 New New"/>
    <w:basedOn w:val="1033"/>
    <w:next w:val="1245"/>
    <w:link w:val="1033"/>
    <w:pPr>
      <w:ind w:firstLine="200"/>
      <w:spacing w:before="60" w:after="60" w:line="360" w:lineRule="auto"/>
      <w:widowControl/>
    </w:pPr>
    <w:rPr>
      <w:rFonts w:ascii="Times New Roman" w:hAnsi="Times New Roman" w:eastAsia="华文楷体" w:cs="Times New Roman"/>
      <w:sz w:val="24"/>
      <w:szCs w:val="24"/>
    </w:rPr>
  </w:style>
  <w:style w:type="paragraph" w:styleId="1246">
    <w:name w:val=" Char1"/>
    <w:basedOn w:val="1033"/>
    <w:next w:val="1246"/>
    <w:link w:val="1033"/>
    <w:pPr>
      <w:jc w:val="left"/>
      <w:spacing w:after="160" w:line="240" w:lineRule="exact"/>
      <w:widowControl/>
    </w:pPr>
    <w:rPr>
      <w:rFonts w:ascii="Verdana" w:hAnsi="Verdana" w:eastAsia="仿宋_GB2312" w:cs="Times New Roman"/>
      <w:sz w:val="24"/>
      <w:lang w:eastAsia="en-US"/>
    </w:rPr>
  </w:style>
  <w:style w:type="paragraph" w:styleId="1247">
    <w:name w:val="xl30"/>
    <w:basedOn w:val="1033"/>
    <w:next w:val="1247"/>
    <w:link w:val="10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48">
    <w:name w:val="列表内容"/>
    <w:basedOn w:val="1033"/>
    <w:next w:val="1033"/>
    <w:link w:val="1033"/>
    <w:pPr>
      <w:ind w:left="840" w:hanging="420"/>
      <w:jc w:val="left"/>
      <w:widowControl/>
      <w:tabs>
        <w:tab w:val="left" w:pos="840" w:leader="none"/>
      </w:tabs>
    </w:pPr>
    <w:rPr>
      <w:rFonts w:ascii="Times New Roman" w:hAnsi="Times New Roman" w:eastAsia="宋体" w:cs="Times New Roman"/>
      <w:sz w:val="18"/>
      <w:szCs w:val="24"/>
    </w:rPr>
  </w:style>
  <w:style w:type="paragraph" w:styleId="1249">
    <w:name w:val="样式 样式 首行缩进:  0.74 厘米 行距: 1.5 倍行距 + 段后: 0.5 行"/>
    <w:basedOn w:val="1033"/>
    <w:next w:val="1249"/>
    <w:link w:val="1033"/>
    <w:pPr>
      <w:ind w:firstLine="420"/>
      <w:spacing w:line="360" w:lineRule="auto"/>
    </w:pPr>
    <w:rPr>
      <w:rFonts w:ascii="楷体_GB2312" w:hAnsi="Times New Roman" w:eastAsia="楷体_GB2312" w:cs="Times New Roman"/>
      <w:bCs/>
      <w:sz w:val="24"/>
    </w:rPr>
  </w:style>
  <w:style w:type="paragraph" w:styleId="1250">
    <w:name w:val="文档正文"/>
    <w:basedOn w:val="1033"/>
    <w:next w:val="1250"/>
    <w:link w:val="1033"/>
    <w:pPr>
      <w:spacing w:line="360" w:lineRule="auto"/>
    </w:pPr>
    <w:rPr>
      <w:rFonts w:ascii="宋体" w:hAnsi="宋体" w:eastAsia="宋体" w:cs="Times New Roman"/>
      <w:b/>
      <w:bCs/>
      <w:szCs w:val="24"/>
    </w:rPr>
  </w:style>
  <w:style w:type="paragraph" w:styleId="1251">
    <w:name w:val="_Style 1"/>
    <w:basedOn w:val="1033"/>
    <w:next w:val="1251"/>
    <w:link w:val="1033"/>
    <w:pPr>
      <w:ind w:firstLine="420"/>
    </w:pPr>
    <w:rPr>
      <w:rFonts w:ascii="Calibri" w:hAnsi="Calibri" w:eastAsia="宋体" w:cs="Times New Roman"/>
      <w:szCs w:val="22"/>
    </w:rPr>
  </w:style>
  <w:style w:type="paragraph" w:styleId="1252">
    <w:name w:val="马刚标题3"/>
    <w:basedOn w:val="1033"/>
    <w:next w:val="1033"/>
    <w:link w:val="1033"/>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253">
    <w:name w:val="马刚标题4"/>
    <w:basedOn w:val="1252"/>
    <w:next w:val="1033"/>
    <w:link w:val="1033"/>
    <w:pPr>
      <w:spacing w:before="100" w:after="40"/>
      <w:tabs>
        <w:tab w:val="left" w:pos="1050" w:leader="none"/>
      </w:tabs>
      <w:outlineLvl w:val="3"/>
    </w:pPr>
    <w:rPr>
      <w:rFonts w:ascii="Times New Roman" w:hAnsi="Times New Roman" w:eastAsia="宋体" w:cs="Times New Roman"/>
      <w:b w:val="0"/>
    </w:rPr>
  </w:style>
  <w:style w:type="paragraph" w:styleId="1254">
    <w:name w:val="四号正文"/>
    <w:basedOn w:val="1033"/>
    <w:next w:val="1254"/>
    <w:link w:val="1033"/>
    <w:pPr>
      <w:ind w:firstLine="560"/>
      <w:spacing w:before="0" w:after="0"/>
    </w:pPr>
    <w:rPr>
      <w:rFonts w:ascii="Times New Roman" w:hAnsi="Times New Roman" w:eastAsia="宋体" w:cs="Times New Roman"/>
      <w:sz w:val="28"/>
      <w:szCs w:val="28"/>
    </w:rPr>
  </w:style>
  <w:style w:type="paragraph" w:styleId="1255">
    <w:name w:val="flName"/>
    <w:basedOn w:val="1244"/>
    <w:next w:val="1255"/>
    <w:link w:val="1033"/>
    <w:pPr>
      <w:spacing w:before="0" w:line="113" w:lineRule="atLeast"/>
    </w:pPr>
    <w:rPr>
      <w:rFonts w:ascii="Times New Roman" w:hAnsi="Times New Roman" w:eastAsia="宋体" w:cs="Times New Roman"/>
    </w:rPr>
  </w:style>
  <w:style w:type="paragraph" w:styleId="1256">
    <w:name w:val="表格内容"/>
    <w:basedOn w:val="1033"/>
    <w:next w:val="1256"/>
    <w:link w:val="1033"/>
    <w:pPr>
      <w:jc w:val="center"/>
      <w:spacing w:before="60" w:line="300" w:lineRule="auto"/>
      <w:widowControl/>
    </w:pPr>
    <w:rPr>
      <w:rFonts w:ascii="Times New Roman" w:hAnsi="Times New Roman" w:eastAsia="宋体" w:cs="Times New Roman"/>
    </w:rPr>
  </w:style>
  <w:style w:type="paragraph" w:styleId="1257">
    <w:name w:val="丁华正文"/>
    <w:basedOn w:val="1097"/>
    <w:next w:val="1257"/>
    <w:link w:val="1033"/>
    <w:pPr>
      <w:ind w:left="0" w:firstLine="510"/>
      <w:spacing w:line="360" w:lineRule="auto"/>
    </w:pPr>
    <w:rPr>
      <w:rFonts w:ascii="Times New Roman" w:hAnsi="Times New Roman" w:eastAsia="宋体" w:cs="Times New Roman"/>
      <w:color w:val="000000"/>
      <w:sz w:val="24"/>
      <w:szCs w:val="16"/>
    </w:rPr>
  </w:style>
  <w:style w:type="paragraph" w:styleId="1258">
    <w:name w:val="丁华标题1"/>
    <w:basedOn w:val="1034"/>
    <w:next w:val="1257"/>
    <w:link w:val="1033"/>
    <w:pPr>
      <w:numPr>
        <w:ilvl w:val="0"/>
        <w:numId w:val="1"/>
      </w:numPr>
      <w:jc w:val="left"/>
      <w:keepLines/>
      <w:spacing w:before="600" w:after="120" w:line="578" w:lineRule="auto"/>
      <w:tabs>
        <w:tab w:val="left" w:pos="567" w:leader="none"/>
        <w:tab w:val="left" w:pos="1440" w:leader="none"/>
      </w:tabs>
    </w:pPr>
    <w:rPr>
      <w:rFonts w:ascii="Times New Roman" w:hAnsi="Times New Roman" w:eastAsia="宋体" w:cs="Times New Roman"/>
      <w:b w:val="0"/>
      <w:sz w:val="32"/>
      <w:szCs w:val="20"/>
    </w:rPr>
  </w:style>
  <w:style w:type="paragraph" w:styleId="1259">
    <w:name w:val=" Char1 Char Char Char"/>
    <w:basedOn w:val="1033"/>
    <w:next w:val="1259"/>
    <w:link w:val="1033"/>
    <w:rPr>
      <w:rFonts w:ascii="Tahoma" w:hAnsi="Tahoma" w:eastAsia="宋体" w:cs="Times New Roman"/>
      <w:sz w:val="24"/>
    </w:rPr>
  </w:style>
  <w:style w:type="paragraph" w:styleId="1260">
    <w:name w:val="正文 + 宋体"/>
    <w:basedOn w:val="1033"/>
    <w:next w:val="1260"/>
    <w:link w:val="1033"/>
    <w:pPr>
      <w:ind w:firstLine="420"/>
      <w:spacing w:line="360" w:lineRule="auto"/>
    </w:pPr>
    <w:rPr>
      <w:rFonts w:ascii="Times New Roman" w:hAnsi="Times New Roman" w:eastAsia="宋体" w:cs="Times New Roman"/>
      <w:szCs w:val="24"/>
    </w:rPr>
  </w:style>
  <w:style w:type="paragraph" w:styleId="1261">
    <w:name w:val="二级标题"/>
    <w:basedOn w:val="1033"/>
    <w:next w:val="1261"/>
    <w:link w:val="1033"/>
    <w:pPr>
      <w:ind w:firstLine="482"/>
      <w:jc w:val="left"/>
      <w:spacing w:before="0" w:after="0" w:line="300" w:lineRule="auto"/>
      <w:widowControl/>
      <w:outlineLvl w:val="1"/>
    </w:pPr>
    <w:rPr>
      <w:rFonts w:ascii="宋体" w:hAnsi="宋体" w:eastAsia="宋体" w:cs="Times New Roman"/>
      <w:b/>
      <w:color w:val="000000"/>
      <w:sz w:val="24"/>
      <w:szCs w:val="24"/>
    </w:rPr>
  </w:style>
  <w:style w:type="paragraph" w:styleId="1262">
    <w:name w:val="Char Char Char Char Char Char Char Char Char Char Char"/>
    <w:basedOn w:val="1033"/>
    <w:next w:val="1262"/>
    <w:link w:val="1033"/>
    <w:rPr>
      <w:rFonts w:ascii="Tahoma" w:hAnsi="Tahoma" w:eastAsia="宋体" w:cs="Tahoma"/>
      <w:sz w:val="24"/>
    </w:rPr>
  </w:style>
  <w:style w:type="paragraph" w:styleId="1263">
    <w:name w:val="xl49"/>
    <w:basedOn w:val="1033"/>
    <w:next w:val="1263"/>
    <w:link w:val="1033"/>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264">
    <w:name w:val="Char Char1"/>
    <w:basedOn w:val="1033"/>
    <w:next w:val="1264"/>
    <w:link w:val="1033"/>
    <w:rPr>
      <w:rFonts w:ascii="Tahoma" w:hAnsi="Tahoma" w:eastAsia="宋体" w:cs="Tahoma"/>
      <w:sz w:val="24"/>
    </w:rPr>
  </w:style>
  <w:style w:type="paragraph" w:styleId="1265">
    <w:name w:val="List Paragraph"/>
    <w:basedOn w:val="1033"/>
    <w:next w:val="1265"/>
    <w:link w:val="1033"/>
    <w:pPr>
      <w:contextualSpacing/>
      <w:ind w:left="720"/>
      <w:jc w:val="left"/>
      <w:widowControl/>
    </w:pPr>
    <w:rPr>
      <w:rFonts w:ascii="Arial" w:hAnsi="Arial" w:eastAsia="黑体" w:cs="Times New Roman"/>
      <w:sz w:val="24"/>
      <w:szCs w:val="24"/>
      <w:lang w:eastAsia="en-US"/>
    </w:rPr>
  </w:style>
  <w:style w:type="paragraph" w:styleId="1266">
    <w:name w:val="样式"/>
    <w:basedOn w:val="1033"/>
    <w:next w:val="1266"/>
    <w:link w:val="1033"/>
    <w:pPr>
      <w:spacing w:before="120" w:after="120" w:line="360" w:lineRule="auto"/>
    </w:pPr>
    <w:rPr>
      <w:rFonts w:ascii="宋体" w:hAnsi="Times New Roman" w:eastAsia="宋体" w:cs="Times New Roman"/>
      <w:sz w:val="24"/>
    </w:rPr>
  </w:style>
  <w:style w:type="paragraph" w:styleId="1267">
    <w:name w:val="font14"/>
    <w:basedOn w:val="1033"/>
    <w:next w:val="1267"/>
    <w:link w:val="1033"/>
    <w:pPr>
      <w:jc w:val="left"/>
      <w:spacing w:before="100" w:beforeAutospacing="1" w:after="100" w:afterAutospacing="1"/>
      <w:widowControl/>
    </w:pPr>
    <w:rPr>
      <w:rFonts w:ascii="Times New Roman" w:hAnsi="Times New Roman" w:eastAsia="宋体" w:cs="Times New Roman"/>
      <w:sz w:val="36"/>
      <w:szCs w:val="36"/>
    </w:rPr>
  </w:style>
  <w:style w:type="paragraph" w:styleId="1268">
    <w:name w:val="正文 首行缩进:  2 字符 Char Char"/>
    <w:basedOn w:val="1033"/>
    <w:next w:val="1268"/>
    <w:link w:val="1033"/>
    <w:pPr>
      <w:ind w:firstLine="480"/>
      <w:spacing w:line="360" w:lineRule="auto"/>
    </w:pPr>
    <w:rPr>
      <w:rFonts w:ascii="楷体_GB2312" w:hAnsi="Times New Roman" w:eastAsia="楷体_GB2312" w:cs="Times New Roman"/>
      <w:bCs/>
      <w:sz w:val="24"/>
      <w:szCs w:val="24"/>
    </w:rPr>
  </w:style>
  <w:style w:type="paragraph" w:styleId="1269">
    <w:name w:val="样式1"/>
    <w:basedOn w:val="1033"/>
    <w:next w:val="1269"/>
    <w:link w:val="1033"/>
    <w:pPr>
      <w:ind w:firstLine="480"/>
      <w:spacing w:line="300" w:lineRule="auto"/>
    </w:pPr>
    <w:rPr>
      <w:rFonts w:ascii="Times New Roman" w:hAnsi="Times New Roman" w:eastAsia="宋体" w:cs="Times New Roman"/>
      <w:sz w:val="24"/>
      <w:szCs w:val="24"/>
    </w:rPr>
  </w:style>
  <w:style w:type="paragraph" w:styleId="1270">
    <w:name w:val="Char Char Char Char Char"/>
    <w:basedOn w:val="1033"/>
    <w:next w:val="1270"/>
    <w:link w:val="1033"/>
    <w:rPr>
      <w:rFonts w:ascii="Tahoma" w:hAnsi="Tahoma" w:eastAsia="宋体" w:cs="Tahoma"/>
      <w:sz w:val="24"/>
    </w:rPr>
  </w:style>
  <w:style w:type="paragraph" w:styleId="1271">
    <w:name w:val="xl31"/>
    <w:basedOn w:val="1033"/>
    <w:next w:val="1271"/>
    <w:link w:val="10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72">
    <w:name w:val="正文 首行缩进:  2 字符 Char"/>
    <w:basedOn w:val="1033"/>
    <w:next w:val="1272"/>
    <w:link w:val="1033"/>
    <w:pPr>
      <w:ind w:firstLine="480"/>
      <w:spacing w:line="360" w:lineRule="auto"/>
    </w:pPr>
    <w:rPr>
      <w:rFonts w:ascii="Times New Roman" w:hAnsi="Times New Roman" w:eastAsia="宋体" w:cs="宋体"/>
      <w:sz w:val="24"/>
    </w:rPr>
  </w:style>
  <w:style w:type="paragraph" w:styleId="1273">
    <w:name w:val=" Char Char Char Char Char Char Char Char Char Char Char"/>
    <w:basedOn w:val="1033"/>
    <w:next w:val="1273"/>
    <w:link w:val="1033"/>
    <w:rPr>
      <w:rFonts w:ascii="Tahoma" w:hAnsi="Tahoma" w:eastAsia="宋体" w:cs="Times New Roman"/>
      <w:sz w:val="24"/>
    </w:rPr>
  </w:style>
  <w:style w:type="paragraph" w:styleId="1274">
    <w:name w:val="列表段落"/>
    <w:basedOn w:val="1033"/>
    <w:next w:val="1274"/>
    <w:link w:val="1033"/>
    <w:qFormat/>
    <w:pPr>
      <w:ind w:firstLine="420"/>
    </w:pPr>
    <w:rPr>
      <w:rFonts w:ascii="Times New Roman" w:hAnsi="Times New Roman" w:eastAsia="宋体" w:cs="Times New Roman"/>
      <w:szCs w:val="24"/>
    </w:rPr>
  </w:style>
  <w:style w:type="paragraph" w:styleId="1275">
    <w:name w:val="No Spacing"/>
    <w:next w:val="1275"/>
    <w:link w:val="1033"/>
    <w:pPr>
      <w:jc w:val="both"/>
      <w:widowControl w:val="off"/>
    </w:pPr>
    <w:rPr>
      <w:rFonts w:eastAsia="微软雅黑"/>
      <w:sz w:val="24"/>
      <w:szCs w:val="22"/>
      <w:lang w:val="en-US" w:eastAsia="zh-CN" w:bidi="ar-SA"/>
    </w:rPr>
  </w:style>
  <w:style w:type="paragraph" w:styleId="1276">
    <w:name w:val="retrait3"/>
    <w:basedOn w:val="1033"/>
    <w:next w:val="1276"/>
    <w:link w:val="1033"/>
    <w:pPr>
      <w:ind w:left="851"/>
      <w:jc w:val="left"/>
      <w:spacing w:before="20" w:after="20"/>
      <w:widowControl/>
    </w:pPr>
    <w:rPr>
      <w:rFonts w:ascii="Arial" w:hAnsi="Arial" w:eastAsia="宋体" w:cs="Times New Roman"/>
      <w:sz w:val="24"/>
      <w:lang w:val="en-GB"/>
    </w:rPr>
  </w:style>
  <w:style w:type="paragraph" w:styleId="1277">
    <w:name w:val="tableau"/>
    <w:basedOn w:val="1033"/>
    <w:next w:val="1277"/>
    <w:link w:val="1033"/>
    <w:pPr>
      <w:jc w:val="center"/>
      <w:spacing w:before="20" w:after="20"/>
      <w:widowControl/>
    </w:pPr>
    <w:rPr>
      <w:rFonts w:ascii="Arial" w:hAnsi="Arial" w:eastAsia="宋体" w:cs="Times New Roman"/>
      <w:sz w:val="16"/>
      <w:lang w:val="en-GB" w:eastAsia="en-US"/>
    </w:rPr>
  </w:style>
  <w:style w:type="paragraph" w:styleId="1278">
    <w:name w:val="xl36"/>
    <w:basedOn w:val="1033"/>
    <w:next w:val="1278"/>
    <w:link w:val="10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79">
    <w:name w:val="Char Char1 Char Char Char Char"/>
    <w:basedOn w:val="1061"/>
    <w:next w:val="1279"/>
    <w:link w:val="1033"/>
    <w:pPr>
      <w:ind w:left="357"/>
      <w:jc w:val="left"/>
      <w:spacing w:line="436" w:lineRule="exact"/>
      <w:outlineLvl w:val="3"/>
    </w:pPr>
    <w:rPr>
      <w:rFonts w:ascii="Tahoma" w:hAnsi="Tahoma" w:eastAsia="宋体" w:cs="Tahoma"/>
      <w:b/>
      <w:sz w:val="24"/>
      <w:szCs w:val="24"/>
    </w:rPr>
  </w:style>
  <w:style w:type="paragraph" w:styleId="1280">
    <w:name w:val="_Style 42"/>
    <w:basedOn w:val="1033"/>
    <w:next w:val="1069"/>
    <w:link w:val="1033"/>
    <w:rPr>
      <w:rFonts w:ascii="楷体_GB2312" w:hAnsi="Arial" w:eastAsia="楷体_GB2312" w:cs="Times New Roman"/>
      <w:sz w:val="28"/>
    </w:rPr>
  </w:style>
  <w:style w:type="paragraph" w:styleId="1281">
    <w:name w:val="xl28"/>
    <w:basedOn w:val="1033"/>
    <w:next w:val="1281"/>
    <w:link w:val="10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82">
    <w:name w:val="正文格式"/>
    <w:basedOn w:val="1033"/>
    <w:next w:val="1282"/>
    <w:link w:val="1033"/>
    <w:pPr>
      <w:ind w:left="178" w:right="44" w:hanging="178"/>
      <w:jc w:val="left"/>
      <w:spacing w:before="78" w:line="360" w:lineRule="auto"/>
      <w:widowControl/>
    </w:pPr>
    <w:rPr>
      <w:rFonts w:ascii="宋体" w:hAnsi="宋体" w:eastAsia="宋体" w:cs="Times New Roman"/>
      <w:bCs/>
      <w:szCs w:val="21"/>
    </w:rPr>
  </w:style>
  <w:style w:type="paragraph" w:styleId="1283">
    <w:name w:val="项目符号，一级"/>
    <w:basedOn w:val="1282"/>
    <w:next w:val="1282"/>
    <w:link w:val="1033"/>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284">
    <w:name w:val="xl37"/>
    <w:basedOn w:val="1033"/>
    <w:next w:val="1284"/>
    <w:link w:val="10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285">
    <w:name w:val="项目符号，二级"/>
    <w:basedOn w:val="1282"/>
    <w:next w:val="1282"/>
    <w:link w:val="1033"/>
    <w:pPr>
      <w:ind w:left="1337" w:right="-27" w:firstLine="480"/>
      <w:tabs>
        <w:tab w:val="left" w:pos="567" w:leader="none"/>
        <w:tab w:val="left" w:pos="1211" w:leader="none"/>
        <w:tab w:val="left" w:pos="1337" w:leader="none"/>
      </w:tabs>
    </w:pPr>
    <w:rPr>
      <w:rFonts w:ascii="Times New Roman" w:hAnsi="Times New Roman" w:eastAsia="宋体" w:cs="Times New Roman"/>
      <w:bCs w:val="0"/>
      <w:color w:val="000000"/>
      <w:sz w:val="24"/>
      <w:szCs w:val="24"/>
    </w:rPr>
  </w:style>
  <w:style w:type="paragraph" w:styleId="1286">
    <w:name w:val="xl59"/>
    <w:basedOn w:val="1033"/>
    <w:next w:val="1286"/>
    <w:link w:val="1033"/>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87">
    <w:name w:val="小四 段落 宋体 Char"/>
    <w:basedOn w:val="1059"/>
    <w:next w:val="1287"/>
    <w:link w:val="1033"/>
    <w:pPr>
      <w:ind w:left="0" w:right="-33" w:firstLine="600"/>
      <w:jc w:val="left"/>
      <w:tabs>
        <w:tab w:val="clear" w:pos="2952" w:leader="none"/>
      </w:tabs>
    </w:pPr>
    <w:rPr>
      <w:rFonts w:ascii="仿宋_GB2312" w:hAnsi="Times New Roman" w:eastAsia="仿宋_GB2312" w:cs="Times New Roman"/>
      <w:sz w:val="30"/>
      <w:szCs w:val="30"/>
    </w:rPr>
  </w:style>
  <w:style w:type="paragraph" w:styleId="1288">
    <w:name w:val="xl60"/>
    <w:basedOn w:val="1033"/>
    <w:next w:val="1288"/>
    <w:link w:val="103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289">
    <w:name w:val="Char Char Char Char Char Char Char Char Char Char Char Char Char"/>
    <w:basedOn w:val="1033"/>
    <w:next w:val="1289"/>
    <w:link w:val="1033"/>
    <w:pPr>
      <w:jc w:val="left"/>
      <w:spacing w:after="160" w:line="240" w:lineRule="exact"/>
      <w:widowControl/>
    </w:pPr>
    <w:rPr>
      <w:rFonts w:ascii="Times New Roman" w:hAnsi="Times New Roman" w:eastAsia="宋体" w:cs="Times New Roman"/>
      <w:szCs w:val="24"/>
    </w:rPr>
  </w:style>
  <w:style w:type="paragraph" w:styleId="1290">
    <w:name w:val="表头_5"/>
    <w:basedOn w:val="1033"/>
    <w:next w:val="1290"/>
    <w:link w:val="1033"/>
    <w:pPr>
      <w:spacing w:line="360" w:lineRule="auto"/>
    </w:pPr>
    <w:rPr>
      <w:rFonts w:ascii="Times New Roman" w:hAnsi="Times New Roman" w:eastAsia="宋体" w:cs="Times New Roman"/>
      <w:b/>
      <w:bCs/>
      <w:sz w:val="28"/>
      <w:szCs w:val="21"/>
    </w:rPr>
  </w:style>
  <w:style w:type="paragraph" w:styleId="1291">
    <w:name w:val="样式 标题 3H3sect1.2.3BOD 0Heading 3 - oldh3l3CTLevel 3 Head..."/>
    <w:basedOn w:val="1036"/>
    <w:next w:val="1291"/>
    <w:link w:val="1033"/>
    <w:pPr>
      <w:jc w:val="left"/>
      <w:spacing w:before="156" w:after="156"/>
    </w:pPr>
    <w:rPr>
      <w:rFonts w:ascii="Times New Roman" w:hAnsi="Times New Roman" w:eastAsia="宋体" w:cs="宋体"/>
      <w:bCs/>
      <w:sz w:val="30"/>
    </w:rPr>
  </w:style>
  <w:style w:type="paragraph" w:styleId="1292">
    <w:name w:val="样式2"/>
    <w:basedOn w:val="1033"/>
    <w:next w:val="1292"/>
    <w:link w:val="1033"/>
    <w:pPr>
      <w:ind w:left="200"/>
      <w:spacing w:line="360" w:lineRule="auto"/>
    </w:pPr>
    <w:rPr>
      <w:rFonts w:ascii="宋体" w:hAnsi="宋体" w:eastAsia="宋体" w:cs="Times New Roman"/>
      <w:b/>
      <w:sz w:val="24"/>
      <w:szCs w:val="24"/>
    </w:rPr>
  </w:style>
  <w:style w:type="paragraph" w:styleId="1293">
    <w:name w:val=" Char Char Char Char Char Char Char"/>
    <w:basedOn w:val="1033"/>
    <w:next w:val="1293"/>
    <w:link w:val="1033"/>
    <w:rPr>
      <w:rFonts w:ascii="Tahoma" w:hAnsi="Tahoma" w:eastAsia="宋体" w:cs="Times New Roman"/>
      <w:sz w:val="24"/>
    </w:rPr>
  </w:style>
  <w:style w:type="paragraph" w:styleId="1294">
    <w:name w:val="Default Text"/>
    <w:basedOn w:val="1033"/>
    <w:next w:val="1294"/>
    <w:link w:val="1033"/>
    <w:pPr>
      <w:jc w:val="left"/>
      <w:widowControl/>
    </w:pPr>
    <w:rPr>
      <w:rFonts w:ascii="Times New Roman" w:hAnsi="Times New Roman" w:eastAsia="宋体" w:cs="Times New Roman"/>
      <w:sz w:val="24"/>
      <w:lang w:eastAsia="en-US"/>
    </w:rPr>
  </w:style>
  <w:style w:type="paragraph" w:styleId="1295">
    <w:name w:val="Char Char Char Char Char Char Char Char Char Char Char Char Char Char Char Char Char Char Char Char Char Char Char"/>
    <w:basedOn w:val="1033"/>
    <w:next w:val="1295"/>
    <w:link w:val="1033"/>
    <w:rPr>
      <w:rFonts w:ascii="Tahoma" w:hAnsi="Tahoma" w:eastAsia="宋体" w:cs="Tahoma"/>
      <w:sz w:val="24"/>
    </w:rPr>
  </w:style>
  <w:style w:type="paragraph" w:styleId="1296">
    <w:name w:val="Bullets L1"/>
    <w:basedOn w:val="1033"/>
    <w:next w:val="1296"/>
    <w:link w:val="1033"/>
    <w:pPr>
      <w:numPr>
        <w:ilvl w:val="0"/>
        <w:numId w:val="2"/>
      </w:numPr>
      <w:jc w:val="left"/>
      <w:spacing w:before="60" w:after="60"/>
      <w:widowControl/>
      <w:tabs>
        <w:tab w:val="left" w:pos="360" w:leader="none"/>
      </w:tabs>
    </w:pPr>
    <w:rPr>
      <w:rFonts w:ascii="Arial" w:hAnsi="Arial" w:eastAsia="宋体" w:cs="Times New Roman"/>
      <w:sz w:val="20"/>
    </w:rPr>
  </w:style>
  <w:style w:type="paragraph" w:styleId="1297">
    <w:name w:val=" Char Char Char Char Char Char Char Char Char Char Char Char Char"/>
    <w:basedOn w:val="1061"/>
    <w:next w:val="1297"/>
    <w:link w:val="1033"/>
    <w:rPr>
      <w:rFonts w:ascii="Tahoma" w:hAnsi="Tahoma" w:eastAsia="宋体" w:cs="Times New Roman"/>
      <w:sz w:val="24"/>
      <w:szCs w:val="24"/>
    </w:rPr>
  </w:style>
  <w:style w:type="paragraph" w:styleId="1298">
    <w:name w:val="默认段落字体 Para Char"/>
    <w:basedOn w:val="1033"/>
    <w:next w:val="1298"/>
    <w:link w:val="1033"/>
    <w:rPr>
      <w:rFonts w:ascii="Times New Roman" w:hAnsi="Times New Roman" w:eastAsia="宋体" w:cs="Times New Roman"/>
      <w:sz w:val="24"/>
      <w:szCs w:val="24"/>
    </w:rPr>
  </w:style>
  <w:style w:type="paragraph" w:styleId="1299">
    <w:name w:val="标准小四"/>
    <w:basedOn w:val="1033"/>
    <w:next w:val="1299"/>
    <w:link w:val="1033"/>
    <w:pPr>
      <w:ind w:firstLine="480"/>
      <w:spacing w:line="360" w:lineRule="auto"/>
    </w:pPr>
    <w:rPr>
      <w:rFonts w:ascii="Arial" w:hAnsi="Arial" w:eastAsia="宋体" w:cs="Times New Roman"/>
      <w:sz w:val="24"/>
      <w:szCs w:val="21"/>
    </w:rPr>
  </w:style>
  <w:style w:type="paragraph" w:styleId="1300">
    <w:name w:val="马刚标题1"/>
    <w:basedOn w:val="1034"/>
    <w:next w:val="1033"/>
    <w:link w:val="1033"/>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301">
    <w:name w:val="font13"/>
    <w:basedOn w:val="1033"/>
    <w:next w:val="1301"/>
    <w:link w:val="1033"/>
    <w:pPr>
      <w:jc w:val="left"/>
      <w:spacing w:before="100" w:beforeAutospacing="1" w:after="100" w:afterAutospacing="1"/>
      <w:widowControl/>
    </w:pPr>
    <w:rPr>
      <w:rFonts w:ascii="Times New Roman" w:hAnsi="Times New Roman" w:eastAsia="宋体" w:cs="Times New Roman"/>
      <w:i/>
      <w:iCs/>
      <w:sz w:val="36"/>
      <w:szCs w:val="36"/>
    </w:rPr>
  </w:style>
  <w:style w:type="paragraph" w:styleId="1302">
    <w:name w:val="font11"/>
    <w:basedOn w:val="1033"/>
    <w:next w:val="1302"/>
    <w:link w:val="1033"/>
    <w:pPr>
      <w:jc w:val="left"/>
      <w:spacing w:before="100" w:beforeAutospacing="1" w:after="100" w:afterAutospacing="1"/>
      <w:widowControl/>
    </w:pPr>
    <w:rPr>
      <w:rFonts w:ascii="Times New Roman" w:hAnsi="Times New Roman" w:eastAsia="宋体" w:cs="Times New Roman"/>
      <w:b/>
      <w:bCs/>
      <w:sz w:val="18"/>
      <w:szCs w:val="18"/>
    </w:rPr>
  </w:style>
  <w:style w:type="paragraph" w:styleId="1303">
    <w:name w:val="00-表格的正文"/>
    <w:basedOn w:val="1033"/>
    <w:next w:val="1303"/>
    <w:link w:val="1033"/>
    <w:pPr>
      <w:jc w:val="left"/>
      <w:spacing w:line="440" w:lineRule="exact"/>
    </w:pPr>
    <w:rPr>
      <w:rFonts w:ascii="楷体" w:hAnsi="楷体" w:eastAsia="宋体" w:cs="Times New Roman"/>
      <w:color w:val="000000"/>
      <w:sz w:val="20"/>
      <w:szCs w:val="24"/>
    </w:rPr>
  </w:style>
  <w:style w:type="paragraph" w:styleId="1304">
    <w:name w:val="a0"/>
    <w:basedOn w:val="1033"/>
    <w:next w:val="1304"/>
    <w:link w:val="1033"/>
    <w:pPr>
      <w:spacing w:before="100" w:beforeAutospacing="1" w:after="100" w:afterAutospacing="1"/>
      <w:widowControl/>
    </w:pPr>
    <w:rPr>
      <w:rFonts w:ascii="宋体" w:hAnsi="宋体" w:eastAsia="宋体" w:cs="宋体"/>
      <w:sz w:val="24"/>
      <w:szCs w:val="24"/>
    </w:rPr>
  </w:style>
  <w:style w:type="paragraph" w:styleId="1305">
    <w:name w:val="xl32"/>
    <w:basedOn w:val="1033"/>
    <w:next w:val="1305"/>
    <w:link w:val="10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06">
    <w:name w:val="Char Char Char Char Char Char Char Char"/>
    <w:basedOn w:val="1033"/>
    <w:next w:val="1306"/>
    <w:link w:val="1033"/>
    <w:rPr>
      <w:rFonts w:ascii="Tahoma" w:hAnsi="Tahoma" w:eastAsia="宋体" w:cs="Tahoma"/>
      <w:sz w:val="24"/>
    </w:rPr>
  </w:style>
  <w:style w:type="paragraph" w:styleId="1307">
    <w:name w:val="正文文本 21"/>
    <w:basedOn w:val="1033"/>
    <w:next w:val="1307"/>
    <w:link w:val="1033"/>
    <w:pPr>
      <w:ind w:left="720" w:hanging="720"/>
      <w:widowControl/>
    </w:pPr>
    <w:rPr>
      <w:rFonts w:ascii="Times New Roman" w:hAnsi="Times New Roman" w:eastAsia="宋体" w:cs="Times New Roman"/>
      <w:sz w:val="24"/>
      <w:lang w:val="en-GB"/>
    </w:rPr>
  </w:style>
  <w:style w:type="paragraph" w:styleId="1308">
    <w:name w:val="项目符号：一级"/>
    <w:basedOn w:val="1282"/>
    <w:next w:val="1282"/>
    <w:link w:val="1033"/>
    <w:pPr>
      <w:ind w:right="-134"/>
    </w:pPr>
    <w:rPr>
      <w:rFonts w:ascii="Times New Roman" w:hAnsi="Times New Roman" w:eastAsia="宋体" w:cs="Times New Roman"/>
      <w:bCs w:val="0"/>
    </w:rPr>
  </w:style>
  <w:style w:type="paragraph" w:styleId="1309">
    <w:name w:val="符号与编号 Char"/>
    <w:basedOn w:val="1033"/>
    <w:next w:val="1309"/>
    <w:link w:val="1033"/>
    <w:pPr>
      <w:ind w:left="720"/>
      <w:spacing w:after="156" w:line="400" w:lineRule="atLeast"/>
      <w:tabs>
        <w:tab w:val="left" w:pos="720" w:leader="none"/>
      </w:tabs>
    </w:pPr>
    <w:rPr>
      <w:rFonts w:ascii="Times New Roman" w:hAnsi="Times New Roman" w:eastAsia="宋体" w:cs="Times New Roman"/>
      <w:sz w:val="24"/>
      <w:szCs w:val="24"/>
    </w:rPr>
  </w:style>
  <w:style w:type="paragraph" w:styleId="1310">
    <w:name w:val="a"/>
    <w:basedOn w:val="1033"/>
    <w:next w:val="1310"/>
    <w:link w:val="1033"/>
    <w:pPr>
      <w:spacing w:before="100" w:beforeAutospacing="1" w:after="100" w:afterAutospacing="1"/>
      <w:widowControl/>
    </w:pPr>
    <w:rPr>
      <w:rFonts w:ascii="宋体" w:hAnsi="宋体" w:eastAsia="宋体" w:cs="宋体"/>
      <w:sz w:val="24"/>
      <w:szCs w:val="24"/>
    </w:rPr>
  </w:style>
  <w:style w:type="paragraph" w:styleId="1311">
    <w:name w:val="xl57"/>
    <w:basedOn w:val="1033"/>
    <w:next w:val="1311"/>
    <w:link w:val="1033"/>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312">
    <w:name w:val="正文1"/>
    <w:basedOn w:val="1033"/>
    <w:next w:val="1033"/>
    <w:link w:val="1033"/>
    <w:pPr>
      <w:ind w:firstLine="510"/>
      <w:spacing w:before="156" w:line="360" w:lineRule="auto"/>
    </w:pPr>
    <w:rPr>
      <w:rFonts w:ascii="Times New Roman" w:hAnsi="Times New Roman" w:eastAsia="宋体" w:cs="Times New Roman"/>
      <w:sz w:val="24"/>
    </w:rPr>
  </w:style>
  <w:style w:type="paragraph" w:styleId="1313">
    <w:name w:val="Char Char Char"/>
    <w:basedOn w:val="1033"/>
    <w:next w:val="1313"/>
    <w:link w:val="1033"/>
    <w:rPr>
      <w:rFonts w:ascii="Tahoma" w:hAnsi="Tahoma" w:eastAsia="宋体" w:cs="Times New Roman"/>
      <w:sz w:val="24"/>
    </w:rPr>
  </w:style>
  <w:style w:type="paragraph" w:styleId="1314">
    <w:name w:val="行文"/>
    <w:basedOn w:val="1033"/>
    <w:next w:val="1314"/>
    <w:link w:val="1033"/>
    <w:pPr>
      <w:ind w:firstLine="624"/>
      <w:spacing w:before="0" w:after="0" w:line="480" w:lineRule="exact"/>
    </w:pPr>
    <w:rPr>
      <w:rFonts w:ascii="Times New Roman" w:hAnsi="Times New Roman" w:eastAsia="仿宋_GB2312" w:cs="Times New Roman"/>
      <w:spacing w:val="8"/>
      <w:sz w:val="30"/>
    </w:rPr>
  </w:style>
  <w:style w:type="paragraph" w:styleId="1315">
    <w:name w:val="font7"/>
    <w:basedOn w:val="1033"/>
    <w:next w:val="1315"/>
    <w:link w:val="1033"/>
    <w:pPr>
      <w:jc w:val="left"/>
      <w:spacing w:before="100" w:beforeAutospacing="1" w:after="100" w:afterAutospacing="1"/>
      <w:widowControl/>
    </w:pPr>
    <w:rPr>
      <w:rFonts w:hint="eastAsia" w:ascii="宋体" w:hAnsi="宋体" w:eastAsia="宋体" w:cs="Times New Roman"/>
      <w:b/>
      <w:bCs/>
      <w:sz w:val="24"/>
      <w:szCs w:val="24"/>
    </w:rPr>
  </w:style>
  <w:style w:type="paragraph" w:styleId="1316">
    <w:name w:val=" Char Char Char Char Char Char Char Char"/>
    <w:basedOn w:val="1033"/>
    <w:next w:val="1316"/>
    <w:link w:val="1033"/>
    <w:rPr>
      <w:rFonts w:ascii="Tahoma" w:hAnsi="Tahoma" w:eastAsia="宋体" w:cs="Times New Roman"/>
      <w:sz w:val="24"/>
    </w:rPr>
  </w:style>
  <w:style w:type="paragraph" w:styleId="1317">
    <w:name w:val="样式 正文缩进2字符 + 左侧:  2 字符 首行缩进:  2 字符"/>
    <w:basedOn w:val="1033"/>
    <w:next w:val="1317"/>
    <w:link w:val="1033"/>
    <w:pPr>
      <w:ind w:firstLine="480"/>
      <w:spacing w:line="360" w:lineRule="auto"/>
    </w:pPr>
    <w:rPr>
      <w:rFonts w:ascii="Times New Roman" w:hAnsi="Times New Roman" w:eastAsia="宋体" w:cs="宋体"/>
      <w:bCs/>
      <w:sz w:val="24"/>
      <w:szCs w:val="20"/>
    </w:rPr>
  </w:style>
  <w:style w:type="paragraph" w:styleId="1318">
    <w:name w:val="表格内文字"/>
    <w:basedOn w:val="1033"/>
    <w:next w:val="1318"/>
    <w:link w:val="1033"/>
    <w:pPr>
      <w:spacing w:line="300" w:lineRule="atLeast"/>
    </w:pPr>
    <w:rPr>
      <w:rFonts w:ascii="Times New Roman" w:hAnsi="Times New Roman" w:eastAsia="宋体" w:cs="Times New Roman"/>
      <w:sz w:val="18"/>
      <w:szCs w:val="24"/>
    </w:rPr>
  </w:style>
  <w:style w:type="paragraph" w:styleId="1319">
    <w:name w:val="xl46"/>
    <w:basedOn w:val="1033"/>
    <w:next w:val="1319"/>
    <w:link w:val="1033"/>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320">
    <w:name w:val=" Char Char Char Char"/>
    <w:basedOn w:val="1033"/>
    <w:next w:val="1320"/>
    <w:link w:val="1033"/>
    <w:pPr>
      <w:jc w:val="center"/>
      <w:spacing w:after="160" w:line="240" w:lineRule="exact"/>
      <w:widowControl/>
    </w:pPr>
    <w:rPr>
      <w:rFonts w:ascii="黑体" w:hAnsi="Verdana" w:eastAsia="黑体" w:cs="Times New Roman"/>
      <w:sz w:val="32"/>
      <w:szCs w:val="32"/>
      <w:lang w:eastAsia="en-US"/>
    </w:rPr>
  </w:style>
  <w:style w:type="paragraph" w:styleId="1321">
    <w:name w:val="Normal1"/>
    <w:basedOn w:val="1033"/>
    <w:next w:val="1321"/>
    <w:link w:val="1033"/>
    <w:rPr>
      <w:rFonts w:ascii="Calibri" w:hAnsi="Calibri" w:eastAsia="Calibri" w:cs="宋体"/>
      <w:lang w:val="zh-CN"/>
    </w:rPr>
  </w:style>
  <w:style w:type="paragraph" w:styleId="1322">
    <w:name w:val="样式 小四 行距: 固定值 25 磅8"/>
    <w:basedOn w:val="1033"/>
    <w:next w:val="1033"/>
    <w:link w:val="1033"/>
    <w:pPr>
      <w:ind w:firstLine="464"/>
      <w:spacing w:line="500" w:lineRule="exact"/>
    </w:pPr>
    <w:rPr>
      <w:rFonts w:ascii="Times New Roman" w:hAnsi="Times New Roman" w:eastAsia="宋体" w:cs="宋体"/>
      <w:sz w:val="24"/>
    </w:rPr>
  </w:style>
  <w:style w:type="paragraph" w:styleId="1323">
    <w:name w:val=" Char Char1"/>
    <w:basedOn w:val="1033"/>
    <w:next w:val="1323"/>
    <w:link w:val="1033"/>
    <w:rPr>
      <w:rFonts w:ascii="Tahoma" w:hAnsi="Tahoma" w:eastAsia="宋体" w:cs="Times New Roman"/>
      <w:sz w:val="24"/>
    </w:rPr>
  </w:style>
  <w:style w:type="paragraph" w:styleId="1324">
    <w:name w:val="af17cgridlangnp1033langf"/>
    <w:next w:val="1324"/>
    <w:link w:val="1033"/>
    <w:pPr>
      <w:ind w:left="567" w:firstLine="510"/>
      <w:jc w:val="both"/>
      <w:spacing w:before="156" w:line="360" w:lineRule="atLeast"/>
      <w:widowControl w:val="off"/>
    </w:pPr>
    <w:rPr>
      <w:lang w:val="en-US" w:eastAsia="zh-CN" w:bidi="ar-SA"/>
    </w:rPr>
  </w:style>
  <w:style w:type="paragraph" w:styleId="1325">
    <w:name w:val="华宇段落1 Char"/>
    <w:basedOn w:val="1033"/>
    <w:next w:val="1325"/>
    <w:link w:val="1033"/>
    <w:pPr>
      <w:ind w:firstLine="200"/>
      <w:spacing w:line="360" w:lineRule="auto"/>
    </w:pPr>
    <w:rPr>
      <w:rFonts w:ascii="Times New Roman" w:hAnsi="Times New Roman" w:eastAsia="宋体" w:cs="Times New Roman"/>
      <w:bCs/>
      <w:sz w:val="24"/>
      <w:szCs w:val="24"/>
    </w:rPr>
  </w:style>
  <w:style w:type="paragraph" w:styleId="1326">
    <w:name w:val="正文lzq"/>
    <w:basedOn w:val="1033"/>
    <w:next w:val="1326"/>
    <w:link w:val="1033"/>
    <w:pPr>
      <w:ind w:firstLine="480"/>
      <w:spacing w:line="360" w:lineRule="auto"/>
    </w:pPr>
    <w:rPr>
      <w:rFonts w:ascii="Times New Roman" w:hAnsi="Times New Roman" w:eastAsia="宋体" w:cs="Times New Roman"/>
      <w:sz w:val="24"/>
    </w:rPr>
  </w:style>
  <w:style w:type="paragraph" w:styleId="1327">
    <w:name w:val="正文--表格内正文"/>
    <w:basedOn w:val="1033"/>
    <w:next w:val="1327"/>
    <w:link w:val="1033"/>
    <w:pPr>
      <w:jc w:val="center"/>
      <w:spacing w:before="156" w:line="0" w:lineRule="atLeast"/>
    </w:pPr>
    <w:rPr>
      <w:rFonts w:ascii="宋体" w:hAnsi="宋体" w:eastAsia="宋体" w:cs="Times New Roman"/>
      <w:color w:val="000000"/>
      <w:sz w:val="24"/>
      <w:szCs w:val="24"/>
    </w:rPr>
  </w:style>
  <w:style w:type="paragraph" w:styleId="1328">
    <w:name w:val="xl25"/>
    <w:basedOn w:val="1033"/>
    <w:next w:val="1328"/>
    <w:link w:val="1033"/>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329">
    <w:name w:val="xl34"/>
    <w:basedOn w:val="1033"/>
    <w:next w:val="1329"/>
    <w:link w:val="10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30">
    <w:name w:val="表格1"/>
    <w:basedOn w:val="1033"/>
    <w:next w:val="1330"/>
    <w:link w:val="1033"/>
    <w:rPr>
      <w:rFonts w:ascii="宋体" w:hAnsi="Times New Roman" w:eastAsia="宋体" w:cs="Times New Roman"/>
      <w:szCs w:val="21"/>
    </w:rPr>
  </w:style>
  <w:style w:type="paragraph" w:styleId="1331">
    <w:name w:val="xl55"/>
    <w:basedOn w:val="1033"/>
    <w:next w:val="1331"/>
    <w:link w:val="1033"/>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332">
    <w:name w:val=" Char Char Char"/>
    <w:basedOn w:val="1061"/>
    <w:next w:val="1332"/>
    <w:link w:val="1033"/>
    <w:pPr>
      <w:spacing w:line="436" w:lineRule="exact"/>
    </w:pPr>
    <w:rPr>
      <w:rFonts w:ascii="Times New Roman" w:hAnsi="Times New Roman" w:eastAsia="宋体" w:cs="Times New Roman"/>
      <w:szCs w:val="24"/>
    </w:rPr>
  </w:style>
  <w:style w:type="paragraph" w:styleId="1333">
    <w:name w:val="表蕊"/>
    <w:basedOn w:val="1033"/>
    <w:next w:val="1333"/>
    <w:link w:val="1033"/>
    <w:pPr>
      <w:jc w:val="left"/>
      <w:spacing w:line="320" w:lineRule="atLeast"/>
    </w:pPr>
    <w:rPr>
      <w:rFonts w:ascii="Times New Roman" w:hAnsi="Times New Roman" w:eastAsia="楷体_GB2312" w:cs="Times New Roman"/>
      <w:spacing w:val="-10"/>
    </w:rPr>
  </w:style>
  <w:style w:type="paragraph" w:styleId="1334">
    <w:name w:val="样式 段后: 0.25 行"/>
    <w:basedOn w:val="1033"/>
    <w:next w:val="1334"/>
    <w:link w:val="1033"/>
    <w:pPr>
      <w:ind w:firstLine="420"/>
      <w:jc w:val="left"/>
      <w:spacing w:after="78" w:line="300" w:lineRule="auto"/>
      <w:widowControl/>
    </w:pPr>
    <w:rPr>
      <w:rFonts w:ascii="Arial" w:hAnsi="Arial" w:eastAsia="宋体" w:cs="宋体"/>
      <w:sz w:val="22"/>
      <w:lang w:eastAsia="en-US" w:bidi="en-US"/>
    </w:rPr>
  </w:style>
  <w:style w:type="paragraph" w:styleId="1335">
    <w:name w:val="xl35"/>
    <w:basedOn w:val="1033"/>
    <w:next w:val="1335"/>
    <w:link w:val="10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336">
    <w:name w:val="Char Char1 Char Char Char Char Char Char Char"/>
    <w:basedOn w:val="1033"/>
    <w:next w:val="1336"/>
    <w:link w:val="1033"/>
    <w:rPr>
      <w:rFonts w:ascii="Tahoma" w:hAnsi="Tahoma" w:eastAsia="宋体" w:cs="Tahoma"/>
      <w:sz w:val="24"/>
    </w:rPr>
  </w:style>
  <w:style w:type="paragraph" w:styleId="1337">
    <w:name w:val="00-合正"/>
    <w:basedOn w:val="1033"/>
    <w:next w:val="1337"/>
    <w:link w:val="1033"/>
    <w:pPr>
      <w:ind w:firstLine="200"/>
      <w:jc w:val="left"/>
      <w:spacing w:line="560" w:lineRule="exact"/>
    </w:pPr>
    <w:rPr>
      <w:rFonts w:ascii="楷体" w:hAnsi="楷体" w:eastAsia="楷体" w:cs="Times New Roman"/>
      <w:color w:val="000000"/>
      <w:sz w:val="28"/>
      <w:szCs w:val="24"/>
    </w:rPr>
  </w:style>
  <w:style w:type="paragraph" w:styleId="1338">
    <w:name w:val="xl48"/>
    <w:basedOn w:val="1033"/>
    <w:next w:val="1338"/>
    <w:link w:val="1033"/>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339">
    <w:name w:val="xl47"/>
    <w:basedOn w:val="1033"/>
    <w:next w:val="1339"/>
    <w:link w:val="103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40">
    <w:name w:val="Char Char Char Char Char Char Char Char Char Char Char1 Char Char Char1"/>
    <w:basedOn w:val="1033"/>
    <w:next w:val="1340"/>
    <w:link w:val="1033"/>
    <w:pPr>
      <w:ind w:firstLine="200"/>
      <w:jc w:val="left"/>
    </w:pPr>
    <w:rPr>
      <w:rFonts w:ascii="Tahoma" w:hAnsi="Tahoma" w:eastAsia="宋体" w:cs="Times New Roman"/>
      <w:sz w:val="24"/>
      <w:szCs w:val="24"/>
    </w:rPr>
  </w:style>
  <w:style w:type="paragraph" w:styleId="1341">
    <w:name w:val="一级标题"/>
    <w:basedOn w:val="1033"/>
    <w:next w:val="1341"/>
    <w:link w:val="1033"/>
    <w:pPr>
      <w:ind w:left="900" w:hanging="420"/>
      <w:spacing w:line="360" w:lineRule="auto"/>
      <w:tabs>
        <w:tab w:val="left" w:pos="903" w:leader="none"/>
      </w:tabs>
    </w:pPr>
    <w:rPr>
      <w:rFonts w:ascii="Arial" w:hAnsi="Arial" w:eastAsia="宋体" w:cs="Arial"/>
      <w:sz w:val="24"/>
    </w:rPr>
  </w:style>
  <w:style w:type="paragraph" w:styleId="1342">
    <w:name w:val="Char Char Char Char Char Char Char Char Char Char Char Char Char Char Char Char Char Char Char Char Char"/>
    <w:basedOn w:val="1033"/>
    <w:next w:val="1342"/>
    <w:link w:val="1033"/>
    <w:rPr>
      <w:rFonts w:ascii="Tahoma" w:hAnsi="Tahoma" w:eastAsia="宋体" w:cs="Tahoma"/>
      <w:sz w:val="24"/>
    </w:rPr>
  </w:style>
  <w:style w:type="paragraph" w:styleId="1343">
    <w:name w:val="xl38"/>
    <w:basedOn w:val="1033"/>
    <w:next w:val="1343"/>
    <w:link w:val="10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44">
    <w:name w:val="xl40"/>
    <w:basedOn w:val="1033"/>
    <w:next w:val="1344"/>
    <w:link w:val="10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45">
    <w:name w:val="普通正文"/>
    <w:basedOn w:val="1033"/>
    <w:next w:val="1345"/>
    <w:link w:val="1033"/>
    <w:pPr>
      <w:ind w:firstLine="480"/>
      <w:jc w:val="left"/>
    </w:pPr>
    <w:rPr>
      <w:rFonts w:ascii="Arial" w:hAnsi="Arial" w:eastAsia="宋体" w:cs="Times New Roman"/>
      <w:sz w:val="24"/>
      <w:szCs w:val="24"/>
    </w:rPr>
  </w:style>
  <w:style w:type="paragraph" w:styleId="1346">
    <w:name w:val="Char Char Char Char Char Char Char Char Char Char Char Char Char Char"/>
    <w:basedOn w:val="1033"/>
    <w:next w:val="1346"/>
    <w:link w:val="1033"/>
    <w:rPr>
      <w:rFonts w:ascii="Tahoma" w:hAnsi="Tahoma" w:eastAsia="宋体" w:cs="Tahoma"/>
      <w:sz w:val="24"/>
    </w:rPr>
  </w:style>
  <w:style w:type="paragraph" w:styleId="1347">
    <w:name w:val="标题6"/>
    <w:basedOn w:val="1038"/>
    <w:next w:val="1347"/>
    <w:link w:val="1033"/>
    <w:pPr>
      <w:numPr>
        <w:ilvl w:val="0"/>
        <w:numId w:val="3"/>
      </w:numPr>
      <w:keepLines/>
      <w:tabs>
        <w:tab w:val="left" w:pos="420" w:leader="none"/>
      </w:tabs>
    </w:pPr>
    <w:rPr>
      <w:rFonts w:ascii="Times New Roman" w:hAnsi="Times New Roman" w:eastAsia="宋体" w:cs="Times New Roman"/>
      <w:b w:val="0"/>
      <w:bCs/>
      <w:color w:val="000000"/>
      <w:sz w:val="24"/>
      <w:szCs w:val="28"/>
    </w:rPr>
  </w:style>
  <w:style w:type="paragraph" w:styleId="1348">
    <w:name w:val="符号与编号 Char Char"/>
    <w:basedOn w:val="1033"/>
    <w:next w:val="1348"/>
    <w:link w:val="1033"/>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349">
    <w:name w:val="公文正文"/>
    <w:basedOn w:val="1070"/>
    <w:next w:val="1349"/>
    <w:link w:val="1033"/>
    <w:pPr>
      <w:ind w:firstLine="200"/>
    </w:pPr>
    <w:rPr>
      <w:rFonts w:ascii="仿宋_GB2312" w:hAnsi="宋体" w:eastAsia="仿宋_GB2312" w:cs="Times New Roman"/>
      <w:sz w:val="28"/>
      <w:szCs w:val="24"/>
    </w:rPr>
  </w:style>
  <w:style w:type="paragraph" w:styleId="1350">
    <w:name w:val="Pa6"/>
    <w:basedOn w:val="1033"/>
    <w:next w:val="1033"/>
    <w:link w:val="1033"/>
    <w:pPr>
      <w:jc w:val="left"/>
      <w:spacing w:line="241" w:lineRule="atLeast"/>
    </w:pPr>
    <w:rPr>
      <w:rFonts w:ascii="汉仪大黑简" w:hAnsi="Times New Roman" w:eastAsia="汉仪大黑简" w:cs="Times New Roman"/>
      <w:sz w:val="24"/>
      <w:szCs w:val="24"/>
    </w:rPr>
  </w:style>
  <w:style w:type="paragraph" w:styleId="1351">
    <w:name w:val="修订"/>
    <w:next w:val="1351"/>
    <w:link w:val="1033"/>
    <w:rPr>
      <w:sz w:val="21"/>
      <w:szCs w:val="24"/>
      <w:lang w:val="en-US" w:eastAsia="zh-CN" w:bidi="ar-SA"/>
    </w:rPr>
  </w:style>
  <w:style w:type="paragraph" w:styleId="1352">
    <w:name w:val="标准文本"/>
    <w:basedOn w:val="1033"/>
    <w:next w:val="1352"/>
    <w:link w:val="1033"/>
    <w:pPr>
      <w:ind w:firstLine="480"/>
      <w:spacing w:line="360" w:lineRule="auto"/>
    </w:pPr>
    <w:rPr>
      <w:rFonts w:ascii="Times New Roman" w:hAnsi="Times New Roman" w:eastAsia="宋体" w:cs="宋体"/>
      <w:sz w:val="24"/>
      <w:szCs w:val="24"/>
    </w:rPr>
  </w:style>
  <w:style w:type="paragraph" w:styleId="1353">
    <w:name w:val="公文标题 2"/>
    <w:basedOn w:val="1033"/>
    <w:next w:val="1349"/>
    <w:link w:val="1033"/>
    <w:pPr>
      <w:outlineLvl w:val="1"/>
    </w:pPr>
    <w:rPr>
      <w:rFonts w:ascii="仿宋_GB2312" w:hAnsi="宋体" w:eastAsia="仿宋_GB2312" w:cs="Times New Roman"/>
      <w:sz w:val="28"/>
      <w:szCs w:val="24"/>
    </w:rPr>
  </w:style>
  <w:style w:type="paragraph" w:styleId="1354">
    <w:name w:val="font12"/>
    <w:basedOn w:val="1033"/>
    <w:next w:val="1354"/>
    <w:link w:val="1033"/>
    <w:pPr>
      <w:jc w:val="left"/>
      <w:spacing w:before="100" w:beforeAutospacing="1" w:after="100" w:afterAutospacing="1"/>
      <w:widowControl/>
    </w:pPr>
    <w:rPr>
      <w:rFonts w:ascii="宋体" w:hAnsi="宋体" w:eastAsia="宋体" w:cs="宋体"/>
      <w:sz w:val="36"/>
      <w:szCs w:val="36"/>
    </w:rPr>
  </w:style>
  <w:style w:type="paragraph" w:styleId="1355">
    <w:name w:val="正文 + Arial Char"/>
    <w:basedOn w:val="1033"/>
    <w:next w:val="1355"/>
    <w:link w:val="1033"/>
    <w:pPr>
      <w:ind w:left="315" w:hanging="315"/>
      <w:spacing w:line="300" w:lineRule="auto"/>
      <w:widowControl/>
      <w:tabs>
        <w:tab w:val="left" w:pos="315" w:leader="none"/>
      </w:tabs>
    </w:pPr>
    <w:rPr>
      <w:rFonts w:ascii="Arial" w:hAnsi="Arial" w:eastAsia="宋体" w:cs="Arial"/>
      <w:b/>
      <w:color w:val="000000"/>
    </w:rPr>
  </w:style>
  <w:style w:type="paragraph" w:styleId="1356">
    <w:name w:val="我的正文"/>
    <w:basedOn w:val="1033"/>
    <w:next w:val="1356"/>
    <w:link w:val="1033"/>
    <w:pPr>
      <w:ind w:firstLine="420"/>
      <w:jc w:val="left"/>
      <w:spacing w:line="360" w:lineRule="auto"/>
      <w:widowControl/>
    </w:pPr>
    <w:rPr>
      <w:rFonts w:ascii="宋体" w:hAnsi="宋体" w:eastAsia="宋体" w:cs="宋体"/>
      <w:szCs w:val="21"/>
    </w:rPr>
  </w:style>
  <w:style w:type="paragraph" w:styleId="1357">
    <w:name w:val="xl24"/>
    <w:basedOn w:val="1033"/>
    <w:next w:val="1357"/>
    <w:link w:val="10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58">
    <w:name w:val="标题4，章节第四层"/>
    <w:basedOn w:val="1033"/>
    <w:next w:val="1033"/>
    <w:link w:val="1033"/>
    <w:pPr>
      <w:spacing w:line="360" w:lineRule="auto"/>
      <w:tabs>
        <w:tab w:val="left" w:pos="0" w:leader="none"/>
      </w:tabs>
      <w:outlineLvl w:val="3"/>
    </w:pPr>
    <w:rPr>
      <w:rFonts w:ascii="宋体" w:hAnsi="宋体" w:eastAsia="宋体" w:cs="Times New Roman"/>
      <w:b/>
      <w:sz w:val="24"/>
      <w:szCs w:val="24"/>
    </w:rPr>
  </w:style>
  <w:style w:type="paragraph" w:styleId="1359">
    <w:name w:val="font10"/>
    <w:basedOn w:val="1033"/>
    <w:next w:val="1359"/>
    <w:link w:val="1033"/>
    <w:pPr>
      <w:jc w:val="left"/>
      <w:spacing w:before="100" w:beforeAutospacing="1" w:after="100" w:afterAutospacing="1"/>
      <w:widowControl/>
    </w:pPr>
    <w:rPr>
      <w:rFonts w:ascii="楷体_GB2312" w:hAnsi="宋体" w:eastAsia="楷体_GB2312" w:cs="宋体"/>
      <w:b/>
      <w:bCs/>
      <w:sz w:val="18"/>
      <w:szCs w:val="18"/>
    </w:rPr>
  </w:style>
  <w:style w:type="paragraph" w:styleId="1360">
    <w:name w:val="样式 加点正文 + 段前: 0.5 行 段后: 0.5 行1"/>
    <w:basedOn w:val="1033"/>
    <w:next w:val="1360"/>
    <w:link w:val="1033"/>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361">
    <w:name w:val="xl42"/>
    <w:basedOn w:val="1033"/>
    <w:next w:val="1361"/>
    <w:link w:val="10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62">
    <w:name w:val="font5"/>
    <w:basedOn w:val="1033"/>
    <w:next w:val="1362"/>
    <w:link w:val="1033"/>
    <w:pPr>
      <w:jc w:val="left"/>
      <w:spacing w:before="100" w:beforeAutospacing="1" w:after="100" w:afterAutospacing="1"/>
      <w:widowControl/>
    </w:pPr>
    <w:rPr>
      <w:rFonts w:ascii="宋体" w:hAnsi="宋体" w:eastAsia="宋体" w:cs="宋体"/>
      <w:sz w:val="18"/>
      <w:szCs w:val="18"/>
    </w:rPr>
  </w:style>
  <w:style w:type="paragraph" w:styleId="1363">
    <w:name w:val="xl41"/>
    <w:basedOn w:val="1033"/>
    <w:next w:val="1363"/>
    <w:link w:val="10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64">
    <w:name w:val="p0"/>
    <w:basedOn w:val="1033"/>
    <w:next w:val="1364"/>
    <w:link w:val="1033"/>
    <w:pPr>
      <w:jc w:val="left"/>
      <w:spacing w:before="100" w:beforeAutospacing="1" w:after="100" w:afterAutospacing="1"/>
      <w:widowControl/>
    </w:pPr>
    <w:rPr>
      <w:rFonts w:ascii="宋体" w:hAnsi="宋体" w:eastAsia="宋体" w:cs="宋体"/>
      <w:sz w:val="24"/>
      <w:szCs w:val="24"/>
    </w:rPr>
  </w:style>
  <w:style w:type="paragraph" w:styleId="1365">
    <w:name w:val="xl52"/>
    <w:basedOn w:val="1033"/>
    <w:next w:val="1365"/>
    <w:link w:val="1033"/>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366">
    <w:name w:val="小四 段落 宋体 Char Char Char"/>
    <w:basedOn w:val="1059"/>
    <w:next w:val="1366"/>
    <w:link w:val="1033"/>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367">
    <w:name w:val="丁华标题2"/>
    <w:basedOn w:val="1035"/>
    <w:next w:val="1257"/>
    <w:link w:val="1033"/>
    <w:pPr>
      <w:numPr>
        <w:ilvl w:val="1"/>
        <w:numId w:val="1"/>
      </w:numPr>
      <w:spacing w:line="415" w:lineRule="auto"/>
      <w:tabs>
        <w:tab w:val="left" w:pos="1004" w:leader="none"/>
      </w:tabs>
    </w:pPr>
    <w:rPr>
      <w:rFonts w:ascii="Arial" w:hAnsi="Arial" w:eastAsia="黑体" w:cs="Times New Roman"/>
      <w:b w:val="0"/>
      <w:sz w:val="28"/>
      <w:szCs w:val="20"/>
    </w:rPr>
  </w:style>
  <w:style w:type="paragraph" w:styleId="1368">
    <w:name w:val="丁华标题3"/>
    <w:basedOn w:val="1367"/>
    <w:next w:val="1257"/>
    <w:link w:val="1033"/>
    <w:pPr>
      <w:numPr>
        <w:ilvl w:val="2"/>
        <w:numId w:val="1"/>
      </w:numPr>
      <w:ind w:left="1980" w:hanging="420"/>
      <w:spacing w:after="0"/>
      <w:tabs>
        <w:tab w:val="left" w:pos="1004" w:leader="none"/>
        <w:tab w:val="left" w:pos="1470" w:leader="none"/>
        <w:tab w:val="left" w:pos="1980" w:leader="none"/>
      </w:tabs>
      <w:outlineLvl w:val="2"/>
    </w:pPr>
    <w:rPr>
      <w:rFonts w:ascii="Times New Roman" w:hAnsi="Times New Roman" w:eastAsia="宋体" w:cs="Times New Roman"/>
      <w:sz w:val="24"/>
    </w:rPr>
  </w:style>
  <w:style w:type="paragraph" w:styleId="1369">
    <w:name w:val="Char Char"/>
    <w:basedOn w:val="1033"/>
    <w:next w:val="1369"/>
    <w:link w:val="1033"/>
    <w:rPr>
      <w:rFonts w:ascii="Tahoma" w:hAnsi="Tahoma" w:eastAsia="宋体" w:cs="Tahoma"/>
      <w:sz w:val="24"/>
    </w:rPr>
  </w:style>
  <w:style w:type="paragraph" w:styleId="1370">
    <w:name w:val="Char Char Char Char Char Char Char"/>
    <w:basedOn w:val="1033"/>
    <w:next w:val="1370"/>
    <w:link w:val="1033"/>
    <w:pPr>
      <w:jc w:val="left"/>
    </w:pPr>
    <w:rPr>
      <w:rFonts w:ascii="Tahoma" w:hAnsi="Tahoma" w:eastAsia="宋体" w:cs="Times New Roman"/>
      <w:sz w:val="24"/>
    </w:rPr>
  </w:style>
  <w:style w:type="paragraph" w:styleId="1371">
    <w:name w:val=" Char Char Char Char Char Char Char Char Char Char Char Char Char Char Char Char Char Char Char Char Char"/>
    <w:basedOn w:val="1033"/>
    <w:next w:val="1371"/>
    <w:link w:val="1033"/>
    <w:rPr>
      <w:rFonts w:ascii="Tahoma" w:hAnsi="Tahoma" w:eastAsia="宋体" w:cs="Times New Roman"/>
      <w:sz w:val="24"/>
    </w:rPr>
  </w:style>
  <w:style w:type="paragraph" w:styleId="1372">
    <w:name w:val="小四 段落 宋体"/>
    <w:basedOn w:val="1059"/>
    <w:next w:val="1372"/>
    <w:link w:val="1033"/>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373">
    <w:name w:val="正文2"/>
    <w:basedOn w:val="1033"/>
    <w:next w:val="1373"/>
    <w:link w:val="1033"/>
    <w:pPr>
      <w:ind w:firstLine="510"/>
      <w:spacing w:before="156" w:line="360" w:lineRule="auto"/>
    </w:pPr>
    <w:rPr>
      <w:rFonts w:ascii="Times New Roman" w:hAnsi="Times New Roman" w:eastAsia="宋体" w:cs="Times New Roman"/>
      <w:sz w:val="24"/>
    </w:rPr>
  </w:style>
  <w:style w:type="paragraph" w:styleId="1374">
    <w:name w:val="插图"/>
    <w:basedOn w:val="1033"/>
    <w:next w:val="1374"/>
    <w:link w:val="1033"/>
    <w:pPr>
      <w:jc w:val="center"/>
      <w:tabs>
        <w:tab w:val="left" w:pos="1620" w:leader="none"/>
      </w:tabs>
    </w:pPr>
    <w:rPr>
      <w:rFonts w:ascii="Times New Roman" w:hAnsi="Times New Roman" w:eastAsia="宋体" w:cs="Times New Roman"/>
      <w:bCs/>
      <w:color w:val="000000"/>
      <w:szCs w:val="22"/>
    </w:rPr>
  </w:style>
  <w:style w:type="paragraph" w:styleId="1375">
    <w:name w:val="Char1"/>
    <w:basedOn w:val="1033"/>
    <w:next w:val="1375"/>
    <w:link w:val="1033"/>
    <w:rPr>
      <w:rFonts w:ascii="仿宋_GB2312" w:hAnsi="宋体" w:eastAsia="仿宋_GB2312" w:cs="宋体"/>
      <w:b/>
      <w:sz w:val="32"/>
      <w:szCs w:val="32"/>
    </w:rPr>
  </w:style>
  <w:style w:type="paragraph" w:styleId="1376">
    <w:name w:val=" Char Char Char Char Char"/>
    <w:basedOn w:val="1033"/>
    <w:next w:val="1376"/>
    <w:link w:val="1033"/>
    <w:rPr>
      <w:rFonts w:ascii="Tahoma" w:hAnsi="Tahoma" w:eastAsia="宋体" w:cs="Times New Roman"/>
      <w:sz w:val="24"/>
    </w:rPr>
  </w:style>
  <w:style w:type="paragraph" w:styleId="1377">
    <w:name w:val="zw"/>
    <w:basedOn w:val="1033"/>
    <w:next w:val="1377"/>
    <w:link w:val="1033"/>
    <w:pPr>
      <w:ind w:firstLine="480"/>
      <w:jc w:val="left"/>
      <w:spacing w:line="360" w:lineRule="auto"/>
      <w:widowControl/>
    </w:pPr>
    <w:rPr>
      <w:rFonts w:ascii="宋体" w:hAnsi="宋体" w:eastAsia="宋体" w:cs="Times New Roman"/>
      <w:bCs/>
      <w:sz w:val="24"/>
    </w:rPr>
  </w:style>
  <w:style w:type="paragraph" w:styleId="1378">
    <w:name w:val="xl56"/>
    <w:basedOn w:val="1033"/>
    <w:next w:val="1378"/>
    <w:link w:val="103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79">
    <w:name w:val="正文 New New New New New New New New New New New New New New"/>
    <w:next w:val="1379"/>
    <w:link w:val="1033"/>
    <w:pPr>
      <w:jc w:val="both"/>
      <w:widowControl w:val="off"/>
    </w:pPr>
    <w:rPr>
      <w:rFonts w:hint="eastAsia"/>
      <w:sz w:val="21"/>
      <w:lang w:val="en-US" w:eastAsia="zh-CN" w:bidi="ar-SA"/>
    </w:rPr>
  </w:style>
  <w:style w:type="paragraph" w:styleId="1380">
    <w:name w:val="xl50"/>
    <w:basedOn w:val="1033"/>
    <w:next w:val="1380"/>
    <w:link w:val="1033"/>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81">
    <w:name w:val="Char Char Char Char"/>
    <w:basedOn w:val="1061"/>
    <w:next w:val="1381"/>
    <w:link w:val="1033"/>
    <w:pPr>
      <w:spacing w:line="360" w:lineRule="auto"/>
    </w:pPr>
    <w:rPr>
      <w:rFonts w:ascii="Tahoma" w:hAnsi="Tahoma" w:eastAsia="宋体" w:cs="Times New Roman"/>
      <w:sz w:val="24"/>
      <w:szCs w:val="24"/>
    </w:rPr>
  </w:style>
  <w:style w:type="paragraph" w:styleId="1382">
    <w:name w:val="样式 样式 首行缩进:  2 字符 + 行距: 1.5 倍行距"/>
    <w:basedOn w:val="1033"/>
    <w:next w:val="1382"/>
    <w:link w:val="1033"/>
    <w:pPr>
      <w:ind w:firstLine="470"/>
      <w:spacing w:line="360" w:lineRule="auto"/>
    </w:pPr>
    <w:rPr>
      <w:rFonts w:ascii="Times New Roman" w:hAnsi="Times New Roman" w:eastAsia="宋体" w:cs="Times New Roman"/>
      <w:sz w:val="24"/>
    </w:rPr>
  </w:style>
  <w:style w:type="paragraph" w:styleId="1383">
    <w:name w:val="标题1，章节第一层"/>
    <w:basedOn w:val="1282"/>
    <w:next w:val="1282"/>
    <w:link w:val="1033"/>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384">
    <w:name w:val="标题3"/>
    <w:basedOn w:val="1036"/>
    <w:next w:val="1384"/>
    <w:link w:val="1033"/>
    <w:pPr>
      <w:keepLines w:val="0"/>
      <w:keepNext w:val="0"/>
      <w:spacing w:before="0" w:after="0" w:line="360" w:lineRule="auto"/>
    </w:pPr>
    <w:rPr>
      <w:rFonts w:ascii="Times New Roman" w:hAnsi="Times New Roman" w:eastAsia="仿宋_GB2312" w:cs="Times New Roman"/>
      <w:b w:val="0"/>
      <w:bCs/>
      <w:sz w:val="30"/>
      <w:szCs w:val="32"/>
    </w:rPr>
  </w:style>
  <w:style w:type="paragraph" w:styleId="1385">
    <w:name w:val="font9"/>
    <w:basedOn w:val="1033"/>
    <w:next w:val="1385"/>
    <w:link w:val="1033"/>
    <w:pPr>
      <w:jc w:val="left"/>
      <w:spacing w:before="100" w:beforeAutospacing="1" w:after="100" w:afterAutospacing="1"/>
      <w:widowControl/>
    </w:pPr>
    <w:rPr>
      <w:rFonts w:ascii="Times New Roman" w:hAnsi="Times New Roman" w:eastAsia="宋体" w:cs="Times New Roman"/>
      <w:b/>
      <w:bCs/>
      <w:sz w:val="20"/>
    </w:rPr>
  </w:style>
  <w:style w:type="paragraph" w:styleId="1386">
    <w:name w:val=" Char Char Char Char Char Char Char Char Char"/>
    <w:basedOn w:val="1033"/>
    <w:next w:val="1386"/>
    <w:link w:val="1033"/>
    <w:pPr>
      <w:ind w:left="360" w:hanging="360"/>
      <w:tabs>
        <w:tab w:val="left" w:pos="360" w:leader="none"/>
      </w:tabs>
    </w:pPr>
    <w:rPr>
      <w:rFonts w:ascii="Times New Roman" w:hAnsi="Times New Roman" w:eastAsia="宋体" w:cs="Times New Roman"/>
      <w:sz w:val="24"/>
      <w:szCs w:val="24"/>
    </w:rPr>
  </w:style>
  <w:style w:type="paragraph" w:styleId="1387">
    <w:name w:val="样式 段后: 0.5 行 左  0.75 字符"/>
    <w:basedOn w:val="1033"/>
    <w:next w:val="1387"/>
    <w:link w:val="1033"/>
    <w:pPr>
      <w:ind w:firstLine="420"/>
      <w:spacing w:line="360" w:lineRule="auto"/>
      <w:widowControl/>
    </w:pPr>
    <w:rPr>
      <w:rFonts w:ascii="Times New Roman" w:hAnsi="Arial" w:eastAsia="宋体" w:cs="Arial"/>
      <w:szCs w:val="21"/>
    </w:rPr>
  </w:style>
  <w:style w:type="paragraph" w:styleId="1388">
    <w:name w:val="font8"/>
    <w:basedOn w:val="1033"/>
    <w:next w:val="1388"/>
    <w:link w:val="1033"/>
    <w:pPr>
      <w:jc w:val="left"/>
      <w:spacing w:before="100" w:beforeAutospacing="1" w:after="100" w:afterAutospacing="1"/>
      <w:widowControl/>
    </w:pPr>
    <w:rPr>
      <w:rFonts w:ascii="宋体" w:hAnsi="宋体" w:eastAsia="宋体" w:cs="宋体"/>
      <w:b/>
      <w:bCs/>
      <w:i/>
      <w:iCs/>
      <w:sz w:val="20"/>
    </w:rPr>
  </w:style>
  <w:style w:type="paragraph" w:styleId="1389">
    <w:name w:val="标题 4宋体"/>
    <w:basedOn w:val="1037"/>
    <w:next w:val="1389"/>
    <w:link w:val="1033"/>
    <w:pPr>
      <w:jc w:val="left"/>
      <w:keepLines w:val="0"/>
      <w:spacing w:before="0" w:after="0" w:line="360" w:lineRule="auto"/>
    </w:pPr>
    <w:rPr>
      <w:rFonts w:ascii="宋体" w:hAnsi="宋体" w:eastAsia="宋体" w:cs="Times New Roman"/>
      <w:bCs/>
      <w:color w:val="000000"/>
      <w:sz w:val="24"/>
    </w:rPr>
  </w:style>
  <w:style w:type="paragraph" w:styleId="1390">
    <w:name w:val="小四 段落 宋体 Char Char"/>
    <w:basedOn w:val="1033"/>
    <w:next w:val="1390"/>
    <w:link w:val="1033"/>
    <w:pPr>
      <w:ind w:firstLine="480"/>
      <w:spacing w:line="360" w:lineRule="auto"/>
    </w:pPr>
    <w:rPr>
      <w:rFonts w:ascii="宋体" w:hAnsi="宋体" w:eastAsia="宋体" w:cs="Times New Roman"/>
      <w:sz w:val="24"/>
      <w:szCs w:val="24"/>
    </w:rPr>
  </w:style>
  <w:style w:type="paragraph" w:styleId="1391">
    <w:name w:val="纯文本1"/>
    <w:basedOn w:val="1033"/>
    <w:next w:val="1391"/>
    <w:link w:val="1033"/>
    <w:rPr>
      <w:rFonts w:ascii="宋体" w:hAnsi="宋体" w:eastAsia="楷体_GB2312" w:cs="宋体"/>
      <w:sz w:val="28"/>
    </w:rPr>
  </w:style>
  <w:style w:type="paragraph" w:styleId="1392">
    <w:name w:val="xl27"/>
    <w:basedOn w:val="1033"/>
    <w:next w:val="1392"/>
    <w:link w:val="10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93">
    <w:name w:val="标题5，章节第五层"/>
    <w:basedOn w:val="1033"/>
    <w:next w:val="1033"/>
    <w:link w:val="1033"/>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394">
    <w:name w:val="content_lineheight"/>
    <w:basedOn w:val="1033"/>
    <w:next w:val="1394"/>
    <w:link w:val="1033"/>
    <w:pPr>
      <w:jc w:val="left"/>
      <w:spacing w:before="100" w:beforeAutospacing="1" w:after="100" w:afterAutospacing="1"/>
      <w:widowControl/>
    </w:pPr>
    <w:rPr>
      <w:rFonts w:ascii="宋体" w:hAnsi="宋体" w:eastAsia="宋体" w:cs="Times New Roman"/>
      <w:sz w:val="24"/>
      <w:szCs w:val="24"/>
    </w:rPr>
  </w:style>
  <w:style w:type="paragraph" w:styleId="1395">
    <w:name w:val="Pa5"/>
    <w:basedOn w:val="1033"/>
    <w:next w:val="1033"/>
    <w:link w:val="1033"/>
    <w:pPr>
      <w:jc w:val="left"/>
      <w:spacing w:line="241" w:lineRule="atLeast"/>
    </w:pPr>
    <w:rPr>
      <w:rFonts w:ascii="汉仪大黑简" w:hAnsi="Times New Roman" w:eastAsia="汉仪大黑简" w:cs="Times New Roman"/>
      <w:sz w:val="24"/>
      <w:szCs w:val="24"/>
    </w:rPr>
  </w:style>
  <w:style w:type="paragraph" w:styleId="1396">
    <w:name w:val="xl63"/>
    <w:basedOn w:val="1033"/>
    <w:next w:val="1396"/>
    <w:link w:val="1033"/>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397">
    <w:name w:val="小四 段落 宋体 Char Char Char Char"/>
    <w:basedOn w:val="1033"/>
    <w:next w:val="1397"/>
    <w:link w:val="1033"/>
    <w:pPr>
      <w:ind w:right="-33" w:firstLine="480"/>
      <w:jc w:val="left"/>
      <w:spacing w:line="360" w:lineRule="auto"/>
    </w:pPr>
    <w:rPr>
      <w:rFonts w:ascii="Times New Roman" w:hAnsi="Times New Roman" w:eastAsia="宋体" w:cs="Times New Roman"/>
      <w:sz w:val="24"/>
      <w:szCs w:val="24"/>
    </w:rPr>
  </w:style>
  <w:style w:type="paragraph" w:styleId="1398">
    <w:name w:val="列出段落2"/>
    <w:basedOn w:val="1033"/>
    <w:next w:val="1398"/>
    <w:link w:val="1033"/>
    <w:pPr>
      <w:ind w:left="720"/>
      <w:jc w:val="left"/>
      <w:widowControl/>
    </w:pPr>
    <w:rPr>
      <w:rFonts w:ascii="Arial" w:hAnsi="Arial" w:eastAsia="黑体" w:cs="Arial"/>
      <w:sz w:val="24"/>
      <w:szCs w:val="24"/>
      <w:lang w:eastAsia="en-US"/>
    </w:rPr>
  </w:style>
  <w:style w:type="paragraph" w:styleId="1399">
    <w:name w:val="标题2，章节第二层"/>
    <w:basedOn w:val="1033"/>
    <w:next w:val="1282"/>
    <w:link w:val="1033"/>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cs="Times New Roman"/>
      <w:sz w:val="32"/>
      <w:szCs w:val="24"/>
    </w:rPr>
  </w:style>
  <w:style w:type="paragraph" w:styleId="1400">
    <w:name w:val="Test2"/>
    <w:basedOn w:val="1035"/>
    <w:next w:val="1400"/>
    <w:link w:val="1033"/>
    <w:pPr>
      <w:jc w:val="center"/>
      <w:spacing w:before="156" w:after="156" w:line="480" w:lineRule="exact"/>
      <w:widowControl/>
    </w:pPr>
    <w:rPr>
      <w:rFonts w:ascii="黑体" w:hAnsi="Arial" w:eastAsia="黑体" w:cs="Times New Roman"/>
      <w:bCs/>
      <w:sz w:val="24"/>
    </w:rPr>
  </w:style>
  <w:style w:type="paragraph" w:styleId="1401">
    <w:name w:val="样式 样式 标题 3H3sect1.2.3BOD 0Heading 3 - oldh3l3CTLevel 3 Head... +..."/>
    <w:basedOn w:val="1033"/>
    <w:next w:val="1401"/>
    <w:link w:val="1033"/>
    <w:pPr>
      <w:jc w:val="left"/>
      <w:keepLines/>
      <w:keepNext/>
      <w:spacing w:before="156" w:after="156"/>
      <w:outlineLvl w:val="2"/>
    </w:pPr>
    <w:rPr>
      <w:rFonts w:ascii="Times New Roman" w:hAnsi="Times New Roman" w:eastAsia="宋体" w:cs="宋体"/>
      <w:b/>
      <w:bCs/>
      <w:sz w:val="24"/>
    </w:rPr>
  </w:style>
  <w:style w:type="paragraph" w:styleId="1402">
    <w:name w:val="Char Char Char Char Char Char Char1 Char"/>
    <w:basedOn w:val="1033"/>
    <w:next w:val="1402"/>
    <w:link w:val="1033"/>
    <w:rPr>
      <w:rFonts w:ascii="Tahoma" w:hAnsi="Tahoma" w:eastAsia="宋体" w:cs="Tahoma"/>
      <w:sz w:val="24"/>
    </w:rPr>
  </w:style>
  <w:style w:type="paragraph" w:styleId="1403">
    <w:name w:val="xl51"/>
    <w:basedOn w:val="1033"/>
    <w:next w:val="1403"/>
    <w:link w:val="103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404">
    <w:name w:val="qw"/>
    <w:next w:val="1404"/>
    <w:link w:val="1033"/>
    <w:pPr>
      <w:jc w:val="both"/>
      <w:spacing w:line="312" w:lineRule="atLeast"/>
      <w:widowControl w:val="off"/>
    </w:pPr>
    <w:rPr>
      <w:rFonts w:ascii="宋体"/>
      <w:sz w:val="24"/>
      <w:lang w:val="en-US" w:eastAsia="zh-CN" w:bidi="ar-SA"/>
    </w:rPr>
  </w:style>
  <w:style w:type="paragraph" w:styleId="1405">
    <w:name w:val="xl26"/>
    <w:basedOn w:val="1033"/>
    <w:next w:val="1405"/>
    <w:link w:val="10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406">
    <w:name w:val="1"/>
    <w:basedOn w:val="1033"/>
    <w:next w:val="1104"/>
    <w:link w:val="1033"/>
    <w:pPr>
      <w:spacing w:line="360" w:lineRule="auto"/>
    </w:pPr>
    <w:rPr>
      <w:rFonts w:ascii="Times New Roman" w:hAnsi="Times New Roman" w:eastAsia="仿宋_GB2312" w:cs="Times New Roman"/>
      <w:sz w:val="24"/>
      <w:szCs w:val="24"/>
    </w:rPr>
  </w:style>
  <w:style w:type="paragraph" w:styleId="1407">
    <w:name w:val=" Char"/>
    <w:basedOn w:val="1033"/>
    <w:next w:val="1407"/>
    <w:link w:val="1033"/>
    <w:pPr>
      <w:spacing w:after="156" w:line="360" w:lineRule="auto"/>
    </w:pPr>
    <w:rPr>
      <w:rFonts w:ascii="Tahoma" w:hAnsi="Tahoma" w:eastAsia="宋体" w:cs="Times New Roman"/>
      <w:sz w:val="24"/>
    </w:rPr>
  </w:style>
  <w:style w:type="paragraph" w:styleId="1408">
    <w:name w:val="Body Text 21"/>
    <w:basedOn w:val="1033"/>
    <w:next w:val="1408"/>
    <w:link w:val="1033"/>
    <w:pPr>
      <w:ind w:left="720" w:hanging="720"/>
      <w:widowControl/>
    </w:pPr>
    <w:rPr>
      <w:rFonts w:ascii="Times New Roman" w:hAnsi="Times New Roman" w:eastAsia="宋体" w:cs="Times New Roman"/>
      <w:sz w:val="24"/>
      <w:lang w:val="en-GB"/>
    </w:rPr>
  </w:style>
  <w:style w:type="paragraph" w:styleId="1409">
    <w:name w:val="大标题"/>
    <w:basedOn w:val="1033"/>
    <w:next w:val="1033"/>
    <w:link w:val="1033"/>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410">
    <w:name w:val="xl43"/>
    <w:basedOn w:val="1033"/>
    <w:next w:val="1410"/>
    <w:link w:val="103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411">
    <w:name w:val="font6"/>
    <w:basedOn w:val="1033"/>
    <w:next w:val="1411"/>
    <w:link w:val="1033"/>
    <w:pPr>
      <w:jc w:val="left"/>
      <w:spacing w:before="100" w:beforeAutospacing="1" w:after="100" w:afterAutospacing="1"/>
      <w:widowControl/>
    </w:pPr>
    <w:rPr>
      <w:rFonts w:ascii="宋体" w:hAnsi="宋体" w:eastAsia="宋体" w:cs="宋体"/>
      <w:b/>
      <w:bCs/>
      <w:sz w:val="20"/>
    </w:rPr>
  </w:style>
  <w:style w:type="paragraph" w:styleId="1412">
    <w:name w:val="Char Char1 Char"/>
    <w:basedOn w:val="1033"/>
    <w:next w:val="1412"/>
    <w:link w:val="1033"/>
    <w:pPr>
      <w:jc w:val="left"/>
      <w:spacing w:after="160" w:line="240" w:lineRule="exact"/>
      <w:widowControl/>
    </w:pPr>
    <w:rPr>
      <w:rFonts w:ascii="Verdana" w:hAnsi="Verdana" w:eastAsia="宋体" w:cs="Times New Roman"/>
      <w:sz w:val="20"/>
      <w:lang w:eastAsia="en-US"/>
    </w:rPr>
  </w:style>
  <w:style w:type="paragraph" w:styleId="1413">
    <w:name w:val="Body Text 22"/>
    <w:basedOn w:val="1033"/>
    <w:next w:val="1413"/>
    <w:link w:val="1033"/>
    <w:pPr>
      <w:ind w:left="720" w:hanging="720"/>
      <w:widowControl/>
    </w:pPr>
    <w:rPr>
      <w:rFonts w:ascii="Times New Roman" w:hAnsi="Times New Roman" w:eastAsia="宋体" w:cs="Times New Roman"/>
      <w:sz w:val="24"/>
      <w:lang w:val="en-GB"/>
    </w:rPr>
  </w:style>
  <w:style w:type="paragraph" w:styleId="1414">
    <w:name w:val="xl54"/>
    <w:basedOn w:val="1033"/>
    <w:next w:val="1414"/>
    <w:link w:val="103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415">
    <w:name w:val="Item Step in Table"/>
    <w:next w:val="1415"/>
    <w:link w:val="1033"/>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416">
    <w:name w:val=" Char Char1 Char"/>
    <w:basedOn w:val="1033"/>
    <w:next w:val="1416"/>
    <w:link w:val="1033"/>
    <w:pPr>
      <w:jc w:val="left"/>
      <w:spacing w:after="160" w:line="240" w:lineRule="exact"/>
      <w:widowControl/>
    </w:pPr>
    <w:rPr>
      <w:rFonts w:ascii="Verdana" w:hAnsi="Verdana" w:eastAsia="宋体" w:cs="Times New Roman"/>
      <w:sz w:val="20"/>
      <w:lang w:eastAsia="en-US"/>
    </w:rPr>
  </w:style>
  <w:style w:type="paragraph" w:styleId="1417">
    <w:name w:val="部分1"/>
    <w:basedOn w:val="1033"/>
    <w:next w:val="1417"/>
    <w:link w:val="1033"/>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418">
    <w:name w:val="Item List Char Char"/>
    <w:next w:val="1418"/>
    <w:link w:val="1033"/>
    <w:pPr>
      <w:jc w:val="both"/>
      <w:spacing w:line="288" w:lineRule="auto"/>
    </w:pPr>
    <w:rPr>
      <w:rFonts w:ascii="Arial" w:hAnsi="Arial" w:cs="Arial"/>
      <w:b/>
      <w:bCs/>
      <w:sz w:val="21"/>
      <w:szCs w:val="28"/>
      <w:lang w:val="en-US" w:eastAsia="zh-CN" w:bidi="ar-SA"/>
    </w:rPr>
  </w:style>
  <w:style w:type="paragraph" w:styleId="1419">
    <w:name w:val="中等深浅网格 1 - 强调文字颜色 21"/>
    <w:basedOn w:val="1033"/>
    <w:next w:val="1419"/>
    <w:link w:val="1033"/>
    <w:pPr>
      <w:ind w:firstLine="420"/>
    </w:pPr>
    <w:rPr>
      <w:rFonts w:ascii="Calibri" w:hAnsi="Calibri" w:eastAsia="宋体" w:cs="Times New Roman"/>
      <w:szCs w:val="22"/>
    </w:rPr>
  </w:style>
  <w:style w:type="paragraph" w:styleId="1420">
    <w:name w:val="Normal2"/>
    <w:basedOn w:val="1033"/>
    <w:next w:val="1420"/>
    <w:link w:val="1033"/>
    <w:rPr>
      <w:rFonts w:ascii="Calibri" w:hAnsi="Calibri" w:eastAsia="Calibri" w:cs="宋体"/>
      <w:lang w:val="zh-CN"/>
    </w:rPr>
  </w:style>
  <w:style w:type="paragraph" w:styleId="1421">
    <w:name w:val=" Char Char Char Char Char Char Char Char Char Char Char Char Char Char Char Char Char Char Char Char Char Char Char"/>
    <w:basedOn w:val="1033"/>
    <w:next w:val="1421"/>
    <w:link w:val="1033"/>
    <w:rPr>
      <w:rFonts w:ascii="Tahoma" w:hAnsi="Tahoma" w:eastAsia="宋体" w:cs="Times New Roman"/>
      <w:sz w:val="24"/>
    </w:rPr>
  </w:style>
  <w:style w:type="paragraph" w:styleId="1422">
    <w:name w:val="样式3"/>
    <w:basedOn w:val="1033"/>
    <w:next w:val="1033"/>
    <w:link w:val="1033"/>
    <w:pPr>
      <w:spacing w:line="360" w:lineRule="auto"/>
    </w:pPr>
    <w:rPr>
      <w:rFonts w:ascii="Times New Roman" w:hAnsi="Times New Roman" w:eastAsia="宋体" w:cs="Times New Roman"/>
    </w:rPr>
  </w:style>
  <w:style w:type="paragraph" w:styleId="1423">
    <w:name w:val="样式 标题 2第一章 标题 2Heading 2 HiddenHeading 2 CCBSheading 2H2h2..."/>
    <w:basedOn w:val="1035"/>
    <w:next w:val="1423"/>
    <w:link w:val="1033"/>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424">
    <w:name w:val="xl61"/>
    <w:basedOn w:val="1033"/>
    <w:next w:val="1424"/>
    <w:link w:val="1033"/>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425">
    <w:name w:val="xl53"/>
    <w:basedOn w:val="1033"/>
    <w:next w:val="1425"/>
    <w:link w:val="103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26">
    <w:name w:val="xl62"/>
    <w:basedOn w:val="1033"/>
    <w:next w:val="1426"/>
    <w:link w:val="103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27">
    <w:name w:val="条1"/>
    <w:basedOn w:val="1033"/>
    <w:next w:val="1427"/>
    <w:link w:val="1033"/>
    <w:pPr>
      <w:ind w:left="780" w:hanging="360"/>
      <w:spacing w:before="156" w:line="360" w:lineRule="auto"/>
      <w:tabs>
        <w:tab w:val="left" w:pos="780" w:leader="none"/>
      </w:tabs>
    </w:pPr>
    <w:rPr>
      <w:rFonts w:ascii="Times New Roman" w:hAnsi="Times New Roman" w:eastAsia="黑体" w:cs="Times New Roman"/>
      <w:sz w:val="24"/>
    </w:rPr>
  </w:style>
  <w:style w:type="paragraph" w:styleId="1428">
    <w:name w:val="样式4 Char"/>
    <w:basedOn w:val="1033"/>
    <w:next w:val="1428"/>
    <w:link w:val="1033"/>
    <w:pPr>
      <w:ind w:firstLine="480"/>
      <w:jc w:val="left"/>
      <w:spacing w:line="360" w:lineRule="auto"/>
      <w:widowControl/>
    </w:pPr>
    <w:rPr>
      <w:rFonts w:ascii="Times New Roman" w:hAnsi="Times New Roman" w:eastAsia="宋体" w:cs="宋体"/>
      <w:color w:val="000000"/>
      <w:sz w:val="24"/>
      <w:szCs w:val="24"/>
    </w:rPr>
  </w:style>
  <w:style w:type="paragraph" w:styleId="1429">
    <w:name w:val="Char Char Char Char Char Char"/>
    <w:basedOn w:val="1033"/>
    <w:next w:val="1429"/>
    <w:link w:val="1033"/>
    <w:rPr>
      <w:rFonts w:ascii="Tahoma" w:hAnsi="Tahoma" w:eastAsia="宋体" w:cs="Tahoma"/>
      <w:sz w:val="24"/>
    </w:rPr>
  </w:style>
  <w:style w:type="paragraph" w:styleId="1430">
    <w:name w:val="7"/>
    <w:basedOn w:val="1033"/>
    <w:next w:val="1107"/>
    <w:link w:val="1033"/>
    <w:pPr>
      <w:jc w:val="left"/>
      <w:spacing w:before="100" w:beforeAutospacing="1" w:after="100" w:afterAutospacing="1"/>
      <w:widowControl/>
    </w:pPr>
    <w:rPr>
      <w:rFonts w:ascii="宋体" w:hAnsi="宋体" w:eastAsia="宋体" w:cs="Times New Roman"/>
      <w:sz w:val="24"/>
    </w:rPr>
  </w:style>
  <w:style w:type="paragraph" w:styleId="1431">
    <w:name w:val="普通文字"/>
    <w:basedOn w:val="1033"/>
    <w:next w:val="1033"/>
    <w:link w:val="1033"/>
    <w:rPr>
      <w:rFonts w:ascii="宋体" w:hAnsi="宋体" w:eastAsia="宋体" w:cs="宋体"/>
      <w:sz w:val="24"/>
    </w:rPr>
  </w:style>
  <w:style w:type="paragraph" w:styleId="1432">
    <w:name w:val="Char1 Char Char Char"/>
    <w:basedOn w:val="1033"/>
    <w:next w:val="1432"/>
    <w:link w:val="1033"/>
    <w:rPr>
      <w:rFonts w:ascii="Tahoma" w:hAnsi="Tahoma" w:eastAsia="宋体" w:cs="Tahoma"/>
      <w:sz w:val="24"/>
    </w:rPr>
  </w:style>
  <w:style w:type="paragraph" w:styleId="1433">
    <w:name w:val="Char2 Char Char Char Char Char Char1"/>
    <w:basedOn w:val="1033"/>
    <w:next w:val="1433"/>
    <w:link w:val="1033"/>
    <w:pPr>
      <w:ind w:hanging="425"/>
      <w:keepNext/>
      <w:spacing w:before="80" w:after="80"/>
      <w:widowControl/>
      <w:tabs>
        <w:tab w:val="left" w:pos="425" w:leader="none"/>
      </w:tabs>
    </w:pPr>
    <w:rPr>
      <w:rFonts w:ascii="Arial" w:hAnsi="Arial" w:eastAsia="宋体" w:cs="Arial"/>
      <w:sz w:val="20"/>
    </w:rPr>
  </w:style>
  <w:style w:type="paragraph" w:styleId="1434">
    <w:name w:val="默认段落字体 Para Char Char Char Char Char Char Char"/>
    <w:basedOn w:val="1033"/>
    <w:next w:val="1434"/>
    <w:link w:val="1033"/>
    <w:rPr>
      <w:rFonts w:ascii="Times New Roman" w:hAnsi="Times New Roman" w:eastAsia="宋体" w:cs="Times New Roman"/>
    </w:rPr>
  </w:style>
  <w:style w:type="paragraph" w:styleId="1435">
    <w:name w:val="正文文本缩进1"/>
    <w:basedOn w:val="1033"/>
    <w:next w:val="1435"/>
    <w:link w:val="1033"/>
    <w:pPr>
      <w:ind w:left="420"/>
      <w:spacing w:after="120"/>
    </w:pPr>
    <w:rPr>
      <w:rFonts w:ascii="Times New Roman" w:hAnsi="Times New Roman" w:eastAsia="宋体" w:cs="Times New Roman"/>
      <w:szCs w:val="24"/>
    </w:rPr>
  </w:style>
  <w:style w:type="paragraph" w:styleId="1436">
    <w:name w:val="Table Text Char"/>
    <w:next w:val="1436"/>
    <w:link w:val="1033"/>
    <w:pPr>
      <w:spacing w:before="80" w:after="80"/>
    </w:pPr>
    <w:rPr>
      <w:rFonts w:ascii="Arial" w:hAnsi="Arial" w:cs="Arial"/>
      <w:sz w:val="18"/>
      <w:szCs w:val="28"/>
      <w:lang w:val="en-US" w:eastAsia="zh-CN" w:bidi="ar-SA"/>
    </w:rPr>
  </w:style>
  <w:style w:type="paragraph" w:styleId="1437">
    <w:name w:val="方案正文"/>
    <w:basedOn w:val="1033"/>
    <w:next w:val="1437"/>
    <w:link w:val="1033"/>
    <w:pPr>
      <w:ind w:firstLine="359"/>
      <w:jc w:val="left"/>
      <w:spacing w:before="156" w:line="360" w:lineRule="auto"/>
    </w:pPr>
    <w:rPr>
      <w:rFonts w:ascii="Arial" w:hAnsi="Arial" w:eastAsia="宋体" w:cs="宋体"/>
      <w:sz w:val="24"/>
      <w:szCs w:val="21"/>
    </w:rPr>
  </w:style>
  <w:style w:type="paragraph" w:styleId="1438">
    <w:name w:val="Char Char Char Char Char Char Char Char Char"/>
    <w:basedOn w:val="1033"/>
    <w:next w:val="1438"/>
    <w:link w:val="1033"/>
    <w:pPr>
      <w:ind w:left="200" w:hanging="200"/>
      <w:tabs>
        <w:tab w:val="left" w:pos="360" w:leader="none"/>
      </w:tabs>
    </w:pPr>
    <w:rPr>
      <w:rFonts w:ascii="Times New Roman" w:hAnsi="Times New Roman" w:eastAsia="宋体" w:cs="Times New Roman"/>
      <w:sz w:val="24"/>
      <w:szCs w:val="24"/>
    </w:rPr>
  </w:style>
  <w:style w:type="paragraph" w:styleId="1439">
    <w:name w:val="Char"/>
    <w:basedOn w:val="1033"/>
    <w:next w:val="1439"/>
    <w:link w:val="1033"/>
    <w:rPr>
      <w:rFonts w:ascii="Tahoma" w:hAnsi="Tahoma" w:eastAsia="宋体" w:cs="仿宋_GB2312"/>
      <w:sz w:val="24"/>
      <w:szCs w:val="28"/>
    </w:rPr>
  </w:style>
  <w:style w:type="paragraph" w:styleId="1440">
    <w:name w:val="标题3，章节第三层"/>
    <w:basedOn w:val="1033"/>
    <w:next w:val="1282"/>
    <w:link w:val="1033"/>
    <w:pPr>
      <w:spacing w:before="78" w:line="300" w:lineRule="auto"/>
      <w:outlineLvl w:val="2"/>
    </w:pPr>
    <w:rPr>
      <w:rFonts w:ascii="Arial" w:hAnsi="Arial" w:eastAsia="华文细黑" w:cs="Times New Roman"/>
      <w:sz w:val="30"/>
      <w:szCs w:val="24"/>
    </w:rPr>
  </w:style>
  <w:style w:type="paragraph" w:styleId="1441">
    <w:name w:val="表格文字"/>
    <w:basedOn w:val="1033"/>
    <w:next w:val="1441"/>
    <w:link w:val="1033"/>
    <w:pPr>
      <w:ind w:firstLine="200"/>
      <w:jc w:val="left"/>
      <w:spacing w:line="360" w:lineRule="auto"/>
    </w:pPr>
    <w:rPr>
      <w:rFonts w:ascii="Arial" w:hAnsi="Arial" w:eastAsia="宋体" w:cs="Times New Roman"/>
      <w:sz w:val="24"/>
    </w:rPr>
  </w:style>
  <w:style w:type="paragraph" w:styleId="1442">
    <w:name w:val="xl45"/>
    <w:basedOn w:val="1033"/>
    <w:next w:val="1442"/>
    <w:link w:val="1033"/>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443">
    <w:name w:val="正文 居中"/>
    <w:basedOn w:val="1033"/>
    <w:next w:val="1443"/>
    <w:link w:val="1033"/>
    <w:pPr>
      <w:jc w:val="center"/>
      <w:spacing w:line="360" w:lineRule="auto"/>
    </w:pPr>
    <w:rPr>
      <w:rFonts w:ascii="Times New Roman" w:hAnsi="Times New Roman" w:eastAsia="宋体" w:cs="Times New Roman"/>
      <w:sz w:val="24"/>
    </w:rPr>
  </w:style>
  <w:style w:type="paragraph" w:styleId="1444">
    <w:name w:val="表格"/>
    <w:basedOn w:val="1033"/>
    <w:next w:val="1444"/>
    <w:link w:val="1033"/>
    <w:pPr>
      <w:ind w:firstLine="21"/>
    </w:pPr>
    <w:rPr>
      <w:rFonts w:ascii="宋体" w:hAnsi="宋体" w:eastAsia="宋体" w:cs="宋体"/>
      <w:sz w:val="20"/>
    </w:rPr>
  </w:style>
  <w:style w:type="paragraph" w:styleId="1445">
    <w:name w:val="greytypebeni"/>
    <w:basedOn w:val="1033"/>
    <w:next w:val="1445"/>
    <w:link w:val="1033"/>
    <w:pPr>
      <w:jc w:val="left"/>
      <w:widowControl/>
    </w:pPr>
    <w:rPr>
      <w:rFonts w:ascii="宋体" w:hAnsi="宋体" w:eastAsia="宋体" w:cs="宋体"/>
      <w:sz w:val="24"/>
      <w:szCs w:val="24"/>
    </w:rPr>
  </w:style>
  <w:style w:type="paragraph" w:styleId="1446">
    <w:name w:val="flType"/>
    <w:basedOn w:val="1255"/>
    <w:next w:val="1446"/>
    <w:link w:val="1033"/>
    <w:pPr>
      <w:spacing w:after="284"/>
    </w:pPr>
    <w:rPr>
      <w:rFonts w:ascii="Times New Roman" w:hAnsi="Times New Roman" w:eastAsia="宋体" w:cs="Times New Roman"/>
      <w:b/>
    </w:rPr>
  </w:style>
  <w:style w:type="paragraph" w:styleId="1447">
    <w:name w:val="符号与编号"/>
    <w:basedOn w:val="1033"/>
    <w:next w:val="1447"/>
    <w:link w:val="1033"/>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448">
    <w:name w:val="xl33"/>
    <w:basedOn w:val="1033"/>
    <w:next w:val="1448"/>
    <w:link w:val="10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449">
    <w:name w:val="段 Char"/>
    <w:next w:val="1449"/>
    <w:link w:val="1033"/>
    <w:pPr>
      <w:ind w:firstLine="200"/>
      <w:jc w:val="both"/>
    </w:pPr>
    <w:rPr>
      <w:rFonts w:ascii="宋体"/>
      <w:sz w:val="21"/>
      <w:lang w:val="en-US" w:eastAsia="zh-CN" w:bidi="ar-SA"/>
    </w:rPr>
  </w:style>
  <w:style w:type="paragraph" w:styleId="1450">
    <w:name w:val="论文正文"/>
    <w:basedOn w:val="1081"/>
    <w:next w:val="1450"/>
    <w:link w:val="1033"/>
    <w:pPr>
      <w:ind w:left="0" w:firstLine="200"/>
      <w:jc w:val="left"/>
      <w:spacing w:line="360" w:lineRule="auto"/>
    </w:pPr>
    <w:rPr>
      <w:rFonts w:ascii="Times New Roman" w:hAnsi="Times New Roman" w:eastAsia="宋体" w:cs="Times New Roman"/>
      <w:sz w:val="28"/>
      <w:szCs w:val="24"/>
    </w:rPr>
  </w:style>
  <w:style w:type="paragraph" w:styleId="1451">
    <w:name w:val="默认段落字体 Para Char Char Char Char Char Char Char Char Char1 Char Char Char Char Char Char Char"/>
    <w:basedOn w:val="1061"/>
    <w:next w:val="1451"/>
    <w:link w:val="1033"/>
    <w:rPr>
      <w:rFonts w:ascii="Times New Roman" w:hAnsi="Times New Roman" w:eastAsia="宋体" w:cs="Times New Roman"/>
    </w:rPr>
  </w:style>
  <w:style w:type="paragraph" w:styleId="1452">
    <w:name w:val="二级条标题"/>
    <w:basedOn w:val="1033"/>
    <w:next w:val="1137"/>
    <w:link w:val="1033"/>
    <w:pPr>
      <w:ind w:hanging="420"/>
      <w:widowControl/>
      <w:tabs>
        <w:tab w:val="left" w:pos="2240" w:leader="none"/>
      </w:tabs>
      <w:outlineLvl w:val="3"/>
    </w:pPr>
    <w:rPr>
      <w:rFonts w:ascii="Times New Roman" w:hAnsi="Times New Roman" w:eastAsia="黑体" w:cs="Times New Roman"/>
    </w:rPr>
  </w:style>
  <w:style w:type="paragraph" w:styleId="1453">
    <w:name w:val="xl29"/>
    <w:basedOn w:val="1033"/>
    <w:next w:val="1453"/>
    <w:link w:val="10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454">
    <w:name w:val="TOC 71"/>
    <w:next w:val="1033"/>
    <w:link w:val="1033"/>
    <w:qFormat/>
    <w:pPr>
      <w:ind w:left="2550"/>
      <w:jc w:val="both"/>
    </w:pPr>
    <w:rPr>
      <w:sz w:val="21"/>
      <w:szCs w:val="22"/>
      <w:lang w:val="en-US" w:eastAsia="zh-CN" w:bidi="ar-SA"/>
    </w:rPr>
  </w:style>
  <w:style w:type="paragraph" w:styleId="1455">
    <w:name w:val="xl39"/>
    <w:basedOn w:val="1033"/>
    <w:next w:val="1455"/>
    <w:link w:val="10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56">
    <w:name w:val="A."/>
    <w:basedOn w:val="1033"/>
    <w:next w:val="1456"/>
    <w:link w:val="1033"/>
    <w:pPr>
      <w:ind w:left="5245" w:hanging="1985"/>
      <w:spacing w:before="240" w:line="240" w:lineRule="atLeast"/>
      <w:widowControl/>
      <w:tabs>
        <w:tab w:val="left" w:pos="680" w:leader="none"/>
        <w:tab w:val="left" w:pos="5245" w:leader="none"/>
      </w:tabs>
    </w:pPr>
    <w:rPr>
      <w:rFonts w:ascii="Times New Roman" w:hAnsi="Times New Roman" w:eastAsia="Times New Roman" w:cs="Times New Roman"/>
      <w:sz w:val="24"/>
    </w:rPr>
  </w:style>
  <w:style w:type="character" w:styleId="1457">
    <w:name w:val="font61"/>
    <w:next w:val="1457"/>
    <w:link w:val="1033"/>
    <w:rPr>
      <w:rFonts w:ascii="Times New Roman" w:hAnsi="Times New Roman" w:eastAsia="宋体" w:cs="Times New Roman"/>
      <w:color w:val="000000"/>
      <w:sz w:val="22"/>
      <w:szCs w:val="22"/>
      <w:u w:val="none"/>
    </w:rPr>
  </w:style>
  <w:style w:type="character" w:styleId="1458">
    <w:name w:val="font51"/>
    <w:next w:val="1458"/>
    <w:link w:val="1033"/>
    <w:rPr>
      <w:rFonts w:hint="eastAsia" w:ascii="宋体" w:hAnsi="宋体" w:eastAsia="宋体" w:cs="宋体"/>
      <w:color w:val="000000"/>
      <w:sz w:val="22"/>
      <w:szCs w:val="22"/>
      <w:u w:val="none"/>
      <w:vertAlign w:val="subscript"/>
    </w:rPr>
  </w:style>
  <w:style w:type="character" w:styleId="1459">
    <w:name w:val="font41"/>
    <w:next w:val="1459"/>
    <w:link w:val="1033"/>
    <w:rPr>
      <w:rFonts w:hint="eastAsia" w:ascii="宋体" w:hAnsi="宋体" w:eastAsia="宋体" w:cs="宋体"/>
      <w:color w:val="000000"/>
      <w:sz w:val="22"/>
      <w:szCs w:val="22"/>
      <w:u w:val="none"/>
    </w:rPr>
  </w:style>
  <w:style w:type="character" w:styleId="1460">
    <w:name w:val="font71"/>
    <w:next w:val="1460"/>
    <w:link w:val="1033"/>
    <w:rPr>
      <w:rFonts w:ascii="Times New Roman" w:hAnsi="Times New Roman" w:eastAsia="宋体" w:cs="Times New Roman"/>
      <w:color w:val="000000"/>
      <w:sz w:val="22"/>
      <w:szCs w:val="22"/>
      <w:u w:val="none"/>
    </w:rPr>
  </w:style>
  <w:style w:type="character" w:styleId="1461">
    <w:name w:val="font21"/>
    <w:next w:val="1461"/>
    <w:link w:val="1033"/>
    <w:rPr>
      <w:rFonts w:ascii="Times New Roman" w:hAnsi="Times New Roman" w:eastAsia="宋体" w:cs="Times New Roman"/>
      <w:color w:val="000000"/>
      <w:sz w:val="22"/>
      <w:szCs w:val="22"/>
      <w:u w:val="none"/>
      <w:vertAlign w:val="superscript"/>
    </w:rPr>
  </w:style>
  <w:style w:type="paragraph" w:styleId="1462">
    <w:name w:val="06列出段落"/>
    <w:basedOn w:val="1033"/>
    <w:next w:val="1274"/>
    <w:link w:val="1033"/>
    <w:pPr>
      <w:ind w:firstLine="420"/>
    </w:pPr>
    <w:rPr>
      <w:rFonts w:ascii="Calibri" w:hAnsi="Calibri" w:eastAsia="宋体" w:cs="Times New Roman"/>
    </w:rPr>
  </w:style>
  <w:style w:type="paragraph" w:styleId="1463">
    <w:name w:val="彩色列表 - 强调文字颜色 11"/>
    <w:basedOn w:val="1033"/>
    <w:next w:val="1463"/>
    <w:link w:val="1033"/>
    <w:qFormat/>
    <w:pPr>
      <w:contextualSpacing/>
      <w:ind w:left="720"/>
      <w:jc w:val="left"/>
      <w:spacing w:before="100" w:after="100" w:line="276" w:lineRule="auto"/>
      <w:widowControl/>
    </w:pPr>
    <w:rPr>
      <w:rFonts w:ascii="Arial" w:hAnsi="Arial" w:cs="Arial"/>
      <w:color w:val="0f0f0f"/>
      <w:sz w:val="20"/>
      <w:lang w:eastAsia="en-US"/>
    </w:rPr>
  </w:style>
  <w:style w:type="paragraph" w:styleId="1464">
    <w:name w:val="讲话正文"/>
    <w:basedOn w:val="1033"/>
    <w:next w:val="1464"/>
    <w:link w:val="1033"/>
    <w:qFormat/>
    <w:pPr>
      <w:ind w:firstLine="200"/>
      <w:spacing w:before="0" w:after="0"/>
    </w:pPr>
    <w:rPr>
      <w:rFonts w:ascii="仿宋" w:hAnsi="仿宋" w:eastAsia="仿宋"/>
      <w:sz w:val="32"/>
      <w:szCs w:val="32"/>
    </w:rPr>
  </w:style>
  <w:style w:type="paragraph" w:styleId="1465">
    <w:name w:val="首行缩进"/>
    <w:basedOn w:val="1033"/>
    <w:next w:val="1465"/>
    <w:link w:val="1033"/>
    <w:qFormat/>
    <w:pPr>
      <w:ind w:firstLine="480"/>
    </w:pPr>
    <w:rPr>
      <w:szCs w:val="20"/>
      <w:lang w:val="zh-CN"/>
    </w:rPr>
  </w:style>
  <w:style w:type="paragraph" w:styleId="1466">
    <w:name w:val="正文首行缩进 21"/>
    <w:basedOn w:val="1435"/>
    <w:next w:val="1466"/>
    <w:link w:val="1033"/>
    <w:qFormat/>
    <w:pPr>
      <w:ind w:firstLine="420"/>
    </w:pPr>
  </w:style>
  <w:style w:type="paragraph" w:styleId="1467">
    <w:name w:val="Table Text"/>
    <w:basedOn w:val="1033"/>
    <w:next w:val="1467"/>
    <w:link w:val="1033"/>
    <w:semiHidden/>
    <w:qFormat/>
    <w:rPr>
      <w:rFonts w:ascii="宋体" w:hAnsi="宋体" w:cs="宋体"/>
      <w:sz w:val="24"/>
    </w:rPr>
  </w:style>
  <w:style w:type="table" w:styleId="1468">
    <w:name w:val="Table Normal"/>
    <w:next w:val="1468"/>
    <w:link w:val="1033"/>
    <w:unhideWhenUsed/>
    <w:qFormat/>
    <w:rPr>
      <w:lang w:val="en-US" w:eastAsia="zh-CN" w:bidi="ar-SA"/>
    </w:rPr>
    <w:tblPr/>
  </w:style>
  <w:style w:type="paragraph" w:styleId="1469">
    <w:name w:val="一级目录"/>
    <w:next w:val="1033"/>
    <w:link w:val="1033"/>
    <w:uiPriority w:val="99"/>
    <w:qFormat/>
    <w:pPr>
      <w:jc w:val="center"/>
      <w:outlineLvl w:val="0"/>
    </w:pPr>
    <w:rPr>
      <w:rFonts w:ascii="黑体" w:eastAsia="黑体"/>
      <w:b/>
      <w:bCs/>
      <w:sz w:val="44"/>
      <w:szCs w:val="44"/>
      <w:lang w:val="en-US" w:eastAsia="zh-CN" w:bidi="ar-SA"/>
    </w:rPr>
  </w:style>
  <w:style w:type="paragraph" w:styleId="1470">
    <w:name w:val="MdHeading2"/>
    <w:next w:val="1470"/>
    <w:link w:val="1033"/>
    <w:qFormat/>
    <w:pPr>
      <w:keepNext/>
      <w:spacing w:before="400" w:after="200"/>
      <w:outlineLvl w:val="1"/>
    </w:pPr>
    <w:rPr>
      <w:rFonts w:ascii="Calibri" w:hAnsi="Calibri"/>
      <w:b/>
      <w:bCs/>
      <w:sz w:val="32"/>
      <w:szCs w:val="32"/>
      <w:lang w:val="en-US" w:eastAsia="zh-CN" w:bidi="ar-SA"/>
    </w:rPr>
  </w:style>
  <w:style w:type="paragraph" w:styleId="1471">
    <w:name w:val="MdParagraph"/>
    <w:next w:val="1471"/>
    <w:link w:val="1033"/>
    <w:qFormat/>
    <w:pPr>
      <w:spacing w:before="120" w:after="120"/>
    </w:pPr>
    <w:rPr>
      <w:rFonts w:ascii="Calibri" w:hAnsi="Calibri"/>
      <w:sz w:val="24"/>
      <w:szCs w:val="24"/>
      <w:lang w:val="en-US" w:eastAsia="zh-CN" w:bidi="ar-SA"/>
    </w:rPr>
  </w:style>
  <w:style w:type="paragraph" w:styleId="1472">
    <w:name w:val="MdSpace"/>
    <w:next w:val="1472"/>
    <w:link w:val="1033"/>
    <w:qFormat/>
    <w:rPr>
      <w:rFonts w:ascii="Calibri" w:hAnsi="Calibri"/>
      <w:sz w:val="12"/>
      <w:szCs w:val="12"/>
      <w:lang w:val="en-US" w:eastAsia="zh-CN" w:bidi="ar-SA"/>
    </w:rPr>
  </w:style>
  <w:style w:type="paragraph" w:styleId="1473">
    <w:name w:val="MdTableHeader"/>
    <w:next w:val="1473"/>
    <w:link w:val="1033"/>
    <w:qFormat/>
    <w:pPr>
      <w:spacing w:before="60" w:after="60"/>
    </w:pPr>
    <w:rPr>
      <w:rFonts w:ascii="Calibri" w:hAnsi="Calibri"/>
      <w:b/>
      <w:bCs/>
      <w:sz w:val="22"/>
      <w:szCs w:val="22"/>
      <w:lang w:val="en-US" w:eastAsia="zh-CN" w:bidi="ar-SA"/>
    </w:rPr>
  </w:style>
  <w:style w:type="paragraph" w:styleId="1474">
    <w:name w:val="MdTableCell"/>
    <w:next w:val="1474"/>
    <w:link w:val="1033"/>
    <w:qFormat/>
    <w:pPr>
      <w:spacing w:before="40" w:after="40"/>
    </w:pPr>
    <w:rPr>
      <w:rFonts w:ascii="Calibri" w:hAnsi="Calibri"/>
      <w:lang w:val="en-US" w:eastAsia="zh-CN" w:bidi="ar-SA"/>
    </w:rPr>
  </w:style>
  <w:style w:type="character" w:styleId="1475">
    <w:name w:val="MdStrong"/>
    <w:next w:val="1475"/>
    <w:link w:val="1033"/>
    <w:uiPriority w:val="99"/>
    <w:unhideWhenUsed/>
    <w:qFormat/>
    <w:rPr>
      <w:b/>
      <w:bCs/>
    </w:rPr>
  </w:style>
  <w:style w:type="paragraph" w:styleId="1476">
    <w:name w:val="标题 21"/>
    <w:basedOn w:val="1033"/>
    <w:next w:val="1033"/>
    <w:link w:val="1033"/>
    <w:qFormat/>
    <w:pPr>
      <w:jc w:val="center"/>
      <w:keepLines/>
      <w:keepNext/>
      <w:spacing w:before="260" w:after="260" w:line="416" w:lineRule="auto"/>
      <w:outlineLvl w:val="1"/>
    </w:pPr>
    <w:rPr>
      <w:rFonts w:ascii="Arial" w:hAnsi="Arial" w:eastAsia="幼圆"/>
      <w:b/>
      <w:bCs/>
      <w:sz w:val="44"/>
      <w:szCs w:val="44"/>
    </w:rPr>
  </w:style>
  <w:style w:type="paragraph" w:styleId="1477">
    <w:name w:val="列表段落1"/>
    <w:basedOn w:val="1033"/>
    <w:next w:val="1477"/>
    <w:link w:val="1033"/>
    <w:uiPriority w:val="34"/>
    <w:qFormat/>
    <w:pPr>
      <w:ind w:firstLine="420"/>
    </w:pPr>
  </w:style>
  <w:style w:type="character" w:styleId="1478">
    <w:name w:val="font151"/>
    <w:basedOn w:val="1043"/>
    <w:next w:val="1478"/>
    <w:link w:val="1033"/>
    <w:rPr>
      <w:rFonts w:hint="eastAsia" w:ascii="宋体" w:hAnsi="宋体" w:eastAsia="宋体" w:cs="宋体"/>
      <w:color w:val="000000"/>
      <w:sz w:val="18"/>
      <w:szCs w:val="18"/>
      <w:u w:val="none"/>
    </w:rPr>
  </w:style>
  <w:style w:type="character" w:styleId="1479">
    <w:name w:val="font131"/>
    <w:basedOn w:val="1043"/>
    <w:next w:val="1479"/>
    <w:link w:val="1033"/>
    <w:rPr>
      <w:rFonts w:ascii="Wingdings" w:hAnsi="Wingdings" w:cs="Wingdings"/>
      <w:color w:val="000000"/>
      <w:sz w:val="18"/>
      <w:szCs w:val="18"/>
      <w:u w:val="none"/>
    </w:rPr>
  </w:style>
  <w:style w:type="character" w:styleId="1480">
    <w:name w:val="font141"/>
    <w:basedOn w:val="1043"/>
    <w:next w:val="1480"/>
    <w:link w:val="1033"/>
    <w:rPr>
      <w:rFonts w:ascii="Calibri" w:hAnsi="Calibri" w:cs="Calibri"/>
      <w:color w:val="000000"/>
      <w:sz w:val="18"/>
      <w:szCs w:val="18"/>
      <w:u w:val="none"/>
    </w:rPr>
  </w:style>
  <w:style w:type="character" w:styleId="1481" w:default="1">
    <w:name w:val="Default Paragraph Font"/>
    <w:uiPriority w:val="1"/>
    <w:semiHidden/>
    <w:unhideWhenUsed/>
  </w:style>
  <w:style w:type="numbering" w:styleId="1482" w:default="1">
    <w:name w:val="No List"/>
    <w:uiPriority w:val="99"/>
    <w:semiHidden/>
    <w:unhideWhenUsed/>
  </w:style>
  <w:style w:type="table" w:styleId="14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308</dc:creator>
  <cp:lastModifiedBy>方东</cp:lastModifiedBy>
  <cp:revision>7</cp:revision>
  <dcterms:created xsi:type="dcterms:W3CDTF">2026-04-08T02:45:00Z</dcterms:created>
  <dcterms:modified xsi:type="dcterms:W3CDTF">2026-10-13T09:10:30Z</dcterms:modified>
</cp:coreProperties>
</file>