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jc w:val="right"/>
        <w:rPr>
          <w:rFonts w:ascii="宋体" w:hAnsi="宋体" w:cs="宋体"/>
        </w:rPr>
      </w:pPr>
      <w:r>
        <w:rPr>
          <w:rFonts w:hint="eastAsia" w:ascii="宋体" w:hAnsi="宋体" w:cs="宋体"/>
        </w:rPr>
        <w:t xml:space="preserve">                                                                                                      </w:t>
      </w:r>
      <w:r>
        <w:rPr>
          <w:rFonts w:hint="eastAsia" w:ascii="宋体" w:hAnsi="宋体" w:cs="宋体"/>
        </w:rPr>
        <mc:AlternateContent>
          <mc:Choice Requires="wpg">
            <w:drawing>
              <wp:inline xmlns:wp="http://schemas.openxmlformats.org/drawingml/2006/wordprocessingDrawing" distT="0" distB="0" distL="0" distR="0">
                <wp:extent cx="2418080" cy="83312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0.4pt;height:65.6pt;mso-wrap-distance-left:0.0pt;mso-wrap-distance-top:0.0pt;mso-wrap-distance-right:0.0pt;mso-wrap-distance-bottom:0.0pt;" stroked="f">
                <v:path textboxrect="0,0,0,0"/>
                <v:imagedata r:id="rId18" o:title=""/>
              </v:shape>
            </w:pict>
          </mc:Fallback>
        </mc:AlternateContent>
      </w:r>
      <w:r/>
    </w:p>
    <w:p>
      <w:pPr>
        <w:pStyle w:val="902"/>
        <w:rPr>
          <w:rFonts w:ascii="宋体" w:hAnsi="宋体" w:cs="宋体"/>
        </w:rPr>
      </w:pPr>
      <w:r>
        <w:rPr>
          <w:rFonts w:ascii="宋体" w:hAnsi="宋体" w:cs="宋体"/>
        </w:rPr>
      </w:r>
      <w:r/>
    </w:p>
    <w:p>
      <w:pPr>
        <w:pStyle w:val="902"/>
        <w:rPr>
          <w:rFonts w:ascii="宋体" w:hAnsi="宋体" w:cs="宋体"/>
        </w:rPr>
      </w:pPr>
      <w:r>
        <w:rPr>
          <w:rFonts w:hint="eastAsia" w:ascii="宋体" w:hAnsi="宋体" w:cs="宋体"/>
        </w:rPr>
        <w:t xml:space="preserve"> </w:t>
      </w:r>
      <w:r/>
    </w:p>
    <w:p>
      <w:pPr>
        <w:pStyle w:val="902"/>
        <w:rPr>
          <w:rFonts w:ascii="宋体" w:hAnsi="宋体" w:cs="宋体"/>
        </w:rPr>
      </w:pPr>
      <w:r>
        <w:rPr>
          <w:rFonts w:ascii="宋体" w:hAnsi="宋体" w:cs="宋体"/>
        </w:rPr>
      </w:r>
      <w:r/>
    </w:p>
    <w:p>
      <w:pPr>
        <w:pStyle w:val="902"/>
        <w:rPr>
          <w:rFonts w:ascii="宋体" w:hAnsi="宋体" w:cs="宋体"/>
        </w:rPr>
      </w:pPr>
      <w:r>
        <w:rPr>
          <w:rFonts w:ascii="宋体" w:hAnsi="宋体" w:cs="宋体"/>
        </w:rPr>
      </w:r>
      <w:r/>
    </w:p>
    <w:p>
      <w:pPr>
        <w:pStyle w:val="902"/>
        <w:ind w:firstLine="320"/>
        <w:jc w:val="right"/>
        <w:rPr>
          <w:rFonts w:ascii="宋体" w:hAnsi="宋体" w:cs="宋体"/>
        </w:rPr>
      </w:pPr>
      <w:r>
        <w:rPr>
          <w:rFonts w:hint="eastAsia" w:ascii="宋体" w:hAnsi="宋体" w:cs="宋体"/>
          <w:sz w:val="32"/>
        </w:rPr>
        <w:t xml:space="preserve">           </w:t>
      </w:r>
      <w:r/>
    </w:p>
    <w:p>
      <w:pPr>
        <w:pStyle w:val="902"/>
        <w:jc w:val="center"/>
        <w:rPr>
          <w:rFonts w:ascii="宋体" w:hAnsi="宋体" w:cs="宋体"/>
          <w:b/>
          <w:spacing w:val="76"/>
          <w:sz w:val="96"/>
          <w:szCs w:val="22"/>
        </w:rPr>
      </w:pPr>
      <w:r>
        <w:rPr>
          <w:rFonts w:hint="eastAsia" w:ascii="宋体" w:hAnsi="宋体" w:cs="宋体"/>
          <w:spacing w:val="76"/>
          <w:sz w:val="144"/>
        </w:rPr>
        <w:t xml:space="preserve">招标文件</w:t>
      </w:r>
      <w:r/>
    </w:p>
    <w:p>
      <w:pPr>
        <w:pStyle w:val="1077"/>
        <w:rPr>
          <w:rFonts w:ascii="宋体" w:hAnsi="宋体" w:cs="宋体"/>
          <w:spacing w:val="76"/>
          <w:sz w:val="156"/>
        </w:rPr>
      </w:pPr>
      <w:r>
        <w:rPr>
          <w:rFonts w:ascii="宋体" w:hAnsi="宋体" w:cs="宋体"/>
          <w:spacing w:val="76"/>
          <w:sz w:val="156"/>
        </w:rPr>
      </w:r>
      <w:r/>
    </w:p>
    <w:p>
      <w:pPr>
        <w:pStyle w:val="902"/>
        <w:rPr>
          <w:rFonts w:ascii="宋体" w:hAnsi="宋体" w:cs="宋体"/>
        </w:rPr>
      </w:pPr>
      <w:r>
        <w:rPr>
          <w:rFonts w:ascii="宋体" w:hAnsi="宋体" w:cs="宋体"/>
        </w:rPr>
      </w:r>
      <w:r/>
    </w:p>
    <w:p>
      <w:pPr>
        <w:pStyle w:val="909"/>
        <w:rPr>
          <w:rFonts w:ascii="宋体" w:hAnsi="宋体" w:cs="宋体"/>
        </w:rPr>
      </w:pPr>
      <w:r>
        <w:rPr>
          <w:rFonts w:ascii="宋体" w:hAnsi="宋体" w:cs="宋体"/>
        </w:rPr>
      </w:r>
      <w:r/>
    </w:p>
    <w:p>
      <w:pPr>
        <w:pStyle w:val="902"/>
        <w:rPr>
          <w:rFonts w:ascii="宋体" w:hAnsi="宋体" w:cs="宋体"/>
        </w:rPr>
      </w:pPr>
      <w:r>
        <w:rPr>
          <w:rFonts w:ascii="宋体" w:hAnsi="宋体" w:cs="宋体"/>
        </w:rPr>
      </w:r>
      <w:r/>
    </w:p>
    <w:p>
      <w:pPr>
        <w:pStyle w:val="902"/>
        <w:jc w:val="center"/>
        <w:spacing w:line="500" w:lineRule="exact"/>
        <w:rPr>
          <w:rFonts w:ascii="宋体" w:hAnsi="宋体" w:cs="宋体"/>
          <w:b/>
          <w:bCs/>
          <w:sz w:val="32"/>
          <w:szCs w:val="32"/>
        </w:rPr>
      </w:pPr>
      <w:r>
        <w:rPr>
          <w:rFonts w:hint="eastAsia" w:ascii="宋体" w:hAnsi="宋体" w:cs="宋体"/>
          <w:b/>
          <w:bCs/>
          <w:sz w:val="32"/>
          <w:szCs w:val="32"/>
        </w:rPr>
        <w:t xml:space="preserve">       项目名称：智慧校园3.0建设行动计划子项目网络基础建设项目</w:t>
      </w:r>
      <w:r/>
    </w:p>
    <w:p>
      <w:pPr>
        <w:pStyle w:val="902"/>
        <w:ind w:firstLine="1285"/>
        <w:spacing w:line="500" w:lineRule="exact"/>
        <w:rPr>
          <w:rFonts w:ascii="宋体" w:hAnsi="宋体" w:cs="宋体"/>
          <w:b/>
          <w:bCs/>
          <w:sz w:val="32"/>
          <w:szCs w:val="32"/>
        </w:rPr>
      </w:pPr>
      <w:r>
        <w:rPr>
          <w:rFonts w:hint="eastAsia" w:ascii="宋体" w:hAnsi="宋体" w:cs="宋体"/>
          <w:b/>
          <w:bCs/>
          <w:sz w:val="32"/>
          <w:szCs w:val="32"/>
        </w:rPr>
        <w:t xml:space="preserve">项目编号：JSZC-320300-JSZR-G2026-0086</w:t>
      </w:r>
      <w:r/>
    </w:p>
    <w:p>
      <w:pPr>
        <w:pStyle w:val="902"/>
        <w:ind w:firstLine="1606"/>
        <w:spacing w:line="500" w:lineRule="exact"/>
        <w:rPr>
          <w:rFonts w:ascii="宋体" w:hAnsi="宋体" w:cs="宋体"/>
          <w:b/>
          <w:bCs/>
          <w:sz w:val="32"/>
          <w:szCs w:val="32"/>
        </w:rPr>
      </w:pPr>
      <w:r>
        <w:rPr>
          <w:rFonts w:hint="eastAsia" w:ascii="宋体" w:hAnsi="宋体" w:cs="宋体"/>
          <w:b/>
          <w:bCs/>
          <w:sz w:val="32"/>
          <w:szCs w:val="32"/>
        </w:rPr>
        <w:t xml:space="preserve">采购人：徐州工业职业技术学院</w:t>
      </w:r>
      <w:r/>
    </w:p>
    <w:p>
      <w:pPr>
        <w:pStyle w:val="899"/>
        <w:ind w:left="0" w:right="1470"/>
        <w:rPr>
          <w:rFonts w:ascii="宋体" w:hAnsi="宋体" w:cs="宋体"/>
          <w:sz w:val="28"/>
          <w:szCs w:val="28"/>
        </w:rPr>
      </w:pPr>
      <w:r>
        <w:rPr>
          <w:rFonts w:ascii="宋体" w:hAnsi="宋体" w:cs="宋体"/>
          <w:sz w:val="28"/>
          <w:szCs w:val="28"/>
        </w:rPr>
      </w:r>
      <w:r/>
    </w:p>
    <w:p>
      <w:pPr>
        <w:pStyle w:val="899"/>
        <w:ind w:left="0" w:right="1470"/>
        <w:rPr>
          <w:rFonts w:ascii="宋体" w:hAnsi="宋体" w:cs="宋体"/>
          <w:sz w:val="28"/>
          <w:szCs w:val="28"/>
        </w:rPr>
      </w:pPr>
      <w:r>
        <w:rPr>
          <w:rFonts w:ascii="宋体" w:hAnsi="宋体" w:cs="宋体"/>
          <w:sz w:val="28"/>
          <w:szCs w:val="28"/>
        </w:rPr>
      </w:r>
      <w:r/>
    </w:p>
    <w:p>
      <w:pPr>
        <w:pStyle w:val="899"/>
        <w:ind w:left="0" w:right="1470"/>
        <w:rPr>
          <w:rFonts w:ascii="宋体" w:hAnsi="宋体" w:cs="宋体"/>
          <w:sz w:val="28"/>
          <w:szCs w:val="28"/>
        </w:rPr>
      </w:pPr>
      <w:r>
        <w:rPr>
          <w:rFonts w:ascii="宋体" w:hAnsi="宋体" w:cs="宋体"/>
          <w:sz w:val="28"/>
          <w:szCs w:val="28"/>
        </w:rPr>
      </w:r>
      <w:r/>
    </w:p>
    <w:p>
      <w:pPr>
        <w:pStyle w:val="899"/>
        <w:ind w:left="0" w:right="1470"/>
        <w:rPr>
          <w:rFonts w:ascii="宋体" w:hAnsi="宋体" w:cs="宋体"/>
          <w:sz w:val="32"/>
          <w:szCs w:val="32"/>
        </w:rPr>
      </w:pPr>
      <w:r>
        <w:rPr>
          <w:rFonts w:ascii="宋体" w:hAnsi="宋体" w:cs="宋体"/>
          <w:sz w:val="32"/>
          <w:szCs w:val="32"/>
        </w:rPr>
      </w:r>
      <w:r/>
    </w:p>
    <w:p>
      <w:pPr>
        <w:pStyle w:val="900"/>
        <w:rPr>
          <w:rFonts w:ascii="宋体" w:hAnsi="宋体" w:eastAsia="宋体" w:cs="宋体"/>
          <w:sz w:val="24"/>
          <w:szCs w:val="24"/>
        </w:rPr>
      </w:pPr>
      <w:r>
        <w:rPr>
          <w:rFonts w:ascii="宋体" w:hAnsi="宋体" w:eastAsia="宋体" w:cs="宋体"/>
          <w:sz w:val="24"/>
          <w:szCs w:val="24"/>
        </w:rPr>
      </w:r>
      <w:r/>
    </w:p>
    <w:p>
      <w:pPr>
        <w:pStyle w:val="902"/>
        <w:jc w:val="center"/>
        <w:spacing w:line="500" w:lineRule="exact"/>
        <w:rPr>
          <w:rFonts w:ascii="宋体" w:hAnsi="宋体" w:cs="宋体"/>
          <w:b/>
          <w:bCs/>
          <w:sz w:val="32"/>
          <w:szCs w:val="32"/>
        </w:rPr>
      </w:pPr>
      <w:r>
        <w:rPr>
          <w:rFonts w:hint="eastAsia" w:ascii="宋体" w:hAnsi="宋体" w:cs="宋体"/>
          <w:b/>
          <w:bCs/>
          <w:sz w:val="32"/>
          <w:szCs w:val="32"/>
        </w:rPr>
        <w:t xml:space="preserve">采购代理机构：江苏中瑞建设项目管理有限公司</w:t>
      </w:r>
      <w:r/>
    </w:p>
    <w:p>
      <w:pPr>
        <w:jc w:val="center"/>
        <w:rPr>
          <w:rFonts w:ascii="宋体" w:hAnsi="宋体" w:cs="宋体"/>
          <w:b/>
          <w:bCs/>
          <w:sz w:val="32"/>
          <w:szCs w:val="32"/>
        </w:rPr>
        <w:sectPr>
          <w:headerReference w:type="default" r:id="rId9"/>
          <w:footerReference w:type="default" r:id="rId12"/>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cs="宋体"/>
          <w:b/>
          <w:bCs/>
          <w:sz w:val="32"/>
          <w:szCs w:val="32"/>
        </w:rPr>
        <w:t xml:space="preserve">二〇二六年十</w:t>
      </w:r>
      <w:r>
        <w:rPr>
          <w:rFonts w:hint="eastAsia" w:ascii="宋体" w:hAnsi="宋体" w:cs="宋体"/>
          <w:b/>
          <w:bCs/>
          <w:sz w:val="32"/>
          <w:szCs w:val="32"/>
          <w:lang w:eastAsia="zh-CN"/>
        </w:rPr>
        <w:t xml:space="preserve">一</w:t>
      </w:r>
      <w:r>
        <w:rPr>
          <w:rFonts w:hint="eastAsia" w:ascii="宋体" w:hAnsi="宋体" w:cs="宋体"/>
          <w:b/>
          <w:bCs/>
          <w:sz w:val="32"/>
          <w:szCs w:val="32"/>
        </w:rPr>
        <w:t xml:space="preserve">月</w:t>
      </w:r>
      <w:r/>
    </w:p>
    <w:p>
      <w:pPr>
        <w:jc w:val="center"/>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jc w:val="center"/>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rPr>
        <w:t xml:space="preserve">目 录</w:t>
      </w:r>
      <w:r/>
    </w:p>
    <w:p>
      <w:pPr>
        <w:jc w:val="center"/>
        <w:spacing w:line="5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974"/>
          <w:rFonts w:hint="eastAsia" w:ascii="宋体" w:hAnsi="宋体" w:cs="宋体"/>
          <w:color w:val="000000"/>
          <w:sz w:val="30"/>
          <w:u w:val="none"/>
        </w:rPr>
        <w:t xml:space="preserve">第一章  投标邀请</w:t>
      </w:r>
      <w:r>
        <w:rPr>
          <w:rStyle w:val="974"/>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974"/>
          <w:rFonts w:hint="eastAsia" w:ascii="宋体" w:hAnsi="宋体" w:cs="宋体"/>
          <w:color w:val="000000"/>
          <w:sz w:val="30"/>
          <w:u w:val="none"/>
        </w:rPr>
        <w:t xml:space="preserve">第二章  投标人须知</w:t>
      </w:r>
      <w:r>
        <w:rPr>
          <w:rStyle w:val="974"/>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974"/>
          <w:rFonts w:hint="eastAsia" w:ascii="宋体" w:hAnsi="宋体" w:cs="宋体"/>
          <w:color w:val="000000"/>
          <w:sz w:val="30"/>
          <w:u w:val="none"/>
        </w:rPr>
        <w:t xml:space="preserve">第三章  投标资料表</w:t>
      </w:r>
      <w:r>
        <w:rPr>
          <w:rStyle w:val="974"/>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974"/>
          <w:rFonts w:hint="eastAsia" w:ascii="宋体" w:hAnsi="宋体" w:cs="宋体"/>
          <w:color w:val="000000"/>
          <w:sz w:val="30"/>
          <w:u w:val="none"/>
        </w:rPr>
        <w:t xml:space="preserve">第四章  评标标准</w:t>
      </w:r>
      <w:r>
        <w:rPr>
          <w:rStyle w:val="974"/>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974"/>
          <w:rFonts w:hint="eastAsia" w:ascii="宋体" w:hAnsi="宋体" w:cs="宋体"/>
          <w:color w:val="000000"/>
          <w:sz w:val="30"/>
          <w:u w:val="none"/>
        </w:rPr>
        <w:t xml:space="preserve">第五章  拟签订的合同文本</w:t>
      </w:r>
      <w:r>
        <w:rPr>
          <w:rStyle w:val="974"/>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974"/>
          <w:rFonts w:hint="eastAsia" w:ascii="宋体" w:hAnsi="宋体" w:cs="宋体"/>
          <w:color w:val="000000"/>
          <w:sz w:val="30"/>
          <w:u w:val="none"/>
        </w:rPr>
        <w:t xml:space="preserve">第六章  采购需求</w:t>
      </w:r>
      <w:r>
        <w:rPr>
          <w:rStyle w:val="974"/>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974"/>
          <w:rFonts w:hint="eastAsia" w:ascii="宋体" w:hAnsi="宋体" w:cs="宋体"/>
          <w:color w:val="000000"/>
          <w:sz w:val="30"/>
          <w:u w:val="none"/>
        </w:rPr>
        <w:t xml:space="preserve">第七章  投标文件相关格式</w:t>
      </w:r>
      <w:r>
        <w:rPr>
          <w:rStyle w:val="974"/>
          <w:rFonts w:hint="eastAsia" w:ascii="宋体" w:hAnsi="宋体" w:cs="宋体"/>
          <w:color w:val="000000"/>
          <w:sz w:val="30"/>
          <w:u w:val="none"/>
        </w:rPr>
        <w:fldChar w:fldCharType="end"/>
      </w:r>
      <w:r/>
    </w:p>
    <w:p>
      <w:pPr>
        <w:jc w:val="center"/>
        <w:spacing w:line="5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jc w:val="center"/>
        <w:spacing w:line="519" w:lineRule="atLeast"/>
        <w:rPr>
          <w:rFonts w:ascii="宋体" w:hAnsi="宋体" w:cs="宋体"/>
          <w:b/>
          <w:color w:val="000000"/>
          <w:sz w:val="44"/>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44"/>
        </w:rPr>
      </w:r>
      <w:r/>
    </w:p>
    <w:p>
      <w:pPr>
        <w:jc w:val="center"/>
        <w:spacing w:line="519"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徐州工业职业技术学院《</w:t>
      </w:r>
      <w:r>
        <w:rPr>
          <w:rFonts w:hint="eastAsia" w:ascii="宋体" w:hAnsi="宋体" w:cs="宋体"/>
          <w:b/>
          <w:color w:val="000000"/>
          <w:sz w:val="28"/>
          <w:szCs w:val="28"/>
          <w:lang w:eastAsia="zh-CN"/>
        </w:rPr>
        <w:t xml:space="preserve">智慧校园3.0建设行动计划子项目网络基础建设项目</w:t>
      </w:r>
      <w:r>
        <w:rPr>
          <w:rFonts w:hint="eastAsia" w:ascii="宋体" w:hAnsi="宋体" w:cs="宋体"/>
          <w:b/>
          <w:color w:val="000000"/>
          <w:sz w:val="28"/>
          <w:szCs w:val="28"/>
        </w:rPr>
        <w:t xml:space="preserve">》招标文件</w:t>
      </w:r>
      <w:r/>
    </w:p>
    <w:p>
      <w:pPr>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jc w:val="cente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8"/>
        </w:rPr>
        <w:t xml:space="preserve">第一章  投标邀请</w:t>
      </w:r>
      <w:r/>
    </w:p>
    <w:p>
      <w:pPr>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江苏中瑞建设项目管理有限公司</w:t>
      </w:r>
      <w:r>
        <w:rPr>
          <w:rFonts w:hint="eastAsia" w:ascii="宋体" w:hAnsi="宋体" w:cs="宋体"/>
          <w:color w:val="000000"/>
          <w:sz w:val="24"/>
        </w:rPr>
        <w:t xml:space="preserve">对</w:t>
      </w:r>
      <w:r>
        <w:rPr>
          <w:rFonts w:hint="eastAsia" w:ascii="宋体" w:hAnsi="宋体" w:cs="宋体"/>
          <w:color w:val="000000"/>
          <w:sz w:val="24"/>
          <w:u w:val="single"/>
          <w:lang w:eastAsia="zh-CN"/>
        </w:rPr>
        <w:t xml:space="preserve">智慧校园3.0建设行动计划子项目网络基础建设项目</w:t>
      </w:r>
      <w:r>
        <w:rPr>
          <w:rFonts w:hint="eastAsia" w:ascii="宋体" w:hAnsi="宋体" w:cs="宋体"/>
          <w:color w:val="000000"/>
          <w:sz w:val="24"/>
        </w:rPr>
        <w:t xml:space="preserve">进行公开招标采购，现邀请符合相关条件的供应商投标。</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一、项目名称和项目编号</w:t>
      </w:r>
      <w:r/>
    </w:p>
    <w:p>
      <w:pPr>
        <w:ind w:firstLine="300"/>
        <w:spacing w:line="51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w:t>
      </w:r>
      <w:r>
        <w:rPr>
          <w:rFonts w:hint="eastAsia" w:ascii="宋体" w:hAnsi="宋体" w:cs="宋体"/>
          <w:color w:val="000000"/>
          <w:sz w:val="24"/>
          <w:lang w:eastAsia="zh-CN"/>
        </w:rPr>
        <w:t xml:space="preserve">智慧校园3.0建设行动计划子项目网络基础建设项目</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（二）项目编号</w:t>
      </w:r>
      <w:r>
        <w:rPr>
          <w:rFonts w:hint="eastAsia" w:ascii="宋体" w:hAnsi="宋体" w:cs="宋体"/>
          <w:color w:val="auto"/>
          <w:sz w:val="24"/>
        </w:rPr>
        <w:t xml:space="preserve">：JSZC-320300-JSZR-G2026-0086</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二、对投标人的资格要求</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详见本项目公开招标公告及第三章《投标资料表》。</w:t>
      </w:r>
      <w:r/>
    </w:p>
    <w:p>
      <w:pPr>
        <w:ind w:firstLine="301"/>
        <w:spacing w:line="519" w:lineRule="atLeas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（一）潜在投标人访问电子招标投标交易平台的网络地址和方法：</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潜在投标人访问“苏采云”系统的网络地址和方法：“苏采云”系统的网址：https://jszfcg.jsczt.cn/jszc/login；或进入徐州政府采购网（网址：https://czj.xz.gov.cn/zfcg/index.html）—办事指南—供应商—供应商登录入口，点击“苏采云”进入系统。</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（3）“CA数字证书”的获取：</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firstLine="300"/>
        <w:spacing w:line="519" w:lineRule="atLeast"/>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hint="eastAsia" w:ascii="宋体" w:hAnsi="宋体" w:cs="宋体"/>
          <w:sz w:val="24"/>
        </w:rPr>
        <w:t xml:space="preserve">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（二）采购代理机构将数据电文形式的招标文件加载至电子招标投标交易平台，供潜在投标人下载或者查阅。</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（三）售价：免费。</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四、投标有关信息</w:t>
      </w:r>
      <w:r/>
    </w:p>
    <w:p>
      <w:pPr>
        <w:ind w:firstLine="300"/>
        <w:spacing w:line="51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hint="eastAsia" w:ascii="宋体" w:hAnsi="宋体" w:cs="宋体"/>
          <w:color w:val="000000" w:themeColor="text1"/>
          <w:sz w:val="24"/>
        </w:rPr>
        <w:t xml:space="preserve">一）投标截止时间：</w:t>
      </w:r>
      <w:r>
        <w:rPr>
          <w:rFonts w:hint="eastAsia" w:ascii="宋体" w:hAnsi="宋体" w:cs="宋体"/>
          <w:b/>
          <w:color w:val="000000" w:themeColor="text1"/>
          <w:sz w:val="24"/>
        </w:rPr>
        <w:t xml:space="preserve">2026年 11 月 24 日北京时间09:30</w:t>
      </w:r>
      <w:r>
        <w:rPr>
          <w:rFonts w:hint="eastAsia" w:ascii="宋体" w:hAnsi="宋体" w:cs="宋体"/>
          <w:color w:val="000000" w:themeColor="text1"/>
          <w:sz w:val="24"/>
        </w:rPr>
        <w:t xml:space="preserve">。</w:t>
      </w:r>
      <w:r>
        <w:rPr>
          <w:color w:val="000000" w:themeColor="text1"/>
        </w:rPr>
      </w:r>
    </w:p>
    <w:p>
      <w:pPr>
        <w:ind w:firstLine="300"/>
        <w:spacing w:line="51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（二）开标时间</w:t>
      </w:r>
      <w:r>
        <w:rPr>
          <w:rFonts w:hint="eastAsia" w:ascii="宋体" w:hAnsi="宋体" w:cs="宋体"/>
          <w:color w:val="000000" w:themeColor="text1"/>
          <w:sz w:val="24"/>
        </w:rPr>
        <w:t xml:space="preserve">：</w:t>
      </w:r>
      <w:r>
        <w:rPr>
          <w:rFonts w:hint="eastAsia" w:ascii="宋体" w:hAnsi="宋体" w:cs="宋体"/>
          <w:b/>
          <w:color w:val="000000" w:themeColor="text1"/>
          <w:sz w:val="24"/>
        </w:rPr>
        <w:t xml:space="preserve">2026年 11 月 24 日北京时间09:30</w:t>
      </w:r>
      <w:r>
        <w:rPr>
          <w:rFonts w:hint="eastAsia" w:ascii="宋体" w:hAnsi="宋体" w:cs="宋体"/>
          <w:color w:val="000000" w:themeColor="text1"/>
          <w:sz w:val="24"/>
        </w:rPr>
        <w:t xml:space="preserve">。</w:t>
      </w:r>
      <w:r>
        <w:rPr>
          <w:color w:val="000000" w:themeColor="text1"/>
        </w:rP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开标地点：“苏采云”系统（网址：https://jszfcg.jsczt.cn/jszc/login）“开标大厅”或进入徐州政府采购网（网址：https://czj.xz.gov.cn/zfcg/index.html）—办事指南—供应商—供应商登录入口，点击“苏采云”进入系统“开标大厅”。</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（一）名称：徐州工业职业技术学院</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（二）地址：徐州市鼓楼区襄王路1号</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w:t>
      </w:r>
      <w:r>
        <w:rPr>
          <w:rFonts w:hint="eastAsia" w:ascii="宋体" w:hAnsi="宋体" w:cs="宋体"/>
          <w:sz w:val="24"/>
        </w:rPr>
        <w:t xml:space="preserve">目联系人：周琳</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（四）联系电话：0516-85782688</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六、采购代理机构</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（一）名称：江苏中瑞建设项目管理有限公司</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（二）地址：徐州市云龙区郭庄路世茂广场SOHO3号楼17楼</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（三）采购项目联系人：张莹、孙萌</w:t>
      </w:r>
      <w:r/>
    </w:p>
    <w:p>
      <w:pPr>
        <w:ind w:firstLine="300"/>
        <w:spacing w:line="519"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（四）联系电话：0516-83906677</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19052036527</w:t>
      </w:r>
      <w:r/>
    </w:p>
    <w:p>
      <w:pPr>
        <w:ind w:firstLine="600"/>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300"/>
        <w:jc w:val="right"/>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cs="宋体"/>
          <w:color w:val="000000"/>
          <w:sz w:val="24"/>
        </w:rPr>
        <w:t xml:space="preserve">2026年</w:t>
      </w:r>
      <w:r>
        <w:rPr>
          <w:rFonts w:hint="eastAsia" w:ascii="宋体" w:hAnsi="宋体" w:cs="宋体"/>
          <w:color w:val="000000"/>
          <w:sz w:val="24"/>
          <w:lang w:val="en-US" w:eastAsia="zh-CN"/>
        </w:rPr>
        <w:t xml:space="preserve">11</w:t>
      </w:r>
      <w:r>
        <w:rPr>
          <w:rFonts w:hint="eastAsia" w:ascii="宋体" w:hAnsi="宋体" w:cs="宋体"/>
          <w:color w:val="000000"/>
          <w:sz w:val="24"/>
        </w:rPr>
        <w:t xml:space="preserve">月</w:t>
      </w:r>
      <w:r/>
    </w:p>
    <w:p>
      <w:pPr>
        <w:jc w:val="cente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8"/>
          <w:szCs w:val="28"/>
        </w:rPr>
        <w:t xml:space="preserve">第二章  投标人须知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一、总则</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（一）采购人。采购人即指依法进行政府采购的国家机关、事业单位和团体组织。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（二）政府招标采购方式。政府采购货物或服务（以下简称“货物服务”）的招标方式，分为公开招标和邀请招标。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（三）采购人在采购货物服务的招标投标活动中，应当贯彻落实“节约能源、保护环境、扶持不发达地区和少数民族地区，促进中小企业发展”等政府采购政策。</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（五）采购人委托采购代理机构代理招标的，采购代理机构必须在采购人委托的范围内依法开展采购活动。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（六）投标人的资格条件：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投标人是指响应招标、参加投标竞争的法人、其他组织或者自然人。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2.投标人授权代表系指法定代表人或者经法定代表人授权的委托代理人。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二、招标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（八）招标文件由以下七章组成：</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第一章：投标邀请；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第二章：投标人须知；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第三章：投标资料表；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第四章：评标标准；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第五章：拟签订的合同文本；</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第六章：采购需求；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第七章：投标文件相关格式。</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（九）招标文件澄清或者修改：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2.现场考察以本文件第三章《投标资料表》中的要求为准。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3.开标前答疑会以本文件第三章《投标资料表》中的要求为准。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（十二）投标文件的构成：</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1.投标文件的构成以本文件第三章《投标资料表》中的要求为准。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2.投标人应当提交的资格、资信证明文件，以本文件第三章《投标资料表》所提要求为准。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（十三）投标函和价格表、商务条件、交货和提供服务的时间：</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1.投标函和价格表的要求见本文件第三章《投标资料表》（十二）、（十三），格式见本文件第七章《投标文件相关格式》中的《投标函》和《开标一览表》。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2.商务条件以本文件第三章《投标资料表》中的要求为准。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3.交货和提供服务的时间，以本文件第三章《投标资料表》中所提要求为准。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（十四）投标报价要求：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1.投标人应按照招标文件的要求报出分项价格和总价。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2.投标人应按照招标文件的要求进行报价。如投标人作出商务偏离，应在《商务偏离表》中列明；如作出技术偏离，应在《技术偏离表》中列明。</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3.采购人不支付报价以外的任何费用。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5.投标人只能提交一个投标价格，投标人提交多个价格的投标文件，在资格性、符合性检查时按照无效投标处理。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（十五）投标货币。以本文件第三章《投标资料表》中所提要求为准。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（十六）投标有效期：</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1.投标有效期为自提交投标文件截止之日起90日。采购人可以要求对投标有效期延长一次，但延长期限最长不得超过30日。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2.采购人要求延长投标有效期的，应当在投标有效期届满前以书面形式通知投标人；同意延长的投标人，应当在原投标有效期届满前以书面形式向采购人确认。</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3.采购人发出延长投标有效期通知后，在投标有效期届满前未收到投标人同意延长的书面通知的，视为该投标人不接受延期要求。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（十七）投标文件的编制要求和签署要求：</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1.投标人应由其法定代表人或法定代表人授权代表在规定的网上投标时间内，凭CA证书登录“苏采云”系统在线编制投标文件（电子数据），并在投标截止时间之前上传投标文件。</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2.投标人应对CA证书妥善保管；如被他人盗用投标，由此产生的后果均由投标人自行承担。</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3.投标人应当对招标文件提出的要求和条件作出实质性响应，并在电子投标系统中逐条应答。</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4.投标人应将要求提供的资格证明文件（如资质证书、资格证书）、技术资料（如白皮书、彩页、手册、检测报告等）扫描上传至投标系统。</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（十八）投标文件的盖章要求：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1.投标文件的盖章要求以招标文件第三章《投标资料表》中的要求为准。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（十九）提交投标文件的截止时间和提交投标文件后的注意事项。投标人应在招标文件要求的提交投标文件截止时间前，将投标文件提交至“苏采云”系统。</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（二十一）投标人在投标截止时间前，可以对所递交的投标文件进行补充、修改或者撤回，其补充、修改的内容应当按照招标文件要求进行签署、盖章并加密，作为投标文件的组成部分。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（二十二）本项目不允许分包。</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（二十四）有下列情形之一的，其投标无效：</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3.不同投标人的投标文件载明的项目管理成员或者联系人员为同一人；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5.不同投标人的投标文件相互混装；</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7.电子投标文件未按规定期限提交的；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8.电子投标文件未按招标文件要求签章的；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9.投标人未在规定时间内解密电子投标文件的；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10.没有在投标系统指定位置上传对应文件、材料的；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11.投标文件未按招标文件规定的内容和要求填写的；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12.不具备招标文件中规定的资格要求的；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13.报价超过招标文件中规定的预算金额或者最高限价的；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14.投标文件含有采购人不能接受的附加条件的；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15.法律法规和招标文件规定的其他无效情形。</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四、开标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（二十五）开标：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1.所有投标人应凭CA证书在开标时间到达后，解密各自投标文件。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2.投标人不足3家的，不得开标。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3.开标过程由采购代理机构负责记录。</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4.投标人代表对开标过程和开标记录有疑义，或者认为采购人、采购代理机构相关工作人员存在需要回避情形的，应当场提出询问或回避申请。</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5.投标人未参加开标的，视同认可开标结果。</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五、评标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（二十六）公开招标采购项目开标结束后，采购人或采购代理机构依法对投标人的资格进行审查。合格投标人不足3家的，不得评标。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（4）组织评标委员会推选评标组长（采购人代表不得担任组长）；</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（5）在评标期间采取必要的通信管理措施，保证评标活动不受外界干扰；</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（6）根据评标委员会的要求介绍政府采购相关政策法规、招标文件；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（7）维护评标秩序，监督评标委员会依照招标文件规定的评审程序、方法和标准进行独立评审，及时制止和纠正采购人代表、评审专家的倾向性言论或者违法违规行为；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（8）核对评审结果，对有《政府采购货物和服务招标投标管理办法》第六十四条规定情形的，应要求评标委员会复核或者书面说明理由，评标委员会拒绝的，应予记录并向本级财政部门报告；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（9）评审工作完成后，提醒并配合采购人按照规定向评审专家支付劳务报酬和异地评审差旅费；不得向评审专家以外的其他人员支付评审劳务报酬；</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2.评标委员会负责具体评标事务，并独立履行下列职责：</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（2）要求投标人对投标文件有关事项作出澄清或者说明；</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（5）向采购人、采购代理机构或有关部门报告评标中发现的违法行为。</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（二十七）评标方法分为最低评标价法和综合评分法。</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（二十八）评标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①资格审查。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（4）推荐中标候选供应商名单。</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（5）编写评标报告。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2.在评标中，不得改变招标文件中规定的评标标准、方法和中标条件。评标委员会对投标文件响应性的判定，应当基于投标文件本身的内容，不得寻求外部证据。</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最低评标价法的采购项目，对提供相同品牌产品的不同投标人参加同一合同项下投标的，应当以其中通过资格审查、符合性审查且报价最低的参加评标；报价相同的，采取随机抽取方式确定，其他投标无效。</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非单一产品采购项目，多家投标人提供的核心产品品牌相同的，按前两款规定处理。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（二十九）投标文件报价出现前后不一致的，按照下列规定修正：</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4.总价金额与单价合计金额不一致的，以单价金额计算结果为准。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评标中需要投标人对投标文件澄清或者说明的，应当通过“苏采云”系统交换数据电文。在评标期间，请投标人保持在线。</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（三十）实施政府采购异常低价审查的有关要求：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（一）评审中出现下列情形之一的，评标委员会应当启动异常低价投标（响应）审查程序：</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1.投标（响应）报价低于全部通过符合性审查供应商投标（响应）报价平均值65%的，即投标（响应）报价&lt;全部通过符合性审查供应商投标（响应）报价平均值×65%；</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2.投标（响应）报价低于通过符合性审查的次低报价供应商投标（响应）报价65%的，即投标（响应）报价&lt;通过符合性审查的次低报价供应商投标（响应）报价×65%；</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3.投标（响应）报价低于采购项目最高限价（未设定最高限价的采购项目，以采购项目预算金额作为最高限价）65%的，即投标（响应）报价&lt;采购项目最高限价×65%；</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4.评标委员会基于专业判断，认为供应商报价过低，有可能影响产品质量或者不能诚信履约的其他情形。</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相关法律法规对供应商报价另有规定的，从其规定。</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（三十二）废标条款：</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1.符合专业条件的供应商或者对招标文件作实质响应的供应商不足三家的；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4.因重大变故，采购任务取消的；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六、定标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（三十五）采购人有权对投标人投标文件的真实性进行核实；投标人未在采购人规定期限内提供有效证明文件的，采购人可视为其放弃中标资格。</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七、政府采购合同</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2.中标或者成交供应商拒绝与采购人签订合同的，采购人可以按照评标报告推荐的中标或者成交候选人名单排序，确定下一个候选人为中标或者成交供应商，也可以重新开展政府采购活动。</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（三十八）履约保证金：详见第三章《投标资料表》。</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①“腐败行为”系指在招标、采购和合同执行等过程中，为了谋求私利，通过影响相关人员提供、给予、接受或索取有价物品，并导致损害买方、卖方、采购代理机构和他人利益的行为。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（3）如果投标人在任何时候被司法机关或者有关行政管理部门认定为有腐败和欺诈行为，采购代理机构有权拒绝其投标、取消其中标资格和撤销其已签署的合同。</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八、询问和质疑</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600"/>
        <w:spacing w:line="51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rPr>
          <w:rFonts w:hint="eastAsia" w:ascii="宋体" w:hAnsi="宋体" w:cs="宋体"/>
          <w:b/>
          <w:sz w:val="24"/>
        </w:rPr>
        <w:t xml:space="preserve"> </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601"/>
        <w:jc w:val="left"/>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（四十一）电子招标投标交易平台（即“苏采云”系统，网址：https://jszfcg.jsczt.cn/jszc/login）相关要求是本招标文件的组成部分。</w:t>
      </w:r>
      <w:r/>
    </w:p>
    <w:p>
      <w:pPr>
        <w:ind w:firstLine="602"/>
        <w:jc w:val="center"/>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720" w:lineRule="atLeast"/>
        <w:rPr>
          <w:rFonts w:ascii="宋体" w:hAnsi="宋体" w:cs="宋体"/>
        </w:rPr>
        <w:pBdr>
          <w:top w:val="none" w:color="000000" w:sz="0" w:space="0"/>
          <w:left w:val="none" w:color="000000" w:sz="0" w:space="0"/>
          <w:bottom w:val="none" w:color="000000" w:sz="0" w:space="0"/>
          <w:right w:val="none" w:color="000000" w:sz="0" w:space="0"/>
        </w:pBdr>
        <w:outlineLvl w:val="0"/>
      </w:pPr>
      <w:r>
        <w:rPr>
          <w:rFonts w:ascii="宋体" w:hAnsi="宋体" w:cs="宋体"/>
        </w:rPr>
      </w:r>
      <w:r/>
    </w:p>
    <w:p>
      <w:pPr>
        <w:jc w:val="center"/>
        <w:spacing w:line="720" w:lineRule="atLeast"/>
        <w:rPr>
          <w:rFonts w:ascii="宋体" w:hAnsi="宋体" w:cs="宋体"/>
        </w:rPr>
        <w:pBdr>
          <w:top w:val="none" w:color="000000" w:sz="0" w:space="0"/>
          <w:left w:val="none" w:color="000000" w:sz="0" w:space="0"/>
          <w:bottom w:val="none" w:color="000000" w:sz="0" w:space="0"/>
          <w:right w:val="none" w:color="000000" w:sz="0" w:space="0"/>
        </w:pBdr>
        <w:outlineLvl w:val="0"/>
      </w:pPr>
      <w:r>
        <w:rPr>
          <w:rFonts w:ascii="宋体" w:hAnsi="宋体" w:cs="宋体"/>
        </w:rPr>
      </w:r>
      <w:r/>
    </w:p>
    <w:p>
      <w:pPr>
        <w:jc w:val="center"/>
        <w:spacing w:line="720" w:lineRule="atLeast"/>
        <w:rPr>
          <w:rFonts w:ascii="宋体" w:hAnsi="宋体" w:cs="宋体"/>
        </w:rPr>
        <w:pBdr>
          <w:top w:val="none" w:color="000000" w:sz="0" w:space="0"/>
          <w:left w:val="none" w:color="000000" w:sz="0" w:space="0"/>
          <w:bottom w:val="none" w:color="000000" w:sz="0" w:space="0"/>
          <w:right w:val="none" w:color="000000" w:sz="0" w:space="0"/>
        </w:pBdr>
        <w:outlineLvl w:val="0"/>
      </w:pPr>
      <w:r>
        <w:rPr>
          <w:rFonts w:ascii="宋体" w:hAnsi="宋体" w:cs="宋体"/>
        </w:rPr>
      </w:r>
      <w:r/>
    </w:p>
    <w:p>
      <w:pPr>
        <w:jc w:val="center"/>
        <w:spacing w:line="720" w:lineRule="atLeast"/>
        <w:rPr>
          <w:rFonts w:ascii="宋体" w:hAnsi="宋体" w:cs="宋体"/>
        </w:rPr>
        <w:pBdr>
          <w:top w:val="none" w:color="000000" w:sz="0" w:space="0"/>
          <w:left w:val="none" w:color="000000" w:sz="0" w:space="0"/>
          <w:bottom w:val="none" w:color="000000" w:sz="0" w:space="0"/>
          <w:right w:val="none" w:color="000000" w:sz="0" w:space="0"/>
        </w:pBdr>
        <w:outlineLvl w:val="0"/>
      </w:pPr>
      <w:r>
        <w:rPr>
          <w:rFonts w:ascii="宋体" w:hAnsi="宋体" w:cs="宋体"/>
        </w:rPr>
      </w:r>
      <w:r/>
    </w:p>
    <w:p>
      <w:pPr>
        <w:jc w:val="center"/>
        <w:spacing w:line="720" w:lineRule="atLeast"/>
        <w:rPr>
          <w:rFonts w:ascii="宋体" w:hAnsi="宋体" w:cs="宋体"/>
        </w:rPr>
        <w:pBdr>
          <w:top w:val="none" w:color="000000" w:sz="0" w:space="0"/>
          <w:left w:val="none" w:color="000000" w:sz="0" w:space="0"/>
          <w:bottom w:val="none" w:color="000000" w:sz="0" w:space="0"/>
          <w:right w:val="none" w:color="000000" w:sz="0" w:space="0"/>
        </w:pBdr>
        <w:outlineLvl w:val="0"/>
      </w:pPr>
      <w:r>
        <w:rPr>
          <w:rFonts w:ascii="宋体" w:hAnsi="宋体" w:cs="宋体"/>
        </w:rPr>
      </w:r>
      <w:r/>
    </w:p>
    <w:p>
      <w:pPr>
        <w:jc w:val="center"/>
        <w:spacing w:line="720" w:lineRule="atLeast"/>
        <w:rPr>
          <w:rFonts w:ascii="宋体" w:hAnsi="宋体" w:cs="宋体"/>
          <w:b/>
          <w:sz w:val="28"/>
          <w:szCs w:val="28"/>
        </w:rPr>
        <w:pBdr>
          <w:top w:val="none" w:color="000000" w:sz="0" w:space="0"/>
          <w:left w:val="none" w:color="000000" w:sz="0" w:space="0"/>
          <w:bottom w:val="none" w:color="000000" w:sz="0" w:space="0"/>
          <w:right w:val="none" w:color="000000" w:sz="0" w:space="0"/>
        </w:pBdr>
        <w:outlineLvl w:val="0"/>
      </w:pPr>
      <w:r>
        <w:rPr>
          <w:rFonts w:ascii="宋体" w:hAnsi="宋体" w:cs="宋体"/>
          <w:b/>
          <w:sz w:val="28"/>
          <w:szCs w:val="28"/>
        </w:rPr>
      </w:r>
      <w:r/>
    </w:p>
    <w:p>
      <w:pPr>
        <w:jc w:val="center"/>
        <w:spacing w:line="720" w:lineRule="atLeast"/>
        <w:rPr>
          <w:rFonts w:ascii="宋体" w:hAnsi="宋体" w:cs="宋体"/>
          <w:b/>
          <w:sz w:val="28"/>
          <w:szCs w:val="28"/>
        </w:rPr>
        <w:pBdr>
          <w:top w:val="none" w:color="000000" w:sz="0" w:space="0"/>
          <w:left w:val="none" w:color="000000" w:sz="0" w:space="0"/>
          <w:bottom w:val="none" w:color="000000" w:sz="0" w:space="0"/>
          <w:right w:val="none" w:color="000000" w:sz="0" w:space="0"/>
        </w:pBdr>
        <w:outlineLvl w:val="0"/>
      </w:pPr>
      <w:r>
        <w:rPr>
          <w:rFonts w:ascii="宋体" w:hAnsi="宋体" w:cs="宋体"/>
          <w:b/>
          <w:sz w:val="28"/>
          <w:szCs w:val="28"/>
        </w:rPr>
      </w:r>
      <w:r/>
    </w:p>
    <w:p>
      <w:pPr>
        <w:jc w:val="center"/>
        <w:spacing w:line="720" w:lineRule="atLeast"/>
        <w:rPr>
          <w:rFonts w:ascii="宋体" w:hAnsi="宋体" w:cs="宋体"/>
          <w:b/>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8"/>
          <w:szCs w:val="28"/>
        </w:rPr>
        <w:t xml:space="preserve">第三章  投标资料表</w:t>
      </w:r>
      <w:r/>
    </w:p>
    <w:p>
      <w:pPr>
        <w:ind w:firstLine="600"/>
        <w:jc w:val="center"/>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60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本资料表的条款项号与《投标人须知》的条款项号相对应。如有增加条款，视为对《投标人须知》的补充、修改和完善；两者不一致的，以本资料表为准。</w:t>
      </w:r>
      <w:r/>
    </w:p>
    <w:tbl>
      <w:tblPr>
        <w:tblStyle w:val="863"/>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条款项号</w:t>
            </w:r>
            <w:r/>
          </w:p>
        </w:tc>
        <w:tc>
          <w:tcPr>
            <w:tcMar>
              <w:left w:w="108" w:type="dxa"/>
              <w:top w:w="0" w:type="dxa"/>
              <w:right w:w="108" w:type="dxa"/>
              <w:bottom w:w="0" w:type="dxa"/>
            </w:tcMar>
            <w:tcW w:w="8313"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本项目采购人：徐州工业职业技术学院</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本项目采购代理机构：江苏中瑞建设项目管理有限公司</w:t>
            </w:r>
            <w:r/>
          </w:p>
        </w:tc>
      </w:tr>
      <w:tr>
        <w:trPr>
          <w:jc w:val="center"/>
          <w:trHeight w:val="444"/>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一、符合《中华人民共和国政府采购法》第二十二条的规定；</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二、特定资格要求：无</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三、本项目不属于专门面向中小微企业采购的项目。</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四、本项目是否接受进口产品：否。</w:t>
            </w:r>
            <w:r/>
          </w:p>
          <w:p>
            <w:pPr>
              <w:ind w:firstLine="2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1、本项目不接受联合体参与采购活动。</w:t>
            </w:r>
            <w:r/>
          </w:p>
          <w:p>
            <w:pPr>
              <w:ind w:firstLine="2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2、单位负责人为同一人或者存在直接控股、管理关系的不同供应商，不得参加同一合同项下的政府采购活动。</w:t>
            </w:r>
            <w:r/>
          </w:p>
          <w:p>
            <w:pPr>
              <w:ind w:firstLine="2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3、为本采购项目提供整体设计、规范编制或者项目管理、监理、检测等服务的供应商，不得再参加本采购项目的采购活动。</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五、查询及使用供应商信用记录：</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（一）由采购人查询信用信息。</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（二）查询渠道包括：</w:t>
            </w:r>
            <w:r/>
          </w:p>
          <w:p>
            <w:pPr>
              <w:ind w:firstLine="2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1、“信用中国”网（www.creditchina.gov.cn）；</w:t>
            </w:r>
            <w:r/>
          </w:p>
          <w:p>
            <w:pPr>
              <w:ind w:firstLine="2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2、中国政府采购网（www.ccgp.gov.cn）；</w:t>
            </w:r>
            <w:r/>
          </w:p>
          <w:p>
            <w:pPr>
              <w:ind w:firstLine="2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3、“信用江苏”网（http://credit.jiangsu.gov.cn）；</w:t>
            </w:r>
            <w:r/>
          </w:p>
          <w:p>
            <w:pPr>
              <w:ind w:firstLine="2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4、“信用中国（江苏徐州）”（http://www.xuzhoucredit.gov.cn）；</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（三）截止时点（查询环节）：开标后资格审查结束前。</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（四）信用信息查询记录和证据留存的具体方式：网页截屏打印，与其他采购文件一并保存。</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（五）信用信息的使用规则：</w:t>
            </w:r>
            <w:r/>
          </w:p>
          <w:p>
            <w:pPr>
              <w:ind w:firstLine="56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招标</w:t>
            </w:r>
            <w:r/>
          </w:p>
        </w:tc>
      </w:tr>
      <w:tr>
        <w:trPr>
          <w:jc w:val="center"/>
          <w:trHeight w:val="1628"/>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（八）1</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（九）2</w:t>
            </w:r>
            <w:r/>
          </w:p>
        </w:tc>
        <w:tc>
          <w:tcPr>
            <w:tcMar>
              <w:left w:w="108" w:type="dxa"/>
              <w:top w:w="0" w:type="dxa"/>
              <w:right w:w="108" w:type="dxa"/>
              <w:bottom w:w="0" w:type="dxa"/>
            </w:tcMar>
            <w:tcW w:w="8313" w:type="dxa"/>
            <w:textDirection w:val="lrTb"/>
            <w:noWrap w:val="false"/>
          </w:tcPr>
          <w:p>
            <w:pPr>
              <w:spacing w:line="360" w:lineRule="auto"/>
              <w:tabs>
                <w:tab w:val="left" w:pos="5760" w:leader="none"/>
              </w:tabs>
              <w:rPr>
                <w:rFonts w:ascii="宋体" w:hAnsi="宋体" w:cs="宋体"/>
                <w:sz w:val="24"/>
              </w:rPr>
            </w:pPr>
            <w:r>
              <w:rPr>
                <w:rFonts w:hint="eastAsia" w:ascii="宋体" w:hAnsi="宋体" w:cs="宋体"/>
                <w:b/>
                <w:bCs/>
                <w:sz w:val="24"/>
              </w:rPr>
              <w:t xml:space="preserve">本项目不组织集中现场考察，投标人可自行现场考察。</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（九）3</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投标文件的语言为中文</w:t>
            </w:r>
            <w:r/>
          </w:p>
        </w:tc>
      </w:tr>
      <w:tr>
        <w:trPr>
          <w:jc w:val="center"/>
          <w:trHeight w:val="525"/>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（十二）1</w:t>
            </w:r>
            <w:r/>
          </w:p>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（十二）2</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线上投标文件编制要求：</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请按照以下要求（包括但不限于以下要求）制作：</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一、基本目录</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1.《投标函》。要求加盖电子签章，格式见本文件第七章《投标文件相关格式》（必须提供，否则在符合性审查时按照投标无效处理）。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r>
              <w:rPr>
                <w:rFonts w:hint="eastAsia" w:ascii="宋体" w:hAnsi="宋体" w:cs="宋体"/>
                <w:b/>
                <w:sz w:val="24"/>
              </w:rPr>
              <w:t xml:space="preserve">《授权委托书及法定代表人身份证明书》。要求加盖电子签章，格式见本文件第七章《投标文件相关格式》（必须提供，否则在符合性审查时按照投标无效处理）（如法定代表人本人参与投标，则只需要提供《法定代表人身份证明书》）。</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3.所投产品的环境标志产品认证证书原件的扫描件（如有）。</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（2）环境标志产品认证证书是否符合要求，采购人评标时查询中国政府采购网（www.ccgp.gov.cn）相关内容后确定。</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4.所投产品的节能产品认证证书原件的扫描件（如有）。</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（2）节能产品认证证书是否符合要求，采购人评标时查询中国政府采购网（www.ccgp.gov.cn）相关内容后确定。</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w:t>
            </w:r>
            <w:r>
              <w:rPr>
                <w:rFonts w:hint="eastAsia" w:ascii="宋体" w:hAnsi="宋体" w:cs="宋体"/>
                <w:b/>
                <w:bCs/>
                <w:color w:val="000000"/>
                <w:sz w:val="24"/>
              </w:rPr>
              <w:t xml:space="preserve">其他</w:t>
            </w:r>
            <w:r>
              <w:rPr>
                <w:rFonts w:hint="eastAsia" w:ascii="宋体" w:hAnsi="宋体" w:cs="宋体"/>
                <w:b/>
                <w:color w:val="000000"/>
                <w:sz w:val="24"/>
              </w:rPr>
              <w:t xml:space="preserve">（包含但不限于本国产品的声明函等，如有）。</w:t>
            </w:r>
            <w:r/>
          </w:p>
          <w:p>
            <w:pPr>
              <w:pStyle w:val="871"/>
              <w:ind w:left="0"/>
            </w:pPr>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二、资格条件（必须提供，否则按无效投标处理）</w:t>
            </w:r>
            <w:r/>
          </w:p>
          <w:p>
            <w:pPr>
              <w:spacing w:line="360" w:lineRule="auto"/>
              <w:rPr>
                <w:sz w:val="24"/>
                <w:szCs w:val="32"/>
              </w:rPr>
            </w:pPr>
            <w:r>
              <w:rPr>
                <w:sz w:val="24"/>
                <w:szCs w:val="32"/>
              </w:rPr>
              <w:t xml:space="preserve">1</w:t>
            </w:r>
            <w:r>
              <w:rPr>
                <w:rFonts w:hint="eastAsia"/>
                <w:sz w:val="24"/>
                <w:szCs w:val="32"/>
              </w:rPr>
              <w:t xml:space="preserve">.具有独立承担民事责任的能力：</w:t>
            </w:r>
            <w:r>
              <w:rPr>
                <w:rFonts w:hint="eastAsia" w:ascii="宋体" w:hAnsi="宋体" w:cs="宋体"/>
                <w:sz w:val="24"/>
              </w:rPr>
              <w:t xml:space="preserve">投标人合法有效的法人或者其他组织的营</w:t>
            </w:r>
            <w:r>
              <w:rPr>
                <w:rFonts w:hint="eastAsia" w:ascii="宋体" w:hAnsi="宋体" w:cs="宋体"/>
                <w:color w:val="auto"/>
                <w:sz w:val="24"/>
              </w:rPr>
              <w:t xml:space="preserve">业执照等证明文件，自然人的身份证明。以上证明文件提供原件的扫描件；</w:t>
            </w:r>
            <w:r>
              <w:rPr>
                <w:rFonts w:ascii="宋体" w:hAnsi="宋体" w:cs="宋体"/>
                <w:color w:val="auto"/>
                <w:sz w:val="24"/>
              </w:rPr>
              <w:t xml:space="preserve">扫描件须加盖投标人电子签章。</w:t>
            </w:r>
            <w:r/>
          </w:p>
          <w:p>
            <w:pPr>
              <w:spacing w:line="360" w:lineRule="auto"/>
              <w:rPr>
                <w:color w:val="auto"/>
                <w:sz w:val="24"/>
                <w:szCs w:val="32"/>
              </w:rPr>
            </w:pPr>
            <w:r>
              <w:rPr>
                <w:sz w:val="24"/>
                <w:szCs w:val="32"/>
              </w:rPr>
              <w:t xml:space="preserve">2</w:t>
            </w:r>
            <w:r>
              <w:rPr>
                <w:rFonts w:hint="eastAsia"/>
                <w:sz w:val="24"/>
                <w:szCs w:val="32"/>
              </w:rPr>
              <w:t xml:space="preserve">.具有良好的商业信誉和健全的财务会计制度：</w:t>
            </w:r>
            <w:r>
              <w:rPr>
                <w:sz w:val="24"/>
                <w:szCs w:val="32"/>
              </w:rPr>
              <w:t xml:space="preserve">即提供投标人的本项目开标时间</w:t>
            </w:r>
            <w:r>
              <w:rPr>
                <w:rFonts w:hint="eastAsia" w:ascii="宋体" w:hAnsi="宋体" w:cs="宋体"/>
                <w:sz w:val="24"/>
              </w:rPr>
              <w:t xml:space="preserve">（不含开标当月）</w:t>
            </w:r>
            <w:r>
              <w:rPr>
                <w:sz w:val="24"/>
                <w:szCs w:val="32"/>
              </w:rPr>
              <w:t xml:space="preserve">前6个月内任何时间的资产负债表和利润表扫描件各一份；或提供</w:t>
            </w:r>
            <w:r>
              <w:rPr>
                <w:rFonts w:hint="eastAsia" w:ascii="宋体" w:hAnsi="宋体" w:cs="宋体"/>
                <w:sz w:val="24"/>
              </w:rPr>
              <w:t xml:space="preserve">投标人</w:t>
            </w:r>
            <w:r>
              <w:rPr>
                <w:sz w:val="24"/>
                <w:szCs w:val="32"/>
              </w:rPr>
              <w:t xml:space="preserve">合法有效的经第三方机构审计的</w:t>
            </w:r>
            <w:r>
              <w:rPr>
                <w:rFonts w:hint="eastAsia"/>
                <w:sz w:val="24"/>
                <w:szCs w:val="32"/>
              </w:rPr>
              <w:t xml:space="preserve">2025年度</w:t>
            </w:r>
            <w:r>
              <w:rPr>
                <w:sz w:val="24"/>
                <w:szCs w:val="32"/>
              </w:rPr>
              <w:t xml:space="preserve">财务审计报告扫描件（应包括审计报告正文、资产负债表、现金流量表、利润表）；</w:t>
            </w:r>
            <w:r>
              <w:rPr>
                <w:rFonts w:hint="eastAsia"/>
                <w:sz w:val="24"/>
                <w:szCs w:val="32"/>
              </w:rPr>
              <w:t xml:space="preserve">或投标人的本项目开标时间（不含开标当月）前6个月内银行出具的资信证明扫描件一份</w:t>
            </w:r>
            <w:r>
              <w:rPr>
                <w:color w:val="auto"/>
                <w:sz w:val="24"/>
                <w:szCs w:val="32"/>
              </w:rPr>
              <w:t xml:space="preserve">；</w:t>
            </w:r>
            <w:r>
              <w:rPr>
                <w:rFonts w:ascii="宋体" w:hAnsi="宋体" w:cs="宋体"/>
                <w:color w:val="auto"/>
                <w:sz w:val="24"/>
              </w:rPr>
              <w:t xml:space="preserve">扫描件须加盖投标人电子签章。</w:t>
            </w:r>
            <w:r/>
          </w:p>
          <w:p>
            <w:pPr>
              <w:spacing w:line="360" w:lineRule="auto"/>
              <w:rPr>
                <w:sz w:val="24"/>
                <w:szCs w:val="32"/>
              </w:rPr>
            </w:pPr>
            <w:r>
              <w:rPr>
                <w:color w:val="auto"/>
                <w:sz w:val="24"/>
                <w:szCs w:val="32"/>
              </w:rPr>
              <w:t xml:space="preserve">3</w:t>
            </w:r>
            <w:r>
              <w:rPr>
                <w:rFonts w:hint="eastAsia"/>
                <w:color w:val="auto"/>
                <w:sz w:val="24"/>
                <w:szCs w:val="32"/>
              </w:rPr>
              <w:t xml:space="preserve">.有依法缴纳税收和社会保障资金的良好记录：即提供</w:t>
            </w:r>
            <w:r>
              <w:rPr>
                <w:color w:val="auto"/>
                <w:sz w:val="24"/>
                <w:szCs w:val="32"/>
              </w:rPr>
              <w:t xml:space="preserve">投标人的本项目开标时间</w:t>
            </w:r>
            <w:r>
              <w:rPr>
                <w:rFonts w:hint="eastAsia" w:ascii="宋体" w:hAnsi="宋体" w:cs="宋体"/>
                <w:color w:val="auto"/>
                <w:sz w:val="24"/>
              </w:rPr>
              <w:t xml:space="preserve">（不含开标当月）</w:t>
            </w:r>
            <w:r>
              <w:rPr>
                <w:color w:val="auto"/>
                <w:sz w:val="24"/>
                <w:szCs w:val="32"/>
              </w:rPr>
              <w:t xml:space="preserve">前6个月内任何1个月的依法缴纳税收扫描件和社会保障资金扫描件的相关材料</w:t>
            </w:r>
            <w:r>
              <w:rPr>
                <w:rFonts w:hint="eastAsia"/>
                <w:color w:val="auto"/>
                <w:sz w:val="24"/>
                <w:szCs w:val="32"/>
              </w:rPr>
              <w:t xml:space="preserve">各一份</w:t>
            </w:r>
            <w:r>
              <w:rPr>
                <w:color w:val="auto"/>
                <w:sz w:val="24"/>
                <w:szCs w:val="32"/>
              </w:rPr>
              <w:t xml:space="preserve">（依法免税或不需要缴纳社会保障资金的供应商</w:t>
            </w:r>
            <w:r>
              <w:rPr>
                <w:rFonts w:hint="eastAsia"/>
                <w:color w:val="auto"/>
                <w:sz w:val="24"/>
                <w:szCs w:val="32"/>
              </w:rPr>
              <w:t xml:space="preserve">，</w:t>
            </w:r>
            <w:r>
              <w:rPr>
                <w:color w:val="auto"/>
                <w:sz w:val="24"/>
                <w:szCs w:val="32"/>
              </w:rPr>
              <w:t xml:space="preserve">提供相应文件扫描件证明其依法免税或不需要缴纳社会保障资金</w:t>
            </w:r>
            <w:r>
              <w:rPr>
                <w:rFonts w:hint="eastAsia"/>
                <w:color w:val="auto"/>
                <w:sz w:val="24"/>
                <w:szCs w:val="32"/>
              </w:rPr>
              <w:t xml:space="preserve">）</w:t>
            </w:r>
            <w:r>
              <w:rPr>
                <w:color w:val="auto"/>
                <w:sz w:val="24"/>
                <w:szCs w:val="32"/>
              </w:rPr>
              <w:t xml:space="preserve">；</w:t>
            </w:r>
            <w:r>
              <w:rPr>
                <w:rFonts w:ascii="宋体" w:hAnsi="宋体" w:cs="宋体"/>
                <w:color w:val="auto"/>
                <w:sz w:val="24"/>
              </w:rPr>
              <w:t xml:space="preserve">扫描件须加盖投标人电子签章。</w:t>
            </w:r>
            <w:r/>
          </w:p>
          <w:p>
            <w:pPr>
              <w:ind w:right="28"/>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4.具有履行合同所必需的设备和专业技术能力：</w:t>
            </w:r>
            <w:r>
              <w:rPr>
                <w:rFonts w:hint="eastAsia"/>
                <w:color w:val="000000"/>
                <w:sz w:val="24"/>
                <w:szCs w:val="32"/>
              </w:rPr>
              <w:t xml:space="preserve">即投标文件中提供：</w:t>
            </w:r>
            <w:r>
              <w:rPr>
                <w:color w:val="000000"/>
                <w:sz w:val="24"/>
                <w:szCs w:val="32"/>
              </w:rPr>
              <w:t xml:space="preserve">《具备履行合同所必需的设备和专业技术能力的书面声明》</w:t>
            </w:r>
            <w:r>
              <w:rPr>
                <w:rFonts w:hint="eastAsia"/>
                <w:color w:val="000000"/>
                <w:sz w:val="24"/>
                <w:szCs w:val="32"/>
              </w:rPr>
              <w:t xml:space="preserve">，格式见本文件第七章《投标文件相关格式</w:t>
            </w:r>
            <w:r>
              <w:rPr>
                <w:rFonts w:hint="eastAsia"/>
                <w:color w:val="auto"/>
                <w:sz w:val="24"/>
                <w:szCs w:val="32"/>
              </w:rPr>
              <w:t xml:space="preserve">》；书面声明</w:t>
            </w:r>
            <w:r>
              <w:rPr>
                <w:rFonts w:ascii="宋体" w:hAnsi="宋体" w:cs="宋体"/>
                <w:color w:val="auto"/>
                <w:sz w:val="24"/>
              </w:rPr>
              <w:t xml:space="preserve">须加盖投标人电子签章。</w:t>
            </w:r>
            <w:r/>
          </w:p>
          <w:p>
            <w:pPr>
              <w:ind w:right="28"/>
              <w:spacing w:line="360" w:lineRule="auto"/>
              <w:rPr>
                <w:color w:val="auto"/>
                <w:sz w:val="24"/>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5.参加政府采购活动前三年内，在经营活动中没有重大违法记录：</w:t>
            </w:r>
            <w:r>
              <w:rPr>
                <w:rFonts w:ascii="宋体" w:hAnsi="宋体" w:cs="宋体"/>
                <w:color w:val="auto"/>
                <w:sz w:val="24"/>
              </w:rPr>
              <w:t xml:space="preserve">即提供</w:t>
            </w:r>
            <w:r>
              <w:rPr>
                <w:color w:val="auto"/>
                <w:sz w:val="24"/>
                <w:szCs w:val="32"/>
              </w:rPr>
              <w:t xml:space="preserve">《</w:t>
            </w:r>
            <w:r>
              <w:rPr>
                <w:rFonts w:hint="eastAsia" w:ascii="宋体" w:hAnsi="宋体" w:cs="宋体"/>
                <w:color w:val="auto"/>
                <w:sz w:val="24"/>
              </w:rPr>
              <w:t xml:space="preserve">投标人参加政府采购活动前3年内在经营活动中没有重大违法记录的书面声明</w:t>
            </w:r>
            <w:r>
              <w:rPr>
                <w:color w:val="auto"/>
                <w:sz w:val="24"/>
                <w:szCs w:val="32"/>
              </w:rPr>
              <w:t xml:space="preserve">》</w:t>
            </w:r>
            <w:r>
              <w:rPr>
                <w:rFonts w:hint="eastAsia"/>
                <w:color w:val="auto"/>
                <w:sz w:val="24"/>
                <w:szCs w:val="32"/>
              </w:rPr>
              <w:t xml:space="preserve">，格式见本文件第七章《投标文件相关格式》；书面声明</w:t>
            </w:r>
            <w:r>
              <w:rPr>
                <w:rFonts w:ascii="宋体" w:hAnsi="宋体" w:cs="宋体"/>
                <w:color w:val="auto"/>
                <w:sz w:val="24"/>
              </w:rPr>
              <w:t xml:space="preserve">须加盖投标人电子签章。</w:t>
            </w:r>
            <w:r/>
          </w:p>
          <w:p>
            <w:pPr>
              <w:spacing w:line="360" w:lineRule="auto"/>
              <w:rPr>
                <w:rFonts w:ascii="宋体" w:hAnsi="宋体" w:cs="宋体"/>
                <w:b/>
                <w:sz w:val="24"/>
              </w:rPr>
            </w:pPr>
            <w:r>
              <w:rPr>
                <w:rFonts w:hint="eastAsia" w:ascii="宋体" w:hAnsi="宋体" w:cs="宋体"/>
                <w:b/>
                <w:sz w:val="24"/>
              </w:rPr>
              <w:t xml:space="preserve">三、符合条件（必须提供，否则在符合性审查时按无效投标处理）</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1.《开标一览表》。政府采购客户端工具输入报价自动生成。</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2.《分项价格表》。加盖电子签章，格式见本文件第七章《投标文件相关格式》。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1.《投标函》</w:t>
            </w:r>
            <w:r>
              <w:rPr>
                <w:rFonts w:hint="eastAsia" w:ascii="宋体" w:hAnsi="宋体" w:cs="宋体"/>
                <w:b/>
                <w:sz w:val="24"/>
              </w:rPr>
              <w:t xml:space="preserve">。</w:t>
            </w:r>
            <w:r>
              <w:rPr>
                <w:rFonts w:hint="eastAsia" w:ascii="宋体" w:hAnsi="宋体" w:cs="宋体"/>
                <w:b/>
                <w:bCs/>
                <w:sz w:val="24"/>
              </w:rPr>
              <w:t xml:space="preserve">加盖电子签章，格式见招标文件第七章《投标文件相关格式》。</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r>
              <w:rPr>
                <w:rFonts w:hint="eastAsia" w:ascii="宋体" w:hAnsi="宋体" w:cs="宋体"/>
                <w:b/>
                <w:sz w:val="24"/>
              </w:rPr>
              <w:t xml:space="preserve">《授权委托书及法定代表人身份证明书》。加盖电子签章，格式见本文件第七章《投标文件相关格式》。（如法定代表人本人参与投标，则只需要提供《法定代表人身份证明书》）</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hint="eastAsia" w:ascii="宋体" w:hAnsi="宋体" w:cs="宋体"/>
                <w:b/>
                <w:bCs/>
                <w:sz w:val="24"/>
              </w:rPr>
              <w:t xml:space="preserve">《商务偏离表》。加盖电子签章，格式见招标文件第七章《投标文件相关格式》。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4.《质保期满后供选购的备品备件及易损件报价表》。加盖电子签章，格式见招标文件第七章《投标文件相关格式》。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1.《技术偏离表》。加盖电子签章，格式见招标文件第七章《投标文件相关格式》。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四、综合评审评分项</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（一）技术部分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1.技术规格参数（含相关证明材料）</w:t>
            </w:r>
            <w:r>
              <w:rPr>
                <w:rFonts w:hint="eastAsia" w:ascii="宋体" w:hAnsi="宋体" w:cs="宋体"/>
                <w:sz w:val="24"/>
              </w:rPr>
              <w:t xml:space="preserve">（要求见招标文件第六章《采购需求》及第四章《评标标准》中《评分细则》）；</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2.项目整体实施方案</w:t>
            </w:r>
            <w:r>
              <w:rPr>
                <w:rFonts w:hint="eastAsia" w:ascii="宋体" w:hAnsi="宋体" w:cs="宋体"/>
                <w:sz w:val="24"/>
              </w:rPr>
              <w:t xml:space="preserve">（要求见招标文件第六章《采购需求》及第四章《评标标准》中《评分细则》）；</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3.业务迁移方案</w:t>
            </w:r>
            <w:r>
              <w:rPr>
                <w:rFonts w:hint="eastAsia" w:ascii="宋体" w:hAnsi="宋体" w:cs="宋体"/>
                <w:sz w:val="24"/>
              </w:rPr>
              <w:t xml:space="preserve">（要求见招标文件第六章《采购需求》及第四章《评标标准》中《评分细则》）；</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4.售后服务方案</w:t>
            </w:r>
            <w:r>
              <w:rPr>
                <w:rFonts w:ascii="宋体" w:hAnsi="宋体" w:cs="宋体"/>
                <w:color w:val="000000"/>
                <w:sz w:val="24"/>
              </w:rPr>
              <w:t xml:space="preserve">（要求见招标文件第六章《采购需求》及第四章《评标标准》中《评分细则》）；</w:t>
            </w:r>
            <w:r/>
          </w:p>
          <w:p>
            <w:pPr>
              <w:ind w:right="33"/>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5.培训方案</w:t>
            </w:r>
            <w:r>
              <w:rPr>
                <w:rFonts w:ascii="宋体" w:hAnsi="宋体" w:cs="宋体"/>
                <w:color w:val="000000"/>
                <w:sz w:val="24"/>
              </w:rPr>
              <w:t xml:space="preserve">（要求见招标文件第六章《采购需求》及第四章《评标标准》中《评分细则》）；</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6.评分细则中评分得分需提供的相关证明文件扫描件</w:t>
            </w:r>
            <w:r>
              <w:rPr>
                <w:rFonts w:hint="eastAsia" w:ascii="宋体" w:hAnsi="宋体" w:cs="宋体"/>
                <w:b/>
                <w:color w:val="000000"/>
                <w:sz w:val="24"/>
              </w:rPr>
              <w:t xml:space="preserve">（如有）</w:t>
            </w:r>
            <w:r>
              <w:rPr>
                <w:rFonts w:ascii="宋体" w:hAnsi="宋体" w:cs="宋体"/>
                <w:b/>
                <w:color w:val="000000"/>
                <w:sz w:val="24"/>
              </w:rPr>
              <w:t xml:space="preserve">。</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w:t>
            </w:r>
            <w:r>
              <w:rPr>
                <w:rFonts w:hint="eastAsia" w:ascii="宋体" w:hAnsi="宋体" w:cs="宋体"/>
                <w:b/>
                <w:bCs/>
                <w:sz w:val="24"/>
              </w:rPr>
              <w:t xml:space="preserve">商务部分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1.投标人体系认证</w:t>
            </w:r>
            <w:r>
              <w:rPr>
                <w:rFonts w:hint="eastAsia" w:ascii="宋体" w:hAnsi="宋体" w:cs="宋体"/>
                <w:sz w:val="24"/>
              </w:rPr>
              <w:t xml:space="preserve">（要求见本文件第四章《评标标准》中《评分细则》）；</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2.项目实施保障能力承诺</w:t>
            </w:r>
            <w:r>
              <w:rPr>
                <w:rFonts w:hint="eastAsia" w:ascii="宋体" w:hAnsi="宋体" w:cs="宋体"/>
                <w:sz w:val="24"/>
              </w:rPr>
              <w:t xml:space="preserve">（要求见本文件第四章《评标标准》中《评分细则》）；</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3.类似业绩</w:t>
            </w:r>
            <w:r>
              <w:rPr>
                <w:rFonts w:hint="eastAsia" w:ascii="宋体" w:hAnsi="宋体" w:cs="宋体"/>
                <w:sz w:val="24"/>
              </w:rPr>
              <w:t xml:space="preserve">（要求见本文件第四章《评标标准》中《评分细则》）；</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4.所投产品为“环境标志产品”</w:t>
            </w:r>
            <w:r>
              <w:rPr>
                <w:rFonts w:hint="eastAsia" w:ascii="宋体" w:hAnsi="宋体" w:cs="宋体"/>
                <w:sz w:val="24"/>
              </w:rPr>
              <w:t xml:space="preserve">（要求见本文件第四章《评标标准》中《评分细则》）；</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5.所投产品为“节能产品”</w:t>
            </w:r>
            <w:r>
              <w:rPr>
                <w:rFonts w:hint="eastAsia" w:ascii="宋体" w:hAnsi="宋体" w:cs="宋体"/>
                <w:sz w:val="24"/>
              </w:rPr>
              <w:t xml:space="preserve">（要求见本文件第四章《评标标准》中《评分细则》）；</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6.投标人其他证明文件及材料扫描件</w:t>
            </w:r>
            <w:r>
              <w:rPr>
                <w:rFonts w:hint="eastAsia" w:ascii="宋体" w:hAnsi="宋体" w:cs="宋体"/>
                <w:b/>
                <w:color w:val="000000"/>
                <w:sz w:val="24"/>
              </w:rPr>
              <w:t xml:space="preserve">（如有）</w:t>
            </w:r>
            <w:r>
              <w:rPr>
                <w:rFonts w:hint="eastAsia" w:ascii="宋体" w:hAnsi="宋体" w:cs="宋体"/>
                <w:b/>
                <w:bCs/>
                <w:sz w:val="24"/>
              </w:rPr>
              <w:t xml:space="preserve">。</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五、其他部分</w:t>
            </w:r>
            <w:r/>
          </w:p>
          <w:p>
            <w:pPr>
              <w:ind w:firstLine="480"/>
              <w:spacing w:line="360" w:lineRule="auto"/>
              <w:rPr>
                <w:rStyle w:val="889"/>
                <w:rFonts w:ascii="宋体" w:hAnsi="宋体" w:cs="宋体"/>
                <w:bCs/>
                <w:sz w:val="24"/>
                <w:shd w:val="clear" w:color="auto" w:fill="ffffff"/>
              </w:rPr>
            </w:pPr>
            <w:r>
              <w:rPr>
                <w:rFonts w:hint="eastAsia" w:ascii="宋体" w:hAnsi="宋体" w:cs="宋体"/>
                <w:b/>
                <w:bCs/>
                <w:color w:val="000000"/>
                <w:sz w:val="24"/>
              </w:rPr>
              <w:t xml:space="preserve">（一）投标人《关于符合本国产品标准的声明函》（填写完整并加盖电子签章，格式见招标文件第七章《投标文件相关格式》；未填写完整或未按要求填写的，视为非本国产品）。</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b/>
                <w:bCs/>
                <w:color w:val="000000"/>
                <w:shd w:val="clear" w:color="auto" w:fill="ffffff"/>
              </w:rPr>
              <w:t xml:space="preserve">1、本国产品应当符合以下条件：</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（一）在中国境内生产</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产品应当在中国境内生产，即在中华人民共和国关境内实现从原材料、组件到产品的属性改变。</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属性改变是指经过制造、加工或者组装等工序，产生完全不同于原材料、组件的新产品，并具有新的名称和特征（用途）。属性改变不包括以下细微操作：</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1.为确保产品在运输或者储存期间保持某种状态而进行的操作；</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2.为产品运输或者销售进行的包装或者展示；</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3.在产品或者其包装上粘贴或者印刷品牌、标志、标识以及其他用于区别的标记；</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4.简单的上漆、磨光和分装；</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5.其他不属于属性改变的情形。</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（二）在中国境内生产的组件成本占比达到规定比例</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产品在中国境内生产的组件成本占比应当达到规定比例，计算公式为：</w:t>
            </w:r>
            <w:r/>
          </w:p>
          <w:p>
            <w:pPr>
              <w:pStyle w:val="886"/>
              <w:jc w:val="center"/>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mc:AlternateContent>
                <mc:Choice Requires="wpg">
                  <w:drawing>
                    <wp:inline xmlns:wp="http://schemas.openxmlformats.org/drawingml/2006/wordprocessingDrawing" distT="0" distB="0" distL="0" distR="0">
                      <wp:extent cx="4732655" cy="74676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2.6pt;height:58.8pt;mso-wrap-distance-left:0.0pt;mso-wrap-distance-top:0.0pt;mso-wrap-distance-right:0.0pt;mso-wrap-distance-bottom:0.0pt;" stroked="f">
                      <v:path textboxrect="0,0,0,0"/>
                      <v:imagedata r:id="rId19" o:title=""/>
                    </v:shape>
                  </w:pict>
                </mc:Fallback>
              </mc:AlternateConten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86"/>
              <w:ind w:firstLine="420"/>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（三）特定产品的关键组件、关键工序符合相关要求</w:t>
            </w:r>
            <w:r/>
          </w:p>
          <w:p>
            <w:pPr>
              <w:pStyle w:val="886"/>
              <w:spacing w:before="30" w:after="30" w:line="360" w:lineRule="auto"/>
              <w:shd w:val="clear" w:color="auto" w:fill="ffffff"/>
              <w:widowControl/>
              <w:rPr>
                <w:rFonts w:ascii="宋体" w:hAnsi="宋体" w:cs="宋体"/>
                <w:color w:val="000000"/>
              </w:rPr>
            </w:pPr>
            <w:r>
              <w:rPr>
                <w:rFonts w:hint="eastAsia" w:ascii="宋体" w:hAnsi="宋体" w:cs="宋体"/>
                <w:color w:val="000000"/>
                <w:shd w:val="clear" w:color="auto" w:fill="ffffff"/>
              </w:rPr>
              <w:t xml:space="preserve">1、对特定产品，在符合本通知第一条第（一）项和第（二）项条件的基础上，应当符合财政部会同有关行业主管部门确定的其关键组件、关键工序在中国境内生产、完成等要求。</w:t>
            </w:r>
            <w:r/>
          </w:p>
          <w:p>
            <w:pPr>
              <w:pStyle w:val="886"/>
              <w:ind w:firstLine="420"/>
              <w:spacing w:before="30" w:after="30" w:line="360" w:lineRule="auto"/>
              <w:shd w:val="clear" w:color="auto" w:fill="ffffff"/>
              <w:widowControl/>
              <w:rPr>
                <w:rFonts w:ascii="宋体" w:hAnsi="宋体" w:cs="宋体"/>
                <w:color w:val="000000"/>
                <w:shd w:val="clear" w:color="auto" w:fill="ffffff"/>
              </w:rPr>
            </w:pPr>
            <w:r>
              <w:rPr>
                <w:rFonts w:hint="eastAsia" w:ascii="宋体" w:hAnsi="宋体" w:cs="宋体"/>
                <w:color w:val="000000"/>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86"/>
              <w:spacing w:before="30" w:after="30" w:line="360" w:lineRule="auto"/>
              <w:shd w:val="clear" w:color="auto" w:fill="ffffff"/>
              <w:widowControl/>
              <w:rPr>
                <w:rFonts w:ascii="宋体" w:hAnsi="宋体" w:cs="宋体"/>
                <w:color w:val="000000"/>
                <w:shd w:val="clear" w:color="auto" w:fill="ffffff"/>
              </w:rPr>
            </w:pPr>
            <w:r>
              <w:rPr>
                <w:rFonts w:hint="eastAsia" w:ascii="宋体" w:hAnsi="宋体" w:cs="宋体"/>
                <w:b/>
                <w:bCs/>
                <w:color w:val="000000"/>
                <w:shd w:val="clear" w:color="auto" w:fill="ffffff"/>
              </w:rPr>
              <w:t xml:space="preserve">2、本国产品标准的适用范围：</w:t>
            </w:r>
            <w:r/>
          </w:p>
          <w:p>
            <w:pPr>
              <w:pStyle w:val="886"/>
              <w:ind w:firstLine="420"/>
              <w:spacing w:before="30" w:after="30" w:line="360" w:lineRule="auto"/>
              <w:shd w:val="clear" w:color="auto" w:fill="ffffff"/>
              <w:widowControl/>
              <w:rPr>
                <w:rFonts w:ascii="宋体" w:hAnsi="宋体" w:cs="宋体"/>
                <w:shd w:val="clear" w:color="auto" w:fill="ffffff"/>
              </w:rPr>
            </w:pPr>
            <w:r>
              <w:rPr>
                <w:rFonts w:hint="eastAsia" w:ascii="宋体" w:hAnsi="宋体" w:cs="宋体"/>
                <w:color w:val="000000"/>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cs="宋体"/>
                <w:shd w:val="clear" w:color="auto" w:fill="ffffff"/>
              </w:rPr>
              <w:t xml:space="preserve">食品、饮料和烟草原料，无形资产。</w:t>
            </w:r>
            <w:r/>
          </w:p>
          <w:p>
            <w:pPr>
              <w:pStyle w:val="886"/>
              <w:spacing w:before="30" w:after="30" w:line="360" w:lineRule="auto"/>
              <w:shd w:val="clear" w:color="auto" w:fill="ffffff"/>
              <w:widowControl/>
              <w:rPr>
                <w:rFonts w:ascii="宋体" w:hAnsi="宋体" w:cs="宋体"/>
                <w:b/>
                <w:bCs/>
                <w:shd w:val="clear" w:color="auto" w:fill="ffffff"/>
              </w:rPr>
            </w:pPr>
            <w:r>
              <w:rPr>
                <w:rFonts w:hint="eastAsia" w:ascii="宋体" w:hAnsi="宋体" w:cs="宋体"/>
                <w:b/>
                <w:bCs/>
                <w:shd w:val="clear" w:color="auto" w:fill="ffffff"/>
              </w:rPr>
              <w:t xml:space="preserve">3、本国产品的支持政策</w:t>
            </w:r>
            <w:r/>
          </w:p>
          <w:p>
            <w:pPr>
              <w:pStyle w:val="886"/>
              <w:ind w:firstLine="420"/>
              <w:spacing w:before="30" w:after="30" w:line="360" w:lineRule="auto"/>
              <w:shd w:val="clear" w:color="auto" w:fill="ffffff"/>
              <w:widowControl/>
              <w:rPr>
                <w:rFonts w:ascii="宋体" w:hAnsi="宋体" w:cs="宋体"/>
                <w:color w:val="000000"/>
                <w:shd w:val="clear" w:color="auto" w:fill="ffffff"/>
              </w:rPr>
            </w:pPr>
            <w:r>
              <w:rPr>
                <w:rFonts w:hint="eastAsia" w:ascii="宋体" w:hAnsi="宋体" w:cs="宋体"/>
                <w:color w:val="000000"/>
                <w:shd w:val="clear" w:color="auto" w:fill="ffffff"/>
              </w:rPr>
              <w:t xml:space="preserve">政府采购活动中既有本国产品又有非本国产品参与竞争的，依法对本国产品给予价格评审优惠，对本国产品的报价给予20%的价格扣除，用扣除后的价格参与评审。</w:t>
            </w:r>
            <w:r/>
          </w:p>
          <w:p>
            <w:pPr>
              <w:pStyle w:val="886"/>
              <w:ind w:firstLine="420"/>
              <w:spacing w:before="30" w:after="30" w:line="360" w:lineRule="auto"/>
              <w:shd w:val="clear" w:color="auto" w:fill="ffffff"/>
              <w:widowControl/>
              <w:rPr>
                <w:rFonts w:ascii="宋体" w:hAnsi="宋体" w:cs="宋体"/>
                <w:color w:val="000000"/>
                <w:shd w:val="clear" w:color="auto" w:fill="ffffff"/>
              </w:rPr>
            </w:pPr>
            <w:r>
              <w:rPr>
                <w:rFonts w:hint="eastAsia" w:ascii="宋体" w:hAnsi="宋体" w:cs="宋体"/>
                <w:color w:val="000000"/>
                <w:shd w:val="clear" w:color="auto" w:fill="ffffff"/>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pPr>
            <w:r>
              <w:rPr>
                <w:rFonts w:hint="eastAsia" w:ascii="宋体" w:hAnsi="宋体" w:cs="宋体"/>
                <w:b/>
                <w:sz w:val="24"/>
              </w:rPr>
              <w:t xml:space="preserve">具体以《国务院办公厅关于在政府采购中实施本国产品标准及相关政策的通知》（国办发〔2025〕34号）规定为准。</w:t>
            </w:r>
            <w:r/>
          </w:p>
          <w:p>
            <w:pPr>
              <w:pStyle w:val="871"/>
            </w:pPr>
            <w:r/>
            <w:r/>
          </w:p>
          <w:p>
            <w:pPr>
              <w:spacing w:line="360" w:lineRule="auto"/>
              <w:rPr>
                <w:rFonts w:ascii="宋体" w:hAnsi="宋体" w:cs="宋体"/>
                <w:sz w:val="24"/>
              </w:rPr>
            </w:pPr>
            <w:r>
              <w:rPr>
                <w:rFonts w:hint="eastAsia" w:ascii="宋体" w:hAnsi="宋体" w:cs="宋体"/>
                <w:sz w:val="24"/>
              </w:rPr>
              <w:t xml:space="preserve">注：中国境内生产的组件成本核算基本规则</w:t>
            </w:r>
            <w:r/>
          </w:p>
          <w:p>
            <w:pPr>
              <w:ind w:firstLine="480"/>
              <w:spacing w:line="360" w:lineRule="auto"/>
              <w:rPr>
                <w:rFonts w:ascii="宋体" w:hAnsi="宋体" w:cs="宋体"/>
                <w:sz w:val="24"/>
              </w:rPr>
            </w:pPr>
            <w:r>
              <w:rPr>
                <w:rFonts w:hint="eastAsia" w:ascii="宋体" w:hAnsi="宋体" w:cs="宋体"/>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ascii="宋体" w:hAnsi="宋体" w:cs="宋体"/>
                <w:sz w:val="24"/>
              </w:rPr>
            </w:pPr>
            <w:r>
              <w:rPr>
                <w:rFonts w:hint="eastAsia" w:ascii="宋体" w:hAnsi="宋体" w:cs="宋体"/>
                <w:sz w:val="24"/>
              </w:rPr>
              <w:t xml:space="preserve">一、产品的一级组件是指直接组成产品的组件。产品的二级组件是指直接组成产品一级组件的组件。一级组件不可分解的，视同二级组件。</w:t>
            </w:r>
            <w:r/>
          </w:p>
          <w:p>
            <w:pPr>
              <w:spacing w:line="360" w:lineRule="auto"/>
              <w:rPr>
                <w:rFonts w:ascii="宋体" w:hAnsi="宋体" w:cs="宋体"/>
                <w:sz w:val="24"/>
              </w:rPr>
            </w:pPr>
            <w:r>
              <w:rPr>
                <w:rFonts w:hint="eastAsia" w:ascii="宋体" w:hAnsi="宋体" w:cs="宋体"/>
                <w:sz w:val="24"/>
              </w:rPr>
              <w:t xml:space="preserve">二、二级组件在中国境内生产的，其全部成本计入中国境内生产的组件成本；二级组件不在中国境内生产的，其成本不计入中国境内生产的组件成本。</w:t>
            </w:r>
            <w:r/>
          </w:p>
          <w:p>
            <w:pPr>
              <w:spacing w:line="360" w:lineRule="auto"/>
              <w:rPr>
                <w:rFonts w:ascii="宋体" w:hAnsi="宋体" w:cs="宋体"/>
                <w:sz w:val="24"/>
              </w:rPr>
            </w:pPr>
            <w:r>
              <w:rPr>
                <w:rFonts w:hint="eastAsia" w:ascii="宋体" w:hAnsi="宋体" w:cs="宋体"/>
                <w:sz w:val="24"/>
              </w:rPr>
              <w:t xml:space="preserve">三、产品总成本和组件成本以相关会计核算数据、采购合同、进货记录等为基础进行计算。</w:t>
            </w:r>
            <w:r/>
          </w:p>
          <w:p>
            <w:pPr>
              <w:spacing w:line="360" w:lineRule="auto"/>
              <w:rPr>
                <w:rFonts w:ascii="宋体" w:hAnsi="宋体" w:cs="宋体"/>
                <w:sz w:val="24"/>
              </w:rPr>
            </w:pPr>
            <w:r>
              <w:rPr>
                <w:rFonts w:hint="eastAsia" w:ascii="宋体" w:hAnsi="宋体" w:cs="宋体"/>
                <w:sz w:val="24"/>
              </w:rPr>
              <w:t xml:space="preserve">四、需要对成本核算规则予以进一步明确的其他有关事项，由财政部会同有关部门另行规定。</w:t>
            </w:r>
            <w:r/>
          </w:p>
          <w:p>
            <w:pPr>
              <w:spacing w:line="360" w:lineRule="auto"/>
              <w:rPr>
                <w:rFonts w:ascii="宋体" w:hAnsi="宋体" w:cs="仿宋"/>
                <w:b/>
                <w:bCs/>
                <w:color w:val="000000"/>
                <w:sz w:val="24"/>
              </w:rPr>
            </w:pPr>
            <w:r>
              <w:rPr>
                <w:rFonts w:hint="eastAsia" w:ascii="宋体" w:hAnsi="宋体" w:cs="仿宋"/>
                <w:b/>
                <w:bCs/>
                <w:color w:val="000000"/>
                <w:sz w:val="24"/>
              </w:rPr>
              <w:t xml:space="preserve">（二）企业报价折扣证明：</w:t>
            </w:r>
            <w:r/>
          </w:p>
          <w:p>
            <w:pPr>
              <w:ind w:firstLine="480"/>
              <w:spacing w:line="360" w:lineRule="auto"/>
              <w:rPr>
                <w:rFonts w:ascii="宋体" w:hAnsi="宋体" w:cs="仿宋"/>
                <w:b/>
                <w:bCs/>
                <w:color w:val="000000"/>
                <w:sz w:val="24"/>
              </w:rPr>
            </w:pPr>
            <w:r>
              <w:rPr>
                <w:rFonts w:hint="eastAsia" w:ascii="宋体" w:hAnsi="宋体" w:cs="仿宋"/>
                <w:b/>
                <w:bCs/>
                <w:color w:val="000000"/>
                <w:sz w:val="24"/>
              </w:rPr>
              <w:t xml:space="preserve">投标人提供的货物全部由符合政策要求的中小企业制造的，提供《中小企业声明函》，加盖电子签章，格式见招标文件第七章《投标文件相关格式》（如不填写完整或未按要求填写，视为未提供，不享受相应价格扣除；非必须提供）。 </w:t>
            </w:r>
            <w:r/>
          </w:p>
          <w:p>
            <w:pPr>
              <w:ind w:firstLine="480"/>
              <w:spacing w:line="360" w:lineRule="auto"/>
              <w:rPr>
                <w:sz w:val="24"/>
                <w:szCs w:val="32"/>
              </w:rPr>
            </w:pPr>
            <w:r>
              <w:rPr>
                <w:rFonts w:hint="eastAsia" w:ascii="宋体" w:hAnsi="宋体" w:cs="仿宋"/>
                <w:color w:val="000000"/>
                <w:sz w:val="24"/>
              </w:rPr>
              <w:t xml:space="preserve">《中小企业声明函》查询渠道参考工业和信息化部发布的中小企业规模自测小程序。中小企业规模自测小程序详见《中小企业声明函》。</w:t>
            </w:r>
            <w:r/>
          </w:p>
          <w:p>
            <w:pPr>
              <w:jc w:val="left"/>
              <w:spacing w:line="360" w:lineRule="auto"/>
              <w:rPr>
                <w:rFonts w:ascii="宋体" w:hAnsi="宋体" w:cs="宋体"/>
                <w:bCs/>
                <w:sz w:val="24"/>
              </w:rPr>
            </w:pPr>
            <w:r>
              <w:rPr>
                <w:rFonts w:hint="eastAsia" w:ascii="宋体" w:hAnsi="宋体" w:cs="宋体"/>
                <w:bCs/>
                <w:sz w:val="24"/>
              </w:rPr>
              <w:t xml:space="preserve">注：</w:t>
            </w:r>
            <w:r/>
          </w:p>
          <w:p>
            <w:pPr>
              <w:jc w:val="left"/>
              <w:spacing w:line="360" w:lineRule="auto"/>
              <w:rPr>
                <w:rFonts w:ascii="宋体" w:hAnsi="宋体" w:cs="宋体"/>
                <w:bCs/>
                <w:sz w:val="24"/>
              </w:rPr>
            </w:pPr>
            <w:r>
              <w:rPr>
                <w:rFonts w:hint="eastAsia" w:ascii="宋体" w:hAnsi="宋体" w:cs="宋体"/>
                <w:bCs/>
                <w:sz w:val="24"/>
              </w:rPr>
              <w:t xml:space="preserve">中小企业（含中型、小型、微型企业，下同），应当同时符合以下条件：</w:t>
            </w:r>
            <w:r/>
          </w:p>
          <w:p>
            <w:pPr>
              <w:jc w:val="left"/>
              <w:spacing w:line="360" w:lineRule="auto"/>
              <w:rPr>
                <w:rFonts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ascii="宋体" w:hAnsi="宋体" w:cs="宋体"/>
                <w:bCs/>
                <w:sz w:val="24"/>
              </w:rPr>
            </w:pPr>
            <w:r>
              <w:rPr>
                <w:rFonts w:hint="eastAsia" w:ascii="宋体" w:hAnsi="宋体" w:cs="宋体"/>
                <w:bCs/>
                <w:sz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rPr>
              <w:t xml:space="preserve">2014</w:t>
            </w:r>
            <w:r>
              <w:rPr>
                <w:rFonts w:hint="eastAsia" w:ascii="宋体" w:hAnsi="宋体" w:cs="宋体"/>
                <w:bCs/>
                <w:sz w:val="24"/>
              </w:rPr>
              <w:t xml:space="preserve">〕</w:t>
            </w:r>
            <w:r>
              <w:rPr>
                <w:rFonts w:hint="eastAsia" w:cs="宋体"/>
                <w:bCs/>
                <w:sz w:val="24"/>
              </w:rPr>
              <w:t xml:space="preserve">68</w:t>
            </w:r>
            <w:r>
              <w:rPr>
                <w:rFonts w:hint="eastAsia" w:ascii="宋体" w:hAnsi="宋体" w:cs="宋体"/>
                <w:bCs/>
                <w:sz w:val="24"/>
              </w:rPr>
              <w:t xml:space="preserve">号）的规定为准。</w:t>
            </w:r>
            <w:r/>
          </w:p>
          <w:p>
            <w:pPr>
              <w:ind w:firstLine="480"/>
              <w:spacing w:line="360" w:lineRule="auto"/>
              <w:rPr>
                <w:rFonts w:ascii="宋体" w:hAnsi="宋体" w:cs="宋体"/>
                <w:bCs/>
                <w:sz w:val="24"/>
              </w:rPr>
            </w:pPr>
            <w:r>
              <w:rPr>
                <w:rFonts w:hint="eastAsia" w:ascii="宋体" w:hAnsi="宋体" w:cs="宋体"/>
                <w:bCs/>
                <w:sz w:val="24"/>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w:t>
            </w:r>
            <w:r>
              <w:rPr>
                <w:rFonts w:hint="eastAsia" w:cs="宋体"/>
                <w:bCs/>
                <w:sz w:val="24"/>
              </w:rPr>
              <w:t xml:space="preserve">25</w:t>
            </w:r>
            <w:r>
              <w:rPr>
                <w:rFonts w:hint="eastAsia" w:ascii="宋体" w:hAnsi="宋体" w:cs="宋体"/>
                <w:bCs/>
                <w:sz w:val="24"/>
              </w:rPr>
              <w:t xml:space="preserve">%（含</w:t>
            </w:r>
            <w:r>
              <w:rPr>
                <w:rFonts w:hint="eastAsia" w:cs="宋体"/>
                <w:bCs/>
                <w:sz w:val="24"/>
              </w:rPr>
              <w:t xml:space="preserve">25</w:t>
            </w:r>
            <w:r>
              <w:rPr>
                <w:rFonts w:hint="eastAsia" w:ascii="宋体" w:hAnsi="宋体" w:cs="宋体"/>
                <w:bCs/>
                <w:sz w:val="24"/>
              </w:rPr>
              <w:t xml:space="preserve">%），并且安置的残疾人人数不少于</w:t>
            </w:r>
            <w:r>
              <w:rPr>
                <w:rFonts w:hint="eastAsia" w:cs="宋体"/>
                <w:bCs/>
                <w:sz w:val="24"/>
              </w:rPr>
              <w:t xml:space="preserve">10</w:t>
            </w:r>
            <w:r>
              <w:rPr>
                <w:rFonts w:hint="eastAsia" w:ascii="宋体" w:hAnsi="宋体" w:cs="宋体"/>
                <w:bCs/>
                <w:sz w:val="24"/>
              </w:rPr>
              <w:t xml:space="preserve">人（含</w:t>
            </w:r>
            <w:r>
              <w:rPr>
                <w:rFonts w:hint="eastAsia" w:cs="宋体"/>
                <w:bCs/>
                <w:sz w:val="24"/>
              </w:rPr>
              <w:t xml:space="preserve">10</w:t>
            </w:r>
            <w:r>
              <w:rPr>
                <w:rFonts w:hint="eastAsia" w:ascii="宋体" w:hAnsi="宋体" w:cs="宋体"/>
                <w:bCs/>
                <w:sz w:val="24"/>
              </w:rPr>
              <w:t xml:space="preserve">人）；</w:t>
            </w:r>
            <w:r/>
          </w:p>
          <w:p>
            <w:pPr>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w:t>
            </w:r>
            <w:r>
              <w:rPr>
                <w:rFonts w:hint="eastAsia" w:cs="宋体"/>
                <w:bCs/>
                <w:sz w:val="24"/>
              </w:rPr>
              <w:t xml:space="preserve">1</w:t>
            </w:r>
            <w:r>
              <w:rPr>
                <w:rFonts w:hint="eastAsia" w:ascii="宋体" w:hAnsi="宋体" w:cs="宋体"/>
                <w:bCs/>
                <w:sz w:val="24"/>
              </w:rPr>
              <w:t xml:space="preserve">至</w:t>
            </w:r>
            <w:r>
              <w:rPr>
                <w:rFonts w:hint="eastAsia" w:cs="宋体"/>
                <w:bCs/>
                <w:sz w:val="24"/>
              </w:rPr>
              <w:t xml:space="preserve">8</w:t>
            </w:r>
            <w:r>
              <w:rPr>
                <w:rFonts w:hint="eastAsia" w:ascii="宋体" w:hAnsi="宋体" w:cs="宋体"/>
                <w:bCs/>
                <w:sz w:val="24"/>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ascii="宋体" w:hAnsi="宋体" w:cs="宋体"/>
                <w:sz w:val="24"/>
              </w:rPr>
            </w:pPr>
            <w:r>
              <w:rPr>
                <w:rFonts w:hint="eastAsia" w:ascii="宋体" w:hAnsi="宋体" w:cs="宋体"/>
                <w:bCs/>
                <w:sz w:val="24"/>
              </w:rPr>
              <w:t xml:space="preserve">   具体以《三部门联合发布关于促进残疾人就业政府采购政策的通知》（财库〔</w:t>
            </w:r>
            <w:r>
              <w:rPr>
                <w:rFonts w:hint="eastAsia" w:cs="宋体"/>
                <w:bCs/>
                <w:sz w:val="24"/>
              </w:rPr>
              <w:t xml:space="preserve">2017</w:t>
            </w:r>
            <w:r>
              <w:rPr>
                <w:rFonts w:hint="eastAsia" w:ascii="宋体" w:hAnsi="宋体" w:cs="宋体"/>
                <w:bCs/>
                <w:sz w:val="24"/>
              </w:rPr>
              <w:t xml:space="preserve">〕</w:t>
            </w:r>
            <w:r>
              <w:rPr>
                <w:rFonts w:hint="eastAsia" w:cs="宋体"/>
                <w:bCs/>
                <w:sz w:val="24"/>
              </w:rPr>
              <w:t xml:space="preserve">141</w:t>
            </w:r>
            <w:r>
              <w:rPr>
                <w:rFonts w:hint="eastAsia" w:ascii="宋体" w:hAnsi="宋体" w:cs="宋体"/>
                <w:bCs/>
                <w:sz w:val="24"/>
              </w:rPr>
              <w:t xml:space="preserve">号）规定为准。</w:t>
            </w:r>
            <w:r/>
          </w:p>
          <w:p>
            <w:pPr>
              <w:spacing w:line="360" w:lineRule="auto"/>
              <w:rPr>
                <w:rFonts w:ascii="宋体" w:hAnsi="宋体" w:cs="宋体"/>
                <w:bCs/>
                <w:color w:val="000000"/>
                <w:sz w:val="24"/>
              </w:rPr>
            </w:pPr>
            <w:r>
              <w:rPr>
                <w:rFonts w:hint="eastAsia" w:ascii="宋体" w:hAnsi="宋体" w:cs="宋体"/>
                <w:bCs/>
                <w:color w:val="000000"/>
                <w:sz w:val="24"/>
              </w:rPr>
              <w:t xml:space="preserve">注：</w:t>
            </w:r>
            <w:r/>
          </w:p>
          <w:p>
            <w:pPr>
              <w:spacing w:line="360" w:lineRule="auto"/>
              <w:rPr>
                <w:rFonts w:ascii="宋体" w:hAnsi="宋体" w:cs="宋体"/>
                <w:bCs/>
                <w:sz w:val="24"/>
              </w:rPr>
            </w:pPr>
            <w:r>
              <w:rPr>
                <w:rFonts w:hint="eastAsia" w:ascii="宋体" w:hAnsi="宋体" w:cs="宋体"/>
                <w:bCs/>
                <w:color w:val="000000"/>
                <w:sz w:val="24"/>
              </w:rPr>
              <w:t xml:space="preserve">1.投标人应对</w:t>
            </w:r>
            <w:r>
              <w:rPr>
                <w:rFonts w:hint="eastAsia" w:ascii="宋体" w:hAnsi="宋体" w:cs="宋体"/>
                <w:bCs/>
                <w:sz w:val="24"/>
              </w:rPr>
              <w:t xml:space="preserve">以上文件的合法性、真实性负责。</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（十三）2</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商务条件见：</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一、本文件第四章《评标标准》中《评分细则》。</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二、本文件第三章《投标资料表》中（十二）1和（十二）2。</w:t>
            </w:r>
            <w:r/>
          </w:p>
        </w:tc>
      </w:tr>
      <w:tr>
        <w:trPr>
          <w:jc w:val="center"/>
          <w:trHeight w:val="687"/>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（十三）3</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交货和提供服务的时间：见本文件第五章《拟签订的合同文本》及本文件第六章《采购需求》。</w:t>
            </w:r>
            <w:r/>
          </w:p>
        </w:tc>
      </w:tr>
      <w:tr>
        <w:trPr>
          <w:jc w:val="center"/>
          <w:trHeight w:val="1009"/>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bCs/>
                <w:color w:val="000000"/>
                <w:sz w:val="24"/>
              </w:rPr>
            </w:pPr>
            <w:r>
              <w:rPr>
                <w:rFonts w:hint="eastAsia" w:ascii="宋体" w:hAnsi="宋体" w:cs="宋体"/>
                <w:b/>
                <w:bCs/>
                <w:color w:val="000000"/>
                <w:sz w:val="24"/>
              </w:rPr>
              <w:t xml:space="preserve">本项目预算金额人民</w:t>
            </w:r>
            <w:r>
              <w:rPr>
                <w:rFonts w:hint="eastAsia" w:ascii="宋体" w:hAnsi="宋体" w:cs="宋体"/>
                <w:b/>
                <w:bCs/>
                <w:sz w:val="24"/>
              </w:rPr>
              <w:t xml:space="preserve">币</w:t>
            </w:r>
            <w:r>
              <w:rPr>
                <w:rFonts w:hint="eastAsia" w:ascii="宋体" w:hAnsi="宋体" w:cs="宋体"/>
                <w:b/>
                <w:bCs/>
                <w:sz w:val="24"/>
                <w:u w:val="single"/>
              </w:rPr>
              <w:t xml:space="preserve">190.00万</w:t>
            </w:r>
            <w:r>
              <w:rPr>
                <w:rFonts w:hint="eastAsia" w:ascii="宋体" w:hAnsi="宋体" w:cs="宋体"/>
                <w:b/>
                <w:bCs/>
                <w:color w:val="000000"/>
                <w:sz w:val="24"/>
                <w:u w:val="single"/>
              </w:rPr>
              <w:t xml:space="preserve">元</w:t>
            </w:r>
            <w:r>
              <w:rPr>
                <w:rFonts w:hint="eastAsia" w:ascii="宋体" w:hAnsi="宋体" w:cs="宋体"/>
                <w:b/>
                <w:bCs/>
                <w:color w:val="000000"/>
                <w:sz w:val="24"/>
              </w:rPr>
              <w:t xml:space="preserve">，不接受超过项目预算的投标报价。</w:t>
            </w:r>
            <w:r/>
          </w:p>
          <w:p>
            <w:pPr>
              <w:spacing w:line="360" w:lineRule="auto"/>
              <w:rPr>
                <w:rFonts w:ascii="宋体" w:hAnsi="宋体" w:cs="宋体"/>
                <w:color w:val="000000"/>
                <w:sz w:val="24"/>
              </w:rPr>
            </w:pPr>
            <w:r>
              <w:rPr>
                <w:rFonts w:ascii="宋体" w:hAnsi="宋体" w:cs="宋体"/>
                <w:sz w:val="24"/>
              </w:rPr>
              <w:t xml:space="preserve">投标人所投总报价为徐州工业职业技术学院智慧校园 3.0 建设行动计划子项目网络基础建设项目采购的全部费用，投标报价包含但不限于产品设备费、人工费、运输费、安装费、调试费、检验检测费、系统集成费、配套辅材费、软件授权费、验收费、培训费、售后服务费、三年质保费、保险费、税金、投标人利润等一切相关费用。投标人应充分了解项目整体情况、各类市场风险以及影响投标报价的其他风险因素。采购人不再支付本报价以外的任何费用。</w:t>
            </w:r>
            <w:r/>
          </w:p>
        </w:tc>
      </w:tr>
      <w:tr>
        <w:trPr>
          <w:jc w:val="center"/>
          <w:trHeight w:val="417"/>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以人民币报价。</w:t>
            </w:r>
            <w:r/>
          </w:p>
        </w:tc>
      </w:tr>
      <w:tr>
        <w:trPr>
          <w:jc w:val="center"/>
          <w:trHeight w:val="135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须用政府采购客户端工具导入“苏采云”系统下载的采购文件（后缀）、供应商操作手册及政府采购客户端工具可通过“苏采云”系统（网址：https://jszfcg.jsczt.cn/jszc/logi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投标人应当通过“苏采云”系统提交数据电文形式的投标文件（即电子投标）。</w:t>
            </w:r>
            <w:r/>
          </w:p>
          <w:p>
            <w:pPr>
              <w:spacing w:line="360" w:lineRule="auto"/>
            </w:pPr>
            <w:r>
              <w:rPr>
                <w:rFonts w:hint="eastAsia" w:ascii="宋体" w:hAnsi="宋体" w:cs="宋体"/>
                <w:sz w:val="24"/>
              </w:rPr>
              <w:t xml:space="preserve">特别说明：政府采购客户端工具需要导出加密的投标文件（后缀名为</w:t>
            </w:r>
            <w:r>
              <w:rPr>
                <w:rFonts w:hint="eastAsia" w:ascii="宋体" w:hAnsi="宋体" w:cs="宋体"/>
                <w:b/>
                <w:bCs/>
                <w:sz w:val="24"/>
              </w:rPr>
              <w:t xml:space="preserve">zip</w:t>
            </w:r>
            <w:r>
              <w:rPr>
                <w:rFonts w:hint="eastAsia" w:ascii="宋体" w:hAnsi="宋体" w:cs="宋体"/>
                <w:sz w:val="24"/>
              </w:rPr>
              <w:t xml:space="preserve">）。</w:t>
            </w:r>
            <w:r>
              <w:rPr>
                <w:rFonts w:hint="eastAsia" w:ascii="宋体" w:hAnsi="宋体" w:cs="宋体"/>
                <w:b/>
                <w:bCs/>
                <w:sz w:val="24"/>
              </w:rPr>
              <w:t xml:space="preserve">投标文件不得超过150M</w:t>
            </w:r>
            <w:r>
              <w:rPr>
                <w:rFonts w:hint="eastAsia" w:ascii="宋体" w:hAnsi="宋体" w:cs="宋体"/>
                <w:sz w:val="24"/>
              </w:rPr>
              <w:t xml:space="preserve">！名为“</w:t>
            </w:r>
            <w:r>
              <w:rPr>
                <w:rFonts w:hint="eastAsia" w:ascii="宋体" w:hAnsi="宋体" w:cs="宋体"/>
                <w:b/>
                <w:bCs/>
                <w:sz w:val="24"/>
              </w:rPr>
              <w:t xml:space="preserve">.kedt</w:t>
            </w:r>
            <w:r>
              <w:rPr>
                <w:rFonts w:hint="eastAsia" w:ascii="宋体" w:hAnsi="宋体" w:cs="宋体"/>
                <w:sz w:val="24"/>
              </w:rPr>
              <w:t xml:space="preserve">”）后，离线编制投标文件。采购文件（后缀名为“</w:t>
            </w:r>
            <w:r>
              <w:rPr>
                <w:rFonts w:hint="eastAsia" w:ascii="宋体" w:hAnsi="宋体" w:cs="宋体"/>
                <w:b/>
                <w:bCs/>
                <w:sz w:val="24"/>
              </w:rPr>
              <w:t xml:space="preserve">.kedt</w:t>
            </w:r>
            <w:r>
              <w:rPr>
                <w:rFonts w:hint="eastAsia" w:ascii="宋体" w:hAnsi="宋体" w:cs="宋体"/>
                <w:sz w:val="24"/>
              </w:rPr>
              <w:t xml:space="preserve">”）。</w:t>
            </w:r>
            <w:r/>
          </w:p>
        </w:tc>
      </w:tr>
      <w:tr>
        <w:trPr>
          <w:jc w:val="center"/>
          <w:trHeight w:val="525"/>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见本文件第三章《投标资料表》中（十二）1和（十二）2</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投标文件的提交与接收： </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w:t>
            </w:r>
            <w:r>
              <w:rPr>
                <w:rFonts w:hint="eastAsia" w:ascii="宋体" w:hAnsi="宋体" w:cs="宋体"/>
                <w:b/>
                <w:bCs/>
                <w:color w:val="000000" w:themeColor="text1"/>
                <w:sz w:val="24"/>
              </w:rPr>
              <w:t xml:space="preserve">时</w:t>
            </w:r>
            <w:r>
              <w:rPr>
                <w:rFonts w:hint="eastAsia" w:ascii="宋体" w:hAnsi="宋体" w:cs="宋体"/>
                <w:b/>
                <w:bCs/>
                <w:color w:val="000000" w:themeColor="text1"/>
                <w:sz w:val="24"/>
              </w:rPr>
              <w:t xml:space="preserve">间：</w:t>
            </w:r>
            <w:r>
              <w:rPr>
                <w:rFonts w:hint="eastAsia" w:ascii="宋体" w:hAnsi="宋体" w:cs="宋体"/>
                <w:b/>
                <w:bCs/>
                <w:color w:val="000000" w:themeColor="text1"/>
                <w:sz w:val="24"/>
              </w:rPr>
              <w:t xml:space="preserve">2026年</w:t>
            </w:r>
            <w:r>
              <w:rPr>
                <w:rFonts w:hint="eastAsia" w:ascii="宋体" w:hAnsi="宋体" w:cs="宋体"/>
                <w:b/>
                <w:bCs/>
                <w:color w:val="000000" w:themeColor="text1"/>
                <w:sz w:val="24"/>
                <w:u w:val="single"/>
              </w:rPr>
              <w:t xml:space="preserve">  11 </w:t>
            </w:r>
            <w:r>
              <w:rPr>
                <w:rFonts w:hint="eastAsia" w:ascii="宋体" w:hAnsi="宋体" w:cs="宋体"/>
                <w:b/>
                <w:bCs/>
                <w:color w:val="000000" w:themeColor="text1"/>
                <w:sz w:val="24"/>
              </w:rPr>
              <w:t xml:space="preserve">月</w:t>
            </w:r>
            <w:r>
              <w:rPr>
                <w:rFonts w:hint="eastAsia" w:ascii="宋体" w:hAnsi="宋体" w:cs="宋体"/>
                <w:b/>
                <w:bCs/>
                <w:color w:val="000000" w:themeColor="text1"/>
                <w:sz w:val="24"/>
                <w:u w:val="single"/>
              </w:rPr>
              <w:t xml:space="preserve"> 24 </w:t>
            </w:r>
            <w:r>
              <w:rPr>
                <w:rFonts w:hint="eastAsia" w:ascii="宋体" w:hAnsi="宋体" w:cs="宋体"/>
                <w:b/>
                <w:bCs/>
                <w:color w:val="000000" w:themeColor="text1"/>
                <w:sz w:val="24"/>
              </w:rPr>
              <w:t xml:space="preserve">日北京时间09:30</w:t>
            </w:r>
            <w:r>
              <w:rPr>
                <w:rFonts w:hint="eastAsia" w:ascii="宋体" w:hAnsi="宋体" w:cs="宋体"/>
                <w:b/>
                <w:bCs/>
                <w:color w:val="000000" w:themeColor="text1"/>
                <w:sz w:val="24"/>
              </w:rPr>
              <w:t xml:space="preserve">前。</w:t>
            </w:r>
            <w:r/>
          </w:p>
          <w:p>
            <w:pPr>
              <w:ind w:left="560" w:hanging="56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2.投标文件提交与接收地点： </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电子投标文件应由其法定代表人或法定代表人授权代表在规定的网上投标时间内，</w:t>
            </w:r>
            <w:r>
              <w:rPr>
                <w:rFonts w:hint="eastAsia" w:ascii="宋体" w:hAnsi="宋体" w:cs="宋体"/>
                <w:b/>
                <w:sz w:val="24"/>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开标</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开标时间及地点：</w:t>
            </w:r>
            <w:r>
              <w:rPr>
                <w:color w:val="000000" w:themeColor="text1"/>
              </w:rPr>
            </w:r>
          </w:p>
          <w:p>
            <w:pPr>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1.开标时间</w:t>
            </w:r>
            <w:r>
              <w:rPr>
                <w:rFonts w:hint="eastAsia" w:ascii="宋体" w:hAnsi="宋体" w:cs="宋体"/>
                <w:b/>
                <w:bCs/>
                <w:color w:val="000000" w:themeColor="text1"/>
                <w:sz w:val="24"/>
              </w:rPr>
              <w:t xml:space="preserve">：</w:t>
            </w:r>
            <w:r>
              <w:rPr>
                <w:rFonts w:hint="eastAsia" w:ascii="宋体" w:hAnsi="宋体" w:cs="宋体"/>
                <w:b/>
                <w:color w:val="000000" w:themeColor="text1"/>
                <w:sz w:val="24"/>
              </w:rPr>
              <w:t xml:space="preserve">2026年  11月 24 日09:30</w:t>
            </w:r>
            <w:r>
              <w:rPr>
                <w:rFonts w:hint="eastAsia" w:ascii="宋体" w:hAnsi="宋体" w:cs="宋体"/>
                <w:b/>
                <w:color w:val="000000" w:themeColor="text1"/>
                <w:sz w:val="24"/>
              </w:rPr>
              <w:t xml:space="preserve">（北京时间）</w:t>
            </w:r>
            <w:r>
              <w:rPr>
                <w:color w:val="000000" w:themeColor="text1"/>
              </w:rPr>
            </w:r>
          </w:p>
          <w:p>
            <w:pPr>
              <w:jc w:val="left"/>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苏采云”系统（网址：https://jszfcg.jsczt.cn/jszc/login）“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（二十五）2</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招标文件规定的需要宣布的内容：投标人名称、投标价格。</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w:t>
            </w:r>
            <w:r/>
          </w:p>
        </w:tc>
      </w:tr>
      <w:tr>
        <w:trPr>
          <w:jc w:val="center"/>
          <w:trHeight w:val="22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p>
        </w:tc>
      </w:tr>
      <w:tr>
        <w:trPr>
          <w:jc w:val="center"/>
          <w:trHeight w:val="133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用综合评分法的，按评审后得分由高到低顺序排列。得分相同的，按投标报价由低到高顺序排列；得分且投标报价相同的，按“技术规格参数”得分由高到低顺序排列；得分、投标报价及“技术规格参数”得分均相同的，按“项目整体实施方案”得分由高到低顺序排列。</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三、采购人应当自收到评标报告之日起5个工作日内，在评标报告确定的中标候选人名单中按得分最高顺序确定一名中标人。</w:t>
            </w:r>
            <w:r/>
          </w:p>
        </w:tc>
      </w:tr>
      <w:tr>
        <w:trPr>
          <w:jc w:val="center"/>
          <w:trHeight w:val="507"/>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w:t>
            </w:r>
            <w:r/>
          </w:p>
        </w:tc>
        <w:tc>
          <w:tcPr>
            <w:tcMar>
              <w:left w:w="108" w:type="dxa"/>
              <w:top w:w="0" w:type="dxa"/>
              <w:right w:w="108" w:type="dxa"/>
              <w:bottom w:w="0" w:type="dxa"/>
            </w:tcMar>
            <w:tcW w:w="8313" w:type="dxa"/>
            <w:vAlign w:val="center"/>
            <w:textDirection w:val="lrTb"/>
            <w:noWrap w:val="false"/>
          </w:tcPr>
          <w:p>
            <w:pPr>
              <w:spacing w:line="400" w:lineRule="exact"/>
              <w:tabs>
                <w:tab w:val="left" w:pos="1177" w:leader="none"/>
                <w:tab w:val="left" w:pos="1498" w:leader="none"/>
              </w:tabs>
              <w:rPr>
                <w:rFonts w:ascii="宋体" w:hAnsi="宋体" w:cs="宋体"/>
                <w:sz w:val="24"/>
              </w:rPr>
            </w:pPr>
            <w:r>
              <w:rPr>
                <w:rFonts w:hint="eastAsia" w:ascii="宋体" w:hAnsi="宋体" w:cs="宋体"/>
                <w:sz w:val="24"/>
              </w:rPr>
              <w:t xml:space="preserve">履约保证金：</w:t>
            </w:r>
            <w:r/>
          </w:p>
          <w:p>
            <w:pPr>
              <w:spacing w:line="400" w:lineRule="exact"/>
              <w:tabs>
                <w:tab w:val="left" w:pos="1177" w:leader="none"/>
                <w:tab w:val="left" w:pos="1498" w:leader="none"/>
              </w:tabs>
              <w:rPr>
                <w:rFonts w:ascii="宋体" w:hAnsi="宋体"/>
                <w:sz w:val="24"/>
              </w:rPr>
            </w:pPr>
            <w:r>
              <w:rPr>
                <w:rFonts w:ascii="宋体" w:hAnsi="宋体"/>
                <w:sz w:val="24"/>
              </w:rPr>
              <w:t xml:space="preserve">1.履约保证金金额为合同总价款的5%，中标人应当在采购合同签订前，以支票、汇票、本票或者金融机构、担保机构出具的保函等非现金形式提交。</w:t>
            </w:r>
            <w:r/>
          </w:p>
          <w:p>
            <w:pPr>
              <w:spacing w:line="400" w:lineRule="exact"/>
              <w:tabs>
                <w:tab w:val="left" w:pos="1177" w:leader="none"/>
                <w:tab w:val="left" w:pos="1498" w:leader="none"/>
              </w:tabs>
              <w:rPr>
                <w:rFonts w:ascii="宋体" w:hAnsi="宋体" w:cs="宋体"/>
                <w:color w:val="000000"/>
                <w:sz w:val="24"/>
              </w:rPr>
            </w:pPr>
            <w:r>
              <w:rPr>
                <w:rFonts w:ascii="宋体" w:hAnsi="宋体"/>
                <w:sz w:val="24"/>
              </w:rPr>
              <w:t xml:space="preserve">2.履约保证金退还：项目全部完工且最终验收合格后10个工作日内无息全额退还</w:t>
            </w:r>
            <w:r>
              <w:rPr>
                <w:rFonts w:hint="eastAsia" w:ascii="宋体" w:hAnsi="宋体"/>
                <w:sz w:val="24"/>
              </w:rPr>
              <w:t xml:space="preserve">；</w:t>
            </w:r>
            <w:r>
              <w:rPr>
                <w:rFonts w:ascii="宋体" w:hAnsi="宋体"/>
                <w:sz w:val="24"/>
              </w:rPr>
              <w:t xml:space="preserve">若中标人违约造成采购人损失，保证金不足以抵扣的，中标人另行补足赔偿。</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质疑接收人：张莹、孙萌      联系电话：0516-83906677</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地址：徐州市云龙区郭庄路世茂广场SOHO3号楼17楼</w:t>
            </w:r>
            <w:r/>
          </w:p>
        </w:tc>
      </w:tr>
      <w:tr>
        <w:trPr>
          <w:jc w:val="center"/>
        </w:trPr>
        <w:tc>
          <w:tcPr>
            <w:tcMar>
              <w:left w:w="108" w:type="dxa"/>
              <w:top w:w="0" w:type="dxa"/>
              <w:right w:w="108" w:type="dxa"/>
              <w:bottom w:w="0" w:type="dxa"/>
            </w:tcMar>
            <w:tcW w:w="1471" w:type="dxa"/>
            <w:vMerge w:val="restart"/>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附加说明</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中标人在收到中标通知书时，须向采购人和采购代理机构提交《开标一览表》和《分项价格表》的数据文件（WORD格式）。</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邮箱：1151373337@qq.com</w:t>
            </w:r>
            <w:r/>
          </w:p>
        </w:tc>
      </w:tr>
      <w:tr>
        <w:trPr>
          <w:jc w:val="center"/>
        </w:trPr>
        <w:tc>
          <w:tcPr>
            <w:tcMar>
              <w:left w:w="108" w:type="dxa"/>
              <w:top w:w="0" w:type="dxa"/>
              <w:right w:w="108" w:type="dxa"/>
              <w:bottom w:w="0" w:type="dxa"/>
            </w:tcMar>
            <w:tcW w:w="1471" w:type="dxa"/>
            <w:vMerge w:val="continue"/>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val="false"/>
          </w:tcPr>
          <w:p>
            <w:pPr>
              <w:pStyle w:val="897"/>
              <w:spacing w:line="360" w:lineRule="auto"/>
              <w:rPr>
                <w:rFonts w:hAnsi="宋体" w:cs="宋体"/>
                <w:color w:val="000000"/>
              </w:rPr>
            </w:pPr>
            <w:r>
              <w:t xml:space="preserve">1.中标人在收到中标通知书时，须向采购人和采购代理机构提交完整纸质版投标文件（需加盖投标人公章并胶装成册，正本1份、副本1份）。</w:t>
            </w:r>
            <w:r/>
          </w:p>
        </w:tc>
      </w:tr>
    </w:tbl>
    <w:p>
      <w:pPr>
        <w:pStyle w:val="871"/>
        <w:ind w:left="0"/>
        <w:rPr>
          <w:rFonts w:ascii="宋体" w:hAnsi="宋体" w:cs="宋体"/>
        </w:rPr>
      </w:pPr>
      <w:r>
        <w:rPr>
          <w:rFonts w:ascii="宋体" w:hAnsi="宋体" w:cs="宋体"/>
        </w:rPr>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本章附件：招标代理服务收费标准</w:t>
      </w:r>
      <w:r/>
    </w:p>
    <w:tbl>
      <w:tblPr>
        <w:tblStyle w:val="863"/>
        <w:tblW w:w="55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3072"/>
        <w:gridCol w:w="1706"/>
        <w:gridCol w:w="1706"/>
        <w:gridCol w:w="1706"/>
        <w:gridCol w:w="1218"/>
      </w:tblGrid>
      <w:tr>
        <w:trPr>
          <w:tblHeader/>
        </w:trPr>
        <w:tc>
          <w:tcPr>
            <w:tcMar>
              <w:left w:w="120" w:type="dxa"/>
              <w:top w:w="120" w:type="dxa"/>
              <w:right w:w="120" w:type="dxa"/>
              <w:bottom w:w="120" w:type="dxa"/>
            </w:tcMar>
            <w:tcW w:w="0" w:type="auto"/>
            <w:vAlign w:val="center"/>
            <w:textDirection w:val="lrTb"/>
            <w:noWrap w:val="false"/>
          </w:tcPr>
          <w:p>
            <w:pPr>
              <w:jc w:val="left"/>
              <w:widowControl/>
              <w:rPr>
                <w:b/>
                <w:bCs/>
              </w:rPr>
            </w:pPr>
            <w:r>
              <w:rPr>
                <w:rFonts w:ascii="宋体" w:hAnsi="宋体" w:cs="宋体"/>
                <w:b/>
                <w:bCs/>
                <w:sz w:val="24"/>
                <w:lang w:bidi="ar"/>
              </w:rPr>
              <w:t xml:space="preserve">中标金额（万元）</w:t>
            </w:r>
            <w:r/>
          </w:p>
        </w:tc>
        <w:tc>
          <w:tcPr>
            <w:tcMar>
              <w:left w:w="120" w:type="dxa"/>
              <w:top w:w="120" w:type="dxa"/>
              <w:right w:w="120" w:type="dxa"/>
              <w:bottom w:w="120" w:type="dxa"/>
            </w:tcMar>
            <w:tcW w:w="0" w:type="auto"/>
            <w:vAlign w:val="center"/>
            <w:textDirection w:val="lrTb"/>
            <w:noWrap w:val="false"/>
          </w:tcPr>
          <w:p>
            <w:pPr>
              <w:jc w:val="left"/>
              <w:widowControl/>
              <w:rPr>
                <w:b/>
                <w:bCs/>
              </w:rPr>
            </w:pPr>
            <w:r>
              <w:rPr>
                <w:rFonts w:ascii="宋体" w:hAnsi="宋体" w:cs="宋体"/>
                <w:b/>
                <w:bCs/>
                <w:sz w:val="24"/>
                <w:lang w:bidi="ar"/>
              </w:rPr>
              <w:t xml:space="preserve">货物招标</w:t>
            </w:r>
            <w:r/>
          </w:p>
        </w:tc>
        <w:tc>
          <w:tcPr>
            <w:tcMar>
              <w:left w:w="120" w:type="dxa"/>
              <w:top w:w="120" w:type="dxa"/>
              <w:right w:w="120" w:type="dxa"/>
              <w:bottom w:w="120" w:type="dxa"/>
            </w:tcMar>
            <w:tcW w:w="0" w:type="auto"/>
            <w:vAlign w:val="center"/>
            <w:textDirection w:val="lrTb"/>
            <w:noWrap w:val="false"/>
          </w:tcPr>
          <w:p>
            <w:pPr>
              <w:jc w:val="left"/>
              <w:widowControl/>
              <w:rPr>
                <w:b/>
                <w:bCs/>
              </w:rPr>
            </w:pPr>
            <w:r>
              <w:rPr>
                <w:rFonts w:ascii="宋体" w:hAnsi="宋体" w:cs="宋体"/>
                <w:b/>
                <w:bCs/>
                <w:sz w:val="24"/>
                <w:lang w:bidi="ar"/>
              </w:rPr>
              <w:t xml:space="preserve">服务招标</w:t>
            </w:r>
            <w:r/>
          </w:p>
        </w:tc>
        <w:tc>
          <w:tcPr>
            <w:tcMar>
              <w:left w:w="120" w:type="dxa"/>
              <w:top w:w="120" w:type="dxa"/>
              <w:right w:w="120" w:type="dxa"/>
              <w:bottom w:w="120" w:type="dxa"/>
            </w:tcMar>
            <w:tcW w:w="0" w:type="auto"/>
            <w:vAlign w:val="center"/>
            <w:textDirection w:val="lrTb"/>
            <w:noWrap w:val="false"/>
          </w:tcPr>
          <w:p>
            <w:pPr>
              <w:jc w:val="left"/>
              <w:widowControl/>
              <w:rPr>
                <w:b/>
                <w:bCs/>
              </w:rPr>
            </w:pPr>
            <w:r>
              <w:rPr>
                <w:rFonts w:ascii="宋体" w:hAnsi="宋体" w:cs="宋体"/>
                <w:b/>
                <w:bCs/>
                <w:sz w:val="24"/>
                <w:lang w:bidi="ar"/>
              </w:rPr>
              <w:t xml:space="preserve">工程招标</w:t>
            </w:r>
            <w:r/>
          </w:p>
        </w:tc>
        <w:tc>
          <w:tcPr>
            <w:tcMar>
              <w:left w:w="120" w:type="dxa"/>
              <w:top w:w="120" w:type="dxa"/>
              <w:right w:w="120" w:type="dxa"/>
              <w:bottom w:w="120" w:type="dxa"/>
            </w:tcMar>
            <w:tcW w:w="647" w:type="pct"/>
            <w:vAlign w:val="center"/>
            <w:textDirection w:val="lrTb"/>
            <w:noWrap w:val="false"/>
          </w:tcPr>
          <w:p>
            <w:pPr>
              <w:jc w:val="left"/>
              <w:widowControl/>
              <w:rPr>
                <w:rFonts w:ascii="宋体" w:hAnsi="宋体" w:cs="宋体"/>
                <w:b/>
                <w:bCs/>
                <w:sz w:val="24"/>
                <w:lang w:bidi="ar"/>
              </w:rPr>
            </w:pPr>
            <w:r>
              <w:rPr>
                <w:rFonts w:hint="eastAsia" w:ascii="宋体" w:hAnsi="宋体" w:cs="宋体"/>
                <w:sz w:val="24"/>
                <w:szCs w:val="21"/>
              </w:rPr>
              <w:t xml:space="preserve">收费上下限</w:t>
            </w:r>
            <w:r/>
          </w:p>
        </w:tc>
      </w:tr>
      <w:tr>
        <w:trPr/>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100 以下</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1.5%</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1.5%</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1.0%</w:t>
            </w:r>
            <w:r/>
          </w:p>
        </w:tc>
        <w:tc>
          <w:tcPr>
            <w:tcMar>
              <w:left w:w="120" w:type="dxa"/>
              <w:top w:w="120" w:type="dxa"/>
              <w:right w:w="120" w:type="dxa"/>
              <w:bottom w:w="120" w:type="dxa"/>
            </w:tcMar>
            <w:tcW w:w="647" w:type="pct"/>
            <w:vAlign w:val="center"/>
            <w:vMerge w:val="restart"/>
            <w:textDirection w:val="lrTb"/>
            <w:noWrap w:val="false"/>
          </w:tcPr>
          <w:p>
            <w:pPr>
              <w:rPr>
                <w:rFonts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最低3千元</w:t>
            </w:r>
            <w:r/>
          </w:p>
          <w:p>
            <w:pPr>
              <w:rPr>
                <w:rFonts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最高4万元</w:t>
            </w:r>
            <w:r/>
          </w:p>
          <w:p>
            <w:pPr>
              <w:jc w:val="left"/>
              <w:widowControl/>
              <w:rPr>
                <w:rFonts w:ascii="宋体" w:hAnsi="宋体" w:cs="宋体"/>
                <w:sz w:val="24"/>
                <w:lang w:bidi="ar"/>
              </w:rPr>
            </w:pPr>
            <w:r>
              <w:rPr>
                <w:rFonts w:ascii="宋体" w:hAnsi="宋体" w:cs="宋体"/>
                <w:sz w:val="24"/>
                <w:lang w:bidi="ar"/>
              </w:rPr>
            </w:r>
            <w:r/>
          </w:p>
        </w:tc>
      </w:tr>
      <w:tr>
        <w:trPr/>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100—500</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1.1%</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0.8%</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0.7%</w:t>
            </w:r>
            <w:r/>
          </w:p>
        </w:tc>
        <w:tc>
          <w:tcPr>
            <w:tcMar>
              <w:left w:w="120" w:type="dxa"/>
              <w:top w:w="120" w:type="dxa"/>
              <w:right w:w="120" w:type="dxa"/>
              <w:bottom w:w="120" w:type="dxa"/>
            </w:tcMar>
            <w:tcW w:w="647" w:type="pct"/>
            <w:vAlign w:val="center"/>
            <w:vMerge w:val="continue"/>
            <w:textDirection w:val="lrTb"/>
            <w:noWrap w:val="false"/>
          </w:tcPr>
          <w:p>
            <w:pPr>
              <w:jc w:val="left"/>
              <w:widowControl/>
              <w:rPr>
                <w:rFonts w:ascii="宋体" w:hAnsi="宋体" w:cs="宋体"/>
                <w:sz w:val="24"/>
                <w:lang w:bidi="ar"/>
              </w:rPr>
            </w:pPr>
            <w:r>
              <w:rPr>
                <w:rFonts w:ascii="宋体" w:hAnsi="宋体" w:cs="宋体"/>
                <w:sz w:val="24"/>
                <w:lang w:bidi="ar"/>
              </w:rPr>
            </w:r>
            <w:r/>
          </w:p>
        </w:tc>
      </w:tr>
      <w:tr>
        <w:trPr/>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500—1000</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0.8%</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0.45%</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0.55%</w:t>
            </w:r>
            <w:r/>
          </w:p>
        </w:tc>
        <w:tc>
          <w:tcPr>
            <w:tcMar>
              <w:left w:w="120" w:type="dxa"/>
              <w:top w:w="120" w:type="dxa"/>
              <w:right w:w="120" w:type="dxa"/>
              <w:bottom w:w="120" w:type="dxa"/>
            </w:tcMar>
            <w:tcW w:w="647" w:type="pct"/>
            <w:vAlign w:val="center"/>
            <w:vMerge w:val="continue"/>
            <w:textDirection w:val="lrTb"/>
            <w:noWrap w:val="false"/>
          </w:tcPr>
          <w:p>
            <w:pPr>
              <w:jc w:val="left"/>
              <w:widowControl/>
              <w:rPr>
                <w:rFonts w:ascii="宋体" w:hAnsi="宋体" w:cs="宋体"/>
                <w:sz w:val="24"/>
                <w:lang w:bidi="ar"/>
              </w:rPr>
            </w:pPr>
            <w:r>
              <w:rPr>
                <w:rFonts w:ascii="宋体" w:hAnsi="宋体" w:cs="宋体"/>
                <w:sz w:val="24"/>
                <w:lang w:bidi="ar"/>
              </w:rPr>
            </w:r>
            <w:r/>
          </w:p>
        </w:tc>
      </w:tr>
      <w:tr>
        <w:trPr/>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1000—5000</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0.5%</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0.25%</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0.35%</w:t>
            </w:r>
            <w:r/>
          </w:p>
        </w:tc>
        <w:tc>
          <w:tcPr>
            <w:tcMar>
              <w:left w:w="120" w:type="dxa"/>
              <w:top w:w="120" w:type="dxa"/>
              <w:right w:w="120" w:type="dxa"/>
              <w:bottom w:w="120" w:type="dxa"/>
            </w:tcMar>
            <w:tcW w:w="647" w:type="pct"/>
            <w:vAlign w:val="center"/>
            <w:vMerge w:val="continue"/>
            <w:textDirection w:val="lrTb"/>
            <w:noWrap w:val="false"/>
          </w:tcPr>
          <w:p>
            <w:pPr>
              <w:jc w:val="left"/>
              <w:widowControl/>
              <w:rPr>
                <w:rFonts w:ascii="宋体" w:hAnsi="宋体" w:cs="宋体"/>
                <w:sz w:val="24"/>
                <w:lang w:bidi="ar"/>
              </w:rPr>
            </w:pPr>
            <w:r>
              <w:rPr>
                <w:rFonts w:ascii="宋体" w:hAnsi="宋体" w:cs="宋体"/>
                <w:sz w:val="24"/>
                <w:lang w:bidi="ar"/>
              </w:rPr>
            </w:r>
            <w:r/>
          </w:p>
        </w:tc>
      </w:tr>
      <w:tr>
        <w:trPr/>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5000—10000</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0.25%</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0.10%</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0.20%</w:t>
            </w:r>
            <w:r/>
          </w:p>
        </w:tc>
        <w:tc>
          <w:tcPr>
            <w:tcMar>
              <w:left w:w="120" w:type="dxa"/>
              <w:top w:w="120" w:type="dxa"/>
              <w:right w:w="120" w:type="dxa"/>
              <w:bottom w:w="120" w:type="dxa"/>
            </w:tcMar>
            <w:tcW w:w="647" w:type="pct"/>
            <w:vAlign w:val="center"/>
            <w:vMerge w:val="continue"/>
            <w:textDirection w:val="lrTb"/>
            <w:noWrap w:val="false"/>
          </w:tcPr>
          <w:p>
            <w:pPr>
              <w:jc w:val="left"/>
              <w:widowControl/>
              <w:rPr>
                <w:rFonts w:ascii="宋体" w:hAnsi="宋体" w:cs="宋体"/>
                <w:sz w:val="24"/>
                <w:lang w:bidi="ar"/>
              </w:rPr>
            </w:pPr>
            <w:r>
              <w:rPr>
                <w:rFonts w:ascii="宋体" w:hAnsi="宋体" w:cs="宋体"/>
                <w:sz w:val="24"/>
                <w:lang w:bidi="ar"/>
              </w:rPr>
            </w:r>
            <w:r/>
          </w:p>
        </w:tc>
      </w:tr>
      <w:tr>
        <w:trPr/>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10000—100000</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0.05%</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0.05%</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0.05%</w:t>
            </w:r>
            <w:r/>
          </w:p>
        </w:tc>
        <w:tc>
          <w:tcPr>
            <w:tcMar>
              <w:left w:w="120" w:type="dxa"/>
              <w:top w:w="120" w:type="dxa"/>
              <w:right w:w="120" w:type="dxa"/>
              <w:bottom w:w="120" w:type="dxa"/>
            </w:tcMar>
            <w:tcW w:w="647" w:type="pct"/>
            <w:vAlign w:val="center"/>
            <w:vMerge w:val="continue"/>
            <w:textDirection w:val="lrTb"/>
            <w:noWrap w:val="false"/>
          </w:tcPr>
          <w:p>
            <w:pPr>
              <w:jc w:val="left"/>
              <w:widowControl/>
              <w:rPr>
                <w:rFonts w:ascii="宋体" w:hAnsi="宋体" w:cs="宋体"/>
                <w:sz w:val="24"/>
                <w:lang w:bidi="ar"/>
              </w:rPr>
            </w:pPr>
            <w:r>
              <w:rPr>
                <w:rFonts w:ascii="宋体" w:hAnsi="宋体" w:cs="宋体"/>
                <w:sz w:val="24"/>
                <w:lang w:bidi="ar"/>
              </w:rPr>
            </w:r>
            <w:r/>
          </w:p>
        </w:tc>
      </w:tr>
      <w:tr>
        <w:trPr/>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100000 以上</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0.01%</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0.01%</w:t>
            </w:r>
            <w:r/>
          </w:p>
        </w:tc>
        <w:tc>
          <w:tcPr>
            <w:tcMar>
              <w:left w:w="120" w:type="dxa"/>
              <w:top w:w="120" w:type="dxa"/>
              <w:right w:w="120" w:type="dxa"/>
              <w:bottom w:w="120" w:type="dxa"/>
            </w:tcMar>
            <w:tcW w:w="0" w:type="auto"/>
            <w:vAlign w:val="center"/>
            <w:textDirection w:val="lrTb"/>
            <w:noWrap w:val="false"/>
          </w:tcPr>
          <w:p>
            <w:pPr>
              <w:jc w:val="left"/>
              <w:widowControl/>
            </w:pPr>
            <w:r>
              <w:rPr>
                <w:rFonts w:ascii="宋体" w:hAnsi="宋体" w:cs="宋体"/>
                <w:sz w:val="24"/>
                <w:lang w:bidi="ar"/>
              </w:rPr>
              <w:t xml:space="preserve">0.01%</w:t>
            </w:r>
            <w:r/>
          </w:p>
        </w:tc>
        <w:tc>
          <w:tcPr>
            <w:tcMar>
              <w:left w:w="120" w:type="dxa"/>
              <w:top w:w="120" w:type="dxa"/>
              <w:right w:w="120" w:type="dxa"/>
              <w:bottom w:w="120" w:type="dxa"/>
            </w:tcMar>
            <w:tcW w:w="647" w:type="pct"/>
            <w:vAlign w:val="center"/>
            <w:vMerge w:val="continue"/>
            <w:textDirection w:val="lrTb"/>
            <w:noWrap w:val="false"/>
          </w:tcPr>
          <w:p>
            <w:pPr>
              <w:jc w:val="left"/>
              <w:widowControl/>
              <w:rPr>
                <w:rFonts w:ascii="宋体" w:hAnsi="宋体" w:cs="宋体"/>
                <w:sz w:val="24"/>
                <w:lang w:bidi="ar"/>
              </w:rPr>
            </w:pPr>
            <w:r>
              <w:rPr>
                <w:rFonts w:ascii="宋体" w:hAnsi="宋体" w:cs="宋体"/>
                <w:sz w:val="24"/>
                <w:lang w:bidi="ar"/>
              </w:rPr>
            </w:r>
            <w:r/>
          </w:p>
        </w:tc>
      </w:tr>
    </w:tbl>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spacing w:line="276"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说明：</w:t>
      </w:r>
      <w:r/>
    </w:p>
    <w:p>
      <w:pPr>
        <w:ind w:firstLine="720"/>
        <w:spacing w:line="400" w:lineRule="exact"/>
        <w:rPr>
          <w:rFonts w:ascii="宋体" w:hAnsi="宋体" w:cs="宋体"/>
          <w:color w:val="000000"/>
          <w:sz w:val="24"/>
        </w:rPr>
      </w:pPr>
      <w:r>
        <w:rPr>
          <w:rFonts w:hint="eastAsia" w:ascii="宋体" w:hAnsi="宋体" w:cs="宋体"/>
          <w:color w:val="000000"/>
          <w:sz w:val="24"/>
        </w:rPr>
        <w:t xml:space="preserve">1.按上表计算的收费为代理服务全过程的收费金额。各社会代理机构不再收取采购文件制作售卖费用。</w:t>
      </w:r>
      <w:r/>
    </w:p>
    <w:p>
      <w:pPr>
        <w:ind w:firstLine="720"/>
        <w:spacing w:line="400" w:lineRule="exact"/>
        <w:rPr>
          <w:rFonts w:ascii="宋体" w:hAnsi="宋体" w:cs="宋体"/>
          <w:color w:val="000000"/>
          <w:sz w:val="24"/>
        </w:rPr>
      </w:pPr>
      <w:r>
        <w:rPr>
          <w:rFonts w:hint="eastAsia" w:ascii="宋体" w:hAnsi="宋体" w:cs="宋体"/>
          <w:color w:val="000000"/>
          <w:sz w:val="24"/>
        </w:rPr>
        <w:t xml:space="preserve">2.代理服务费按差额定率累进法计算。</w:t>
      </w:r>
      <w:r/>
    </w:p>
    <w:p>
      <w:pPr>
        <w:ind w:firstLine="720"/>
        <w:spacing w:line="400" w:lineRule="exact"/>
        <w:rPr>
          <w:rFonts w:ascii="宋体" w:hAnsi="宋体" w:cs="宋体"/>
          <w:color w:val="000000"/>
          <w:sz w:val="24"/>
        </w:rPr>
      </w:pPr>
      <w:r>
        <w:rPr>
          <w:rFonts w:hint="eastAsia" w:ascii="宋体" w:hAnsi="宋体" w:cs="宋体"/>
          <w:color w:val="000000"/>
          <w:sz w:val="24"/>
        </w:rPr>
        <w:t xml:space="preserve">3.代理服务费基准金额（按差额定率累进法计算的）=中标金额（按差额定率累进法计算的） * 费率（%）。</w:t>
      </w:r>
      <w:r/>
    </w:p>
    <w:p>
      <w:pPr>
        <w:ind w:firstLine="720"/>
        <w:spacing w:line="400" w:lineRule="exact"/>
        <w:rPr>
          <w:rFonts w:ascii="宋体" w:hAnsi="宋体" w:cs="宋体"/>
          <w:color w:val="000000"/>
          <w:sz w:val="24"/>
        </w:rPr>
      </w:pPr>
      <w:r>
        <w:rPr>
          <w:rFonts w:hint="eastAsia" w:ascii="宋体" w:hAnsi="宋体" w:cs="宋体"/>
          <w:color w:val="000000"/>
          <w:sz w:val="24"/>
        </w:rPr>
        <w:t xml:space="preserve">4.代理服务费应收取金额=代理服务费基准金额（按差额定率累进法计算的）</w:t>
      </w:r>
      <w:r>
        <w:rPr>
          <w:rFonts w:hint="eastAsia" w:ascii="宋体" w:hAnsi="宋体" w:cs="宋体"/>
          <w:sz w:val="24"/>
        </w:rPr>
        <w:t xml:space="preserve">的合计数。</w:t>
      </w:r>
      <w:r/>
    </w:p>
    <w:p>
      <w:pPr>
        <w:ind w:firstLine="720"/>
        <w:spacing w:line="400" w:lineRule="exact"/>
        <w:rPr>
          <w:rFonts w:ascii="宋体" w:hAnsi="宋体" w:cs="宋体"/>
          <w:color w:val="000000"/>
          <w:sz w:val="24"/>
        </w:rPr>
      </w:pPr>
      <w:r>
        <w:rPr>
          <w:rFonts w:hint="eastAsia" w:ascii="宋体" w:hAnsi="宋体" w:cs="宋体"/>
          <w:color w:val="000000"/>
          <w:sz w:val="24"/>
        </w:rPr>
        <w:t xml:space="preserve">5.定点类等无金额或事先不能计算出价格总额的项目，按中标（成交）金额100万元计算服务费。</w:t>
      </w:r>
      <w:r/>
    </w:p>
    <w:p>
      <w:pPr>
        <w:ind w:firstLine="720"/>
        <w:spacing w:line="400" w:lineRule="exact"/>
        <w:rPr>
          <w:rFonts w:ascii="宋体" w:hAnsi="宋体" w:cs="宋体"/>
          <w:color w:val="000000"/>
          <w:sz w:val="24"/>
        </w:rPr>
      </w:pPr>
      <w:r>
        <w:rPr>
          <w:rFonts w:hint="eastAsia" w:ascii="宋体" w:hAnsi="宋体" w:cs="宋体"/>
          <w:color w:val="000000"/>
          <w:sz w:val="24"/>
        </w:rPr>
        <w:t xml:space="preserve">6.有分包（分标段）的以一个项目计算。</w:t>
      </w:r>
      <w:r/>
    </w:p>
    <w:p>
      <w:pPr>
        <w:ind w:firstLine="720"/>
        <w:spacing w:line="400" w:lineRule="exact"/>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上该表为自行约定的代理服务费标准</w:t>
      </w:r>
      <w:r>
        <w:rPr>
          <w:rFonts w:hint="eastAsia" w:ascii="宋体" w:hAnsi="宋体" w:cs="宋体"/>
          <w:color w:val="000000"/>
          <w:sz w:val="24"/>
        </w:rPr>
        <w:t xml:space="preserve">，本项目代理服务费按照以上标准计算后的40%收取</w:t>
      </w:r>
      <w:r>
        <w:rPr>
          <w:rFonts w:ascii="宋体" w:hAnsi="宋体" w:cs="宋体"/>
          <w:color w:val="000000"/>
          <w:sz w:val="24"/>
        </w:rPr>
        <w:t xml:space="preserve">。</w:t>
      </w:r>
      <w:r/>
    </w:p>
    <w:p>
      <w:pPr>
        <w:ind w:firstLine="720"/>
        <w:spacing w:line="400" w:lineRule="exact"/>
        <w:rPr>
          <w:rFonts w:ascii="宋体" w:hAnsi="宋体" w:cs="宋体"/>
          <w:sz w:val="24"/>
        </w:rPr>
      </w:pPr>
      <w:r>
        <w:rPr>
          <w:rFonts w:hint="eastAsia" w:ascii="宋体" w:hAnsi="宋体" w:cs="宋体"/>
          <w:sz w:val="24"/>
        </w:rPr>
        <w:t xml:space="preserve">8.根据苏财规[2026]1号文件有关规定，本项目代理服务费由中标人支付，各投标人在投标报价时应充分考虑在内。</w:t>
      </w:r>
      <w:r/>
    </w:p>
    <w:p>
      <w:pPr>
        <w:ind w:firstLine="720"/>
        <w:spacing w:line="400" w:lineRule="exact"/>
        <w:rPr>
          <w:rFonts w:ascii="宋体" w:hAnsi="宋体" w:cs="宋体"/>
          <w:color w:val="000000"/>
          <w:sz w:val="24"/>
        </w:rPr>
      </w:pPr>
      <w:r>
        <w:rPr>
          <w:rFonts w:hint="eastAsia" w:ascii="宋体" w:hAnsi="宋体" w:cs="宋体"/>
          <w:color w:val="000000"/>
          <w:sz w:val="24"/>
        </w:rPr>
        <w:t xml:space="preserve">9.账户信息：</w:t>
      </w:r>
      <w:r/>
    </w:p>
    <w:p>
      <w:pPr>
        <w:ind w:firstLine="723"/>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账户名称：江苏中瑞建设项目管理有限公司</w:t>
      </w:r>
      <w:r/>
    </w:p>
    <w:p>
      <w:pPr>
        <w:ind w:firstLine="723"/>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开户行：中国建设银行徐州永安支行</w:t>
      </w:r>
      <w:r/>
    </w:p>
    <w:p>
      <w:pPr>
        <w:ind w:firstLine="723"/>
        <w:jc w:val="left"/>
        <w:spacing w:line="360" w:lineRule="auto"/>
        <w:rPr>
          <w:rFonts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银行账号：32001718336052501620</w:t>
      </w:r>
      <w:r/>
    </w:p>
    <w:p>
      <w:pPr>
        <w:spacing w:line="360" w:lineRule="auto"/>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spacing w:line="360" w:lineRule="auto"/>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第四章  评标标准</w:t>
      </w:r>
      <w:r/>
    </w:p>
    <w:tbl>
      <w:tblPr>
        <w:tblStyle w:val="863"/>
        <w:tblW w:w="104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196"/>
        <w:gridCol w:w="8093"/>
      </w:tblGrid>
      <w:tr>
        <w:trPr>
          <w:jc w:val="center"/>
          <w:trHeight w:val="567"/>
        </w:trPr>
        <w:tc>
          <w:tcPr>
            <w:gridSpan w:val="2"/>
            <w:tcW w:w="2355" w:type="dxa"/>
            <w:vAlign w:val="center"/>
            <w:textDirection w:val="lrTb"/>
            <w:noWrap w:val="false"/>
          </w:tcPr>
          <w:p>
            <w:pPr>
              <w:jc w:val="center"/>
              <w:rPr>
                <w:rFonts w:ascii="宋体" w:hAnsi="宋体" w:cs="宋体"/>
                <w:sz w:val="24"/>
              </w:rPr>
            </w:pPr>
            <w:r>
              <w:rPr>
                <w:rFonts w:hint="eastAsia" w:ascii="宋体" w:hAnsi="宋体" w:cs="宋体"/>
                <w:sz w:val="24"/>
              </w:rPr>
              <w:t xml:space="preserve">评审因素</w:t>
            </w:r>
            <w:r/>
          </w:p>
        </w:tc>
        <w:tc>
          <w:tcPr>
            <w:tcW w:w="8093" w:type="dxa"/>
            <w:vAlign w:val="center"/>
            <w:textDirection w:val="lrTb"/>
            <w:noWrap w:val="false"/>
          </w:tcPr>
          <w:p>
            <w:pPr>
              <w:jc w:val="center"/>
              <w:rPr>
                <w:rFonts w:ascii="宋体" w:hAnsi="宋体" w:cs="宋体"/>
                <w:sz w:val="24"/>
              </w:rPr>
            </w:pPr>
            <w:r>
              <w:rPr>
                <w:rFonts w:hint="eastAsia" w:ascii="宋体" w:hAnsi="宋体" w:cs="宋体"/>
                <w:sz w:val="24"/>
              </w:rPr>
              <w:t xml:space="preserve">评审因素细化和量化</w:t>
            </w:r>
            <w:r/>
          </w:p>
        </w:tc>
      </w:tr>
      <w:tr>
        <w:trPr>
          <w:jc w:val="center"/>
          <w:trHeight w:val="567"/>
        </w:trPr>
        <w:tc>
          <w:tcPr>
            <w:tcW w:w="1159" w:type="dxa"/>
            <w:vAlign w:val="center"/>
            <w:textDirection w:val="lrTb"/>
            <w:noWrap w:val="false"/>
          </w:tcPr>
          <w:p>
            <w:pPr>
              <w:jc w:val="center"/>
              <w:rPr>
                <w:rFonts w:ascii="宋体" w:hAnsi="宋体" w:cs="宋体"/>
                <w:sz w:val="24"/>
              </w:rPr>
            </w:pPr>
            <w:r>
              <w:rPr>
                <w:rFonts w:hint="eastAsia" w:ascii="宋体" w:hAnsi="宋体" w:cs="宋体"/>
                <w:sz w:val="24"/>
              </w:rPr>
              <w:t xml:space="preserve">价格</w:t>
            </w:r>
            <w:r/>
          </w:p>
          <w:p>
            <w:pPr>
              <w:jc w:val="center"/>
              <w:rPr>
                <w:rFonts w:ascii="宋体" w:hAnsi="宋体" w:cs="宋体"/>
                <w:sz w:val="24"/>
              </w:rPr>
            </w:pPr>
            <w:r>
              <w:rPr>
                <w:rFonts w:hint="eastAsia" w:ascii="宋体" w:hAnsi="宋体" w:cs="宋体"/>
                <w:sz w:val="24"/>
              </w:rPr>
              <w:t xml:space="preserve">部分</w:t>
            </w:r>
            <w:r/>
          </w:p>
          <w:p>
            <w:pPr>
              <w:jc w:val="center"/>
              <w:rPr>
                <w:rFonts w:ascii="宋体" w:hAnsi="宋体" w:cs="宋体"/>
                <w:sz w:val="24"/>
              </w:rPr>
            </w:pPr>
            <w:r>
              <w:rPr>
                <w:rFonts w:hint="eastAsia" w:ascii="宋体" w:hAnsi="宋体" w:cs="宋体"/>
                <w:sz w:val="24"/>
              </w:rPr>
              <w:t xml:space="preserve">（30分）</w:t>
            </w:r>
            <w:r/>
          </w:p>
        </w:tc>
        <w:tc>
          <w:tcPr>
            <w:tcW w:w="119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价格</w:t>
            </w:r>
            <w:r/>
          </w:p>
          <w:p>
            <w:pPr>
              <w:jc w:val="center"/>
              <w:rPr>
                <w:rFonts w:ascii="宋体" w:hAnsi="宋体" w:cs="宋体"/>
                <w:sz w:val="24"/>
              </w:rPr>
            </w:pPr>
            <w:r>
              <w:rPr>
                <w:rFonts w:hint="eastAsia" w:ascii="宋体" w:hAnsi="宋体" w:cs="宋体"/>
                <w:color w:val="auto"/>
                <w:sz w:val="24"/>
              </w:rPr>
              <w:t xml:space="preserve">（30分）</w:t>
            </w:r>
            <w:r/>
          </w:p>
        </w:tc>
        <w:tc>
          <w:tcPr>
            <w:tcW w:w="8093" w:type="dxa"/>
            <w:vAlign w:val="center"/>
            <w:textDirection w:val="lrTb"/>
            <w:noWrap w:val="false"/>
          </w:tcPr>
          <w:p>
            <w:pPr>
              <w:jc w:val="left"/>
              <w:spacing w:line="288" w:lineRule="auto"/>
              <w:rPr>
                <w:rFonts w:ascii="宋体" w:hAnsi="宋体" w:cs="宋体"/>
                <w:sz w:val="24"/>
              </w:rPr>
            </w:pPr>
            <w:r/>
            <w:bookmarkStart w:id="0" w:name="OLE_LINK10"/>
            <w:r>
              <w:rPr>
                <w:rFonts w:hint="eastAsia" w:ascii="宋体" w:hAnsi="宋体" w:cs="宋体"/>
                <w:sz w:val="24"/>
              </w:rPr>
              <w:t xml:space="preserve">价格分计算，即满足招标文件要求且评审价格最低的投标报价为评标基准价，其价格分为满分30分。其他投标人的价格分按照下列公式计算：</w:t>
            </w:r>
            <w:r/>
          </w:p>
          <w:p>
            <w:pPr>
              <w:jc w:val="left"/>
              <w:spacing w:line="288" w:lineRule="auto"/>
              <w:rPr>
                <w:rFonts w:ascii="宋体" w:hAnsi="宋体" w:cs="宋体"/>
                <w:sz w:val="24"/>
              </w:rPr>
            </w:pPr>
            <w:r>
              <w:rPr>
                <w:rFonts w:hint="eastAsia" w:ascii="宋体" w:hAnsi="宋体" w:cs="宋体"/>
                <w:sz w:val="24"/>
              </w:rPr>
              <w:t xml:space="preserve">投标报价得分=（评标基准价／投标人的评审价格）×30</w:t>
            </w:r>
            <w:bookmarkEnd w:id="0"/>
            <w:r/>
            <w:r/>
          </w:p>
          <w:p>
            <w:pPr>
              <w:jc w:val="left"/>
              <w:spacing w:line="288" w:lineRule="auto"/>
              <w:rPr>
                <w:rFonts w:ascii="宋体" w:hAnsi="宋体" w:cs="宋体"/>
                <w:sz w:val="24"/>
              </w:rPr>
            </w:pPr>
            <w:r>
              <w:rPr>
                <w:rFonts w:hint="eastAsia" w:ascii="宋体" w:hAnsi="宋体" w:cs="宋体"/>
                <w:sz w:val="24"/>
              </w:rPr>
              <w:t xml:space="preserve">注：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jc w:val="left"/>
              <w:spacing w:line="288" w:lineRule="auto"/>
              <w:rPr>
                <w:rFonts w:ascii="宋体" w:hAnsi="宋体" w:cs="宋体"/>
                <w:sz w:val="24"/>
              </w:rPr>
            </w:pPr>
            <w:r>
              <w:rPr>
                <w:rFonts w:hint="eastAsia" w:ascii="宋体" w:hAnsi="宋体" w:cs="宋体"/>
                <w:sz w:val="24"/>
              </w:rPr>
              <w:t xml:space="preserve">该投标人的评审价格=《开标一览表》中的“总价”*（100%-10%）。</w:t>
            </w:r>
            <w:r/>
          </w:p>
          <w:p>
            <w:pPr>
              <w:jc w:val="left"/>
              <w:spacing w:line="288" w:lineRule="auto"/>
              <w:rPr>
                <w:rFonts w:ascii="宋体" w:hAnsi="宋体" w:cs="宋体"/>
                <w:sz w:val="24"/>
              </w:rPr>
            </w:pPr>
            <w:r>
              <w:rPr>
                <w:rFonts w:hint="eastAsia" w:ascii="宋体" w:hAnsi="宋体" w:cs="宋体"/>
                <w:sz w:val="24"/>
              </w:rPr>
              <w:t xml:space="preserve">2、政府采购活动中既有本国产品又有非本国产品参与竞争的，依法对本国产品给予价格评审优惠，对本国产品的报价给予20%的价格扣除，用扣除后的价格参与评审。</w:t>
            </w:r>
            <w:r/>
          </w:p>
          <w:p>
            <w:pPr>
              <w:jc w:val="left"/>
              <w:spacing w:line="288" w:lineRule="auto"/>
              <w:rPr>
                <w:rFonts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288" w:lineRule="auto"/>
              <w:rPr>
                <w:rFonts w:ascii="宋体" w:hAnsi="宋体" w:cs="宋体"/>
                <w:sz w:val="24"/>
              </w:rPr>
            </w:pPr>
            <w:r>
              <w:rPr>
                <w:rFonts w:hint="eastAsia" w:ascii="宋体" w:hAnsi="宋体" w:cs="宋体"/>
                <w:sz w:val="24"/>
              </w:rPr>
              <w:t xml:space="preserve">该投标人的评审价格=《开标一览表》中的“总价”*（100%-20%）。</w:t>
            </w:r>
            <w:r/>
          </w:p>
          <w:p>
            <w:pPr>
              <w:jc w:val="left"/>
              <w:spacing w:line="288" w:lineRule="auto"/>
              <w:rPr>
                <w:rFonts w:ascii="宋体" w:hAnsi="宋体" w:cs="宋体"/>
                <w:sz w:val="24"/>
              </w:rPr>
            </w:pPr>
            <w:r>
              <w:rPr>
                <w:rFonts w:hint="eastAsia" w:ascii="宋体" w:hAnsi="宋体" w:cs="宋体"/>
                <w:sz w:val="24"/>
              </w:rPr>
              <w:t xml:space="preserve">3、上述1、2项评审优惠可同时享受，分别在供应商报价基础上予以扣除，用扣除后的价格参与评审，即该投标人的评审价格 = 《开标一览表》中的“总价” *（100% - 30%）。</w:t>
            </w:r>
            <w:r/>
          </w:p>
          <w:p>
            <w:pPr>
              <w:jc w:val="left"/>
              <w:spacing w:line="288" w:lineRule="auto"/>
              <w:rPr>
                <w:rFonts w:ascii="宋体" w:hAnsi="宋体" w:cs="宋体"/>
                <w:sz w:val="24"/>
              </w:rPr>
            </w:pPr>
            <w:r>
              <w:rPr>
                <w:rFonts w:hint="eastAsia" w:ascii="宋体" w:hAnsi="宋体" w:cs="宋体"/>
                <w:sz w:val="24"/>
              </w:rPr>
              <w:t xml:space="preserve">享受价格评审优惠不改变最终中标价格，政府采购合同仍按照中标供应商的报价签订。</w:t>
            </w:r>
            <w:r/>
          </w:p>
        </w:tc>
      </w:tr>
      <w:tr>
        <w:trPr>
          <w:cantSplit/>
          <w:jc w:val="center"/>
          <w:trHeight w:val="567"/>
        </w:trPr>
        <w:tc>
          <w:tcPr>
            <w:tcW w:w="115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技术</w:t>
            </w:r>
            <w:r/>
          </w:p>
          <w:p>
            <w:pPr>
              <w:jc w:val="center"/>
              <w:rPr>
                <w:rFonts w:ascii="宋体" w:hAnsi="宋体" w:cs="宋体"/>
                <w:sz w:val="24"/>
              </w:rPr>
            </w:pPr>
            <w:r>
              <w:rPr>
                <w:rFonts w:hint="eastAsia" w:ascii="宋体" w:hAnsi="宋体" w:cs="宋体"/>
                <w:sz w:val="24"/>
              </w:rPr>
              <w:t xml:space="preserve">部分</w:t>
            </w:r>
            <w:r/>
          </w:p>
          <w:p>
            <w:pPr>
              <w:jc w:val="center"/>
              <w:rPr>
                <w:rFonts w:ascii="宋体" w:hAnsi="宋体" w:cs="宋体"/>
                <w:sz w:val="24"/>
              </w:rPr>
            </w:pPr>
            <w:r>
              <w:rPr>
                <w:rFonts w:hint="eastAsia" w:ascii="宋体" w:hAnsi="宋体" w:cs="宋体"/>
                <w:color w:val="auto"/>
                <w:sz w:val="24"/>
              </w:rPr>
              <w:t xml:space="preserve">（62</w:t>
            </w:r>
            <w:r>
              <w:rPr>
                <w:rFonts w:hint="eastAsia" w:ascii="宋体" w:hAnsi="宋体" w:cs="宋体"/>
                <w:sz w:val="24"/>
              </w:rPr>
              <w:t xml:space="preserve">分）</w:t>
            </w:r>
            <w:r/>
          </w:p>
          <w:p>
            <w:pPr>
              <w:jc w:val="center"/>
              <w:rPr>
                <w:rFonts w:ascii="宋体" w:hAnsi="宋体" w:cs="宋体"/>
                <w:sz w:val="24"/>
              </w:rPr>
            </w:pPr>
            <w:r>
              <w:rPr>
                <w:rFonts w:ascii="宋体" w:hAnsi="宋体" w:cs="宋体"/>
                <w:sz w:val="24"/>
              </w:rPr>
            </w:r>
            <w:r/>
          </w:p>
        </w:tc>
        <w:tc>
          <w:tcPr>
            <w:tcBorders>
              <w:top w:val="single" w:color="auto" w:sz="4" w:space="0"/>
            </w:tcBorders>
            <w:tcW w:w="1196" w:type="dxa"/>
            <w:vAlign w:val="center"/>
            <w:textDirection w:val="lrTb"/>
            <w:noWrap w:val="false"/>
          </w:tcPr>
          <w:p>
            <w:pPr>
              <w:jc w:val="center"/>
              <w:spacing w:line="264" w:lineRule="auto"/>
              <w:rPr>
                <w:rFonts w:ascii="宋体" w:hAnsi="宋体" w:cs="宋体"/>
                <w:sz w:val="24"/>
              </w:rPr>
            </w:pPr>
            <w:r>
              <w:rPr>
                <w:rFonts w:hint="eastAsia" w:ascii="宋体" w:hAnsi="宋体" w:cs="宋体"/>
                <w:sz w:val="24"/>
              </w:rPr>
              <w:t xml:space="preserve">技术规格参数（30分）</w:t>
            </w:r>
            <w:r/>
          </w:p>
        </w:tc>
        <w:tc>
          <w:tcPr>
            <w:tcBorders>
              <w:top w:val="single" w:color="auto" w:sz="4" w:space="0"/>
              <w:bottom w:val="single" w:color="auto" w:sz="4" w:space="0"/>
            </w:tcBorders>
            <w:tcW w:w="8093" w:type="dxa"/>
            <w:vAlign w:val="center"/>
            <w:textDirection w:val="lrTb"/>
            <w:noWrap w:val="false"/>
          </w:tcPr>
          <w:p>
            <w:pPr>
              <w:rPr>
                <w:rFonts w:ascii="宋体" w:hAnsi="宋体" w:cs="宋体"/>
                <w:color w:val="auto"/>
                <w:sz w:val="24"/>
              </w:rPr>
            </w:pPr>
            <w:r>
              <w:rPr>
                <w:rFonts w:hint="eastAsia" w:ascii="宋体" w:hAnsi="宋体" w:cs="宋体"/>
                <w:color w:val="000000"/>
                <w:sz w:val="24"/>
              </w:rPr>
              <w:t xml:space="preserve">依据投标文件中《技术偏离表》及技术规格参数响应对招标文件第六章《采购需求》中“六、采购清单与技术要求”的满足程度进行评价。 产品技术参数全部满足招标要求的得满分30分；加“★”</w:t>
            </w:r>
            <w:r>
              <w:rPr>
                <w:rFonts w:hint="eastAsia" w:ascii="宋体" w:hAnsi="宋体" w:cs="宋体"/>
                <w:b w:val="0"/>
                <w:bCs w:val="0"/>
                <w:color w:val="auto"/>
                <w:sz w:val="24"/>
              </w:rPr>
              <w:t xml:space="preserve">为实质性响应指标</w:t>
            </w:r>
            <w:r>
              <w:rPr>
                <w:rFonts w:hint="eastAsia" w:ascii="宋体" w:hAnsi="宋体" w:cs="宋体"/>
                <w:color w:val="auto"/>
                <w:sz w:val="24"/>
              </w:rPr>
              <w:t xml:space="preserve">（共10项），不允许负偏离，否则投标无效；加“▲”</w:t>
            </w:r>
            <w:r>
              <w:rPr>
                <w:rFonts w:hint="eastAsia" w:ascii="宋体" w:hAnsi="宋体" w:cs="宋体"/>
                <w:b w:val="0"/>
                <w:bCs w:val="0"/>
                <w:color w:val="auto"/>
                <w:sz w:val="24"/>
              </w:rPr>
              <w:t xml:space="preserve">为次重要响应指标</w:t>
            </w:r>
            <w:r>
              <w:rPr>
                <w:rFonts w:hint="eastAsia" w:ascii="宋体" w:hAnsi="宋体" w:cs="宋体"/>
                <w:color w:val="auto"/>
                <w:sz w:val="24"/>
              </w:rPr>
              <w:t xml:space="preserve">（共27项），有不满足或负偏离的，每一项扣1分；其他未标注参数为一般响应指标（共70项），有不满足或负偏离的，每一项扣0.5分，扣完为止；本项最高得30分，最低得0分。</w:t>
            </w:r>
            <w:r/>
          </w:p>
          <w:p>
            <w:pPr>
              <w:rPr>
                <w:rFonts w:ascii="宋体" w:hAnsi="宋体" w:cs="宋体"/>
                <w:color w:val="000000"/>
                <w:sz w:val="24"/>
              </w:rPr>
            </w:pPr>
            <w:r>
              <w:rPr>
                <w:rFonts w:hint="eastAsia" w:ascii="宋体" w:hAnsi="宋体" w:cs="宋体"/>
                <w:color w:val="auto"/>
                <w:sz w:val="24"/>
              </w:rPr>
              <w:t xml:space="preserve">投标人需按照本招标文件具体技术要求，在“技术偏离表”中如实详细填列所投产品的参数及承诺，并按招标文件要求提供相应的证明材料，应在《技术偏离表》中注明证明材料所在投标文件的页码位置，否则</w:t>
            </w:r>
            <w:r>
              <w:rPr>
                <w:rFonts w:hint="eastAsia" w:ascii="宋体" w:hAnsi="宋体" w:cs="宋体"/>
                <w:color w:val="000000"/>
                <w:sz w:val="24"/>
              </w:rPr>
              <w:t xml:space="preserve">评标委员会有权做负偏离处理。所有证明性材料的真实性需在合同签订前进行核查。</w:t>
            </w:r>
            <w:r/>
          </w:p>
          <w:p>
            <w:pPr>
              <w:rPr>
                <w:rFonts w:ascii="宋体" w:hAnsi="宋体" w:cs="宋体"/>
                <w:b/>
                <w:bCs/>
                <w:color w:val="000000"/>
                <w:sz w:val="24"/>
              </w:rPr>
            </w:pPr>
            <w:r>
              <w:rPr>
                <w:rFonts w:hint="eastAsia" w:ascii="宋体" w:hAnsi="宋体" w:cs="宋体"/>
                <w:b/>
                <w:bCs/>
                <w:color w:val="000000"/>
                <w:sz w:val="24"/>
              </w:rPr>
              <w:t xml:space="preserve">注：1、未按照招标文件提供证明材料的视为不满足。</w:t>
            </w:r>
            <w:r/>
          </w:p>
          <w:p>
            <w:pPr>
              <w:spacing w:line="288" w:lineRule="auto"/>
              <w:rPr>
                <w:rFonts w:ascii="宋体" w:hAnsi="宋体" w:cs="宋体"/>
                <w:sz w:val="24"/>
              </w:rPr>
            </w:pPr>
            <w:r>
              <w:rPr>
                <w:rFonts w:hint="eastAsia" w:ascii="宋体" w:hAnsi="宋体" w:cs="宋体"/>
                <w:b/>
                <w:bCs/>
                <w:color w:val="000000"/>
                <w:sz w:val="24"/>
              </w:rPr>
              <w:t xml:space="preserve">2、参数符号说明：</w:t>
            </w:r>
            <w:r>
              <w:rPr>
                <w:rFonts w:hint="eastAsia" w:ascii="宋体" w:hAnsi="宋体" w:cs="宋体"/>
                <w:b/>
                <w:bCs/>
                <w:color w:val="auto"/>
                <w:sz w:val="24"/>
              </w:rPr>
              <w:t xml:space="preserve">“★”实质性响应指标；“▲”</w:t>
            </w:r>
            <w:r>
              <w:rPr>
                <w:rFonts w:hint="eastAsia" w:ascii="宋体" w:hAnsi="宋体" w:cs="宋体"/>
                <w:b/>
                <w:color w:val="auto"/>
                <w:sz w:val="24"/>
              </w:rPr>
              <w:t xml:space="preserve">次重要响应指标</w:t>
            </w:r>
            <w:r>
              <w:rPr>
                <w:rFonts w:hint="eastAsia" w:ascii="宋体" w:hAnsi="宋体" w:cs="宋体"/>
                <w:b/>
                <w:bCs/>
                <w:color w:val="auto"/>
                <w:sz w:val="24"/>
              </w:rPr>
              <w:t xml:space="preserve">；</w:t>
            </w:r>
            <w:r>
              <w:rPr>
                <w:rFonts w:hint="eastAsia" w:ascii="宋体" w:hAnsi="宋体" w:cs="宋体"/>
                <w:b/>
                <w:bCs/>
                <w:color w:val="000000"/>
                <w:sz w:val="24"/>
              </w:rPr>
              <w:t xml:space="preserve">未标注为一般响应指标。</w:t>
            </w:r>
            <w:r/>
          </w:p>
        </w:tc>
      </w:tr>
      <w:tr>
        <w:trPr>
          <w:cantSplit/>
          <w:jc w:val="center"/>
          <w:trHeight w:val="2861"/>
        </w:trPr>
        <w:tc>
          <w:tcPr>
            <w:tcW w:w="115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tcBorders>
            <w:tcW w:w="1196" w:type="dxa"/>
            <w:vAlign w:val="center"/>
            <w:textDirection w:val="lrTb"/>
            <w:noWrap w:val="false"/>
          </w:tcPr>
          <w:p>
            <w:pPr>
              <w:jc w:val="center"/>
              <w:spacing w:line="264" w:lineRule="auto"/>
              <w:rPr>
                <w:rFonts w:ascii="宋体" w:hAnsi="宋体" w:cs="宋体"/>
                <w:sz w:val="24"/>
              </w:rPr>
            </w:pPr>
            <w:r>
              <w:rPr>
                <w:rFonts w:hint="eastAsia" w:ascii="宋体" w:hAnsi="宋体" w:cs="宋体"/>
                <w:color w:val="000000"/>
                <w:sz w:val="24"/>
              </w:rPr>
              <w:t xml:space="preserve">项目整体实施方案（8分）</w:t>
            </w:r>
            <w:r/>
          </w:p>
        </w:tc>
        <w:tc>
          <w:tcPr>
            <w:tcBorders>
              <w:top w:val="single" w:color="auto" w:sz="4" w:space="0"/>
              <w:bottom w:val="single" w:color="auto" w:sz="4" w:space="0"/>
            </w:tcBorders>
            <w:tcW w:w="8093" w:type="dxa"/>
            <w:vAlign w:val="center"/>
            <w:textDirection w:val="lrTb"/>
            <w:noWrap w:val="false"/>
          </w:tcPr>
          <w:p>
            <w:pPr>
              <w:jc w:val="left"/>
              <w:spacing w:line="288" w:lineRule="auto"/>
              <w:rPr>
                <w:rFonts w:ascii="宋体" w:hAnsi="宋体" w:cs="宋体"/>
                <w:sz w:val="24"/>
              </w:rPr>
            </w:pPr>
            <w:r>
              <w:rPr>
                <w:rFonts w:hint="eastAsia" w:ascii="宋体" w:hAnsi="宋体" w:cs="宋体"/>
                <w:sz w:val="24"/>
              </w:rPr>
              <w:t xml:space="preserve">根据投标人提供的项目整体实施方案进行综合评分，方案包括但不限于项目需求理解与现状分析，总体架构设计，详细部署规划，项目实施进度计划，测试方案、试运行及验收方案，项目实施风险识别及管控措施，项目实施组织与人员保障。</w:t>
            </w:r>
            <w:r/>
          </w:p>
          <w:p>
            <w:pPr>
              <w:spacing w:line="288"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上述内容齐全，架构贴合校园场景，产品联动合理，进度、测试、风险方案详实，针对性强，</w:t>
            </w:r>
            <w:r>
              <w:rPr>
                <w:rFonts w:hint="eastAsia" w:ascii="宋体" w:hAnsi="宋体" w:cs="宋体"/>
                <w:sz w:val="24"/>
              </w:rPr>
              <w:t xml:space="preserve">得8分；</w:t>
            </w:r>
            <w:r/>
          </w:p>
          <w:p>
            <w:pPr>
              <w:spacing w:line="288"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主要内容齐全，方案基本可行，部分内容偏通用</w:t>
            </w:r>
            <w:r>
              <w:rPr>
                <w:rFonts w:hint="eastAsia" w:ascii="宋体" w:hAnsi="宋体" w:cs="宋体"/>
                <w:sz w:val="24"/>
              </w:rPr>
              <w:t xml:space="preserve">，得6分；</w:t>
            </w:r>
            <w:r/>
          </w:p>
          <w:p>
            <w:pPr>
              <w:spacing w:line="288"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存在关键模块缺失，方案针对性不足</w:t>
            </w:r>
            <w:r>
              <w:rPr>
                <w:rFonts w:hint="eastAsia" w:ascii="宋体" w:hAnsi="宋体" w:cs="宋体"/>
                <w:sz w:val="24"/>
              </w:rPr>
              <w:t xml:space="preserve">，得4分；</w:t>
            </w:r>
            <w:r/>
          </w:p>
          <w:p>
            <w:pPr>
              <w:spacing w:line="288"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缺少核心部署、进度或验收内容，无法满足项目实施要求</w:t>
            </w:r>
            <w:r>
              <w:rPr>
                <w:rFonts w:hint="eastAsia" w:ascii="宋体" w:hAnsi="宋体" w:cs="宋体"/>
                <w:sz w:val="24"/>
              </w:rPr>
              <w:t xml:space="preserve">，得2分；</w:t>
            </w:r>
            <w:r/>
          </w:p>
          <w:p>
            <w:pPr>
              <w:spacing w:line="288" w:lineRule="auto"/>
              <w:rPr>
                <w:rFonts w:ascii="宋体" w:hAnsi="宋体" w:cs="宋体"/>
                <w:sz w:val="24"/>
              </w:rPr>
            </w:pPr>
            <w:r>
              <w:rPr>
                <w:rFonts w:hint="eastAsia" w:ascii="宋体" w:hAnsi="宋体" w:cs="宋体"/>
                <w:sz w:val="24"/>
              </w:rPr>
              <w:t xml:space="preserve">（5）未提供项目整体实施方案的，不得分。</w:t>
            </w:r>
            <w:r/>
          </w:p>
        </w:tc>
      </w:tr>
      <w:tr>
        <w:trPr>
          <w:cantSplit/>
          <w:jc w:val="center"/>
          <w:trHeight w:val="567"/>
        </w:trPr>
        <w:tc>
          <w:tcPr>
            <w:tcW w:w="115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bottom w:val="single" w:color="auto" w:sz="4" w:space="0"/>
            </w:tcBorders>
            <w:tcW w:w="1196" w:type="dxa"/>
            <w:vAlign w:val="center"/>
            <w:textDirection w:val="lrTb"/>
            <w:noWrap w:val="false"/>
          </w:tcPr>
          <w:p>
            <w:pPr>
              <w:jc w:val="center"/>
              <w:spacing w:line="264" w:lineRule="auto"/>
              <w:rPr>
                <w:rFonts w:ascii="宋体" w:hAnsi="宋体" w:cs="宋体"/>
                <w:sz w:val="24"/>
              </w:rPr>
            </w:pPr>
            <w:r>
              <w:rPr>
                <w:rFonts w:hint="eastAsia" w:ascii="宋体" w:hAnsi="宋体" w:cs="宋体"/>
                <w:color w:val="000000"/>
                <w:spacing w:val="1"/>
                <w:sz w:val="24"/>
              </w:rPr>
              <w:t xml:space="preserve">业务迁移方案（8分）</w:t>
            </w:r>
            <w:r/>
          </w:p>
        </w:tc>
        <w:tc>
          <w:tcPr>
            <w:tcBorders>
              <w:top w:val="single" w:color="auto" w:sz="4" w:space="0"/>
              <w:bottom w:val="single" w:color="auto" w:sz="4" w:space="0"/>
            </w:tcBorders>
            <w:tcW w:w="8093" w:type="dxa"/>
            <w:vAlign w:val="center"/>
            <w:textDirection w:val="lrTb"/>
            <w:noWrap w:val="false"/>
          </w:tcPr>
          <w:p>
            <w:pPr>
              <w:spacing w:line="288" w:lineRule="auto"/>
              <w:rPr>
                <w:rFonts w:ascii="宋体" w:hAnsi="宋体" w:cs="宋体"/>
                <w:sz w:val="24"/>
              </w:rPr>
            </w:pPr>
            <w:r>
              <w:rPr>
                <w:rFonts w:ascii="宋体" w:hAnsi="宋体" w:cs="宋体"/>
                <w:sz w:val="24"/>
              </w:rPr>
              <w:t xml:space="preserve">根据投标人</w:t>
            </w:r>
            <w:r>
              <w:rPr>
                <w:rFonts w:hint="eastAsia" w:ascii="宋体" w:hAnsi="宋体" w:cs="宋体"/>
                <w:sz w:val="24"/>
              </w:rPr>
              <w:t xml:space="preserve">提供的业务迁移方案进行综合评分，方案包括但不限于</w:t>
            </w:r>
            <w:r>
              <w:rPr>
                <w:rFonts w:ascii="宋体" w:hAnsi="宋体" w:cs="宋体"/>
                <w:sz w:val="24"/>
              </w:rPr>
              <w:t xml:space="preserve">业务系统梳理与迁移分级规划，迁移前期准备工作，详细迁移实施步骤，迁移过程业务保障机制，迁移回滚预案，迁移完成验证方案。</w:t>
            </w:r>
            <w:r/>
          </w:p>
          <w:p>
            <w:pPr>
              <w:spacing w:line="288" w:lineRule="auto"/>
              <w:rPr>
                <w:rFonts w:ascii="宋体" w:hAnsi="宋体" w:cs="宋体"/>
                <w:sz w:val="24"/>
              </w:rP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）迁移分级清晰，方案详实，适配校园业务，风险考虑充分，得 8 分；</w:t>
            </w:r>
            <w:r/>
          </w:p>
          <w:p>
            <w:pPr>
              <w:spacing w:line="288" w:lineRule="auto"/>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）迁移流程完整，具备基础回滚方案，但细节不足，得 6 分；</w:t>
            </w:r>
            <w:r/>
          </w:p>
          <w:p>
            <w:pPr>
              <w:spacing w:line="288" w:lineRule="auto"/>
              <w:rPr>
                <w:rFonts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）迁移步骤简单，缺少回滚方案或者验证方案，得 4 分；</w:t>
            </w:r>
            <w:r/>
          </w:p>
          <w:p>
            <w:pPr>
              <w:spacing w:line="288" w:lineRule="auto"/>
              <w:rPr>
                <w:rFonts w:ascii="宋体" w:hAnsi="宋体" w:cs="宋体"/>
                <w:sz w:val="24"/>
              </w:rP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）只有简单描述，无备份、无回滚，无法保障业务安全，得 2 分；</w:t>
            </w:r>
            <w:r/>
          </w:p>
          <w:p>
            <w:pPr>
              <w:spacing w:line="288" w:lineRule="auto"/>
              <w:rPr>
                <w:rFonts w:ascii="宋体" w:hAnsi="宋体" w:cs="宋体"/>
                <w:sz w:val="24"/>
              </w:rP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）未提供业务迁移方案的，不得分。</w:t>
            </w:r>
            <w:r/>
          </w:p>
        </w:tc>
      </w:tr>
      <w:tr>
        <w:trPr>
          <w:cantSplit/>
          <w:jc w:val="center"/>
          <w:trHeight w:val="567"/>
        </w:trPr>
        <w:tc>
          <w:tcPr>
            <w:tcW w:w="115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bottom w:val="single" w:color="auto" w:sz="4" w:space="0"/>
            </w:tcBorders>
            <w:tcW w:w="1196" w:type="dxa"/>
            <w:vAlign w:val="center"/>
            <w:textDirection w:val="lrTb"/>
            <w:noWrap w:val="false"/>
          </w:tcPr>
          <w:p>
            <w:pPr>
              <w:jc w:val="center"/>
              <w:spacing w:line="264" w:lineRule="auto"/>
              <w:rPr>
                <w:rFonts w:ascii="宋体" w:hAnsi="宋体" w:cs="宋体"/>
                <w:sz w:val="24"/>
              </w:rPr>
            </w:pPr>
            <w:r>
              <w:rPr>
                <w:rFonts w:hint="eastAsia" w:ascii="宋体" w:hAnsi="宋体" w:cs="宋体"/>
                <w:sz w:val="24"/>
              </w:rPr>
              <w:t xml:space="preserve">售后服务方案（8分）</w:t>
            </w:r>
            <w:r/>
          </w:p>
        </w:tc>
        <w:tc>
          <w:tcPr>
            <w:tcBorders>
              <w:top w:val="single" w:color="auto" w:sz="4" w:space="0"/>
              <w:bottom w:val="single" w:color="auto" w:sz="4" w:space="0"/>
            </w:tcBorders>
            <w:tcW w:w="8093" w:type="dxa"/>
            <w:vAlign w:val="center"/>
            <w:textDirection w:val="lrTb"/>
            <w:noWrap w:val="false"/>
          </w:tcPr>
          <w:p>
            <w:pPr>
              <w:jc w:val="left"/>
              <w:spacing w:line="288" w:lineRule="auto"/>
              <w:rPr>
                <w:rFonts w:ascii="宋体" w:hAnsi="宋体" w:cs="宋体"/>
                <w:sz w:val="24"/>
              </w:rPr>
            </w:pPr>
            <w:r>
              <w:rPr>
                <w:rFonts w:ascii="宋体" w:hAnsi="宋体" w:cs="宋体"/>
                <w:sz w:val="24"/>
              </w:rPr>
              <w:t xml:space="preserve">根据投标人提供的售后服务方案进行综合评分，方案</w:t>
            </w:r>
            <w:r>
              <w:rPr>
                <w:rFonts w:hint="eastAsia" w:ascii="宋体" w:hAnsi="宋体" w:cs="宋体"/>
                <w:sz w:val="24"/>
              </w:rPr>
              <w:t xml:space="preserve">包括但不限于</w:t>
            </w:r>
            <w:r>
              <w:rPr>
                <w:rFonts w:ascii="宋体" w:hAnsi="宋体" w:cs="宋体"/>
                <w:sz w:val="24"/>
              </w:rPr>
              <w:t xml:space="preserve">质保服务承诺，故障响应机制与服务流程，备件保障方案，驻场及技术支持服务，软件版本升级与漏洞修复服务，质保期后运维服务方案。</w:t>
            </w:r>
            <w:r/>
          </w:p>
          <w:p>
            <w:pPr>
              <w:jc w:val="left"/>
              <w:spacing w:line="288" w:lineRule="auto"/>
              <w:rPr>
                <w:rFonts w:ascii="宋体" w:hAnsi="宋体" w:cs="宋体"/>
                <w:sz w:val="24"/>
              </w:rP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）服务体系完整，方案清晰，保障力度强，得</w:t>
            </w:r>
            <w:r>
              <w:rPr>
                <w:rFonts w:hint="eastAsia" w:ascii="宋体" w:hAnsi="宋体" w:cs="宋体"/>
                <w:sz w:val="24"/>
              </w:rPr>
              <w:t xml:space="preserve">8</w:t>
            </w:r>
            <w:r>
              <w:rPr>
                <w:rFonts w:ascii="宋体" w:hAnsi="宋体" w:cs="宋体"/>
                <w:sz w:val="24"/>
              </w:rPr>
              <w:t xml:space="preserve">分；</w:t>
            </w:r>
            <w:r/>
          </w:p>
          <w:p>
            <w:pPr>
              <w:jc w:val="left"/>
              <w:spacing w:line="288" w:lineRule="auto"/>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）服务内容齐全，响应承诺满足采购最低要求，得</w:t>
            </w:r>
            <w:r>
              <w:rPr>
                <w:rFonts w:hint="eastAsia" w:ascii="宋体" w:hAnsi="宋体" w:cs="宋体"/>
                <w:sz w:val="24"/>
              </w:rPr>
              <w:t xml:space="preserve">6</w:t>
            </w:r>
            <w:r>
              <w:rPr>
                <w:rFonts w:ascii="宋体" w:hAnsi="宋体" w:cs="宋体"/>
                <w:sz w:val="24"/>
              </w:rPr>
              <w:t xml:space="preserve">分；</w:t>
            </w:r>
            <w:r/>
          </w:p>
          <w:p>
            <w:pPr>
              <w:jc w:val="left"/>
              <w:spacing w:line="288" w:lineRule="auto"/>
              <w:rPr>
                <w:rFonts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）缺少备件或定期巡检等关键内容，得</w:t>
            </w:r>
            <w:r>
              <w:rPr>
                <w:rFonts w:hint="eastAsia" w:ascii="宋体" w:hAnsi="宋体" w:cs="宋体"/>
                <w:sz w:val="24"/>
              </w:rPr>
              <w:t xml:space="preserve">4</w:t>
            </w:r>
            <w:r>
              <w:rPr>
                <w:rFonts w:ascii="宋体" w:hAnsi="宋体" w:cs="宋体"/>
                <w:sz w:val="24"/>
              </w:rPr>
              <w:t xml:space="preserve">分；</w:t>
            </w:r>
            <w:r/>
          </w:p>
          <w:p>
            <w:pPr>
              <w:jc w:val="left"/>
              <w:spacing w:line="288" w:lineRule="auto"/>
              <w:rPr>
                <w:rFonts w:ascii="宋体" w:hAnsi="宋体" w:cs="宋体"/>
                <w:sz w:val="24"/>
              </w:rP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）服务条款简单，响应、保障措施不明确，得2分；</w:t>
            </w:r>
            <w:r/>
          </w:p>
          <w:p>
            <w:pPr>
              <w:jc w:val="left"/>
              <w:spacing w:line="288" w:lineRule="auto"/>
              <w:rPr>
                <w:rFonts w:ascii="宋体" w:hAnsi="宋体" w:cs="宋体"/>
                <w:sz w:val="24"/>
              </w:rP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）未提供售后服务方案的，不得分。</w:t>
            </w:r>
            <w:r/>
          </w:p>
        </w:tc>
      </w:tr>
      <w:tr>
        <w:trPr>
          <w:cantSplit/>
          <w:jc w:val="center"/>
          <w:trHeight w:val="567"/>
        </w:trPr>
        <w:tc>
          <w:tcPr>
            <w:tcW w:w="115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bottom w:val="single" w:color="auto" w:sz="4" w:space="0"/>
            </w:tcBorders>
            <w:tcW w:w="1196" w:type="dxa"/>
            <w:vAlign w:val="center"/>
            <w:textDirection w:val="lrTb"/>
            <w:noWrap w:val="false"/>
          </w:tcPr>
          <w:p>
            <w:pPr>
              <w:jc w:val="center"/>
              <w:spacing w:line="264" w:lineRule="auto"/>
              <w:rPr>
                <w:rFonts w:ascii="宋体" w:hAnsi="宋体" w:cs="宋体"/>
                <w:sz w:val="24"/>
              </w:rPr>
            </w:pPr>
            <w:r>
              <w:rPr>
                <w:rFonts w:hint="eastAsia" w:ascii="宋体" w:hAnsi="宋体" w:cs="宋体"/>
                <w:sz w:val="24"/>
              </w:rPr>
              <w:t xml:space="preserve">培训方案（8分）</w:t>
            </w:r>
            <w:r/>
          </w:p>
        </w:tc>
        <w:tc>
          <w:tcPr>
            <w:tcBorders>
              <w:top w:val="single" w:color="auto" w:sz="4" w:space="0"/>
              <w:bottom w:val="single" w:color="auto" w:sz="4" w:space="0"/>
            </w:tcBorders>
            <w:tcW w:w="8093" w:type="dxa"/>
            <w:vAlign w:val="center"/>
            <w:textDirection w:val="lrTb"/>
            <w:noWrap w:val="false"/>
          </w:tcPr>
          <w:p>
            <w:pPr>
              <w:spacing w:line="288" w:lineRule="auto"/>
              <w:rPr>
                <w:rFonts w:ascii="宋体" w:hAnsi="宋体" w:cs="宋体"/>
                <w:sz w:val="24"/>
              </w:rPr>
            </w:pPr>
            <w:r>
              <w:rPr>
                <w:rFonts w:hint="eastAsia" w:ascii="宋体" w:hAnsi="宋体" w:cs="宋体"/>
                <w:sz w:val="24"/>
              </w:rPr>
              <w:t xml:space="preserve">根据投标人</w:t>
            </w:r>
            <w:r>
              <w:rPr>
                <w:rFonts w:ascii="宋体" w:hAnsi="宋体" w:cs="宋体"/>
                <w:sz w:val="24"/>
              </w:rPr>
              <w:t xml:space="preserve">提供的</w:t>
            </w:r>
            <w:r>
              <w:rPr>
                <w:rFonts w:hint="eastAsia" w:ascii="宋体" w:hAnsi="宋体" w:cs="宋体"/>
                <w:sz w:val="24"/>
              </w:rPr>
              <w:t xml:space="preserve">培训方案</w:t>
            </w:r>
            <w:r>
              <w:rPr>
                <w:rFonts w:ascii="宋体" w:hAnsi="宋体" w:cs="宋体"/>
                <w:sz w:val="24"/>
              </w:rPr>
              <w:t xml:space="preserve">进行综合评分，方案</w:t>
            </w:r>
            <w:r>
              <w:rPr>
                <w:rFonts w:hint="eastAsia" w:ascii="宋体" w:hAnsi="宋体" w:cs="宋体"/>
                <w:sz w:val="24"/>
              </w:rPr>
              <w:t xml:space="preserve">包括但不限于培训对象划分，培训课程大纲，培训形式、课时安排，培训师资安排，培训交付资料，培训内容须包含：零信任平台策略配置与运维、超融合虚拟化资源调度、存储管理、安全运维平台监控与故障排查、平台间数据对接维护</w:t>
            </w:r>
            <w:r>
              <w:rPr>
                <w:rFonts w:ascii="宋体" w:hAnsi="宋体" w:cs="宋体"/>
                <w:sz w:val="24"/>
              </w:rPr>
              <w:t xml:space="preserve">等。</w:t>
            </w:r>
            <w:r/>
          </w:p>
          <w:p>
            <w:pPr>
              <w:jc w:val="left"/>
              <w:spacing w:line="288" w:lineRule="auto"/>
              <w:rPr>
                <w:rFonts w:ascii="宋体" w:hAnsi="宋体" w:cs="宋体"/>
                <w:sz w:val="24"/>
              </w:rPr>
            </w:pPr>
            <w:r>
              <w:rPr>
                <w:rFonts w:hint="eastAsia" w:ascii="宋体" w:hAnsi="宋体" w:cs="宋体"/>
                <w:sz w:val="24"/>
              </w:rPr>
              <w:t xml:space="preserve">（1）培训方案科学、全面且切实可行，各项要素安排合理到位，培训材料齐全，完全满足本项目要求的，得 8 分；</w:t>
            </w:r>
            <w:r/>
          </w:p>
          <w:p>
            <w:pPr>
              <w:jc w:val="left"/>
              <w:spacing w:line="288" w:lineRule="auto"/>
              <w:rPr>
                <w:rFonts w:ascii="宋体" w:hAnsi="宋体" w:cs="宋体"/>
                <w:sz w:val="24"/>
              </w:rPr>
            </w:pPr>
            <w:r>
              <w:rPr>
                <w:rFonts w:hint="eastAsia" w:ascii="宋体" w:hAnsi="宋体" w:cs="宋体"/>
                <w:sz w:val="24"/>
              </w:rPr>
              <w:t xml:space="preserve">（2）培训方案较科学、可行，各项要素安排较为合理，培训材料较完整，较能满足本项目要求的，得 6 分；</w:t>
            </w:r>
            <w:r/>
          </w:p>
          <w:p>
            <w:pPr>
              <w:jc w:val="left"/>
              <w:spacing w:line="288" w:lineRule="auto"/>
              <w:rPr>
                <w:rFonts w:ascii="宋体" w:hAnsi="宋体" w:cs="宋体"/>
                <w:sz w:val="24"/>
              </w:rPr>
            </w:pPr>
            <w:r>
              <w:rPr>
                <w:rFonts w:hint="eastAsia" w:ascii="宋体" w:hAnsi="宋体" w:cs="宋体"/>
                <w:sz w:val="24"/>
              </w:rPr>
              <w:t xml:space="preserve">（3）培训方案基本可行，各项要素均有涉及但阐述一般，培训材料基本完整，基本能满足本项目要求的，得 4 分；</w:t>
            </w:r>
            <w:r/>
          </w:p>
          <w:p>
            <w:pPr>
              <w:jc w:val="left"/>
              <w:spacing w:line="288" w:lineRule="auto"/>
              <w:rPr>
                <w:rFonts w:ascii="宋体" w:hAnsi="宋体" w:cs="宋体"/>
                <w:sz w:val="24"/>
              </w:rPr>
            </w:pPr>
            <w:r>
              <w:rPr>
                <w:rFonts w:hint="eastAsia" w:ascii="宋体" w:hAnsi="宋体" w:cs="宋体"/>
                <w:sz w:val="24"/>
              </w:rPr>
              <w:t xml:space="preserve">（4）培训方案可行性较差，内容存在明显缺失或阐述简略，培训材料不完整，难以满足本项目要求的，得 2 分；</w:t>
            </w:r>
            <w:r/>
          </w:p>
          <w:p>
            <w:pPr>
              <w:jc w:val="left"/>
              <w:spacing w:line="288" w:lineRule="auto"/>
              <w:rPr>
                <w:rFonts w:ascii="宋体" w:hAnsi="宋体" w:cs="宋体"/>
                <w:sz w:val="24"/>
              </w:rPr>
            </w:pPr>
            <w:r>
              <w:rPr>
                <w:rFonts w:hint="eastAsia" w:ascii="宋体" w:hAnsi="宋体" w:cs="宋体"/>
                <w:sz w:val="24"/>
              </w:rPr>
              <w:t xml:space="preserve">（5）未提供培训方案的，不得分。</w:t>
            </w:r>
            <w:r/>
          </w:p>
        </w:tc>
      </w:tr>
      <w:tr>
        <w:trPr>
          <w:cantSplit/>
          <w:jc w:val="center"/>
          <w:trHeight w:val="2613"/>
        </w:trPr>
        <w:tc>
          <w:tcPr>
            <w:tcW w:w="115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商务</w:t>
            </w:r>
            <w:r/>
          </w:p>
          <w:p>
            <w:pPr>
              <w:jc w:val="center"/>
              <w:rPr>
                <w:rFonts w:ascii="宋体" w:hAnsi="宋体" w:cs="宋体"/>
                <w:sz w:val="24"/>
              </w:rPr>
            </w:pPr>
            <w:r>
              <w:rPr>
                <w:rFonts w:hint="eastAsia" w:ascii="宋体" w:hAnsi="宋体" w:cs="宋体"/>
                <w:sz w:val="24"/>
              </w:rPr>
              <w:t xml:space="preserve">部分</w:t>
            </w:r>
            <w:r/>
          </w:p>
          <w:p>
            <w:pPr>
              <w:jc w:val="center"/>
              <w:rPr>
                <w:rFonts w:ascii="宋体" w:hAnsi="宋体" w:cs="宋体"/>
                <w:sz w:val="24"/>
              </w:rPr>
            </w:pPr>
            <w:r>
              <w:rPr>
                <w:rFonts w:hint="eastAsia" w:ascii="宋体" w:hAnsi="宋体" w:cs="宋体"/>
                <w:sz w:val="24"/>
              </w:rPr>
              <w:t xml:space="preserve">（8分）</w:t>
            </w:r>
            <w:r/>
          </w:p>
        </w:tc>
        <w:tc>
          <w:tcPr>
            <w:tcBorders>
              <w:top w:val="single" w:color="auto" w:sz="4" w:space="0"/>
              <w:bottom w:val="single" w:color="auto" w:sz="4" w:space="0"/>
            </w:tcBorders>
            <w:tcW w:w="1196" w:type="dxa"/>
            <w:vAlign w:val="center"/>
            <w:textDirection w:val="lrTb"/>
            <w:noWrap w:val="false"/>
          </w:tcPr>
          <w:p>
            <w:pPr>
              <w:jc w:val="center"/>
              <w:rPr>
                <w:rFonts w:ascii="宋体" w:hAnsi="宋体" w:cs="宋体"/>
                <w:strike/>
                <w:sz w:val="24"/>
              </w:rPr>
            </w:pPr>
            <w:r>
              <w:rPr>
                <w:rFonts w:hint="eastAsia" w:ascii="宋体" w:hAnsi="宋体" w:cs="宋体"/>
                <w:sz w:val="24"/>
              </w:rPr>
              <w:t xml:space="preserve">投标人体系认证（3分）</w:t>
            </w:r>
            <w:r/>
          </w:p>
        </w:tc>
        <w:tc>
          <w:tcPr>
            <w:tcBorders>
              <w:top w:val="single" w:color="auto" w:sz="4" w:space="0"/>
              <w:bottom w:val="single" w:color="auto" w:sz="4" w:space="0"/>
            </w:tcBorders>
            <w:tcW w:w="8093" w:type="dxa"/>
            <w:textDirection w:val="lrTb"/>
            <w:noWrap w:val="false"/>
          </w:tcPr>
          <w:p>
            <w:pPr>
              <w:jc w:val="left"/>
              <w:spacing w:line="288" w:lineRule="auto"/>
              <w:rPr>
                <w:rFonts w:ascii="宋体" w:hAnsi="宋体" w:cs="宋体"/>
                <w:sz w:val="24"/>
              </w:rPr>
            </w:pPr>
            <w:r>
              <w:rPr>
                <w:rFonts w:hint="eastAsia" w:ascii="宋体" w:hAnsi="宋体" w:cs="宋体"/>
                <w:sz w:val="24"/>
              </w:rPr>
              <w:t xml:space="preserve">投标人具备以下有效期内的体系认证证书的，每提供1份得1分，最高得3分：</w:t>
            </w:r>
            <w:r/>
          </w:p>
          <w:p>
            <w:pPr>
              <w:jc w:val="left"/>
              <w:spacing w:line="288" w:lineRule="auto"/>
              <w:rPr>
                <w:rFonts w:ascii="宋体" w:hAnsi="宋体" w:cs="宋体"/>
                <w:sz w:val="24"/>
                <w:lang w:val="zh-CN"/>
              </w:rPr>
            </w:pPr>
            <w:r>
              <w:rPr>
                <w:rFonts w:hint="eastAsia" w:ascii="宋体" w:hAnsi="宋体" w:cs="宋体"/>
                <w:sz w:val="24"/>
              </w:rPr>
              <w:t xml:space="preserve">（1）ISO9001/GB/T19001质量管理体系认证证书；</w:t>
            </w:r>
            <w:r/>
          </w:p>
          <w:p>
            <w:pPr>
              <w:jc w:val="left"/>
              <w:spacing w:line="288" w:lineRule="auto"/>
              <w:rPr>
                <w:rFonts w:ascii="宋体" w:hAnsi="宋体" w:cs="宋体"/>
                <w:sz w:val="24"/>
              </w:rPr>
            </w:pPr>
            <w:r>
              <w:rPr>
                <w:rFonts w:hint="eastAsia" w:ascii="宋体" w:hAnsi="宋体" w:cs="宋体"/>
                <w:sz w:val="24"/>
              </w:rPr>
              <w:t xml:space="preserve">（2）ISO14001/GB/T24001环境管理体系认证证书；</w:t>
            </w:r>
            <w:r/>
          </w:p>
          <w:p>
            <w:pPr>
              <w:jc w:val="left"/>
              <w:spacing w:line="288" w:lineRule="auto"/>
              <w:rPr>
                <w:rFonts w:ascii="宋体" w:hAnsi="宋体" w:cs="宋体"/>
                <w:sz w:val="24"/>
              </w:rPr>
            </w:pPr>
            <w:r>
              <w:rPr>
                <w:rFonts w:hint="eastAsia" w:ascii="宋体" w:hAnsi="宋体" w:cs="宋体"/>
                <w:sz w:val="24"/>
              </w:rPr>
              <w:t xml:space="preserve">（3）ISO45001/GB/T45001职业健康安全管理体系认证证书；</w:t>
            </w:r>
            <w:r/>
          </w:p>
          <w:p>
            <w:pPr>
              <w:jc w:val="left"/>
              <w:spacing w:line="288" w:lineRule="auto"/>
              <w:rPr>
                <w:rFonts w:ascii="宋体" w:hAnsi="宋体" w:cs="宋体"/>
                <w:strike/>
                <w:sz w:val="24"/>
              </w:rPr>
            </w:pPr>
            <w:r>
              <w:rPr>
                <w:rFonts w:hint="eastAsia" w:ascii="宋体" w:hAnsi="宋体" w:cs="宋体"/>
                <w:sz w:val="24"/>
              </w:rPr>
              <w:t xml:space="preserve">注：投标文件中需提供证书扫描件，并附全国认证认可信息公共服务平台（网址：http://cx.cnca.cn）的证书查验截图，所有材料加盖投标人电子签章；证书不在有效期内或未按要求提供材料的，对应证书不得分。</w:t>
            </w:r>
            <w:r/>
          </w:p>
        </w:tc>
      </w:tr>
      <w:tr>
        <w:trPr>
          <w:cantSplit/>
          <w:jc w:val="center"/>
          <w:trHeight w:val="567"/>
        </w:trPr>
        <w:tc>
          <w:tcPr>
            <w:tcW w:w="115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bottom w:val="single" w:color="auto" w:sz="4" w:space="0"/>
            </w:tcBorders>
            <w:tcW w:w="1196" w:type="dxa"/>
            <w:vAlign w:val="center"/>
            <w:textDirection w:val="lrTb"/>
            <w:noWrap w:val="false"/>
          </w:tcPr>
          <w:p>
            <w:pPr>
              <w:jc w:val="left"/>
              <w:spacing w:line="288" w:lineRule="auto"/>
              <w:rPr>
                <w:rFonts w:ascii="宋体" w:hAnsi="宋体" w:cs="宋体"/>
                <w:color w:val="000000"/>
                <w:sz w:val="24"/>
              </w:rPr>
            </w:pPr>
            <w:r>
              <w:rPr>
                <w:rFonts w:hint="eastAsia" w:ascii="宋体" w:hAnsi="宋体" w:cs="宋体"/>
                <w:sz w:val="24"/>
              </w:rPr>
              <w:t xml:space="preserve">项目实施保障能力承诺（1分）</w:t>
            </w:r>
            <w:r/>
          </w:p>
        </w:tc>
        <w:tc>
          <w:tcPr>
            <w:tcBorders>
              <w:top w:val="single" w:color="auto" w:sz="4" w:space="0"/>
              <w:bottom w:val="single" w:color="auto" w:sz="4" w:space="0"/>
            </w:tcBorders>
            <w:tcW w:w="8093" w:type="dxa"/>
            <w:textDirection w:val="lrTb"/>
            <w:noWrap w:val="false"/>
          </w:tcPr>
          <w:p>
            <w:pPr>
              <w:jc w:val="left"/>
              <w:spacing w:line="288" w:lineRule="auto"/>
              <w:rPr>
                <w:rFonts w:ascii="宋体" w:hAnsi="宋体" w:cs="宋体"/>
                <w:sz w:val="24"/>
              </w:rPr>
            </w:pPr>
            <w:r>
              <w:rPr>
                <w:rFonts w:hint="eastAsia" w:ascii="宋体" w:hAnsi="宋体" w:cs="宋体"/>
                <w:sz w:val="24"/>
              </w:rPr>
              <w:t xml:space="preserve">投标人承诺在业务迁移期间提供不少于4台同等配置的超融合节点资源保障（可利用本项目交付设备），现场保障时间不少于1个月，并按迁移方案免费完成120个虚拟机数据迁移、业务迁移验证等工作，保障数据完整性的，得1分（投标文件中须提供加盖公章的承诺书，承诺内容覆盖上述全部要求，格式自拟）。</w:t>
            </w:r>
            <w:r/>
          </w:p>
        </w:tc>
      </w:tr>
      <w:tr>
        <w:trPr>
          <w:cantSplit/>
          <w:jc w:val="center"/>
          <w:trHeight w:val="567"/>
        </w:trPr>
        <w:tc>
          <w:tcPr>
            <w:tcW w:w="115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bottom w:val="single" w:color="auto" w:sz="4" w:space="0"/>
            </w:tcBorders>
            <w:tcW w:w="1196" w:type="dxa"/>
            <w:vAlign w:val="center"/>
            <w:textDirection w:val="lrTb"/>
            <w:noWrap w:val="false"/>
          </w:tcPr>
          <w:p>
            <w:pPr>
              <w:jc w:val="center"/>
              <w:rPr>
                <w:rFonts w:ascii="宋体" w:hAnsi="宋体" w:cs="宋体"/>
                <w:sz w:val="24"/>
              </w:rPr>
            </w:pPr>
            <w:r>
              <w:rPr>
                <w:rFonts w:hint="eastAsia" w:ascii="宋体" w:hAnsi="宋体" w:cs="宋体"/>
                <w:sz w:val="24"/>
              </w:rPr>
              <w:t xml:space="preserve">类似业绩</w:t>
            </w:r>
            <w:r/>
          </w:p>
          <w:p>
            <w:pPr>
              <w:jc w:val="center"/>
              <w:rPr>
                <w:rFonts w:ascii="宋体" w:hAnsi="宋体" w:cs="宋体"/>
                <w:color w:val="000000"/>
                <w:sz w:val="24"/>
              </w:rPr>
            </w:pPr>
            <w:r>
              <w:rPr>
                <w:rFonts w:hint="eastAsia" w:ascii="宋体" w:hAnsi="宋体" w:cs="宋体"/>
                <w:sz w:val="24"/>
              </w:rPr>
              <w:t xml:space="preserve">（2分）</w:t>
            </w:r>
            <w:r/>
          </w:p>
        </w:tc>
        <w:tc>
          <w:tcPr>
            <w:tcBorders>
              <w:top w:val="single" w:color="auto" w:sz="4" w:space="0"/>
              <w:bottom w:val="single" w:color="auto" w:sz="4" w:space="0"/>
            </w:tcBorders>
            <w:tcW w:w="8093" w:type="dxa"/>
            <w:textDirection w:val="lrTb"/>
            <w:noWrap w:val="false"/>
          </w:tcPr>
          <w:p>
            <w:pPr>
              <w:jc w:val="left"/>
              <w:spacing w:line="288" w:lineRule="auto"/>
              <w:rPr>
                <w:rFonts w:ascii="宋体" w:hAnsi="宋体" w:cs="宋体"/>
                <w:sz w:val="24"/>
              </w:rPr>
            </w:pPr>
            <w:r>
              <w:rPr>
                <w:rFonts w:hint="eastAsia" w:ascii="宋体" w:hAnsi="宋体" w:cs="宋体"/>
                <w:color w:val="0f1115"/>
                <w:sz w:val="24"/>
                <w:shd w:val="clear" w:color="auto" w:fill="ffffff"/>
              </w:rPr>
              <w:t xml:space="preserve">投标文件中提供投标人为乙方，合同签订日期</w:t>
            </w:r>
            <w:r>
              <w:rPr>
                <w:rFonts w:hint="eastAsia" w:ascii="宋体" w:hAnsi="宋体" w:cs="宋体"/>
                <w:sz w:val="24"/>
                <w:shd w:val="clear" w:color="auto" w:fill="ffffff"/>
              </w:rPr>
              <w:t xml:space="preserve">在2023年1月</w:t>
            </w:r>
            <w:r>
              <w:rPr>
                <w:rFonts w:hint="eastAsia" w:ascii="宋体" w:hAnsi="宋体" w:cs="宋体"/>
                <w:color w:val="0f1115"/>
                <w:sz w:val="24"/>
                <w:shd w:val="clear" w:color="auto" w:fill="ffffff"/>
              </w:rPr>
              <w:t xml:space="preserve">1日（含）以后，合同内容为本项目同类（或相似项目）的合同扫描件。每份得1分，本项最高得2分。</w:t>
            </w:r>
            <w:r>
              <w:rPr>
                <w:rFonts w:hint="eastAsia" w:ascii="宋体" w:hAnsi="宋体" w:cs="宋体"/>
                <w:color w:val="0f1115"/>
                <w:sz w:val="24"/>
                <w:shd w:val="clear" w:color="auto" w:fill="ffffff"/>
              </w:rPr>
              <w:br/>
            </w:r>
            <w:r>
              <w:rPr>
                <w:rFonts w:hint="eastAsia" w:ascii="宋体" w:hAnsi="宋体" w:cs="宋体"/>
                <w:b/>
                <w:bCs/>
                <w:color w:val="0f1115"/>
                <w:sz w:val="24"/>
                <w:shd w:val="clear" w:color="auto" w:fill="ffffff"/>
              </w:rPr>
              <w:t xml:space="preserve">注：投标文件中须提供业绩合同关键页扫描件（至少包含合同首页、项目内容页、合同金额页、甲乙双方签章页），并加盖投标人电子签章方为有效，否则不得分。提供材料不能体现项目内容、合同金额或签订时间的，该份业绩不得分。</w:t>
            </w:r>
            <w:r/>
          </w:p>
        </w:tc>
      </w:tr>
      <w:tr>
        <w:trPr>
          <w:cantSplit/>
          <w:jc w:val="center"/>
          <w:trHeight w:val="2293"/>
        </w:trPr>
        <w:tc>
          <w:tcPr>
            <w:tcW w:w="115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bottom w:val="single" w:color="auto" w:sz="4" w:space="0"/>
            </w:tcBorders>
            <w:tcW w:w="1196" w:type="dxa"/>
            <w:vAlign w:val="center"/>
            <w:textDirection w:val="lrTb"/>
            <w:noWrap w:val="false"/>
          </w:tcPr>
          <w:p>
            <w:pPr>
              <w:jc w:val="center"/>
              <w:rPr>
                <w:rFonts w:ascii="宋体" w:hAnsi="宋体" w:cs="宋体"/>
                <w:sz w:val="24"/>
              </w:rPr>
            </w:pPr>
            <w:r>
              <w:rPr>
                <w:rFonts w:hint="eastAsia" w:ascii="宋体" w:hAnsi="宋体" w:cs="宋体"/>
                <w:sz w:val="24"/>
              </w:rPr>
              <w:t xml:space="preserve">所投产品为“环境标志产品”(1分)</w:t>
            </w:r>
            <w:r/>
          </w:p>
        </w:tc>
        <w:tc>
          <w:tcPr>
            <w:tcBorders>
              <w:top w:val="single" w:color="auto" w:sz="4" w:space="0"/>
              <w:bottom w:val="single" w:color="auto" w:sz="4" w:space="0"/>
            </w:tcBorders>
            <w:tcW w:w="8093" w:type="dxa"/>
            <w:textDirection w:val="lrTb"/>
            <w:noWrap w:val="false"/>
          </w:tcPr>
          <w:p>
            <w:pPr>
              <w:jc w:val="left"/>
              <w:spacing w:line="288" w:lineRule="auto"/>
              <w:rPr>
                <w:rFonts w:ascii="宋体" w:hAnsi="宋体" w:cs="宋体"/>
                <w:sz w:val="24"/>
              </w:rPr>
            </w:pPr>
            <w:r>
              <w:rPr>
                <w:rFonts w:hint="eastAsia" w:ascii="宋体" w:hAnsi="宋体" w:cs="宋体"/>
                <w:sz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jc w:val="center"/>
          <w:trHeight w:val="2297"/>
        </w:trPr>
        <w:tc>
          <w:tcPr>
            <w:tcW w:w="115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tcBorders>
            <w:tcW w:w="1196" w:type="dxa"/>
            <w:vAlign w:val="center"/>
            <w:textDirection w:val="lrTb"/>
            <w:noWrap w:val="false"/>
          </w:tcPr>
          <w:p>
            <w:pPr>
              <w:jc w:val="center"/>
              <w:rPr>
                <w:rFonts w:ascii="宋体" w:hAnsi="宋体" w:cs="宋体"/>
                <w:sz w:val="24"/>
              </w:rPr>
            </w:pPr>
            <w:r>
              <w:rPr>
                <w:rFonts w:hint="eastAsia" w:ascii="宋体" w:hAnsi="宋体" w:cs="宋体"/>
                <w:sz w:val="24"/>
              </w:rPr>
              <w:t xml:space="preserve">所投产品为“节能产品”（1分）</w:t>
            </w:r>
            <w:r/>
          </w:p>
        </w:tc>
        <w:tc>
          <w:tcPr>
            <w:tcBorders>
              <w:top w:val="single" w:color="auto" w:sz="4" w:space="0"/>
            </w:tcBorders>
            <w:tcW w:w="8093" w:type="dxa"/>
            <w:textDirection w:val="lrTb"/>
            <w:noWrap w:val="false"/>
          </w:tcPr>
          <w:p>
            <w:pPr>
              <w:jc w:val="left"/>
              <w:spacing w:line="288" w:lineRule="auto"/>
              <w:rPr>
                <w:rFonts w:ascii="宋体" w:hAnsi="宋体" w:cs="宋体"/>
                <w:sz w:val="24"/>
              </w:rPr>
            </w:pPr>
            <w:r>
              <w:rPr>
                <w:rFonts w:hint="eastAsia" w:ascii="宋体" w:hAnsi="宋体" w:cs="宋体"/>
                <w:sz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ascii="宋体" w:hAnsi="宋体" w:cs="宋体"/>
          <w:sz w:val="28"/>
          <w:szCs w:val="22"/>
        </w:rPr>
        <w:pBdr>
          <w:top w:val="none" w:color="000000" w:sz="0" w:space="0"/>
          <w:left w:val="none" w:color="000000" w:sz="0" w:space="0"/>
          <w:bottom w:val="none" w:color="000000" w:sz="0" w:space="0"/>
          <w:right w:val="none" w:color="000000" w:sz="0" w:space="0"/>
        </w:pBdr>
      </w:pPr>
      <w:r>
        <w:rPr>
          <w:rFonts w:ascii="宋体" w:hAnsi="宋体" w:cs="宋体"/>
          <w:sz w:val="28"/>
          <w:szCs w:val="22"/>
        </w:rPr>
      </w:r>
      <w:r/>
    </w:p>
    <w:p>
      <w:pPr>
        <w:spacing w:line="519" w:lineRule="atLeast"/>
        <w:rPr>
          <w:rFonts w:ascii="宋体" w:hAnsi="宋体" w:cs="宋体"/>
          <w:sz w:val="28"/>
          <w:szCs w:val="22"/>
        </w:rPr>
        <w:pBdr>
          <w:top w:val="none" w:color="000000" w:sz="0" w:space="0"/>
          <w:left w:val="none" w:color="000000" w:sz="0" w:space="0"/>
          <w:bottom w:val="none" w:color="000000" w:sz="0" w:space="0"/>
          <w:right w:val="none" w:color="000000" w:sz="0" w:space="0"/>
        </w:pBdr>
      </w:pPr>
      <w:r>
        <w:rPr>
          <w:rFonts w:ascii="宋体" w:hAnsi="宋体" w:cs="宋体"/>
          <w:sz w:val="28"/>
          <w:szCs w:val="22"/>
        </w:rPr>
      </w:r>
      <w:r/>
    </w:p>
    <w:p>
      <w:pPr>
        <w:spacing w:line="519" w:lineRule="atLeast"/>
        <w:rPr>
          <w:rFonts w:ascii="宋体" w:hAnsi="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rPr>
        <w:t xml:space="preserve">本章说明：本项目采用综合评分法，分值计算结果保留两位小数。</w:t>
      </w:r>
      <w:r/>
    </w:p>
    <w:p>
      <w:pPr>
        <w:spacing w:line="519" w:lineRule="atLeast"/>
        <w:pBdr>
          <w:top w:val="none" w:color="000000" w:sz="0" w:space="0"/>
          <w:left w:val="none" w:color="000000" w:sz="0" w:space="0"/>
          <w:bottom w:val="none" w:color="000000" w:sz="0" w:space="0"/>
          <w:right w:val="none" w:color="000000" w:sz="0" w:space="0"/>
        </w:pBdr>
      </w:pPr>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第五章  拟签订的合同文本</w:t>
      </w:r>
      <w:r/>
    </w:p>
    <w:p>
      <w:pPr>
        <w:rPr>
          <w:rFonts w:ascii="宋体" w:hAnsi="宋体" w:cs="宋体"/>
          <w:b/>
          <w:sz w:val="52"/>
          <w:szCs w:val="36"/>
        </w:rPr>
      </w:pPr>
      <w:r>
        <w:rPr>
          <w:rFonts w:ascii="宋体" w:hAnsi="宋体" w:cs="宋体"/>
          <w:b/>
          <w:sz w:val="52"/>
          <w:szCs w:val="36"/>
        </w:rPr>
      </w:r>
      <w:r/>
    </w:p>
    <w:p>
      <w:pPr>
        <w:jc w:val="center"/>
        <w:rPr>
          <w:rFonts w:ascii="宋体" w:hAnsi="宋体" w:cs="宋体"/>
          <w:bCs/>
          <w:sz w:val="72"/>
          <w:szCs w:val="72"/>
        </w:rPr>
      </w:pPr>
      <w:r>
        <w:rPr>
          <w:rFonts w:hint="eastAsia" w:ascii="宋体" w:hAnsi="宋体" w:cs="宋体"/>
          <w:bCs/>
          <w:sz w:val="72"/>
          <w:szCs w:val="72"/>
        </w:rPr>
        <w:t xml:space="preserve">政 府 采 购 合 同</w:t>
      </w:r>
      <w:r/>
    </w:p>
    <w:p>
      <w:pPr>
        <w:jc w:val="left"/>
        <w:rPr>
          <w:rFonts w:ascii="宋体" w:hAnsi="宋体" w:cs="宋体"/>
          <w:bCs/>
          <w:sz w:val="36"/>
          <w:szCs w:val="36"/>
        </w:rPr>
      </w:pPr>
      <w:r>
        <w:rPr>
          <w:rFonts w:ascii="宋体" w:hAnsi="宋体" w:cs="宋体"/>
          <w:bCs/>
          <w:sz w:val="36"/>
          <w:szCs w:val="36"/>
        </w:rPr>
      </w:r>
      <w:r/>
    </w:p>
    <w:p>
      <w:pPr>
        <w:jc w:val="left"/>
        <w:rPr>
          <w:rFonts w:ascii="宋体" w:hAnsi="宋体" w:cs="宋体"/>
          <w:bCs/>
          <w:sz w:val="32"/>
          <w:szCs w:val="32"/>
        </w:rPr>
      </w:pPr>
      <w:r>
        <w:rPr>
          <w:rFonts w:ascii="宋体" w:hAnsi="宋体" w:cs="宋体"/>
          <w:bCs/>
          <w:sz w:val="32"/>
          <w:szCs w:val="32"/>
        </w:rPr>
      </w:r>
      <w:r/>
    </w:p>
    <w:p>
      <w:pPr>
        <w:jc w:val="left"/>
        <w:rPr>
          <w:rFonts w:ascii="宋体" w:hAnsi="宋体" w:cs="宋体"/>
          <w:bCs/>
          <w:sz w:val="32"/>
          <w:szCs w:val="32"/>
        </w:rPr>
      </w:pPr>
      <w:r>
        <w:rPr>
          <w:rFonts w:ascii="宋体" w:hAnsi="宋体" w:cs="宋体"/>
          <w:bCs/>
          <w:sz w:val="32"/>
          <w:szCs w:val="32"/>
        </w:rPr>
      </w:r>
      <w:r/>
    </w:p>
    <w:p>
      <w:pPr>
        <w:jc w:val="left"/>
        <w:rPr>
          <w:rFonts w:ascii="宋体" w:hAnsi="宋体" w:cs="宋体"/>
          <w:bCs/>
          <w:sz w:val="28"/>
          <w:szCs w:val="28"/>
        </w:rPr>
      </w:pPr>
      <w:r>
        <w:rPr>
          <w:rFonts w:hint="eastAsia" w:ascii="宋体" w:hAnsi="宋体" w:cs="宋体"/>
          <w:bCs/>
          <w:sz w:val="28"/>
          <w:szCs w:val="28"/>
        </w:rPr>
        <w:t xml:space="preserve">项目编号：JSZC-320300-JSZR-G2026-0086</w:t>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ascii="宋体" w:hAnsi="宋体" w:cs="宋体"/>
          <w:bCs/>
          <w:sz w:val="28"/>
          <w:szCs w:val="28"/>
        </w:rPr>
      </w:r>
      <w:r/>
    </w:p>
    <w:p>
      <w:pPr>
        <w:jc w:val="left"/>
        <w:rPr>
          <w:rFonts w:hint="eastAsia" w:ascii="宋体" w:hAnsi="宋体" w:eastAsia="宋体" w:cs="宋体"/>
          <w:bCs/>
          <w:sz w:val="28"/>
          <w:szCs w:val="28"/>
          <w:lang w:eastAsia="zh-CN"/>
        </w:rPr>
      </w:pPr>
      <w:r>
        <w:rPr>
          <w:rFonts w:hint="eastAsia" w:ascii="宋体" w:hAnsi="宋体" w:cs="宋体"/>
          <w:bCs/>
          <w:sz w:val="28"/>
          <w:szCs w:val="28"/>
        </w:rPr>
        <w:t xml:space="preserve">项目名称：</w:t>
      </w:r>
      <w:r>
        <w:rPr>
          <w:rFonts w:hint="eastAsia" w:ascii="宋体" w:hAnsi="宋体" w:cs="宋体"/>
          <w:bCs/>
          <w:sz w:val="28"/>
          <w:szCs w:val="28"/>
          <w:lang w:eastAsia="zh-CN"/>
        </w:rPr>
        <w:t xml:space="preserve">智慧校园3.0建设行动计划子项目网络基础建设项目</w:t>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hint="eastAsia" w:ascii="宋体" w:hAnsi="宋体" w:cs="宋体"/>
          <w:bCs/>
          <w:sz w:val="28"/>
          <w:szCs w:val="28"/>
        </w:rPr>
        <w:t xml:space="preserve">采购单位（甲方）：徐州工业职业技术学院</w:t>
      </w:r>
      <w:r/>
    </w:p>
    <w:p>
      <w:pPr>
        <w:ind w:firstLine="630"/>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hint="eastAsia" w:ascii="宋体" w:hAnsi="宋体" w:cs="宋体"/>
          <w:bCs/>
          <w:sz w:val="28"/>
          <w:szCs w:val="28"/>
        </w:rPr>
        <w:t xml:space="preserve">中标供应商（乙方）：</w:t>
      </w:r>
      <w:r/>
    </w:p>
    <w:p>
      <w:pPr>
        <w:ind w:firstLine="630"/>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hint="eastAsia" w:ascii="宋体" w:hAnsi="宋体" w:cs="宋体"/>
          <w:bCs/>
          <w:sz w:val="28"/>
          <w:szCs w:val="28"/>
        </w:rPr>
        <w:t xml:space="preserve">签订日期：    年  月  日</w:t>
      </w:r>
      <w:r/>
    </w:p>
    <w:p>
      <w:pPr>
        <w:rPr>
          <w:rFonts w:ascii="宋体" w:hAnsi="宋体" w:cs="宋体"/>
          <w:bCs/>
          <w:sz w:val="24"/>
        </w:rPr>
      </w:pPr>
      <w:r>
        <w:rPr>
          <w:rFonts w:ascii="宋体" w:hAnsi="宋体" w:cs="宋体"/>
          <w:bCs/>
          <w:sz w:val="24"/>
        </w:rPr>
      </w:r>
      <w:r/>
    </w:p>
    <w:p>
      <w:pPr>
        <w:pStyle w:val="899"/>
        <w:ind w:left="0"/>
        <w:rPr>
          <w:rFonts w:ascii="宋体" w:hAnsi="宋体" w:cs="宋体"/>
          <w:bCs/>
        </w:rPr>
      </w:pPr>
      <w:r>
        <w:rPr>
          <w:rFonts w:ascii="宋体" w:hAnsi="宋体" w:cs="宋体"/>
          <w:bCs/>
        </w:rPr>
      </w:r>
      <w:r/>
    </w:p>
    <w:p>
      <w:pPr>
        <w:pStyle w:val="899"/>
        <w:ind w:left="0" w:right="0"/>
        <w:spacing w:after="0"/>
        <w:rPr>
          <w:rFonts w:ascii="宋体" w:hAnsi="宋体" w:cs="宋体"/>
          <w:bCs/>
        </w:rPr>
      </w:pPr>
      <w:r>
        <w:rPr>
          <w:rFonts w:ascii="宋体" w:hAnsi="宋体" w:cs="宋体"/>
          <w:bCs/>
        </w:rPr>
      </w:r>
      <w:r/>
    </w:p>
    <w:p>
      <w:pPr>
        <w:pStyle w:val="899"/>
        <w:ind w:left="0" w:right="0"/>
        <w:spacing w:after="0" w:line="360" w:lineRule="auto"/>
        <w:rPr>
          <w:rFonts w:ascii="宋体" w:hAnsi="宋体" w:cs="宋体"/>
          <w:bCs/>
          <w:sz w:val="28"/>
          <w:szCs w:val="28"/>
        </w:rPr>
      </w:pPr>
      <w:r>
        <w:rPr>
          <w:rFonts w:hint="eastAsia" w:ascii="宋体" w:hAnsi="宋体" w:cs="宋体"/>
          <w:bCs/>
          <w:sz w:val="28"/>
          <w:szCs w:val="28"/>
        </w:rPr>
        <w:t xml:space="preserve">友情提醒：采购人与中标/成交供应商应当在中标通知书发出之日起</w:t>
      </w:r>
      <w:r>
        <w:rPr>
          <w:rFonts w:hint="eastAsia" w:ascii="宋体" w:hAnsi="宋体" w:cs="宋体"/>
          <w:b/>
          <w:sz w:val="32"/>
          <w:szCs w:val="32"/>
        </w:rPr>
        <w:t xml:space="preserve">三十</w:t>
      </w:r>
      <w:r>
        <w:rPr>
          <w:rFonts w:hint="eastAsia" w:ascii="宋体" w:hAnsi="宋体" w:cs="宋体"/>
          <w:bCs/>
          <w:sz w:val="28"/>
          <w:szCs w:val="28"/>
        </w:rPr>
        <w:t xml:space="preserve">日内，按照采购文件确定的事项签订政府采购合同。</w:t>
      </w:r>
      <w:r/>
    </w:p>
    <w:p>
      <w:pPr>
        <w:pStyle w:val="899"/>
        <w:ind w:left="0" w:right="0"/>
        <w:spacing w:after="0" w:line="360" w:lineRule="auto"/>
        <w:rPr>
          <w:rFonts w:ascii="宋体" w:hAnsi="宋体" w:cs="宋体"/>
          <w:bCs/>
          <w:sz w:val="28"/>
          <w:szCs w:val="28"/>
        </w:rPr>
      </w:pPr>
      <w:r>
        <w:rPr>
          <w:rFonts w:hint="eastAsia" w:ascii="宋体" w:hAnsi="宋体" w:cs="宋体"/>
          <w:bCs/>
          <w:sz w:val="28"/>
          <w:szCs w:val="28"/>
        </w:rPr>
        <w:t xml:space="preserve">采购人应当自政府采购合同签订之日起</w:t>
      </w:r>
      <w:r>
        <w:rPr>
          <w:rFonts w:hint="eastAsia" w:ascii="宋体" w:hAnsi="宋体" w:cs="宋体"/>
          <w:b/>
          <w:sz w:val="32"/>
          <w:szCs w:val="32"/>
        </w:rPr>
        <w:t xml:space="preserve">2</w:t>
      </w:r>
      <w:r>
        <w:rPr>
          <w:rFonts w:hint="eastAsia" w:ascii="宋体" w:hAnsi="宋体" w:cs="宋体"/>
          <w:bCs/>
          <w:sz w:val="28"/>
          <w:szCs w:val="28"/>
        </w:rPr>
        <w:t xml:space="preserve">个工作日内，将政府采购合同在省级及以上人民政府财政部门指定的媒体上公告，但政府采购合同中涉及国家秘密、商业秘密的内容除外。</w:t>
      </w:r>
      <w:r/>
    </w:p>
    <w:p>
      <w:pPr>
        <w:pStyle w:val="900"/>
        <w:rPr>
          <w:rFonts w:ascii="宋体" w:hAnsi="宋体" w:eastAsia="宋体" w:cs="宋体"/>
          <w:b w:val="0"/>
          <w:sz w:val="28"/>
          <w:szCs w:val="28"/>
        </w:rPr>
      </w:pPr>
      <w:r>
        <w:rPr>
          <w:rFonts w:ascii="宋体" w:hAnsi="宋体" w:eastAsia="宋体" w:cs="宋体"/>
          <w:b w:val="0"/>
          <w:sz w:val="28"/>
          <w:szCs w:val="28"/>
        </w:rPr>
      </w:r>
      <w:r/>
    </w:p>
    <w:p>
      <w:pPr>
        <w:pStyle w:val="898"/>
        <w:rPr>
          <w:rFonts w:ascii="宋体" w:hAnsi="宋体" w:cs="宋体"/>
          <w:bCs/>
          <w:sz w:val="28"/>
          <w:szCs w:val="28"/>
        </w:rPr>
      </w:pPr>
      <w:r>
        <w:rPr>
          <w:rFonts w:ascii="宋体" w:hAnsi="宋体" w:cs="宋体"/>
          <w:bCs/>
          <w:sz w:val="28"/>
          <w:szCs w:val="28"/>
        </w:rPr>
      </w:r>
      <w:r/>
    </w:p>
    <w:p>
      <w:pPr>
        <w:pStyle w:val="899"/>
        <w:rPr>
          <w:rFonts w:ascii="宋体" w:hAnsi="宋体" w:cs="宋体"/>
          <w:bCs/>
          <w:sz w:val="28"/>
          <w:szCs w:val="28"/>
        </w:rPr>
      </w:pPr>
      <w:r>
        <w:rPr>
          <w:rFonts w:ascii="宋体" w:hAnsi="宋体" w:cs="宋体"/>
          <w:bCs/>
          <w:sz w:val="28"/>
          <w:szCs w:val="28"/>
        </w:rPr>
      </w:r>
      <w:r/>
    </w:p>
    <w:tbl>
      <w:tblPr>
        <w:tblStyle w:val="863"/>
        <w:tblW w:w="8579" w:type="dxa"/>
        <w:tblInd w:w="0" w:type="dxa"/>
        <w:tblLayout w:type="fixed"/>
        <w:tblCellMar>
          <w:left w:w="0" w:type="dxa"/>
          <w:top w:w="0" w:type="dxa"/>
          <w:right w:w="0" w:type="dxa"/>
          <w:bottom w:w="0" w:type="dxa"/>
        </w:tblCellMar>
        <w:tblLook w:val="04A0" w:firstRow="1" w:lastRow="0" w:firstColumn="1" w:lastColumn="0" w:noHBand="0" w:noVBand="1"/>
      </w:tblPr>
      <w:tblGrid>
        <w:gridCol w:w="3772"/>
        <w:gridCol w:w="4807"/>
      </w:tblGrid>
      <w:tr>
        <w:trPr>
          <w:trHeight w:val="449"/>
        </w:trPr>
        <w:tc>
          <w:tcPr>
            <w:shd w:val="clear" w:color="auto" w:fill="ffffff"/>
            <w:tcMar>
              <w:left w:w="108" w:type="dxa"/>
              <w:top w:w="0" w:type="dxa"/>
              <w:right w:w="108" w:type="dxa"/>
              <w:bottom w:w="0" w:type="dxa"/>
            </w:tcMar>
            <w:tcW w:w="3772" w:type="dxa"/>
            <w:vAlign w:val="center"/>
            <w:textDirection w:val="lrTb"/>
            <w:noWrap w:val="false"/>
          </w:tcPr>
          <w:p>
            <w:pPr>
              <w:spacing w:line="400" w:lineRule="atLeast"/>
              <w:rPr>
                <w:rFonts w:ascii="宋体" w:hAnsi="宋体"/>
                <w:sz w:val="24"/>
              </w:rPr>
            </w:pPr>
            <w:r>
              <w:rPr>
                <w:rFonts w:hint="eastAsia" w:ascii="宋体" w:hAnsi="宋体"/>
                <w:sz w:val="24"/>
              </w:rPr>
              <w:t xml:space="preserve">甲方：徐州工业职业技术学院</w:t>
            </w:r>
            <w:r/>
          </w:p>
        </w:tc>
        <w:tc>
          <w:tcPr>
            <w:shd w:val="clear" w:color="auto" w:fill="ffffff"/>
            <w:tcMar>
              <w:left w:w="108" w:type="dxa"/>
              <w:top w:w="0" w:type="dxa"/>
              <w:right w:w="108" w:type="dxa"/>
              <w:bottom w:w="0" w:type="dxa"/>
            </w:tcMar>
            <w:tcW w:w="4807" w:type="dxa"/>
            <w:vAlign w:val="center"/>
            <w:textDirection w:val="lrTb"/>
            <w:noWrap w:val="false"/>
          </w:tcPr>
          <w:p>
            <w:pPr>
              <w:spacing w:line="400" w:lineRule="atLeast"/>
              <w:rPr>
                <w:rFonts w:ascii="宋体" w:hAnsi="宋体"/>
                <w:sz w:val="24"/>
              </w:rPr>
            </w:pPr>
            <w:r>
              <w:rPr>
                <w:rFonts w:hint="eastAsia" w:ascii="宋体" w:hAnsi="宋体"/>
                <w:sz w:val="24"/>
              </w:rPr>
              <w:t xml:space="preserve">合同编号：</w:t>
            </w:r>
            <w:r/>
          </w:p>
        </w:tc>
      </w:tr>
      <w:tr>
        <w:trPr>
          <w:trHeight w:val="449"/>
        </w:trPr>
        <w:tc>
          <w:tcPr>
            <w:shd w:val="clear" w:color="auto" w:fill="ffffff"/>
            <w:tcMar>
              <w:left w:w="108" w:type="dxa"/>
              <w:top w:w="0" w:type="dxa"/>
              <w:right w:w="108" w:type="dxa"/>
              <w:bottom w:w="0" w:type="dxa"/>
            </w:tcMar>
            <w:tcW w:w="3772" w:type="dxa"/>
            <w:vAlign w:val="center"/>
            <w:textDirection w:val="lrTb"/>
            <w:noWrap w:val="false"/>
          </w:tcPr>
          <w:p>
            <w:pPr>
              <w:spacing w:line="400" w:lineRule="atLeast"/>
              <w:rPr>
                <w:rFonts w:ascii="宋体" w:hAnsi="宋体"/>
                <w:sz w:val="24"/>
              </w:rPr>
            </w:pPr>
            <w:r>
              <w:rPr>
                <w:rFonts w:hint="eastAsia" w:ascii="宋体" w:hAnsi="宋体"/>
                <w:sz w:val="24"/>
              </w:rPr>
              <w:t xml:space="preserve">乙方： </w:t>
            </w:r>
            <w:r/>
          </w:p>
        </w:tc>
        <w:tc>
          <w:tcPr>
            <w:shd w:val="clear" w:color="auto" w:fill="ffffff"/>
            <w:tcMar>
              <w:left w:w="108" w:type="dxa"/>
              <w:top w:w="0" w:type="dxa"/>
              <w:right w:w="108" w:type="dxa"/>
              <w:bottom w:w="0" w:type="dxa"/>
            </w:tcMar>
            <w:tcW w:w="4807" w:type="dxa"/>
            <w:vAlign w:val="center"/>
            <w:textDirection w:val="lrTb"/>
            <w:noWrap w:val="false"/>
          </w:tcPr>
          <w:p>
            <w:pPr>
              <w:spacing w:line="400" w:lineRule="atLeast"/>
              <w:rPr>
                <w:rFonts w:ascii="宋体" w:hAnsi="宋体"/>
                <w:sz w:val="24"/>
              </w:rPr>
            </w:pPr>
            <w:r>
              <w:rPr>
                <w:rFonts w:hint="eastAsia" w:ascii="宋体" w:hAnsi="宋体"/>
                <w:sz w:val="24"/>
              </w:rPr>
              <w:t xml:space="preserve">合同签订地点：徐州工业职业技术学院</w:t>
            </w:r>
            <w:r/>
          </w:p>
        </w:tc>
      </w:tr>
      <w:tr>
        <w:trPr>
          <w:trHeight w:val="449"/>
        </w:trPr>
        <w:tc>
          <w:tcPr>
            <w:shd w:val="clear" w:color="auto" w:fill="ffffff"/>
            <w:tcMar>
              <w:left w:w="108" w:type="dxa"/>
              <w:top w:w="0" w:type="dxa"/>
              <w:right w:w="108" w:type="dxa"/>
              <w:bottom w:w="0" w:type="dxa"/>
            </w:tcMar>
            <w:tcW w:w="3772" w:type="dxa"/>
            <w:vAlign w:val="center"/>
            <w:textDirection w:val="lrTb"/>
            <w:noWrap w:val="false"/>
          </w:tcPr>
          <w:p>
            <w:pPr>
              <w:spacing w:line="400" w:lineRule="atLeast"/>
              <w:rPr>
                <w:rFonts w:ascii="宋体" w:hAnsi="宋体"/>
                <w:sz w:val="24"/>
              </w:rPr>
            </w:pPr>
            <w:r>
              <w:rPr>
                <w:rFonts w:hint="eastAsia" w:ascii="宋体" w:hAnsi="宋体"/>
                <w:sz w:val="24"/>
              </w:rPr>
              <w:t xml:space="preserve">签订时间：   年  月  日</w:t>
            </w:r>
            <w:r/>
          </w:p>
        </w:tc>
        <w:tc>
          <w:tcPr>
            <w:shd w:val="clear" w:color="auto" w:fill="ffffff"/>
            <w:tcMar>
              <w:left w:w="108" w:type="dxa"/>
              <w:top w:w="0" w:type="dxa"/>
              <w:right w:w="108" w:type="dxa"/>
              <w:bottom w:w="0" w:type="dxa"/>
            </w:tcMar>
            <w:tcW w:w="4807" w:type="dxa"/>
            <w:vAlign w:val="center"/>
            <w:textDirection w:val="lrTb"/>
            <w:noWrap w:val="false"/>
          </w:tcPr>
          <w:p>
            <w:pPr>
              <w:spacing w:line="400" w:lineRule="atLeast"/>
              <w:rPr>
                <w:rFonts w:ascii="宋体" w:hAnsi="宋体"/>
                <w:sz w:val="24"/>
              </w:rPr>
            </w:pPr>
            <w:r>
              <w:rPr>
                <w:rFonts w:hint="eastAsia" w:ascii="宋体" w:hAnsi="宋体"/>
                <w:sz w:val="24"/>
              </w:rPr>
              <w:t xml:space="preserve">项目立项号：</w:t>
            </w:r>
            <w:r/>
          </w:p>
        </w:tc>
      </w:tr>
    </w:tbl>
    <w:p>
      <w:pPr>
        <w:spacing w:line="400" w:lineRule="atLeast"/>
        <w:rPr>
          <w:rFonts w:ascii="宋体" w:hAnsi="宋体"/>
          <w:b/>
          <w:sz w:val="24"/>
        </w:rPr>
      </w:pPr>
      <w:r>
        <w:rPr>
          <w:rFonts w:ascii="宋体" w:hAnsi="宋体"/>
          <w:b/>
          <w:sz w:val="24"/>
        </w:rPr>
      </w:r>
      <w:r/>
    </w:p>
    <w:p>
      <w:pPr>
        <w:ind w:firstLine="480"/>
        <w:spacing w:line="400" w:lineRule="atLeast"/>
        <w:rPr>
          <w:rFonts w:ascii="宋体" w:hAnsi="宋体"/>
          <w:sz w:val="24"/>
        </w:rPr>
      </w:pPr>
      <w:r>
        <w:rPr>
          <w:rFonts w:hint="eastAsia" w:ascii="宋体" w:hAnsi="宋体"/>
          <w:sz w:val="24"/>
        </w:rPr>
        <w:t xml:space="preserve">徐州工业职业技术学院（以下简称“甲方”）和______（以下简称“乙方”</w:t>
      </w:r>
      <w:r>
        <w:rPr>
          <w:rFonts w:hint="eastAsia" w:ascii="宋体" w:hAnsi="宋体"/>
          <w:sz w:val="24"/>
          <w:highlight w:val="none"/>
        </w:rPr>
        <w:t xml:space="preserve">）根据《中华人民共和国民法典》《中华人民共和国政府采购法》等法律法规，在平等、自愿、</w:t>
      </w:r>
      <w:r>
        <w:rPr>
          <w:rFonts w:hint="eastAsia" w:ascii="宋体" w:hAnsi="宋体"/>
          <w:sz w:val="24"/>
        </w:rPr>
        <w:t xml:space="preserve">协商一致的基础上，就甲方向乙方采购本项目设备及相关服务事宜，订立本合同。</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第一条  产品名称及数量</w:t>
      </w:r>
      <w:r/>
    </w:p>
    <w:p>
      <w:pPr>
        <w:ind w:firstLine="480"/>
        <w:spacing w:line="400" w:lineRule="atLeast"/>
        <w:rPr>
          <w:rFonts w:ascii="宋体" w:hAnsi="宋体"/>
          <w:sz w:val="24"/>
        </w:rPr>
      </w:pPr>
      <w:r>
        <w:rPr>
          <w:rFonts w:hint="eastAsia" w:ascii="宋体" w:hAnsi="宋体"/>
          <w:sz w:val="24"/>
        </w:rPr>
        <w:t xml:space="preserve">乙方根据甲方需求提供</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sz w:val="24"/>
        </w:rPr>
        <w:t xml:space="preserve">详细产品清单、数量及规格型号见附件。</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第二条  价款</w:t>
      </w:r>
      <w:r/>
    </w:p>
    <w:p>
      <w:pPr>
        <w:ind w:firstLine="480"/>
        <w:spacing w:line="400" w:lineRule="atLeast"/>
        <w:rPr>
          <w:rFonts w:ascii="宋体" w:hAnsi="宋体"/>
          <w:sz w:val="24"/>
        </w:rPr>
      </w:pPr>
      <w:r>
        <w:rPr>
          <w:rFonts w:ascii="宋体" w:hAnsi="宋体"/>
          <w:sz w:val="24"/>
        </w:rPr>
        <w:t xml:space="preserve">1.</w:t>
      </w:r>
      <w:r>
        <w:rPr>
          <w:rFonts w:hint="eastAsia" w:ascii="宋体" w:hAnsi="宋体"/>
          <w:sz w:val="24"/>
        </w:rPr>
        <w:t xml:space="preserve">合同项下产品总价款为人民币大写</w:t>
      </w:r>
      <w:r>
        <w:rPr>
          <w:rFonts w:hint="eastAsia" w:ascii="宋体" w:hAnsi="宋体"/>
          <w:b/>
          <w:sz w:val="24"/>
        </w:rPr>
        <w:t xml:space="preserve">：</w:t>
      </w:r>
      <w:r>
        <w:rPr>
          <w:rFonts w:hint="eastAsia" w:ascii="宋体" w:hAnsi="宋体"/>
          <w:b/>
          <w:sz w:val="24"/>
          <w:u w:val="single"/>
        </w:rPr>
        <w:t xml:space="preserve">              </w:t>
      </w:r>
      <w:r>
        <w:rPr>
          <w:rFonts w:hint="eastAsia" w:ascii="宋体" w:hAnsi="宋体"/>
          <w:b/>
          <w:sz w:val="24"/>
        </w:rPr>
        <w:t xml:space="preserve">（小写：</w:t>
      </w:r>
      <w:r>
        <w:rPr>
          <w:sz w:val="28"/>
          <w:u w:val="single"/>
        </w:rPr>
        <w:t xml:space="preserve">¥</w:t>
      </w:r>
      <w:r>
        <w:rPr>
          <w:rFonts w:hint="eastAsia" w:ascii="宋体" w:hAnsi="宋体"/>
          <w:b/>
          <w:sz w:val="24"/>
          <w:u w:val="single"/>
        </w:rPr>
        <w:t xml:space="preserve">        </w:t>
      </w:r>
      <w:r>
        <w:rPr>
          <w:rFonts w:hint="eastAsia" w:ascii="宋体" w:hAnsi="宋体"/>
          <w:b/>
          <w:sz w:val="24"/>
        </w:rPr>
        <w:t xml:space="preserve">.00）</w:t>
      </w:r>
      <w:r>
        <w:rPr>
          <w:rFonts w:hint="eastAsia" w:ascii="宋体" w:hAnsi="宋体"/>
          <w:sz w:val="24"/>
        </w:rPr>
        <w:t xml:space="preserve">，分项价款见附件。</w:t>
      </w:r>
      <w:r/>
    </w:p>
    <w:p>
      <w:pPr>
        <w:ind w:firstLine="480"/>
        <w:spacing w:line="400" w:lineRule="atLeast"/>
        <w:rPr>
          <w:rFonts w:ascii="宋体" w:hAnsi="宋体"/>
          <w:sz w:val="24"/>
        </w:rPr>
      </w:pPr>
      <w:r>
        <w:rPr>
          <w:rFonts w:ascii="宋体" w:hAnsi="宋体"/>
          <w:sz w:val="24"/>
        </w:rPr>
        <w:t xml:space="preserve">2.本合同总价款包含交付使用前的全部费用，包括但不限于货物购置费、货物及服务采购费（包括所有硬件、软件、附件、配件、备品备件及专用工具费等）、保险费、运输费、安装调试费、培训费、质保期内的维修费、税费等，以及乙方应当提供的伴随服务/售后服务费用。甲方无需另行支付任何费用。</w:t>
      </w:r>
      <w:r/>
    </w:p>
    <w:p>
      <w:pPr>
        <w:ind w:firstLine="480"/>
        <w:spacing w:line="400" w:lineRule="atLeast"/>
        <w:rPr>
          <w:rFonts w:ascii="宋体" w:hAnsi="宋体"/>
          <w:sz w:val="24"/>
        </w:rPr>
      </w:pPr>
      <w:r>
        <w:rPr>
          <w:rFonts w:hint="eastAsia" w:ascii="宋体" w:hAnsi="宋体" w:cs="宋体"/>
          <w:sz w:val="24"/>
          <w:shd w:val="clear" w:color="auto" w:fill="ffffff"/>
        </w:rPr>
        <w:t xml:space="preserve">3.合同总价款为含税价。</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第三条  组成本合同的有关文件</w:t>
      </w:r>
      <w:r/>
    </w:p>
    <w:p>
      <w:pPr>
        <w:ind w:firstLine="480"/>
        <w:spacing w:line="400" w:lineRule="atLeast"/>
        <w:rPr>
          <w:rFonts w:ascii="宋体" w:hAnsi="宋体"/>
          <w:sz w:val="24"/>
        </w:rPr>
      </w:pPr>
      <w:r>
        <w:rPr>
          <w:rFonts w:hint="eastAsia" w:ascii="宋体" w:hAnsi="宋体"/>
          <w:sz w:val="24"/>
        </w:rPr>
        <w:t xml:space="preserve">下列关于本采购项目的采购文件及有关附件是本合同不可分割的组成部分，与本合同具有同等法律效力，这些文件包括但不限于：</w:t>
      </w:r>
      <w:r/>
    </w:p>
    <w:p>
      <w:pPr>
        <w:ind w:firstLine="435"/>
        <w:spacing w:line="400" w:lineRule="atLeas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）招标文件；</w:t>
      </w:r>
      <w:r/>
    </w:p>
    <w:p>
      <w:pPr>
        <w:ind w:firstLine="435"/>
        <w:spacing w:line="400" w:lineRule="atLeas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）乙方的投标文件、乙方提供的报价文件（报价单）；</w:t>
      </w:r>
      <w:r/>
    </w:p>
    <w:p>
      <w:pPr>
        <w:ind w:firstLine="435"/>
        <w:spacing w:line="400" w:lineRule="atLeast"/>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）服务承诺；</w:t>
      </w:r>
      <w:r/>
    </w:p>
    <w:p>
      <w:pPr>
        <w:ind w:firstLine="435"/>
        <w:spacing w:line="400" w:lineRule="atLeast"/>
        <w:rPr>
          <w:rFonts w:ascii="宋体" w:hAnsi="宋体"/>
          <w:sz w:val="24"/>
        </w:rPr>
      </w:pPr>
      <w:r>
        <w:rPr>
          <w:rFonts w:hint="eastAsia" w:ascii="宋体" w:hAnsi="宋体"/>
          <w:sz w:val="24"/>
        </w:rPr>
        <w:t xml:space="preserve">（4）中标通知书</w:t>
      </w:r>
      <w:r/>
    </w:p>
    <w:p>
      <w:pPr>
        <w:ind w:firstLine="435"/>
        <w:spacing w:line="400" w:lineRule="atLeast"/>
        <w:rPr>
          <w:rFonts w:ascii="宋体" w:hAnsi="宋体"/>
          <w:sz w:val="24"/>
        </w:rPr>
      </w:pPr>
      <w:r>
        <w:rPr>
          <w:rFonts w:hint="eastAsia" w:ascii="宋体" w:hAnsi="宋体"/>
          <w:sz w:val="24"/>
        </w:rPr>
        <w:t xml:space="preserve">（5）甲乙双方商定的其他文件。</w:t>
      </w:r>
      <w:r/>
    </w:p>
    <w:p>
      <w:pPr>
        <w:ind w:firstLine="435"/>
        <w:spacing w:line="400" w:lineRule="atLeast"/>
        <w:rPr>
          <w:rFonts w:ascii="宋体" w:hAnsi="宋体"/>
          <w:sz w:val="24"/>
        </w:rPr>
      </w:pPr>
      <w:r>
        <w:rPr>
          <w:rFonts w:hint="eastAsia" w:ascii="宋体" w:hAnsi="宋体"/>
          <w:sz w:val="24"/>
        </w:rPr>
        <w:t xml:space="preserve">（6）补充协议</w:t>
      </w:r>
      <w:r/>
    </w:p>
    <w:p>
      <w:pPr>
        <w:ind w:firstLine="435"/>
        <w:spacing w:line="400" w:lineRule="atLeast"/>
        <w:rPr>
          <w:rFonts w:ascii="宋体" w:hAnsi="宋体"/>
          <w:sz w:val="24"/>
        </w:rPr>
      </w:pPr>
      <w:r>
        <w:rPr>
          <w:rFonts w:hint="eastAsia" w:ascii="宋体" w:hAnsi="宋体"/>
          <w:sz w:val="24"/>
        </w:rPr>
        <w:t xml:space="preserve">本合同及上述文件适用先后顺序为：本合同、补充协议、甲乙双方商定的其他文件、中标通知书、服务承诺、乙方提供的报价文件、乙方的投标文件、招标文件。前述文件之间有冲突的，按照对甲方最有利的条款执行；前述文件内容有歧义，由甲方负责解释。</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第四条  质量标准及保证</w:t>
      </w:r>
      <w:r/>
    </w:p>
    <w:p>
      <w:pPr>
        <w:ind w:firstLine="480"/>
        <w:spacing w:line="400" w:lineRule="atLeast"/>
        <w:rPr>
          <w:rFonts w:ascii="宋体" w:hAnsi="宋体"/>
          <w:sz w:val="24"/>
        </w:rPr>
      </w:pPr>
      <w:r>
        <w:rPr>
          <w:rFonts w:ascii="宋体" w:hAnsi="宋体"/>
          <w:sz w:val="24"/>
        </w:rPr>
        <w:t xml:space="preserve">1.乙方交付的产品应当完全符合国家标准或行业标准（以标准高者为准；两者均无的，应符合企业最新标准），并不得低于国家强制性标准，同时符合本合同及招标文件要求。</w:t>
      </w:r>
      <w:r/>
    </w:p>
    <w:p>
      <w:pPr>
        <w:ind w:firstLine="480"/>
        <w:spacing w:line="400" w:lineRule="atLeast"/>
        <w:rPr>
          <w:rFonts w:ascii="宋体" w:hAnsi="宋体"/>
          <w:sz w:val="24"/>
        </w:rPr>
      </w:pPr>
      <w:r>
        <w:rPr>
          <w:rFonts w:ascii="宋体" w:hAnsi="宋体"/>
          <w:sz w:val="24"/>
        </w:rPr>
        <w:t xml:space="preserve">2.</w:t>
      </w:r>
      <w:r>
        <w:rPr>
          <w:rFonts w:hint="eastAsia" w:ascii="宋体" w:hAnsi="宋体"/>
          <w:sz w:val="24"/>
        </w:rPr>
        <w:t xml:space="preserve">乙方保证产品是全新、未使用过的原装合格正品，并完全符合合同规定的质量、规格和性能的要求，乙方应保证其提供的产品在正确安装、正常使用和保养条件下，在其正常使用寿命内具有良好的性能。乙方保证供货时一并出具相关的进货说明等手续，证明所供设备为原厂正品全新设备。</w:t>
      </w:r>
      <w:r/>
    </w:p>
    <w:p>
      <w:pPr>
        <w:ind w:firstLine="480"/>
        <w:spacing w:line="400" w:lineRule="exact"/>
        <w:tabs>
          <w:tab w:val="left" w:pos="1177" w:leader="none"/>
          <w:tab w:val="left" w:pos="1498" w:leader="none"/>
        </w:tabs>
        <w:rPr>
          <w:rFonts w:ascii="宋体" w:hAnsi="宋体"/>
          <w:sz w:val="24"/>
        </w:rPr>
      </w:pPr>
      <w:r>
        <w:rPr>
          <w:rFonts w:ascii="宋体" w:hAnsi="宋体"/>
          <w:sz w:val="24"/>
        </w:rPr>
        <w:t xml:space="preserve">3.乙方对所投产品整机提供原厂三年免费保修及免费软硬件上门服务，报价包</w:t>
      </w:r>
      <w:r>
        <w:rPr>
          <w:rFonts w:ascii="宋体" w:hAnsi="宋体"/>
          <w:sz w:val="24"/>
        </w:rPr>
        <w:t xml:space="preserve">含全部质保费用；质保期内设备质量故障免费上门更换原厂配件，配套平台软件三年免费升级。质保期内每年提供1次四大平台专项巡检，出具巡检报告，优化虚拟化资源调度、存储分配、零信任访问策略；常规故障15分钟内远程响应，远程无法解决的4小时内抵达校内现场处置；重大故障（虚拟化集群瘫痪、存储故障、零信任平台宕机）实行7×24小时应急机制，10分钟内响应，1小时内到场抢修，同步提供临时应急保障方案；质保期满后，中标人须提供优先有偿维保服务，年维保费用不高于本项目中标总金额6%，维保服务标准、服务内容与免费质保期保持一致。</w:t>
      </w:r>
      <w:r/>
    </w:p>
    <w:p>
      <w:pPr>
        <w:ind w:firstLine="480"/>
        <w:spacing w:line="400" w:lineRule="atLeast"/>
        <w:rPr>
          <w:rFonts w:ascii="宋体" w:hAnsi="宋体"/>
          <w:sz w:val="24"/>
        </w:rPr>
      </w:pPr>
      <w:r>
        <w:rPr>
          <w:rFonts w:ascii="宋体" w:hAnsi="宋体"/>
          <w:sz w:val="24"/>
        </w:rPr>
        <w:t xml:space="preserve">4.</w:t>
      </w:r>
      <w:r>
        <w:rPr>
          <w:rFonts w:hint="eastAsia" w:ascii="宋体" w:hAnsi="宋体"/>
          <w:sz w:val="24"/>
        </w:rPr>
        <w:t xml:space="preserve">货物来源的证明材料</w:t>
      </w:r>
      <w:r/>
    </w:p>
    <w:p>
      <w:pPr>
        <w:ind w:firstLine="460"/>
        <w:spacing w:line="400" w:lineRule="atLeast"/>
        <w:rPr>
          <w:rFonts w:ascii="宋体" w:hAnsi="宋体"/>
          <w:sz w:val="24"/>
        </w:rPr>
      </w:pPr>
      <w:r>
        <w:rPr>
          <w:rFonts w:hint="eastAsia" w:ascii="宋体" w:hAnsi="宋体"/>
          <w:sz w:val="24"/>
        </w:rPr>
        <w:t xml:space="preserve">乙方保证所有货物来自合法途径，保证货物是制造厂家的原装合格正品，交货时货物封装完好，并向甲方提供货物及服务的相关质量证明材料。本项目不接受进口产品，乙方不得以进口产品响应。</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第五条  交货和验收、验收标准及合同履行期限</w:t>
      </w:r>
      <w:r/>
    </w:p>
    <w:p>
      <w:pPr>
        <w:ind w:firstLine="480"/>
        <w:spacing w:line="400" w:lineRule="atLeast"/>
        <w:rPr>
          <w:rFonts w:ascii="宋体" w:hAnsi="宋体"/>
          <w:sz w:val="24"/>
        </w:rPr>
      </w:pPr>
      <w:r>
        <w:rPr>
          <w:rFonts w:ascii="宋体" w:hAnsi="宋体"/>
          <w:sz w:val="24"/>
        </w:rPr>
        <w:t xml:space="preserve">1.乙方应自合同签订之日起20日内完成全部设备到货、上架安装，并完成四大平台硬件部署、软件配置、平台间接口联调，实现互联互通。</w:t>
      </w:r>
      <w:r/>
    </w:p>
    <w:p>
      <w:pPr>
        <w:ind w:firstLine="480"/>
        <w:spacing w:line="400" w:lineRule="atLeast"/>
        <w:rPr>
          <w:rFonts w:ascii="宋体" w:hAnsi="宋体"/>
          <w:bCs/>
          <w:sz w:val="24"/>
        </w:rPr>
      </w:pPr>
      <w:r>
        <w:rPr>
          <w:rFonts w:ascii="宋体" w:hAnsi="宋体"/>
          <w:bCs/>
          <w:sz w:val="24"/>
        </w:rPr>
        <w:t xml:space="preserve">2.</w:t>
      </w:r>
      <w:r>
        <w:rPr>
          <w:rFonts w:hint="eastAsia" w:ascii="宋体" w:hAnsi="宋体"/>
          <w:bCs/>
          <w:sz w:val="24"/>
        </w:rPr>
        <w:t xml:space="preserve">乙方交付的产品应当完全符合本合同第三条所列文件规定的产品、数量和规格要求。</w:t>
      </w:r>
      <w:r/>
    </w:p>
    <w:p>
      <w:pPr>
        <w:ind w:firstLine="480"/>
        <w:spacing w:line="400" w:lineRule="atLeast"/>
        <w:rPr>
          <w:rFonts w:ascii="宋体" w:hAnsi="宋体"/>
          <w:bCs/>
          <w:sz w:val="24"/>
        </w:rPr>
      </w:pPr>
      <w:r>
        <w:rPr>
          <w:rFonts w:ascii="宋体" w:hAnsi="宋体"/>
          <w:bCs/>
          <w:sz w:val="24"/>
        </w:rPr>
        <w:t xml:space="preserve">3.</w:t>
      </w:r>
      <w:r>
        <w:rPr>
          <w:rFonts w:hint="eastAsia" w:ascii="宋体" w:hAnsi="宋体"/>
          <w:bCs/>
          <w:sz w:val="24"/>
        </w:rPr>
        <w:t xml:space="preserve">交货、调试地点：徐州工业职业技术学院甲方指定地点。</w:t>
      </w:r>
      <w:r/>
    </w:p>
    <w:p>
      <w:pPr>
        <w:ind w:firstLine="480"/>
        <w:spacing w:line="400" w:lineRule="exact"/>
        <w:tabs>
          <w:tab w:val="left" w:pos="1177" w:leader="none"/>
          <w:tab w:val="left" w:pos="1498" w:leader="none"/>
        </w:tabs>
        <w:rPr>
          <w:rStyle w:val="1247"/>
          <w:rFonts w:hint="default"/>
          <w:highlight w:val="none"/>
        </w:rPr>
      </w:pPr>
      <w:r>
        <w:rPr>
          <w:rStyle w:val="1247"/>
          <w:rFonts w:hint="default"/>
        </w:rPr>
        <w:t xml:space="preserve">4.验收标准：依据《职业院校智慧校园</w:t>
      </w:r>
      <w:r>
        <w:rPr>
          <w:rStyle w:val="1247"/>
          <w:rFonts w:hint="default"/>
          <w:highlight w:val="none"/>
        </w:rPr>
        <w:t xml:space="preserve">规范（试行）》《信息安全技术网络安全等级保护基本要求》（GB/T 22239-2019）及《徐州工业职业技术学院智慧校园3.0建设三年行动计划（2025-2027）》和本采购需求技术指标执行；</w:t>
      </w:r>
      <w:r/>
    </w:p>
    <w:p>
      <w:pPr>
        <w:ind w:firstLine="480"/>
        <w:spacing w:line="400" w:lineRule="exact"/>
        <w:tabs>
          <w:tab w:val="left" w:pos="1177" w:leader="none"/>
          <w:tab w:val="left" w:pos="1498" w:leader="none"/>
        </w:tabs>
        <w:rPr>
          <w:rStyle w:val="1247"/>
          <w:rFonts w:hint="default"/>
          <w:highlight w:val="none"/>
        </w:rPr>
      </w:pPr>
      <w:r>
        <w:rPr>
          <w:rStyle w:val="1247"/>
          <w:rFonts w:hint="default"/>
          <w:highlight w:val="none"/>
        </w:rPr>
        <w:t xml:space="preserve">5.到货验收：供应商提供原厂产品合格证、原厂供货证明、原厂质保承诺函、配套软件授权证书；属于强制性产品认证目录范围的，还须提供有效的CCC认证证书；</w:t>
      </w:r>
      <w:r/>
    </w:p>
    <w:p>
      <w:pPr>
        <w:ind w:firstLine="480"/>
        <w:spacing w:line="400" w:lineRule="exact"/>
        <w:tabs>
          <w:tab w:val="left" w:pos="1177" w:leader="none"/>
          <w:tab w:val="left" w:pos="1498" w:leader="none"/>
        </w:tabs>
        <w:rPr>
          <w:rStyle w:val="1247"/>
          <w:rFonts w:hint="default"/>
        </w:rPr>
      </w:pPr>
      <w:r>
        <w:rPr>
          <w:rStyle w:val="1247"/>
          <w:rFonts w:hint="default"/>
        </w:rPr>
        <w:t xml:space="preserve">6.初步验收：四大平台全部正常运行，平台间数据互通正常，零信任对接统一身份、超融合虚拟化资源调度稳定、存储读写性能达标、运维平台可完整纳管全部设备、预警功能正常；</w:t>
      </w:r>
      <w:r/>
    </w:p>
    <w:p>
      <w:pPr>
        <w:ind w:firstLine="480"/>
        <w:spacing w:line="400" w:lineRule="atLeast"/>
        <w:rPr>
          <w:rFonts w:ascii="宋体" w:hAnsi="宋体"/>
          <w:sz w:val="24"/>
        </w:rPr>
      </w:pPr>
      <w:r>
        <w:rPr>
          <w:rStyle w:val="1247"/>
          <w:rFonts w:hint="default"/>
        </w:rPr>
        <w:t xml:space="preserve">7.最终验收：连续30天试运行无重大故障，全套竣工文档、配置备份、巡检报告、培训记录齐全，校方组织信息化管理部门、技术人员验收通过后方可办结。</w:t>
      </w:r>
      <w:r/>
    </w:p>
    <w:p>
      <w:pPr>
        <w:ind w:firstLine="460"/>
        <w:spacing w:line="400" w:lineRule="atLeas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乙方应自觉接受甲方及有关部门对安装过程的全程监督，所有货物及安装材料进场后，都应经过甲方及有关部门的认可；所有隐蔽工序在覆盖前，都应经甲方或有关部门的书面验收签字认可。</w:t>
      </w:r>
      <w:r/>
    </w:p>
    <w:p>
      <w:pPr>
        <w:ind w:firstLine="480"/>
        <w:spacing w:line="400" w:lineRule="atLeast"/>
        <w:rPr>
          <w:rFonts w:ascii="宋体" w:hAnsi="宋体"/>
          <w:sz w:val="24"/>
        </w:rPr>
      </w:pPr>
      <w:r>
        <w:rPr>
          <w:rFonts w:hint="eastAsia" w:ascii="宋体" w:hAnsi="宋体"/>
          <w:sz w:val="24"/>
        </w:rPr>
        <w:t xml:space="preserve">9.乙方在安装调试完毕后应免费提供技术培训，直至甲方人员能熟练独立操作及日常维护与保养，并能诊断与排除简单故障。</w:t>
      </w:r>
      <w:r/>
    </w:p>
    <w:p>
      <w:pPr>
        <w:ind w:firstLine="480"/>
        <w:spacing w:line="400" w:lineRule="atLeast"/>
        <w:rPr>
          <w:rFonts w:ascii="宋体" w:hAnsi="宋体"/>
          <w:bCs/>
          <w:color w:val="ff0000"/>
          <w:sz w:val="24"/>
        </w:rPr>
      </w:pPr>
      <w:r>
        <w:rPr>
          <w:rFonts w:hint="eastAsia" w:ascii="宋体" w:hAnsi="宋体"/>
          <w:sz w:val="24"/>
        </w:rPr>
        <w:t xml:space="preserve">10.本合同主体履行期限自____年__月__日起至____年__月__日止，包含后期服务、质量保证</w:t>
      </w:r>
      <w:r>
        <w:rPr>
          <w:rFonts w:hint="eastAsia" w:ascii="宋体" w:hAnsi="宋体"/>
          <w:sz w:val="24"/>
          <w:highlight w:val="none"/>
        </w:rPr>
        <w:t xml:space="preserve">及乙方在本项目投标文件中所作优惠承诺。因</w:t>
      </w:r>
      <w:r>
        <w:rPr>
          <w:rFonts w:hint="eastAsia" w:ascii="宋体" w:hAnsi="宋体"/>
          <w:sz w:val="24"/>
        </w:rPr>
        <w:t xml:space="preserve">不可抗力等非乙方原因影响合同履行的，经双方书面确认，可以顺延合同履行期限或另行约定相关事项。付款条款按本合同第七条执行。</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第六条  伴随服务</w:t>
      </w:r>
      <w:r>
        <w:rPr>
          <w:rFonts w:asciiTheme="majorEastAsia" w:hAnsiTheme="majorEastAsia" w:eastAsiaTheme="majorEastAsia"/>
          <w:b/>
          <w:sz w:val="24"/>
        </w:rPr>
        <w:t xml:space="preserve">/</w:t>
      </w:r>
      <w:r>
        <w:rPr>
          <w:rFonts w:hint="eastAsia" w:asciiTheme="majorEastAsia" w:hAnsiTheme="majorEastAsia" w:eastAsiaTheme="majorEastAsia"/>
          <w:b/>
          <w:sz w:val="24"/>
        </w:rPr>
        <w:t xml:space="preserve">售后服务</w:t>
      </w:r>
      <w:r/>
    </w:p>
    <w:p>
      <w:pPr>
        <w:ind w:firstLine="480"/>
        <w:spacing w:line="400" w:lineRule="atLeast"/>
        <w:rPr>
          <w:rFonts w:ascii="宋体" w:hAnsi="宋体"/>
          <w:bCs/>
          <w:sz w:val="24"/>
        </w:rPr>
      </w:pPr>
      <w:r>
        <w:rPr>
          <w:rFonts w:ascii="宋体" w:hAnsi="宋体"/>
          <w:bCs/>
          <w:sz w:val="24"/>
        </w:rPr>
        <w:t xml:space="preserve">1.</w:t>
      </w:r>
      <w:r>
        <w:rPr>
          <w:rFonts w:hint="eastAsia" w:ascii="宋体" w:hAnsi="宋体"/>
          <w:bCs/>
          <w:sz w:val="24"/>
        </w:rPr>
        <w:t xml:space="preserve">乙方应按照国家有关法律法规规章和“三包”规定及合同所附的“服务承诺”提供服务。</w:t>
      </w:r>
      <w:r/>
    </w:p>
    <w:p>
      <w:pPr>
        <w:ind w:firstLine="480"/>
        <w:spacing w:line="400" w:lineRule="atLeast"/>
        <w:rPr>
          <w:rFonts w:ascii="宋体" w:hAnsi="宋体"/>
          <w:bCs/>
          <w:sz w:val="24"/>
        </w:rPr>
      </w:pPr>
      <w:r>
        <w:rPr>
          <w:rFonts w:ascii="宋体" w:hAnsi="宋体"/>
          <w:bCs/>
          <w:sz w:val="24"/>
        </w:rPr>
        <w:t xml:space="preserve">2.</w:t>
      </w:r>
      <w:r>
        <w:rPr>
          <w:rFonts w:hint="eastAsia" w:ascii="宋体" w:hAnsi="宋体"/>
          <w:bCs/>
          <w:sz w:val="24"/>
        </w:rPr>
        <w:t xml:space="preserve">乙方提供的免费质保服务，所有质保费用均已包含在投标报价中，质保期满后，应提供优先的有偿售后服务及按不高于投标文件中主要配件、易损件清单所报价格供应原厂零配件等。乙方提供的货物中如果包含软件，则配套平台软件应提供三年免费升级服务。</w:t>
      </w:r>
      <w:r/>
    </w:p>
    <w:p>
      <w:pPr>
        <w:ind w:firstLine="480"/>
        <w:spacing w:line="400" w:lineRule="atLeast"/>
        <w:rPr>
          <w:rFonts w:ascii="宋体" w:hAnsi="宋体"/>
          <w:bCs/>
          <w:sz w:val="24"/>
        </w:rPr>
      </w:pPr>
      <w:r>
        <w:rPr>
          <w:rFonts w:ascii="宋体" w:hAnsi="宋体"/>
          <w:bCs/>
          <w:sz w:val="24"/>
        </w:rPr>
        <w:t xml:space="preserve">3.所有货物保修服务方式均为乙方上门保修，即由乙方派员到货物使用现场维修，由此产生的一切费用由乙方承担。质保期满后，维保费用在行业标准基础上给予优惠，配件更换价格保证为同规格市场最优价，并提供免费安装及咨询。质保期满后的维修只收取更换配件成本价。</w:t>
      </w:r>
      <w:r/>
    </w:p>
    <w:p>
      <w:pPr>
        <w:ind w:firstLine="460"/>
        <w:spacing w:line="400" w:lineRule="atLeast"/>
        <w:rPr>
          <w:rFonts w:ascii="宋体" w:hAnsi="宋体"/>
          <w:sz w:val="24"/>
        </w:rPr>
      </w:pPr>
      <w:r>
        <w:rPr>
          <w:rFonts w:ascii="宋体" w:hAnsi="宋体"/>
          <w:sz w:val="24"/>
        </w:rPr>
        <w:t xml:space="preserve">4.</w:t>
      </w:r>
      <w:r>
        <w:rPr>
          <w:rFonts w:hint="eastAsia" w:ascii="宋体" w:hAnsi="宋体"/>
          <w:sz w:val="24"/>
        </w:rPr>
        <w:t xml:space="preserve">乙方所有安装调试维修人员均应持证上岗，并向甲方出示相关证书原件。</w:t>
      </w:r>
      <w:r/>
    </w:p>
    <w:p>
      <w:pPr>
        <w:ind w:firstLine="480"/>
        <w:spacing w:line="400" w:lineRule="atLeast"/>
        <w:rPr>
          <w:rFonts w:ascii="宋体" w:hAnsi="宋体"/>
          <w:bCs/>
          <w:sz w:val="24"/>
        </w:rPr>
      </w:pPr>
      <w:r>
        <w:rPr>
          <w:rFonts w:hint="eastAsia" w:ascii="宋体" w:hAnsi="宋体"/>
          <w:bCs/>
          <w:sz w:val="24"/>
        </w:rPr>
        <w:t xml:space="preserve">5.接到用户报修电话，乙方须按以下时限响应和处置：</w:t>
      </w:r>
      <w:r/>
    </w:p>
    <w:p>
      <w:pPr>
        <w:ind w:firstLine="480"/>
        <w:spacing w:line="400" w:lineRule="atLeast"/>
        <w:rPr>
          <w:rFonts w:ascii="宋体" w:hAnsi="宋体"/>
          <w:bCs/>
          <w:sz w:val="24"/>
        </w:rPr>
      </w:pPr>
      <w:r>
        <w:rPr>
          <w:rFonts w:hint="eastAsia" w:ascii="宋体" w:hAnsi="宋体"/>
          <w:bCs/>
          <w:sz w:val="24"/>
        </w:rPr>
        <w:t xml:space="preserve">（1）常规故障：15分钟内远程响应，远程无法解决的，4小时内抵达校内现场处置；</w:t>
      </w:r>
      <w:r/>
    </w:p>
    <w:p>
      <w:pPr>
        <w:ind w:firstLine="480"/>
        <w:spacing w:line="400" w:lineRule="atLeast"/>
        <w:rPr>
          <w:rFonts w:ascii="宋体" w:hAnsi="宋体"/>
          <w:bCs/>
          <w:sz w:val="24"/>
        </w:rPr>
      </w:pPr>
      <w:r>
        <w:rPr>
          <w:rFonts w:hint="eastAsia" w:ascii="宋体" w:hAnsi="宋体"/>
          <w:bCs/>
          <w:sz w:val="24"/>
        </w:rPr>
        <w:t xml:space="preserve">（2）重大故障：7×24小时应急机制，10分钟响应，20 分钟启动应急小组，1小时抵达现场，4小时内完成故障修复，同步提供临时应急保障方案；</w:t>
      </w:r>
      <w:r/>
    </w:p>
    <w:p>
      <w:pPr>
        <w:ind w:firstLine="480"/>
        <w:spacing w:line="400" w:lineRule="atLeast"/>
        <w:rPr>
          <w:rFonts w:ascii="宋体" w:hAnsi="宋体"/>
          <w:bCs/>
          <w:sz w:val="24"/>
          <w:highlight w:val="none"/>
        </w:rPr>
      </w:pPr>
      <w:r>
        <w:rPr>
          <w:rFonts w:ascii="宋体" w:hAnsi="宋体"/>
          <w:bCs/>
          <w:sz w:val="24"/>
          <w:highlight w:val="none"/>
        </w:rPr>
        <w:t xml:space="preserve">6.若第三方就甲方使用本合同项下设备提出侵犯其专利权、商标权、著作权或工业设计权等知识产权的主张，乙方应负责处理并承担由此产生的全部责任和费用；给甲方造成损失的，乙方应予以赔偿。</w:t>
      </w:r>
      <w:r/>
    </w:p>
    <w:p>
      <w:pPr>
        <w:ind w:firstLine="480"/>
        <w:spacing w:line="400" w:lineRule="atLeast"/>
        <w:rPr>
          <w:rFonts w:ascii="宋体" w:hAnsi="宋体"/>
          <w:sz w:val="24"/>
        </w:rPr>
      </w:pPr>
      <w:r>
        <w:rPr>
          <w:rFonts w:ascii="宋体" w:hAnsi="宋体"/>
          <w:sz w:val="24"/>
        </w:rPr>
        <w:t xml:space="preserve">7.若乙方投标文件未包含有关伴随服务或售后服务承诺，双方按以下约定执行：</w:t>
      </w:r>
      <w:r/>
    </w:p>
    <w:p>
      <w:pPr>
        <w:ind w:firstLine="480"/>
        <w:spacing w:line="400" w:lineRule="atLeast"/>
        <w:rPr>
          <w:rFonts w:ascii="宋体" w:hAnsi="宋体"/>
          <w:sz w:val="24"/>
        </w:rPr>
      </w:pPr>
      <w:r>
        <w:rPr>
          <w:rFonts w:ascii="宋体" w:hAnsi="宋体"/>
          <w:sz w:val="24"/>
        </w:rPr>
        <w:t xml:space="preserve">7.1</w:t>
      </w:r>
      <w:r>
        <w:rPr>
          <w:rFonts w:hint="eastAsia" w:ascii="宋体" w:hAnsi="宋体"/>
          <w:sz w:val="24"/>
        </w:rPr>
        <w:t xml:space="preserve">所购产品按乙方投标承诺提供免费维护和质量保证，保修费计入总价款。</w:t>
      </w:r>
      <w:r/>
    </w:p>
    <w:p>
      <w:pPr>
        <w:ind w:firstLine="480"/>
        <w:spacing w:line="400" w:lineRule="atLeast"/>
        <w:rPr>
          <w:rFonts w:ascii="宋体" w:hAnsi="宋体"/>
          <w:sz w:val="24"/>
        </w:rPr>
      </w:pPr>
      <w:r>
        <w:rPr>
          <w:rFonts w:ascii="宋体" w:hAnsi="宋体"/>
          <w:sz w:val="24"/>
        </w:rPr>
        <w:t xml:space="preserve">7.2</w:t>
      </w:r>
      <w:r>
        <w:rPr>
          <w:rFonts w:hint="eastAsia" w:ascii="宋体" w:hAnsi="宋体"/>
          <w:sz w:val="24"/>
        </w:rPr>
        <w:t xml:space="preserve">保修期内，乙方负责对其提供的产品进行维护，不再收取任何费用，但不可抗力造成的故障除外。</w:t>
      </w:r>
      <w:r/>
    </w:p>
    <w:p>
      <w:pPr>
        <w:ind w:firstLine="480"/>
        <w:spacing w:line="400" w:lineRule="atLeast"/>
        <w:rPr>
          <w:rFonts w:ascii="宋体" w:hAnsi="宋体"/>
          <w:sz w:val="24"/>
        </w:rPr>
      </w:pPr>
      <w:r>
        <w:rPr>
          <w:rFonts w:ascii="宋体" w:hAnsi="宋体"/>
          <w:sz w:val="24"/>
        </w:rPr>
        <w:t xml:space="preserve">7.3</w:t>
      </w:r>
      <w:r>
        <w:rPr>
          <w:rFonts w:hint="eastAsia" w:ascii="宋体" w:hAnsi="宋体"/>
          <w:sz w:val="24"/>
        </w:rPr>
        <w:t xml:space="preserve">货物故障报修的响应时间、产品质量更换的响应时间按乙方投标承诺执行。</w:t>
      </w:r>
      <w:r/>
    </w:p>
    <w:p>
      <w:pPr>
        <w:ind w:firstLine="480"/>
        <w:spacing w:line="400" w:lineRule="atLeast"/>
        <w:rPr>
          <w:rFonts w:ascii="宋体" w:hAnsi="宋体" w:cs="宋体"/>
          <w:sz w:val="24"/>
          <w:shd w:val="clear" w:color="auto" w:fill="ffffff"/>
        </w:rPr>
      </w:pPr>
      <w:r>
        <w:rPr>
          <w:rFonts w:ascii="宋体" w:hAnsi="宋体"/>
          <w:sz w:val="24"/>
        </w:rPr>
        <w:t xml:space="preserve">7.4若货物故障在检修48小时后仍无法排除，乙方应在48小时内免费提供不低于故障货物型号档次的备用货物供甲方使用，直至货物修复；乙方超过48小时未提供备用货物的，每逾期一天按合同总价款的5‰承担违约责任。</w:t>
      </w:r>
      <w:r/>
    </w:p>
    <w:p>
      <w:pPr>
        <w:ind w:firstLine="480"/>
        <w:spacing w:line="400" w:lineRule="atLeast"/>
        <w:rPr>
          <w:rFonts w:ascii="宋体" w:hAnsi="宋体" w:cs="宋体"/>
          <w:sz w:val="24"/>
          <w:shd w:val="clear" w:color="auto" w:fill="ffffff"/>
        </w:rPr>
      </w:pPr>
      <w:r>
        <w:rPr>
          <w:rFonts w:hint="eastAsia" w:ascii="宋体" w:hAnsi="宋体" w:cs="宋体"/>
          <w:sz w:val="24"/>
          <w:shd w:val="clear" w:color="auto" w:fill="ffffff"/>
        </w:rPr>
        <w:t xml:space="preserve">8.</w:t>
      </w:r>
      <w:r>
        <w:rPr>
          <w:rFonts w:ascii="Segoe UI" w:hAnsi="Segoe UI" w:eastAsia="Segoe UI" w:cs="Segoe UI"/>
          <w:sz w:val="24"/>
          <w:shd w:val="clear" w:color="auto" w:fill="ffffff"/>
        </w:rPr>
        <w:t xml:space="preserve">乙方须安排不少于3名熟悉本项目四大平台产品的培训讲师，在项目实施期间无偿为学校现教中心运维人员提供不少于3个工作日集中专项培训，并提供全套纸质加电子培训材料。</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第七条  货款支付</w:t>
      </w:r>
      <w:r/>
    </w:p>
    <w:p>
      <w:pPr>
        <w:ind w:firstLine="480"/>
        <w:spacing w:line="400" w:lineRule="exact"/>
        <w:tabs>
          <w:tab w:val="left" w:pos="1177" w:leader="none"/>
          <w:tab w:val="left" w:pos="1498" w:leader="none"/>
        </w:tabs>
        <w:rPr>
          <w:rStyle w:val="1247"/>
          <w:rFonts w:hint="default"/>
        </w:rPr>
      </w:pPr>
      <w:r>
        <w:rPr>
          <w:rStyle w:val="1247"/>
          <w:rFonts w:hint="default"/>
        </w:rPr>
        <w:t xml:space="preserve">本项目无预付款，按下列节点分阶段付款：</w:t>
      </w:r>
      <w:r/>
    </w:p>
    <w:p>
      <w:pPr>
        <w:ind w:firstLine="480"/>
        <w:spacing w:line="400" w:lineRule="exact"/>
        <w:tabs>
          <w:tab w:val="left" w:pos="1177" w:leader="none"/>
          <w:tab w:val="left" w:pos="1498" w:leader="none"/>
        </w:tabs>
        <w:rPr>
          <w:rStyle w:val="1247"/>
          <w:rFonts w:hint="default"/>
        </w:rPr>
      </w:pPr>
      <w:r>
        <w:rPr>
          <w:rStyle w:val="1247"/>
          <w:rFonts w:hint="default"/>
        </w:rPr>
        <w:t xml:space="preserve">1.零信任智慧校园统一接入平台设备安装调试完成、初验合格</w:t>
      </w:r>
      <w:bookmarkStart w:id="1" w:name="OLE_LINK1"/>
      <w:r>
        <w:rPr>
          <w:rStyle w:val="1247"/>
          <w:rFonts w:hint="default"/>
        </w:rPr>
        <w:t xml:space="preserve">后30个工作日内</w:t>
      </w:r>
      <w:bookmarkEnd w:id="1"/>
      <w:r>
        <w:rPr>
          <w:rStyle w:val="1247"/>
          <w:rFonts w:hint="default"/>
        </w:rPr>
        <w:t xml:space="preserve">，支付该分项合同价款的90%；</w:t>
      </w:r>
      <w:r/>
    </w:p>
    <w:p>
      <w:pPr>
        <w:ind w:firstLine="480"/>
        <w:spacing w:line="400" w:lineRule="exact"/>
        <w:tabs>
          <w:tab w:val="left" w:pos="1177" w:leader="none"/>
          <w:tab w:val="left" w:pos="1498" w:leader="none"/>
        </w:tabs>
        <w:rPr>
          <w:rStyle w:val="1247"/>
          <w:rFonts w:hint="default"/>
        </w:rPr>
      </w:pPr>
      <w:r>
        <w:rPr>
          <w:rStyle w:val="1247"/>
          <w:rFonts w:hint="default"/>
        </w:rPr>
        <w:t xml:space="preserve">2.超融合云计算平台部署调试完成、初验合格，支付该分项合同价款的90%；</w:t>
      </w:r>
      <w:r/>
    </w:p>
    <w:p>
      <w:pPr>
        <w:ind w:firstLine="480"/>
        <w:spacing w:line="400" w:lineRule="exact"/>
        <w:tabs>
          <w:tab w:val="left" w:pos="1177" w:leader="none"/>
          <w:tab w:val="left" w:pos="1498" w:leader="none"/>
        </w:tabs>
        <w:rPr>
          <w:rStyle w:val="1247"/>
          <w:rFonts w:hint="default"/>
        </w:rPr>
      </w:pPr>
      <w:r>
        <w:rPr>
          <w:rStyle w:val="1247"/>
          <w:rFonts w:hint="default"/>
        </w:rPr>
        <w:t xml:space="preserve">3.全闪存存储平台部署调试完成、初验合格，支付该分项合同价款的90%；</w:t>
      </w:r>
      <w:r/>
    </w:p>
    <w:p>
      <w:pPr>
        <w:ind w:firstLine="480"/>
        <w:spacing w:line="400" w:lineRule="exact"/>
        <w:tabs>
          <w:tab w:val="left" w:pos="1177" w:leader="none"/>
          <w:tab w:val="left" w:pos="1498" w:leader="none"/>
        </w:tabs>
        <w:rPr>
          <w:rStyle w:val="1247"/>
          <w:rFonts w:hint="default"/>
        </w:rPr>
      </w:pPr>
      <w:r>
        <w:rPr>
          <w:rStyle w:val="1247"/>
          <w:rFonts w:hint="default"/>
        </w:rPr>
        <w:t xml:space="preserve">4.安全运维平台部署调试完成、初验合格，支付该分项合同价款的50%；</w:t>
      </w:r>
      <w:r/>
    </w:p>
    <w:p>
      <w:pPr>
        <w:ind w:firstLine="480"/>
        <w:spacing w:line="400" w:lineRule="atLeast"/>
        <w:shd w:val="clear" w:color="auto" w:fill="ffffff"/>
        <w:rPr>
          <w:rStyle w:val="1247"/>
          <w:rFonts w:hint="default"/>
        </w:rPr>
      </w:pPr>
      <w:r>
        <w:rPr>
          <w:rStyle w:val="1247"/>
          <w:rFonts w:hint="default"/>
        </w:rPr>
        <w:t xml:space="preserve">5.四大平台全部试运行完成、最终验收合格后，支付全部剩余合同价款。</w:t>
      </w:r>
      <w:r/>
    </w:p>
    <w:p>
      <w:pPr>
        <w:ind w:firstLine="480"/>
        <w:spacing w:line="400" w:lineRule="atLeast"/>
        <w:shd w:val="clear" w:color="auto" w:fill="ffffff"/>
        <w:rPr>
          <w:rFonts w:ascii="宋体" w:hAnsi="宋体"/>
          <w:sz w:val="24"/>
          <w:highlight w:val="none"/>
        </w:rPr>
      </w:pPr>
      <w:r>
        <w:rPr>
          <w:rStyle w:val="1247"/>
          <w:rFonts w:hint="default"/>
          <w:highlight w:val="none"/>
        </w:rPr>
        <w:t xml:space="preserve">6.付款条件和期限：乙方应当先开具并提供合法有效等额的增值税发票并提供验收合格资料；甲方自收到乙方发票及相应验收资料之日起30工作日内支付各期款项；逾期支付的，按本合同第八条承担违约责任。</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第八条  违约责任</w:t>
      </w:r>
      <w:r/>
    </w:p>
    <w:p>
      <w:pPr>
        <w:ind w:firstLine="472"/>
        <w:spacing w:line="400" w:lineRule="atLeast"/>
        <w:shd w:val="clear" w:color="auto" w:fill="ffffff"/>
        <w:rPr>
          <w:rFonts w:ascii="宋体" w:hAnsi="宋体"/>
          <w:bCs/>
          <w:sz w:val="24"/>
        </w:rPr>
      </w:pPr>
      <w:r>
        <w:rPr>
          <w:rFonts w:hint="eastAsia" w:ascii="宋体" w:hAnsi="宋体"/>
          <w:b/>
          <w:bCs/>
          <w:sz w:val="24"/>
        </w:rPr>
        <w:t xml:space="preserve">甲方责任</w:t>
      </w:r>
      <w:r/>
    </w:p>
    <w:p>
      <w:pPr>
        <w:ind w:firstLine="470"/>
        <w:spacing w:line="400" w:lineRule="atLeast"/>
        <w:shd w:val="clear" w:color="auto" w:fill="ffffff"/>
        <w:rPr>
          <w:rFonts w:ascii="宋体" w:hAnsi="宋体"/>
          <w:bCs/>
          <w:sz w:val="24"/>
        </w:rPr>
      </w:pPr>
      <w:r>
        <w:rPr>
          <w:rFonts w:ascii="宋体" w:hAnsi="宋体"/>
          <w:bCs/>
          <w:sz w:val="24"/>
        </w:rPr>
        <w:t xml:space="preserve">1.无正当理由拒收货物、拒付合同款项的，由甲方向乙方偿付合同总价5%的违约金；</w:t>
      </w:r>
      <w:r/>
    </w:p>
    <w:p>
      <w:pPr>
        <w:ind w:firstLine="470"/>
        <w:spacing w:line="400" w:lineRule="atLeast"/>
        <w:shd w:val="clear" w:color="auto" w:fill="ffffff"/>
        <w:rPr>
          <w:rFonts w:ascii="宋体" w:hAnsi="宋体"/>
          <w:bCs/>
          <w:sz w:val="24"/>
        </w:rPr>
      </w:pPr>
      <w:r>
        <w:rPr>
          <w:rFonts w:ascii="宋体" w:hAnsi="宋体"/>
          <w:bCs/>
          <w:sz w:val="24"/>
        </w:rPr>
        <w:t xml:space="preserve">2.未按合同约定期限向乙方支付款项的，每逾期1天，甲方按逾期支付金额的5‰向乙方支付违约金，但累计违约金总额不超过逾期支付金额的5%。</w:t>
      </w:r>
      <w:r/>
    </w:p>
    <w:p>
      <w:pPr>
        <w:ind w:firstLine="470"/>
        <w:spacing w:line="400" w:lineRule="atLeast"/>
        <w:shd w:val="clear" w:color="auto" w:fill="ffffff"/>
        <w:rPr>
          <w:rFonts w:ascii="宋体" w:hAnsi="宋体"/>
          <w:bCs/>
          <w:sz w:val="24"/>
        </w:rPr>
      </w:pPr>
      <w:r>
        <w:rPr>
          <w:rFonts w:ascii="宋体" w:hAnsi="宋体"/>
          <w:bCs/>
          <w:sz w:val="24"/>
        </w:rPr>
        <w:t xml:space="preserve">3.</w:t>
      </w:r>
      <w:r>
        <w:rPr>
          <w:rFonts w:hint="eastAsia" w:ascii="宋体" w:hAnsi="宋体"/>
          <w:bCs/>
          <w:sz w:val="24"/>
        </w:rPr>
        <w:t xml:space="preserve">甲方配合办理采购过程中的免税手续。</w:t>
      </w:r>
      <w:r/>
    </w:p>
    <w:p>
      <w:pPr>
        <w:ind w:firstLine="472"/>
        <w:spacing w:line="400" w:lineRule="atLeast"/>
        <w:shd w:val="clear" w:color="auto" w:fill="ffffff"/>
        <w:rPr>
          <w:rFonts w:ascii="宋体" w:hAnsi="宋体"/>
          <w:b/>
          <w:bCs/>
          <w:sz w:val="24"/>
        </w:rPr>
      </w:pPr>
      <w:r>
        <w:rPr>
          <w:rFonts w:hint="eastAsia" w:ascii="宋体" w:hAnsi="宋体"/>
          <w:b/>
          <w:bCs/>
          <w:sz w:val="24"/>
        </w:rPr>
        <w:t xml:space="preserve">乙方责任</w:t>
      </w:r>
      <w:r/>
    </w:p>
    <w:p>
      <w:pPr>
        <w:ind w:firstLine="470"/>
        <w:spacing w:line="400" w:lineRule="atLeast"/>
        <w:shd w:val="clear" w:color="auto" w:fill="ffffff"/>
        <w:rPr>
          <w:rFonts w:ascii="宋体" w:hAnsi="宋体"/>
          <w:bCs/>
          <w:sz w:val="24"/>
        </w:rPr>
      </w:pPr>
      <w:r>
        <w:rPr>
          <w:rFonts w:hint="eastAsia" w:ascii="宋体" w:hAnsi="宋体"/>
          <w:bCs/>
          <w:sz w:val="24"/>
        </w:rPr>
        <w:t xml:space="preserve">1.乙方负责办理采购过程中的所有手续。</w:t>
      </w:r>
      <w:r/>
    </w:p>
    <w:p>
      <w:pPr>
        <w:ind w:firstLine="470"/>
        <w:spacing w:line="400" w:lineRule="atLeast"/>
        <w:shd w:val="clear" w:color="auto" w:fill="ffffff"/>
        <w:rPr>
          <w:rFonts w:ascii="宋体" w:hAnsi="宋体"/>
          <w:bCs/>
          <w:sz w:val="24"/>
        </w:rPr>
      </w:pPr>
      <w:r>
        <w:rPr>
          <w:rFonts w:hint="eastAsia" w:ascii="宋体" w:hAnsi="宋体"/>
          <w:bCs/>
          <w:sz w:val="24"/>
        </w:rPr>
        <w:t xml:space="preserve">2.乙方逾期交付产品的，每逾期一天，按合同总价款的5‰承担违约责任。</w:t>
      </w:r>
      <w:r/>
    </w:p>
    <w:p>
      <w:pPr>
        <w:ind w:firstLine="470"/>
        <w:spacing w:line="400" w:lineRule="atLeast"/>
        <w:shd w:val="clear" w:color="auto" w:fill="ffffff"/>
        <w:rPr>
          <w:rFonts w:ascii="宋体" w:hAnsi="宋体"/>
          <w:bCs/>
          <w:sz w:val="24"/>
        </w:rPr>
      </w:pPr>
      <w:r>
        <w:rPr>
          <w:rFonts w:hint="eastAsia" w:ascii="宋体" w:hAnsi="宋体"/>
          <w:bCs/>
          <w:sz w:val="24"/>
        </w:rPr>
        <w:t xml:space="preserve">3.乙方未按本合同规定和“服务承诺”及时提供伴随服务</w:t>
      </w:r>
      <w:r>
        <w:rPr>
          <w:rFonts w:ascii="宋体" w:hAnsi="宋体"/>
          <w:bCs/>
          <w:sz w:val="24"/>
        </w:rPr>
        <w:t xml:space="preserve">/</w:t>
      </w:r>
      <w:r>
        <w:rPr>
          <w:rFonts w:hint="eastAsia" w:ascii="宋体" w:hAnsi="宋体"/>
          <w:bCs/>
          <w:sz w:val="24"/>
        </w:rPr>
        <w:t xml:space="preserve">售后服务的，每发生</w:t>
      </w:r>
      <w:r>
        <w:rPr>
          <w:rFonts w:ascii="宋体" w:hAnsi="宋体"/>
          <w:bCs/>
          <w:sz w:val="24"/>
        </w:rPr>
        <w:t xml:space="preserve">1</w:t>
      </w:r>
      <w:r>
        <w:rPr>
          <w:rFonts w:hint="eastAsia" w:ascii="宋体" w:hAnsi="宋体"/>
          <w:bCs/>
          <w:sz w:val="24"/>
        </w:rPr>
        <w:t xml:space="preserve">次应按合同总价款的</w:t>
      </w:r>
      <w:r>
        <w:rPr>
          <w:rFonts w:ascii="宋体" w:hAnsi="宋体"/>
          <w:bCs/>
          <w:sz w:val="24"/>
        </w:rPr>
        <w:t xml:space="preserve">5%</w:t>
      </w:r>
      <w:r>
        <w:rPr>
          <w:rFonts w:hint="eastAsia" w:ascii="宋体" w:hAnsi="宋体"/>
          <w:bCs/>
          <w:sz w:val="24"/>
        </w:rPr>
        <w:t xml:space="preserve">向甲方承担违约责任，接甲方通知未在约定时间响应伴随服务</w:t>
      </w:r>
      <w:r>
        <w:rPr>
          <w:rFonts w:ascii="宋体" w:hAnsi="宋体"/>
          <w:bCs/>
          <w:sz w:val="24"/>
        </w:rPr>
        <w:t xml:space="preserve">/</w:t>
      </w:r>
      <w:r>
        <w:rPr>
          <w:rFonts w:hint="eastAsia" w:ascii="宋体" w:hAnsi="宋体"/>
          <w:bCs/>
          <w:sz w:val="24"/>
        </w:rPr>
        <w:t xml:space="preserve">售后服务的，甲方有权选择第三方代为履行，代为履行的费用由乙方承担。</w:t>
      </w:r>
      <w:r/>
    </w:p>
    <w:p>
      <w:pPr>
        <w:ind w:firstLine="470"/>
        <w:spacing w:line="400" w:lineRule="atLeast"/>
        <w:shd w:val="clear" w:color="auto" w:fill="ffffff"/>
        <w:rPr>
          <w:rFonts w:ascii="宋体" w:hAnsi="宋体"/>
          <w:bCs/>
          <w:sz w:val="24"/>
          <w:highlight w:val="none"/>
        </w:rPr>
      </w:pPr>
      <w:r>
        <w:rPr>
          <w:rFonts w:hint="eastAsia" w:ascii="宋体" w:hAnsi="宋体"/>
          <w:bCs/>
          <w:sz w:val="24"/>
          <w:highlight w:val="none"/>
        </w:rPr>
        <w:t xml:space="preserve">4.乙方根本性违约的，应按合同总价款的30%向甲方支付违约金；由此造成的损失超过违约金的，乙方应就超出部分予以赔偿。甲方有权依法向财政部门报告，由财政部门依法处理，且三年内无权再参加甲方采购活动。</w:t>
      </w:r>
      <w:r/>
    </w:p>
    <w:p>
      <w:pPr>
        <w:ind w:firstLine="470"/>
        <w:spacing w:line="400" w:lineRule="atLeast"/>
        <w:shd w:val="clear" w:color="auto" w:fill="ffffff"/>
        <w:rPr>
          <w:rFonts w:ascii="宋体" w:hAnsi="宋体"/>
          <w:bCs/>
          <w:sz w:val="24"/>
        </w:rPr>
      </w:pPr>
      <w:r>
        <w:rPr>
          <w:rFonts w:hint="eastAsia" w:ascii="宋体" w:hAnsi="宋体"/>
          <w:bCs/>
          <w:sz w:val="24"/>
        </w:rPr>
        <w:t xml:space="preserve">以下情形为乙方根本性违约：</w:t>
      </w:r>
      <w:r/>
    </w:p>
    <w:p>
      <w:pPr>
        <w:ind w:firstLine="360"/>
        <w:spacing w:line="400" w:lineRule="atLeast"/>
        <w:shd w:val="clear" w:color="auto" w:fill="ffffff"/>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）如乙方不能交付产品；</w:t>
      </w:r>
      <w:r/>
    </w:p>
    <w:p>
      <w:pPr>
        <w:ind w:firstLine="360"/>
        <w:spacing w:line="400" w:lineRule="atLeast"/>
        <w:shd w:val="clear" w:color="auto" w:fill="ffffff"/>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）如乙方逾期交货达</w:t>
      </w:r>
      <w:r>
        <w:rPr>
          <w:rFonts w:ascii="宋体" w:hAnsi="宋体"/>
          <w:bCs/>
          <w:sz w:val="24"/>
        </w:rPr>
        <w:t xml:space="preserve">10</w:t>
      </w:r>
      <w:r>
        <w:rPr>
          <w:rFonts w:hint="eastAsia" w:ascii="宋体" w:hAnsi="宋体"/>
          <w:bCs/>
          <w:sz w:val="24"/>
        </w:rPr>
        <w:t xml:space="preserve">天；</w:t>
      </w:r>
      <w:r/>
    </w:p>
    <w:p>
      <w:pPr>
        <w:ind w:firstLine="360"/>
        <w:spacing w:line="400" w:lineRule="atLeast"/>
        <w:shd w:val="clear" w:color="auto" w:fill="ffffff"/>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）乙方所交付的产品品种、货号、规格不符合合同约定的；</w:t>
      </w:r>
      <w:r/>
    </w:p>
    <w:p>
      <w:pPr>
        <w:ind w:firstLine="360"/>
        <w:spacing w:line="400" w:lineRule="atLeast"/>
        <w:shd w:val="clear" w:color="auto" w:fill="ffffff"/>
        <w:rPr>
          <w:rFonts w:ascii="宋体" w:hAnsi="宋体"/>
          <w:bCs/>
          <w:sz w:val="24"/>
        </w:rPr>
      </w:pPr>
      <w:r>
        <w:rPr>
          <w:rFonts w:hint="eastAsia" w:ascii="宋体" w:hAnsi="宋体"/>
          <w:bCs/>
          <w:sz w:val="24"/>
        </w:rPr>
        <w:t xml:space="preserve">（</w:t>
      </w:r>
      <w:r>
        <w:rPr>
          <w:rFonts w:ascii="宋体" w:hAnsi="宋体"/>
          <w:bCs/>
          <w:sz w:val="24"/>
        </w:rPr>
        <w:t xml:space="preserve">4</w:t>
      </w:r>
      <w:r>
        <w:rPr>
          <w:rFonts w:hint="eastAsia" w:ascii="宋体" w:hAnsi="宋体"/>
          <w:bCs/>
          <w:sz w:val="24"/>
        </w:rPr>
        <w:t xml:space="preserve">）所供产品不是原厂新品或是有假冒伪劣产品的；</w:t>
      </w:r>
      <w:r/>
    </w:p>
    <w:p>
      <w:pPr>
        <w:ind w:firstLine="360"/>
        <w:spacing w:line="400" w:lineRule="atLeast"/>
        <w:shd w:val="clear" w:color="auto" w:fill="ffffff"/>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w:t>
      </w:r>
      <w:r>
        <w:rPr>
          <w:rFonts w:hint="eastAsia" w:ascii="宋体" w:hAnsi="宋体"/>
          <w:bCs/>
          <w:sz w:val="24"/>
        </w:rPr>
        <w:t xml:space="preserve">乙方送交的货物经验收不合格，或验收后出现质量问题。</w:t>
      </w:r>
      <w:r/>
    </w:p>
    <w:p>
      <w:pPr>
        <w:ind w:firstLine="360"/>
        <w:spacing w:line="400" w:lineRule="atLeast"/>
        <w:shd w:val="clear" w:color="auto" w:fill="ffffff"/>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）在乙方承诺的或国家规定的质量保证期内（取两者中最长的期限），经乙方</w:t>
      </w:r>
      <w:r>
        <w:rPr>
          <w:rFonts w:ascii="宋体" w:hAnsi="宋体"/>
          <w:sz w:val="24"/>
        </w:rPr>
        <w:t xml:space="preserve">2</w:t>
      </w:r>
      <w:r>
        <w:rPr>
          <w:rFonts w:hint="eastAsia" w:ascii="宋体" w:hAnsi="宋体"/>
          <w:sz w:val="24"/>
        </w:rPr>
        <w:t xml:space="preserve">次维修或更换产品仍不能达到合同约定的质量标准的。</w:t>
      </w:r>
      <w:r/>
    </w:p>
    <w:p>
      <w:pPr>
        <w:ind w:firstLine="480"/>
        <w:spacing w:line="400" w:lineRule="atLeast"/>
        <w:shd w:val="clear" w:color="auto" w:fill="ffffff"/>
        <w:rPr>
          <w:rFonts w:ascii="宋体" w:hAnsi="宋体"/>
          <w:bCs/>
          <w:sz w:val="24"/>
        </w:rPr>
      </w:pPr>
      <w:r>
        <w:rPr>
          <w:rFonts w:hint="eastAsia" w:ascii="宋体" w:hAnsi="宋体"/>
          <w:bCs/>
          <w:sz w:val="24"/>
        </w:rPr>
        <w:t xml:space="preserve">出现第（2）项、第（3）项、第（4）项或第（5）项情形，经甲方同意不解除合同的，乙方应按合同总价款的15%向甲方支付违约金，并及时提供符合合同约定的产品和服务。</w:t>
      </w:r>
      <w:r/>
    </w:p>
    <w:p>
      <w:pPr>
        <w:ind w:firstLine="480"/>
        <w:spacing w:line="400" w:lineRule="atLeast"/>
        <w:shd w:val="clear" w:color="auto" w:fill="ffffff"/>
        <w:rPr>
          <w:rFonts w:ascii="宋体" w:hAnsi="宋体"/>
          <w:bCs/>
          <w:sz w:val="24"/>
        </w:rPr>
      </w:pPr>
      <w:r>
        <w:rPr>
          <w:rFonts w:hint="eastAsia" w:ascii="宋体" w:hAnsi="宋体"/>
          <w:bCs/>
          <w:sz w:val="24"/>
        </w:rPr>
        <w:t xml:space="preserve">上述违约金不足以弥补甲方实际损失的，甲方有权就差额部分向乙方追偿。</w:t>
      </w:r>
      <w:r/>
    </w:p>
    <w:p>
      <w:pPr>
        <w:ind w:firstLine="460"/>
        <w:spacing w:line="400" w:lineRule="atLeast"/>
        <w:rPr>
          <w:rFonts w:ascii="宋体" w:hAnsi="宋体"/>
          <w:sz w:val="24"/>
        </w:rPr>
      </w:pPr>
      <w:r>
        <w:rPr>
          <w:rFonts w:ascii="宋体" w:hAnsi="宋体"/>
          <w:sz w:val="24"/>
        </w:rPr>
        <w:t xml:space="preserve">5.</w:t>
      </w:r>
      <w:r>
        <w:rPr>
          <w:rFonts w:hint="eastAsia" w:ascii="宋体" w:hAnsi="宋体"/>
          <w:bCs/>
          <w:sz w:val="24"/>
        </w:rPr>
        <w:t xml:space="preserve">由于不可抗力原因使乙方延迟安装，或者由于不可抗力原因影响甲方履约，可不执行违约责任条款，由双方协商解决。</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第九条  履约保证金</w:t>
      </w:r>
      <w:r/>
    </w:p>
    <w:p>
      <w:pPr>
        <w:ind w:firstLine="480"/>
        <w:spacing w:line="400" w:lineRule="atLeast"/>
        <w:shd w:val="clear" w:color="auto" w:fill="ffffff"/>
        <w:rPr>
          <w:rFonts w:ascii="宋体" w:hAnsi="宋体"/>
          <w:bCs/>
          <w:sz w:val="24"/>
        </w:rPr>
      </w:pPr>
      <w:r>
        <w:rPr>
          <w:rFonts w:hint="eastAsia" w:ascii="宋体" w:hAnsi="宋体"/>
          <w:bCs/>
          <w:sz w:val="24"/>
        </w:rPr>
        <w:t xml:space="preserve">1.乙方应在采购合同签订前，以支票、汇票、本票或者金融机构、担保机构出具的保函等非现金形式提交履约保证金，金额为合同总价款的5%。</w:t>
      </w:r>
      <w:r/>
    </w:p>
    <w:p>
      <w:pPr>
        <w:ind w:firstLine="480"/>
        <w:spacing w:line="400" w:lineRule="atLeast"/>
        <w:shd w:val="clear" w:color="auto" w:fill="ffffff"/>
        <w:rPr>
          <w:rFonts w:ascii="宋体" w:hAnsi="宋体"/>
          <w:bCs/>
          <w:color w:val="auto"/>
          <w:sz w:val="24"/>
          <w:highlight w:val="yellow"/>
        </w:rPr>
      </w:pPr>
      <w:r>
        <w:rPr>
          <w:rFonts w:ascii="宋体" w:hAnsi="宋体"/>
          <w:color w:val="auto"/>
          <w:sz w:val="24"/>
        </w:rPr>
        <w:t xml:space="preserve">2.履约保证金退还：项目全部完工且最终验收合格后10个工作日内无息全额退还</w:t>
      </w:r>
      <w:r>
        <w:rPr>
          <w:rFonts w:hint="eastAsia" w:ascii="宋体" w:hAnsi="宋体"/>
          <w:color w:val="auto"/>
          <w:sz w:val="24"/>
        </w:rPr>
        <w:t xml:space="preserve">；</w:t>
      </w:r>
      <w:r>
        <w:rPr>
          <w:rFonts w:ascii="宋体" w:hAnsi="宋体"/>
          <w:color w:val="auto"/>
          <w:sz w:val="24"/>
        </w:rPr>
        <w:t xml:space="preserve">若</w:t>
      </w:r>
      <w:r>
        <w:rPr>
          <w:rFonts w:hint="eastAsia" w:ascii="宋体" w:hAnsi="宋体"/>
          <w:color w:val="auto"/>
          <w:sz w:val="24"/>
        </w:rPr>
        <w:t xml:space="preserve">乙方</w:t>
      </w:r>
      <w:r>
        <w:rPr>
          <w:rFonts w:ascii="宋体" w:hAnsi="宋体"/>
          <w:color w:val="auto"/>
          <w:sz w:val="24"/>
        </w:rPr>
        <w:t xml:space="preserve">违约造成采购人损失，保证金不足以抵扣的，</w:t>
      </w:r>
      <w:r>
        <w:rPr>
          <w:rFonts w:hint="eastAsia" w:ascii="宋体" w:hAnsi="宋体"/>
          <w:color w:val="auto"/>
          <w:sz w:val="24"/>
        </w:rPr>
        <w:t xml:space="preserve">乙方</w:t>
      </w:r>
      <w:r>
        <w:rPr>
          <w:rFonts w:ascii="宋体" w:hAnsi="宋体"/>
          <w:color w:val="auto"/>
          <w:sz w:val="24"/>
        </w:rPr>
        <w:t xml:space="preserve">另行补足赔偿。</w:t>
      </w:r>
      <w:r/>
    </w:p>
    <w:p>
      <w:pPr>
        <w:spacing w:line="400" w:lineRule="atLeast"/>
        <w:shd w:val="clear" w:color="auto" w:fill="ffffff"/>
        <w:rPr>
          <w:rFonts w:asciiTheme="majorEastAsia" w:hAnsiTheme="majorEastAsia" w:eastAsiaTheme="majorEastAsia"/>
          <w:b/>
          <w:sz w:val="24"/>
        </w:rPr>
      </w:pPr>
      <w:r>
        <w:rPr>
          <w:rFonts w:hint="eastAsia" w:asciiTheme="majorEastAsia" w:hAnsiTheme="majorEastAsia" w:eastAsiaTheme="majorEastAsia"/>
          <w:b/>
          <w:sz w:val="24"/>
        </w:rPr>
        <w:t xml:space="preserve">第十条  合同的变更和终止</w:t>
      </w:r>
      <w:r/>
    </w:p>
    <w:p>
      <w:pPr>
        <w:ind w:firstLine="470"/>
        <w:spacing w:line="400" w:lineRule="atLeast"/>
        <w:rPr>
          <w:rFonts w:ascii="宋体" w:hAnsi="宋体"/>
          <w:sz w:val="24"/>
        </w:rPr>
      </w:pPr>
      <w:r>
        <w:rPr>
          <w:rFonts w:hint="eastAsia" w:ascii="宋体" w:hAnsi="宋体"/>
          <w:sz w:val="24"/>
        </w:rPr>
        <w:t xml:space="preserve">除《中华人民共和国政府采购法》第四十九条、第五十条第二款规定的情形外，本合同一经签订，甲乙双方不得擅自变更、中止或者终止合同。</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第十一条  争议的解决</w:t>
      </w:r>
      <w:r/>
    </w:p>
    <w:p>
      <w:pPr>
        <w:ind w:firstLine="470"/>
        <w:spacing w:line="400" w:lineRule="atLeast"/>
        <w:rPr>
          <w:rFonts w:ascii="宋体" w:hAnsi="宋体"/>
          <w:b/>
          <w:sz w:val="24"/>
        </w:rPr>
      </w:pPr>
      <w:r>
        <w:rPr>
          <w:rFonts w:ascii="宋体" w:hAnsi="宋体"/>
          <w:sz w:val="24"/>
        </w:rPr>
        <w:t xml:space="preserve">1.</w:t>
      </w:r>
      <w:r>
        <w:rPr>
          <w:rFonts w:hint="eastAsia" w:ascii="宋体" w:hAnsi="宋体"/>
          <w:sz w:val="24"/>
        </w:rPr>
        <w:t xml:space="preserve">因产品的质量问题发生争执的，应邀请国家认可的质量检测机构对产品质量进行鉴定，产品符合标准的，鉴定费由甲方承担；产品不符合质量标准的，鉴定费由乙方承担。并按本合同第八条执行。</w:t>
      </w:r>
      <w:r/>
    </w:p>
    <w:p>
      <w:pPr>
        <w:ind w:firstLine="480"/>
        <w:spacing w:line="400" w:lineRule="atLeast"/>
        <w:rPr>
          <w:rFonts w:ascii="宋体" w:hAnsi="宋体"/>
          <w:sz w:val="24"/>
        </w:rPr>
      </w:pPr>
      <w:r>
        <w:rPr>
          <w:rFonts w:ascii="宋体" w:hAnsi="宋体"/>
          <w:sz w:val="24"/>
        </w:rPr>
        <w:t xml:space="preserve">2.因履行本合同引起的或与本合同有关的争议，双方应首先友好协商解决；协商不成的，任何一方均可向</w:t>
      </w:r>
      <w:r>
        <w:rPr>
          <w:rFonts w:hint="eastAsia" w:ascii="宋体" w:hAnsi="宋体"/>
          <w:sz w:val="24"/>
        </w:rPr>
        <w:t xml:space="preserve">甲方住所地</w:t>
      </w:r>
      <w:r>
        <w:rPr>
          <w:rFonts w:ascii="宋体" w:hAnsi="宋体"/>
          <w:sz w:val="24"/>
        </w:rPr>
        <w:t xml:space="preserve">有管辖权的人民法院提起诉讼。争议解决期间，除争议事项外，双方应继续履行本合同其他条款。</w:t>
      </w:r>
      <w:r/>
    </w:p>
    <w:p>
      <w:pPr>
        <w:ind w:firstLine="480"/>
        <w:spacing w:line="400" w:lineRule="atLeast"/>
        <w:rPr>
          <w:rFonts w:ascii="宋体" w:hAnsi="宋体"/>
          <w:sz w:val="24"/>
        </w:rPr>
      </w:pPr>
      <w:r>
        <w:rPr>
          <w:rFonts w:hint="eastAsia" w:ascii="宋体" w:hAnsi="宋体"/>
          <w:sz w:val="24"/>
        </w:rPr>
        <w:t xml:space="preserve">3.因乙方违约引发的诉讼，乙方除需根据本合同的约定承担违约责任外，还需承担甲方由此而产生的费用（包括但不限于鉴定费、评估费、公证费、诉讼费用、保全费、保全担保费、律师费、差旅费等）。</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第十二条  诚实信用</w:t>
      </w:r>
      <w:r/>
    </w:p>
    <w:p>
      <w:pPr>
        <w:ind w:firstLine="352"/>
        <w:spacing w:line="400" w:lineRule="atLeast"/>
        <w:rPr>
          <w:rFonts w:ascii="宋体" w:hAnsi="宋体"/>
          <w:b/>
          <w:sz w:val="24"/>
          <w:highlight w:val="none"/>
        </w:rPr>
      </w:pPr>
      <w:r>
        <w:rPr>
          <w:rFonts w:hint="eastAsia" w:ascii="宋体" w:hAnsi="宋体"/>
          <w:sz w:val="24"/>
        </w:rPr>
        <w:t xml:space="preserve">乙方应当诚实信用，严格按</w:t>
      </w:r>
      <w:r>
        <w:rPr>
          <w:rFonts w:hint="eastAsia" w:ascii="宋体" w:hAnsi="宋体"/>
          <w:sz w:val="24"/>
          <w:highlight w:val="none"/>
        </w:rPr>
        <w:t xml:space="preserve">照招标文件要求和投标承诺履行合同，不向甲方进行商业贿赂或者提供不正当利益。乙方应遵守《中华人民共和国网络安全法》《中华人民共和国数据安全法》《中华人民共和国个人信息保护法》等法律法规及甲方网络安全管理制度，对项目实施过程中接触、处理的甲方数据和信息系统承担保密和安全保护义务，不得擅自留存、复制、披露或者向第三方提供；项目终止或服务期满后，应按甲方要求删除或返还相关数据。未经甲方书面同意，乙方不得将本合同项下义务转包或分包。</w:t>
      </w:r>
      <w:r/>
    </w:p>
    <w:p>
      <w:pPr>
        <w:spacing w:line="400" w:lineRule="exact"/>
        <w:rPr>
          <w:rFonts w:asciiTheme="majorEastAsia" w:hAnsiTheme="majorEastAsia" w:eastAsiaTheme="majorEastAsia"/>
          <w:b/>
          <w:sz w:val="24"/>
        </w:rPr>
      </w:pPr>
      <w:r>
        <w:rPr>
          <w:rFonts w:hint="eastAsia" w:asciiTheme="majorEastAsia" w:hAnsiTheme="majorEastAsia" w:eastAsiaTheme="majorEastAsia"/>
          <w:b/>
          <w:sz w:val="24"/>
        </w:rPr>
        <w:t xml:space="preserve">第十三条  合同生效及其他</w:t>
      </w:r>
      <w:r/>
    </w:p>
    <w:p>
      <w:pPr>
        <w:ind w:firstLine="480"/>
        <w:spacing w:line="400" w:lineRule="atLeast"/>
        <w:shd w:val="clear" w:color="auto" w:fill="ffffff"/>
        <w:rPr>
          <w:rFonts w:ascii="宋体" w:hAnsi="宋体"/>
          <w:bCs/>
          <w:sz w:val="24"/>
        </w:rPr>
      </w:pPr>
      <w:r>
        <w:rPr>
          <w:rFonts w:hint="eastAsia" w:ascii="宋体" w:hAnsi="宋体"/>
          <w:bCs/>
          <w:sz w:val="24"/>
        </w:rPr>
        <w:t xml:space="preserve">本合同共____页，自双方法定代表人或授权代表签字并加盖公章之日起生效。合同文本一式陆份，甲方执伍份、乙方执壹份。</w:t>
      </w:r>
      <w:r/>
    </w:p>
    <w:tbl>
      <w:tblPr>
        <w:tblStyle w:val="863"/>
        <w:tblW w:w="8119"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014"/>
        <w:gridCol w:w="4105"/>
      </w:tblGrid>
      <w:tr>
        <w:trPr>
          <w:trHeight w:val="668"/>
        </w:trPr>
        <w:tc>
          <w:tcPr>
            <w:shd w:val="clear" w:color="auto" w:fill="ffffff"/>
            <w:tcMar>
              <w:left w:w="108" w:type="dxa"/>
              <w:top w:w="0" w:type="dxa"/>
              <w:right w:w="108" w:type="dxa"/>
              <w:bottom w:w="0" w:type="dxa"/>
            </w:tcMar>
            <w:tcW w:w="4014" w:type="dxa"/>
            <w:vAlign w:val="bottom"/>
            <w:textDirection w:val="lrTb"/>
            <w:noWrap w:val="false"/>
          </w:tcPr>
          <w:p>
            <w:pPr>
              <w:spacing w:line="400" w:lineRule="atLeast"/>
              <w:rPr>
                <w:rFonts w:ascii="宋体" w:hAnsi="宋体"/>
                <w:sz w:val="24"/>
              </w:rPr>
            </w:pPr>
            <w:r>
              <w:rPr>
                <w:rFonts w:hint="eastAsia" w:ascii="宋体" w:hAnsi="宋体"/>
                <w:bCs/>
                <w:sz w:val="24"/>
              </w:rPr>
              <w:t xml:space="preserve">甲 方（公章）：徐州工业职业技术学院</w:t>
            </w:r>
            <w:r/>
          </w:p>
        </w:tc>
        <w:tc>
          <w:tcPr>
            <w:shd w:val="clear" w:color="auto" w:fill="ffffff"/>
            <w:tcMar>
              <w:left w:w="108" w:type="dxa"/>
              <w:top w:w="0" w:type="dxa"/>
              <w:right w:w="108" w:type="dxa"/>
              <w:bottom w:w="0" w:type="dxa"/>
            </w:tcMar>
            <w:tcW w:w="4105" w:type="dxa"/>
            <w:vAlign w:val="bottom"/>
            <w:textDirection w:val="lrTb"/>
            <w:noWrap w:val="false"/>
          </w:tcPr>
          <w:p>
            <w:pPr>
              <w:spacing w:line="400" w:lineRule="atLeast"/>
              <w:rPr>
                <w:rFonts w:ascii="宋体" w:hAnsi="宋体"/>
                <w:sz w:val="24"/>
                <w:u w:val="single"/>
              </w:rPr>
            </w:pPr>
            <w:r>
              <w:rPr>
                <w:rFonts w:hint="eastAsia" w:ascii="宋体" w:hAnsi="宋体"/>
                <w:bCs/>
                <w:sz w:val="24"/>
              </w:rPr>
              <w:t xml:space="preserve">乙 方（公章）：</w:t>
            </w:r>
            <w:r/>
          </w:p>
        </w:tc>
      </w:tr>
      <w:tr>
        <w:trPr>
          <w:trHeight w:val="420"/>
        </w:trPr>
        <w:tc>
          <w:tcPr>
            <w:shd w:val="clear" w:color="auto" w:fill="ffffff"/>
            <w:tcMar>
              <w:left w:w="108" w:type="dxa"/>
              <w:top w:w="0" w:type="dxa"/>
              <w:right w:w="108" w:type="dxa"/>
              <w:bottom w:w="0" w:type="dxa"/>
            </w:tcMar>
            <w:tcW w:w="4014" w:type="dxa"/>
            <w:textDirection w:val="lrTb"/>
            <w:noWrap w:val="false"/>
          </w:tcPr>
          <w:p>
            <w:pPr>
              <w:spacing w:line="400" w:lineRule="atLeast"/>
              <w:rPr>
                <w:rFonts w:ascii="宋体" w:hAnsi="宋体"/>
                <w:sz w:val="24"/>
              </w:rPr>
            </w:pPr>
            <w:r>
              <w:rPr>
                <w:rFonts w:hint="eastAsia" w:ascii="宋体" w:hAnsi="宋体"/>
                <w:bCs/>
                <w:sz w:val="24"/>
              </w:rPr>
              <w:t xml:space="preserve">法定/授权代表人（签字）：</w:t>
            </w:r>
            <w:r/>
          </w:p>
        </w:tc>
        <w:tc>
          <w:tcPr>
            <w:shd w:val="clear" w:color="auto" w:fill="ffffff"/>
            <w:tcMar>
              <w:left w:w="108" w:type="dxa"/>
              <w:top w:w="0" w:type="dxa"/>
              <w:right w:w="108" w:type="dxa"/>
              <w:bottom w:w="0" w:type="dxa"/>
            </w:tcMar>
            <w:tcW w:w="4105" w:type="dxa"/>
            <w:textDirection w:val="lrTb"/>
            <w:noWrap w:val="false"/>
          </w:tcPr>
          <w:p>
            <w:pPr>
              <w:spacing w:line="400" w:lineRule="atLeast"/>
              <w:rPr>
                <w:rFonts w:ascii="宋体" w:hAnsi="宋体"/>
                <w:sz w:val="24"/>
              </w:rPr>
            </w:pPr>
            <w:r>
              <w:rPr>
                <w:rFonts w:hint="eastAsia" w:ascii="宋体" w:hAnsi="宋体"/>
                <w:bCs/>
                <w:sz w:val="24"/>
              </w:rPr>
              <w:t xml:space="preserve">法定/授权代表人（签字）：</w:t>
            </w:r>
            <w:r/>
          </w:p>
        </w:tc>
      </w:tr>
      <w:tr>
        <w:trPr>
          <w:trHeight w:val="420"/>
        </w:trPr>
        <w:tc>
          <w:tcPr>
            <w:shd w:val="clear" w:color="auto" w:fill="ffffff"/>
            <w:tcMar>
              <w:left w:w="108" w:type="dxa"/>
              <w:top w:w="0" w:type="dxa"/>
              <w:right w:w="108" w:type="dxa"/>
              <w:bottom w:w="0" w:type="dxa"/>
            </w:tcMar>
            <w:tcW w:w="4014" w:type="dxa"/>
            <w:textDirection w:val="lrTb"/>
            <w:noWrap w:val="false"/>
          </w:tcPr>
          <w:p>
            <w:pPr>
              <w:spacing w:line="400" w:lineRule="atLeast"/>
              <w:rPr>
                <w:rFonts w:ascii="宋体" w:hAnsi="宋体"/>
                <w:sz w:val="24"/>
              </w:rPr>
            </w:pPr>
            <w:r>
              <w:rPr>
                <w:rFonts w:hint="eastAsia" w:ascii="宋体" w:hAnsi="宋体"/>
                <w:bCs/>
                <w:sz w:val="24"/>
              </w:rPr>
              <w:t xml:space="preserve">联系电话：</w:t>
            </w:r>
            <w:r/>
          </w:p>
        </w:tc>
        <w:tc>
          <w:tcPr>
            <w:shd w:val="clear" w:color="auto" w:fill="ffffff"/>
            <w:tcMar>
              <w:left w:w="108" w:type="dxa"/>
              <w:top w:w="0" w:type="dxa"/>
              <w:right w:w="108" w:type="dxa"/>
              <w:bottom w:w="0" w:type="dxa"/>
            </w:tcMar>
            <w:tcW w:w="4105" w:type="dxa"/>
            <w:textDirection w:val="lrTb"/>
            <w:noWrap w:val="false"/>
          </w:tcPr>
          <w:p>
            <w:pPr>
              <w:spacing w:line="400" w:lineRule="atLeast"/>
              <w:rPr>
                <w:rFonts w:ascii="宋体" w:hAnsi="宋体"/>
                <w:sz w:val="24"/>
              </w:rPr>
            </w:pPr>
            <w:r>
              <w:rPr>
                <w:rFonts w:hint="eastAsia" w:ascii="宋体" w:hAnsi="宋体"/>
                <w:bCs/>
                <w:sz w:val="24"/>
              </w:rPr>
              <w:t xml:space="preserve">单位账号：</w:t>
            </w:r>
            <w:r/>
          </w:p>
        </w:tc>
      </w:tr>
      <w:tr>
        <w:trPr>
          <w:trHeight w:val="410"/>
        </w:trPr>
        <w:tc>
          <w:tcPr>
            <w:shd w:val="clear" w:color="auto" w:fill="ffffff"/>
            <w:tcMar>
              <w:left w:w="108" w:type="dxa"/>
              <w:top w:w="0" w:type="dxa"/>
              <w:right w:w="108" w:type="dxa"/>
              <w:bottom w:w="0" w:type="dxa"/>
            </w:tcMar>
            <w:tcW w:w="4014" w:type="dxa"/>
            <w:textDirection w:val="lrTb"/>
            <w:noWrap w:val="false"/>
          </w:tcPr>
          <w:p>
            <w:pPr>
              <w:spacing w:line="400" w:lineRule="atLeast"/>
              <w:rPr>
                <w:rFonts w:ascii="宋体" w:hAnsi="宋体"/>
                <w:sz w:val="24"/>
              </w:rPr>
            </w:pPr>
            <w:r>
              <w:rPr>
                <w:rFonts w:hint="eastAsia" w:ascii="宋体" w:hAnsi="宋体"/>
                <w:bCs/>
                <w:sz w:val="24"/>
              </w:rPr>
              <w:t xml:space="preserve">地址：徐州市鼓楼区襄王路1号</w:t>
            </w:r>
            <w:r/>
          </w:p>
        </w:tc>
        <w:tc>
          <w:tcPr>
            <w:shd w:val="clear" w:color="auto" w:fill="ffffff"/>
            <w:tcMar>
              <w:left w:w="108" w:type="dxa"/>
              <w:top w:w="0" w:type="dxa"/>
              <w:right w:w="108" w:type="dxa"/>
              <w:bottom w:w="0" w:type="dxa"/>
            </w:tcMar>
            <w:tcW w:w="4105" w:type="dxa"/>
            <w:textDirection w:val="lrTb"/>
            <w:noWrap w:val="false"/>
          </w:tcPr>
          <w:p>
            <w:pPr>
              <w:spacing w:line="400" w:lineRule="atLeast"/>
              <w:rPr>
                <w:rFonts w:ascii="宋体" w:hAnsi="宋体"/>
                <w:sz w:val="24"/>
              </w:rPr>
            </w:pPr>
            <w:r>
              <w:rPr>
                <w:rFonts w:hint="eastAsia" w:ascii="宋体" w:hAnsi="宋体"/>
                <w:sz w:val="24"/>
              </w:rPr>
              <w:t xml:space="preserve">开户行：</w:t>
            </w:r>
            <w:r>
              <w:rPr>
                <w:rFonts w:ascii="宋体" w:hAnsi="宋体"/>
                <w:sz w:val="24"/>
              </w:rPr>
              <w:t xml:space="preserve"> </w:t>
            </w:r>
            <w:r/>
          </w:p>
        </w:tc>
      </w:tr>
      <w:tr>
        <w:trPr>
          <w:trHeight w:val="420"/>
        </w:trPr>
        <w:tc>
          <w:tcPr>
            <w:shd w:val="clear" w:color="auto" w:fill="ffffff"/>
            <w:tcMar>
              <w:left w:w="108" w:type="dxa"/>
              <w:top w:w="0" w:type="dxa"/>
              <w:right w:w="108" w:type="dxa"/>
              <w:bottom w:w="0" w:type="dxa"/>
            </w:tcMar>
            <w:tcW w:w="4014" w:type="dxa"/>
            <w:textDirection w:val="lrTb"/>
            <w:noWrap w:val="false"/>
          </w:tcPr>
          <w:p>
            <w:pPr>
              <w:spacing w:line="400" w:lineRule="atLeast"/>
              <w:rPr>
                <w:rFonts w:ascii="宋体" w:hAnsi="宋体"/>
                <w:bCs/>
                <w:sz w:val="24"/>
              </w:rPr>
            </w:pPr>
            <w:r>
              <w:rPr>
                <w:rFonts w:ascii="宋体" w:hAnsi="宋体"/>
                <w:bCs/>
                <w:sz w:val="24"/>
              </w:rPr>
            </w:r>
            <w:r/>
          </w:p>
        </w:tc>
        <w:tc>
          <w:tcPr>
            <w:shd w:val="clear" w:color="auto" w:fill="ffffff"/>
            <w:tcMar>
              <w:left w:w="108" w:type="dxa"/>
              <w:top w:w="0" w:type="dxa"/>
              <w:right w:w="108" w:type="dxa"/>
              <w:bottom w:w="0" w:type="dxa"/>
            </w:tcMar>
            <w:tcW w:w="4105" w:type="dxa"/>
            <w:textDirection w:val="lrTb"/>
            <w:noWrap w:val="false"/>
          </w:tcPr>
          <w:p>
            <w:pPr>
              <w:spacing w:line="400" w:lineRule="atLeast"/>
              <w:rPr>
                <w:rFonts w:ascii="宋体" w:hAnsi="宋体"/>
                <w:bCs/>
                <w:sz w:val="24"/>
              </w:rPr>
            </w:pPr>
            <w:r>
              <w:rPr>
                <w:rFonts w:hint="eastAsia" w:ascii="宋体" w:hAnsi="宋体"/>
                <w:bCs/>
                <w:sz w:val="24"/>
              </w:rPr>
              <w:t xml:space="preserve">行号：</w:t>
            </w:r>
            <w:r/>
          </w:p>
        </w:tc>
      </w:tr>
      <w:tr>
        <w:trPr>
          <w:trHeight w:val="420"/>
        </w:trPr>
        <w:tc>
          <w:tcPr>
            <w:shd w:val="clear" w:color="auto" w:fill="ffffff"/>
            <w:tcMar>
              <w:left w:w="108" w:type="dxa"/>
              <w:top w:w="0" w:type="dxa"/>
              <w:right w:w="108" w:type="dxa"/>
              <w:bottom w:w="0" w:type="dxa"/>
            </w:tcMar>
            <w:tcW w:w="4014" w:type="dxa"/>
            <w:textDirection w:val="lrTb"/>
            <w:noWrap w:val="false"/>
          </w:tcPr>
          <w:p>
            <w:pPr>
              <w:spacing w:line="400" w:lineRule="atLeast"/>
              <w:rPr>
                <w:rFonts w:ascii="宋体" w:hAnsi="宋体"/>
                <w:bCs/>
                <w:sz w:val="24"/>
              </w:rPr>
            </w:pPr>
            <w:r>
              <w:rPr>
                <w:rFonts w:ascii="宋体" w:hAnsi="宋体"/>
                <w:bCs/>
                <w:sz w:val="24"/>
              </w:rPr>
            </w:r>
            <w:r/>
          </w:p>
        </w:tc>
        <w:tc>
          <w:tcPr>
            <w:shd w:val="clear" w:color="auto" w:fill="ffffff"/>
            <w:tcMar>
              <w:left w:w="108" w:type="dxa"/>
              <w:top w:w="0" w:type="dxa"/>
              <w:right w:w="108" w:type="dxa"/>
              <w:bottom w:w="0" w:type="dxa"/>
            </w:tcMar>
            <w:tcW w:w="4105" w:type="dxa"/>
            <w:textDirection w:val="lrTb"/>
            <w:noWrap w:val="false"/>
          </w:tcPr>
          <w:p>
            <w:pPr>
              <w:spacing w:line="400" w:lineRule="atLeast"/>
              <w:rPr>
                <w:rFonts w:ascii="宋体" w:hAnsi="宋体"/>
                <w:bCs/>
                <w:sz w:val="24"/>
              </w:rPr>
            </w:pPr>
            <w:r>
              <w:rPr>
                <w:rFonts w:hint="eastAsia" w:ascii="宋体" w:hAnsi="宋体"/>
                <w:bCs/>
                <w:sz w:val="24"/>
              </w:rPr>
              <w:t xml:space="preserve">单位固定电话：</w:t>
            </w:r>
            <w:r/>
          </w:p>
        </w:tc>
      </w:tr>
      <w:tr>
        <w:trPr>
          <w:trHeight w:val="410"/>
        </w:trPr>
        <w:tc>
          <w:tcPr>
            <w:shd w:val="clear" w:color="auto" w:fill="ffffff"/>
            <w:tcMar>
              <w:left w:w="108" w:type="dxa"/>
              <w:top w:w="0" w:type="dxa"/>
              <w:right w:w="108" w:type="dxa"/>
              <w:bottom w:w="0" w:type="dxa"/>
            </w:tcMar>
            <w:tcW w:w="4014" w:type="dxa"/>
            <w:textDirection w:val="lrTb"/>
            <w:noWrap w:val="false"/>
          </w:tcPr>
          <w:p>
            <w:pPr>
              <w:spacing w:line="400" w:lineRule="atLeast"/>
              <w:rPr>
                <w:rFonts w:ascii="宋体" w:hAnsi="宋体"/>
                <w:bCs/>
                <w:sz w:val="24"/>
              </w:rPr>
            </w:pPr>
            <w:r>
              <w:rPr>
                <w:rFonts w:ascii="宋体" w:hAnsi="宋体"/>
                <w:bCs/>
                <w:sz w:val="24"/>
              </w:rPr>
            </w:r>
            <w:r/>
          </w:p>
        </w:tc>
        <w:tc>
          <w:tcPr>
            <w:shd w:val="clear" w:color="auto" w:fill="ffffff"/>
            <w:tcMar>
              <w:left w:w="108" w:type="dxa"/>
              <w:top w:w="0" w:type="dxa"/>
              <w:right w:w="108" w:type="dxa"/>
              <w:bottom w:w="0" w:type="dxa"/>
            </w:tcMar>
            <w:tcW w:w="4105" w:type="dxa"/>
            <w:textDirection w:val="lrTb"/>
            <w:noWrap w:val="false"/>
          </w:tcPr>
          <w:p>
            <w:pPr>
              <w:spacing w:line="400" w:lineRule="atLeast"/>
              <w:rPr>
                <w:rFonts w:ascii="宋体" w:hAnsi="宋体"/>
                <w:bCs/>
                <w:sz w:val="24"/>
              </w:rPr>
            </w:pPr>
            <w:r>
              <w:rPr>
                <w:rFonts w:hint="eastAsia" w:ascii="宋体" w:hAnsi="宋体"/>
                <w:bCs/>
                <w:sz w:val="24"/>
              </w:rPr>
              <w:t xml:space="preserve">移动电话：</w:t>
            </w:r>
            <w:r/>
          </w:p>
        </w:tc>
      </w:tr>
      <w:tr>
        <w:trPr>
          <w:trHeight w:val="378"/>
        </w:trPr>
        <w:tc>
          <w:tcPr>
            <w:shd w:val="clear" w:color="auto" w:fill="ffffff"/>
            <w:tcMar>
              <w:left w:w="108" w:type="dxa"/>
              <w:top w:w="0" w:type="dxa"/>
              <w:right w:w="108" w:type="dxa"/>
              <w:bottom w:w="0" w:type="dxa"/>
            </w:tcMar>
            <w:tcW w:w="4014" w:type="dxa"/>
            <w:textDirection w:val="lrTb"/>
            <w:noWrap w:val="false"/>
          </w:tcPr>
          <w:p>
            <w:pPr>
              <w:spacing w:line="400" w:lineRule="atLeast"/>
              <w:rPr>
                <w:rFonts w:ascii="宋体" w:hAnsi="宋体"/>
                <w:bCs/>
                <w:sz w:val="24"/>
              </w:rPr>
            </w:pPr>
            <w:r>
              <w:rPr>
                <w:rFonts w:ascii="宋体" w:hAnsi="宋体"/>
                <w:bCs/>
                <w:sz w:val="24"/>
              </w:rPr>
            </w:r>
            <w:r/>
          </w:p>
        </w:tc>
        <w:tc>
          <w:tcPr>
            <w:shd w:val="clear" w:color="auto" w:fill="ffffff"/>
            <w:tcMar>
              <w:left w:w="108" w:type="dxa"/>
              <w:top w:w="0" w:type="dxa"/>
              <w:right w:w="108" w:type="dxa"/>
              <w:bottom w:w="0" w:type="dxa"/>
            </w:tcMar>
            <w:tcW w:w="4105" w:type="dxa"/>
            <w:textDirection w:val="lrTb"/>
            <w:noWrap w:val="false"/>
          </w:tcPr>
          <w:p>
            <w:pPr>
              <w:spacing w:line="400" w:lineRule="atLeast"/>
              <w:rPr>
                <w:rFonts w:ascii="宋体" w:hAnsi="宋体"/>
                <w:sz w:val="24"/>
              </w:rPr>
            </w:pPr>
            <w:r>
              <w:rPr>
                <w:rFonts w:hint="eastAsia" w:ascii="宋体" w:hAnsi="宋体"/>
                <w:bCs/>
                <w:sz w:val="24"/>
              </w:rPr>
              <w:t xml:space="preserve">地址：</w:t>
            </w:r>
            <w:r/>
          </w:p>
        </w:tc>
      </w:tr>
    </w:tbl>
    <w:p>
      <w:r>
        <w:rPr>
          <w:rFonts w:hint="eastAsia"/>
        </w:rPr>
        <w:t xml:space="preserve">附件1  分项价格表</w:t>
      </w:r>
      <w:r/>
    </w:p>
    <w:p>
      <w:p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t xml:space="preserve">附件2  乙方的服务承诺</w:t>
      </w:r>
      <w:r/>
    </w:p>
    <w:p>
      <w:pPr>
        <w:jc w:val="center"/>
        <w:spacing w:line="360" w:lineRule="auto"/>
        <w:rPr>
          <w:rFonts w:ascii="宋体" w:hAnsi="宋体" w:cs="宋体"/>
          <w:sz w:val="32"/>
          <w:szCs w:val="32"/>
        </w:rPr>
      </w:pPr>
      <w:r>
        <w:rPr>
          <w:rFonts w:hint="eastAsia" w:ascii="宋体" w:hAnsi="宋体" w:cs="宋体"/>
          <w:b/>
          <w:sz w:val="28"/>
          <w:szCs w:val="28"/>
        </w:rPr>
        <w:t xml:space="preserve">第六章  采购需求</w:t>
      </w:r>
      <w:bookmarkStart w:id="2" w:name="_Toc324452802"/>
      <w:r/>
      <w:bookmarkEnd w:id="2"/>
      <w:r/>
      <w:bookmarkStart w:id="3" w:name="_Toc322457054"/>
      <w:r/>
      <w:bookmarkEnd w:id="3"/>
      <w:r/>
      <w:r/>
    </w:p>
    <w:p>
      <w:pPr>
        <w:spacing w:line="360" w:lineRule="auto"/>
        <w:rPr>
          <w:rStyle w:val="1036"/>
          <w:rFonts w:ascii="宋体" w:hAnsi="宋体" w:cs="宋体"/>
          <w:color w:val="000000"/>
          <w:sz w:val="24"/>
        </w:rPr>
      </w:pPr>
      <w:r>
        <w:rPr>
          <w:rStyle w:val="1036"/>
          <w:rFonts w:hint="eastAsia" w:ascii="宋体" w:hAnsi="宋体" w:cs="宋体"/>
          <w:b/>
          <w:bCs/>
          <w:color w:val="000000"/>
          <w:sz w:val="24"/>
        </w:rPr>
        <w:t xml:space="preserve">一、本项目不接受超</w:t>
      </w:r>
      <w:r>
        <w:rPr>
          <w:rStyle w:val="1036"/>
          <w:rFonts w:hint="eastAsia" w:ascii="宋体" w:hAnsi="宋体" w:cs="宋体"/>
          <w:b/>
          <w:bCs/>
          <w:sz w:val="24"/>
        </w:rPr>
        <w:t xml:space="preserve">过</w:t>
      </w:r>
      <w:r>
        <w:rPr>
          <w:rStyle w:val="1036"/>
          <w:rFonts w:hint="eastAsia" w:ascii="宋体" w:hAnsi="宋体" w:cs="宋体"/>
          <w:b/>
          <w:bCs/>
          <w:sz w:val="24"/>
          <w:u w:val="single"/>
        </w:rPr>
        <w:t xml:space="preserve">190.00</w:t>
      </w:r>
      <w:r>
        <w:rPr>
          <w:rStyle w:val="1036"/>
          <w:rFonts w:hint="eastAsia" w:ascii="宋体" w:hAnsi="宋体" w:cs="宋体"/>
          <w:b/>
          <w:bCs/>
          <w:sz w:val="24"/>
        </w:rPr>
        <w:t xml:space="preserve">万元</w:t>
      </w:r>
      <w:r>
        <w:rPr>
          <w:rStyle w:val="1036"/>
          <w:rFonts w:hint="eastAsia" w:ascii="宋体" w:hAnsi="宋体" w:cs="宋体"/>
          <w:b/>
          <w:bCs/>
          <w:color w:val="000000"/>
          <w:sz w:val="24"/>
        </w:rPr>
        <w:t xml:space="preserve">人民币（采购项目预算金额）的投标报价。</w:t>
      </w:r>
      <w:r/>
    </w:p>
    <w:p>
      <w:pPr>
        <w:pStyle w:val="1100"/>
        <w:spacing w:before="0" w:line="360" w:lineRule="auto"/>
        <w:rPr>
          <w:rStyle w:val="1036"/>
          <w:rFonts w:ascii="宋体" w:hAnsi="宋体" w:cs="宋体"/>
          <w:b/>
          <w:bCs/>
          <w:sz w:val="24"/>
          <w:szCs w:val="24"/>
        </w:rPr>
      </w:pPr>
      <w:r>
        <w:rPr>
          <w:rStyle w:val="1036"/>
          <w:rFonts w:hint="eastAsia" w:ascii="宋体" w:hAnsi="宋体" w:cs="宋体"/>
          <w:b/>
          <w:bCs/>
          <w:sz w:val="24"/>
          <w:szCs w:val="24"/>
        </w:rPr>
        <w:t xml:space="preserve">二、项目说明</w:t>
      </w:r>
      <w:r/>
    </w:p>
    <w:p>
      <w:pPr>
        <w:pStyle w:val="1100"/>
        <w:spacing w:before="0" w:line="360" w:lineRule="auto"/>
        <w:rPr>
          <w:rFonts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cs="宋体"/>
          <w:sz w:val="24"/>
        </w:rPr>
        <w:t xml:space="preserve">.</w:t>
      </w:r>
      <w:r>
        <w:rPr>
          <w:rFonts w:hint="eastAsia" w:ascii="宋体" w:hAnsi="宋体" w:eastAsia="宋体" w:cs="宋体"/>
          <w:sz w:val="24"/>
          <w:szCs w:val="24"/>
        </w:rPr>
        <w:t xml:space="preserve">采购人：徐州工业职业技术学院</w:t>
      </w:r>
      <w:r/>
    </w:p>
    <w:p>
      <w:pPr>
        <w:spacing w:line="360" w:lineRule="auto"/>
        <w:rPr>
          <w:rFonts w:hint="eastAsia" w:ascii="宋体" w:hAnsi="宋体" w:eastAsia="宋体" w:cs="宋体"/>
          <w:sz w:val="24"/>
          <w:lang w:eastAsia="zh-CN"/>
        </w:rPr>
      </w:pPr>
      <w:r>
        <w:rPr>
          <w:rFonts w:hint="eastAsia" w:ascii="宋体" w:hAnsi="宋体" w:cs="宋体"/>
          <w:sz w:val="24"/>
        </w:rPr>
        <w:t xml:space="preserve">2.项目名称：</w:t>
      </w:r>
      <w:r>
        <w:rPr>
          <w:rFonts w:hint="eastAsia" w:ascii="宋体" w:hAnsi="宋体" w:cs="宋体"/>
          <w:sz w:val="24"/>
          <w:lang w:eastAsia="zh-CN"/>
        </w:rPr>
        <w:t xml:space="preserve">智慧校园3.0建设行动计划子项目网络基础建设项目</w:t>
      </w:r>
      <w:r/>
    </w:p>
    <w:p>
      <w:pPr>
        <w:spacing w:line="360" w:lineRule="auto"/>
        <w:rPr>
          <w:rFonts w:ascii="宋体" w:hAnsi="宋体" w:cs="宋体"/>
          <w:sz w:val="24"/>
        </w:rPr>
      </w:pPr>
      <w:r>
        <w:rPr>
          <w:rFonts w:hint="eastAsia" w:ascii="宋体" w:hAnsi="宋体" w:cs="宋体"/>
          <w:strike w:val="0"/>
          <w:sz w:val="24"/>
        </w:rPr>
        <w:t xml:space="preserve">3</w:t>
      </w:r>
      <w:r>
        <w:rPr>
          <w:rFonts w:hint="eastAsia" w:ascii="宋体" w:hAnsi="宋体" w:cs="宋体"/>
          <w:strike w:val="0"/>
          <w:sz w:val="24"/>
          <w:lang w:val="en-US" w:eastAsia="zh-CN"/>
        </w:rPr>
        <w:t xml:space="preserve">.</w:t>
      </w:r>
      <w:r>
        <w:rPr>
          <w:rFonts w:hint="eastAsia" w:ascii="宋体" w:hAnsi="宋体" w:cs="宋体"/>
          <w:strike w:val="0"/>
          <w:sz w:val="24"/>
        </w:rPr>
        <w:t xml:space="preserve">项</w:t>
      </w:r>
      <w:r>
        <w:rPr>
          <w:rFonts w:hint="eastAsia" w:ascii="宋体" w:hAnsi="宋体" w:cs="宋体"/>
          <w:sz w:val="24"/>
        </w:rPr>
        <w:t xml:space="preserve">目编号：JSZC-320300-JSZR-G2026-0086</w:t>
      </w:r>
      <w:r/>
    </w:p>
    <w:p>
      <w:pPr>
        <w:spacing w:line="360" w:lineRule="auto"/>
        <w:rPr>
          <w:rFonts w:ascii="宋体" w:hAnsi="宋体" w:cs="宋体"/>
          <w:sz w:val="24"/>
        </w:rPr>
      </w:pPr>
      <w:r>
        <w:rPr>
          <w:rFonts w:hint="eastAsia" w:ascii="宋体" w:hAnsi="宋体" w:cs="宋体"/>
          <w:sz w:val="24"/>
        </w:rPr>
        <w:t xml:space="preserve">4.项目概况：本项目为学校智慧校园3.0数字新基建筑基工程核心子项目，需采购、部署、集成四大核心平台软硬件，搭建云、网、存、安一体化数字底座。项目聚焦全域访问安全、业务云承载、全类型数据可靠存储、多平台集中运维四大核心能力建设，解决现有校园业务系统访问边界管控薄弱、信息化资源分散、结构化与非结构化数据存储性能不足、多套底层设备运维割裂等痛点，支撑智能数据中台、三级数据驾驶舱、智慧教学、智慧学工、后勤管理等校内业务系统稳定运行，匹配学校2025-2027三年数字化转型整体规划。</w:t>
      </w:r>
      <w:r/>
    </w:p>
    <w:p>
      <w:pPr>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sz w:val="24"/>
        </w:rPr>
        <w:t xml:space="preserve">.</w:t>
      </w:r>
      <w:r>
        <w:rPr>
          <w:rFonts w:hint="eastAsia" w:ascii="宋体" w:hAnsi="宋体" w:cs="宋体"/>
          <w:bCs/>
          <w:sz w:val="24"/>
        </w:rPr>
        <w:t xml:space="preserve">本项目不属于专门面向中小微企业采购的项目。</w:t>
      </w:r>
      <w:r/>
    </w:p>
    <w:p>
      <w:pPr>
        <w:spacing w:line="360" w:lineRule="auto"/>
        <w:rPr>
          <w:rFonts w:ascii="宋体" w:hAnsi="宋体" w:cs="宋体"/>
          <w:b/>
          <w:sz w:val="24"/>
        </w:rPr>
      </w:pPr>
      <w:r>
        <w:rPr>
          <w:rFonts w:hint="eastAsia" w:ascii="宋体" w:hAnsi="宋体" w:cs="宋体"/>
          <w:b/>
          <w:sz w:val="24"/>
        </w:rPr>
        <w:t xml:space="preserve">三、项目背景</w:t>
      </w:r>
      <w:r/>
    </w:p>
    <w:p>
      <w:pPr>
        <w:ind w:firstLine="480"/>
        <w:spacing w:line="360" w:lineRule="auto"/>
        <w:rPr>
          <w:rFonts w:ascii="宋体" w:hAnsi="宋体" w:cs="宋体"/>
          <w:bCs/>
          <w:sz w:val="24"/>
        </w:rPr>
      </w:pPr>
      <w:r/>
      <w:bookmarkStart w:id="4" w:name="heading_0"/>
      <w:r>
        <w:rPr>
          <w:rFonts w:hint="eastAsia" w:ascii="宋体" w:hAnsi="宋体" w:cs="宋体"/>
          <w:bCs/>
          <w:sz w:val="24"/>
        </w:rPr>
        <w:t xml:space="preserve">依据文件</w:t>
      </w:r>
      <w:bookmarkEnd w:id="4"/>
      <w:r>
        <w:rPr>
          <w:rFonts w:hint="eastAsia" w:ascii="宋体" w:hAnsi="宋体" w:cs="宋体"/>
          <w:bCs/>
          <w:sz w:val="24"/>
        </w:rPr>
        <w:t xml:space="preserve">《徐州工业职业技术学院智慧校园3.0建设三年行动计划（2025-2027）》，本项目建设内容包含四大核心分项：零信任智慧校园统一接入平台、超融合云计算平台、全闪存存储、安全运维平台。</w:t>
      </w:r>
      <w:r/>
    </w:p>
    <w:p>
      <w:pPr>
        <w:spacing w:line="360" w:lineRule="auto"/>
        <w:rPr>
          <w:rFonts w:ascii="宋体" w:hAnsi="宋体"/>
          <w:b/>
          <w:bCs/>
          <w:color w:val="000000"/>
          <w:sz w:val="24"/>
        </w:rPr>
      </w:pPr>
      <w:r>
        <w:rPr>
          <w:rFonts w:hint="eastAsia" w:ascii="宋体" w:hAnsi="宋体" w:cs="宋体"/>
          <w:b/>
          <w:sz w:val="24"/>
        </w:rPr>
        <w:t xml:space="preserve">四、</w:t>
      </w:r>
      <w:r>
        <w:rPr>
          <w:rFonts w:ascii="宋体" w:hAnsi="宋体"/>
          <w:b/>
          <w:bCs/>
          <w:color w:val="000000"/>
          <w:sz w:val="24"/>
        </w:rPr>
        <w:t xml:space="preserve">项目建设内容</w:t>
      </w:r>
      <w:r/>
    </w:p>
    <w:p>
      <w:pPr>
        <w:ind w:firstLine="480"/>
        <w:spacing w:line="400" w:lineRule="exact"/>
        <w:tabs>
          <w:tab w:val="left" w:pos="1177" w:leader="none"/>
          <w:tab w:val="left" w:pos="1498" w:leader="none"/>
        </w:tabs>
      </w:pPr>
      <w:r>
        <w:rPr>
          <w:rFonts w:ascii="宋体" w:hAnsi="宋体"/>
          <w:color w:val="000000"/>
          <w:sz w:val="24"/>
        </w:rPr>
        <w:t xml:space="preserve">1.零信任智慧校园统一接入平台：搭建以全域统一身份体系为核心的可信访问安全底座，有效收缩校内各类业务系统网络暴露面。针对校内终端、校外远程办公访问、校园物联网设备等多类接入主体，实施精细化动态微隔离与多因子安全认证，对全程访问行为、操作日志进行完整记录与全维度审计，有效规避越权访问、数据泄露等安全风险，全面满足网络安全等级保护合规建设标准。</w:t>
      </w:r>
      <w:r/>
    </w:p>
    <w:p>
      <w:pPr>
        <w:ind w:firstLine="480"/>
        <w:spacing w:line="400" w:lineRule="exact"/>
        <w:tabs>
          <w:tab w:val="left" w:pos="1177" w:leader="none"/>
          <w:tab w:val="left" w:pos="1498" w:leader="none"/>
        </w:tabs>
      </w:pPr>
      <w:r>
        <w:rPr>
          <w:rFonts w:ascii="宋体" w:hAnsi="宋体"/>
          <w:color w:val="000000"/>
          <w:sz w:val="24"/>
        </w:rPr>
        <w:t xml:space="preserve">2.超融合云计算平台：搭建标准化服务器虚拟化资源池，深度整合计算资源、虚拟网络架构、智能资源调度等核心能力，可按需提供弹性、可扩展的云资源服务。平台统一承载校内各类信息化业务系统运行及数据中台后台算力运算、数据处理等核心业务，提升资源利用率与业务稳定性，项目一期规划部署4节点服务器集群，夯实校园云算力基础支撑能力。</w:t>
      </w:r>
      <w:r/>
    </w:p>
    <w:p>
      <w:pPr>
        <w:ind w:firstLine="480"/>
        <w:spacing w:line="400" w:lineRule="exact"/>
        <w:tabs>
          <w:tab w:val="left" w:pos="1177" w:leader="none"/>
          <w:tab w:val="left" w:pos="1498" w:leader="none"/>
        </w:tabs>
      </w:pPr>
      <w:r>
        <w:rPr>
          <w:rFonts w:ascii="宋体" w:hAnsi="宋体"/>
          <w:color w:val="000000"/>
          <w:sz w:val="24"/>
        </w:rPr>
        <w:t xml:space="preserve">3.全闪存存储建设：采用高性能</w:t>
      </w:r>
      <w:r>
        <w:rPr>
          <w:rFonts w:ascii="宋体" w:hAnsi="宋体"/>
          <w:color w:val="000000"/>
          <w:sz w:val="24"/>
          <w:highlight w:val="none"/>
        </w:rPr>
        <w:t xml:space="preserve">全闪存</w:t>
      </w:r>
      <w:r>
        <w:rPr>
          <w:rFonts w:hint="eastAsia" w:ascii="宋体" w:hAnsi="宋体"/>
          <w:color w:val="000000"/>
          <w:sz w:val="24"/>
          <w:highlight w:val="none"/>
        </w:rPr>
        <w:t xml:space="preserve">混合存储架构</w:t>
      </w:r>
      <w:r>
        <w:rPr>
          <w:rFonts w:hint="eastAsia" w:ascii="宋体" w:hAnsi="宋体"/>
          <w:color w:val="000000"/>
          <w:sz w:val="24"/>
        </w:rPr>
        <w:t xml:space="preserve">，支持块、文件、对象三模一体化存</w:t>
      </w:r>
      <w:r>
        <w:rPr>
          <w:rFonts w:hint="eastAsia" w:ascii="宋体" w:hAnsi="宋体"/>
          <w:strike w:val="0"/>
          <w:color w:val="000000"/>
          <w:sz w:val="24"/>
        </w:rPr>
        <w:t xml:space="preserve">储</w:t>
      </w:r>
      <w:r>
        <w:rPr>
          <w:rFonts w:hint="eastAsia" w:ascii="宋体" w:hAnsi="宋体"/>
          <w:strike w:val="0"/>
          <w:color w:val="000000"/>
          <w:sz w:val="24"/>
          <w:highlight w:val="none"/>
        </w:rPr>
        <w:t xml:space="preserve">服务</w:t>
      </w:r>
      <w:r>
        <w:rPr>
          <w:rFonts w:ascii="宋体" w:hAnsi="宋体"/>
          <w:strike w:val="0"/>
          <w:color w:val="000000"/>
          <w:sz w:val="24"/>
          <w:highlight w:val="none"/>
        </w:rPr>
        <w:t xml:space="preserve">，并支持将数据分层至外置对象存储，适配校园</w:t>
      </w:r>
      <w:r>
        <w:rPr>
          <w:rFonts w:ascii="宋体" w:hAnsi="宋体"/>
          <w:color w:val="000000"/>
          <w:sz w:val="24"/>
          <w:highlight w:val="none"/>
        </w:rPr>
        <w:t xml:space="preserve">多样化数据存储场景。集中承载教学音视频资源、实训教学资料、师生</w:t>
      </w:r>
      <w:r>
        <w:rPr>
          <w:rFonts w:ascii="宋体" w:hAnsi="宋体"/>
          <w:color w:val="000000"/>
          <w:sz w:val="24"/>
        </w:rPr>
        <w:t xml:space="preserve">数字档案、科研文献文档、平台运行日志等各类结构化与非结构化数据，依托高吞吐、低延迟的闪存特性，充分保障海量数据场景下的高并发读写效率与数据存储可靠性。</w:t>
      </w:r>
      <w:r/>
    </w:p>
    <w:p>
      <w:pPr>
        <w:ind w:firstLine="480"/>
        <w:spacing w:line="400" w:lineRule="exact"/>
        <w:tabs>
          <w:tab w:val="left" w:pos="1177" w:leader="none"/>
          <w:tab w:val="left" w:pos="1498" w:leader="none"/>
        </w:tabs>
        <w:rPr>
          <w:rFonts w:ascii="宋体" w:hAnsi="宋体"/>
          <w:b/>
          <w:sz w:val="24"/>
        </w:rPr>
      </w:pPr>
      <w:r>
        <w:rPr>
          <w:rFonts w:ascii="宋体" w:hAnsi="宋体"/>
          <w:color w:val="000000"/>
          <w:sz w:val="24"/>
        </w:rPr>
        <w:t xml:space="preserve">4.安全运维平台：建设一体化、智能化IT运维监测平台，对超融合云计算、存储、交换与安全等核心软硬件平台实现统一纳管、集中运维。支持设备运行性能实时监控、异常故障主动预警、网络流量全景可视化分析，并精准输出各类运维指标数据，实现校园IT基础设施运维可视、可管、可控。</w:t>
      </w:r>
      <w:r/>
    </w:p>
    <w:p>
      <w:pPr>
        <w:spacing w:line="400" w:lineRule="exact"/>
        <w:rPr>
          <w:rFonts w:ascii="宋体" w:hAnsi="宋体"/>
          <w:b/>
          <w:sz w:val="24"/>
        </w:rPr>
      </w:pPr>
      <w:r>
        <w:rPr>
          <w:rFonts w:hint="eastAsia" w:ascii="宋体" w:hAnsi="宋体"/>
          <w:b/>
          <w:bCs/>
          <w:color w:val="000000"/>
          <w:sz w:val="24"/>
        </w:rPr>
        <w:t xml:space="preserve">五、</w:t>
      </w:r>
      <w:r>
        <w:rPr>
          <w:rFonts w:ascii="宋体" w:hAnsi="宋体"/>
          <w:b/>
          <w:sz w:val="24"/>
        </w:rPr>
        <w:t xml:space="preserve">项目建设目标</w:t>
      </w:r>
      <w:r/>
    </w:p>
    <w:p>
      <w:pPr>
        <w:ind w:firstLine="480"/>
        <w:spacing w:line="400" w:lineRule="exact"/>
        <w:tabs>
          <w:tab w:val="left" w:pos="1177" w:leader="none"/>
          <w:tab w:val="left" w:pos="1498" w:leader="none"/>
        </w:tabs>
      </w:pPr>
      <w:r>
        <w:rPr>
          <w:rFonts w:ascii="宋体" w:hAnsi="宋体"/>
          <w:color w:val="000000"/>
          <w:sz w:val="24"/>
        </w:rPr>
        <w:t xml:space="preserve">1.打通零信任、超融合、全闪存存储、安全运维四大平台底层交互与数据贯通链路，构建云、存、安全、运维深度融合的一体化协同数字底座。破除各系统间技术壁垒与信息孤岛，实现跨平台数据双向互通、安全策略智能联动、资源调度协同匹配，全面提升校园基础设施整体联动能力与整体运行效能。</w:t>
      </w:r>
      <w:r/>
    </w:p>
    <w:p>
      <w:pPr>
        <w:ind w:firstLine="480"/>
        <w:spacing w:line="400" w:lineRule="exact"/>
        <w:tabs>
          <w:tab w:val="left" w:pos="1177" w:leader="none"/>
          <w:tab w:val="left" w:pos="1498" w:leader="none"/>
        </w:tabs>
      </w:pPr>
      <w:r>
        <w:rPr>
          <w:rFonts w:ascii="宋体" w:hAnsi="宋体"/>
          <w:color w:val="000000"/>
          <w:sz w:val="24"/>
        </w:rPr>
        <w:t xml:space="preserve">2.全面落地完整、成熟的零信任安全整体架构，建立以身份可信、终端可信、应用可信为核心的动态细粒度访问管控体系。基于“永不信任、始终验证”的零信任理念，对全校各类业务系统进行全方位安全加固与权限精细化管控，覆盖内外网访问、设备接入、数据调用等全场景，全面符合网络安全等级保护三级建设规范与防护要求。</w:t>
      </w:r>
      <w:r/>
    </w:p>
    <w:p>
      <w:pPr>
        <w:ind w:firstLine="480"/>
        <w:spacing w:line="400" w:lineRule="exact"/>
        <w:tabs>
          <w:tab w:val="left" w:pos="1177" w:leader="none"/>
          <w:tab w:val="left" w:pos="1498" w:leader="none"/>
        </w:tabs>
      </w:pPr>
      <w:r>
        <w:rPr>
          <w:rFonts w:ascii="宋体" w:hAnsi="宋体"/>
          <w:color w:val="000000"/>
          <w:sz w:val="24"/>
        </w:rPr>
        <w:t xml:space="preserve">3.建成标准化、集约化的超融合虚拟化资源池，实现校内各类业务系统统一上云、集中部署、统一调度。平台具备资源弹性伸缩、按需分配、虚拟机在线迁移、业务平滑切换等能力，有效解决传统架构下硬件设备分散部署、资源闲置浪费、利用率偏低、运维点位多、管理繁琐复杂等痛点，大幅提升校园算力资源集约化管理水平。</w:t>
      </w:r>
      <w:r/>
    </w:p>
    <w:p>
      <w:pPr>
        <w:ind w:firstLine="480"/>
        <w:spacing w:line="400" w:lineRule="exact"/>
        <w:tabs>
          <w:tab w:val="left" w:pos="1177" w:leader="none"/>
          <w:tab w:val="left" w:pos="1498" w:leader="none"/>
        </w:tabs>
      </w:pPr>
      <w:r>
        <w:rPr>
          <w:rFonts w:ascii="宋体" w:hAnsi="宋体"/>
          <w:color w:val="000000"/>
          <w:sz w:val="24"/>
        </w:rPr>
        <w:t xml:space="preserve">4.搭建高吞吐、低延迟、高可靠的全闪存存储资源池，针对学校教学资源、行政办公、科研成果、系统日志等多类型数据实行分类分级存储管理。通过多副本冗余机制、分布式容错技术保障数据安全可靠，有效解决原有存储架构卡顿延迟、读写性能不足、存储标准不统一、数据分散、备份机制缺失、数据风险高等问题。</w:t>
      </w:r>
      <w:r/>
    </w:p>
    <w:p>
      <w:pPr>
        <w:ind w:firstLine="480"/>
        <w:spacing w:line="400" w:lineRule="exact"/>
        <w:tabs>
          <w:tab w:val="left" w:pos="1177" w:leader="none"/>
          <w:tab w:val="left" w:pos="1498" w:leader="none"/>
        </w:tabs>
      </w:pPr>
      <w:r>
        <w:rPr>
          <w:rFonts w:ascii="宋体" w:hAnsi="宋体"/>
          <w:color w:val="000000"/>
          <w:sz w:val="24"/>
        </w:rPr>
        <w:t xml:space="preserve">5.实现四大底层基础设施平台统一可视化集中运维管控，整合设备监测、流量分析、运行状态、日志审计等多维能力。系统支持故障自动识别、异常行为实时监测和风险提</w:t>
      </w:r>
      <w:r>
        <w:rPr>
          <w:rFonts w:ascii="宋体" w:hAnsi="宋体"/>
          <w:color w:val="000000"/>
          <w:sz w:val="24"/>
          <w:highlight w:val="none"/>
        </w:rPr>
        <w:t xml:space="preserve">前预警，</w:t>
      </w:r>
      <w:r>
        <w:rPr>
          <w:rFonts w:hint="eastAsia" w:ascii="宋体" w:hAnsi="宋体"/>
          <w:color w:val="000000"/>
          <w:sz w:val="24"/>
          <w:highlight w:val="none"/>
        </w:rPr>
        <w:t xml:space="preserve">故障预测准确率可达80%以上，</w:t>
      </w:r>
      <w:r>
        <w:rPr>
          <w:rFonts w:ascii="宋体" w:hAnsi="宋体"/>
          <w:color w:val="000000"/>
          <w:sz w:val="24"/>
          <w:highlight w:val="none"/>
        </w:rPr>
        <w:t xml:space="preserve">有效减</w:t>
      </w:r>
      <w:r>
        <w:rPr>
          <w:rFonts w:ascii="宋体" w:hAnsi="宋体"/>
          <w:color w:val="000000"/>
          <w:sz w:val="24"/>
        </w:rPr>
        <w:t xml:space="preserve">少人工巡检压力、降低信息化运维人力成本，全面提升校园数字化基础设施的精细化治理与智能化监测能力。</w:t>
      </w:r>
      <w:r/>
    </w:p>
    <w:p>
      <w:pPr>
        <w:ind w:firstLine="480"/>
        <w:spacing w:line="400" w:lineRule="exact"/>
        <w:tabs>
          <w:tab w:val="left" w:pos="1177" w:leader="none"/>
          <w:tab w:val="left" w:pos="1498" w:leader="none"/>
        </w:tabs>
        <w:rPr>
          <w:rFonts w:ascii="宋体" w:hAnsi="宋体"/>
          <w:b/>
          <w:sz w:val="24"/>
        </w:rPr>
      </w:pPr>
      <w:r>
        <w:rPr>
          <w:rFonts w:ascii="宋体" w:hAnsi="宋体"/>
          <w:color w:val="000000"/>
          <w:sz w:val="24"/>
        </w:rPr>
        <w:t xml:space="preserve">6.整体项目软硬件架构采用模块化、标准化、可扩展设计，具备良好的横向扩容与纵向迭代能力，能够支持设备扩容、功能升级、业务拓展等平滑改造。可充分适配 2025-2027年三年分阶段建设规划，满足未来校园业务系统持续迭代、数字化场景不断新增、数据规模持续增长的中长期发展需求。</w:t>
      </w:r>
      <w:r/>
    </w:p>
    <w:p>
      <w:pPr>
        <w:spacing w:line="360" w:lineRule="auto"/>
        <w:rPr>
          <w:rFonts w:ascii="宋体" w:hAnsi="宋体"/>
          <w:b/>
          <w:bCs/>
          <w:color w:val="000000"/>
          <w:sz w:val="24"/>
        </w:rPr>
      </w:pPr>
      <w:r>
        <w:rPr>
          <w:rFonts w:ascii="宋体" w:hAnsi="宋体"/>
          <w:b/>
          <w:bCs/>
          <w:color w:val="000000"/>
          <w:sz w:val="24"/>
        </w:rPr>
      </w:r>
      <w:r/>
    </w:p>
    <w:p>
      <w:pPr>
        <w:spacing w:line="360" w:lineRule="auto"/>
        <w:rPr>
          <w:rFonts w:ascii="宋体" w:hAnsi="宋体" w:cs="宋体"/>
          <w:b/>
          <w:sz w:val="24"/>
        </w:rPr>
      </w:pPr>
      <w:r>
        <w:rPr>
          <w:rFonts w:hint="eastAsia" w:ascii="宋体" w:hAnsi="宋体" w:cs="宋体"/>
          <w:b/>
          <w:sz w:val="24"/>
        </w:rPr>
        <w:t xml:space="preserve">六、采购清单与技术要求（加“★”标志为实质性响应指标不允许负偏离，否则按无效投标处理；加“▲”的指标为次重要响应指标，其他为一般响应指标）</w:t>
      </w:r>
      <w:r/>
    </w:p>
    <w:p>
      <w:pPr>
        <w:spacing w:line="360" w:lineRule="auto"/>
        <w:rPr>
          <w:rFonts w:ascii="宋体" w:hAnsi="宋体" w:cs="宋体"/>
          <w:b/>
          <w:sz w:val="24"/>
          <w:highlight w:val="yellow"/>
        </w:rPr>
      </w:pPr>
      <w:r>
        <w:rPr>
          <w:rFonts w:ascii="Segoe UI" w:hAnsi="Segoe UI" w:eastAsia="Segoe UI" w:cs="Segoe UI"/>
          <w:b/>
          <w:bCs/>
          <w:color w:val="0f1115"/>
          <w:sz w:val="24"/>
          <w:shd w:val="clear" w:color="auto" w:fill="ffffff"/>
        </w:rPr>
        <w:t xml:space="preserve">注：技术参数中要求提供技术指标证明材料的，投标人须在投标文件中按对应条款提供证明材料，并在《技术偏离表》中准确填写对应页码。未按招标文件要求提供证明材料的，视为负偏离；</w:t>
      </w:r>
      <w:r>
        <w:rPr>
          <w:rFonts w:hint="eastAsia" w:ascii="宋体" w:hAnsi="宋体" w:cs="宋体"/>
          <w:b/>
          <w:sz w:val="24"/>
        </w:rPr>
        <w:t xml:space="preserve">如经查证，供应商虚假响应的，将取消其中标资格并上报主管部门。</w:t>
      </w:r>
      <w:r/>
    </w:p>
    <w:p>
      <w:pPr>
        <w:spacing w:line="400" w:lineRule="exact"/>
        <w:rPr>
          <w:rFonts w:ascii="宋体" w:hAnsi="宋体"/>
          <w:b/>
          <w:sz w:val="24"/>
        </w:rPr>
      </w:pPr>
      <w:r/>
      <w:bookmarkStart w:id="5" w:name="heading_6"/>
      <w:r>
        <w:rPr>
          <w:rFonts w:ascii="宋体" w:hAnsi="宋体"/>
          <w:b/>
          <w:sz w:val="24"/>
        </w:rPr>
        <w:t xml:space="preserve">（一）分项一：零信任智慧校园统一接入平台</w:t>
      </w:r>
      <w:bookmarkEnd w:id="5"/>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33"/>
        <w:gridCol w:w="1135"/>
        <w:gridCol w:w="6095"/>
        <w:gridCol w:w="709"/>
        <w:gridCol w:w="732"/>
      </w:tblGrid>
      <w:tr>
        <w:trPr>
          <w:jc w:val="center"/>
        </w:trPr>
        <w:tc>
          <w:tcPr>
            <w:tcMar>
              <w:left w:w="120" w:type="dxa"/>
              <w:top w:w="60" w:type="dxa"/>
              <w:right w:w="120" w:type="dxa"/>
              <w:bottom w:w="30" w:type="dxa"/>
            </w:tcMar>
            <w:tcW w:w="733"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序号</w:t>
            </w:r>
            <w:r/>
          </w:p>
        </w:tc>
        <w:tc>
          <w:tcPr>
            <w:tcMar>
              <w:left w:w="120" w:type="dxa"/>
              <w:top w:w="60" w:type="dxa"/>
              <w:right w:w="120" w:type="dxa"/>
              <w:bottom w:w="30" w:type="dxa"/>
            </w:tcMar>
            <w:tcW w:w="1135"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品目名称</w:t>
            </w:r>
            <w:r/>
          </w:p>
        </w:tc>
        <w:tc>
          <w:tcPr>
            <w:tcMar>
              <w:left w:w="120" w:type="dxa"/>
              <w:top w:w="60" w:type="dxa"/>
              <w:right w:w="120" w:type="dxa"/>
              <w:bottom w:w="30" w:type="dxa"/>
            </w:tcMar>
            <w:tcW w:w="6095"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核心技术参数（★为实质性响应指标）</w:t>
            </w:r>
            <w:r/>
          </w:p>
        </w:tc>
        <w:tc>
          <w:tcPr>
            <w:tcMar>
              <w:left w:w="120" w:type="dxa"/>
              <w:top w:w="60" w:type="dxa"/>
              <w:right w:w="120" w:type="dxa"/>
              <w:bottom w:w="30" w:type="dxa"/>
            </w:tcMar>
            <w:tcW w:w="709"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数量</w:t>
            </w:r>
            <w:r/>
          </w:p>
        </w:tc>
        <w:tc>
          <w:tcPr>
            <w:tcMar>
              <w:left w:w="120" w:type="dxa"/>
              <w:top w:w="60" w:type="dxa"/>
              <w:right w:w="120" w:type="dxa"/>
              <w:bottom w:w="30" w:type="dxa"/>
            </w:tcMar>
            <w:tcW w:w="732"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单位</w:t>
            </w:r>
            <w:r/>
          </w:p>
        </w:tc>
      </w:tr>
      <w:tr>
        <w:trPr>
          <w:jc w:val="center"/>
        </w:trPr>
        <w:tc>
          <w:tcPr>
            <w:tcMar>
              <w:left w:w="120" w:type="dxa"/>
              <w:top w:w="60" w:type="dxa"/>
              <w:right w:w="120" w:type="dxa"/>
              <w:bottom w:w="30" w:type="dxa"/>
            </w:tcMar>
            <w:tcW w:w="733"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1</w:t>
            </w:r>
            <w:r/>
          </w:p>
        </w:tc>
        <w:tc>
          <w:tcPr>
            <w:tcMar>
              <w:left w:w="120" w:type="dxa"/>
              <w:top w:w="60" w:type="dxa"/>
              <w:right w:w="120" w:type="dxa"/>
              <w:bottom w:w="30" w:type="dxa"/>
            </w:tcMar>
            <w:tcW w:w="1135"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零信任控制中心</w:t>
            </w:r>
            <w:r/>
          </w:p>
        </w:tc>
        <w:tc>
          <w:tcPr>
            <w:tcMar>
              <w:left w:w="120" w:type="dxa"/>
              <w:top w:w="60" w:type="dxa"/>
              <w:right w:w="120" w:type="dxa"/>
              <w:bottom w:w="30" w:type="dxa"/>
            </w:tcMar>
            <w:tcW w:w="6095" w:type="dxa"/>
            <w:textDirection w:val="lrTb"/>
            <w:noWrap w:val="false"/>
          </w:tcPr>
          <w:p>
            <w:pPr>
              <w:numPr>
                <w:ilvl w:val="0"/>
                <w:numId w:val="1"/>
              </w:numPr>
              <w:contextualSpacing/>
              <w:jc w:val="left"/>
              <w:spacing w:before="120" w:after="120" w:line="288" w:lineRule="auto"/>
              <w:rPr>
                <w:rFonts w:ascii="宋体" w:hAnsi="宋体" w:cs="宋体"/>
                <w:szCs w:val="21"/>
              </w:rPr>
            </w:pPr>
            <w:r>
              <w:rPr>
                <w:rFonts w:hint="eastAsia" w:ascii="宋体" w:hAnsi="宋体" w:cs="宋体"/>
                <w:szCs w:val="21"/>
              </w:rPr>
              <w:t xml:space="preserve">★最大并发用户数≥2000，新建用户数≥60个/秒，实配接入授权数量≥1000；3年原厂软件升级、产品质保、3年移动封装服务。配置接口≥8个千兆电口，≥2个万兆光口，内存≥16GB，硬盘≥128GB SSD。</w:t>
            </w:r>
            <w:r/>
          </w:p>
          <w:p>
            <w:pPr>
              <w:numPr>
                <w:ilvl w:val="0"/>
                <w:numId w:val="1"/>
              </w:numPr>
              <w:contextualSpacing/>
              <w:jc w:val="left"/>
              <w:spacing w:before="120" w:after="120" w:line="288" w:lineRule="auto"/>
              <w:rPr>
                <w:rFonts w:ascii="宋体" w:hAnsi="宋体" w:cs="宋体"/>
                <w:szCs w:val="21"/>
              </w:rPr>
            </w:pPr>
            <w:r>
              <w:rPr>
                <w:rFonts w:hint="eastAsia" w:ascii="宋体" w:hAnsi="宋体" w:cs="宋体"/>
                <w:szCs w:val="21"/>
              </w:rPr>
              <w:t xml:space="preserve">控制中心与代理网关应支持分离部署，实现策略管理与流量转发的解耦，提升系统整体安全性。</w:t>
            </w:r>
            <w:r/>
          </w:p>
          <w:p>
            <w:pPr>
              <w:numPr>
                <w:ilvl w:val="0"/>
                <w:numId w:val="1"/>
              </w:numPr>
              <w:contextualSpacing/>
              <w:jc w:val="left"/>
              <w:spacing w:before="120" w:after="120" w:line="288" w:lineRule="auto"/>
              <w:rPr>
                <w:rFonts w:ascii="宋体" w:hAnsi="宋体" w:cs="宋体"/>
                <w:szCs w:val="21"/>
              </w:rPr>
            </w:pPr>
            <w:r>
              <w:rPr>
                <w:rFonts w:hint="eastAsia" w:ascii="宋体" w:hAnsi="宋体" w:cs="宋体"/>
                <w:szCs w:val="21"/>
              </w:rPr>
              <w:t xml:space="preserve">支持通过隧道方式基于TCP、UDP、ICMP等协议代理访问校内业务资源，支持发布IPv4/IPv6地址、地址范围、地址网段、具体域名及通配符域名等形式的服务器地址。</w:t>
            </w:r>
            <w:r/>
          </w:p>
          <w:p>
            <w:pPr>
              <w:numPr>
                <w:ilvl w:val="0"/>
                <w:numId w:val="1"/>
              </w:numPr>
              <w:contextualSpacing/>
              <w:jc w:val="left"/>
              <w:spacing w:before="120" w:after="120" w:line="288" w:lineRule="auto"/>
              <w:rPr>
                <w:rFonts w:ascii="宋体" w:hAnsi="宋体" w:cs="宋体"/>
                <w:szCs w:val="21"/>
              </w:rPr>
            </w:pPr>
            <w:r>
              <w:rPr>
                <w:rFonts w:hint="eastAsia" w:ascii="宋体" w:hAnsi="宋体" w:cs="宋体"/>
                <w:szCs w:val="21"/>
              </w:rPr>
              <w:t xml:space="preserve">同一资源支持发布多个服务器地址；管理员可根据业务特点，自主选择“保持在线连接”或“按需重新连接”的访问方式。</w:t>
            </w:r>
            <w:r/>
          </w:p>
          <w:p>
            <w:pPr>
              <w:numPr>
                <w:ilvl w:val="0"/>
                <w:numId w:val="1"/>
              </w:numPr>
              <w:contextualSpacing/>
              <w:jc w:val="left"/>
              <w:spacing w:before="120" w:after="120" w:line="288" w:lineRule="auto"/>
              <w:rPr>
                <w:rFonts w:ascii="宋体" w:hAnsi="宋体" w:cs="宋体"/>
                <w:szCs w:val="21"/>
              </w:rPr>
            </w:pPr>
            <w:r>
              <w:rPr>
                <w:rFonts w:hint="eastAsia" w:ascii="宋体" w:hAnsi="宋体" w:cs="宋体"/>
                <w:szCs w:val="21"/>
              </w:rPr>
              <w:t xml:space="preserve">支持以网页</w:t>
            </w:r>
            <w:r>
              <w:rPr>
                <w:rFonts w:hint="eastAsia" w:ascii="宋体" w:hAnsi="宋体" w:cs="宋体"/>
                <w:szCs w:val="21"/>
                <w:highlight w:val="none"/>
              </w:rPr>
              <w:t xml:space="preserve">方式基于HTTP/HTTPS协议代</w:t>
            </w:r>
            <w:r>
              <w:rPr>
                <w:rFonts w:hint="eastAsia" w:ascii="宋体" w:hAnsi="宋体" w:cs="宋体"/>
                <w:szCs w:val="21"/>
              </w:rPr>
              <w:t xml:space="preserve">理访问业务资源，可发布IPv4、IPv6地址或域名形式的后端服务器地址，可配置业务应用的访问路径。</w:t>
            </w:r>
            <w:r/>
          </w:p>
          <w:p>
            <w:pPr>
              <w:numPr>
                <w:ilvl w:val="0"/>
                <w:numId w:val="1"/>
              </w:numPr>
              <w:contextualSpacing/>
              <w:jc w:val="left"/>
              <w:spacing w:before="120" w:after="120" w:line="288" w:lineRule="auto"/>
              <w:rPr>
                <w:rFonts w:ascii="宋体" w:hAnsi="宋体" w:cs="宋体"/>
                <w:szCs w:val="21"/>
              </w:rPr>
            </w:pPr>
            <w:r>
              <w:rPr>
                <w:rFonts w:hint="eastAsia" w:ascii="宋体" w:hAnsi="宋体" w:cs="宋体"/>
                <w:szCs w:val="21"/>
              </w:rPr>
              <w:t xml:space="preserve">支持点击工作台应用直接打开对应程序（浏览器、远程桌面等），兼容Windows、macOS及统信UOS、麒麟、中科方德、Ubuntu等主流操作系统；支持带启动参数自动访问指定地址。</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szCs w:val="21"/>
              </w:rPr>
              <w:t xml:space="preserve">▲支持以内网DNS域名解析方式发布校内资源，无需额外采购DNS服务即可用域名访问内网资源，管理员可自主配置允许从具体网络区域（局域网/互联网）接入时使用该解析。</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支持应用访问权限自助申请，应用管理员可对待审批应用进行批准或驳回，支持批量操作。</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lang w:val="zh-TW"/>
              </w:rPr>
              <w:t xml:space="preserve">▲</w:t>
            </w:r>
            <w:r>
              <w:rPr>
                <w:rFonts w:hint="eastAsia" w:ascii="宋体" w:hAnsi="宋体" w:cs="宋体"/>
                <w:color w:val="auto"/>
                <w:szCs w:val="21"/>
              </w:rPr>
              <w:t xml:space="preserve">客户端需兼容主流国产CPU与国产操作系统的组合（含麒麟V10、统信V20、中科方德等，龙芯、飞腾、鲲鹏、兆芯、海光、海思麒麟等CPU），需提供兼容性证明。</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隧道应具备抗丢包、抗抖动、稳定传输的能力，实现弱网访问加速。</w:t>
            </w:r>
            <w:r/>
          </w:p>
          <w:p>
            <w:pPr>
              <w:numPr>
                <w:ilvl w:val="0"/>
                <w:numId w:val="1"/>
              </w:numPr>
              <w:contextualSpacing/>
              <w:jc w:val="left"/>
              <w:spacing w:before="120" w:after="120" w:line="288" w:lineRule="auto"/>
              <w:rPr>
                <w:rFonts w:ascii="宋体" w:hAnsi="宋体" w:cs="宋体"/>
                <w:b/>
                <w:bCs/>
                <w:color w:val="auto"/>
                <w:szCs w:val="21"/>
              </w:rPr>
            </w:pPr>
            <w:r>
              <w:rPr>
                <w:rFonts w:hint="eastAsia" w:ascii="宋体" w:hAnsi="宋体" w:cs="宋体"/>
                <w:color w:val="auto"/>
                <w:szCs w:val="21"/>
              </w:rPr>
              <w:t xml:space="preserve">▲代理访问资源时应具备延迟优化能力，代理访问时延迟不增加或极少增加。</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支持不同平台终端同时在线，管理员可分别设置可同时在线的PC或移动终端个数（0-1000），超过上限时可注销最早登录的终端并有对应注销提醒；</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支持本地账号密码、LDAP/AD、OAuth2.0、CAS、Radius、HTTPS、证书、短信、动态口令、TOTP动态令牌等多种认证方式；</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可配置在触发异常环境时要求用户完成二次验证才可登录，异常环境包括但不限于账号首次登录、首次在终端/地点登录、异地登录、闲置账号登录、弱密码登录、异常时间登录等。</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▲支持与学校统一身份认证系统进行单点登录对接，通过登录凭证/票据的安全传递实现身份互信，支持反向授权及凭证注入等多种对接模式。</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动态访问控制策略支持阻止访问、注销登录、锁定账号等处置动作，并可自定义提示语；</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▲PC端和移动端均支持通过安全码激活客户端后进行单包授权（SPA）敲门连接，安全码支持共享码、一人一码、一次一码等模式并支持短信分发。</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支持用户登录日志（登录、注销，含MAC地址、终端类型、浏览器类型等）</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▲支持对设备自身安全状态和策略配置进行巡检，统计正常项、异常项和告警项并输出巡检报告。</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对于创建后长时间未使用、长时间不登录或登录后长时间不使用的用户账号，支持检测并判定为闲置账号。</w:t>
            </w:r>
            <w:r/>
          </w:p>
          <w:p>
            <w:pPr>
              <w:numPr>
                <w:ilvl w:val="0"/>
                <w:numId w:val="1"/>
              </w:numPr>
              <w:contextualSpacing/>
              <w:jc w:val="left"/>
              <w:spacing w:before="120" w:after="120" w:line="288" w:lineRule="auto"/>
              <w:rPr>
                <w:rFonts w:ascii="宋体" w:hAnsi="宋体" w:cs="宋体"/>
                <w:color w:val="auto"/>
                <w:szCs w:val="21"/>
              </w:rPr>
            </w:pPr>
            <w:r>
              <w:rPr>
                <w:rFonts w:hint="eastAsia" w:ascii="宋体" w:hAnsi="宋体" w:cs="宋体"/>
                <w:color w:val="auto"/>
                <w:szCs w:val="21"/>
              </w:rPr>
              <w:t xml:space="preserve">▲可设置检测到闲置账号后是否自动锁定，支持锁定后手动恢复账号状态。</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1"/>
              </w:numPr>
              <w:contextualSpacing/>
              <w:jc w:val="left"/>
              <w:spacing w:before="120" w:after="120" w:line="288" w:lineRule="auto"/>
              <w:rPr>
                <w:rFonts w:ascii="宋体" w:hAnsi="宋体" w:cs="宋体"/>
                <w:szCs w:val="21"/>
              </w:rPr>
            </w:pPr>
            <w:r>
              <w:rPr>
                <w:rFonts w:hint="eastAsia" w:ascii="宋体" w:hAnsi="宋体" w:cs="宋体"/>
                <w:color w:val="auto"/>
                <w:szCs w:val="21"/>
              </w:rPr>
              <w:t xml:space="preserve">▲为保障产品接入互联网的安全合规性，提供公安部颁发的《网络安全专用产品安全检测证书》。</w:t>
            </w:r>
            <w:r>
              <w:rPr>
                <w:rFonts w:hint="eastAsia" w:ascii="宋体" w:hAnsi="宋体" w:cs="宋体"/>
                <w:b/>
                <w:bCs/>
                <w:color w:val="auto"/>
                <w:szCs w:val="21"/>
                <w:highlight w:val="none"/>
              </w:rPr>
              <w:t xml:space="preserve">（投标文件中需提供证书扫描件）</w:t>
            </w:r>
            <w:r/>
          </w:p>
        </w:tc>
        <w:tc>
          <w:tcPr>
            <w:tcMar>
              <w:left w:w="120" w:type="dxa"/>
              <w:top w:w="60" w:type="dxa"/>
              <w:right w:w="120" w:type="dxa"/>
              <w:bottom w:w="30" w:type="dxa"/>
            </w:tcMar>
            <w:tcW w:w="709"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1</w:t>
            </w:r>
            <w:r/>
          </w:p>
        </w:tc>
        <w:tc>
          <w:tcPr>
            <w:tcMar>
              <w:left w:w="120" w:type="dxa"/>
              <w:top w:w="60" w:type="dxa"/>
              <w:right w:w="120" w:type="dxa"/>
              <w:bottom w:w="30" w:type="dxa"/>
            </w:tcMar>
            <w:tcW w:w="732"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台</w:t>
            </w:r>
            <w:r/>
          </w:p>
        </w:tc>
      </w:tr>
      <w:tr>
        <w:trPr>
          <w:jc w:val="center"/>
        </w:trPr>
        <w:tc>
          <w:tcPr>
            <w:tcMar>
              <w:left w:w="120" w:type="dxa"/>
              <w:top w:w="60" w:type="dxa"/>
              <w:right w:w="120" w:type="dxa"/>
              <w:bottom w:w="30" w:type="dxa"/>
            </w:tcMar>
            <w:tcW w:w="733"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2</w:t>
            </w:r>
            <w:r/>
          </w:p>
        </w:tc>
        <w:tc>
          <w:tcPr>
            <w:tcMar>
              <w:left w:w="120" w:type="dxa"/>
              <w:top w:w="60" w:type="dxa"/>
              <w:right w:w="120" w:type="dxa"/>
              <w:bottom w:w="30" w:type="dxa"/>
            </w:tcMar>
            <w:tcW w:w="1135" w:type="dxa"/>
            <w:textDirection w:val="lrTb"/>
            <w:noWrap w:val="false"/>
          </w:tcPr>
          <w:p>
            <w:pPr>
              <w:jc w:val="center"/>
              <w:spacing w:before="120" w:after="120" w:line="288" w:lineRule="auto"/>
              <w:rPr>
                <w:rFonts w:ascii="宋体" w:hAnsi="宋体" w:cs="宋体"/>
                <w:szCs w:val="21"/>
              </w:rPr>
            </w:pPr>
            <w:r>
              <w:rPr>
                <w:rFonts w:hint="eastAsia" w:ascii="宋体" w:hAnsi="宋体" w:cs="宋体"/>
                <w:szCs w:val="21"/>
              </w:rPr>
              <w:t xml:space="preserve">零信任代理网关</w:t>
            </w:r>
            <w:r/>
          </w:p>
        </w:tc>
        <w:tc>
          <w:tcPr>
            <w:tcMar>
              <w:left w:w="120" w:type="dxa"/>
              <w:top w:w="60" w:type="dxa"/>
              <w:right w:w="120" w:type="dxa"/>
              <w:bottom w:w="30" w:type="dxa"/>
            </w:tcMar>
            <w:tcW w:w="6095" w:type="dxa"/>
            <w:textDirection w:val="lrTb"/>
            <w:noWrap w:val="false"/>
          </w:tcPr>
          <w:p>
            <w:pPr>
              <w:numPr>
                <w:ilvl w:val="0"/>
                <w:numId w:val="2"/>
              </w:numPr>
              <w:contextualSpacing/>
              <w:rPr>
                <w:rFonts w:ascii="宋体" w:hAnsi="宋体" w:cs="宋体"/>
                <w:szCs w:val="21"/>
              </w:rPr>
            </w:pPr>
            <w:r>
              <w:rPr>
                <w:rFonts w:hint="eastAsia" w:ascii="宋体" w:hAnsi="宋体" w:cs="宋体"/>
                <w:szCs w:val="21"/>
              </w:rPr>
              <w:t xml:space="preserve">★最大加密流量≥300Mbps，最大并发用户数≥3000，新建连接数≥400个/秒，最大并发连接数≥30000；3年原厂软件升级和产品质保。配置接口≥8个</w:t>
            </w:r>
            <w:r>
              <w:rPr>
                <w:rFonts w:hint="eastAsia" w:ascii="宋体" w:hAnsi="宋体" w:cs="宋体"/>
                <w:szCs w:val="21"/>
                <w:highlight w:val="none"/>
              </w:rPr>
              <w:t xml:space="preserve">千兆电口</w:t>
            </w:r>
            <w:r>
              <w:rPr>
                <w:rFonts w:hint="eastAsia" w:ascii="宋体" w:hAnsi="宋体" w:cs="宋体"/>
                <w:szCs w:val="21"/>
              </w:rPr>
              <w:t xml:space="preserve">、≥2个万兆光口，内存≥16GB，磁盘≥128GB SSD。</w:t>
            </w:r>
            <w:r/>
          </w:p>
          <w:p>
            <w:pPr>
              <w:numPr>
                <w:ilvl w:val="0"/>
                <w:numId w:val="2"/>
              </w:numPr>
              <w:contextualSpacing/>
              <w:rPr>
                <w:rFonts w:ascii="宋体" w:hAnsi="宋体" w:cs="宋体"/>
                <w:szCs w:val="21"/>
              </w:rPr>
            </w:pPr>
            <w:r>
              <w:rPr>
                <w:rFonts w:hint="eastAsia" w:ascii="宋体" w:hAnsi="宋体" w:cs="宋体"/>
                <w:szCs w:val="21"/>
              </w:rPr>
              <w:t xml:space="preserve">控制中心与代理网关支持分离部署，将访问控制管理与数据转发分开部署，提升系统安全性。</w:t>
            </w:r>
            <w:r/>
          </w:p>
          <w:p>
            <w:pPr>
              <w:numPr>
                <w:ilvl w:val="0"/>
                <w:numId w:val="2"/>
              </w:numPr>
              <w:contextualSpacing/>
              <w:rPr>
                <w:rFonts w:ascii="宋体" w:hAnsi="宋体" w:cs="宋体"/>
                <w:szCs w:val="21"/>
              </w:rPr>
            </w:pPr>
            <w:r>
              <w:rPr>
                <w:rFonts w:hint="eastAsia" w:ascii="宋体" w:hAnsi="宋体" w:cs="宋体"/>
                <w:szCs w:val="21"/>
              </w:rPr>
              <w:t xml:space="preserve">支持新增/删除/修改管理组，内置审计管理员、安全管理员、系统管理员等管理组，通过管理组权限配置实现分级分权。</w:t>
            </w:r>
            <w:r/>
          </w:p>
          <w:p>
            <w:pPr>
              <w:numPr>
                <w:ilvl w:val="0"/>
                <w:numId w:val="2"/>
              </w:numPr>
              <w:contextualSpacing/>
              <w:rPr>
                <w:rFonts w:ascii="宋体" w:hAnsi="宋体" w:cs="宋体"/>
                <w:szCs w:val="21"/>
              </w:rPr>
            </w:pPr>
            <w:r>
              <w:rPr>
                <w:rFonts w:hint="eastAsia" w:ascii="宋体" w:hAnsi="宋体" w:cs="宋体"/>
                <w:szCs w:val="21"/>
              </w:rPr>
              <w:t xml:space="preserve">至少支持对模块配置只读或完全控制两种权限。</w:t>
            </w:r>
            <w:r/>
          </w:p>
          <w:p>
            <w:pPr>
              <w:numPr>
                <w:ilvl w:val="0"/>
                <w:numId w:val="2"/>
              </w:numPr>
              <w:contextualSpacing/>
              <w:rPr>
                <w:rFonts w:ascii="宋体" w:hAnsi="宋体" w:cs="宋体"/>
                <w:color w:val="auto"/>
                <w:szCs w:val="21"/>
              </w:rPr>
            </w:pPr>
            <w:r>
              <w:rPr>
                <w:rFonts w:hint="eastAsia" w:ascii="宋体" w:hAnsi="宋体" w:cs="宋体"/>
                <w:szCs w:val="21"/>
              </w:rPr>
              <w:t xml:space="preserve">▲支持提取用户安全日志，将具有异常登录行为的用户标记，便于管理员快速审计定位。用户安全日志包括但不限于账号安全、中间人攻击、单包授权安全、浏览器会话劫持</w:t>
            </w:r>
            <w:r>
              <w:rPr>
                <w:rFonts w:hint="eastAsia" w:ascii="宋体" w:hAnsi="宋体" w:cs="宋体"/>
                <w:color w:val="auto"/>
                <w:szCs w:val="21"/>
              </w:rPr>
              <w:t xml:space="preserve">等。</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2"/>
              </w:numPr>
              <w:contextualSpacing/>
              <w:rPr>
                <w:rFonts w:ascii="宋体" w:hAnsi="宋体" w:cs="宋体"/>
                <w:color w:val="auto"/>
                <w:szCs w:val="21"/>
              </w:rPr>
            </w:pPr>
            <w:r>
              <w:rPr>
                <w:rFonts w:hint="eastAsia" w:ascii="宋体" w:hAnsi="宋体" w:cs="宋体"/>
                <w:color w:val="auto"/>
                <w:szCs w:val="21"/>
              </w:rPr>
              <w:t xml:space="preserve">支持将用户访问网页资源的流量解密后镜像给安全运营平台，完善用户行为审计溯源能力</w:t>
            </w:r>
            <w:r/>
          </w:p>
          <w:p>
            <w:pPr>
              <w:numPr>
                <w:ilvl w:val="0"/>
                <w:numId w:val="2"/>
              </w:numPr>
              <w:contextualSpacing/>
              <w:rPr>
                <w:rFonts w:ascii="宋体" w:hAnsi="宋体" w:cs="宋体"/>
                <w:color w:val="auto"/>
                <w:szCs w:val="21"/>
              </w:rPr>
            </w:pPr>
            <w:r>
              <w:rPr>
                <w:rFonts w:hint="eastAsia" w:ascii="宋体" w:hAnsi="宋体" w:cs="宋体"/>
                <w:color w:val="auto"/>
                <w:szCs w:val="21"/>
              </w:rPr>
              <w:t xml:space="preserve">支持将设备安全事件单独记录在设备安全日志中，事件类型包括但不限于：接口扫描、接口webshell攻击、接口参数爆破、接口越权调用等设备API防护日志。</w:t>
            </w:r>
            <w:r/>
          </w:p>
          <w:p>
            <w:pPr>
              <w:numPr>
                <w:ilvl w:val="0"/>
                <w:numId w:val="2"/>
              </w:numPr>
              <w:contextualSpacing/>
              <w:rPr>
                <w:rFonts w:ascii="宋体" w:hAnsi="宋体" w:cs="宋体"/>
                <w:color w:val="auto"/>
                <w:szCs w:val="21"/>
              </w:rPr>
            </w:pPr>
            <w:r>
              <w:rPr>
                <w:rFonts w:hint="eastAsia" w:ascii="宋体" w:hAnsi="宋体" w:cs="宋体"/>
                <w:color w:val="auto"/>
                <w:szCs w:val="21"/>
              </w:rPr>
              <w:t xml:space="preserve">支持防机器人登录的图形验证码，验证码支持中文和英文。</w:t>
            </w:r>
            <w:r/>
          </w:p>
          <w:p>
            <w:pPr>
              <w:numPr>
                <w:ilvl w:val="0"/>
                <w:numId w:val="2"/>
              </w:numPr>
              <w:contextualSpacing/>
              <w:rPr>
                <w:rFonts w:ascii="宋体" w:hAnsi="宋体" w:cs="宋体"/>
                <w:color w:val="auto"/>
                <w:szCs w:val="21"/>
              </w:rPr>
            </w:pPr>
            <w:r>
              <w:rPr>
                <w:rFonts w:hint="eastAsia" w:ascii="宋体" w:hAnsi="宋体" w:cs="宋体"/>
                <w:color w:val="auto"/>
                <w:szCs w:val="21"/>
              </w:rPr>
              <w:t xml:space="preserve">支持系统运行记录器及核心服务状态检测。</w:t>
            </w:r>
            <w:r/>
          </w:p>
          <w:p>
            <w:pPr>
              <w:numPr>
                <w:ilvl w:val="0"/>
                <w:numId w:val="2"/>
              </w:numPr>
              <w:contextualSpacing/>
              <w:rPr>
                <w:rFonts w:ascii="宋体" w:hAnsi="宋体" w:cs="宋体"/>
                <w:color w:val="auto"/>
                <w:szCs w:val="21"/>
              </w:rPr>
            </w:pPr>
            <w:r>
              <w:rPr>
                <w:rFonts w:hint="eastAsia" w:ascii="宋体" w:hAnsi="宋体" w:cs="宋体"/>
                <w:color w:val="auto"/>
                <w:szCs w:val="21"/>
              </w:rPr>
              <w:t xml:space="preserve">支持CPU负载、内存负载、磁盘空间、网卡健康、硬盘健康、网卡日志、BIOS固件等硬件相关状态的检测。</w:t>
            </w:r>
            <w:r/>
          </w:p>
          <w:p>
            <w:pPr>
              <w:numPr>
                <w:ilvl w:val="0"/>
                <w:numId w:val="2"/>
              </w:numPr>
              <w:contextualSpacing/>
              <w:rPr>
                <w:rFonts w:ascii="宋体" w:hAnsi="宋体" w:cs="宋体"/>
                <w:szCs w:val="21"/>
              </w:rPr>
            </w:pPr>
            <w:r>
              <w:rPr>
                <w:rFonts w:hint="eastAsia" w:ascii="宋体" w:hAnsi="宋体" w:cs="宋体"/>
                <w:color w:val="auto"/>
                <w:szCs w:val="21"/>
              </w:rPr>
              <w:t xml:space="preserve">▲支持软件版本及补丁修复状态等检测。</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tc>
        <w:tc>
          <w:tcPr>
            <w:tcMar>
              <w:left w:w="120" w:type="dxa"/>
              <w:top w:w="60" w:type="dxa"/>
              <w:right w:w="120" w:type="dxa"/>
              <w:bottom w:w="30" w:type="dxa"/>
            </w:tcMar>
            <w:tcW w:w="709" w:type="dxa"/>
            <w:textDirection w:val="lrTb"/>
            <w:noWrap w:val="false"/>
          </w:tcPr>
          <w:p>
            <w:pPr>
              <w:jc w:val="left"/>
              <w:spacing w:before="120" w:after="120" w:line="288" w:lineRule="auto"/>
              <w:rPr>
                <w:rFonts w:ascii="宋体" w:hAnsi="宋体" w:cs="宋体"/>
                <w:szCs w:val="21"/>
              </w:rPr>
            </w:pPr>
            <w:r>
              <w:rPr>
                <w:rFonts w:hint="eastAsia" w:ascii="宋体" w:hAnsi="宋体" w:cs="宋体"/>
                <w:szCs w:val="21"/>
              </w:rPr>
              <w:t xml:space="preserve">1</w:t>
            </w:r>
            <w:r/>
          </w:p>
        </w:tc>
        <w:tc>
          <w:tcPr>
            <w:tcMar>
              <w:left w:w="120" w:type="dxa"/>
              <w:top w:w="60" w:type="dxa"/>
              <w:right w:w="120" w:type="dxa"/>
              <w:bottom w:w="30" w:type="dxa"/>
            </w:tcMar>
            <w:tcW w:w="732" w:type="dxa"/>
            <w:textDirection w:val="lrTb"/>
            <w:noWrap w:val="false"/>
          </w:tcPr>
          <w:p>
            <w:pPr>
              <w:jc w:val="left"/>
              <w:spacing w:before="120" w:after="120" w:line="288" w:lineRule="auto"/>
              <w:rPr>
                <w:rFonts w:ascii="宋体" w:hAnsi="宋体" w:cs="宋体"/>
                <w:szCs w:val="21"/>
              </w:rPr>
            </w:pPr>
            <w:r>
              <w:rPr>
                <w:rFonts w:hint="eastAsia" w:ascii="宋体" w:hAnsi="宋体" w:cs="宋体"/>
                <w:szCs w:val="21"/>
              </w:rPr>
              <w:t xml:space="preserve">台</w:t>
            </w:r>
            <w:r/>
          </w:p>
        </w:tc>
      </w:tr>
    </w:tbl>
    <w:p>
      <w:pPr>
        <w:ind w:firstLine="482"/>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t xml:space="preserve">（二）分项二：超融合云计算平台</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09"/>
        <w:gridCol w:w="1170"/>
        <w:gridCol w:w="6095"/>
        <w:gridCol w:w="684"/>
        <w:gridCol w:w="768"/>
      </w:tblGrid>
      <w:tr>
        <w:trPr>
          <w:jc w:val="center"/>
        </w:trPr>
        <w:tc>
          <w:tcPr>
            <w:tcMar>
              <w:left w:w="120" w:type="dxa"/>
              <w:top w:w="60" w:type="dxa"/>
              <w:right w:w="120" w:type="dxa"/>
              <w:bottom w:w="30" w:type="dxa"/>
            </w:tcMar>
            <w:tcW w:w="709" w:type="dxa"/>
            <w:textDirection w:val="lrTb"/>
            <w:noWrap w:val="false"/>
          </w:tcPr>
          <w:p>
            <w:pPr>
              <w:jc w:val="center"/>
              <w:spacing w:before="120" w:after="120" w:line="288" w:lineRule="auto"/>
            </w:pPr>
            <w:r>
              <w:rPr>
                <w:rFonts w:ascii="Arial" w:hAnsi="Arial" w:eastAsia="等线" w:cs="Arial"/>
                <w:sz w:val="22"/>
              </w:rPr>
              <w:t xml:space="preserve">序号</w:t>
            </w:r>
            <w:r/>
          </w:p>
        </w:tc>
        <w:tc>
          <w:tcPr>
            <w:tcMar>
              <w:left w:w="120" w:type="dxa"/>
              <w:top w:w="60" w:type="dxa"/>
              <w:right w:w="120" w:type="dxa"/>
              <w:bottom w:w="30" w:type="dxa"/>
            </w:tcMar>
            <w:tcW w:w="1170" w:type="dxa"/>
            <w:textDirection w:val="lrTb"/>
            <w:noWrap w:val="false"/>
          </w:tcPr>
          <w:p>
            <w:pPr>
              <w:jc w:val="center"/>
              <w:spacing w:before="120" w:after="120" w:line="288" w:lineRule="auto"/>
            </w:pPr>
            <w:r>
              <w:rPr>
                <w:rFonts w:ascii="Arial" w:hAnsi="Arial" w:eastAsia="等线" w:cs="Arial"/>
                <w:sz w:val="22"/>
              </w:rPr>
              <w:t xml:space="preserve">品目名称</w:t>
            </w:r>
            <w:r/>
          </w:p>
        </w:tc>
        <w:tc>
          <w:tcPr>
            <w:tcMar>
              <w:left w:w="120" w:type="dxa"/>
              <w:top w:w="60" w:type="dxa"/>
              <w:right w:w="120" w:type="dxa"/>
              <w:bottom w:w="30" w:type="dxa"/>
            </w:tcMar>
            <w:tcW w:w="6095" w:type="dxa"/>
            <w:textDirection w:val="lrTb"/>
            <w:noWrap w:val="false"/>
          </w:tcPr>
          <w:p>
            <w:pPr>
              <w:jc w:val="center"/>
              <w:spacing w:before="120" w:after="120" w:line="288" w:lineRule="auto"/>
            </w:pPr>
            <w:r>
              <w:rPr>
                <w:rFonts w:ascii="Arial" w:hAnsi="Arial" w:eastAsia="等线" w:cs="Arial"/>
                <w:sz w:val="22"/>
              </w:rPr>
              <w:t xml:space="preserve">核心技术参数（</w:t>
            </w:r>
            <w:r>
              <w:rPr>
                <w:rFonts w:hint="eastAsia" w:ascii="Arial" w:hAnsi="Arial" w:eastAsia="等线" w:cs="Arial"/>
                <w:sz w:val="22"/>
              </w:rPr>
              <w:t xml:space="preserve">★为实质性响应指标</w:t>
            </w:r>
            <w:r>
              <w:rPr>
                <w:rFonts w:ascii="Arial" w:hAnsi="Arial" w:eastAsia="等线" w:cs="Arial"/>
                <w:sz w:val="22"/>
              </w:rPr>
              <w:t xml:space="preserve">）</w:t>
            </w:r>
            <w:r/>
          </w:p>
        </w:tc>
        <w:tc>
          <w:tcPr>
            <w:tcMar>
              <w:left w:w="120" w:type="dxa"/>
              <w:top w:w="60" w:type="dxa"/>
              <w:right w:w="120" w:type="dxa"/>
              <w:bottom w:w="30" w:type="dxa"/>
            </w:tcMar>
            <w:tcW w:w="684" w:type="dxa"/>
            <w:textDirection w:val="lrTb"/>
            <w:noWrap w:val="false"/>
          </w:tcPr>
          <w:p>
            <w:pPr>
              <w:jc w:val="center"/>
              <w:spacing w:before="120" w:after="120" w:line="288" w:lineRule="auto"/>
            </w:pPr>
            <w:r>
              <w:rPr>
                <w:rFonts w:ascii="Arial" w:hAnsi="Arial" w:eastAsia="等线" w:cs="Arial"/>
                <w:sz w:val="22"/>
              </w:rPr>
              <w:t xml:space="preserve">数量</w:t>
            </w:r>
            <w:r/>
          </w:p>
        </w:tc>
        <w:tc>
          <w:tcPr>
            <w:tcMar>
              <w:left w:w="120" w:type="dxa"/>
              <w:top w:w="60" w:type="dxa"/>
              <w:right w:w="120" w:type="dxa"/>
              <w:bottom w:w="30" w:type="dxa"/>
            </w:tcMar>
            <w:tcW w:w="768" w:type="dxa"/>
            <w:textDirection w:val="lrTb"/>
            <w:noWrap w:val="false"/>
          </w:tcPr>
          <w:p>
            <w:pPr>
              <w:jc w:val="center"/>
              <w:spacing w:before="120" w:after="120" w:line="288" w:lineRule="auto"/>
            </w:pPr>
            <w:r>
              <w:rPr>
                <w:rFonts w:ascii="Arial" w:hAnsi="Arial" w:eastAsia="等线" w:cs="Arial"/>
                <w:sz w:val="22"/>
              </w:rPr>
              <w:t xml:space="preserve">单位</w:t>
            </w:r>
            <w:r/>
          </w:p>
        </w:tc>
      </w:tr>
      <w:tr>
        <w:trPr>
          <w:jc w:val="center"/>
        </w:trPr>
        <w:tc>
          <w:tcPr>
            <w:tcMar>
              <w:left w:w="120" w:type="dxa"/>
              <w:top w:w="60" w:type="dxa"/>
              <w:right w:w="120" w:type="dxa"/>
              <w:bottom w:w="30" w:type="dxa"/>
            </w:tcMar>
            <w:tcW w:w="709" w:type="dxa"/>
            <w:textDirection w:val="lrTb"/>
            <w:noWrap w:val="false"/>
          </w:tcPr>
          <w:p>
            <w:pPr>
              <w:jc w:val="center"/>
              <w:spacing w:before="120" w:after="120" w:line="288" w:lineRule="auto"/>
            </w:pPr>
            <w:r>
              <w:rPr>
                <w:rFonts w:hint="eastAsia"/>
              </w:rPr>
              <w:t xml:space="preserve">1</w:t>
            </w:r>
            <w:r/>
          </w:p>
        </w:tc>
        <w:tc>
          <w:tcPr>
            <w:tcMar>
              <w:left w:w="120" w:type="dxa"/>
              <w:top w:w="60" w:type="dxa"/>
              <w:right w:w="120" w:type="dxa"/>
              <w:bottom w:w="30" w:type="dxa"/>
            </w:tcMar>
            <w:tcW w:w="1170" w:type="dxa"/>
            <w:textDirection w:val="lrTb"/>
            <w:noWrap w:val="false"/>
          </w:tcPr>
          <w:p>
            <w:pPr>
              <w:jc w:val="center"/>
              <w:spacing w:before="120" w:after="120" w:line="288" w:lineRule="auto"/>
            </w:pPr>
            <w:r>
              <w:t xml:space="preserve">超融合云计算平台</w:t>
            </w:r>
            <w:r>
              <w:rPr>
                <w:rFonts w:hint="eastAsia"/>
                <w:b/>
                <w:bCs/>
                <w:color w:val="auto"/>
              </w:rPr>
              <w:t xml:space="preserve">（核心产品）</w:t>
            </w:r>
            <w:r/>
          </w:p>
        </w:tc>
        <w:tc>
          <w:tcPr>
            <w:tcMar>
              <w:left w:w="120" w:type="dxa"/>
              <w:top w:w="60" w:type="dxa"/>
              <w:right w:w="120" w:type="dxa"/>
              <w:bottom w:w="30" w:type="dxa"/>
            </w:tcMar>
            <w:tcW w:w="6095" w:type="dxa"/>
            <w:textDirection w:val="lrTb"/>
            <w:noWrap w:val="false"/>
          </w:tcPr>
          <w:p>
            <w:pPr>
              <w:numPr>
                <w:ilvl w:val="0"/>
                <w:numId w:val="3"/>
              </w:numPr>
              <w:contextualSpacing/>
              <w:rPr>
                <w:rFonts w:ascii="Calibri" w:hAnsi="Calibri"/>
                <w:szCs w:val="22"/>
              </w:rPr>
            </w:pPr>
            <w:r>
              <w:rPr>
                <w:rFonts w:hint="eastAsia" w:ascii="宋体" w:hAnsi="宋体" w:cs="宋体"/>
                <w:sz w:val="22"/>
                <w:szCs w:val="22"/>
              </w:rPr>
              <w:t xml:space="preserve">★</w:t>
            </w:r>
            <w:r>
              <w:rPr>
                <w:rFonts w:hint="eastAsia" w:ascii="Calibri" w:hAnsi="Calibri"/>
                <w:szCs w:val="22"/>
              </w:rPr>
              <w:t xml:space="preserve">硬件配置要求：标准2U机架设备，Intel CPU≥2颗16C，主频≥2.9GHz，内存≥512GB，系统盘≥2块480GB SATA SSD，缓存盘≥2块1.92TB SSD，数据盘≥2块8TB机械硬盘，标配盘位≥12，电源：冗余电源，接口≥6千兆电口+2万兆光口（满配万兆多模光模块、光纤跳线及网线），3年原厂产品质保。</w:t>
            </w:r>
            <w:r/>
          </w:p>
          <w:p>
            <w:pPr>
              <w:numPr>
                <w:ilvl w:val="0"/>
                <w:numId w:val="3"/>
              </w:numPr>
              <w:contextualSpacing/>
              <w:rPr>
                <w:rFonts w:ascii="Calibri" w:hAnsi="Calibri"/>
                <w:szCs w:val="22"/>
              </w:rPr>
            </w:pPr>
            <w:r>
              <w:rPr>
                <w:rFonts w:hint="eastAsia" w:ascii="宋体" w:hAnsi="宋体" w:cs="宋体"/>
                <w:sz w:val="22"/>
                <w:szCs w:val="22"/>
              </w:rPr>
              <w:t xml:space="preserve">★</w:t>
            </w:r>
            <w:r>
              <w:rPr>
                <w:rFonts w:hint="eastAsia" w:ascii="Calibri" w:hAnsi="Calibri"/>
                <w:szCs w:val="22"/>
              </w:rPr>
              <w:t xml:space="preserve">每台设备配置2套计算服务器虚拟化软件授权，提供3年升级服务。</w:t>
            </w:r>
            <w:r/>
          </w:p>
          <w:p>
            <w:pPr>
              <w:numPr>
                <w:ilvl w:val="0"/>
                <w:numId w:val="3"/>
              </w:numPr>
              <w:contextualSpacing/>
              <w:rPr>
                <w:rFonts w:ascii="Calibri" w:hAnsi="Calibri"/>
                <w:szCs w:val="22"/>
              </w:rPr>
            </w:pPr>
            <w:r>
              <w:rPr>
                <w:rFonts w:ascii="Calibri" w:hAnsi="Calibri"/>
                <w:szCs w:val="22"/>
              </w:rPr>
              <w:t xml:space="preserve">支持部署主流国产操作系统（麒麟、统信、中科方德等）及主流服务器/桌面操作系统（Windows Server、SUSE、Red Hat、Ubuntu等）。</w:t>
            </w:r>
            <w:r/>
          </w:p>
          <w:p>
            <w:pPr>
              <w:numPr>
                <w:ilvl w:val="0"/>
                <w:numId w:val="3"/>
              </w:numPr>
              <w:contextualSpacing/>
              <w:rPr>
                <w:rFonts w:ascii="Calibri" w:hAnsi="Calibri"/>
                <w:szCs w:val="22"/>
              </w:rPr>
            </w:pPr>
            <w:r>
              <w:rPr>
                <w:rFonts w:ascii="Calibri" w:hAnsi="Calibri"/>
                <w:szCs w:val="22"/>
              </w:rPr>
              <w:t xml:space="preserve">提供基础资源监控，可查看CPU、网络和磁盘的实时使用数据，支持对CPU、网络和磁盘设置占用阈值告警</w:t>
            </w:r>
            <w:r>
              <w:rPr>
                <w:rFonts w:hint="eastAsia" w:ascii="Calibri" w:hAnsi="Calibri"/>
                <w:szCs w:val="22"/>
              </w:rPr>
              <w:t xml:space="preserve">。</w:t>
            </w:r>
            <w:r/>
          </w:p>
          <w:p>
            <w:pPr>
              <w:numPr>
                <w:ilvl w:val="0"/>
                <w:numId w:val="3"/>
              </w:numPr>
              <w:contextualSpacing/>
              <w:rPr>
                <w:rFonts w:ascii="Calibri" w:hAnsi="Calibri"/>
                <w:szCs w:val="22"/>
              </w:rPr>
            </w:pPr>
            <w:r>
              <w:rPr>
                <w:rFonts w:ascii="Calibri" w:hAnsi="Calibri"/>
                <w:szCs w:val="22"/>
              </w:rPr>
              <w:t xml:space="preserve">支持内存自动纠错，当检测到物理主机内存条出现错误时，能够隔离对应内存空间并定位故障内存槽位，降低硬件问题对业务的影响。</w:t>
            </w:r>
            <w:r/>
          </w:p>
          <w:p>
            <w:pPr>
              <w:numPr>
                <w:ilvl w:val="0"/>
                <w:numId w:val="3"/>
              </w:numPr>
              <w:contextualSpacing/>
              <w:rPr>
                <w:rFonts w:ascii="Calibri" w:hAnsi="Calibri"/>
                <w:color w:val="auto"/>
                <w:szCs w:val="22"/>
              </w:rPr>
            </w:pPr>
            <w:r>
              <w:rPr>
                <w:rFonts w:hint="eastAsia" w:ascii="Calibri" w:hAnsi="Calibri"/>
                <w:szCs w:val="22"/>
              </w:rPr>
              <w:t xml:space="preserve">▲支持对虚拟机及主机的性能与可靠性进行智能化评估并给出资源调度建议，提升自动迁移的精准度；支持设置热迁移调度的时</w:t>
            </w:r>
            <w:r>
              <w:rPr>
                <w:rFonts w:hint="eastAsia" w:ascii="Calibri" w:hAnsi="Calibri"/>
                <w:color w:val="auto"/>
                <w:szCs w:val="22"/>
              </w:rPr>
              <w:t xml:space="preserve">间窗口。</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3"/>
              </w:numPr>
              <w:contextualSpacing/>
              <w:rPr>
                <w:rFonts w:ascii="Calibri" w:hAnsi="Calibri"/>
                <w:color w:val="auto"/>
                <w:szCs w:val="22"/>
              </w:rPr>
            </w:pPr>
            <w:r>
              <w:rPr>
                <w:rFonts w:ascii="Calibri" w:hAnsi="Calibri"/>
                <w:color w:val="auto"/>
                <w:szCs w:val="22"/>
              </w:rPr>
              <w:t xml:space="preserve">支持识别卡死主机并标记为异常主机，提供告警提醒处理，并限制重要业务在异常主机上运行。</w:t>
            </w:r>
            <w:r/>
          </w:p>
          <w:p>
            <w:pPr>
              <w:numPr>
                <w:ilvl w:val="0"/>
                <w:numId w:val="3"/>
              </w:numPr>
              <w:contextualSpacing/>
              <w:rPr>
                <w:rFonts w:ascii="Calibri" w:hAnsi="Calibri"/>
                <w:color w:val="auto"/>
                <w:szCs w:val="22"/>
              </w:rPr>
            </w:pPr>
            <w:r>
              <w:rPr>
                <w:rFonts w:hint="eastAsia" w:ascii="Calibri" w:hAnsi="Calibri"/>
                <w:color w:val="auto"/>
                <w:szCs w:val="22"/>
              </w:rPr>
              <w:t xml:space="preserve">支持PowerShell</w:t>
            </w:r>
            <w:r>
              <w:rPr>
                <w:rFonts w:ascii="Calibri" w:hAnsi="Calibri"/>
                <w:color w:val="auto"/>
                <w:szCs w:val="22"/>
              </w:rPr>
              <w:t xml:space="preserve">命令行管理功能，可通过命令行管理计算、存储、网络虚拟化模块，支持脚本化运维。</w:t>
            </w:r>
            <w:r/>
          </w:p>
          <w:p>
            <w:pPr>
              <w:numPr>
                <w:ilvl w:val="0"/>
                <w:numId w:val="3"/>
              </w:numPr>
              <w:contextualSpacing/>
              <w:rPr>
                <w:rFonts w:ascii="Calibri" w:hAnsi="Calibri"/>
                <w:color w:val="auto"/>
                <w:szCs w:val="22"/>
              </w:rPr>
            </w:pPr>
            <w:r>
              <w:rPr>
                <w:rFonts w:hint="eastAsia" w:ascii="Calibri" w:hAnsi="Calibri"/>
                <w:color w:val="auto"/>
                <w:szCs w:val="22"/>
              </w:rPr>
              <w:t xml:space="preserve">支持指定网口迁移、限制迁移速度、启用压缩传输，同时虚拟机迁移过程中如因数据写入量过大迁移不完，可支持强制切换操作。</w:t>
            </w:r>
            <w:r/>
          </w:p>
          <w:p>
            <w:pPr>
              <w:numPr>
                <w:ilvl w:val="0"/>
                <w:numId w:val="3"/>
              </w:numPr>
              <w:contextualSpacing/>
              <w:rPr>
                <w:rFonts w:ascii="Calibri" w:hAnsi="Calibri"/>
                <w:b/>
                <w:bCs/>
                <w:color w:val="auto"/>
                <w:szCs w:val="22"/>
              </w:rPr>
            </w:pPr>
            <w:r>
              <w:rPr>
                <w:rFonts w:hint="eastAsia" w:ascii="Calibri" w:hAnsi="Calibri"/>
                <w:color w:val="auto"/>
                <w:szCs w:val="22"/>
              </w:rPr>
              <w:t xml:space="preserve">▲</w:t>
            </w:r>
            <w:r>
              <w:rPr>
                <w:rFonts w:ascii="Calibri" w:hAnsi="Calibri"/>
                <w:color w:val="auto"/>
                <w:szCs w:val="22"/>
              </w:rPr>
              <w:t xml:space="preserve">支持云平台在线升级；</w:t>
            </w:r>
            <w:r>
              <w:rPr>
                <w:rFonts w:hint="eastAsia" w:ascii="Calibri" w:hAnsi="Calibri"/>
                <w:color w:val="auto"/>
                <w:szCs w:val="22"/>
              </w:rPr>
              <w:t xml:space="preserve">为了保证升级过程可控，</w:t>
            </w:r>
            <w:r>
              <w:rPr>
                <w:rFonts w:ascii="Calibri" w:hAnsi="Calibri"/>
                <w:color w:val="auto"/>
                <w:szCs w:val="22"/>
              </w:rPr>
              <w:t xml:space="preserve">对升级节点进行顺序编排、升级暂停。</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3"/>
              </w:numPr>
              <w:contextualSpacing/>
              <w:rPr>
                <w:rFonts w:ascii="Calibri" w:hAnsi="Calibri"/>
                <w:szCs w:val="22"/>
              </w:rPr>
            </w:pPr>
            <w:r>
              <w:rPr>
                <w:rFonts w:hint="eastAsia"/>
                <w:color w:val="auto"/>
              </w:rPr>
              <w:t xml:space="preserve">支持双向迁移，可将异构虚拟化平台上的虚拟机</w:t>
            </w:r>
            <w:r>
              <w:rPr>
                <w:rFonts w:hint="eastAsia"/>
              </w:rPr>
              <w:t xml:space="preserve">迁入本平台，也可将本平台虚拟机迁回异构虚拟化平台，迁移结束后虚拟机可手动或自动重启。同时可融合异构国产超融合平台业务，根据需要做集群整合或新建第二集群。</w:t>
            </w:r>
            <w:r/>
          </w:p>
          <w:p>
            <w:pPr>
              <w:numPr>
                <w:ilvl w:val="0"/>
                <w:numId w:val="3"/>
              </w:numPr>
              <w:contextualSpacing/>
              <w:rPr>
                <w:rFonts w:ascii="Calibri" w:hAnsi="Calibri"/>
                <w:szCs w:val="22"/>
              </w:rPr>
            </w:pPr>
            <w:r>
              <w:rPr>
                <w:rFonts w:hint="eastAsia" w:ascii="Calibri" w:hAnsi="Calibri"/>
                <w:szCs w:val="22"/>
              </w:rPr>
              <w:t xml:space="preserve">支持漏洞及版本信息巡检，推送补丁及升级信息，并支持补丁管理、更新、回滚。</w:t>
            </w:r>
            <w:r/>
          </w:p>
          <w:p>
            <w:pPr>
              <w:numPr>
                <w:ilvl w:val="0"/>
                <w:numId w:val="3"/>
              </w:numPr>
              <w:contextualSpacing/>
              <w:rPr>
                <w:rFonts w:ascii="Calibri" w:hAnsi="Calibri"/>
                <w:szCs w:val="22"/>
              </w:rPr>
            </w:pPr>
            <w:r>
              <w:rPr>
                <w:rFonts w:hint="eastAsia" w:ascii="Calibri" w:hAnsi="Calibri"/>
                <w:szCs w:val="22"/>
              </w:rPr>
              <w:t xml:space="preserve">支持虚拟机动态资源添加操作；可通过阈值设置查看CPU和内存资源利用率，并在虚拟机CPU或内存资源不足时自动为其添加CPU和内存资源；相关动态资源添加操作可保存。 </w:t>
            </w:r>
            <w:r/>
          </w:p>
          <w:p>
            <w:pPr>
              <w:numPr>
                <w:ilvl w:val="0"/>
                <w:numId w:val="3"/>
              </w:numPr>
              <w:contextualSpacing/>
              <w:rPr>
                <w:rFonts w:ascii="Calibri" w:hAnsi="Calibri"/>
                <w:szCs w:val="22"/>
              </w:rPr>
            </w:pPr>
            <w:r>
              <w:rPr>
                <w:rFonts w:hint="eastAsia" w:ascii="宋体" w:hAnsi="宋体" w:cs="宋体"/>
                <w:sz w:val="22"/>
                <w:szCs w:val="22"/>
              </w:rPr>
              <w:t xml:space="preserve">★</w:t>
            </w:r>
            <w:r>
              <w:rPr>
                <w:rFonts w:hint="eastAsia" w:ascii="Calibri" w:hAnsi="Calibri"/>
                <w:szCs w:val="22"/>
              </w:rPr>
              <w:t xml:space="preserve">要求每台设备配置2套网络虚拟化授权，提供3年升级服务。</w:t>
            </w:r>
            <w:r/>
          </w:p>
          <w:p>
            <w:pPr>
              <w:numPr>
                <w:ilvl w:val="0"/>
                <w:numId w:val="3"/>
              </w:numPr>
              <w:contextualSpacing/>
              <w:rPr>
                <w:rFonts w:ascii="Calibri" w:hAnsi="Calibri"/>
                <w:b/>
                <w:bCs/>
                <w:color w:val="auto"/>
                <w:szCs w:val="22"/>
              </w:rPr>
            </w:pPr>
            <w:r>
              <w:rPr>
                <w:rFonts w:hint="eastAsia" w:ascii="Calibri" w:hAnsi="Calibri"/>
                <w:szCs w:val="22"/>
              </w:rPr>
              <w:t xml:space="preserve">▲不限制虚拟路由器的创建数量，并且需要支持高可用（HA）功能。当虚拟路由器所在的主机发生故障时，系统应能够自动</w:t>
            </w:r>
            <w:r>
              <w:rPr>
                <w:rFonts w:hint="eastAsia" w:ascii="Calibri" w:hAnsi="Calibri"/>
                <w:color w:val="auto"/>
                <w:szCs w:val="22"/>
              </w:rPr>
              <w:t xml:space="preserve">进行故障恢复，以确保业务的高可靠性。</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3"/>
              </w:numPr>
              <w:contextualSpacing/>
              <w:rPr>
                <w:rFonts w:ascii="Calibri" w:hAnsi="Calibri"/>
                <w:szCs w:val="22"/>
              </w:rPr>
            </w:pPr>
            <w:r>
              <w:rPr>
                <w:rFonts w:hint="eastAsia" w:ascii="Calibri" w:hAnsi="Calibri"/>
                <w:szCs w:val="22"/>
              </w:rPr>
              <w:t xml:space="preserve">支持</w:t>
            </w:r>
            <w:r>
              <w:rPr>
                <w:rFonts w:ascii="Calibri" w:hAnsi="Calibri"/>
                <w:szCs w:val="22"/>
              </w:rPr>
              <w:t xml:space="preserve">基于虚拟机</w:t>
            </w:r>
            <w:r>
              <w:rPr>
                <w:rFonts w:hint="eastAsia" w:ascii="Calibri" w:hAnsi="Calibri"/>
                <w:szCs w:val="22"/>
              </w:rPr>
              <w:t xml:space="preserve">创建虚拟防火墙</w:t>
            </w:r>
            <w:r>
              <w:rPr>
                <w:rFonts w:ascii="Calibri" w:hAnsi="Calibri"/>
                <w:szCs w:val="22"/>
              </w:rPr>
              <w:t xml:space="preserve">，虚拟机在不同物理节点迁移时安全策略随之移动。</w:t>
            </w:r>
            <w:r/>
          </w:p>
          <w:p>
            <w:pPr>
              <w:numPr>
                <w:ilvl w:val="0"/>
                <w:numId w:val="3"/>
              </w:numPr>
              <w:contextualSpacing/>
              <w:rPr>
                <w:rFonts w:ascii="Calibri" w:hAnsi="Calibri"/>
                <w:szCs w:val="22"/>
              </w:rPr>
            </w:pPr>
            <w:r>
              <w:rPr>
                <w:rFonts w:hint="eastAsia" w:ascii="Calibri" w:hAnsi="Calibri"/>
                <w:szCs w:val="22"/>
              </w:rPr>
              <w:t xml:space="preserve">支持配</w:t>
            </w:r>
            <w:r>
              <w:rPr>
                <w:rFonts w:hint="eastAsia" w:ascii="Calibri" w:hAnsi="Calibri"/>
                <w:szCs w:val="22"/>
                <w:highlight w:val="none"/>
              </w:rPr>
              <w:t xml:space="preserve">置安全控制策略及策略复制，并提供实时拦截日志，以及支持“数</w:t>
            </w:r>
            <w:r>
              <w:rPr>
                <w:rFonts w:hint="eastAsia" w:ascii="Calibri" w:hAnsi="Calibri"/>
                <w:szCs w:val="22"/>
              </w:rPr>
              <w:t xml:space="preserve">据直通ByPass”功能，方便出现问题快速定位问题。</w:t>
            </w:r>
            <w:r/>
          </w:p>
          <w:p>
            <w:pPr>
              <w:numPr>
                <w:ilvl w:val="0"/>
                <w:numId w:val="3"/>
              </w:numPr>
              <w:contextualSpacing/>
              <w:rPr>
                <w:rFonts w:ascii="Calibri" w:hAnsi="Calibri"/>
                <w:szCs w:val="22"/>
              </w:rPr>
            </w:pPr>
            <w:r>
              <w:rPr>
                <w:rFonts w:hint="eastAsia" w:ascii="Calibri" w:hAnsi="Calibri"/>
                <w:szCs w:val="22"/>
              </w:rPr>
              <w:t xml:space="preserve">支持网络可视化功能，在图形化界面观察到所有虚拟机的流量走向与访问关系，包括源对象、源IP、目标对象、目的IP、访问次数、服务类型等信息。</w:t>
            </w:r>
            <w:r/>
          </w:p>
          <w:p>
            <w:pPr>
              <w:numPr>
                <w:ilvl w:val="0"/>
                <w:numId w:val="3"/>
              </w:numPr>
              <w:contextualSpacing/>
              <w:rPr>
                <w:rFonts w:ascii="Calibri" w:hAnsi="Calibri"/>
                <w:szCs w:val="22"/>
              </w:rPr>
            </w:pPr>
            <w:r>
              <w:rPr>
                <w:rFonts w:ascii="Calibri" w:hAnsi="Calibri"/>
                <w:szCs w:val="22"/>
              </w:rPr>
              <w:t xml:space="preserve">支持端口镜像，将超融合内部网络流量镜像到内部虚拟机、虚拟安全组件、外部安全设备进行流量审计，可联动安全态势感知平台进行流量检测。</w:t>
            </w:r>
            <w:r/>
          </w:p>
          <w:p>
            <w:pPr>
              <w:numPr>
                <w:ilvl w:val="0"/>
                <w:numId w:val="3"/>
              </w:numPr>
              <w:contextualSpacing/>
              <w:rPr>
                <w:rFonts w:ascii="Calibri" w:hAnsi="Calibri"/>
                <w:szCs w:val="22"/>
              </w:rPr>
            </w:pPr>
            <w:r>
              <w:rPr>
                <w:rFonts w:hint="eastAsia" w:ascii="宋体" w:hAnsi="宋体" w:cs="宋体"/>
                <w:sz w:val="22"/>
                <w:szCs w:val="22"/>
              </w:rPr>
              <w:t xml:space="preserve">★</w:t>
            </w:r>
            <w:r>
              <w:rPr>
                <w:rFonts w:hint="eastAsia" w:ascii="Calibri" w:hAnsi="Calibri"/>
                <w:szCs w:val="22"/>
              </w:rPr>
              <w:t xml:space="preserve">要求每台设备配置2套存储虚拟化软件，提供3年升级服务。</w:t>
            </w:r>
            <w:r/>
          </w:p>
          <w:p>
            <w:pPr>
              <w:numPr>
                <w:ilvl w:val="0"/>
                <w:numId w:val="3"/>
              </w:numPr>
              <w:contextualSpacing/>
              <w:rPr>
                <w:rFonts w:ascii="Calibri" w:hAnsi="Calibri"/>
                <w:szCs w:val="22"/>
              </w:rPr>
            </w:pPr>
            <w:r>
              <w:rPr>
                <w:rFonts w:hint="eastAsia" w:ascii="Calibri" w:hAnsi="Calibri"/>
                <w:szCs w:val="22"/>
              </w:rPr>
              <w:t xml:space="preserve">支持分布式的软件定义存储架构，把所有服务器硬盘组织成一个虚拟存储资源池，提供分布式存储服务，无需独立的元数据及控制器节点。</w:t>
            </w:r>
            <w:r/>
          </w:p>
          <w:p>
            <w:pPr>
              <w:numPr>
                <w:ilvl w:val="0"/>
                <w:numId w:val="3"/>
              </w:numPr>
              <w:contextualSpacing/>
              <w:rPr>
                <w:rFonts w:ascii="Calibri" w:hAnsi="Calibri"/>
                <w:color w:val="auto"/>
                <w:szCs w:val="22"/>
              </w:rPr>
            </w:pPr>
            <w:r>
              <w:rPr>
                <w:rFonts w:hint="eastAsia" w:ascii="Calibri" w:hAnsi="Calibri"/>
                <w:szCs w:val="22"/>
              </w:rPr>
              <w:t xml:space="preserve">▲支持对虚拟机或虚拟磁盘设</w:t>
            </w:r>
            <w:r>
              <w:rPr>
                <w:rFonts w:hint="eastAsia" w:ascii="Calibri" w:hAnsi="Calibri"/>
                <w:color w:val="auto"/>
                <w:szCs w:val="22"/>
              </w:rPr>
              <w:t xml:space="preserve">置数据分布策略:就近存储策略可实现性能优先的就近读取效果。</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3"/>
              </w:numPr>
              <w:contextualSpacing/>
              <w:rPr>
                <w:rFonts w:ascii="Calibri" w:hAnsi="Calibri"/>
                <w:color w:val="auto"/>
                <w:szCs w:val="22"/>
              </w:rPr>
            </w:pPr>
            <w:r>
              <w:rPr>
                <w:rFonts w:ascii="Calibri" w:hAnsi="Calibri"/>
                <w:color w:val="auto"/>
                <w:szCs w:val="22"/>
              </w:rPr>
              <w:t xml:space="preserve">支持硬盘状态检测监控及告警（正常、告警、严重告警），不同状态在界面上以不同特征区分。</w:t>
            </w:r>
            <w:r/>
          </w:p>
          <w:p>
            <w:pPr>
              <w:numPr>
                <w:ilvl w:val="0"/>
                <w:numId w:val="3"/>
              </w:numPr>
              <w:contextualSpacing/>
              <w:rPr>
                <w:rFonts w:ascii="Calibri" w:hAnsi="Calibri"/>
                <w:color w:val="auto"/>
                <w:szCs w:val="22"/>
              </w:rPr>
            </w:pPr>
            <w:r>
              <w:rPr>
                <w:rFonts w:hint="eastAsia" w:ascii="Calibri" w:hAnsi="Calibri"/>
                <w:color w:val="auto"/>
                <w:szCs w:val="22"/>
              </w:rPr>
              <w:t xml:space="preserve">虚拟存储可支持Oracle RAC，支持共享盘，及共享块设备，支持向导式安装，降低部署复杂度。 </w:t>
            </w:r>
            <w:r/>
          </w:p>
          <w:p>
            <w:pPr>
              <w:numPr>
                <w:ilvl w:val="0"/>
                <w:numId w:val="3"/>
              </w:numPr>
              <w:contextualSpacing/>
              <w:rPr>
                <w:rFonts w:ascii="Calibri" w:hAnsi="Calibri"/>
                <w:color w:val="auto"/>
                <w:szCs w:val="22"/>
              </w:rPr>
            </w:pPr>
            <w:r>
              <w:rPr>
                <w:rFonts w:hint="eastAsia" w:ascii="Calibri" w:hAnsi="Calibri"/>
                <w:color w:val="auto"/>
                <w:szCs w:val="22"/>
              </w:rPr>
              <w:t xml:space="preserve">支持针对卡慢磁盘可进行自动隔离并重建数据，恢复业务性能，并在界面提示告警信息及磁盘隔离原因。</w:t>
            </w:r>
            <w:r/>
          </w:p>
          <w:p>
            <w:pPr>
              <w:numPr>
                <w:ilvl w:val="0"/>
                <w:numId w:val="3"/>
              </w:numPr>
              <w:contextualSpacing/>
              <w:rPr>
                <w:rFonts w:ascii="Calibri" w:hAnsi="Calibri"/>
                <w:color w:val="auto"/>
                <w:szCs w:val="22"/>
              </w:rPr>
            </w:pPr>
            <w:r>
              <w:rPr>
                <w:rFonts w:hint="eastAsia" w:ascii="Calibri" w:hAnsi="Calibri"/>
                <w:color w:val="auto"/>
                <w:szCs w:val="22"/>
              </w:rPr>
              <w:t xml:space="preserve">▲</w:t>
            </w:r>
            <w:r>
              <w:rPr>
                <w:rFonts w:ascii="Calibri" w:hAnsi="Calibri"/>
                <w:color w:val="auto"/>
                <w:szCs w:val="22"/>
              </w:rPr>
              <w:t xml:space="preserve">支持存储分卷功能，可将部分SSD组成高性能存储池、部分SSD与机械盘组成大容量存储池，分别满足不同业务需求。</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3"/>
              </w:numPr>
              <w:contextualSpacing/>
              <w:rPr>
                <w:rFonts w:ascii="Calibri" w:hAnsi="Calibri"/>
                <w:szCs w:val="22"/>
              </w:rPr>
            </w:pPr>
            <w:r>
              <w:rPr>
                <w:rFonts w:hint="eastAsia" w:ascii="Calibri" w:hAnsi="Calibri"/>
                <w:szCs w:val="22"/>
              </w:rPr>
              <w:t xml:space="preserve">支持对虚拟机业务按照小时/天/周自定义设置定时快照策略，以便业务发生故障时可以快速回滚覆盖原虚拟机或者通过对快照进行克隆的方式生成全新虚拟机，进而恢复至业务健康状态。</w:t>
            </w:r>
            <w:r/>
          </w:p>
          <w:p>
            <w:pPr>
              <w:numPr>
                <w:ilvl w:val="0"/>
                <w:numId w:val="3"/>
              </w:numPr>
              <w:contextualSpacing/>
              <w:rPr>
                <w:rFonts w:ascii="Calibri" w:hAnsi="Calibri"/>
                <w:szCs w:val="22"/>
              </w:rPr>
            </w:pPr>
            <w:r>
              <w:rPr>
                <w:rFonts w:hint="eastAsia" w:ascii="Calibri" w:hAnsi="Calibri"/>
                <w:szCs w:val="22"/>
              </w:rPr>
              <w:t xml:space="preserve">支持坏道扫描及修复功能，发现坏道后，主动修复坏道区域的数据，及时恢复数据副本的冗余性；当硬盘的坏道数过多，系统能自动将该盘的数据迁移至其他健康的硬盘上，保障数据的安全。</w:t>
            </w:r>
            <w:r/>
          </w:p>
          <w:p>
            <w:pPr>
              <w:numPr>
                <w:ilvl w:val="0"/>
                <w:numId w:val="3"/>
              </w:numPr>
              <w:contextualSpacing/>
              <w:rPr>
                <w:rFonts w:ascii="Calibri" w:hAnsi="Calibri"/>
                <w:szCs w:val="22"/>
              </w:rPr>
            </w:pPr>
            <w:r>
              <w:rPr>
                <w:rFonts w:hint="eastAsia" w:ascii="宋体" w:hAnsi="宋体" w:cs="宋体"/>
                <w:sz w:val="22"/>
                <w:szCs w:val="22"/>
              </w:rPr>
              <w:t xml:space="preserve">★</w:t>
            </w:r>
            <w:r>
              <w:rPr>
                <w:rFonts w:hint="eastAsia" w:ascii="Calibri" w:hAnsi="Calibri"/>
                <w:szCs w:val="22"/>
              </w:rPr>
              <w:t xml:space="preserve">要求每台设备配置2套云管理平台软件，提供3年升级服务。</w:t>
            </w:r>
            <w:r/>
          </w:p>
          <w:p>
            <w:pPr>
              <w:numPr>
                <w:ilvl w:val="0"/>
                <w:numId w:val="3"/>
              </w:numPr>
              <w:contextualSpacing/>
              <w:rPr>
                <w:rFonts w:ascii="Calibri" w:hAnsi="Calibri"/>
                <w:szCs w:val="22"/>
              </w:rPr>
            </w:pPr>
            <w:r>
              <w:rPr>
                <w:rFonts w:hint="eastAsia" w:ascii="Calibri" w:hAnsi="Calibri"/>
                <w:szCs w:val="22"/>
              </w:rPr>
              <w:t xml:space="preserve">支持对超融合平台的硬件进行监控和大屏展示，包含CPU、内存、网卡、硬盘、存储、RAID等硬件健康检测，便于及时发现问题并提供相应异常检测项的恢复指导建议。</w:t>
            </w:r>
            <w:r/>
          </w:p>
          <w:p>
            <w:pPr>
              <w:numPr>
                <w:ilvl w:val="0"/>
                <w:numId w:val="3"/>
              </w:numPr>
              <w:contextualSpacing/>
              <w:rPr>
                <w:rFonts w:ascii="Calibri" w:hAnsi="Calibri"/>
                <w:szCs w:val="22"/>
              </w:rPr>
            </w:pPr>
            <w:r>
              <w:rPr>
                <w:rFonts w:hint="eastAsia" w:ascii="Calibri" w:hAnsi="Calibri"/>
                <w:szCs w:val="22"/>
              </w:rPr>
              <w:t xml:space="preserve">支持上传或利用现有云主机创建镜像，可对镜像进行管理、关联资源池等操作，可通过镜像实现一键快速创建云主机及安全组件，当主平台发生故障时，能够切换到备平台，保障云平台稳定运行。</w:t>
            </w:r>
            <w:r/>
          </w:p>
          <w:p>
            <w:pPr>
              <w:numPr>
                <w:ilvl w:val="0"/>
                <w:numId w:val="3"/>
              </w:numPr>
              <w:contextualSpacing/>
              <w:rPr>
                <w:rFonts w:ascii="Calibri" w:hAnsi="Calibri"/>
                <w:color w:val="auto"/>
                <w:szCs w:val="22"/>
                <w:highlight w:val="none"/>
              </w:rPr>
            </w:pPr>
            <w:r>
              <w:rPr>
                <w:rFonts w:hint="eastAsia" w:ascii="Calibri" w:hAnsi="Calibri"/>
                <w:szCs w:val="22"/>
              </w:rPr>
              <w:t xml:space="preserve">提</w:t>
            </w:r>
            <w:r>
              <w:rPr>
                <w:rFonts w:hint="eastAsia" w:ascii="Calibri" w:hAnsi="Calibri"/>
                <w:color w:val="auto"/>
                <w:szCs w:val="22"/>
                <w:highlight w:val="none"/>
              </w:rPr>
              <w:t xml:space="preserve">供专业迁移部署服务，利用专业迁移工具，将物理服务器、主流虚拟化平台、公有云/私有云平台的业务系统整机平滑迁移到超融合平台，共包含点对点迁移、备份迁移、热备迁移三种方式。</w:t>
            </w:r>
            <w:r/>
          </w:p>
          <w:p>
            <w:pPr>
              <w:numPr>
                <w:ilvl w:val="0"/>
                <w:numId w:val="3"/>
              </w:numPr>
              <w:contextualSpacing/>
              <w:rPr>
                <w:rFonts w:ascii="Calibri" w:hAnsi="Calibri"/>
                <w:b/>
                <w:bCs/>
                <w:color w:val="auto"/>
                <w:szCs w:val="22"/>
                <w:highlight w:val="none"/>
              </w:rPr>
            </w:pPr>
            <w:r>
              <w:rPr>
                <w:rFonts w:hint="eastAsia" w:ascii="Calibri" w:hAnsi="Calibri"/>
                <w:color w:val="auto"/>
                <w:szCs w:val="22"/>
                <w:highlight w:val="none"/>
              </w:rPr>
              <w:t xml:space="preserve">▲迁移过程中应采取合理有效措施，尽量降低对源机业务的影响，根据实际情况动态调整源机 IO 占用、网络带宽占用等资源使用，最大限度保障源机业务正常运行。</w:t>
            </w:r>
            <w:r>
              <w:rPr>
                <w:rFonts w:hint="eastAsia" w:ascii="宋体" w:hAnsi="宋体" w:cs="宋体"/>
                <w:b/>
                <w:bCs/>
                <w:color w:val="auto"/>
                <w:szCs w:val="21"/>
                <w:highlight w:val="none"/>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3"/>
              </w:numPr>
              <w:contextualSpacing/>
              <w:rPr>
                <w:rFonts w:ascii="Calibri" w:hAnsi="Calibri"/>
                <w:szCs w:val="22"/>
              </w:rPr>
            </w:pPr>
            <w:r>
              <w:rPr>
                <w:rFonts w:hint="eastAsia" w:ascii="Calibri" w:hAnsi="Calibri"/>
                <w:color w:val="auto"/>
                <w:szCs w:val="22"/>
                <w:highlight w:val="none"/>
              </w:rPr>
              <w:t xml:space="preserve">项目实施所需所有辅材</w:t>
            </w:r>
            <w:r>
              <w:rPr>
                <w:rFonts w:hint="eastAsia" w:ascii="Calibri" w:hAnsi="Calibri"/>
                <w:szCs w:val="22"/>
              </w:rPr>
              <w:t xml:space="preserve">，包含涉及到的各类跳线、电源线缆等相关配件和辅材等。</w:t>
            </w:r>
            <w:r/>
          </w:p>
          <w:p>
            <w:pPr>
              <w:numPr>
                <w:ilvl w:val="0"/>
                <w:numId w:val="3"/>
              </w:numPr>
              <w:contextualSpacing/>
              <w:rPr>
                <w:rFonts w:ascii="Calibri" w:hAnsi="Calibri"/>
                <w:szCs w:val="22"/>
              </w:rPr>
            </w:pPr>
            <w:r>
              <w:rPr>
                <w:rFonts w:ascii="Calibri" w:hAnsi="Calibri"/>
                <w:szCs w:val="22"/>
              </w:rPr>
              <w:t xml:space="preserve">将学校原有</w:t>
            </w:r>
            <w:r>
              <w:rPr>
                <w:rFonts w:ascii="宋体" w:hAnsi="宋体"/>
                <w:bCs/>
                <w:szCs w:val="21"/>
              </w:rPr>
              <w:t xml:space="preserve">可兼容</w:t>
            </w:r>
            <w:r>
              <w:rPr>
                <w:rFonts w:ascii="Calibri" w:hAnsi="Calibri"/>
                <w:szCs w:val="22"/>
              </w:rPr>
              <w:t xml:space="preserve">的存量存储资源统一挂载至本次新建超融合集群，依托超融合平台的资源冗余与备份能力，完成全量业务数据的迁移备份、容灾留存与数据一致性校验；同步开展校内业务运行适配测试、功能验证与稳定性核验，保障新旧资源平稳衔接、全校业务不间断稳定运行。</w:t>
            </w:r>
            <w:r/>
          </w:p>
          <w:p>
            <w:pPr>
              <w:numPr>
                <w:ilvl w:val="0"/>
                <w:numId w:val="3"/>
              </w:numPr>
              <w:contextualSpacing/>
              <w:rPr>
                <w:rFonts w:ascii="Calibri" w:hAnsi="Calibri"/>
                <w:szCs w:val="22"/>
              </w:rPr>
            </w:pPr>
            <w:r>
              <w:rPr>
                <w:rFonts w:hint="eastAsia" w:ascii="Calibri" w:hAnsi="Calibri"/>
                <w:szCs w:val="22"/>
              </w:rPr>
              <w:t xml:space="preserve">★上述所有提供硬件3年原厂质保，提供软件升级3年，及特征库3年免费升级，3年7×24小时备机备件，3年7×24小时技术支持服务。</w:t>
            </w:r>
            <w:r/>
          </w:p>
        </w:tc>
        <w:tc>
          <w:tcPr>
            <w:tcMar>
              <w:left w:w="120" w:type="dxa"/>
              <w:top w:w="60" w:type="dxa"/>
              <w:right w:w="120" w:type="dxa"/>
              <w:bottom w:w="30" w:type="dxa"/>
            </w:tcMar>
            <w:tcW w:w="684" w:type="dxa"/>
            <w:textDirection w:val="lrTb"/>
            <w:noWrap w:val="false"/>
          </w:tcPr>
          <w:p>
            <w:pPr>
              <w:jc w:val="center"/>
              <w:spacing w:before="120" w:after="120" w:line="288" w:lineRule="auto"/>
            </w:pPr>
            <w:r>
              <w:rPr>
                <w:rFonts w:hint="eastAsia"/>
              </w:rPr>
              <w:t xml:space="preserve">4</w:t>
            </w:r>
            <w:r/>
          </w:p>
        </w:tc>
        <w:tc>
          <w:tcPr>
            <w:tcMar>
              <w:left w:w="120" w:type="dxa"/>
              <w:top w:w="60" w:type="dxa"/>
              <w:right w:w="120" w:type="dxa"/>
              <w:bottom w:w="30" w:type="dxa"/>
            </w:tcMar>
            <w:tcW w:w="768" w:type="dxa"/>
            <w:textDirection w:val="lrTb"/>
            <w:noWrap w:val="false"/>
          </w:tcPr>
          <w:p>
            <w:pPr>
              <w:jc w:val="center"/>
              <w:spacing w:before="120" w:after="120" w:line="288" w:lineRule="auto"/>
            </w:pPr>
            <w:r>
              <w:rPr>
                <w:rFonts w:hint="eastAsia"/>
              </w:rPr>
              <w:t xml:space="preserve">台</w:t>
            </w:r>
            <w:r/>
          </w:p>
        </w:tc>
      </w:tr>
    </w:tbl>
    <w:p>
      <w:pPr>
        <w:ind w:firstLine="482"/>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t xml:space="preserve">（三）分项三：全闪存存储建设</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40"/>
        <w:gridCol w:w="1134"/>
        <w:gridCol w:w="6095"/>
        <w:gridCol w:w="709"/>
        <w:gridCol w:w="737"/>
      </w:tblGrid>
      <w:tr>
        <w:trPr>
          <w:jc w:val="center"/>
        </w:trPr>
        <w:tc>
          <w:tcPr>
            <w:tcMar>
              <w:left w:w="120" w:type="dxa"/>
              <w:top w:w="60" w:type="dxa"/>
              <w:right w:w="120" w:type="dxa"/>
              <w:bottom w:w="30" w:type="dxa"/>
            </w:tcMar>
            <w:tcW w:w="740" w:type="dxa"/>
            <w:textDirection w:val="lrTb"/>
            <w:noWrap w:val="false"/>
          </w:tcPr>
          <w:p>
            <w:pPr>
              <w:jc w:val="center"/>
              <w:spacing w:before="120" w:after="120" w:line="288" w:lineRule="auto"/>
            </w:pPr>
            <w:r>
              <w:rPr>
                <w:rFonts w:ascii="Arial" w:hAnsi="Arial" w:eastAsia="等线" w:cs="Arial"/>
                <w:sz w:val="22"/>
              </w:rPr>
              <w:t xml:space="preserve">序号</w:t>
            </w:r>
            <w:r/>
          </w:p>
        </w:tc>
        <w:tc>
          <w:tcPr>
            <w:tcMar>
              <w:left w:w="120" w:type="dxa"/>
              <w:top w:w="60" w:type="dxa"/>
              <w:right w:w="120" w:type="dxa"/>
              <w:bottom w:w="30" w:type="dxa"/>
            </w:tcMar>
            <w:tcW w:w="1134" w:type="dxa"/>
            <w:textDirection w:val="lrTb"/>
            <w:noWrap w:val="false"/>
          </w:tcPr>
          <w:p>
            <w:pPr>
              <w:jc w:val="center"/>
              <w:spacing w:before="120" w:after="120" w:line="288" w:lineRule="auto"/>
            </w:pPr>
            <w:r>
              <w:rPr>
                <w:rFonts w:ascii="Arial" w:hAnsi="Arial" w:eastAsia="等线" w:cs="Arial"/>
                <w:sz w:val="22"/>
              </w:rPr>
              <w:t xml:space="preserve">品目名称</w:t>
            </w:r>
            <w:r/>
          </w:p>
        </w:tc>
        <w:tc>
          <w:tcPr>
            <w:tcMar>
              <w:left w:w="120" w:type="dxa"/>
              <w:top w:w="60" w:type="dxa"/>
              <w:right w:w="120" w:type="dxa"/>
              <w:bottom w:w="30" w:type="dxa"/>
            </w:tcMar>
            <w:tcW w:w="6095" w:type="dxa"/>
            <w:textDirection w:val="lrTb"/>
            <w:noWrap w:val="false"/>
          </w:tcPr>
          <w:p>
            <w:pPr>
              <w:jc w:val="center"/>
              <w:spacing w:before="120" w:after="120" w:line="288" w:lineRule="auto"/>
            </w:pPr>
            <w:r>
              <w:rPr>
                <w:rFonts w:ascii="Arial" w:hAnsi="Arial" w:eastAsia="等线" w:cs="Arial"/>
                <w:sz w:val="22"/>
              </w:rPr>
              <w:t xml:space="preserve">核心技术参数（</w:t>
            </w:r>
            <w:r>
              <w:rPr>
                <w:rFonts w:hint="eastAsia" w:ascii="宋体" w:hAnsi="宋体" w:cs="宋体"/>
                <w:szCs w:val="21"/>
              </w:rPr>
              <w:t xml:space="preserve">★为实质性响应指标</w:t>
            </w:r>
            <w:r>
              <w:rPr>
                <w:rFonts w:ascii="Arial" w:hAnsi="Arial" w:eastAsia="等线" w:cs="Arial"/>
                <w:sz w:val="22"/>
              </w:rPr>
              <w:t xml:space="preserve">）</w:t>
            </w:r>
            <w:r/>
          </w:p>
        </w:tc>
        <w:tc>
          <w:tcPr>
            <w:tcMar>
              <w:left w:w="120" w:type="dxa"/>
              <w:top w:w="60" w:type="dxa"/>
              <w:right w:w="120" w:type="dxa"/>
              <w:bottom w:w="30" w:type="dxa"/>
            </w:tcMar>
            <w:tcW w:w="709" w:type="dxa"/>
            <w:textDirection w:val="lrTb"/>
            <w:noWrap w:val="false"/>
          </w:tcPr>
          <w:p>
            <w:pPr>
              <w:jc w:val="center"/>
              <w:spacing w:before="120" w:after="120" w:line="288" w:lineRule="auto"/>
            </w:pPr>
            <w:r>
              <w:rPr>
                <w:rFonts w:ascii="Arial" w:hAnsi="Arial" w:eastAsia="等线" w:cs="Arial"/>
                <w:sz w:val="22"/>
              </w:rPr>
              <w:t xml:space="preserve">数量</w:t>
            </w:r>
            <w:r/>
          </w:p>
        </w:tc>
        <w:tc>
          <w:tcPr>
            <w:tcMar>
              <w:left w:w="120" w:type="dxa"/>
              <w:top w:w="60" w:type="dxa"/>
              <w:right w:w="120" w:type="dxa"/>
              <w:bottom w:w="30" w:type="dxa"/>
            </w:tcMar>
            <w:tcW w:w="737" w:type="dxa"/>
            <w:textDirection w:val="lrTb"/>
            <w:noWrap w:val="false"/>
          </w:tcPr>
          <w:p>
            <w:pPr>
              <w:jc w:val="center"/>
              <w:spacing w:before="120" w:after="120" w:line="288" w:lineRule="auto"/>
            </w:pPr>
            <w:r>
              <w:rPr>
                <w:rFonts w:ascii="Arial" w:hAnsi="Arial" w:eastAsia="等线" w:cs="Arial"/>
                <w:sz w:val="22"/>
              </w:rPr>
              <w:t xml:space="preserve">单位</w:t>
            </w:r>
            <w:r/>
          </w:p>
        </w:tc>
      </w:tr>
      <w:tr>
        <w:trPr>
          <w:jc w:val="center"/>
        </w:trPr>
        <w:tc>
          <w:tcPr>
            <w:tcMar>
              <w:left w:w="120" w:type="dxa"/>
              <w:top w:w="60" w:type="dxa"/>
              <w:right w:w="120" w:type="dxa"/>
              <w:bottom w:w="30" w:type="dxa"/>
            </w:tcMar>
            <w:tcW w:w="740" w:type="dxa"/>
            <w:textDirection w:val="lrTb"/>
            <w:noWrap w:val="false"/>
          </w:tcPr>
          <w:p>
            <w:pPr>
              <w:jc w:val="center"/>
              <w:spacing w:before="120" w:after="120" w:line="288" w:lineRule="auto"/>
            </w:pPr>
            <w:r>
              <w:rPr>
                <w:rFonts w:hint="eastAsia"/>
              </w:rPr>
              <w:t xml:space="preserve">1</w:t>
            </w:r>
            <w:r/>
          </w:p>
        </w:tc>
        <w:tc>
          <w:tcPr>
            <w:tcMar>
              <w:left w:w="120" w:type="dxa"/>
              <w:top w:w="60" w:type="dxa"/>
              <w:right w:w="120" w:type="dxa"/>
              <w:bottom w:w="30" w:type="dxa"/>
            </w:tcMar>
            <w:tcW w:w="1134" w:type="dxa"/>
            <w:textDirection w:val="lrTb"/>
            <w:noWrap w:val="false"/>
          </w:tcPr>
          <w:p>
            <w:pPr>
              <w:jc w:val="center"/>
              <w:spacing w:before="120" w:after="120" w:line="288" w:lineRule="auto"/>
            </w:pPr>
            <w:r>
              <w:t xml:space="preserve">全闪统一存储</w:t>
            </w:r>
            <w:r/>
          </w:p>
        </w:tc>
        <w:tc>
          <w:tcPr>
            <w:tcMar>
              <w:left w:w="120" w:type="dxa"/>
              <w:top w:w="60" w:type="dxa"/>
              <w:right w:w="120" w:type="dxa"/>
              <w:bottom w:w="30" w:type="dxa"/>
            </w:tcMar>
            <w:tcW w:w="6095" w:type="dxa"/>
            <w:textDirection w:val="lrTb"/>
            <w:noWrap w:val="false"/>
          </w:tcPr>
          <w:p>
            <w:pPr>
              <w:numPr>
                <w:ilvl w:val="0"/>
                <w:numId w:val="4"/>
              </w:numPr>
              <w:contextualSpacing/>
              <w:rPr>
                <w:rFonts w:ascii="Calibri" w:hAnsi="Calibri"/>
                <w:szCs w:val="22"/>
                <w:highlight w:val="none"/>
              </w:rPr>
            </w:pPr>
            <w:r>
              <w:rPr>
                <w:rFonts w:hint="eastAsia" w:ascii="宋体" w:hAnsi="宋体" w:cs="宋体"/>
                <w:sz w:val="22"/>
                <w:szCs w:val="22"/>
              </w:rPr>
              <w:t xml:space="preserve">★</w:t>
            </w:r>
            <w:r>
              <w:rPr>
                <w:rFonts w:hint="eastAsia" w:ascii="Calibri" w:hAnsi="Calibri"/>
                <w:szCs w:val="22"/>
              </w:rPr>
              <w:t xml:space="preserve">每个节点配置：处理器≥2颗x86架构CPU，单颗CPU核心数≥12，主频≥2.4GHz，提供≥24个标配盘位；内存≥4×32GB DDR5，≥16个内存插槽；系统盘≥2块960GB NVMe SSD；数据盘≥8块3.84TB NVMe SSD；网口≥4个千兆电口、≥</w:t>
            </w:r>
            <w:r>
              <w:rPr>
                <w:rFonts w:hint="eastAsia" w:ascii="Calibri" w:hAnsi="Calibri"/>
                <w:szCs w:val="22"/>
                <w:highlight w:val="none"/>
              </w:rPr>
              <w:t xml:space="preserve">4个10G光口、≥4个25G光口；</w:t>
            </w:r>
            <w:r/>
          </w:p>
          <w:p>
            <w:pPr>
              <w:contextualSpacing/>
              <w:ind w:left="440"/>
              <w:rPr>
                <w:rFonts w:ascii="Calibri" w:hAnsi="Calibri"/>
                <w:szCs w:val="22"/>
              </w:rPr>
            </w:pPr>
            <w:r>
              <w:rPr>
                <w:rFonts w:hint="eastAsia" w:ascii="Calibri" w:hAnsi="Calibri"/>
                <w:szCs w:val="22"/>
              </w:rPr>
              <w:t xml:space="preserve">电源及配件：冗余电源，≥6个风扇，3年原厂软件升级和产品质保。</w:t>
            </w:r>
            <w:r/>
          </w:p>
          <w:p>
            <w:pPr>
              <w:numPr>
                <w:ilvl w:val="0"/>
                <w:numId w:val="4"/>
              </w:numPr>
              <w:contextualSpacing/>
              <w:rPr>
                <w:rFonts w:ascii="Calibri" w:hAnsi="Calibri"/>
                <w:szCs w:val="22"/>
              </w:rPr>
            </w:pPr>
            <w:r>
              <w:rPr>
                <w:rFonts w:ascii="Calibri" w:hAnsi="Calibri"/>
                <w:szCs w:val="22"/>
              </w:rPr>
              <w:t xml:space="preserve">单台起步，同一系统同时提供块、文件存储服务，统一管理、资源灵活分配；不停机情况下即可通过添加节点或添加硬盘实现业务不中断的灵活扩容。</w:t>
            </w:r>
            <w:r/>
          </w:p>
          <w:p>
            <w:pPr>
              <w:numPr>
                <w:ilvl w:val="0"/>
                <w:numId w:val="4"/>
              </w:numPr>
              <w:contextualSpacing/>
              <w:rPr>
                <w:rFonts w:ascii="Calibri" w:hAnsi="Calibri"/>
                <w:szCs w:val="22"/>
              </w:rPr>
            </w:pPr>
            <w:r>
              <w:rPr>
                <w:rFonts w:hint="eastAsia" w:ascii="Calibri" w:hAnsi="Calibri"/>
                <w:szCs w:val="22"/>
              </w:rPr>
              <w:t xml:space="preserve">支持对接学校的各类文件存储服务，支持常用的</w:t>
            </w:r>
            <w:r>
              <w:rPr>
                <w:rFonts w:ascii="Calibri" w:hAnsi="Calibri"/>
                <w:szCs w:val="22"/>
              </w:rPr>
              <w:t xml:space="preserve">NFS、CIFS、FTP三种文件存储</w:t>
            </w:r>
            <w:r>
              <w:rPr>
                <w:rFonts w:hint="eastAsia" w:ascii="Calibri" w:hAnsi="Calibri"/>
                <w:szCs w:val="22"/>
              </w:rPr>
              <w:t xml:space="preserve">协议</w:t>
            </w:r>
            <w:r>
              <w:rPr>
                <w:rFonts w:ascii="Calibri" w:hAnsi="Calibri"/>
                <w:szCs w:val="22"/>
              </w:rPr>
              <w:t xml:space="preserve">，无需在应用层安装插件，降低业务系统改造成本，满足不同应用系统的存储接口要求。</w:t>
            </w:r>
            <w:r/>
          </w:p>
          <w:p>
            <w:pPr>
              <w:numPr>
                <w:ilvl w:val="0"/>
                <w:numId w:val="4"/>
              </w:numPr>
              <w:contextualSpacing/>
              <w:rPr>
                <w:rFonts w:ascii="Calibri" w:hAnsi="Calibri"/>
                <w:szCs w:val="22"/>
              </w:rPr>
            </w:pPr>
            <w:r>
              <w:rPr>
                <w:rFonts w:ascii="Calibri" w:hAnsi="Calibri"/>
                <w:szCs w:val="22"/>
              </w:rPr>
              <w:t xml:space="preserve">提供统一存储空间，系统内所有节点存储资源整合为一个大容量文件存储空间、资源完全共享，避免提前划分造成浪费，文件系统内任意数据可通过任意节点读写访问。</w:t>
            </w:r>
            <w:r/>
          </w:p>
          <w:p>
            <w:pPr>
              <w:numPr>
                <w:ilvl w:val="0"/>
                <w:numId w:val="4"/>
              </w:numPr>
              <w:contextualSpacing/>
              <w:rPr>
                <w:rFonts w:ascii="Calibri" w:hAnsi="Calibri"/>
                <w:color w:val="auto"/>
                <w:szCs w:val="22"/>
                <w:highlight w:val="none"/>
              </w:rPr>
            </w:pPr>
            <w:r>
              <w:rPr>
                <w:rFonts w:hint="eastAsia" w:ascii="Calibri" w:hAnsi="Calibri"/>
                <w:szCs w:val="22"/>
                <w:lang w:val="zh-TW"/>
              </w:rPr>
              <w:t xml:space="preserve">▲</w:t>
            </w:r>
            <w:r>
              <w:rPr>
                <w:rFonts w:hint="eastAsia" w:ascii="Calibri" w:hAnsi="Calibri"/>
                <w:szCs w:val="22"/>
              </w:rPr>
              <w:t xml:space="preserve">支持针对本地的用户/用户组和域用户/用户组设置默认配额，限制用户的</w:t>
            </w:r>
            <w:r>
              <w:rPr>
                <w:rFonts w:hint="eastAsia" w:ascii="Calibri" w:hAnsi="Calibri"/>
                <w:color w:val="auto"/>
                <w:szCs w:val="22"/>
                <w:highlight w:val="none"/>
              </w:rPr>
              <w:t xml:space="preserve">使用容量或文件数量，防止个别用户/业务滥用存储空间，挤占其他用户的业务资源。</w:t>
            </w:r>
            <w:r>
              <w:rPr>
                <w:rFonts w:hint="eastAsia" w:ascii="宋体" w:hAnsi="宋体" w:cs="宋体"/>
                <w:b/>
                <w:bCs/>
                <w:color w:val="auto"/>
                <w:szCs w:val="21"/>
                <w:highlight w:val="none"/>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4"/>
              </w:numPr>
              <w:contextualSpacing/>
              <w:rPr>
                <w:rFonts w:ascii="Calibri" w:hAnsi="Calibri"/>
                <w:color w:val="auto"/>
                <w:szCs w:val="22"/>
                <w:highlight w:val="none"/>
              </w:rPr>
            </w:pPr>
            <w:r>
              <w:rPr>
                <w:rFonts w:hint="eastAsia" w:ascii="Calibri" w:hAnsi="Calibri"/>
                <w:color w:val="auto"/>
                <w:szCs w:val="22"/>
                <w:highlight w:val="none"/>
                <w:lang w:val="zh-TW"/>
              </w:rPr>
              <w:t xml:space="preserve">▲</w:t>
            </w:r>
            <w:r>
              <w:rPr>
                <w:rFonts w:hint="eastAsia" w:ascii="宋体" w:hAnsi="宋体"/>
                <w:bCs/>
                <w:color w:val="auto"/>
                <w:szCs w:val="21"/>
                <w:highlight w:val="none"/>
              </w:rPr>
              <w:t xml:space="preserve">支持对任意文件系统配置打快照的功能，定时快照间隔最短支持15分钟。支持快照重命名功能，支持快照点任意文件数据恢复。</w:t>
            </w:r>
            <w:r>
              <w:rPr>
                <w:rFonts w:hint="eastAsia" w:ascii="宋体" w:hAnsi="宋体" w:cs="宋体"/>
                <w:b/>
                <w:bCs/>
                <w:color w:val="auto"/>
                <w:szCs w:val="21"/>
                <w:highlight w:val="none"/>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4"/>
              </w:numPr>
              <w:contextualSpacing/>
              <w:rPr>
                <w:rFonts w:ascii="Calibri" w:hAnsi="Calibri"/>
                <w:color w:val="auto"/>
                <w:szCs w:val="22"/>
                <w:highlight w:val="none"/>
              </w:rPr>
            </w:pPr>
            <w:r>
              <w:rPr>
                <w:rFonts w:hint="eastAsia" w:ascii="Calibri" w:hAnsi="Calibri"/>
                <w:color w:val="auto"/>
                <w:szCs w:val="22"/>
                <w:highlight w:val="none"/>
                <w:lang w:val="zh-TW"/>
              </w:rPr>
              <w:t xml:space="preserve">▲</w:t>
            </w:r>
            <w:r>
              <w:rPr>
                <w:rFonts w:hint="eastAsia" w:ascii="Calibri" w:hAnsi="Calibri"/>
                <w:color w:val="auto"/>
                <w:szCs w:val="22"/>
                <w:highlight w:val="none"/>
              </w:rPr>
              <w:t xml:space="preserve">为降低数据长期保存成本，文件存储应提供数据缩减能力，支持以目录为单位配置</w:t>
            </w:r>
            <w:r>
              <w:rPr>
                <w:rFonts w:ascii="Calibri" w:hAnsi="Calibri"/>
                <w:color w:val="auto"/>
                <w:szCs w:val="22"/>
                <w:highlight w:val="none"/>
              </w:rPr>
              <w:t xml:space="preserve">压缩策略（省容量优先/性能优先两种），并支持查看已压缩的数据量。</w:t>
            </w:r>
            <w:r>
              <w:rPr>
                <w:rFonts w:hint="eastAsia" w:ascii="宋体" w:hAnsi="宋体" w:cs="宋体"/>
                <w:b/>
                <w:bCs/>
                <w:color w:val="auto"/>
                <w:szCs w:val="21"/>
                <w:highlight w:val="none"/>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4"/>
              </w:numPr>
              <w:contextualSpacing/>
              <w:rPr>
                <w:rFonts w:ascii="Calibri" w:hAnsi="Calibri"/>
                <w:color w:val="auto"/>
                <w:szCs w:val="22"/>
                <w:highlight w:val="none"/>
              </w:rPr>
            </w:pPr>
            <w:r>
              <w:rPr>
                <w:rFonts w:hint="eastAsia" w:ascii="Calibri" w:hAnsi="Calibri"/>
                <w:color w:val="auto"/>
                <w:szCs w:val="22"/>
                <w:highlight w:val="none"/>
              </w:rPr>
              <w:t xml:space="preserve">具备存储基础能力，支持常用iSCSI、NVMe over RoCEv2/TCP、FC等块存储协议。</w:t>
            </w:r>
            <w:r/>
          </w:p>
          <w:p>
            <w:pPr>
              <w:numPr>
                <w:ilvl w:val="0"/>
                <w:numId w:val="4"/>
              </w:numPr>
              <w:contextualSpacing/>
              <w:rPr>
                <w:rFonts w:ascii="Calibri" w:hAnsi="Calibri"/>
                <w:color w:val="auto"/>
                <w:szCs w:val="22"/>
                <w:highlight w:val="none"/>
              </w:rPr>
            </w:pPr>
            <w:r>
              <w:rPr>
                <w:rFonts w:hint="eastAsia" w:ascii="Calibri" w:hAnsi="Calibri"/>
                <w:color w:val="auto"/>
                <w:szCs w:val="22"/>
                <w:highlight w:val="none"/>
                <w:lang w:val="zh-TW"/>
              </w:rPr>
              <w:t xml:space="preserve">▲</w:t>
            </w:r>
            <w:r>
              <w:rPr>
                <w:rFonts w:hint="eastAsia" w:ascii="Calibri" w:hAnsi="Calibri"/>
                <w:color w:val="auto"/>
                <w:szCs w:val="22"/>
                <w:highlight w:val="none"/>
              </w:rPr>
              <w:t xml:space="preserve">提供定时快照保护，支持按照时间点、时间段为LUN或一致性组设置定时快照策略，实现数据的本地定时备份。</w:t>
            </w:r>
            <w:r>
              <w:rPr>
                <w:rFonts w:hint="eastAsia" w:ascii="宋体" w:hAnsi="宋体" w:cs="宋体"/>
                <w:b/>
                <w:bCs/>
                <w:color w:val="auto"/>
                <w:szCs w:val="21"/>
                <w:highlight w:val="none"/>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4"/>
              </w:numPr>
              <w:contextualSpacing/>
              <w:rPr>
                <w:rFonts w:ascii="Calibri" w:hAnsi="Calibri"/>
                <w:color w:val="auto"/>
                <w:szCs w:val="22"/>
                <w:highlight w:val="none"/>
              </w:rPr>
            </w:pPr>
            <w:r>
              <w:rPr>
                <w:rFonts w:hint="eastAsia" w:ascii="Calibri" w:hAnsi="Calibri"/>
                <w:color w:val="auto"/>
                <w:szCs w:val="22"/>
                <w:highlight w:val="none"/>
              </w:rPr>
              <w:t xml:space="preserve">提供一致性组快照，支持将多个LUN加入一致性组，并支持创建一致性组快照，对数据库进行数据保护。</w:t>
            </w:r>
            <w:r/>
          </w:p>
          <w:p>
            <w:pPr>
              <w:numPr>
                <w:ilvl w:val="0"/>
                <w:numId w:val="4"/>
              </w:numPr>
              <w:contextualSpacing/>
              <w:rPr>
                <w:rFonts w:ascii="Calibri" w:hAnsi="Calibri"/>
                <w:color w:val="auto"/>
                <w:szCs w:val="22"/>
              </w:rPr>
            </w:pPr>
            <w:r>
              <w:rPr>
                <w:rFonts w:hint="eastAsia" w:ascii="Calibri" w:hAnsi="Calibri"/>
                <w:color w:val="auto"/>
                <w:szCs w:val="22"/>
                <w:highlight w:val="none"/>
                <w:lang w:val="zh-TW"/>
              </w:rPr>
              <w:t xml:space="preserve">▲</w:t>
            </w:r>
            <w:r>
              <w:rPr>
                <w:rFonts w:hint="eastAsia" w:ascii="Calibri" w:hAnsi="Calibri"/>
                <w:color w:val="auto"/>
                <w:szCs w:val="22"/>
                <w:highlight w:val="none"/>
              </w:rPr>
              <w:t xml:space="preserve">支持利用全闪存储并平衡与大容量存储</w:t>
            </w:r>
            <w:r>
              <w:rPr>
                <w:rFonts w:hint="eastAsia" w:ascii="Calibri" w:hAnsi="Calibri"/>
                <w:szCs w:val="22"/>
              </w:rPr>
              <w:t xml:space="preserve">之间的性能与成本，支持数据分层，可按需设</w:t>
            </w:r>
            <w:r>
              <w:rPr>
                <w:rFonts w:ascii="Calibri" w:hAnsi="Calibri"/>
                <w:szCs w:val="22"/>
              </w:rPr>
              <w:t xml:space="preserve">置分层策略，将全闪存储数据分层到外置文件存储、对象存储或云存储；分层后全闪数据不立即删除，保留缓存副本继续支持业务高速访问，待访问频率降低后再淘汰；后续再次读取冷数据时支持从</w:t>
            </w:r>
            <w:r>
              <w:rPr>
                <w:rFonts w:ascii="Calibri" w:hAnsi="Calibri"/>
                <w:color w:val="auto"/>
                <w:szCs w:val="22"/>
              </w:rPr>
              <w:t xml:space="preserve">外置对象存储预热回全闪，提高访问效率。</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4"/>
              </w:numPr>
              <w:contextualSpacing/>
              <w:rPr>
                <w:rFonts w:ascii="Calibri" w:hAnsi="Calibri"/>
                <w:color w:val="auto"/>
                <w:szCs w:val="22"/>
              </w:rPr>
            </w:pPr>
            <w:r>
              <w:rPr>
                <w:rFonts w:hint="eastAsia" w:ascii="Calibri" w:hAnsi="Calibri"/>
                <w:color w:val="auto"/>
                <w:szCs w:val="22"/>
                <w:lang w:val="zh-TW"/>
              </w:rPr>
              <w:t xml:space="preserve">▲</w:t>
            </w:r>
            <w:r>
              <w:rPr>
                <w:rFonts w:hint="eastAsia" w:ascii="Calibri" w:hAnsi="Calibri"/>
                <w:color w:val="auto"/>
                <w:szCs w:val="22"/>
              </w:rPr>
              <w:t xml:space="preserve">支持通过增量复制的方式，将原混闪存储中的数据加载至全闪，并允许在复制完成后进行业务交割，将所有业务的访问切换到全闪存储上。</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4"/>
              </w:numPr>
              <w:contextualSpacing/>
              <w:rPr>
                <w:rFonts w:ascii="Calibri" w:hAnsi="Calibri"/>
                <w:szCs w:val="22"/>
              </w:rPr>
            </w:pPr>
            <w:r>
              <w:rPr>
                <w:rFonts w:hint="eastAsia" w:ascii="Calibri" w:hAnsi="Calibri"/>
                <w:szCs w:val="22"/>
              </w:rPr>
              <w:t xml:space="preserve">支持数据加载，可以从现有对象存储、文件存储和云存储加载数据到全闪文件存储，可以配置策略执行时间，支持指定时间、带宽等限制。</w:t>
            </w:r>
            <w:r/>
          </w:p>
          <w:p>
            <w:pPr>
              <w:numPr>
                <w:ilvl w:val="0"/>
                <w:numId w:val="4"/>
              </w:numPr>
              <w:contextualSpacing/>
              <w:rPr>
                <w:rFonts w:ascii="Calibri" w:hAnsi="Calibri"/>
                <w:color w:val="auto"/>
                <w:szCs w:val="22"/>
                <w:highlight w:val="none"/>
              </w:rPr>
            </w:pPr>
            <w:r>
              <w:rPr>
                <w:rFonts w:hint="eastAsia" w:ascii="Calibri" w:hAnsi="Calibri"/>
                <w:szCs w:val="22"/>
              </w:rPr>
              <w:t xml:space="preserve">支持N+2纠删码，最大支持20+2，得盘率可随硬盘数量自动</w:t>
            </w:r>
            <w:r>
              <w:rPr>
                <w:rFonts w:hint="eastAsia" w:ascii="Calibri" w:hAnsi="Calibri"/>
                <w:color w:val="auto"/>
                <w:szCs w:val="22"/>
                <w:highlight w:val="none"/>
              </w:rPr>
              <w:t xml:space="preserve">扩展至最大91%，且支持在双盘失效等情况下存储数据不丢失且仍可在线访问。</w:t>
            </w:r>
            <w:r/>
          </w:p>
          <w:p>
            <w:pPr>
              <w:numPr>
                <w:ilvl w:val="0"/>
                <w:numId w:val="4"/>
              </w:numPr>
              <w:contextualSpacing/>
              <w:rPr>
                <w:rFonts w:ascii="Calibri" w:hAnsi="Calibri"/>
                <w:color w:val="auto"/>
                <w:szCs w:val="22"/>
                <w:highlight w:val="none"/>
              </w:rPr>
            </w:pPr>
            <w:r>
              <w:rPr>
                <w:rFonts w:hint="eastAsia" w:ascii="Calibri" w:hAnsi="Calibri"/>
                <w:color w:val="auto"/>
                <w:szCs w:val="22"/>
                <w:highlight w:val="none"/>
              </w:rPr>
              <w:t xml:space="preserve">支持硬盘亚健康预测、检测和故障自动处理，坏道定时扫描，静默错误检测，能够提前预判硬盘故障风险，做好硬件更换准备，并在界面上做出提示。</w:t>
            </w:r>
            <w:r/>
          </w:p>
          <w:p>
            <w:pPr>
              <w:numPr>
                <w:ilvl w:val="0"/>
                <w:numId w:val="4"/>
              </w:numPr>
              <w:contextualSpacing/>
              <w:rPr>
                <w:rFonts w:ascii="Calibri" w:hAnsi="Calibri"/>
                <w:color w:val="auto"/>
                <w:szCs w:val="22"/>
                <w:highlight w:val="none"/>
              </w:rPr>
            </w:pPr>
            <w:r>
              <w:rPr>
                <w:rFonts w:hint="eastAsia" w:ascii="Calibri" w:hAnsi="Calibri"/>
                <w:color w:val="auto"/>
                <w:szCs w:val="22"/>
                <w:highlight w:val="none"/>
              </w:rPr>
              <w:t xml:space="preserve">支持对卡慢盘进行检测和隔离处理，避免磁盘卡慢影响集群整体性能，从而对业务体验造成影响。</w:t>
            </w:r>
            <w:r/>
          </w:p>
          <w:p>
            <w:pPr>
              <w:numPr>
                <w:ilvl w:val="0"/>
                <w:numId w:val="4"/>
              </w:numPr>
              <w:contextualSpacing/>
              <w:rPr>
                <w:rFonts w:ascii="Calibri" w:hAnsi="Calibri"/>
                <w:color w:val="auto"/>
                <w:szCs w:val="22"/>
                <w:highlight w:val="none"/>
              </w:rPr>
            </w:pPr>
            <w:r>
              <w:rPr>
                <w:rFonts w:ascii="Calibri" w:hAnsi="Calibri"/>
                <w:color w:val="auto"/>
                <w:szCs w:val="22"/>
                <w:highlight w:val="none"/>
              </w:rPr>
              <w:t xml:space="preserve">支持数据重建，可设置数据恢复策略避免重建过程占用读写性能影响业务，也支持设置在业务空闲时段执行重建，避免对业务产生影响。</w:t>
            </w:r>
            <w:r/>
          </w:p>
          <w:p>
            <w:pPr>
              <w:numPr>
                <w:ilvl w:val="0"/>
                <w:numId w:val="4"/>
              </w:numPr>
              <w:contextualSpacing/>
              <w:rPr>
                <w:rFonts w:ascii="Calibri" w:hAnsi="Calibri"/>
                <w:szCs w:val="22"/>
              </w:rPr>
            </w:pPr>
            <w:r>
              <w:rPr>
                <w:rFonts w:hint="eastAsia" w:ascii="Calibri" w:hAnsi="Calibri"/>
                <w:color w:val="auto"/>
                <w:szCs w:val="22"/>
                <w:highlight w:val="none"/>
                <w:lang w:val="zh-TW"/>
              </w:rPr>
              <w:t xml:space="preserve">▲</w:t>
            </w:r>
            <w:r>
              <w:rPr>
                <w:rFonts w:hint="eastAsia" w:ascii="Calibri" w:hAnsi="Calibri"/>
                <w:color w:val="auto"/>
                <w:szCs w:val="22"/>
                <w:highlight w:val="none"/>
              </w:rPr>
              <w:t xml:space="preserve">为保证产品的安全性，存储软件应获得公安部颁发的网络安全专用产品安全检测证书。</w:t>
            </w:r>
            <w:r>
              <w:rPr>
                <w:rFonts w:hint="eastAsia" w:ascii="宋体" w:hAnsi="宋体" w:cs="宋体"/>
                <w:b/>
                <w:bCs/>
                <w:color w:val="auto"/>
                <w:szCs w:val="21"/>
                <w:highlight w:val="none"/>
              </w:rPr>
              <w:t xml:space="preserve">（投标文件中需提供证书扫描件）</w:t>
            </w:r>
            <w:r/>
          </w:p>
        </w:tc>
        <w:tc>
          <w:tcPr>
            <w:tcMar>
              <w:left w:w="120" w:type="dxa"/>
              <w:top w:w="60" w:type="dxa"/>
              <w:right w:w="120" w:type="dxa"/>
              <w:bottom w:w="30" w:type="dxa"/>
            </w:tcMar>
            <w:tcW w:w="709" w:type="dxa"/>
            <w:textDirection w:val="lrTb"/>
            <w:noWrap w:val="false"/>
          </w:tcPr>
          <w:p>
            <w:pPr>
              <w:jc w:val="center"/>
              <w:spacing w:before="120" w:after="120" w:line="288" w:lineRule="auto"/>
            </w:pPr>
            <w:r>
              <w:rPr>
                <w:rFonts w:hint="eastAsia"/>
              </w:rPr>
              <w:t xml:space="preserve">1</w:t>
            </w:r>
            <w:r/>
          </w:p>
        </w:tc>
        <w:tc>
          <w:tcPr>
            <w:tcMar>
              <w:left w:w="120" w:type="dxa"/>
              <w:top w:w="60" w:type="dxa"/>
              <w:right w:w="120" w:type="dxa"/>
              <w:bottom w:w="30" w:type="dxa"/>
            </w:tcMar>
            <w:tcW w:w="737" w:type="dxa"/>
            <w:textDirection w:val="lrTb"/>
            <w:noWrap w:val="false"/>
          </w:tcPr>
          <w:p>
            <w:pPr>
              <w:jc w:val="center"/>
              <w:spacing w:before="120" w:after="120" w:line="288" w:lineRule="auto"/>
            </w:pPr>
            <w:r>
              <w:rPr>
                <w:rFonts w:hint="eastAsia"/>
              </w:rPr>
              <w:t xml:space="preserve">台</w:t>
            </w:r>
            <w:r/>
          </w:p>
        </w:tc>
      </w:tr>
    </w:tbl>
    <w:p>
      <w:pPr>
        <w:ind w:firstLine="482"/>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t xml:space="preserve">（四）分项四：安全运维平台建设</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26"/>
        <w:gridCol w:w="1131"/>
        <w:gridCol w:w="6095"/>
        <w:gridCol w:w="709"/>
        <w:gridCol w:w="720"/>
      </w:tblGrid>
      <w:tr>
        <w:trPr>
          <w:jc w:val="center"/>
        </w:trPr>
        <w:tc>
          <w:tcPr>
            <w:tcMar>
              <w:left w:w="120" w:type="dxa"/>
              <w:top w:w="60" w:type="dxa"/>
              <w:right w:w="120" w:type="dxa"/>
              <w:bottom w:w="30" w:type="dxa"/>
            </w:tcMar>
            <w:tcW w:w="726" w:type="dxa"/>
            <w:textDirection w:val="lrTb"/>
            <w:noWrap w:val="false"/>
          </w:tcPr>
          <w:p>
            <w:pPr>
              <w:jc w:val="center"/>
              <w:spacing w:before="120" w:after="120" w:line="288" w:lineRule="auto"/>
            </w:pPr>
            <w:r>
              <w:rPr>
                <w:rFonts w:ascii="Arial" w:hAnsi="Arial" w:eastAsia="等线" w:cs="Arial"/>
                <w:sz w:val="22"/>
              </w:rPr>
              <w:t xml:space="preserve">序号</w:t>
            </w:r>
            <w:r/>
          </w:p>
        </w:tc>
        <w:tc>
          <w:tcPr>
            <w:tcMar>
              <w:left w:w="120" w:type="dxa"/>
              <w:top w:w="60" w:type="dxa"/>
              <w:right w:w="120" w:type="dxa"/>
              <w:bottom w:w="30" w:type="dxa"/>
            </w:tcMar>
            <w:tcW w:w="1131" w:type="dxa"/>
            <w:textDirection w:val="lrTb"/>
            <w:noWrap w:val="false"/>
          </w:tcPr>
          <w:p>
            <w:pPr>
              <w:jc w:val="center"/>
              <w:spacing w:before="120" w:after="120" w:line="288" w:lineRule="auto"/>
            </w:pPr>
            <w:r>
              <w:rPr>
                <w:rFonts w:ascii="Arial" w:hAnsi="Arial" w:eastAsia="等线" w:cs="Arial"/>
                <w:sz w:val="22"/>
              </w:rPr>
              <w:t xml:space="preserve">品目名称</w:t>
            </w:r>
            <w:r/>
          </w:p>
        </w:tc>
        <w:tc>
          <w:tcPr>
            <w:tcMar>
              <w:left w:w="120" w:type="dxa"/>
              <w:top w:w="60" w:type="dxa"/>
              <w:right w:w="120" w:type="dxa"/>
              <w:bottom w:w="30" w:type="dxa"/>
            </w:tcMar>
            <w:tcW w:w="6095" w:type="dxa"/>
            <w:textDirection w:val="lrTb"/>
            <w:noWrap w:val="false"/>
          </w:tcPr>
          <w:p>
            <w:pPr>
              <w:jc w:val="center"/>
              <w:spacing w:before="120" w:after="120" w:line="288" w:lineRule="auto"/>
            </w:pPr>
            <w:r>
              <w:rPr>
                <w:rFonts w:ascii="Arial" w:hAnsi="Arial" w:eastAsia="等线" w:cs="Arial"/>
                <w:sz w:val="22"/>
              </w:rPr>
              <w:t xml:space="preserve">核心技术参数（</w:t>
            </w:r>
            <w:r>
              <w:rPr>
                <w:rFonts w:hint="eastAsia" w:ascii="宋体" w:hAnsi="宋体" w:cs="宋体"/>
                <w:szCs w:val="21"/>
              </w:rPr>
              <w:t xml:space="preserve">★为实质性响应指标</w:t>
            </w:r>
            <w:r>
              <w:rPr>
                <w:rFonts w:ascii="Arial" w:hAnsi="Arial" w:eastAsia="等线" w:cs="Arial"/>
                <w:sz w:val="22"/>
              </w:rPr>
              <w:t xml:space="preserve">）</w:t>
            </w:r>
            <w:r/>
          </w:p>
        </w:tc>
        <w:tc>
          <w:tcPr>
            <w:tcMar>
              <w:left w:w="120" w:type="dxa"/>
              <w:top w:w="60" w:type="dxa"/>
              <w:right w:w="120" w:type="dxa"/>
              <w:bottom w:w="30" w:type="dxa"/>
            </w:tcMar>
            <w:tcW w:w="709" w:type="dxa"/>
            <w:textDirection w:val="lrTb"/>
            <w:noWrap w:val="false"/>
          </w:tcPr>
          <w:p>
            <w:pPr>
              <w:jc w:val="center"/>
              <w:spacing w:before="120" w:after="120" w:line="288" w:lineRule="auto"/>
            </w:pPr>
            <w:r>
              <w:rPr>
                <w:rFonts w:ascii="Arial" w:hAnsi="Arial" w:eastAsia="等线" w:cs="Arial"/>
                <w:sz w:val="22"/>
              </w:rPr>
              <w:t xml:space="preserve">数量</w:t>
            </w:r>
            <w:r/>
          </w:p>
        </w:tc>
        <w:tc>
          <w:tcPr>
            <w:tcMar>
              <w:left w:w="120" w:type="dxa"/>
              <w:top w:w="60" w:type="dxa"/>
              <w:right w:w="120" w:type="dxa"/>
              <w:bottom w:w="30" w:type="dxa"/>
            </w:tcMar>
            <w:tcW w:w="720" w:type="dxa"/>
            <w:textDirection w:val="lrTb"/>
            <w:noWrap w:val="false"/>
          </w:tcPr>
          <w:p>
            <w:pPr>
              <w:jc w:val="center"/>
              <w:spacing w:before="120" w:after="120" w:line="288" w:lineRule="auto"/>
            </w:pPr>
            <w:r>
              <w:rPr>
                <w:rFonts w:ascii="Arial" w:hAnsi="Arial" w:eastAsia="等线" w:cs="Arial"/>
                <w:sz w:val="22"/>
              </w:rPr>
              <w:t xml:space="preserve">单位</w:t>
            </w:r>
            <w:r/>
          </w:p>
        </w:tc>
      </w:tr>
      <w:tr>
        <w:trPr>
          <w:jc w:val="center"/>
        </w:trPr>
        <w:tc>
          <w:tcPr>
            <w:tcMar>
              <w:left w:w="120" w:type="dxa"/>
              <w:top w:w="60" w:type="dxa"/>
              <w:right w:w="120" w:type="dxa"/>
              <w:bottom w:w="30" w:type="dxa"/>
            </w:tcMar>
            <w:tcW w:w="726" w:type="dxa"/>
            <w:textDirection w:val="lrTb"/>
            <w:noWrap w:val="false"/>
          </w:tcPr>
          <w:p>
            <w:pPr>
              <w:jc w:val="center"/>
              <w:spacing w:before="120" w:after="120" w:line="288" w:lineRule="auto"/>
            </w:pPr>
            <w:r>
              <w:rPr>
                <w:rFonts w:hint="eastAsia"/>
              </w:rPr>
              <w:t xml:space="preserve">1</w:t>
            </w:r>
            <w:r/>
          </w:p>
        </w:tc>
        <w:tc>
          <w:tcPr>
            <w:tcMar>
              <w:left w:w="120" w:type="dxa"/>
              <w:top w:w="60" w:type="dxa"/>
              <w:right w:w="120" w:type="dxa"/>
              <w:bottom w:w="30" w:type="dxa"/>
            </w:tcMar>
            <w:tcW w:w="1131" w:type="dxa"/>
            <w:textDirection w:val="lrTb"/>
            <w:noWrap w:val="false"/>
          </w:tcPr>
          <w:p>
            <w:pPr>
              <w:jc w:val="center"/>
              <w:spacing w:before="120" w:after="120" w:line="288" w:lineRule="auto"/>
            </w:pPr>
            <w:r>
              <w:rPr>
                <w:rFonts w:hint="eastAsia"/>
              </w:rPr>
              <w:t xml:space="preserve">安全运维平台</w:t>
            </w:r>
            <w:r/>
          </w:p>
        </w:tc>
        <w:tc>
          <w:tcPr>
            <w:tcMar>
              <w:left w:w="120" w:type="dxa"/>
              <w:top w:w="60" w:type="dxa"/>
              <w:right w:w="120" w:type="dxa"/>
              <w:bottom w:w="30" w:type="dxa"/>
            </w:tcMar>
            <w:tcW w:w="6095" w:type="dxa"/>
            <w:textDirection w:val="lrTb"/>
            <w:noWrap w:val="false"/>
          </w:tcPr>
          <w:p>
            <w:pPr>
              <w:numPr>
                <w:ilvl w:val="0"/>
                <w:numId w:val="5"/>
              </w:numPr>
              <w:contextualSpacing/>
              <w:rPr>
                <w:rFonts w:ascii="Calibri" w:hAnsi="Calibri"/>
                <w:szCs w:val="22"/>
              </w:rPr>
            </w:pPr>
            <w:r>
              <w:rPr>
                <w:rFonts w:hint="eastAsia" w:ascii="Calibri" w:hAnsi="Calibri"/>
                <w:szCs w:val="22"/>
              </w:rPr>
              <w:t xml:space="preserve">支持</w:t>
            </w:r>
            <w:r>
              <w:rPr>
                <w:rFonts w:ascii="Calibri" w:hAnsi="Calibri"/>
                <w:szCs w:val="22"/>
              </w:rPr>
              <w:t xml:space="preserve">对网络基础架构中的硬件、软件等信息化资产进行运行状态、资源使用及性能指标的统一监控和7×24小时实时预警，提供智能告警、复杂问题根因定位、智能预警、智能巡检等功能模块，实现事前预警、事中定位和事后分析，全面保障业务系统的持续稳定运行</w:t>
            </w:r>
            <w:r>
              <w:rPr>
                <w:rFonts w:hint="eastAsia" w:ascii="Calibri" w:hAnsi="Calibri"/>
                <w:szCs w:val="22"/>
              </w:rPr>
              <w:t xml:space="preserve">。</w:t>
            </w:r>
            <w:r/>
          </w:p>
          <w:p>
            <w:pPr>
              <w:numPr>
                <w:ilvl w:val="0"/>
                <w:numId w:val="5"/>
              </w:numPr>
              <w:contextualSpacing/>
              <w:rPr>
                <w:rFonts w:ascii="Calibri" w:hAnsi="Calibri"/>
                <w:szCs w:val="22"/>
              </w:rPr>
            </w:pPr>
            <w:r>
              <w:rPr>
                <w:rFonts w:ascii="Calibri" w:hAnsi="Calibri"/>
                <w:szCs w:val="22"/>
              </w:rPr>
              <w:t xml:space="preserve">支持设置</w:t>
            </w:r>
            <w:r>
              <w:rPr>
                <w:rFonts w:hint="eastAsia" w:ascii="Calibri" w:hAnsi="Calibri"/>
                <w:szCs w:val="22"/>
              </w:rPr>
              <w:t xml:space="preserve">多个</w:t>
            </w:r>
            <w:r>
              <w:rPr>
                <w:rFonts w:ascii="Calibri" w:hAnsi="Calibri"/>
                <w:szCs w:val="22"/>
              </w:rPr>
              <w:t xml:space="preserve">个性化的Portal，支持全屏展示以及轮播。</w:t>
            </w:r>
            <w:r/>
          </w:p>
          <w:p>
            <w:pPr>
              <w:numPr>
                <w:ilvl w:val="0"/>
                <w:numId w:val="5"/>
              </w:numPr>
              <w:contextualSpacing/>
              <w:rPr>
                <w:rFonts w:ascii="Calibri" w:hAnsi="Calibri"/>
                <w:szCs w:val="22"/>
              </w:rPr>
            </w:pPr>
            <w:r>
              <w:rPr>
                <w:rFonts w:ascii="Calibri" w:hAnsi="Calibri"/>
                <w:szCs w:val="22"/>
              </w:rPr>
              <w:t xml:space="preserve">具备多种协议的发现能力，以单次任务或者周期性任务的形式，实现对单个网段或者多个网段、多种资源类型的统一发现，集中纳管</w:t>
            </w:r>
            <w:r>
              <w:rPr>
                <w:rFonts w:hint="eastAsia" w:ascii="Calibri" w:hAnsi="Calibri"/>
                <w:szCs w:val="22"/>
              </w:rPr>
              <w:t xml:space="preserve">。</w:t>
            </w:r>
            <w:r>
              <w:rPr>
                <w:rFonts w:ascii="Calibri" w:hAnsi="Calibri"/>
                <w:szCs w:val="22"/>
              </w:rPr>
              <w:t xml:space="preserve">支持以手动输入信息的形式对单个资源进行添加纳管，实现对单个资源的监控</w:t>
            </w:r>
            <w:r>
              <w:rPr>
                <w:rFonts w:hint="eastAsia" w:ascii="Calibri" w:hAnsi="Calibri"/>
                <w:szCs w:val="22"/>
              </w:rPr>
              <w:t xml:space="preserve">。</w:t>
            </w:r>
            <w:r/>
          </w:p>
          <w:p>
            <w:pPr>
              <w:numPr>
                <w:ilvl w:val="0"/>
                <w:numId w:val="5"/>
              </w:numPr>
              <w:contextualSpacing/>
              <w:rPr>
                <w:rFonts w:ascii="Calibri" w:hAnsi="Calibri"/>
                <w:szCs w:val="22"/>
              </w:rPr>
            </w:pPr>
            <w:r>
              <w:rPr>
                <w:rFonts w:hint="eastAsia" w:ascii="Calibri" w:hAnsi="Calibri"/>
                <w:szCs w:val="22"/>
              </w:rPr>
              <w:t xml:space="preserve">支持对操作系统、核心服务和组件进行自监控，并将监控信息在一个页面统一呈现。支持自监控信息一键导出。核心服务必须包括但不限于资源发现和采集服务、资产服务、用户认证和通知服务、Web前端服务等。</w:t>
            </w:r>
            <w:r/>
          </w:p>
          <w:p>
            <w:pPr>
              <w:numPr>
                <w:ilvl w:val="0"/>
                <w:numId w:val="5"/>
              </w:numPr>
              <w:contextualSpacing/>
              <w:rPr>
                <w:rFonts w:ascii="Calibri" w:hAnsi="Calibri"/>
                <w:szCs w:val="22"/>
              </w:rPr>
            </w:pPr>
            <w:r>
              <w:rPr>
                <w:rFonts w:hint="eastAsia" w:ascii="Calibri" w:hAnsi="Calibri"/>
                <w:szCs w:val="22"/>
              </w:rPr>
              <w:t xml:space="preserve">支持通过SNMP自动发现各类主流网络设备（支持IPv6地址），包括主流厂商的路由器、交换机、防火墙等设备。</w:t>
            </w:r>
            <w:r/>
          </w:p>
          <w:p>
            <w:pPr>
              <w:numPr>
                <w:ilvl w:val="0"/>
                <w:numId w:val="5"/>
              </w:numPr>
              <w:contextualSpacing/>
              <w:rPr>
                <w:rFonts w:ascii="Calibri" w:hAnsi="Calibri"/>
                <w:color w:val="auto"/>
                <w:szCs w:val="22"/>
              </w:rPr>
            </w:pPr>
            <w:r>
              <w:rPr>
                <w:rFonts w:hint="eastAsia" w:ascii="Calibri" w:hAnsi="Calibri"/>
                <w:szCs w:val="22"/>
              </w:rPr>
              <w:t xml:space="preserve">▲</w:t>
            </w:r>
            <w:r>
              <w:rPr>
                <w:rFonts w:ascii="Calibri" w:hAnsi="Calibri"/>
                <w:szCs w:val="22"/>
              </w:rPr>
              <w:t xml:space="preserve">系统</w:t>
            </w:r>
            <w:r>
              <w:rPr>
                <w:rFonts w:hint="eastAsia" w:ascii="Calibri" w:hAnsi="Calibri"/>
                <w:szCs w:val="22"/>
              </w:rPr>
              <w:t xml:space="preserve">应</w:t>
            </w:r>
            <w:r>
              <w:rPr>
                <w:rFonts w:ascii="Calibri" w:hAnsi="Calibri"/>
                <w:szCs w:val="22"/>
              </w:rPr>
              <w:t xml:space="preserve">支持自动识别能力，</w:t>
            </w:r>
            <w:r>
              <w:rPr>
                <w:rFonts w:hint="eastAsia" w:ascii="Calibri" w:hAnsi="Calibri"/>
                <w:szCs w:val="22"/>
              </w:rPr>
              <w:t xml:space="preserve">通过</w:t>
            </w:r>
            <w:r>
              <w:rPr>
                <w:rFonts w:ascii="Calibri" w:hAnsi="Calibri"/>
                <w:szCs w:val="22"/>
              </w:rPr>
              <w:t xml:space="preserve">操作系统的进程监听</w:t>
            </w:r>
            <w:r>
              <w:rPr>
                <w:rFonts w:hint="eastAsia" w:ascii="Calibri" w:hAnsi="Calibri"/>
                <w:szCs w:val="22"/>
              </w:rPr>
              <w:t xml:space="preserve">服务</w:t>
            </w:r>
            <w:r>
              <w:rPr>
                <w:rFonts w:ascii="Calibri" w:hAnsi="Calibri"/>
                <w:szCs w:val="22"/>
              </w:rPr>
              <w:t xml:space="preserve">端口和命令行，通过匹配</w:t>
            </w:r>
            <w:r>
              <w:rPr>
                <w:rFonts w:hint="eastAsia" w:ascii="Calibri" w:hAnsi="Calibri"/>
                <w:szCs w:val="22"/>
              </w:rPr>
              <w:t xml:space="preserve">相应</w:t>
            </w:r>
            <w:r>
              <w:rPr>
                <w:rFonts w:ascii="Calibri" w:hAnsi="Calibri"/>
                <w:szCs w:val="22"/>
              </w:rPr>
              <w:t xml:space="preserve">规则，自动识别出中间件</w:t>
            </w:r>
            <w:r>
              <w:rPr>
                <w:rFonts w:hint="eastAsia" w:ascii="Calibri" w:hAnsi="Calibri"/>
                <w:szCs w:val="22"/>
              </w:rPr>
              <w:t xml:space="preserve">及</w:t>
            </w:r>
            <w:r>
              <w:rPr>
                <w:rFonts w:ascii="Calibri" w:hAnsi="Calibri"/>
                <w:szCs w:val="22"/>
              </w:rPr>
              <w:t xml:space="preserve">数据库</w:t>
            </w:r>
            <w:r>
              <w:rPr>
                <w:rFonts w:hint="eastAsia" w:ascii="Calibri" w:hAnsi="Calibri"/>
                <w:szCs w:val="22"/>
              </w:rPr>
              <w:t xml:space="preserve">资源</w:t>
            </w:r>
            <w:r>
              <w:rPr>
                <w:rFonts w:ascii="Calibri" w:hAnsi="Calibri"/>
                <w:szCs w:val="22"/>
              </w:rPr>
              <w:t xml:space="preserve">，支持自定义匹配规则，</w:t>
            </w:r>
            <w:r>
              <w:rPr>
                <w:rFonts w:hint="eastAsia" w:ascii="Calibri" w:hAnsi="Calibri"/>
                <w:szCs w:val="22"/>
              </w:rPr>
              <w:t xml:space="preserve">提升</w:t>
            </w:r>
            <w:r>
              <w:rPr>
                <w:rFonts w:ascii="Calibri" w:hAnsi="Calibri"/>
                <w:szCs w:val="22"/>
              </w:rPr>
              <w:t xml:space="preserve">识别的准确</w:t>
            </w:r>
            <w:r>
              <w:rPr>
                <w:rFonts w:hint="eastAsia" w:ascii="Calibri" w:hAnsi="Calibri"/>
                <w:szCs w:val="22"/>
              </w:rPr>
              <w:t xml:space="preserve">率</w:t>
            </w:r>
            <w:r>
              <w:rPr>
                <w:rFonts w:ascii="Calibri" w:hAnsi="Calibri"/>
                <w:szCs w:val="22"/>
              </w:rPr>
              <w:t xml:space="preserve">。</w:t>
            </w:r>
            <w:r>
              <w:rPr>
                <w:rFonts w:hint="eastAsia" w:ascii="宋体" w:hAnsi="宋体" w:cs="宋体"/>
                <w:b/>
                <w:bCs/>
                <w:color w:val="auto"/>
                <w:szCs w:val="21"/>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5"/>
              </w:numPr>
              <w:contextualSpacing/>
              <w:rPr>
                <w:rFonts w:ascii="Calibri" w:hAnsi="Calibri"/>
                <w:szCs w:val="22"/>
              </w:rPr>
            </w:pPr>
            <w:r>
              <w:rPr>
                <w:rFonts w:ascii="Calibri" w:hAnsi="Calibri"/>
                <w:color w:val="auto"/>
                <w:szCs w:val="22"/>
              </w:rPr>
              <w:t xml:space="preserve">能够通过网络宏观架构视</w:t>
            </w:r>
            <w:r>
              <w:rPr>
                <w:rFonts w:ascii="Calibri" w:hAnsi="Calibri"/>
                <w:szCs w:val="22"/>
              </w:rPr>
              <w:t xml:space="preserve">角实时感知网络状况，了解网络运维态势，需要提供网络运维态势监控视图，能够查看核心网络拓扑的架构图，包括拓扑分层结构、构成拓扑设备的关键指标数据、链路的运行情况等，掌握整体网络运维情况。</w:t>
            </w:r>
            <w:r/>
          </w:p>
          <w:p>
            <w:pPr>
              <w:numPr>
                <w:ilvl w:val="0"/>
                <w:numId w:val="5"/>
              </w:numPr>
              <w:contextualSpacing/>
              <w:rPr>
                <w:rFonts w:ascii="Calibri" w:hAnsi="Calibri"/>
                <w:szCs w:val="22"/>
              </w:rPr>
            </w:pPr>
            <w:r>
              <w:rPr>
                <w:rFonts w:hint="eastAsia" w:ascii="Calibri" w:hAnsi="Calibri"/>
                <w:color w:val="auto"/>
                <w:szCs w:val="22"/>
                <w:highlight w:val="none"/>
              </w:rPr>
              <w:t xml:space="preserve">▲支持通过拓扑展示设备链路信息。查看拓扑图时，可将不经常关注的资源合并展示，支持将资源节点按区域分组展示并收起分区；区域收起或展开时，区域外资源节点在拓扑图中的位置应保持不变，区域内资源及链路的告警和风险提示应在收起区域中展示。</w:t>
            </w:r>
            <w:r>
              <w:rPr>
                <w:rFonts w:hint="eastAsia" w:ascii="Calibri" w:hAnsi="Calibri"/>
                <w:b/>
                <w:bCs/>
                <w:color w:val="auto"/>
                <w:szCs w:val="22"/>
                <w:highlight w:val="none"/>
              </w:rPr>
              <w:t xml:space="preserve">（投标文件中需提供证明材料，证明材料可选用产品功能截图、第三方权</w:t>
            </w:r>
            <w:r>
              <w:rPr>
                <w:rFonts w:hint="eastAsia" w:ascii="Calibri" w:hAnsi="Calibri"/>
                <w:b/>
                <w:bCs/>
                <w:szCs w:val="22"/>
              </w:rPr>
              <w:t xml:space="preserve">威机构出具的检测报告、产品白皮书、产品手册、产品彩页、公开印刷宣传材料、厂家盖章确认的技术材料等）</w:t>
            </w:r>
            <w:r/>
          </w:p>
          <w:p>
            <w:pPr>
              <w:numPr>
                <w:ilvl w:val="0"/>
                <w:numId w:val="5"/>
              </w:numPr>
              <w:contextualSpacing/>
              <w:rPr>
                <w:rFonts w:ascii="Calibri" w:hAnsi="Calibri"/>
                <w:szCs w:val="22"/>
              </w:rPr>
            </w:pPr>
            <w:r>
              <w:rPr>
                <w:rFonts w:hint="eastAsia" w:ascii="Calibri" w:hAnsi="Calibri"/>
                <w:szCs w:val="22"/>
              </w:rPr>
              <w:t xml:space="preserve">能够查看网络设备关键接口的接收速率和发送速率的运行趋势，及时洞察流量异常，感知流量变化。</w:t>
            </w:r>
            <w:r/>
          </w:p>
          <w:p>
            <w:pPr>
              <w:numPr>
                <w:ilvl w:val="0"/>
                <w:numId w:val="5"/>
              </w:numPr>
              <w:contextualSpacing/>
              <w:rPr>
                <w:rFonts w:ascii="Calibri" w:hAnsi="Calibri"/>
                <w:szCs w:val="22"/>
              </w:rPr>
            </w:pPr>
            <w:r>
              <w:rPr>
                <w:rFonts w:hint="eastAsia" w:ascii="Calibri" w:hAnsi="Calibri"/>
                <w:szCs w:val="22"/>
              </w:rPr>
              <w:t xml:space="preserve">支持选用HTTP、SNMP、SMI-S等方式监控存储设备。</w:t>
            </w:r>
            <w:r/>
          </w:p>
          <w:p>
            <w:pPr>
              <w:numPr>
                <w:ilvl w:val="0"/>
                <w:numId w:val="5"/>
              </w:numPr>
              <w:contextualSpacing/>
              <w:rPr>
                <w:rFonts w:ascii="Calibri" w:hAnsi="Calibri"/>
                <w:szCs w:val="22"/>
              </w:rPr>
            </w:pPr>
            <w:r>
              <w:rPr>
                <w:rFonts w:ascii="Calibri" w:hAnsi="Calibri"/>
                <w:szCs w:val="22"/>
              </w:rPr>
              <w:t xml:space="preserve">支持通过API接口实现对主流虚拟化服务器设备进行监控和管理。</w:t>
            </w:r>
            <w:r/>
          </w:p>
          <w:p>
            <w:pPr>
              <w:numPr>
                <w:ilvl w:val="0"/>
                <w:numId w:val="5"/>
              </w:numPr>
              <w:contextualSpacing/>
              <w:rPr>
                <w:rFonts w:ascii="Calibri" w:hAnsi="Calibri"/>
                <w:szCs w:val="22"/>
              </w:rPr>
            </w:pPr>
            <w:r>
              <w:rPr>
                <w:rFonts w:hint="eastAsia" w:ascii="Calibri" w:hAnsi="Calibri"/>
                <w:szCs w:val="22"/>
              </w:rPr>
              <w:t xml:space="preserve">支持监测网络设备CPU利用率、内存利用率、端口状态、总流量、上行流量、下行流量、端口速率、端口带宽利用率、端口丢包率、端口错包率、广播包速率、光模块、风扇、电源等运行状态和指标。</w:t>
            </w:r>
            <w:r/>
          </w:p>
          <w:p>
            <w:pPr>
              <w:numPr>
                <w:ilvl w:val="0"/>
                <w:numId w:val="5"/>
              </w:numPr>
              <w:contextualSpacing/>
              <w:rPr>
                <w:rFonts w:ascii="Calibri" w:hAnsi="Calibri"/>
                <w:szCs w:val="22"/>
              </w:rPr>
            </w:pPr>
            <w:r>
              <w:rPr>
                <w:rFonts w:ascii="Calibri" w:hAnsi="Calibri"/>
                <w:szCs w:val="22"/>
              </w:rPr>
              <w:t xml:space="preserve">提供设备自动巡检功能。巡检内容包括服务器、网络设备、应用、无线、虚拟化、存储、机房环境等所有管理对象。</w:t>
            </w:r>
            <w:r/>
          </w:p>
          <w:p>
            <w:pPr>
              <w:numPr>
                <w:ilvl w:val="0"/>
                <w:numId w:val="5"/>
              </w:numPr>
              <w:contextualSpacing/>
              <w:rPr>
                <w:rFonts w:ascii="Calibri" w:hAnsi="Calibri"/>
                <w:szCs w:val="22"/>
              </w:rPr>
            </w:pPr>
            <w:r>
              <w:rPr>
                <w:rFonts w:hint="eastAsia" w:ascii="Calibri" w:hAnsi="Calibri"/>
                <w:szCs w:val="22"/>
              </w:rPr>
              <w:t xml:space="preserve">支持自定义多个巡检任务面向不同的管理对象，设定巡检时间。巡检结束后应生成巡检报告。</w:t>
            </w:r>
            <w:r/>
          </w:p>
          <w:p>
            <w:pPr>
              <w:numPr>
                <w:ilvl w:val="0"/>
                <w:numId w:val="5"/>
              </w:numPr>
              <w:contextualSpacing/>
              <w:rPr>
                <w:rFonts w:ascii="Calibri" w:hAnsi="Calibri"/>
                <w:color w:val="auto"/>
                <w:szCs w:val="22"/>
                <w:highlight w:val="none"/>
              </w:rPr>
            </w:pPr>
            <w:r>
              <w:rPr>
                <w:rFonts w:hint="eastAsia" w:ascii="Calibri" w:hAnsi="Calibri"/>
                <w:szCs w:val="22"/>
              </w:rPr>
              <w:t xml:space="preserve">支持绘制机柜真实形态，支持设备设置在机柜中的真实位置，支持在机柜上绘制出设备的真实位置和真实面板，支</w:t>
            </w:r>
            <w:r>
              <w:rPr>
                <w:rFonts w:hint="eastAsia" w:ascii="Calibri" w:hAnsi="Calibri"/>
                <w:color w:val="auto"/>
                <w:szCs w:val="22"/>
                <w:highlight w:val="none"/>
              </w:rPr>
              <w:t xml:space="preserve">持根据设备真实形态绘制面板。</w:t>
            </w:r>
            <w:r/>
          </w:p>
          <w:p>
            <w:pPr>
              <w:numPr>
                <w:ilvl w:val="0"/>
                <w:numId w:val="5"/>
              </w:numPr>
              <w:contextualSpacing/>
              <w:rPr>
                <w:rFonts w:ascii="Calibri" w:hAnsi="Calibri"/>
                <w:color w:val="auto"/>
                <w:szCs w:val="22"/>
                <w:highlight w:val="none"/>
              </w:rPr>
            </w:pPr>
            <w:r>
              <w:rPr>
                <w:rFonts w:hint="eastAsia" w:ascii="Calibri" w:hAnsi="Calibri"/>
                <w:color w:val="auto"/>
                <w:szCs w:val="22"/>
                <w:highlight w:val="none"/>
              </w:rPr>
              <w:t xml:space="preserve">支持移动运维，可随时随地查看平台告警、性能、存储资源、服务器资源等运行数据，并通过移动化通知管理提升运维效率和灵活性。支持对接飞书、钉钉、企业微信，可从相关软件直接打开并使用移动端；移动端相关数据应加密，保障数据安全。</w:t>
            </w:r>
            <w:r/>
          </w:p>
          <w:p>
            <w:pPr>
              <w:numPr>
                <w:ilvl w:val="0"/>
                <w:numId w:val="5"/>
              </w:numPr>
              <w:contextualSpacing/>
              <w:rPr>
                <w:rFonts w:ascii="Calibri" w:hAnsi="Calibri"/>
                <w:color w:val="auto"/>
                <w:szCs w:val="22"/>
                <w:highlight w:val="none"/>
              </w:rPr>
            </w:pPr>
            <w:r>
              <w:rPr>
                <w:rFonts w:hint="eastAsia" w:ascii="Calibri" w:hAnsi="Calibri"/>
                <w:color w:val="auto"/>
                <w:szCs w:val="22"/>
                <w:highlight w:val="none"/>
              </w:rPr>
              <w:t xml:space="preserve">▲支持以函数方式定义告警产生条件与恢复条件，可判断性能指标返回值满足阈值的连续/累计次数。</w:t>
            </w:r>
            <w:r>
              <w:rPr>
                <w:rFonts w:hint="eastAsia" w:ascii="宋体" w:hAnsi="宋体" w:cs="宋体"/>
                <w:b/>
                <w:bCs/>
                <w:color w:val="auto"/>
                <w:szCs w:val="21"/>
                <w:highlight w:val="none"/>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5"/>
              </w:numPr>
              <w:contextualSpacing/>
              <w:rPr>
                <w:rFonts w:ascii="Calibri" w:hAnsi="Calibri"/>
                <w:color w:val="auto"/>
                <w:szCs w:val="22"/>
                <w:highlight w:val="none"/>
              </w:rPr>
            </w:pPr>
            <w:r>
              <w:rPr>
                <w:rFonts w:ascii="Calibri" w:hAnsi="Calibri"/>
                <w:color w:val="auto"/>
                <w:szCs w:val="22"/>
                <w:highlight w:val="none"/>
              </w:rPr>
              <w:t xml:space="preserve">支持基于网络拓扑进行告警收敛，上级设备告警时自动屏蔽多个下联设备的衍生告警，提取核心关键告警，减少冗余告警。</w:t>
            </w:r>
            <w:r/>
          </w:p>
          <w:p>
            <w:pPr>
              <w:numPr>
                <w:ilvl w:val="0"/>
                <w:numId w:val="5"/>
              </w:numPr>
              <w:contextualSpacing/>
              <w:rPr>
                <w:rFonts w:ascii="Calibri" w:hAnsi="Calibri"/>
                <w:color w:val="auto"/>
                <w:szCs w:val="22"/>
                <w:highlight w:val="none"/>
              </w:rPr>
            </w:pPr>
            <w:r>
              <w:rPr>
                <w:rFonts w:hint="eastAsia" w:ascii="Calibri" w:hAnsi="Calibri"/>
                <w:color w:val="auto"/>
                <w:szCs w:val="22"/>
                <w:highlight w:val="none"/>
              </w:rPr>
              <w:t xml:space="preserve">▲</w:t>
            </w:r>
            <w:r>
              <w:rPr>
                <w:rFonts w:ascii="Calibri" w:hAnsi="Calibri"/>
                <w:color w:val="auto"/>
                <w:szCs w:val="22"/>
                <w:highlight w:val="none"/>
              </w:rPr>
              <w:t xml:space="preserve">支持基于单</w:t>
            </w:r>
            <w:r>
              <w:rPr>
                <w:rFonts w:hint="eastAsia" w:ascii="Calibri" w:hAnsi="Calibri"/>
                <w:color w:val="auto"/>
                <w:szCs w:val="22"/>
                <w:highlight w:val="none"/>
              </w:rPr>
              <w:t xml:space="preserve">个</w:t>
            </w:r>
            <w:r>
              <w:rPr>
                <w:rFonts w:ascii="Calibri" w:hAnsi="Calibri"/>
                <w:color w:val="auto"/>
                <w:szCs w:val="22"/>
                <w:highlight w:val="none"/>
              </w:rPr>
              <w:t xml:space="preserve">资源多</w:t>
            </w:r>
            <w:r>
              <w:rPr>
                <w:rFonts w:hint="eastAsia" w:ascii="Calibri" w:hAnsi="Calibri"/>
                <w:color w:val="auto"/>
                <w:szCs w:val="22"/>
                <w:highlight w:val="none"/>
              </w:rPr>
              <w:t xml:space="preserve">类</w:t>
            </w:r>
            <w:r>
              <w:rPr>
                <w:rFonts w:ascii="Calibri" w:hAnsi="Calibri"/>
                <w:color w:val="auto"/>
                <w:szCs w:val="22"/>
                <w:highlight w:val="none"/>
              </w:rPr>
              <w:t xml:space="preserve">指标、多</w:t>
            </w:r>
            <w:r>
              <w:rPr>
                <w:rFonts w:hint="eastAsia" w:ascii="Calibri" w:hAnsi="Calibri"/>
                <w:color w:val="auto"/>
                <w:szCs w:val="22"/>
                <w:highlight w:val="none"/>
              </w:rPr>
              <w:t xml:space="preserve">个</w:t>
            </w:r>
            <w:r>
              <w:rPr>
                <w:rFonts w:ascii="Calibri" w:hAnsi="Calibri"/>
                <w:color w:val="auto"/>
                <w:szCs w:val="22"/>
                <w:highlight w:val="none"/>
              </w:rPr>
              <w:t xml:space="preserve">资源多</w:t>
            </w:r>
            <w:r>
              <w:rPr>
                <w:rFonts w:hint="eastAsia" w:ascii="Calibri" w:hAnsi="Calibri"/>
                <w:color w:val="auto"/>
                <w:szCs w:val="22"/>
                <w:highlight w:val="none"/>
              </w:rPr>
              <w:t xml:space="preserve">类</w:t>
            </w:r>
            <w:r>
              <w:rPr>
                <w:rFonts w:ascii="Calibri" w:hAnsi="Calibri"/>
                <w:color w:val="auto"/>
                <w:szCs w:val="22"/>
                <w:highlight w:val="none"/>
              </w:rPr>
              <w:t xml:space="preserve">指标、指标与属性同时判断告警条件。</w:t>
            </w:r>
            <w:r>
              <w:rPr>
                <w:rFonts w:hint="eastAsia" w:ascii="宋体" w:hAnsi="宋体" w:cs="宋体"/>
                <w:b/>
                <w:bCs/>
                <w:color w:val="auto"/>
                <w:szCs w:val="21"/>
                <w:highlight w:val="none"/>
              </w:rPr>
              <w:t xml:space="preserve">（投标文件中需提供证明材料，证明材料可选用产品功能截图、第三方权威机构出具的检测报告、产品白皮书、产品手册、产品彩页、公开印刷宣传材料、厂家盖章确认的技术材料等）</w:t>
            </w:r>
            <w:r/>
          </w:p>
          <w:p>
            <w:pPr>
              <w:numPr>
                <w:ilvl w:val="0"/>
                <w:numId w:val="5"/>
              </w:numPr>
              <w:contextualSpacing/>
              <w:rPr>
                <w:rFonts w:ascii="Calibri" w:hAnsi="Calibri"/>
                <w:szCs w:val="22"/>
              </w:rPr>
            </w:pPr>
            <w:r>
              <w:rPr>
                <w:rFonts w:hint="eastAsia" w:ascii="Calibri" w:hAnsi="Calibri"/>
                <w:szCs w:val="22"/>
              </w:rPr>
              <w:t xml:space="preserve">★</w:t>
            </w:r>
            <w:r>
              <w:rPr>
                <w:rFonts w:ascii="Calibri" w:hAnsi="Calibri"/>
                <w:szCs w:val="22"/>
              </w:rPr>
              <w:t xml:space="preserve">单套实际配置：≥100个服务器等资源节点授权；≥50个网络设备授权，</w:t>
            </w:r>
            <w:r>
              <w:rPr>
                <w:rFonts w:hint="eastAsia" w:ascii="Calibri" w:hAnsi="Calibri"/>
                <w:szCs w:val="22"/>
              </w:rPr>
              <w:t xml:space="preserve">3年原厂软件升级</w:t>
            </w:r>
            <w:r>
              <w:rPr>
                <w:rFonts w:ascii="Calibri" w:hAnsi="Calibri"/>
                <w:szCs w:val="22"/>
              </w:rPr>
              <w:t xml:space="preserve">。</w:t>
            </w:r>
            <w:r/>
          </w:p>
        </w:tc>
        <w:tc>
          <w:tcPr>
            <w:tcMar>
              <w:left w:w="120" w:type="dxa"/>
              <w:top w:w="60" w:type="dxa"/>
              <w:right w:w="120" w:type="dxa"/>
              <w:bottom w:w="30" w:type="dxa"/>
            </w:tcMar>
            <w:tcW w:w="709" w:type="dxa"/>
            <w:textDirection w:val="lrTb"/>
            <w:noWrap w:val="false"/>
          </w:tcPr>
          <w:p>
            <w:pPr>
              <w:jc w:val="center"/>
              <w:spacing w:before="120" w:after="120" w:line="288" w:lineRule="auto"/>
            </w:pPr>
            <w:r>
              <w:rPr>
                <w:rFonts w:hint="eastAsia"/>
              </w:rPr>
              <w:t xml:space="preserve">1</w:t>
            </w:r>
            <w:r/>
          </w:p>
        </w:tc>
        <w:tc>
          <w:tcPr>
            <w:tcMar>
              <w:left w:w="120" w:type="dxa"/>
              <w:top w:w="60" w:type="dxa"/>
              <w:right w:w="120" w:type="dxa"/>
              <w:bottom w:w="30" w:type="dxa"/>
            </w:tcMar>
            <w:tcW w:w="720" w:type="dxa"/>
            <w:textDirection w:val="lrTb"/>
            <w:noWrap w:val="false"/>
          </w:tcPr>
          <w:p>
            <w:pPr>
              <w:jc w:val="center"/>
              <w:spacing w:before="120" w:after="120" w:line="288" w:lineRule="auto"/>
            </w:pPr>
            <w:r>
              <w:rPr>
                <w:rFonts w:hint="eastAsia"/>
              </w:rPr>
              <w:t xml:space="preserve">套</w:t>
            </w:r>
            <w:r/>
          </w:p>
        </w:tc>
      </w:tr>
    </w:tbl>
    <w:p>
      <w:pPr>
        <w:ind w:firstLine="562"/>
        <w:spacing w:line="400" w:lineRule="exact"/>
        <w:rPr>
          <w:rFonts w:ascii="宋体" w:hAnsi="宋体"/>
          <w:b/>
          <w:sz w:val="28"/>
          <w:szCs w:val="28"/>
        </w:rPr>
      </w:pPr>
      <w:r>
        <w:rPr>
          <w:rFonts w:ascii="宋体" w:hAnsi="宋体"/>
          <w:b/>
          <w:sz w:val="28"/>
          <w:szCs w:val="28"/>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24"/>
        </w:rPr>
      </w:pPr>
      <w:r>
        <w:rPr>
          <w:rFonts w:hint="eastAsia" w:ascii="宋体" w:hAnsi="宋体" w:cs="宋体"/>
          <w:b/>
          <w:bCs/>
          <w:sz w:val="24"/>
        </w:rPr>
        <w:t xml:space="preserve">七、商务要求</w:t>
      </w:r>
      <w:r/>
    </w:p>
    <w:p>
      <w:pPr>
        <w:spacing w:line="360" w:lineRule="auto"/>
        <w:rPr>
          <w:rFonts w:ascii="宋体" w:hAnsi="宋体" w:cs="宋体"/>
          <w:b/>
          <w:bCs/>
          <w:sz w:val="24"/>
        </w:rPr>
      </w:pPr>
      <w:r/>
      <w:bookmarkStart w:id="6" w:name="heading_11"/>
      <w:r>
        <w:rPr>
          <w:rFonts w:ascii="宋体" w:hAnsi="宋体" w:cs="宋体"/>
          <w:b/>
          <w:bCs/>
          <w:sz w:val="24"/>
        </w:rPr>
        <w:t xml:space="preserve">（一）交货、实施周期</w:t>
      </w:r>
      <w:bookmarkEnd w:id="6"/>
      <w:r/>
      <w:r/>
    </w:p>
    <w:p>
      <w:pPr>
        <w:spacing w:line="360" w:lineRule="auto"/>
        <w:rPr>
          <w:rFonts w:ascii="宋体" w:hAnsi="宋体" w:cs="宋体"/>
          <w:sz w:val="24"/>
        </w:rPr>
      </w:pPr>
      <w:r>
        <w:rPr>
          <w:rFonts w:ascii="宋体" w:hAnsi="宋体" w:cs="宋体"/>
          <w:sz w:val="24"/>
        </w:rPr>
        <w:t xml:space="preserve">1.交货地点：徐州工业职业技术学院校内指定数据中心机房；</w:t>
      </w:r>
      <w:r/>
    </w:p>
    <w:p>
      <w:pPr>
        <w:spacing w:line="360" w:lineRule="auto"/>
        <w:rPr>
          <w:rFonts w:ascii="宋体" w:hAnsi="宋体" w:cs="宋体"/>
          <w:sz w:val="24"/>
        </w:rPr>
      </w:pPr>
      <w:r>
        <w:rPr>
          <w:rFonts w:ascii="宋体" w:hAnsi="宋体" w:cs="宋体"/>
          <w:sz w:val="24"/>
        </w:rPr>
        <w:t xml:space="preserve">2.到货及实施工期：</w:t>
      </w:r>
      <w:r>
        <w:rPr>
          <w:rFonts w:hint="eastAsia" w:ascii="宋体" w:hAnsi="宋体" w:cs="宋体"/>
          <w:sz w:val="24"/>
          <w:lang w:eastAsia="zh-CN"/>
        </w:rPr>
        <w:t xml:space="preserve">中标人</w:t>
      </w:r>
      <w:bookmarkStart w:id="12" w:name="_GoBack"/>
      <w:r/>
      <w:bookmarkEnd w:id="12"/>
      <w:r>
        <w:rPr>
          <w:rFonts w:ascii="宋体" w:hAnsi="宋体" w:cs="宋体"/>
          <w:sz w:val="24"/>
        </w:rPr>
        <w:t xml:space="preserve">应自合同签订之日起20日内完成全部设备到货、上架安装，并完成四大平台硬件部署、软件配置、平台间接口联调，实现互联互通；</w:t>
      </w:r>
      <w:r/>
    </w:p>
    <w:p>
      <w:pPr>
        <w:spacing w:line="360" w:lineRule="auto"/>
        <w:rPr>
          <w:rFonts w:ascii="宋体" w:hAnsi="宋体" w:cs="宋体"/>
          <w:sz w:val="24"/>
        </w:rPr>
      </w:pPr>
      <w:r>
        <w:rPr>
          <w:rFonts w:ascii="宋体" w:hAnsi="宋体" w:cs="宋体"/>
          <w:sz w:val="24"/>
        </w:rPr>
        <w:t xml:space="preserve">3.实施范围：设备供货、上架布线、系统安装、策略配置、平台集成对接、全流程培训、试运行整改、竣工验收，不含校园交换机、无线 AP、楼宇布线等外部网络设备施工。</w:t>
      </w:r>
      <w:r/>
    </w:p>
    <w:p>
      <w:pPr>
        <w:spacing w:line="360" w:lineRule="auto"/>
        <w:rPr>
          <w:rFonts w:ascii="宋体" w:hAnsi="宋体" w:cs="宋体"/>
          <w:b/>
          <w:bCs/>
          <w:sz w:val="24"/>
        </w:rPr>
      </w:pPr>
      <w:r/>
      <w:bookmarkStart w:id="7" w:name="heading_12"/>
      <w:r>
        <w:rPr>
          <w:rFonts w:ascii="宋体" w:hAnsi="宋体" w:cs="宋体"/>
          <w:b/>
          <w:bCs/>
          <w:sz w:val="24"/>
        </w:rPr>
        <w:t xml:space="preserve">（二）质保及售后服务要求</w:t>
      </w:r>
      <w:bookmarkEnd w:id="7"/>
      <w:r/>
      <w:r/>
    </w:p>
    <w:p>
      <w:pPr>
        <w:spacing w:line="360" w:lineRule="auto"/>
        <w:rPr>
          <w:rFonts w:ascii="宋体" w:hAnsi="宋体" w:cs="宋体"/>
          <w:sz w:val="24"/>
        </w:rPr>
      </w:pPr>
      <w:r>
        <w:rPr>
          <w:rFonts w:ascii="宋体" w:hAnsi="宋体" w:cs="宋体"/>
          <w:sz w:val="24"/>
        </w:rPr>
        <w:t xml:space="preserve">1.全部硬件设备提供至少3年原厂免费质保，报价包含全部质保费用；质保期内设备质量故障免费上门更换原厂配件，配套平台软件三年免费升级。</w:t>
      </w:r>
      <w:r/>
    </w:p>
    <w:p>
      <w:pPr>
        <w:spacing w:line="360" w:lineRule="auto"/>
        <w:rPr>
          <w:rFonts w:ascii="宋体" w:hAnsi="宋体" w:cs="宋体"/>
          <w:sz w:val="24"/>
        </w:rPr>
      </w:pPr>
      <w:r>
        <w:rPr>
          <w:rFonts w:hint="eastAsia" w:ascii="宋体" w:hAnsi="宋体" w:cs="宋体"/>
          <w:sz w:val="24"/>
        </w:rPr>
        <w:t xml:space="preserve">2.</w:t>
      </w:r>
      <w:r>
        <w:rPr>
          <w:rStyle w:val="1247"/>
          <w:rFonts w:hint="default"/>
          <w:color w:val="auto"/>
        </w:rPr>
        <w:t xml:space="preserve">所有设备均为全新原装正品，严禁翻新、二手设备，</w:t>
      </w:r>
      <w:r>
        <w:rPr>
          <w:rFonts w:ascii="宋体" w:hAnsi="宋体" w:cs="宋体"/>
          <w:sz w:val="24"/>
        </w:rPr>
        <w:t xml:space="preserve">中标后到货验收阶段须提供</w:t>
      </w:r>
      <w:r>
        <w:rPr>
          <w:rStyle w:val="1247"/>
          <w:rFonts w:hint="default"/>
          <w:color w:val="auto"/>
        </w:rPr>
        <w:t xml:space="preserve">原厂质量证明文件。</w:t>
      </w:r>
      <w:r/>
    </w:p>
    <w:p>
      <w:pPr>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.质保期内每年提供1次四大平台专项巡检，出具巡检报告，优化虚拟化资源调度、存储分配、零信任访问策略；</w:t>
      </w:r>
      <w:r/>
    </w:p>
    <w:p>
      <w:pPr>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.常规故障15分钟内远程响应，远程无法解决4小时内抵达校内现场处置；</w:t>
      </w:r>
      <w:r/>
    </w:p>
    <w:p>
      <w:pPr>
        <w:spacing w:line="360" w:lineRule="auto"/>
        <w:rPr>
          <w:rFonts w:ascii="宋体" w:hAnsi="宋体" w:cs="宋体"/>
          <w:sz w:val="24"/>
        </w:rPr>
      </w:pPr>
      <w:r>
        <w:rPr>
          <w:rFonts w:hint="eastAsia" w:ascii="宋体" w:hAnsi="宋体" w:cs="宋体"/>
          <w:sz w:val="24"/>
        </w:rPr>
        <w:t xml:space="preserve">5.重大故障（虚拟化集群瘫痪、存储故障、零信任平台宕机）10分钟内响应，20分钟启动应急小组，1小时内抵达现场，4小时内完成故障修复，同步提供临时应急保障方案；</w:t>
      </w:r>
      <w:r/>
    </w:p>
    <w:p>
      <w:pP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.质保期满后</w:t>
      </w:r>
      <w:r>
        <w:rPr>
          <w:rFonts w:hint="eastAsia" w:ascii="宋体" w:hAnsi="宋体" w:cs="宋体"/>
          <w:sz w:val="24"/>
        </w:rPr>
        <w:t xml:space="preserve">，</w:t>
      </w:r>
      <w:r>
        <w:rPr>
          <w:rFonts w:ascii="宋体" w:hAnsi="宋体" w:cs="宋体"/>
          <w:sz w:val="24"/>
        </w:rPr>
        <w:t xml:space="preserve">中标人须提供</w:t>
      </w:r>
      <w:r>
        <w:rPr>
          <w:rStyle w:val="889"/>
          <w:rFonts w:ascii="宋体" w:hAnsi="宋体" w:cs="宋体"/>
          <w:b w:val="0"/>
          <w:sz w:val="24"/>
        </w:rPr>
        <w:t xml:space="preserve">优先有偿维保服务</w:t>
      </w:r>
      <w:r>
        <w:rPr>
          <w:rFonts w:ascii="宋体" w:hAnsi="宋体" w:cs="宋体"/>
          <w:sz w:val="24"/>
        </w:rPr>
        <w:t xml:space="preserve">，年维保费用不高于本项目中标总金额6%，维保服务标准、服务内容与免费质保期保持一致。</w:t>
      </w:r>
      <w:r/>
    </w:p>
    <w:p>
      <w:pPr>
        <w:spacing w:line="360" w:lineRule="auto"/>
        <w:rPr>
          <w:rFonts w:ascii="宋体" w:hAnsi="宋体" w:cs="宋体"/>
          <w:b/>
          <w:bCs/>
          <w:sz w:val="24"/>
        </w:rPr>
      </w:pPr>
      <w:r/>
      <w:bookmarkStart w:id="8" w:name="heading_13"/>
      <w:r>
        <w:rPr>
          <w:rFonts w:ascii="宋体" w:hAnsi="宋体" w:cs="宋体"/>
          <w:b/>
          <w:bCs/>
          <w:sz w:val="24"/>
        </w:rPr>
        <w:t xml:space="preserve">（三）项目组织实施要求</w:t>
      </w:r>
      <w:bookmarkEnd w:id="8"/>
      <w:r/>
      <w:r/>
    </w:p>
    <w:p>
      <w:pPr>
        <w:spacing w:line="360" w:lineRule="auto"/>
        <w:rPr>
          <w:rFonts w:ascii="宋体" w:hAnsi="宋体" w:cs="宋体"/>
          <w:sz w:val="24"/>
        </w:rPr>
      </w:pPr>
      <w:r>
        <w:rPr>
          <w:rFonts w:ascii="宋体" w:hAnsi="宋体" w:cs="宋体"/>
          <w:sz w:val="24"/>
        </w:rPr>
        <w:t xml:space="preserve">1.实施方案：中标</w:t>
      </w:r>
      <w:r>
        <w:rPr>
          <w:rFonts w:hint="eastAsia" w:ascii="宋体" w:hAnsi="宋体" w:cs="宋体"/>
          <w:sz w:val="24"/>
        </w:rPr>
        <w:t xml:space="preserve">人</w:t>
      </w:r>
      <w:r>
        <w:rPr>
          <w:rFonts w:ascii="宋体" w:hAnsi="宋体" w:cs="宋体"/>
          <w:sz w:val="24"/>
        </w:rPr>
        <w:t xml:space="preserve">进场前提交完整专项实施方案，包含四大平台部署架构、互联互通对接方案、施工进度计划、风险管控方案、IPv6适配方案；施工安排避开教学、实训高峰时段，不影响校内正常业务运行。</w:t>
      </w:r>
      <w:r/>
    </w:p>
    <w:p>
      <w:pPr>
        <w:spacing w:line="360" w:lineRule="auto"/>
        <w:rPr>
          <w:rFonts w:ascii="宋体" w:hAnsi="宋体" w:cs="宋体"/>
          <w:sz w:val="24"/>
        </w:rPr>
      </w:pPr>
      <w:r>
        <w:rPr>
          <w:rFonts w:ascii="宋体" w:hAnsi="宋体" w:cs="宋体"/>
          <w:sz w:val="24"/>
        </w:rPr>
        <w:t xml:space="preserve">2.项目团队配置：</w:t>
      </w:r>
      <w:r/>
    </w:p>
    <w:p>
      <w:pPr>
        <w:spacing w:line="360" w:lineRule="auto"/>
        <w:rPr>
          <w:rFonts w:ascii="宋体" w:hAnsi="宋体" w:cs="宋体"/>
          <w:sz w:val="24"/>
        </w:rPr>
      </w:pPr>
      <w:r>
        <w:rPr>
          <w:rFonts w:ascii="宋体" w:hAnsi="宋体" w:cs="宋体"/>
          <w:sz w:val="24"/>
        </w:rPr>
        <w:t xml:space="preserve">（1）团队成员不少于5人，须为本项目专职服务人员。</w:t>
      </w:r>
      <w:r/>
    </w:p>
    <w:p>
      <w:pPr>
        <w:spacing w:line="360" w:lineRule="auto"/>
        <w:rPr>
          <w:rFonts w:ascii="宋体" w:hAnsi="宋体" w:cs="宋体"/>
          <w:sz w:val="24"/>
        </w:rPr>
      </w:pPr>
      <w:r>
        <w:rPr>
          <w:rFonts w:ascii="宋体" w:hAnsi="宋体" w:cs="宋体"/>
          <w:sz w:val="24"/>
        </w:rPr>
        <w:t xml:space="preserve">（2）项目负责人1名，负责项目实施组织、进度管控、施工安排及与校方对接协调，确保项目按期交付。</w:t>
      </w:r>
      <w:r/>
    </w:p>
    <w:p>
      <w:pPr>
        <w:spacing w:line="360" w:lineRule="auto"/>
        <w:rPr>
          <w:rFonts w:ascii="宋体" w:hAnsi="宋体" w:cs="宋体"/>
          <w:sz w:val="24"/>
        </w:rPr>
      </w:pPr>
      <w:r>
        <w:rPr>
          <w:rFonts w:ascii="宋体" w:hAnsi="宋体" w:cs="宋体"/>
          <w:sz w:val="24"/>
        </w:rPr>
        <w:t xml:space="preserve">（3）技术实施人员不少于4名，分别负责零信任平台、超融合虚拟化、全闪存储、安全运维平台的部署配置、联调测试及故障处理，确保四大平台互联互通、正常运行。</w:t>
      </w:r>
      <w:r/>
    </w:p>
    <w:p>
      <w:pPr>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.实施工作内容：硬件上架部署、虚拟化/存储/零信任/运维平台软件安装配置、跨平台接口调试、系统策略优化、配置文件备份、运维培训、试运行问题整改。</w:t>
      </w:r>
      <w:r/>
    </w:p>
    <w:p>
      <w:pPr>
        <w:spacing w:line="360" w:lineRule="auto"/>
        <w:rPr>
          <w:rFonts w:ascii="宋体" w:hAnsi="宋体" w:cs="宋体"/>
          <w:sz w:val="24"/>
        </w:rPr>
      </w:pPr>
      <w:r/>
      <w:bookmarkStart w:id="9" w:name="heading_14"/>
      <w:r>
        <w:rPr>
          <w:rFonts w:ascii="宋体" w:hAnsi="宋体" w:cs="宋体"/>
          <w:sz w:val="24"/>
        </w:rPr>
        <w:t xml:space="preserve">（四）应急响应要求</w:t>
      </w:r>
      <w:bookmarkEnd w:id="9"/>
      <w:r/>
      <w:r/>
    </w:p>
    <w:p>
      <w:pPr>
        <w:spacing w:line="360" w:lineRule="auto"/>
        <w:rPr>
          <w:rFonts w:ascii="宋体" w:hAnsi="宋体" w:cs="宋体"/>
          <w:sz w:val="24"/>
        </w:rPr>
      </w:pPr>
      <w:r>
        <w:rPr>
          <w:rFonts w:ascii="宋体" w:hAnsi="宋体" w:cs="宋体"/>
          <w:sz w:val="24"/>
        </w:rPr>
        <w:t xml:space="preserve">1.建立7×24小时不间断应急服务通道，故障诉求全流程登记留痕可追溯；</w:t>
      </w:r>
      <w:r/>
    </w:p>
    <w:p>
      <w:pPr>
        <w:spacing w:line="360" w:lineRule="auto"/>
        <w:rPr>
          <w:rFonts w:ascii="宋体" w:hAnsi="宋体" w:cs="宋体"/>
          <w:sz w:val="24"/>
        </w:rPr>
      </w:pPr>
      <w:r>
        <w:rPr>
          <w:rFonts w:ascii="宋体" w:hAnsi="宋体" w:cs="宋体"/>
          <w:sz w:val="24"/>
        </w:rPr>
        <w:t xml:space="preserve">2.硬件宕机、平台瘫痪、数据读写异常等重大故障，10分钟响应，20 分钟启动应急小组，1小时抵达现场，4小时内完成故障修复，同步提供临时应急保障方案；</w:t>
      </w:r>
      <w:r/>
    </w:p>
    <w:p>
      <w:pPr>
        <w:spacing w:line="360" w:lineRule="auto"/>
        <w:rPr>
          <w:rFonts w:ascii="宋体" w:hAnsi="宋体" w:cs="宋体"/>
          <w:sz w:val="24"/>
        </w:rPr>
      </w:pPr>
      <w:r>
        <w:rPr>
          <w:rFonts w:ascii="宋体" w:hAnsi="宋体" w:cs="宋体"/>
          <w:sz w:val="24"/>
        </w:rPr>
        <w:t xml:space="preserve">3.提供完整覆盖硬件故障、平台软件异常、安全访问故障的应急预案，每半年联合</w:t>
      </w:r>
      <w:r>
        <w:rPr>
          <w:rFonts w:hint="eastAsia" w:ascii="宋体" w:hAnsi="宋体" w:cs="宋体"/>
          <w:sz w:val="24"/>
        </w:rPr>
        <w:t xml:space="preserve">采购人</w:t>
      </w:r>
      <w:r>
        <w:rPr>
          <w:rFonts w:ascii="宋体" w:hAnsi="宋体" w:cs="宋体"/>
          <w:sz w:val="24"/>
        </w:rPr>
        <w:t xml:space="preserve">开展1次专项应急演练，演练完成1周内提交优化报告；</w:t>
      </w:r>
      <w:r/>
    </w:p>
    <w:p>
      <w:pPr>
        <w:spacing w:line="360" w:lineRule="auto"/>
        <w:rPr>
          <w:rFonts w:ascii="宋体" w:hAnsi="宋体" w:cs="宋体"/>
          <w:sz w:val="24"/>
        </w:rPr>
      </w:pPr>
      <w:r>
        <w:rPr>
          <w:rFonts w:ascii="宋体" w:hAnsi="宋体" w:cs="宋体"/>
          <w:sz w:val="24"/>
        </w:rPr>
        <w:t xml:space="preserve">4.配备不少于5人专属应急团队，人员具备云平台、零信任项目应急处置经验。</w:t>
      </w:r>
      <w:r/>
    </w:p>
    <w:p>
      <w:pPr>
        <w:spacing w:line="360" w:lineRule="auto"/>
        <w:rPr>
          <w:rFonts w:ascii="宋体" w:hAnsi="宋体" w:cs="宋体"/>
          <w:sz w:val="24"/>
        </w:rPr>
      </w:pPr>
      <w:r/>
      <w:bookmarkStart w:id="10" w:name="heading_15"/>
      <w:r>
        <w:rPr>
          <w:rFonts w:ascii="宋体" w:hAnsi="宋体" w:cs="宋体"/>
          <w:sz w:val="24"/>
        </w:rPr>
        <w:t xml:space="preserve">（五）培训要求</w:t>
      </w:r>
      <w:bookmarkEnd w:id="10"/>
      <w:r/>
      <w:r/>
    </w:p>
    <w:p>
      <w:pPr>
        <w:spacing w:line="360" w:lineRule="auto"/>
        <w:rPr>
          <w:rFonts w:ascii="宋体" w:hAnsi="宋体" w:cs="宋体"/>
          <w:sz w:val="24"/>
        </w:rPr>
      </w:pPr>
      <w:r>
        <w:rPr>
          <w:rFonts w:ascii="宋体" w:hAnsi="宋体" w:cs="宋体"/>
          <w:sz w:val="24"/>
        </w:rPr>
        <w:t xml:space="preserve">1.项目实施期间无偿为学校现教中心运维人员提供不少于3个工作日集中专项培训；</w:t>
      </w:r>
      <w:r/>
    </w:p>
    <w:p>
      <w:pPr>
        <w:spacing w:line="360" w:lineRule="auto"/>
        <w:rPr>
          <w:rFonts w:ascii="宋体" w:hAnsi="宋体" w:cs="宋体"/>
          <w:sz w:val="24"/>
        </w:rPr>
      </w:pPr>
      <w:r>
        <w:rPr>
          <w:rFonts w:ascii="宋体" w:hAnsi="宋体" w:cs="宋体"/>
          <w:sz w:val="24"/>
        </w:rPr>
        <w:t xml:space="preserve">2.培训内容：零信任平台策略配置与运维、超融合虚拟化资源调度、存储管理、安全运维平台监控与故障排查、平台间数据对接维护；</w:t>
      </w:r>
      <w:r/>
    </w:p>
    <w:p>
      <w:pPr>
        <w:spacing w:line="360" w:lineRule="auto"/>
        <w:rPr>
          <w:rFonts w:ascii="宋体" w:hAnsi="宋体" w:cs="宋体"/>
          <w:sz w:val="24"/>
        </w:rPr>
      </w:pPr>
      <w:r>
        <w:rPr>
          <w:rFonts w:ascii="宋体" w:hAnsi="宋体" w:cs="宋体"/>
          <w:sz w:val="24"/>
        </w:rPr>
        <w:t xml:space="preserve">3.交付全套纸质加电子培训材料：硬件操作手册、平台运维文档、故障处置操作教程；</w:t>
      </w:r>
      <w:r/>
    </w:p>
    <w:p>
      <w:pPr>
        <w:spacing w:line="360" w:lineRule="auto"/>
        <w:rPr>
          <w:rFonts w:ascii="宋体" w:hAnsi="宋体" w:cs="宋体"/>
          <w:sz w:val="24"/>
        </w:rPr>
      </w:pPr>
      <w:r>
        <w:rPr>
          <w:rFonts w:ascii="宋体" w:hAnsi="宋体" w:cs="宋体"/>
          <w:sz w:val="24"/>
        </w:rPr>
        <w:t xml:space="preserve">4.项目验收合格后，每年至少提供1次免费上门进阶培训，校方提前15个工作日告知即可安排；</w:t>
      </w:r>
      <w:r/>
    </w:p>
    <w:p>
      <w:pPr>
        <w:spacing w:line="360" w:lineRule="auto"/>
        <w:rPr>
          <w:rFonts w:ascii="宋体" w:hAnsi="宋体" w:cs="宋体"/>
          <w:sz w:val="24"/>
        </w:rPr>
      </w:pPr>
      <w:r>
        <w:rPr>
          <w:rFonts w:ascii="宋体" w:hAnsi="宋体" w:cs="宋体"/>
          <w:sz w:val="24"/>
        </w:rPr>
        <w:t xml:space="preserve">5.培训讲师不少于3人，熟悉本项目四大平台产品，能够完成本项目全套运维培训工作。</w:t>
      </w:r>
      <w:r/>
    </w:p>
    <w:p>
      <w:pPr>
        <w:spacing w:line="360" w:lineRule="auto"/>
        <w:rPr>
          <w:rFonts w:ascii="宋体" w:hAnsi="宋体" w:cs="宋体"/>
          <w:sz w:val="24"/>
        </w:rPr>
      </w:pPr>
      <w:r/>
      <w:bookmarkStart w:id="11" w:name="heading_16"/>
      <w:r>
        <w:rPr>
          <w:rFonts w:ascii="宋体" w:hAnsi="宋体" w:cs="宋体"/>
          <w:sz w:val="24"/>
        </w:rPr>
        <w:t xml:space="preserve">（六）验收要求</w:t>
      </w:r>
      <w:bookmarkEnd w:id="11"/>
      <w:r/>
      <w:r/>
    </w:p>
    <w:p>
      <w:pPr>
        <w:spacing w:line="360" w:lineRule="auto"/>
        <w:rPr>
          <w:rFonts w:ascii="宋体" w:hAnsi="宋体" w:cs="宋体"/>
          <w:sz w:val="24"/>
          <w:highlight w:val="none"/>
        </w:rPr>
      </w:pPr>
      <w:r>
        <w:rPr>
          <w:rFonts w:ascii="宋体" w:hAnsi="宋体" w:cs="宋体"/>
          <w:sz w:val="24"/>
          <w:highlight w:val="none"/>
        </w:rPr>
        <w:t xml:space="preserve">1.验收标准：依据《职业院校智慧校园规范（试行）》《信息安全技术网络安全等级保护基本要求》（GB/T 22239-2019）及《徐州工业职业技术学院智慧校园3.0建设三年行动计划（2025-2027）》和本采购需求技术指标执行；</w:t>
      </w:r>
      <w:r/>
    </w:p>
    <w:p>
      <w:pPr>
        <w:spacing w:line="360" w:lineRule="auto"/>
        <w:rPr>
          <w:rFonts w:ascii="宋体" w:hAnsi="宋体" w:cs="宋体"/>
          <w:sz w:val="24"/>
          <w:highlight w:val="none"/>
        </w:rPr>
      </w:pPr>
      <w:r>
        <w:rPr>
          <w:rFonts w:ascii="宋体" w:hAnsi="宋体" w:cs="宋体"/>
          <w:sz w:val="24"/>
          <w:highlight w:val="none"/>
        </w:rPr>
        <w:t xml:space="preserve">2.到货验收：供应商提供原厂产品合格证、原厂供货证明、原厂质保承诺函、配套软件授权证书；属于强制性产品认证目录范围的，还须提供有效的CCC认证证书；</w:t>
      </w:r>
      <w:r/>
    </w:p>
    <w:p>
      <w:pPr>
        <w:spacing w:line="360" w:lineRule="auto"/>
        <w:rPr>
          <w:rFonts w:ascii="宋体" w:hAnsi="宋体" w:cs="宋体"/>
          <w:sz w:val="24"/>
        </w:rPr>
      </w:pPr>
      <w:r>
        <w:rPr>
          <w:rFonts w:ascii="宋体" w:hAnsi="宋体" w:cs="宋体"/>
          <w:sz w:val="24"/>
        </w:rPr>
        <w:t xml:space="preserve">3.初步验收：四大平台全部正常运行，平台间数据互通正常，零信任对接统一身份、超融合虚拟化资源调度稳定、存储读写性能达标、运维平台可完整纳管全部设备、预警功能正常；</w:t>
      </w:r>
      <w:r/>
    </w:p>
    <w:p>
      <w:pPr>
        <w:spacing w:line="360" w:lineRule="auto"/>
        <w:rPr>
          <w:rFonts w:ascii="宋体" w:hAnsi="宋体" w:cs="宋体"/>
          <w:sz w:val="24"/>
        </w:rPr>
      </w:pPr>
      <w:r>
        <w:rPr>
          <w:rFonts w:ascii="宋体" w:hAnsi="宋体" w:cs="宋体"/>
          <w:sz w:val="24"/>
        </w:rPr>
        <w:t xml:space="preserve">4.最终验收：连续30天试运行无重大故障，全套竣工文档、配置备份、巡检报告、培训记录齐全，校方组织信息化管理部门、技术人员验收通过后方可办结。</w:t>
      </w:r>
      <w:r/>
    </w:p>
    <w:p>
      <w:pPr>
        <w:spacing w:line="360" w:lineRule="auto"/>
        <w:rPr>
          <w:rFonts w:ascii="宋体" w:hAnsi="宋体" w:cs="宋体"/>
          <w:sz w:val="24"/>
        </w:rPr>
      </w:pPr>
      <w:r>
        <w:rPr>
          <w:rFonts w:hint="eastAsia" w:ascii="宋体" w:hAnsi="宋体" w:cs="宋体"/>
          <w:sz w:val="24"/>
        </w:rPr>
        <w:t xml:space="preserve">（七）其他要求</w:t>
      </w:r>
      <w:r/>
    </w:p>
    <w:p>
      <w:pPr>
        <w:spacing w:line="360" w:lineRule="auto"/>
        <w:tabs>
          <w:tab w:val="left" w:pos="1177" w:leader="none"/>
          <w:tab w:val="left" w:pos="1498" w:leader="none"/>
        </w:tabs>
        <w:rPr>
          <w:rStyle w:val="1247"/>
          <w:rFonts w:hint="default"/>
          <w:color w:val="auto"/>
        </w:rPr>
      </w:pPr>
      <w:r>
        <w:rPr>
          <w:rStyle w:val="1247"/>
          <w:rFonts w:hint="default"/>
          <w:color w:val="auto"/>
        </w:rPr>
        <w:t xml:space="preserve">1.本项目为交钥匙工程，</w:t>
      </w:r>
      <w:r>
        <w:rPr>
          <w:rFonts w:ascii="宋体" w:hAnsi="宋体" w:cs="宋体"/>
          <w:sz w:val="24"/>
        </w:rPr>
        <w:t xml:space="preserve">投标人所投总报价为徐州工业职业技术学院智慧校园3.0 建设行动计划子项目网络基础建设项目采购的全部费用，投标报价包含但不限于产品设备费、人工费、运输费、安装费、调试费、检验检测费、系统集成费、配套辅材费、软件授权费、验收费、培训费、售后服务费、三年质保费、保险费、税金、投标人利润等一切相关费用。投标人应充分了解项目整体情况、各类市场风险以及影响投标报价的其他风险因素。采购人不再支付本报价以外的任何费用。</w:t>
      </w:r>
      <w:r/>
    </w:p>
    <w:p>
      <w:pPr>
        <w:spacing w:line="360" w:lineRule="auto"/>
        <w:tabs>
          <w:tab w:val="left" w:pos="1177" w:leader="none"/>
          <w:tab w:val="left" w:pos="1498" w:leader="none"/>
        </w:tabs>
        <w:rPr>
          <w:rStyle w:val="1247"/>
          <w:rFonts w:hint="default"/>
          <w:color w:val="auto"/>
          <w:highlight w:val="none"/>
        </w:rPr>
      </w:pPr>
      <w:r>
        <w:rPr>
          <w:rStyle w:val="1247"/>
          <w:rFonts w:hint="default"/>
          <w:highlight w:val="none"/>
        </w:rPr>
        <w:t xml:space="preserve">2.四大平台需兼容学校现有统一身份认证平台、智能数据中台、数智AI驾驶舱等现有信息化系统，中标人负责本项目范围内的接口适配开发，不另计费用；</w:t>
      </w:r>
      <w:r/>
    </w:p>
    <w:p>
      <w:pPr>
        <w:spacing w:line="360" w:lineRule="auto"/>
        <w:tabs>
          <w:tab w:val="left" w:pos="1177" w:leader="none"/>
          <w:tab w:val="left" w:pos="1498" w:leader="none"/>
        </w:tabs>
        <w:rPr>
          <w:rStyle w:val="1247"/>
          <w:rFonts w:hint="default"/>
          <w:color w:val="auto"/>
        </w:rPr>
      </w:pPr>
      <w:r>
        <w:rPr>
          <w:rStyle w:val="1247"/>
          <w:rFonts w:hint="default"/>
          <w:color w:val="auto"/>
        </w:rPr>
        <w:t xml:space="preserve">3.所有软硬件架构预留扩容空间，满足学校2025-2027三年数字化建设扩容需求，原厂承诺同型号设备三年内可持续供货扩容；</w:t>
      </w:r>
      <w:r/>
    </w:p>
    <w:p>
      <w:pPr>
        <w:spacing w:line="360" w:lineRule="auto"/>
        <w:tabs>
          <w:tab w:val="left" w:pos="1177" w:leader="none"/>
          <w:tab w:val="left" w:pos="1498" w:leader="none"/>
        </w:tabs>
        <w:rPr>
          <w:rStyle w:val="1247"/>
          <w:rFonts w:hint="default"/>
          <w:color w:val="auto"/>
        </w:rPr>
      </w:pPr>
      <w:r>
        <w:rPr>
          <w:rStyle w:val="1247"/>
          <w:rFonts w:hint="default"/>
          <w:color w:val="auto"/>
        </w:rPr>
        <w:t xml:space="preserve">4.中标人应保障采购人使用交付成果不产生知识产权纠纷；若出现第三方侵权追责，全部法律责任与费用由中标人承担。</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sz w:val="24"/>
        </w:rPr>
      </w:pPr>
      <w:r>
        <w:rPr>
          <w:rFonts w:hint="eastAsia" w:ascii="宋体" w:hAnsi="宋体" w:cs="宋体"/>
          <w:b/>
          <w:sz w:val="24"/>
        </w:rPr>
        <w:t xml:space="preserve">八、其他要求：见招标文件第五章《拟签订的合同文本》。</w:t>
      </w:r>
      <w:r/>
    </w:p>
    <w:p>
      <w:pPr>
        <w:jc w:val="cente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sz w:val="24"/>
        </w:rPr>
      </w:r>
      <w:r/>
    </w:p>
    <w:p>
      <w:pPr>
        <w:jc w:val="center"/>
        <w:spacing w:line="23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第七章  投标文件相关格式</w:t>
      </w:r>
      <w:r/>
    </w:p>
    <w:p>
      <w:pPr>
        <w:ind w:firstLine="64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一、投标函格式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徐州工业职业技术学院</w:t>
      </w:r>
      <w:r/>
    </w:p>
    <w:p>
      <w:pPr>
        <w:ind w:firstLine="6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    ]招标文件，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 投标人唯一投标报价见《开标一览表》。</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 投标人将按招标文件的规定履行合同责任和义务。</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 投标有效期为开标之日后90天。</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6.投标人同意按照招标文件规定支付招标代理服务费。</w:t>
      </w:r>
      <w:r/>
    </w:p>
    <w:p>
      <w:pPr>
        <w:ind w:right="29"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8.采购人有权对投标人投标文件的真实性进行核实，如投标人不能在采购人规定的时间内向采购人提供有效的证明文件，将被采购人视为放弃中标资格。</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9.与本次投标有关的一切正式往来信函请寄：</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w:t>
      </w:r>
      <w:r/>
    </w:p>
    <w:p>
      <w:pPr>
        <w:ind w:firstLine="27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7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rPr>
        <w:br w:type="page" w:clear="all"/>
      </w:r>
      <w:r/>
    </w:p>
    <w:p>
      <w:pPr>
        <w:ind w:firstLine="640"/>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二、开标一览表格式</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480"/>
        <w:jc w:val="center"/>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480"/>
        <w:jc w:val="center"/>
        <w:spacing w:line="36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jc w:val="center"/>
        <w:spacing w:line="360" w:lineRule="auto"/>
        <w:widowControl/>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rPr>
        <w:t xml:space="preserve">政府采购客户端工具输入报价自动生成</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ind w:firstLine="600"/>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三、分项价格表格式</w:t>
      </w:r>
      <w:r/>
    </w:p>
    <w:p>
      <w:pPr>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spacing w:line="360" w:lineRule="auto"/>
        <w:rPr>
          <w:rFonts w:ascii="宋体" w:hAnsi="宋体" w:cs="宋体"/>
          <w:sz w:val="24"/>
        </w:rPr>
      </w:pPr>
      <w:r>
        <w:rPr>
          <w:rFonts w:hint="eastAsia" w:ascii="宋体" w:hAnsi="宋体" w:cs="宋体"/>
          <w:sz w:val="24"/>
        </w:rPr>
        <w:t xml:space="preserve">项目编号：JSZC-320300-JSZR-G2026-0086</w:t>
      </w:r>
      <w:r/>
    </w:p>
    <w:p>
      <w:pPr>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智慧校园3.0建设行动计划子项目网络基础建设项目</w:t>
      </w:r>
      <w:r/>
    </w:p>
    <w:p>
      <w:pPr>
        <w:jc w:val="right"/>
        <w:rPr>
          <w:rFonts w:ascii="宋体" w:hAnsi="宋体" w:cs="宋体"/>
          <w:sz w:val="24"/>
        </w:rPr>
      </w:pPr>
      <w:r>
        <w:rPr>
          <w:rFonts w:hint="eastAsia" w:ascii="宋体" w:hAnsi="宋体" w:cs="宋体"/>
          <w:sz w:val="24"/>
        </w:rPr>
        <w:t xml:space="preserve">          　 货币单位：人民币元</w:t>
      </w:r>
      <w:r/>
    </w:p>
    <w:tbl>
      <w:tblPr>
        <w:tblStyle w:val="863"/>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单价</w:t>
            </w:r>
            <w:r/>
          </w:p>
        </w:tc>
        <w:tc>
          <w:tcPr>
            <w:shd w:val="clear" w:color="auto" w:fill="c0c0c0"/>
            <w:tcW w:w="70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rPr>
              <w:t xml:space="preserve">...</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rPr>
              <w:t xml:space="preserve">...</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sz w:val="24"/>
              </w:rPr>
            </w:pPr>
            <w:r>
              <w:rPr>
                <w:rFonts w:hint="eastAsia" w:ascii="宋体" w:hAnsi="宋体" w:cs="宋体"/>
                <w:sz w:val="24"/>
              </w:rPr>
              <w:t xml:space="preserve">总价合计（即《开标一览表》中的“总价”）</w:t>
            </w:r>
            <w:r/>
          </w:p>
        </w:tc>
        <w:tc>
          <w:tcPr>
            <w:gridSpan w:val="6"/>
            <w:tcW w:w="6008" w:type="dxa"/>
            <w:textDirection w:val="lrTb"/>
            <w:noWrap w:val="false"/>
          </w:tcPr>
          <w:p>
            <w:pPr>
              <w:jc w:val="center"/>
              <w:rPr>
                <w:rFonts w:ascii="宋体" w:hAnsi="宋体" w:cs="宋体"/>
                <w:sz w:val="24"/>
              </w:rPr>
            </w:pPr>
            <w:r>
              <w:rPr>
                <w:rFonts w:ascii="宋体" w:hAnsi="宋体" w:cs="宋体"/>
                <w:sz w:val="24"/>
              </w:rPr>
            </w:r>
            <w:r/>
          </w:p>
        </w:tc>
      </w:tr>
    </w:tbl>
    <w:p>
      <w:pPr>
        <w:rPr>
          <w:rFonts w:ascii="宋体" w:hAnsi="宋体" w:cs="宋体"/>
          <w:sz w:val="24"/>
        </w:rPr>
      </w:pPr>
      <w:r>
        <w:rPr>
          <w:rFonts w:ascii="宋体" w:hAnsi="宋体" w:cs="宋体"/>
          <w:sz w:val="24"/>
        </w:rPr>
      </w:r>
      <w:r/>
    </w:p>
    <w:p>
      <w:pPr>
        <w:ind w:firstLine="364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640"/>
        <w:spacing w:line="360" w:lineRule="auto"/>
        <w:rPr>
          <w:rFonts w:ascii="宋体" w:hAnsi="宋体" w:cs="宋体"/>
          <w:sz w:val="24"/>
        </w:rPr>
      </w:pPr>
      <w:r>
        <w:rPr>
          <w:rFonts w:hint="eastAsia" w:ascii="宋体" w:hAnsi="宋体" w:cs="宋体"/>
          <w:sz w:val="24"/>
        </w:rPr>
        <w:t xml:space="preserve">日期：   年  月  日</w:t>
      </w:r>
      <w:r/>
    </w:p>
    <w:p>
      <w:pPr>
        <w:ind w:firstLine="560"/>
        <w:jc w:val="left"/>
        <w:widowControl/>
        <w:rPr>
          <w:rFonts w:ascii="宋体" w:hAnsi="宋体" w:cs="宋体"/>
          <w:sz w:val="24"/>
        </w:rPr>
      </w:pPr>
      <w:r>
        <w:rPr>
          <w:rFonts w:ascii="宋体" w:hAnsi="宋体" w:cs="宋体"/>
          <w:sz w:val="24"/>
        </w:rPr>
      </w:r>
      <w:r/>
    </w:p>
    <w:p>
      <w:pPr>
        <w:ind w:firstLine="560"/>
        <w:jc w:val="left"/>
        <w:widowControl/>
        <w:rPr>
          <w:rFonts w:ascii="宋体" w:hAnsi="宋体" w:cs="宋体"/>
          <w:sz w:val="24"/>
        </w:rPr>
      </w:pPr>
      <w:r>
        <w:rPr>
          <w:rFonts w:ascii="宋体" w:hAnsi="宋体" w:cs="宋体"/>
          <w:sz w:val="24"/>
        </w:rPr>
      </w:r>
      <w:r/>
    </w:p>
    <w:p>
      <w:pPr>
        <w:ind w:firstLine="560"/>
        <w:jc w:val="left"/>
        <w:widowControl/>
        <w:rPr>
          <w:rFonts w:ascii="宋体" w:hAnsi="宋体" w:cs="宋体"/>
          <w:sz w:val="24"/>
        </w:rPr>
      </w:pPr>
      <w:r>
        <w:rPr>
          <w:rFonts w:ascii="宋体" w:hAnsi="宋体" w:cs="宋体"/>
          <w:sz w:val="24"/>
        </w:rPr>
      </w:r>
      <w:r/>
    </w:p>
    <w:p>
      <w:pPr>
        <w:ind w:firstLine="560"/>
        <w:jc w:val="left"/>
        <w:widowControl/>
        <w:rPr>
          <w:rFonts w:ascii="宋体" w:hAnsi="宋体" w:cs="宋体"/>
          <w:sz w:val="24"/>
        </w:rPr>
      </w:pPr>
      <w:r>
        <w:rPr>
          <w:rFonts w:ascii="宋体" w:hAnsi="宋体" w:cs="宋体"/>
          <w:sz w:val="24"/>
        </w:rPr>
      </w:r>
      <w:r/>
    </w:p>
    <w:p>
      <w:pPr>
        <w:jc w:val="left"/>
        <w:widowControl/>
        <w:rPr>
          <w:rFonts w:ascii="宋体" w:hAnsi="宋体" w:cs="宋体"/>
          <w:b/>
          <w:bCs/>
          <w:sz w:val="24"/>
        </w:rPr>
      </w:pPr>
      <w:r>
        <w:rPr>
          <w:rFonts w:hint="eastAsia" w:ascii="宋体" w:hAnsi="宋体" w:cs="宋体"/>
          <w:sz w:val="24"/>
        </w:rPr>
        <w:t xml:space="preserve">注：</w:t>
      </w:r>
      <w:r>
        <w:rPr>
          <w:rFonts w:hint="eastAsia" w:ascii="宋体" w:hAnsi="宋体" w:cs="宋体"/>
          <w:b/>
          <w:bCs/>
          <w:sz w:val="24"/>
        </w:rPr>
        <w:t xml:space="preserve">1、如果不提供详细分项报价将视为没有实质性响应招标文件。</w:t>
      </w:r>
      <w:r/>
    </w:p>
    <w:p>
      <w:pPr>
        <w:ind w:firstLine="560"/>
        <w:jc w:val="left"/>
        <w:widowControl/>
        <w:rPr>
          <w:rFonts w:ascii="宋体" w:hAnsi="宋体" w:cs="宋体"/>
          <w:sz w:val="24"/>
        </w:rPr>
      </w:pPr>
      <w:r>
        <w:rPr>
          <w:rFonts w:hint="eastAsia" w:ascii="宋体" w:hAnsi="宋体" w:cs="宋体"/>
          <w:sz w:val="24"/>
        </w:rPr>
        <w:t xml:space="preserve">2、投标人对以上数据的真实性负责。</w:t>
      </w:r>
      <w:r/>
    </w:p>
    <w:p>
      <w:pPr>
        <w:ind w:firstLine="562"/>
        <w:jc w:val="left"/>
        <w:widowControl/>
        <w:rPr>
          <w:rFonts w:ascii="宋体" w:hAnsi="宋体" w:cs="宋体"/>
          <w:b/>
          <w:bCs/>
          <w:sz w:val="24"/>
        </w:rPr>
      </w:pPr>
      <w:r>
        <w:rPr>
          <w:rFonts w:hint="eastAsia" w:ascii="宋体" w:hAnsi="宋体" w:cs="宋体"/>
          <w:b/>
          <w:bCs/>
          <w:sz w:val="24"/>
        </w:rPr>
        <w:t xml:space="preserve">3、采购人或采购代理机构有权将以上内容进行公示。</w:t>
      </w:r>
      <w:r/>
    </w:p>
    <w:p>
      <w:pPr>
        <w:ind w:firstLine="56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四、技术偏离表格式</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项目编号：JSZC-320300-JSZR-G2026-0086</w:t>
      </w:r>
      <w:r/>
    </w:p>
    <w:p>
      <w:pPr>
        <w:spacing w:line="479"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智慧校园3.0建设行动计划子项目网络基础建设项目</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bl>
      <w:tblPr>
        <w:tblStyle w:val="863"/>
        <w:tblW w:w="8905"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699"/>
        <w:gridCol w:w="1109"/>
        <w:gridCol w:w="1986"/>
        <w:gridCol w:w="1069"/>
        <w:gridCol w:w="1477"/>
        <w:gridCol w:w="1743"/>
      </w:tblGrid>
      <w:tr>
        <w:trPr>
          <w:trHeight w:val="1240"/>
        </w:trPr>
        <w:tc>
          <w:tcPr>
            <w:tcMar>
              <w:left w:w="108" w:type="dxa"/>
              <w:top w:w="0" w:type="dxa"/>
              <w:right w:w="108" w:type="dxa"/>
              <w:bottom w:w="0" w:type="dxa"/>
            </w:tcMar>
            <w:tcW w:w="82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序号</w:t>
            </w:r>
            <w:r/>
          </w:p>
        </w:tc>
        <w:tc>
          <w:tcPr>
            <w:tcMar>
              <w:left w:w="108" w:type="dxa"/>
              <w:top w:w="0" w:type="dxa"/>
              <w:right w:w="108" w:type="dxa"/>
              <w:bottom w:w="0" w:type="dxa"/>
            </w:tcMar>
            <w:tcW w:w="699"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品目名称</w:t>
            </w:r>
            <w:r/>
          </w:p>
        </w:tc>
        <w:tc>
          <w:tcPr>
            <w:tcMar>
              <w:left w:w="108" w:type="dxa"/>
              <w:top w:w="0" w:type="dxa"/>
              <w:right w:w="108" w:type="dxa"/>
              <w:bottom w:w="0" w:type="dxa"/>
            </w:tcMar>
            <w:tcW w:w="1109"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招标文件的要求</w:t>
            </w:r>
            <w:r/>
          </w:p>
        </w:tc>
        <w:tc>
          <w:tcPr>
            <w:tcMar>
              <w:left w:w="108" w:type="dxa"/>
              <w:top w:w="0" w:type="dxa"/>
              <w:right w:w="108" w:type="dxa"/>
              <w:bottom w:w="0" w:type="dxa"/>
            </w:tcMar>
            <w:tcW w:w="1986"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投标文件中的内容</w:t>
            </w:r>
            <w:r/>
          </w:p>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（如实详细填列，并逐条进行响应）</w:t>
            </w:r>
            <w:r/>
          </w:p>
        </w:tc>
        <w:tc>
          <w:tcPr>
            <w:tcMar>
              <w:left w:w="108" w:type="dxa"/>
              <w:top w:w="0" w:type="dxa"/>
              <w:right w:w="108" w:type="dxa"/>
              <w:bottom w:w="0" w:type="dxa"/>
            </w:tcMar>
            <w:tcW w:w="1069"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（正/负/无）偏离</w:t>
            </w:r>
            <w:r/>
          </w:p>
        </w:tc>
        <w:tc>
          <w:tcPr>
            <w:tcMar>
              <w:left w:w="108" w:type="dxa"/>
              <w:top w:w="0" w:type="dxa"/>
              <w:right w:w="108" w:type="dxa"/>
              <w:bottom w:w="0" w:type="dxa"/>
            </w:tcMar>
            <w:tcW w:w="1477"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偏离内容</w:t>
            </w:r>
            <w:r/>
          </w:p>
        </w:tc>
        <w:tc>
          <w:tcPr>
            <w:tcMar>
              <w:left w:w="108" w:type="dxa"/>
              <w:top w:w="0" w:type="dxa"/>
              <w:right w:w="108" w:type="dxa"/>
              <w:bottom w:w="0" w:type="dxa"/>
            </w:tcMar>
            <w:tcW w:w="1743"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证明</w:t>
            </w:r>
            <w:r>
              <w:rPr>
                <w:rFonts w:ascii="宋体" w:hAnsi="宋体" w:cs="宋体"/>
                <w:b/>
                <w:bCs/>
                <w:color w:val="auto"/>
                <w:sz w:val="24"/>
              </w:rPr>
              <w:t xml:space="preserve">材料</w:t>
            </w:r>
            <w:r>
              <w:rPr>
                <w:rFonts w:hint="eastAsia" w:ascii="宋体" w:hAnsi="宋体" w:cs="宋体"/>
                <w:b/>
                <w:bCs/>
                <w:color w:val="auto"/>
                <w:sz w:val="24"/>
              </w:rPr>
              <w:t xml:space="preserve">在投标文件中对应的页码位置</w:t>
            </w:r>
            <w:r/>
          </w:p>
        </w:tc>
      </w:tr>
      <w:tr>
        <w:trPr>
          <w:trHeight w:val="795"/>
        </w:trPr>
        <w:tc>
          <w:tcPr>
            <w:tcMar>
              <w:left w:w="108" w:type="dxa"/>
              <w:top w:w="0" w:type="dxa"/>
              <w:right w:w="108" w:type="dxa"/>
              <w:bottom w:w="0" w:type="dxa"/>
            </w:tcMar>
            <w:tcW w:w="822" w:type="dxa"/>
            <w:textDirection w:val="lrTb"/>
            <w:noWrap w:val="false"/>
          </w:tcPr>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tcMar>
              <w:left w:w="108" w:type="dxa"/>
              <w:top w:w="0" w:type="dxa"/>
              <w:right w:w="108" w:type="dxa"/>
              <w:bottom w:w="0" w:type="dxa"/>
            </w:tcMar>
            <w:tcW w:w="699" w:type="dxa"/>
            <w:textDirection w:val="lrTb"/>
            <w:noWrap w:val="false"/>
          </w:tcPr>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08" w:type="dxa"/>
              <w:top w:w="0" w:type="dxa"/>
              <w:right w:w="108" w:type="dxa"/>
              <w:bottom w:w="0" w:type="dxa"/>
            </w:tcMar>
            <w:tcW w:w="1109" w:type="dxa"/>
            <w:textDirection w:val="lrTb"/>
            <w:noWrap w:val="false"/>
          </w:tcPr>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986" w:type="dxa"/>
            <w:textDirection w:val="lrTb"/>
            <w:noWrap w:val="false"/>
          </w:tcPr>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069" w:type="dxa"/>
            <w:textDirection w:val="lrTb"/>
            <w:noWrap w:val="false"/>
          </w:tcPr>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tcMar>
              <w:left w:w="108" w:type="dxa"/>
              <w:top w:w="0" w:type="dxa"/>
              <w:right w:w="108" w:type="dxa"/>
              <w:bottom w:w="0" w:type="dxa"/>
            </w:tcMar>
            <w:tcW w:w="1477" w:type="dxa"/>
            <w:textDirection w:val="lrTb"/>
            <w:noWrap w:val="false"/>
          </w:tcPr>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08" w:type="dxa"/>
              <w:top w:w="0" w:type="dxa"/>
              <w:right w:w="108" w:type="dxa"/>
              <w:bottom w:w="0" w:type="dxa"/>
            </w:tcMar>
            <w:tcW w:w="1743" w:type="dxa"/>
            <w:textDirection w:val="lrTb"/>
            <w:noWrap w:val="false"/>
          </w:tcPr>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795"/>
        </w:trPr>
        <w:tc>
          <w:tcPr>
            <w:tcMar>
              <w:left w:w="108" w:type="dxa"/>
              <w:top w:w="0" w:type="dxa"/>
              <w:right w:w="108" w:type="dxa"/>
              <w:bottom w:w="0" w:type="dxa"/>
            </w:tcMar>
            <w:tcW w:w="822"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c>
          <w:tcPr>
            <w:tcMar>
              <w:left w:w="108" w:type="dxa"/>
              <w:top w:w="0" w:type="dxa"/>
              <w:right w:w="108" w:type="dxa"/>
              <w:bottom w:w="0" w:type="dxa"/>
            </w:tcMar>
            <w:tcW w:w="69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10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86"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06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74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5"/>
        </w:trPr>
        <w:tc>
          <w:tcPr>
            <w:tcMar>
              <w:left w:w="108" w:type="dxa"/>
              <w:top w:w="0" w:type="dxa"/>
              <w:right w:w="108" w:type="dxa"/>
              <w:bottom w:w="0" w:type="dxa"/>
            </w:tcMar>
            <w:tcW w:w="822"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69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10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86"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06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74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5"/>
        </w:trPr>
        <w:tc>
          <w:tcPr>
            <w:tcMar>
              <w:left w:w="108" w:type="dxa"/>
              <w:top w:w="0" w:type="dxa"/>
              <w:right w:w="108" w:type="dxa"/>
              <w:bottom w:w="0" w:type="dxa"/>
            </w:tcMar>
            <w:tcW w:w="822"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69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10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86"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06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74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5"/>
        </w:trPr>
        <w:tc>
          <w:tcPr>
            <w:tcMar>
              <w:left w:w="108" w:type="dxa"/>
              <w:top w:w="0" w:type="dxa"/>
              <w:right w:w="108" w:type="dxa"/>
              <w:bottom w:w="0" w:type="dxa"/>
            </w:tcMar>
            <w:tcW w:w="822"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69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10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86"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06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74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5"/>
        </w:trPr>
        <w:tc>
          <w:tcPr>
            <w:tcMar>
              <w:left w:w="108" w:type="dxa"/>
              <w:top w:w="0" w:type="dxa"/>
              <w:right w:w="108" w:type="dxa"/>
              <w:bottom w:w="0" w:type="dxa"/>
            </w:tcMar>
            <w:tcW w:w="822"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69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10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86"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06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74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5"/>
        </w:trPr>
        <w:tc>
          <w:tcPr>
            <w:tcMar>
              <w:left w:w="108" w:type="dxa"/>
              <w:top w:w="0" w:type="dxa"/>
              <w:right w:w="108" w:type="dxa"/>
              <w:bottom w:w="0" w:type="dxa"/>
            </w:tcMar>
            <w:tcW w:w="822"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69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10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986"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06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47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74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5"/>
        </w:trPr>
        <w:tc>
          <w:tcPr>
            <w:tcMar>
              <w:left w:w="108" w:type="dxa"/>
              <w:top w:w="0" w:type="dxa"/>
              <w:right w:w="108" w:type="dxa"/>
              <w:bottom w:w="0" w:type="dxa"/>
            </w:tcMar>
            <w:tcW w:w="822"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69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10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986"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06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47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74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804"/>
        </w:trPr>
        <w:tc>
          <w:tcPr>
            <w:tcMar>
              <w:left w:w="108" w:type="dxa"/>
              <w:top w:w="0" w:type="dxa"/>
              <w:right w:w="108" w:type="dxa"/>
              <w:bottom w:w="0" w:type="dxa"/>
            </w:tcMar>
            <w:tcW w:w="822"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69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10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986"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069"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47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74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spacing w:line="71" w:lineRule="atLeas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注： 投标人需对招标文件第六章《采购需求》中的采购清单与技术要求内所有技术参数要求进行逐条响应，并在《技术偏离表》格式中如实详细填列所投产品的技术参数；</w:t>
      </w:r>
      <w:r>
        <w:rPr>
          <w:rFonts w:ascii="宋体" w:hAnsi="宋体" w:cs="宋体"/>
          <w:b/>
          <w:color w:val="auto"/>
          <w:sz w:val="24"/>
        </w:rPr>
        <w:t xml:space="preserve">采购需求中明确要求提供证明材料的参数，须在本表 “证明材料在投标文件中对应的页码位置” 栏填写对应页码；无需提供证明材料的参数，该栏填写 “/”。</w:t>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2"/>
          <w:szCs w:val="32"/>
        </w:rPr>
      </w:r>
      <w:r/>
    </w:p>
    <w:p>
      <w:pPr>
        <w:jc w:val="center"/>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五、商务偏离表格式</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项目编号：JSZC-320300-JSZR-G2026-0086</w:t>
      </w:r>
      <w:r/>
    </w:p>
    <w:p>
      <w:pPr>
        <w:spacing w:line="479"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智慧校园3.0建设行动计划子项目网络基础建设项目</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bl>
      <w:tblPr>
        <w:tblStyle w:val="863"/>
        <w:tblW w:w="8220"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365"/>
        <w:gridCol w:w="2835"/>
        <w:gridCol w:w="1440"/>
        <w:gridCol w:w="1875"/>
      </w:tblGrid>
      <w:tr>
        <w:trPr>
          <w:trHeight w:val="1240"/>
        </w:trPr>
        <w:tc>
          <w:tcPr>
            <w:tcMar>
              <w:left w:w="108" w:type="dxa"/>
              <w:top w:w="0" w:type="dxa"/>
              <w:right w:w="108" w:type="dxa"/>
              <w:bottom w:w="0" w:type="dxa"/>
            </w:tcMar>
            <w:tcW w:w="705"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序号</w:t>
            </w: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招标文件的要求</w:t>
            </w:r>
            <w:r/>
          </w:p>
        </w:tc>
        <w:tc>
          <w:tcPr>
            <w:tcMar>
              <w:left w:w="108" w:type="dxa"/>
              <w:top w:w="0" w:type="dxa"/>
              <w:right w:w="108" w:type="dxa"/>
              <w:bottom w:w="0" w:type="dxa"/>
            </w:tcMar>
            <w:tcW w:w="2835"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投标文件中的内容</w:t>
            </w:r>
            <w:r/>
          </w:p>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（如实详细填列，并逐条进行响应）</w:t>
            </w:r>
            <w:r/>
          </w:p>
        </w:tc>
        <w:tc>
          <w:tcPr>
            <w:tcMar>
              <w:left w:w="108" w:type="dxa"/>
              <w:top w:w="0" w:type="dxa"/>
              <w:right w:w="108" w:type="dxa"/>
              <w:bottom w:w="0" w:type="dxa"/>
            </w:tcMar>
            <w:tcW w:w="1440"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（正/负/无）偏离</w:t>
            </w:r>
            <w:r/>
          </w:p>
        </w:tc>
        <w:tc>
          <w:tcPr>
            <w:tcMar>
              <w:left w:w="108" w:type="dxa"/>
              <w:top w:w="0" w:type="dxa"/>
              <w:right w:w="108" w:type="dxa"/>
              <w:bottom w:w="0" w:type="dxa"/>
            </w:tcMar>
            <w:tcW w:w="1875"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偏离内容</w:t>
            </w:r>
            <w:r/>
          </w:p>
        </w:tc>
      </w:tr>
      <w:tr>
        <w:trPr>
          <w:trHeight w:val="795"/>
        </w:trPr>
        <w:tc>
          <w:tcPr>
            <w:tcMar>
              <w:left w:w="108" w:type="dxa"/>
              <w:top w:w="0" w:type="dxa"/>
              <w:right w:w="108" w:type="dxa"/>
              <w:bottom w:w="0" w:type="dxa"/>
            </w:tcMar>
            <w:tcW w:w="70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Mar>
              <w:left w:w="108" w:type="dxa"/>
              <w:top w:w="0" w:type="dxa"/>
              <w:right w:w="108" w:type="dxa"/>
              <w:bottom w:w="0" w:type="dxa"/>
            </w:tcMar>
            <w:tcW w:w="136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283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4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7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5"/>
        </w:trPr>
        <w:tc>
          <w:tcPr>
            <w:tcMar>
              <w:left w:w="108" w:type="dxa"/>
              <w:top w:w="0" w:type="dxa"/>
              <w:right w:w="108" w:type="dxa"/>
              <w:bottom w:w="0" w:type="dxa"/>
            </w:tcMar>
            <w:tcW w:w="70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c>
          <w:tcPr>
            <w:tcMar>
              <w:left w:w="108" w:type="dxa"/>
              <w:top w:w="0" w:type="dxa"/>
              <w:right w:w="108" w:type="dxa"/>
              <w:bottom w:w="0" w:type="dxa"/>
            </w:tcMar>
            <w:tcW w:w="136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283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4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7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5"/>
        </w:trPr>
        <w:tc>
          <w:tcPr>
            <w:tcMar>
              <w:left w:w="108" w:type="dxa"/>
              <w:top w:w="0" w:type="dxa"/>
              <w:right w:w="108" w:type="dxa"/>
              <w:bottom w:w="0" w:type="dxa"/>
            </w:tcMar>
            <w:tcW w:w="70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136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283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4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7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5"/>
        </w:trPr>
        <w:tc>
          <w:tcPr>
            <w:tcMar>
              <w:left w:w="108" w:type="dxa"/>
              <w:top w:w="0" w:type="dxa"/>
              <w:right w:w="108" w:type="dxa"/>
              <w:bottom w:w="0" w:type="dxa"/>
            </w:tcMar>
            <w:tcW w:w="70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136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283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4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7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5"/>
        </w:trPr>
        <w:tc>
          <w:tcPr>
            <w:tcMar>
              <w:left w:w="108" w:type="dxa"/>
              <w:top w:w="0" w:type="dxa"/>
              <w:right w:w="108" w:type="dxa"/>
              <w:bottom w:w="0" w:type="dxa"/>
            </w:tcMar>
            <w:tcW w:w="70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136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283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4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7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5"/>
        </w:trPr>
        <w:tc>
          <w:tcPr>
            <w:tcMar>
              <w:left w:w="108" w:type="dxa"/>
              <w:top w:w="0" w:type="dxa"/>
              <w:right w:w="108" w:type="dxa"/>
              <w:bottom w:w="0" w:type="dxa"/>
            </w:tcMar>
            <w:tcW w:w="70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136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283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4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7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5"/>
        </w:trPr>
        <w:tc>
          <w:tcPr>
            <w:tcMar>
              <w:left w:w="108" w:type="dxa"/>
              <w:top w:w="0" w:type="dxa"/>
              <w:right w:w="108" w:type="dxa"/>
              <w:bottom w:w="0" w:type="dxa"/>
            </w:tcMar>
            <w:tcW w:w="70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136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283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44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87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5"/>
        </w:trPr>
        <w:tc>
          <w:tcPr>
            <w:tcMar>
              <w:left w:w="108" w:type="dxa"/>
              <w:top w:w="0" w:type="dxa"/>
              <w:right w:w="108" w:type="dxa"/>
              <w:bottom w:w="0" w:type="dxa"/>
            </w:tcMar>
            <w:tcW w:w="70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136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283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44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87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804"/>
        </w:trPr>
        <w:tc>
          <w:tcPr>
            <w:tcMar>
              <w:left w:w="108" w:type="dxa"/>
              <w:top w:w="0" w:type="dxa"/>
              <w:right w:w="108" w:type="dxa"/>
              <w:bottom w:w="0" w:type="dxa"/>
            </w:tcMar>
            <w:tcW w:w="70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136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283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44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87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spacing w:line="71" w:lineRule="atLeast"/>
        <w:rPr>
          <w:rFonts w:ascii="宋体" w:hAnsi="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cs="宋体"/>
          <w:b/>
          <w:color w:val="ff0000"/>
          <w:sz w:val="24"/>
        </w:rPr>
      </w:r>
      <w:r/>
    </w:p>
    <w:p>
      <w:pPr>
        <w:spacing w:line="71" w:lineRule="atLeas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注：投标人需对招标文件第六章《采购需求》商务要求</w:t>
      </w:r>
      <w:r>
        <w:rPr>
          <w:rFonts w:ascii="Segoe UI" w:hAnsi="Segoe UI" w:eastAsia="Segoe UI" w:cs="Segoe UI"/>
          <w:b/>
          <w:bCs/>
          <w:color w:val="auto"/>
          <w:sz w:val="24"/>
          <w:shd w:val="clear" w:color="auto" w:fill="ffffff"/>
        </w:rPr>
        <w:t xml:space="preserve">中的全部条款进行逐条响应，并在《商务偏离表》格式中如实详细填列。</w:t>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2"/>
          <w:szCs w:val="32"/>
        </w:rPr>
      </w:r>
      <w:r/>
    </w:p>
    <w:p>
      <w:pPr>
        <w:jc w:val="center"/>
        <w:spacing w:line="479" w:lineRule="atLeast"/>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六、质保期满后供选购的备品备件及易损件报价表格式</w:t>
      </w:r>
      <w:r/>
    </w:p>
    <w:p>
      <w:pPr>
        <w:jc w:val="center"/>
        <w:spacing w:line="479" w:lineRule="atLeast"/>
        <w:rPr>
          <w:rFonts w:ascii="宋体" w:hAnsi="宋体" w:cs="宋体"/>
          <w:b/>
          <w:bCs/>
          <w:color w:val="ff0000"/>
          <w:sz w:val="24"/>
        </w:rPr>
        <w:pBdr>
          <w:top w:val="none" w:color="000000" w:sz="0" w:space="0"/>
          <w:left w:val="none" w:color="000000" w:sz="0" w:space="0"/>
          <w:bottom w:val="none" w:color="000000" w:sz="0" w:space="0"/>
          <w:right w:val="none" w:color="000000" w:sz="0" w:space="0"/>
        </w:pBdr>
      </w:pPr>
      <w:r>
        <w:rPr>
          <w:rFonts w:ascii="宋体" w:hAnsi="宋体" w:cs="宋体"/>
          <w:b/>
          <w:bCs/>
          <w:color w:val="ff0000"/>
          <w:sz w:val="24"/>
        </w:rPr>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项目编号：JSZC-320300-JSZR-G2026-0086</w:t>
      </w:r>
      <w:r/>
    </w:p>
    <w:p>
      <w:pPr>
        <w:spacing w:line="47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sz w:val="24"/>
          <w:lang w:eastAsia="zh-CN"/>
        </w:rPr>
        <w:t xml:space="preserve">智慧校园3.0建设行动计划子项目网络基础建设项目</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bl>
      <w:tblPr>
        <w:tblStyle w:val="863"/>
        <w:tblW w:w="8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737"/>
      </w:tblGrid>
      <w:tr>
        <w:trPr>
          <w:jc w:val="center"/>
          <w:trHeight w:val="831"/>
        </w:trPr>
        <w:tc>
          <w:tcPr>
            <w:tcW w:w="1350" w:type="dxa"/>
            <w:vAlign w:val="center"/>
            <w:textDirection w:val="lrTb"/>
            <w:noWrap w:val="false"/>
          </w:tcPr>
          <w:p>
            <w:pPr>
              <w:pStyle w:val="868"/>
              <w:jc w:val="center"/>
              <w:spacing w:after="0"/>
              <w:rPr>
                <w:rFonts w:ascii="宋体" w:hAnsi="宋体" w:cs="宋体"/>
                <w:b/>
                <w:szCs w:val="20"/>
              </w:rPr>
            </w:pPr>
            <w:r>
              <w:rPr>
                <w:rFonts w:hint="eastAsia" w:ascii="宋体" w:hAnsi="宋体" w:cs="宋体"/>
                <w:b/>
                <w:szCs w:val="20"/>
              </w:rPr>
              <w:t xml:space="preserve">设备名称</w:t>
            </w:r>
            <w:r/>
          </w:p>
        </w:tc>
        <w:tc>
          <w:tcPr>
            <w:tcW w:w="1028" w:type="dxa"/>
            <w:vAlign w:val="center"/>
            <w:textDirection w:val="lrTb"/>
            <w:noWrap w:val="false"/>
          </w:tcPr>
          <w:p>
            <w:pPr>
              <w:pStyle w:val="868"/>
              <w:jc w:val="center"/>
              <w:spacing w:after="0"/>
              <w:rPr>
                <w:rFonts w:ascii="宋体" w:hAnsi="宋体" w:cs="宋体"/>
                <w:b/>
                <w:szCs w:val="20"/>
              </w:rPr>
            </w:pPr>
            <w:r>
              <w:rPr>
                <w:rFonts w:hint="eastAsia" w:ascii="宋体" w:hAnsi="宋体" w:cs="宋体"/>
                <w:b/>
                <w:szCs w:val="20"/>
              </w:rPr>
              <w:t xml:space="preserve">备品备件及易损件名称</w:t>
            </w:r>
            <w:r/>
          </w:p>
        </w:tc>
        <w:tc>
          <w:tcPr>
            <w:tcW w:w="1925" w:type="dxa"/>
            <w:vAlign w:val="center"/>
            <w:textDirection w:val="lrTb"/>
            <w:noWrap w:val="false"/>
          </w:tcPr>
          <w:p>
            <w:pPr>
              <w:pStyle w:val="868"/>
              <w:jc w:val="center"/>
              <w:spacing w:after="0"/>
              <w:rPr>
                <w:rFonts w:ascii="宋体" w:hAnsi="宋体" w:cs="宋体"/>
                <w:b/>
                <w:szCs w:val="20"/>
              </w:rPr>
            </w:pPr>
            <w:r>
              <w:rPr>
                <w:rFonts w:hint="eastAsia" w:ascii="宋体" w:hAnsi="宋体" w:cs="宋体"/>
                <w:b/>
                <w:szCs w:val="20"/>
              </w:rPr>
              <w:t xml:space="preserve">制造厂家</w:t>
            </w:r>
            <w:r/>
          </w:p>
        </w:tc>
        <w:tc>
          <w:tcPr>
            <w:tcW w:w="1226" w:type="dxa"/>
            <w:vAlign w:val="center"/>
            <w:textDirection w:val="lrTb"/>
            <w:noWrap w:val="false"/>
          </w:tcPr>
          <w:p>
            <w:pPr>
              <w:pStyle w:val="868"/>
              <w:jc w:val="center"/>
              <w:spacing w:after="0"/>
              <w:rPr>
                <w:rFonts w:ascii="宋体" w:hAnsi="宋体" w:cs="宋体"/>
                <w:b/>
                <w:szCs w:val="20"/>
              </w:rPr>
            </w:pPr>
            <w:r>
              <w:rPr>
                <w:rFonts w:hint="eastAsia" w:ascii="宋体" w:hAnsi="宋体" w:cs="宋体"/>
                <w:b/>
                <w:szCs w:val="20"/>
              </w:rPr>
              <w:t xml:space="preserve">单价（元）</w:t>
            </w:r>
            <w:r/>
          </w:p>
        </w:tc>
        <w:tc>
          <w:tcPr>
            <w:tcW w:w="1118" w:type="dxa"/>
            <w:vAlign w:val="center"/>
            <w:textDirection w:val="lrTb"/>
            <w:noWrap w:val="false"/>
          </w:tcPr>
          <w:p>
            <w:pPr>
              <w:pStyle w:val="868"/>
              <w:jc w:val="center"/>
              <w:spacing w:after="0"/>
              <w:rPr>
                <w:rFonts w:ascii="宋体" w:hAnsi="宋体" w:cs="宋体"/>
                <w:b/>
                <w:szCs w:val="20"/>
              </w:rPr>
            </w:pPr>
            <w:r>
              <w:rPr>
                <w:rFonts w:hint="eastAsia" w:ascii="宋体" w:hAnsi="宋体" w:cs="宋体"/>
                <w:b/>
                <w:szCs w:val="20"/>
              </w:rPr>
              <w:t xml:space="preserve">优惠后单价（元）</w:t>
            </w:r>
            <w:r/>
          </w:p>
        </w:tc>
        <w:tc>
          <w:tcPr>
            <w:tcW w:w="1737" w:type="dxa"/>
            <w:vAlign w:val="center"/>
            <w:textDirection w:val="lrTb"/>
            <w:noWrap w:val="false"/>
          </w:tcPr>
          <w:p>
            <w:pPr>
              <w:pStyle w:val="868"/>
              <w:jc w:val="center"/>
              <w:spacing w:after="0"/>
              <w:rPr>
                <w:rFonts w:ascii="宋体" w:hAnsi="宋体" w:cs="宋体"/>
                <w:b/>
                <w:szCs w:val="20"/>
              </w:rPr>
            </w:pPr>
            <w:r>
              <w:rPr>
                <w:rFonts w:hint="eastAsia" w:ascii="宋体" w:hAnsi="宋体" w:cs="宋体"/>
                <w:b/>
                <w:szCs w:val="20"/>
              </w:rPr>
              <w:t xml:space="preserve">备注</w:t>
            </w:r>
            <w:r/>
          </w:p>
        </w:tc>
      </w:tr>
      <w:tr>
        <w:trPr>
          <w:jc w:val="center"/>
          <w:trHeight w:val="480"/>
        </w:trPr>
        <w:tc>
          <w:tcPr>
            <w:tcW w:w="1350"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02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925"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226"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11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737" w:type="dxa"/>
            <w:vAlign w:val="center"/>
            <w:textDirection w:val="lrTb"/>
            <w:noWrap w:val="false"/>
          </w:tcPr>
          <w:p>
            <w:pPr>
              <w:pStyle w:val="868"/>
              <w:spacing w:after="0"/>
              <w:rPr>
                <w:rFonts w:ascii="宋体" w:hAnsi="宋体" w:cs="宋体"/>
                <w:szCs w:val="20"/>
              </w:rPr>
            </w:pPr>
            <w:r>
              <w:rPr>
                <w:rFonts w:ascii="宋体" w:hAnsi="宋体" w:cs="宋体"/>
                <w:szCs w:val="20"/>
              </w:rPr>
            </w:r>
            <w:r/>
          </w:p>
        </w:tc>
      </w:tr>
      <w:tr>
        <w:trPr>
          <w:jc w:val="center"/>
          <w:trHeight w:val="480"/>
        </w:trPr>
        <w:tc>
          <w:tcPr>
            <w:tcW w:w="1350"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02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925"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226"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11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737" w:type="dxa"/>
            <w:vAlign w:val="center"/>
            <w:textDirection w:val="lrTb"/>
            <w:noWrap w:val="false"/>
          </w:tcPr>
          <w:p>
            <w:pPr>
              <w:pStyle w:val="868"/>
              <w:spacing w:after="0"/>
              <w:rPr>
                <w:rFonts w:ascii="宋体" w:hAnsi="宋体" w:cs="宋体"/>
                <w:szCs w:val="20"/>
              </w:rPr>
            </w:pPr>
            <w:r>
              <w:rPr>
                <w:rFonts w:ascii="宋体" w:hAnsi="宋体" w:cs="宋体"/>
                <w:szCs w:val="20"/>
              </w:rPr>
            </w:r>
            <w:r/>
          </w:p>
        </w:tc>
      </w:tr>
      <w:tr>
        <w:trPr>
          <w:jc w:val="center"/>
          <w:trHeight w:val="480"/>
        </w:trPr>
        <w:tc>
          <w:tcPr>
            <w:tcW w:w="1350"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02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925"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226"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11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737" w:type="dxa"/>
            <w:vAlign w:val="center"/>
            <w:textDirection w:val="lrTb"/>
            <w:noWrap w:val="false"/>
          </w:tcPr>
          <w:p>
            <w:pPr>
              <w:pStyle w:val="868"/>
              <w:spacing w:after="0"/>
              <w:rPr>
                <w:rFonts w:ascii="宋体" w:hAnsi="宋体" w:cs="宋体"/>
                <w:szCs w:val="20"/>
              </w:rPr>
            </w:pPr>
            <w:r>
              <w:rPr>
                <w:rFonts w:ascii="宋体" w:hAnsi="宋体" w:cs="宋体"/>
                <w:szCs w:val="20"/>
              </w:rPr>
            </w:r>
            <w:r/>
          </w:p>
        </w:tc>
      </w:tr>
      <w:tr>
        <w:trPr>
          <w:jc w:val="center"/>
          <w:trHeight w:val="480"/>
        </w:trPr>
        <w:tc>
          <w:tcPr>
            <w:tcW w:w="1350"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02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925"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226"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11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737" w:type="dxa"/>
            <w:vAlign w:val="center"/>
            <w:textDirection w:val="lrTb"/>
            <w:noWrap w:val="false"/>
          </w:tcPr>
          <w:p>
            <w:pPr>
              <w:pStyle w:val="868"/>
              <w:spacing w:after="0"/>
              <w:rPr>
                <w:rFonts w:ascii="宋体" w:hAnsi="宋体" w:cs="宋体"/>
                <w:szCs w:val="20"/>
              </w:rPr>
            </w:pPr>
            <w:r>
              <w:rPr>
                <w:rFonts w:ascii="宋体" w:hAnsi="宋体" w:cs="宋体"/>
                <w:szCs w:val="20"/>
              </w:rPr>
            </w:r>
            <w:r/>
          </w:p>
        </w:tc>
      </w:tr>
      <w:tr>
        <w:trPr>
          <w:jc w:val="center"/>
          <w:trHeight w:val="480"/>
        </w:trPr>
        <w:tc>
          <w:tcPr>
            <w:tcW w:w="1350"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02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925"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226"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11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737" w:type="dxa"/>
            <w:vAlign w:val="center"/>
            <w:textDirection w:val="lrTb"/>
            <w:noWrap w:val="false"/>
          </w:tcPr>
          <w:p>
            <w:pPr>
              <w:pStyle w:val="868"/>
              <w:spacing w:after="0"/>
              <w:rPr>
                <w:rFonts w:ascii="宋体" w:hAnsi="宋体" w:cs="宋体"/>
                <w:szCs w:val="20"/>
              </w:rPr>
            </w:pPr>
            <w:r>
              <w:rPr>
                <w:rFonts w:ascii="宋体" w:hAnsi="宋体" w:cs="宋体"/>
                <w:szCs w:val="20"/>
              </w:rPr>
            </w:r>
            <w:r/>
          </w:p>
        </w:tc>
      </w:tr>
      <w:tr>
        <w:trPr>
          <w:jc w:val="center"/>
          <w:trHeight w:val="480"/>
        </w:trPr>
        <w:tc>
          <w:tcPr>
            <w:tcW w:w="1350"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02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925"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226"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11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737" w:type="dxa"/>
            <w:vAlign w:val="center"/>
            <w:textDirection w:val="lrTb"/>
            <w:noWrap w:val="false"/>
          </w:tcPr>
          <w:p>
            <w:pPr>
              <w:pStyle w:val="868"/>
              <w:spacing w:after="0"/>
              <w:rPr>
                <w:rFonts w:ascii="宋体" w:hAnsi="宋体" w:cs="宋体"/>
                <w:szCs w:val="20"/>
              </w:rPr>
            </w:pPr>
            <w:r>
              <w:rPr>
                <w:rFonts w:ascii="宋体" w:hAnsi="宋体" w:cs="宋体"/>
                <w:szCs w:val="20"/>
              </w:rPr>
            </w:r>
            <w:r/>
          </w:p>
        </w:tc>
      </w:tr>
      <w:tr>
        <w:trPr>
          <w:jc w:val="center"/>
          <w:trHeight w:val="480"/>
        </w:trPr>
        <w:tc>
          <w:tcPr>
            <w:tcW w:w="1350"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02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925"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226"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11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737" w:type="dxa"/>
            <w:vAlign w:val="center"/>
            <w:textDirection w:val="lrTb"/>
            <w:noWrap w:val="false"/>
          </w:tcPr>
          <w:p>
            <w:pPr>
              <w:pStyle w:val="868"/>
              <w:spacing w:after="0"/>
              <w:rPr>
                <w:rFonts w:ascii="宋体" w:hAnsi="宋体" w:cs="宋体"/>
                <w:szCs w:val="20"/>
              </w:rPr>
            </w:pPr>
            <w:r>
              <w:rPr>
                <w:rFonts w:ascii="宋体" w:hAnsi="宋体" w:cs="宋体"/>
                <w:szCs w:val="20"/>
              </w:rPr>
            </w:r>
            <w:r/>
          </w:p>
        </w:tc>
      </w:tr>
      <w:tr>
        <w:trPr>
          <w:jc w:val="center"/>
          <w:trHeight w:val="480"/>
        </w:trPr>
        <w:tc>
          <w:tcPr>
            <w:tcW w:w="1350" w:type="dxa"/>
            <w:vAlign w:val="center"/>
            <w:textDirection w:val="lrTb"/>
            <w:noWrap w:val="false"/>
          </w:tcPr>
          <w:p>
            <w:pPr>
              <w:pStyle w:val="868"/>
              <w:spacing w:after="0"/>
              <w:rPr>
                <w:rFonts w:ascii="宋体" w:hAnsi="宋体" w:cs="宋体"/>
                <w:szCs w:val="20"/>
              </w:rPr>
            </w:pPr>
            <w:r>
              <w:rPr>
                <w:rFonts w:hint="eastAsia" w:ascii="宋体" w:hAnsi="宋体" w:cs="宋体"/>
                <w:szCs w:val="20"/>
              </w:rPr>
              <w:t xml:space="preserve">...</w:t>
            </w:r>
            <w:r/>
          </w:p>
        </w:tc>
        <w:tc>
          <w:tcPr>
            <w:tcW w:w="102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925"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226"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118" w:type="dxa"/>
            <w:vAlign w:val="center"/>
            <w:textDirection w:val="lrTb"/>
            <w:noWrap w:val="false"/>
          </w:tcPr>
          <w:p>
            <w:pPr>
              <w:pStyle w:val="868"/>
              <w:spacing w:after="0"/>
              <w:rPr>
                <w:rFonts w:ascii="宋体" w:hAnsi="宋体" w:cs="宋体"/>
                <w:szCs w:val="20"/>
              </w:rPr>
            </w:pPr>
            <w:r>
              <w:rPr>
                <w:rFonts w:ascii="宋体" w:hAnsi="宋体" w:cs="宋体"/>
                <w:szCs w:val="20"/>
              </w:rPr>
            </w:r>
            <w:r/>
          </w:p>
        </w:tc>
        <w:tc>
          <w:tcPr>
            <w:tcW w:w="1737" w:type="dxa"/>
            <w:vAlign w:val="center"/>
            <w:textDirection w:val="lrTb"/>
            <w:noWrap w:val="false"/>
          </w:tcPr>
          <w:p>
            <w:pPr>
              <w:pStyle w:val="868"/>
              <w:spacing w:after="0"/>
              <w:rPr>
                <w:rFonts w:ascii="宋体" w:hAnsi="宋体" w:cs="宋体"/>
                <w:szCs w:val="20"/>
              </w:rPr>
            </w:pPr>
            <w:r>
              <w:rPr>
                <w:rFonts w:ascii="宋体" w:hAnsi="宋体" w:cs="宋体"/>
                <w:szCs w:val="20"/>
              </w:rPr>
            </w:r>
            <w:r/>
          </w:p>
        </w:tc>
      </w:tr>
    </w:tbl>
    <w:p>
      <w:pPr>
        <w:jc w:val="center"/>
        <w:spacing w:line="479" w:lineRule="atLeast"/>
        <w:rPr>
          <w:rFonts w:ascii="宋体" w:hAnsi="宋体" w:cs="宋体"/>
          <w:b/>
          <w:bCs/>
          <w:color w:val="ff0000"/>
          <w:sz w:val="24"/>
        </w:rPr>
        <w:pBdr>
          <w:top w:val="none" w:color="000000" w:sz="0" w:space="0"/>
          <w:left w:val="none" w:color="000000" w:sz="0" w:space="0"/>
          <w:bottom w:val="none" w:color="000000" w:sz="0" w:space="0"/>
          <w:right w:val="none" w:color="000000" w:sz="0" w:space="0"/>
        </w:pBdr>
      </w:pPr>
      <w:r>
        <w:rPr>
          <w:rFonts w:ascii="宋体" w:hAnsi="宋体" w:cs="宋体"/>
          <w:b/>
          <w:bCs/>
          <w:color w:val="ff0000"/>
          <w:sz w:val="24"/>
        </w:rPr>
      </w:r>
      <w:r/>
    </w:p>
    <w:p>
      <w:pPr>
        <w:jc w:val="left"/>
        <w:spacing w:line="360" w:lineRule="auto"/>
        <w:widowControl/>
        <w:rPr>
          <w:rFonts w:ascii="宋体" w:hAnsi="宋体" w:cs="宋体"/>
          <w:sz w:val="24"/>
          <w:szCs w:val="20"/>
        </w:rPr>
      </w:pPr>
      <w:r>
        <w:rPr>
          <w:rFonts w:hint="eastAsia" w:ascii="宋体" w:hAnsi="宋体" w:cs="宋体"/>
          <w:sz w:val="24"/>
          <w:szCs w:val="20"/>
        </w:rPr>
        <w:t xml:space="preserve">注：1.</w:t>
      </w:r>
      <w:r>
        <w:rPr>
          <w:rFonts w:ascii="宋体" w:hAnsi="宋体" w:cs="宋体"/>
          <w:sz w:val="24"/>
        </w:rPr>
        <w:t xml:space="preserve">本表由投标人自行梳理填报本项目配套备品备件、易损件，可自行增行；</w:t>
      </w:r>
      <w:r>
        <w:rPr>
          <w:rFonts w:hint="eastAsia" w:ascii="宋体" w:hAnsi="宋体" w:cs="宋体"/>
          <w:sz w:val="24"/>
          <w:szCs w:val="20"/>
        </w:rPr>
        <w:t xml:space="preserve">本表所列为质保期满后供采购人选购的</w:t>
      </w:r>
      <w:r>
        <w:rPr>
          <w:rFonts w:hint="eastAsia" w:ascii="宋体" w:hAnsi="宋体" w:cs="宋体"/>
          <w:color w:val="000000" w:themeColor="text1"/>
          <w:sz w:val="24"/>
          <w14:textFill>
            <w14:solidFill>
              <w14:schemeClr w14:val="tx1"/>
            </w14:solidFill>
          </w14:textFill>
        </w:rPr>
        <w:t xml:space="preserve">备品备件及易损件报价清单。</w:t>
      </w:r>
      <w:r/>
    </w:p>
    <w:p>
      <w:pPr>
        <w:numPr>
          <w:ilvl w:val="0"/>
          <w:numId w:val="6"/>
        </w:numPr>
        <w:jc w:val="left"/>
        <w:spacing w:line="360" w:lineRule="auto"/>
        <w:widowControl/>
        <w:rPr>
          <w:rFonts w:ascii="宋体" w:hAnsi="宋体" w:cs="宋体"/>
          <w:sz w:val="24"/>
          <w:szCs w:val="20"/>
        </w:rPr>
      </w:pPr>
      <w:r>
        <w:rPr>
          <w:rFonts w:ascii="宋体" w:hAnsi="宋体" w:cs="宋体"/>
          <w:sz w:val="24"/>
        </w:rPr>
        <w:t xml:space="preserve">本表所列价格不计入投标总价，仅作为质保期满后采购人选购零配件的价格参考</w:t>
      </w:r>
      <w:r>
        <w:rPr>
          <w:rFonts w:hint="eastAsia" w:ascii="宋体" w:hAnsi="宋体" w:cs="宋体"/>
          <w:sz w:val="24"/>
          <w:szCs w:val="20"/>
        </w:rPr>
        <w:t xml:space="preserve">。</w:t>
      </w:r>
      <w:r/>
    </w:p>
    <w:p>
      <w:pPr>
        <w:ind w:firstLine="480"/>
        <w:jc w:val="left"/>
        <w:spacing w:line="360" w:lineRule="auto"/>
        <w:widowControl/>
        <w:rPr>
          <w:rFonts w:ascii="宋体" w:hAnsi="宋体" w:cs="宋体"/>
          <w:sz w:val="24"/>
          <w:szCs w:val="20"/>
        </w:rPr>
      </w:pPr>
      <w:r>
        <w:rPr>
          <w:rFonts w:hint="eastAsia" w:ascii="宋体" w:hAnsi="宋体" w:cs="宋体"/>
          <w:sz w:val="24"/>
          <w:szCs w:val="20"/>
        </w:rPr>
        <w:t xml:space="preserve">3.本表须填报原厂零配件价格。</w:t>
      </w:r>
      <w:r/>
    </w:p>
    <w:p>
      <w:pPr>
        <w:jc w:val="center"/>
        <w:spacing w:line="479" w:lineRule="atLeast"/>
        <w:rPr>
          <w:rFonts w:ascii="宋体" w:hAnsi="宋体" w:cs="宋体"/>
          <w:b/>
          <w:bCs/>
          <w:color w:val="ff0000"/>
          <w:sz w:val="24"/>
        </w:rPr>
        <w:pBdr>
          <w:top w:val="none" w:color="000000" w:sz="0" w:space="0"/>
          <w:left w:val="none" w:color="000000" w:sz="0" w:space="0"/>
          <w:bottom w:val="none" w:color="000000" w:sz="0" w:space="0"/>
          <w:right w:val="none" w:color="000000" w:sz="0" w:space="0"/>
        </w:pBdr>
      </w:pPr>
      <w:r>
        <w:rPr>
          <w:rFonts w:ascii="宋体" w:hAnsi="宋体" w:cs="宋体"/>
          <w:b/>
          <w:bCs/>
          <w:color w:val="ff0000"/>
          <w:sz w:val="24"/>
        </w:rPr>
      </w:r>
      <w:r/>
    </w:p>
    <w:p>
      <w:pPr>
        <w:jc w:val="center"/>
        <w:spacing w:line="479" w:lineRule="atLeast"/>
        <w:rPr>
          <w:rFonts w:ascii="宋体" w:hAnsi="宋体" w:cs="宋体"/>
          <w:b/>
          <w:bCs/>
          <w:color w:val="ff0000"/>
          <w:sz w:val="24"/>
        </w:rPr>
        <w:pBdr>
          <w:top w:val="none" w:color="000000" w:sz="0" w:space="0"/>
          <w:left w:val="none" w:color="000000" w:sz="0" w:space="0"/>
          <w:bottom w:val="none" w:color="000000" w:sz="0" w:space="0"/>
          <w:right w:val="none" w:color="000000" w:sz="0" w:space="0"/>
        </w:pBdr>
      </w:pPr>
      <w:r>
        <w:rPr>
          <w:rFonts w:ascii="宋体" w:hAnsi="宋体" w:cs="宋体"/>
          <w:b/>
          <w:bCs/>
          <w:color w:val="ff0000"/>
          <w:sz w:val="24"/>
        </w:rPr>
      </w:r>
      <w:r/>
    </w:p>
    <w:p>
      <w:pPr>
        <w:jc w:val="center"/>
        <w:spacing w:line="479" w:lineRule="atLeast"/>
        <w:rPr>
          <w:rFonts w:ascii="宋体" w:hAnsi="宋体" w:cs="宋体"/>
          <w:b/>
          <w:bCs/>
          <w:color w:val="ff0000"/>
          <w:sz w:val="24"/>
        </w:rPr>
        <w:pBdr>
          <w:top w:val="none" w:color="000000" w:sz="0" w:space="0"/>
          <w:left w:val="none" w:color="000000" w:sz="0" w:space="0"/>
          <w:bottom w:val="none" w:color="000000" w:sz="0" w:space="0"/>
          <w:right w:val="none" w:color="000000" w:sz="0" w:space="0"/>
        </w:pBdr>
      </w:pPr>
      <w:r>
        <w:rPr>
          <w:rFonts w:ascii="宋体" w:hAnsi="宋体" w:cs="宋体"/>
          <w:b/>
          <w:bCs/>
          <w:color w:val="ff0000"/>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jc w:val="center"/>
        <w:spacing w:line="479" w:lineRule="atLeast"/>
        <w:rPr>
          <w:rFonts w:ascii="宋体" w:hAnsi="宋体" w:cs="宋体"/>
          <w:b/>
          <w:bCs/>
          <w:color w:val="ff0000"/>
          <w:sz w:val="24"/>
        </w:rPr>
        <w:pBdr>
          <w:top w:val="none" w:color="000000" w:sz="0" w:space="0"/>
          <w:left w:val="none" w:color="000000" w:sz="0" w:space="0"/>
          <w:bottom w:val="none" w:color="000000" w:sz="0" w:space="0"/>
          <w:right w:val="none" w:color="000000" w:sz="0" w:space="0"/>
        </w:pBdr>
      </w:pPr>
      <w:r>
        <w:rPr>
          <w:rFonts w:ascii="宋体" w:hAnsi="宋体" w:cs="宋体"/>
          <w:b/>
          <w:bCs/>
          <w:color w:val="ff0000"/>
          <w:sz w:val="24"/>
        </w:rPr>
      </w:r>
      <w:r/>
    </w:p>
    <w:p>
      <w:pPr>
        <w:spacing w:line="479" w:lineRule="atLeast"/>
        <w:rPr>
          <w:rFonts w:ascii="宋体" w:hAnsi="宋体" w:cs="宋体"/>
          <w:b/>
          <w:bCs/>
          <w:color w:val="ff0000"/>
          <w:sz w:val="24"/>
        </w:rPr>
        <w:pBdr>
          <w:top w:val="none" w:color="000000" w:sz="0" w:space="0"/>
          <w:left w:val="none" w:color="000000" w:sz="0" w:space="0"/>
          <w:bottom w:val="none" w:color="000000" w:sz="0" w:space="0"/>
          <w:right w:val="none" w:color="000000" w:sz="0" w:space="0"/>
        </w:pBdr>
      </w:pPr>
      <w:r>
        <w:rPr>
          <w:rFonts w:ascii="宋体" w:hAnsi="宋体" w:cs="宋体"/>
          <w:b/>
          <w:bCs/>
          <w:color w:val="ff0000"/>
          <w:sz w:val="24"/>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七、授权委托书及法定代表人身份证明书格式</w:t>
      </w:r>
      <w:r/>
    </w:p>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（一）授权委托书</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委托人：</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法定代表人（负责人）：               职务：</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统一社会信用代码：</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受托人：        性别：男（女）</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年龄：  岁      民族：  族</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职务：</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身份证号：</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兹委托（</w:t>
      </w:r>
      <w:r>
        <w:rPr>
          <w:rFonts w:hint="eastAsia" w:ascii="宋体" w:hAnsi="宋体" w:cs="宋体"/>
          <w:sz w:val="24"/>
          <w:u w:val="single"/>
        </w:rPr>
        <w:t xml:space="preserve">     </w:t>
      </w:r>
      <w:r>
        <w:rPr>
          <w:rFonts w:hint="eastAsia" w:ascii="宋体" w:hAnsi="宋体" w:cs="宋体"/>
          <w:sz w:val="24"/>
        </w:rPr>
        <w:t xml:space="preserve">）全权代表我企业（公司）参与（</w:t>
      </w:r>
      <w:r>
        <w:rPr>
          <w:rFonts w:hint="eastAsia" w:ascii="宋体" w:hAnsi="宋体" w:cs="宋体"/>
          <w:sz w:val="24"/>
          <w:u w:val="single"/>
        </w:rPr>
        <w:t xml:space="preserve">    </w:t>
      </w:r>
      <w:r>
        <w:rPr>
          <w:rFonts w:hint="eastAsia" w:ascii="宋体" w:hAnsi="宋体" w:cs="宋体"/>
          <w:sz w:val="24"/>
        </w:rPr>
        <w:t xml:space="preserve">）项目（项目编号：JSZC-320300-JSZR-G2026-0080）的招、投标活动及签订合同。（</w:t>
      </w:r>
      <w:r>
        <w:rPr>
          <w:rFonts w:hint="eastAsia" w:ascii="宋体" w:hAnsi="宋体" w:cs="宋体"/>
          <w:sz w:val="24"/>
          <w:u w:val="single"/>
        </w:rPr>
        <w:t xml:space="preserve">    </w:t>
      </w:r>
      <w:r>
        <w:rPr>
          <w:rFonts w:hint="eastAsia" w:ascii="宋体" w:hAnsi="宋体" w:cs="宋体"/>
          <w:sz w:val="24"/>
        </w:rPr>
        <w:t xml:space="preserve">）以我企业（公司）名义所为的法律行为及签署的文件，我企业（公司）均予以认可。有关法律责任均由我企业（公司）承担。（</w:t>
      </w:r>
      <w:r>
        <w:rPr>
          <w:rFonts w:hint="eastAsia" w:ascii="宋体" w:hAnsi="宋体" w:cs="宋体"/>
          <w:sz w:val="24"/>
          <w:u w:val="single"/>
        </w:rPr>
        <w:t xml:space="preserve">     </w:t>
      </w:r>
      <w:r>
        <w:rPr>
          <w:rFonts w:hint="eastAsia" w:ascii="宋体" w:hAnsi="宋体" w:cs="宋体"/>
          <w:sz w:val="24"/>
        </w:rPr>
        <w:t xml:space="preserve">）无转委托权。</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委托期限自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ind w:firstLine="63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特此授权委托。</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委托人（电子签章）：</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法定代表人（负责人）（签字或盖章）： </w:t>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受托人（签字或盖章）：</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1081"/>
        <w:ind w:left="0" w:firstLine="602"/>
        <w:rPr>
          <w:rFonts w:ascii="宋体" w:hAnsi="宋体" w:cs="宋体"/>
          <w:sz w:val="24"/>
        </w:rPr>
      </w:pPr>
      <w:r>
        <w:rPr>
          <w:rFonts w:hint="eastAsia" w:ascii="宋体" w:hAnsi="宋体" w:cs="宋体"/>
          <w:b/>
          <w:bCs/>
          <w:sz w:val="24"/>
        </w:rPr>
        <w:t xml:space="preserve">受托人联系方式：            邮箱：</w:t>
      </w:r>
      <w:r/>
    </w:p>
    <w:p>
      <w:pPr>
        <w:ind w:right="600" w:firstLine="615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年  月 日</w:t>
      </w:r>
      <w:r>
        <w:rPr>
          <w:rFonts w:hint="eastAsia" w:ascii="宋体" w:hAnsi="宋体" w:cs="宋体"/>
          <w:sz w:val="24"/>
        </w:rPr>
        <w:t xml:space="preserve"> </w:t>
      </w:r>
      <w:r/>
    </w:p>
    <w:p>
      <w:pPr>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（受托人身份证扫描件附后）</w:t>
      </w:r>
      <w:r/>
    </w:p>
    <w:p>
      <w:pPr>
        <w:ind w:firstLine="447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 </w:t>
      </w:r>
      <w:r/>
    </w:p>
    <w:p>
      <w:pPr>
        <w:ind w:firstLine="600"/>
        <w:jc w:val="center"/>
        <w:spacing w:before="100" w:after="100"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2"/>
          <w:szCs w:val="32"/>
        </w:rPr>
      </w:r>
      <w:r/>
    </w:p>
    <w:p>
      <w:pPr>
        <w:jc w:val="center"/>
        <w:spacing w:before="100" w:after="100"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（二）法定代表人身份证明书</w:t>
      </w:r>
      <w:r/>
    </w:p>
    <w:p>
      <w:pPr>
        <w:pStyle w:val="1090"/>
        <w:rPr>
          <w:rFonts w:ascii="宋体" w:hAnsi="宋体" w:cs="宋体"/>
        </w:rPr>
      </w:pPr>
      <w:r>
        <w:rPr>
          <w:rFonts w:ascii="宋体" w:hAnsi="宋体" w:cs="宋体"/>
        </w:rPr>
      </w:r>
      <w:r/>
    </w:p>
    <w:p>
      <w:pPr>
        <w:pStyle w:val="902"/>
        <w:ind w:firstLine="480"/>
        <w:spacing w:line="500" w:lineRule="exact"/>
        <w:tabs>
          <w:tab w:val="left" w:pos="720" w:leader="none"/>
          <w:tab w:val="left" w:pos="900" w:leader="none"/>
        </w:tabs>
        <w:rPr>
          <w:rFonts w:ascii="宋体" w:hAnsi="宋体" w:cs="宋体"/>
          <w:sz w:val="24"/>
        </w:rPr>
      </w:pPr>
      <w:r>
        <w:rPr>
          <w:rFonts w:ascii="宋体" w:hAnsi="宋体" w:cs="宋体"/>
          <w:sz w:val="24"/>
        </w:rPr>
      </w:r>
      <w:r/>
    </w:p>
    <w:p>
      <w:pPr>
        <w:pStyle w:val="902"/>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单位名称：</w:t>
      </w:r>
      <w:r/>
    </w:p>
    <w:p>
      <w:pPr>
        <w:pStyle w:val="902"/>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地址：</w:t>
      </w:r>
      <w:r/>
    </w:p>
    <w:p>
      <w:pPr>
        <w:pStyle w:val="902"/>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姓名：            性别：    </w:t>
      </w:r>
      <w:r/>
    </w:p>
    <w:p>
      <w:pPr>
        <w:pStyle w:val="902"/>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身份证号：        职务：</w:t>
      </w:r>
      <w:r/>
    </w:p>
    <w:p>
      <w:pPr>
        <w:pStyle w:val="902"/>
        <w:ind w:firstLine="960"/>
        <w:spacing w:line="360" w:lineRule="auto"/>
        <w:rPr>
          <w:rFonts w:ascii="宋体" w:hAnsi="宋体" w:cs="宋体"/>
          <w:sz w:val="24"/>
          <w:u w:val="single"/>
        </w:rPr>
      </w:pPr>
      <w:r>
        <w:rPr>
          <w:rFonts w:ascii="宋体" w:hAnsi="宋体" w:cs="宋体"/>
          <w:sz w:val="24"/>
          <w:u w:val="single"/>
        </w:rPr>
      </w:r>
      <w:r/>
    </w:p>
    <w:p>
      <w:pPr>
        <w:pStyle w:val="902"/>
        <w:ind w:firstLine="60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系我企业（公司）的法定代表人。</w:t>
      </w:r>
      <w:r/>
    </w:p>
    <w:p>
      <w:pPr>
        <w:pStyle w:val="902"/>
        <w:spacing w:line="360" w:lineRule="auto"/>
        <w:tabs>
          <w:tab w:val="left" w:pos="720" w:leader="none"/>
          <w:tab w:val="left" w:pos="900" w:leader="none"/>
        </w:tabs>
        <w:rPr>
          <w:rFonts w:ascii="宋体" w:hAnsi="宋体" w:cs="宋体"/>
          <w:sz w:val="24"/>
        </w:rPr>
      </w:pPr>
      <w:r>
        <w:rPr>
          <w:rFonts w:ascii="宋体" w:hAnsi="宋体" w:cs="宋体"/>
          <w:sz w:val="24"/>
        </w:rPr>
      </w:r>
      <w:r/>
    </w:p>
    <w:p>
      <w:pPr>
        <w:pStyle w:val="902"/>
        <w:ind w:firstLine="480"/>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特此证明。</w:t>
      </w:r>
      <w:r/>
    </w:p>
    <w:p>
      <w:pPr>
        <w:pStyle w:val="902"/>
        <w:ind w:firstLine="480"/>
        <w:spacing w:line="360" w:lineRule="auto"/>
        <w:tabs>
          <w:tab w:val="left" w:pos="720" w:leader="none"/>
          <w:tab w:val="left" w:pos="900" w:leader="none"/>
        </w:tabs>
        <w:rPr>
          <w:rFonts w:ascii="宋体" w:hAnsi="宋体" w:cs="宋体"/>
          <w:sz w:val="24"/>
        </w:rPr>
      </w:pPr>
      <w:r>
        <w:rPr>
          <w:rFonts w:ascii="宋体" w:hAnsi="宋体" w:cs="宋体"/>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法定代表人（签字或盖章）：</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pStyle w:val="902"/>
        <w:jc w:val="right"/>
        <w:spacing w:line="360" w:lineRule="auto"/>
        <w:tabs>
          <w:tab w:val="left" w:pos="720" w:leader="none"/>
          <w:tab w:val="left" w:pos="900" w:leader="none"/>
        </w:tabs>
        <w:rPr>
          <w:rFonts w:ascii="宋体" w:hAnsi="宋体" w:cs="宋体"/>
          <w:sz w:val="24"/>
        </w:rPr>
      </w:pPr>
      <w:r>
        <w:rPr>
          <w:rFonts w:ascii="宋体" w:hAnsi="宋体" w:cs="宋体"/>
          <w:sz w:val="24"/>
        </w:rPr>
      </w:r>
      <w:r/>
    </w:p>
    <w:p>
      <w:pPr>
        <w:pStyle w:val="902"/>
        <w:spacing w:line="360" w:lineRule="auto"/>
        <w:rPr>
          <w:rFonts w:ascii="宋体" w:hAnsi="宋体" w:cs="宋体"/>
          <w:sz w:val="24"/>
        </w:rPr>
      </w:pPr>
      <w:r>
        <w:rPr>
          <w:rFonts w:ascii="宋体" w:hAnsi="宋体" w:cs="宋体"/>
          <w:sz w:val="24"/>
        </w:rPr>
      </w:r>
      <w:r/>
    </w:p>
    <w:p>
      <w:pPr>
        <w:pStyle w:val="902"/>
        <w:spacing w:line="360" w:lineRule="auto"/>
        <w:tabs>
          <w:tab w:val="left" w:pos="720" w:leader="none"/>
          <w:tab w:val="left" w:pos="900" w:leader="none"/>
        </w:tabs>
        <w:rPr>
          <w:rFonts w:ascii="宋体" w:hAnsi="宋体" w:cs="宋体"/>
          <w:b/>
          <w:bCs/>
          <w:sz w:val="24"/>
        </w:rPr>
      </w:pPr>
      <w:r>
        <w:rPr>
          <w:rFonts w:hint="eastAsia" w:ascii="宋体" w:hAnsi="宋体" w:cs="宋体"/>
          <w:b/>
          <w:bCs/>
          <w:sz w:val="24"/>
        </w:rPr>
        <w:t xml:space="preserve">（法定代表人身份证原件扫描件附后）</w:t>
      </w:r>
      <w:r/>
    </w:p>
    <w:p>
      <w:pPr>
        <w:rPr>
          <w:rFonts w:ascii="宋体" w:hAnsi="宋体" w:cs="宋体"/>
          <w:b/>
          <w:bCs/>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24"/>
        </w:rPr>
      </w:r>
      <w:r/>
    </w:p>
    <w:p>
      <w:pPr>
        <w:ind w:firstLine="600"/>
        <w:jc w:val="center"/>
        <w:spacing w:before="100" w:after="100"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八、中小企业声明函格式</w:t>
      </w:r>
      <w:r/>
    </w:p>
    <w:p>
      <w:pPr>
        <w:spacing w:before="100" w:after="10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项目编号：JSZC-320300-JSZR-G2026-0086</w:t>
      </w:r>
      <w:r/>
    </w:p>
    <w:p>
      <w:pPr>
        <w:spacing w:before="100" w:after="10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sz w:val="24"/>
          <w:lang w:eastAsia="zh-CN"/>
        </w:rPr>
        <w:t xml:space="preserve">智慧校园3.0建设行动计划子项目网络基础建设项目</w:t>
      </w:r>
      <w:r/>
    </w:p>
    <w:p>
      <w:pPr>
        <w:ind w:firstLine="480"/>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徐州工业职业技术学院</w:t>
      </w:r>
      <w:r>
        <w:rPr>
          <w:rFonts w:hint="eastAsia" w:ascii="宋体" w:hAnsi="宋体" w:cs="宋体"/>
          <w:sz w:val="24"/>
        </w:rPr>
        <w:t xml:space="preserve">）的（</w:t>
      </w:r>
      <w:r>
        <w:rPr>
          <w:rFonts w:hint="eastAsia" w:ascii="宋体" w:hAnsi="宋体" w:cs="宋体"/>
          <w:sz w:val="24"/>
          <w:u w:val="single"/>
          <w:lang w:eastAsia="zh-CN"/>
        </w:rPr>
        <w:t xml:space="preserve">智慧校园3.0建设行动计划子项目网络基础建设项目</w:t>
      </w:r>
      <w:r>
        <w:rPr>
          <w:rFonts w:hint="eastAsia" w:ascii="宋体" w:hAnsi="宋体" w:cs="宋体"/>
          <w:sz w:val="24"/>
        </w:rPr>
        <w:t xml:space="preserve">）采购活动，提供的货物全部由符合政策要求的中小企业制造。相关企业的具体情况如下：</w:t>
      </w:r>
      <w:r/>
    </w:p>
    <w:p>
      <w:pPr>
        <w:pStyle w:val="956"/>
        <w:numPr>
          <w:ilvl w:val="0"/>
          <w:numId w:val="7"/>
        </w:numPr>
        <w:ind w:left="0" w:firstLine="560"/>
        <w:rPr>
          <w:rFonts w:ascii="宋体" w:hAnsi="宋体" w:cs="宋体"/>
          <w:color w:val="auto"/>
          <w:sz w:val="24"/>
        </w:rPr>
      </w:pPr>
      <w:r>
        <w:rPr>
          <w:rFonts w:hint="eastAsia" w:ascii="宋体" w:hAnsi="宋体" w:cs="宋体"/>
          <w:sz w:val="24"/>
        </w:rPr>
        <w:t xml:space="preserve">（标的名称），属于（工业）行业；制造商为（______）（企业名称），从业人员（______）人，营业收入为（______万元），资产总额为（______万元），属于（□中型企业、□小型企业、□微型企业，</w:t>
      </w:r>
      <w:r>
        <w:rPr>
          <w:rFonts w:hint="eastAsia" w:ascii="宋体" w:hAnsi="宋体" w:cs="宋体"/>
          <w:color w:val="auto"/>
          <w:sz w:val="24"/>
        </w:rPr>
        <w:t xml:space="preserve">请勾选）；</w:t>
      </w:r>
      <w:r/>
    </w:p>
    <w:p>
      <w:pPr>
        <w:pStyle w:val="956"/>
        <w:numPr>
          <w:ilvl w:val="0"/>
          <w:numId w:val="0"/>
        </w:numPr>
        <w:ind w:firstLine="480"/>
        <w:rPr>
          <w:rFonts w:ascii="宋体" w:hAnsi="宋体" w:cs="宋体"/>
          <w:color w:val="auto"/>
          <w:sz w:val="24"/>
        </w:rPr>
      </w:pPr>
      <w:r>
        <w:rPr>
          <w:rFonts w:hint="eastAsia" w:ascii="宋体" w:hAnsi="宋体" w:cs="宋体"/>
          <w:color w:val="auto"/>
          <w:sz w:val="24"/>
          <w:lang w:val="en-US" w:eastAsia="zh-CN"/>
        </w:rPr>
        <w:t xml:space="preserve"> 2.</w:t>
      </w:r>
      <w:r>
        <w:rPr>
          <w:rFonts w:hint="eastAsia" w:ascii="宋体" w:hAnsi="宋体" w:cs="宋体"/>
          <w:color w:val="auto"/>
          <w:sz w:val="24"/>
        </w:rPr>
        <w:t xml:space="preserve">（标的名称），属于（工业）行业；制造商为（______）（企业名称），从业人员（______）人，营业收入为（______万元），资产总额为（______万元），属于（□中型企业、□小型企业、□微型企业，请勾选）；</w:t>
      </w:r>
      <w:r/>
    </w:p>
    <w:p>
      <w:pPr>
        <w:pStyle w:val="957"/>
        <w:rPr>
          <w:rFonts w:hint="default" w:eastAsia="宋体"/>
          <w:lang w:val="en-US" w:eastAsia="zh-CN"/>
        </w:rPr>
      </w:pPr>
      <w:r>
        <w:rPr>
          <w:rFonts w:hint="default" w:eastAsia="宋体"/>
          <w:lang w:val="en-US" w:eastAsia="zh-CN"/>
        </w:rPr>
      </w:r>
      <w:r/>
    </w:p>
    <w:p>
      <w:pPr>
        <w:pStyle w:val="957"/>
      </w:pPr>
      <w:r/>
      <w:r/>
    </w:p>
    <w:p>
      <w:pPr>
        <w:pStyle w:val="956"/>
        <w:ind w:left="0" w:firstLine="560"/>
        <w:rPr>
          <w:rFonts w:hint="eastAsia" w:ascii="宋体" w:hAnsi="宋体" w:cs="宋体"/>
          <w:sz w:val="24"/>
        </w:rPr>
      </w:pPr>
      <w:r>
        <w:rPr>
          <w:rFonts w:hint="eastAsia" w:ascii="宋体" w:hAnsi="宋体" w:cs="宋体"/>
          <w:sz w:val="24"/>
        </w:rPr>
        <w:t xml:space="preserve">……</w:t>
      </w:r>
      <w:r/>
    </w:p>
    <w:p>
      <w:pPr>
        <w:pStyle w:val="957"/>
        <w:rPr>
          <w:rFonts w:hint="eastAsia" w:ascii="宋体" w:hAnsi="宋体" w:cs="宋体"/>
          <w:sz w:val="24"/>
        </w:rPr>
      </w:pPr>
      <w:r>
        <w:rPr>
          <w:rFonts w:hint="eastAsia" w:ascii="宋体" w:hAnsi="宋体" w:cs="宋体"/>
          <w:sz w:val="24"/>
        </w:rPr>
      </w:r>
      <w:r/>
    </w:p>
    <w:p>
      <w:pPr>
        <w:pStyle w:val="957"/>
        <w:rPr>
          <w:rFonts w:hint="eastAsia" w:ascii="宋体" w:hAnsi="宋体" w:cs="宋体"/>
          <w:sz w:val="24"/>
        </w:rPr>
      </w:pPr>
      <w:r>
        <w:rPr>
          <w:rFonts w:hint="eastAsia" w:ascii="宋体" w:hAnsi="宋体" w:cs="宋体"/>
          <w:sz w:val="24"/>
        </w:rPr>
      </w:r>
      <w:r/>
    </w:p>
    <w:p>
      <w:pPr>
        <w:pStyle w:val="956"/>
        <w:ind w:left="0" w:firstLine="560"/>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956"/>
        <w:spacing w:line="360" w:lineRule="auto"/>
        <w:rPr>
          <w:rFonts w:ascii="宋体" w:hAnsi="宋体" w:cs="宋体"/>
          <w:b/>
          <w:bCs/>
          <w:sz w:val="24"/>
        </w:rPr>
      </w:pPr>
      <w:r>
        <w:rPr>
          <w:rFonts w:ascii="宋体" w:hAnsi="宋体" w:cs="宋体"/>
          <w:b/>
          <w:bCs/>
          <w:sz w:val="24"/>
        </w:rPr>
      </w:r>
      <w:r/>
    </w:p>
    <w:p>
      <w:pPr>
        <w:pStyle w:val="956"/>
        <w:spacing w:line="360" w:lineRule="auto"/>
        <w:rPr>
          <w:rFonts w:ascii="宋体" w:hAnsi="宋体" w:cs="宋体"/>
          <w:sz w:val="24"/>
        </w:rPr>
      </w:pPr>
      <w:r>
        <w:rPr>
          <w:rFonts w:hint="eastAsia" w:ascii="宋体" w:hAnsi="宋体" w:cs="宋体"/>
          <w:sz w:val="24"/>
        </w:rPr>
        <w:t xml:space="preserve">企业名称（电子签章）：</w:t>
      </w:r>
      <w:r/>
    </w:p>
    <w:p>
      <w:pPr>
        <w:pStyle w:val="956"/>
        <w:spacing w:line="360" w:lineRule="auto"/>
        <w:rPr>
          <w:rFonts w:ascii="宋体" w:hAnsi="宋体" w:cs="宋体"/>
          <w:sz w:val="24"/>
        </w:rPr>
      </w:pPr>
      <w:r>
        <w:rPr>
          <w:rFonts w:hint="eastAsia" w:ascii="宋体" w:hAnsi="宋体" w:cs="宋体"/>
          <w:sz w:val="24"/>
        </w:rPr>
        <w:t xml:space="preserve">日期：  年  月  日</w:t>
      </w:r>
      <w:r/>
    </w:p>
    <w:p>
      <w:pPr>
        <w:spacing w:line="480" w:lineRule="exact"/>
        <w:rPr>
          <w:rFonts w:ascii="宋体" w:hAnsi="宋体" w:cs="宋体"/>
          <w:bCs/>
          <w:sz w:val="24"/>
        </w:rPr>
      </w:pPr>
      <w:r>
        <w:rPr>
          <w:rFonts w:hint="eastAsia" w:ascii="宋体" w:hAnsi="宋体" w:cs="宋体"/>
          <w:bCs/>
          <w:sz w:val="24"/>
        </w:rPr>
        <w:t xml:space="preserve">备注：本采购项目所属行业为“工业”。</w:t>
      </w:r>
      <w:r/>
    </w:p>
    <w:p>
      <w:pPr>
        <w:pStyle w:val="956"/>
        <w:ind w:left="0"/>
        <w:jc w:val="left"/>
        <w:spacing w:after="0" w:line="360" w:lineRule="auto"/>
        <w:rPr>
          <w:rFonts w:ascii="宋体" w:hAnsi="宋体" w:cs="宋体"/>
          <w:bCs/>
          <w:sz w:val="24"/>
        </w:rPr>
      </w:pPr>
      <w:r>
        <w:rPr>
          <w:rFonts w:hint="eastAsia" w:ascii="宋体" w:hAnsi="宋体" w:cs="宋体"/>
          <w:bCs/>
          <w:sz w:val="24"/>
        </w:rPr>
        <w:t xml:space="preserve">说明：</w:t>
      </w:r>
      <w:r/>
    </w:p>
    <w:p>
      <w:pPr>
        <w:pStyle w:val="956"/>
        <w:ind w:left="0"/>
        <w:spacing w:after="0" w:line="360" w:lineRule="auto"/>
        <w:rPr>
          <w:rFonts w:ascii="宋体" w:hAnsi="宋体" w:cs="宋体"/>
          <w:bCs/>
          <w:sz w:val="24"/>
        </w:rPr>
      </w:pPr>
      <w:r>
        <w:rPr>
          <w:rFonts w:hint="eastAsia" w:ascii="宋体" w:hAnsi="宋体" w:cs="宋体"/>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56"/>
        <w:ind w:left="0"/>
        <w:spacing w:after="0"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w:t>
      </w:r>
      <w:r>
        <w:rPr>
          <w:rFonts w:hint="eastAsia" w:ascii="宋体" w:hAnsi="宋体" w:cs="宋体"/>
          <w:bCs/>
          <w:sz w:val="24"/>
        </w:rPr>
        <w:t xml:space="preserve">从业人员、营业收入、资产总额填报上一年度数据；无上一年度数据的新成立企业可不填报。</w:t>
      </w:r>
      <w:r/>
    </w:p>
    <w:p>
      <w:pPr>
        <w:pStyle w:val="956"/>
        <w:ind w:left="0"/>
        <w:spacing w:after="0" w:line="360" w:lineRule="auto"/>
        <w:rPr>
          <w:rFonts w:ascii="宋体" w:hAnsi="宋体" w:cs="宋体"/>
          <w:bCs/>
          <w:sz w:val="24"/>
        </w:rPr>
      </w:pPr>
      <w:r>
        <w:rPr>
          <w:rFonts w:hint="eastAsia" w:ascii="宋体" w:hAnsi="宋体" w:cs="宋体"/>
          <w:bCs/>
          <w:sz w:val="24"/>
        </w:rPr>
        <w:t xml:space="preserve">3、中标、成交供应商提供的货物全部由符合政策要求的小型、微型企业制造的，采购人或者其委托的采购代理机构有权随中标、成交结果同时公告其《中小企业声明函》，接受社会监督。</w:t>
      </w:r>
      <w:r/>
    </w:p>
    <w:p>
      <w:pPr>
        <w:pStyle w:val="956"/>
        <w:ind w:left="0"/>
        <w:spacing w:after="0" w:line="360" w:lineRule="auto"/>
        <w:rPr>
          <w:rFonts w:ascii="宋体" w:hAnsi="宋体" w:cs="宋体"/>
          <w:bCs/>
          <w:sz w:val="24"/>
        </w:rPr>
      </w:pPr>
      <w:r>
        <w:rPr>
          <w:rFonts w:hint="eastAsia" w:ascii="宋体" w:hAnsi="宋体" w:cs="宋体"/>
          <w:bCs/>
          <w:sz w:val="24"/>
        </w:rPr>
        <w:t xml:space="preserve">4、执行江苏省财政厅关于进一步加大政府采购支持中小企业力度的通知（苏财购〔2022〕45号）的规定。</w:t>
      </w:r>
      <w:r/>
    </w:p>
    <w:p>
      <w:pPr>
        <w:pStyle w:val="956"/>
        <w:ind w:left="0"/>
        <w:spacing w:after="0" w:line="360" w:lineRule="auto"/>
        <w:rPr>
          <w:rFonts w:ascii="宋体" w:hAnsi="宋体" w:cs="宋体"/>
          <w:bCs/>
          <w:sz w:val="24"/>
        </w:rPr>
      </w:pPr>
      <w:r>
        <w:rPr>
          <w:rFonts w:hint="eastAsia" w:ascii="宋体" w:hAnsi="宋体" w:cs="宋体"/>
          <w:bCs/>
          <w:sz w:val="24"/>
        </w:rPr>
        <w:t xml:space="preserve">5、供应商提供的《中小企业声明函》与事实不符的，依照《中华人民共和国政府采购法》第七十七条第一款的规定追究法律责任。</w:t>
      </w:r>
      <w:r/>
    </w:p>
    <w:p>
      <w:pPr>
        <w:spacing w:line="480" w:lineRule="exact"/>
        <w:rPr>
          <w:rFonts w:ascii="宋体" w:hAnsi="宋体" w:cs="宋体"/>
          <w:bCs/>
          <w:sz w:val="24"/>
        </w:rPr>
      </w:pPr>
      <w:r>
        <w:rPr>
          <w:rFonts w:hint="eastAsia" w:ascii="宋体" w:hAnsi="宋体" w:cs="宋体"/>
          <w:bCs/>
          <w:sz w:val="24"/>
        </w:rPr>
        <w:t xml:space="preserve">6、《中小企业声明函》查询渠道用微信搜索“中小企业规模类型自测小程序”。</w:t>
      </w:r>
      <w:r/>
    </w:p>
    <w:p>
      <w:pPr>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mc:AlternateContent>
          <mc:Choice Requires="wpg">
            <w:drawing>
              <wp:inline xmlns:wp="http://schemas.openxmlformats.org/drawingml/2006/wordprocessingDrawing" distT="0" distB="0" distL="0" distR="0">
                <wp:extent cx="3656330" cy="759269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0"/>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9pt;height:597.9pt;mso-wrap-distance-left:0.0pt;mso-wrap-distance-top:0.0pt;mso-wrap-distance-right:0.0pt;mso-wrap-distance-bottom:0.0pt;" stroked="f">
                <v:path textboxrect="0,0,0,0"/>
                <v:imagedata r:id="rId20" o:title=""/>
              </v:shape>
            </w:pict>
          </mc:Fallback>
        </mc:AlternateContent>
      </w:r>
      <w:r>
        <w:rPr>
          <w:rFonts w:hint="eastAsia" w:ascii="宋体" w:hAnsi="宋体" w:cs="宋体"/>
        </w:rPr>
        <w:br w:type="page" w:clear="all"/>
      </w:r>
      <w:r/>
    </w:p>
    <w:p>
      <w:pPr>
        <w:ind w:firstLine="600"/>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九、残疾人福利性单位声明函</w:t>
      </w:r>
      <w:r/>
    </w:p>
    <w:p>
      <w:pPr>
        <w:jc w:val="center"/>
        <w:spacing w:line="479" w:lineRule="atLeas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14:textFill>
            <w14:solidFill>
              <w14:schemeClr w14:val="tx1"/>
            </w14:solidFill>
          </w14:textFill>
        </w:rPr>
        <w:t xml:space="preserve">（如投标人不属于残疾人福利性单位不需要提供此声明函）</w:t>
      </w:r>
      <w:r/>
    </w:p>
    <w:p>
      <w:pPr>
        <w:spacing w:line="360" w:lineRule="auto"/>
        <w:rPr>
          <w:rFonts w:ascii="宋体" w:hAnsi="宋体" w:cs="宋体"/>
          <w:spacing w:val="6"/>
          <w:sz w:val="24"/>
        </w:rPr>
        <w:pBdr>
          <w:top w:val="none" w:color="000000" w:sz="0" w:space="0"/>
          <w:left w:val="none" w:color="000000" w:sz="0" w:space="0"/>
          <w:bottom w:val="none" w:color="000000" w:sz="0" w:space="0"/>
          <w:right w:val="none" w:color="000000" w:sz="0" w:space="0"/>
        </w:pBdr>
      </w:pPr>
      <w:r>
        <w:rPr>
          <w:rFonts w:ascii="宋体" w:hAnsi="宋体" w:cs="宋体"/>
          <w:spacing w:val="6"/>
          <w:sz w:val="24"/>
        </w:rPr>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项目编号：JSZC-320300-JSZR-G2026-0086</w:t>
      </w:r>
      <w:r/>
    </w:p>
    <w:p>
      <w:pPr>
        <w:spacing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项目名称：</w:t>
      </w:r>
      <w:r>
        <w:rPr>
          <w:rFonts w:hint="eastAsia" w:ascii="宋体" w:hAnsi="宋体" w:cs="宋体"/>
          <w:spacing w:val="6"/>
          <w:sz w:val="24"/>
          <w:lang w:eastAsia="zh-CN"/>
        </w:rPr>
        <w:t xml:space="preserve">智慧校园3.0建设行动计划子项目网络基础建设项目</w:t>
      </w:r>
      <w:r/>
    </w:p>
    <w:p>
      <w:pPr>
        <w:ind w:firstLine="624"/>
        <w:spacing w:line="360" w:lineRule="auto"/>
        <w:rPr>
          <w:rFonts w:ascii="宋体" w:hAnsi="宋体" w:cs="宋体"/>
          <w:spacing w:val="6"/>
          <w:sz w:val="24"/>
        </w:rPr>
        <w:pBdr>
          <w:top w:val="none" w:color="000000" w:sz="0" w:space="0"/>
          <w:left w:val="none" w:color="000000" w:sz="0" w:space="0"/>
          <w:bottom w:val="none" w:color="000000" w:sz="0" w:space="0"/>
          <w:right w:val="none" w:color="000000" w:sz="0" w:space="0"/>
        </w:pBdr>
      </w:pPr>
      <w:r>
        <w:rPr>
          <w:rFonts w:ascii="宋体" w:hAnsi="宋体" w:cs="宋体"/>
          <w:spacing w:val="6"/>
          <w:sz w:val="24"/>
        </w:rPr>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本单位对上述声明的真实性负责。如有虚假，将依法承担相应责任。</w:t>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ind w:firstLine="255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24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45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十、投标人参加政府采购活动前3年内在经营活动中没有重大违法记录的书面声明</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我单位在参加</w:t>
      </w:r>
      <w:r>
        <w:rPr>
          <w:rFonts w:hint="eastAsia" w:ascii="宋体" w:hAnsi="宋体" w:cs="宋体"/>
          <w:sz w:val="24"/>
          <w:u w:val="single"/>
          <w:lang w:eastAsia="zh-CN"/>
        </w:rPr>
        <w:t xml:space="preserve">智慧校园3.0建设行动计划子项目网络基础建设项目</w:t>
      </w:r>
      <w:r>
        <w:rPr>
          <w:rFonts w:hint="eastAsia" w:ascii="宋体" w:hAnsi="宋体" w:cs="宋体"/>
          <w:sz w:val="24"/>
        </w:rPr>
        <w:t xml:space="preserve">（项目编号：JSZC-320300-JSZR-G2026-0086）政府采购活动前3年内，在经营活动中没有重大违法记录。重大违法记录是指因违法经营受到刑事处罚或者责令停产停业、吊销许可证或者执照、较大数额罚款等行政处罚。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我单位对上述声明的真实性负责。如有虚假，将依法承担相应责任。</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285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30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30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ind w:firstLine="600"/>
        <w:jc w:val="center"/>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sz w:val="30"/>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十一、具备履行合同所必需的设备和专业技术能力的书面声明</w:t>
      </w:r>
      <w:r/>
    </w:p>
    <w:p>
      <w:pPr>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智慧校园3.0建设行动计划子项目网络基础建设项目</w:t>
      </w:r>
      <w:r/>
    </w:p>
    <w:p>
      <w:pPr>
        <w:jc w:val="left"/>
        <w:spacing w:line="360" w:lineRule="auto"/>
        <w:widowControl/>
        <w:rPr>
          <w:rFonts w:ascii="宋体" w:hAnsi="宋体" w:cs="宋体"/>
          <w:sz w:val="24"/>
          <w:u w:val="single"/>
        </w:rPr>
      </w:pPr>
      <w:r>
        <w:rPr>
          <w:rFonts w:hint="eastAsia" w:ascii="宋体" w:hAnsi="宋体" w:cs="宋体"/>
          <w:sz w:val="24"/>
        </w:rPr>
        <w:t xml:space="preserve">项目编号：JSZC-320300-JSZR-G2026-0086</w:t>
      </w:r>
      <w:r/>
    </w:p>
    <w:p>
      <w:pPr>
        <w:ind w:firstLine="480"/>
        <w:jc w:val="lef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lang w:eastAsia="zh-CN"/>
        </w:rPr>
        <w:t xml:space="preserve">智慧校园3.0建设行动计划子项目网络基础建设项目</w:t>
      </w:r>
      <w:r>
        <w:rPr>
          <w:rFonts w:hint="eastAsia" w:ascii="宋体" w:hAnsi="宋体" w:cs="宋体"/>
          <w:sz w:val="24"/>
        </w:rPr>
        <w:t xml:space="preserve">，项目编号：JSZC-320300-JSZR-G2026-0086）所必需的设备和专业技术能力。</w:t>
      </w:r>
      <w:r/>
    </w:p>
    <w:p>
      <w:pPr>
        <w:ind w:firstLine="480"/>
        <w:rPr>
          <w:rFonts w:ascii="宋体" w:hAnsi="宋体" w:cs="宋体"/>
          <w:sz w:val="24"/>
        </w:rPr>
      </w:pPr>
      <w:r>
        <w:rPr>
          <w:rFonts w:ascii="宋体" w:hAnsi="宋体" w:cs="宋体"/>
          <w:sz w:val="24"/>
        </w:rPr>
      </w:r>
      <w:r/>
    </w:p>
    <w:p>
      <w:r/>
      <w:r/>
    </w:p>
    <w:p>
      <w:r/>
      <w:r/>
    </w:p>
    <w:p>
      <w:r/>
      <w:r/>
    </w:p>
    <w:p>
      <w:r/>
      <w:r/>
    </w:p>
    <w:p>
      <w:r/>
      <w:r/>
    </w:p>
    <w:p>
      <w:pPr>
        <w:pStyle w:val="1050"/>
      </w:pPr>
      <w:r/>
      <w:r/>
    </w:p>
    <w:p>
      <w:pPr>
        <w:ind w:firstLine="480"/>
        <w:spacing w:line="360" w:lineRule="auto"/>
        <w:rPr>
          <w:rFonts w:ascii="宋体" w:hAnsi="宋体" w:cs="宋体"/>
          <w:sz w:val="24"/>
        </w:rPr>
      </w:pPr>
      <w:r>
        <w:rPr>
          <w:rFonts w:hint="eastAsia" w:ascii="宋体" w:hAnsi="宋体" w:cs="宋体"/>
          <w:sz w:val="24"/>
        </w:rPr>
        <w:t xml:space="preserve">特此声明。</w:t>
      </w:r>
      <w:r/>
    </w:p>
    <w:p>
      <w:pPr>
        <w:ind w:firstLine="480"/>
        <w:spacing w:line="360" w:lineRule="auto"/>
        <w:rPr>
          <w:rFonts w:ascii="宋体" w:hAnsi="宋体" w:cs="宋体"/>
          <w:sz w:val="24"/>
        </w:rPr>
      </w:pPr>
      <w:r>
        <w:rPr>
          <w:rFonts w:hint="eastAsia" w:ascii="宋体" w:hAnsi="宋体" w:cs="宋体"/>
          <w:sz w:val="24"/>
        </w:rPr>
        <w:t xml:space="preserve">我单位对上述声明的真实性负责。如有虚假，将依法承担相应责任。</w:t>
      </w:r>
      <w:r/>
    </w:p>
    <w:p>
      <w:pPr>
        <w:rPr>
          <w:rFonts w:ascii="宋体" w:hAnsi="宋体" w:cs="宋体"/>
          <w:sz w:val="24"/>
        </w:rPr>
      </w:pPr>
      <w:r>
        <w:rPr>
          <w:rFonts w:ascii="宋体" w:hAnsi="宋体" w:cs="宋体"/>
          <w:sz w:val="24"/>
        </w:rPr>
      </w:r>
      <w:r/>
    </w:p>
    <w:p>
      <w:pPr>
        <w:ind w:firstLine="3000"/>
        <w:spacing w:line="300" w:lineRule="auto"/>
        <w:rPr>
          <w:rFonts w:ascii="宋体" w:hAnsi="宋体" w:cs="宋体"/>
          <w:sz w:val="24"/>
        </w:rPr>
      </w:pPr>
      <w:r>
        <w:rPr>
          <w:rFonts w:ascii="宋体" w:hAnsi="宋体" w:cs="宋体"/>
          <w:sz w:val="24"/>
        </w:rPr>
      </w:r>
      <w:r/>
    </w:p>
    <w:p>
      <w:pPr>
        <w:ind w:firstLine="3000"/>
        <w:spacing w:line="300" w:lineRule="auto"/>
        <w:rPr>
          <w:rFonts w:ascii="宋体" w:hAnsi="宋体" w:cs="宋体"/>
          <w:sz w:val="24"/>
        </w:rPr>
      </w:pPr>
      <w:r>
        <w:rPr>
          <w:rFonts w:hint="eastAsia" w:ascii="宋体" w:hAnsi="宋体" w:cs="宋体"/>
          <w:sz w:val="24"/>
        </w:rPr>
        <w:t xml:space="preserve"> 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80"/>
        <w:spacing w:line="300" w:lineRule="auto"/>
        <w:rPr>
          <w:rFonts w:ascii="宋体" w:hAnsi="宋体" w:cs="宋体"/>
          <w:sz w:val="24"/>
        </w:rPr>
      </w:pPr>
      <w:r>
        <w:rPr>
          <w:rFonts w:hint="eastAsia" w:ascii="宋体" w:hAnsi="宋体" w:cs="宋体"/>
          <w:sz w:val="24"/>
        </w:rPr>
        <w:t xml:space="preserve">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left"/>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r/>
      <w:r/>
    </w:p>
    <w:p>
      <w:pPr>
        <w:pStyle w:val="1050"/>
        <w:rPr>
          <w:rFonts w:ascii="宋体" w:hAnsi="宋体" w:cs="宋体"/>
          <w:b/>
          <w:bCs/>
          <w:sz w:val="28"/>
          <w:szCs w:val="28"/>
        </w:rPr>
      </w:pPr>
      <w:r>
        <w:rPr>
          <w:rFonts w:ascii="宋体" w:hAnsi="宋体" w:cs="宋体"/>
          <w:b/>
          <w:bCs/>
          <w:sz w:val="28"/>
          <w:szCs w:val="28"/>
        </w:rPr>
      </w:r>
      <w:r/>
    </w:p>
    <w:p>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pStyle w:val="886"/>
        <w:jc w:val="center"/>
        <w:spacing w:before="30" w:after="30" w:line="560" w:lineRule="atLeast"/>
        <w:shd w:val="clear" w:color="auto" w:fill="ffffff"/>
        <w:widowControl/>
        <w:rPr>
          <w:rFonts w:ascii="宋体" w:hAnsi="宋体" w:cs="宋体"/>
          <w:color w:val="000000"/>
        </w:rPr>
      </w:pPr>
      <w:r>
        <w:rPr>
          <w:rStyle w:val="889"/>
          <w:rFonts w:hint="eastAsia" w:ascii="宋体" w:hAnsi="宋体" w:cs="宋体"/>
          <w:color w:val="000000"/>
          <w:shd w:val="clear" w:color="auto" w:fill="ffffff"/>
        </w:rPr>
        <w:t xml:space="preserve">十二、关于符合本国产品标准的声明函</w:t>
      </w:r>
      <w:r/>
    </w:p>
    <w:p>
      <w:r>
        <w:rPr>
          <w:rFonts w:hint="eastAsia"/>
        </w:rPr>
        <w:t xml:space="preserve"> </w:t>
      </w:r>
      <w:r/>
    </w:p>
    <w:p>
      <w:pPr>
        <w:pStyle w:val="886"/>
        <w:ind w:firstLine="420"/>
        <w:spacing w:before="30" w:after="30" w:line="560" w:lineRule="atLeast"/>
        <w:shd w:val="clear" w:color="auto" w:fill="ffffff"/>
        <w:widowControl/>
        <w:rPr>
          <w:rFonts w:ascii="宋体" w:hAnsi="宋体" w:cs="宋体"/>
          <w:color w:val="000000"/>
        </w:rPr>
      </w:pPr>
      <w:r>
        <w:rPr>
          <w:rFonts w:hint="eastAsia" w:ascii="宋体" w:hAnsi="宋体" w:cs="宋体"/>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6"/>
        <w:ind w:firstLine="420"/>
        <w:spacing w:before="30" w:after="30" w:line="560" w:lineRule="atLeast"/>
        <w:shd w:val="clear" w:color="auto" w:fill="ffffff"/>
        <w:widowControl/>
        <w:rPr>
          <w:rFonts w:ascii="宋体" w:hAnsi="宋体" w:cs="宋体"/>
          <w:color w:val="000000"/>
        </w:rPr>
      </w:pPr>
      <w:r>
        <w:rPr>
          <w:rFonts w:hint="eastAsia" w:ascii="宋体" w:hAnsi="宋体" w:cs="宋体"/>
          <w:color w:val="000000"/>
          <w:shd w:val="clear" w:color="auto" w:fill="ffffff"/>
        </w:rPr>
        <w:t xml:space="preserve">1.</w:t>
      </w:r>
      <w:r>
        <w:rPr>
          <w:rStyle w:val="891"/>
          <w:rFonts w:hint="eastAsia" w:ascii="宋体" w:hAnsi="宋体" w:cs="宋体"/>
          <w:i w:val="0"/>
          <w:color w:val="000000"/>
          <w:shd w:val="clear" w:color="auto" w:fill="ffffff"/>
        </w:rPr>
        <w:t xml:space="preserve">（产品名称1）1</w:t>
      </w:r>
      <w:r>
        <w:rPr>
          <w:rFonts w:hint="eastAsia" w:ascii="宋体" w:hAnsi="宋体" w:cs="宋体"/>
          <w:color w:val="000000"/>
          <w:shd w:val="clear" w:color="auto" w:fill="ffffff"/>
        </w:rPr>
        <w:t xml:space="preserve">，生产厂为</w:t>
      </w:r>
      <w:r>
        <w:rPr>
          <w:rStyle w:val="891"/>
          <w:rFonts w:hint="eastAsia" w:ascii="宋体" w:hAnsi="宋体" w:cs="宋体"/>
          <w:i w:val="0"/>
          <w:color w:val="000000"/>
          <w:shd w:val="clear" w:color="auto" w:fill="ffffff"/>
        </w:rPr>
        <w:t xml:space="preserve">（厂名）2</w:t>
      </w:r>
      <w:r>
        <w:rPr>
          <w:rFonts w:hint="eastAsia" w:ascii="宋体" w:hAnsi="宋体" w:cs="宋体"/>
          <w:color w:val="000000"/>
          <w:shd w:val="clear" w:color="auto" w:fill="ffffff"/>
        </w:rPr>
        <w:t xml:space="preserve">，厂址为</w:t>
      </w:r>
      <w:r>
        <w:rPr>
          <w:rStyle w:val="891"/>
          <w:rFonts w:hint="eastAsia" w:ascii="宋体" w:hAnsi="宋体" w:cs="宋体"/>
          <w:i w:val="0"/>
          <w:color w:val="000000"/>
          <w:shd w:val="clear" w:color="auto" w:fill="ffffff"/>
        </w:rPr>
        <w:t xml:space="preserve">（生产厂址）</w:t>
      </w:r>
      <w:r>
        <w:rPr>
          <w:rFonts w:hint="eastAsia" w:ascii="宋体" w:hAnsi="宋体" w:cs="宋体"/>
          <w:color w:val="000000"/>
          <w:shd w:val="clear" w:color="auto" w:fill="ffffff"/>
        </w:rPr>
        <w:t xml:space="preserve">。</w:t>
      </w:r>
      <w:r>
        <w:rPr>
          <w:rStyle w:val="891"/>
          <w:rFonts w:hint="eastAsia" w:ascii="宋体" w:hAnsi="宋体" w:cs="宋体"/>
          <w:i w:val="0"/>
          <w:color w:val="000000"/>
          <w:shd w:val="clear" w:color="auto" w:fill="ffffff"/>
        </w:rPr>
        <w:t xml:space="preserve">（产品名称1）</w:t>
      </w:r>
      <w:r>
        <w:rPr>
          <w:rFonts w:hint="eastAsia" w:ascii="宋体" w:hAnsi="宋体" w:cs="宋体"/>
          <w:color w:val="000000"/>
          <w:shd w:val="clear" w:color="auto" w:fill="ffffff"/>
        </w:rPr>
        <w:t xml:space="preserve">的中国境内生产的组件成本占比≥</w:t>
      </w:r>
      <w:r>
        <w:rPr>
          <w:rStyle w:val="891"/>
          <w:rFonts w:hint="eastAsia" w:ascii="宋体" w:hAnsi="宋体" w:cs="宋体"/>
          <w:i w:val="0"/>
          <w:color w:val="000000"/>
          <w:shd w:val="clear" w:color="auto" w:fill="ffffff"/>
        </w:rPr>
        <w:t xml:space="preserve">（规定比例）3</w:t>
      </w:r>
      <w:r>
        <w:rPr>
          <w:rFonts w:hint="eastAsia" w:ascii="宋体" w:hAnsi="宋体" w:cs="宋体"/>
          <w:color w:val="000000"/>
          <w:shd w:val="clear" w:color="auto" w:fill="ffffff"/>
        </w:rPr>
        <w:t xml:space="preserve">。</w:t>
      </w:r>
      <w:r>
        <w:rPr>
          <w:rStyle w:val="891"/>
          <w:rFonts w:hint="eastAsia" w:ascii="宋体" w:hAnsi="宋体" w:cs="宋体"/>
          <w:i w:val="0"/>
          <w:color w:val="000000"/>
          <w:shd w:val="clear" w:color="auto" w:fill="ffffff"/>
        </w:rPr>
        <w:t xml:space="preserve">（产品名称1）</w:t>
      </w:r>
      <w:r>
        <w:rPr>
          <w:rFonts w:hint="eastAsia" w:ascii="宋体" w:hAnsi="宋体" w:cs="宋体"/>
          <w:color w:val="000000"/>
          <w:shd w:val="clear" w:color="auto" w:fill="ffffff"/>
        </w:rPr>
        <w:t xml:space="preserve">的</w:t>
      </w:r>
      <w:r>
        <w:rPr>
          <w:rStyle w:val="891"/>
          <w:rFonts w:hint="eastAsia" w:ascii="宋体" w:hAnsi="宋体" w:cs="宋体"/>
          <w:i w:val="0"/>
          <w:color w:val="000000"/>
          <w:shd w:val="clear" w:color="auto" w:fill="ffffff"/>
        </w:rPr>
        <w:t xml:space="preserve">（关键组件）4</w:t>
      </w:r>
      <w:r>
        <w:rPr>
          <w:rFonts w:hint="eastAsia" w:ascii="宋体" w:hAnsi="宋体" w:cs="宋体"/>
          <w:color w:val="000000"/>
          <w:shd w:val="clear" w:color="auto" w:fill="ffffff"/>
        </w:rPr>
        <w:t xml:space="preserve">在中国境内生产。</w:t>
      </w:r>
      <w:r>
        <w:rPr>
          <w:rStyle w:val="891"/>
          <w:rFonts w:hint="eastAsia" w:ascii="宋体" w:hAnsi="宋体" w:cs="宋体"/>
          <w:i w:val="0"/>
          <w:color w:val="000000"/>
          <w:shd w:val="clear" w:color="auto" w:fill="ffffff"/>
        </w:rPr>
        <w:t xml:space="preserve">（产品名称1）</w:t>
      </w:r>
      <w:r>
        <w:rPr>
          <w:rFonts w:hint="eastAsia" w:ascii="宋体" w:hAnsi="宋体" w:cs="宋体"/>
          <w:color w:val="000000"/>
          <w:shd w:val="clear" w:color="auto" w:fill="ffffff"/>
        </w:rPr>
        <w:t xml:space="preserve">的</w:t>
      </w:r>
      <w:r>
        <w:rPr>
          <w:rStyle w:val="891"/>
          <w:rFonts w:hint="eastAsia" w:ascii="宋体" w:hAnsi="宋体" w:cs="宋体"/>
          <w:i w:val="0"/>
          <w:color w:val="000000"/>
          <w:shd w:val="clear" w:color="auto" w:fill="ffffff"/>
        </w:rPr>
        <w:t xml:space="preserve">（关键工序）5</w:t>
      </w:r>
      <w:r>
        <w:rPr>
          <w:rFonts w:hint="eastAsia" w:ascii="宋体" w:hAnsi="宋体" w:cs="宋体"/>
          <w:color w:val="000000"/>
          <w:shd w:val="clear" w:color="auto" w:fill="ffffff"/>
        </w:rPr>
        <w:t xml:space="preserve">在中国境内完成。</w:t>
      </w:r>
      <w:r/>
    </w:p>
    <w:p>
      <w:pPr>
        <w:pStyle w:val="886"/>
        <w:ind w:firstLine="420"/>
        <w:spacing w:before="30" w:after="30" w:line="560" w:lineRule="atLeast"/>
        <w:shd w:val="clear" w:color="auto" w:fill="ffffff"/>
        <w:widowControl/>
        <w:rPr>
          <w:rFonts w:ascii="宋体" w:hAnsi="宋体" w:cs="宋体"/>
          <w:color w:val="000000"/>
        </w:rPr>
      </w:pPr>
      <w:r>
        <w:rPr>
          <w:rFonts w:hint="eastAsia" w:ascii="宋体" w:hAnsi="宋体" w:cs="宋体"/>
          <w:color w:val="000000"/>
          <w:shd w:val="clear" w:color="auto" w:fill="ffffff"/>
        </w:rPr>
        <w:t xml:space="preserve">2.</w:t>
      </w:r>
      <w:r>
        <w:rPr>
          <w:rStyle w:val="891"/>
          <w:rFonts w:hint="eastAsia" w:ascii="宋体" w:hAnsi="宋体" w:cs="宋体"/>
          <w:i w:val="0"/>
          <w:color w:val="000000"/>
          <w:shd w:val="clear" w:color="auto" w:fill="ffffff"/>
        </w:rPr>
        <w:t xml:space="preserve">（产品名称2）</w:t>
      </w:r>
      <w:r>
        <w:rPr>
          <w:rFonts w:hint="eastAsia" w:ascii="宋体" w:hAnsi="宋体" w:cs="宋体"/>
          <w:color w:val="000000"/>
          <w:shd w:val="clear" w:color="auto" w:fill="ffffff"/>
        </w:rPr>
        <w:t xml:space="preserve">，生产厂为</w:t>
      </w:r>
      <w:r>
        <w:rPr>
          <w:rStyle w:val="891"/>
          <w:rFonts w:hint="eastAsia" w:ascii="宋体" w:hAnsi="宋体" w:cs="宋体"/>
          <w:i w:val="0"/>
          <w:color w:val="000000"/>
          <w:shd w:val="clear" w:color="auto" w:fill="ffffff"/>
        </w:rPr>
        <w:t xml:space="preserve">（厂名）</w:t>
      </w:r>
      <w:r>
        <w:rPr>
          <w:rFonts w:hint="eastAsia" w:ascii="宋体" w:hAnsi="宋体" w:cs="宋体"/>
          <w:color w:val="000000"/>
          <w:shd w:val="clear" w:color="auto" w:fill="ffffff"/>
        </w:rPr>
        <w:t xml:space="preserve">，厂址为</w:t>
      </w:r>
      <w:r>
        <w:rPr>
          <w:rStyle w:val="891"/>
          <w:rFonts w:hint="eastAsia" w:ascii="宋体" w:hAnsi="宋体" w:cs="宋体"/>
          <w:i w:val="0"/>
          <w:color w:val="000000"/>
          <w:shd w:val="clear" w:color="auto" w:fill="ffffff"/>
        </w:rPr>
        <w:t xml:space="preserve">（生产厂址）</w:t>
      </w:r>
      <w:r>
        <w:rPr>
          <w:rFonts w:hint="eastAsia" w:ascii="宋体" w:hAnsi="宋体" w:cs="宋体"/>
          <w:color w:val="000000"/>
          <w:shd w:val="clear" w:color="auto" w:fill="ffffff"/>
        </w:rPr>
        <w:t xml:space="preserve">。</w:t>
      </w:r>
      <w:r>
        <w:rPr>
          <w:rStyle w:val="891"/>
          <w:rFonts w:hint="eastAsia" w:ascii="宋体" w:hAnsi="宋体" w:cs="宋体"/>
          <w:i w:val="0"/>
          <w:color w:val="000000"/>
          <w:shd w:val="clear" w:color="auto" w:fill="ffffff"/>
        </w:rPr>
        <w:t xml:space="preserve">（产品名称2）</w:t>
      </w:r>
      <w:r>
        <w:rPr>
          <w:rFonts w:hint="eastAsia" w:ascii="宋体" w:hAnsi="宋体" w:cs="宋体"/>
          <w:color w:val="000000"/>
          <w:shd w:val="clear" w:color="auto" w:fill="ffffff"/>
        </w:rPr>
        <w:t xml:space="preserve">的中国境内生产的组件成本占比≥</w:t>
      </w:r>
      <w:r>
        <w:rPr>
          <w:rStyle w:val="891"/>
          <w:rFonts w:hint="eastAsia" w:ascii="宋体" w:hAnsi="宋体" w:cs="宋体"/>
          <w:i w:val="0"/>
          <w:color w:val="000000"/>
          <w:shd w:val="clear" w:color="auto" w:fill="ffffff"/>
        </w:rPr>
        <w:t xml:space="preserve">（规定比例）</w:t>
      </w:r>
      <w:r>
        <w:rPr>
          <w:rFonts w:hint="eastAsia" w:ascii="宋体" w:hAnsi="宋体" w:cs="宋体"/>
          <w:color w:val="000000"/>
          <w:shd w:val="clear" w:color="auto" w:fill="ffffff"/>
        </w:rPr>
        <w:t xml:space="preserve">。</w:t>
      </w:r>
      <w:r>
        <w:rPr>
          <w:rStyle w:val="891"/>
          <w:rFonts w:hint="eastAsia" w:ascii="宋体" w:hAnsi="宋体" w:cs="宋体"/>
          <w:i w:val="0"/>
          <w:color w:val="000000"/>
          <w:shd w:val="clear" w:color="auto" w:fill="ffffff"/>
        </w:rPr>
        <w:t xml:space="preserve">（产品名称2）</w:t>
      </w:r>
      <w:r>
        <w:rPr>
          <w:rFonts w:hint="eastAsia" w:ascii="宋体" w:hAnsi="宋体" w:cs="宋体"/>
          <w:color w:val="000000"/>
          <w:shd w:val="clear" w:color="auto" w:fill="ffffff"/>
        </w:rPr>
        <w:t xml:space="preserve">的</w:t>
      </w:r>
      <w:r>
        <w:rPr>
          <w:rStyle w:val="891"/>
          <w:rFonts w:hint="eastAsia" w:ascii="宋体" w:hAnsi="宋体" w:cs="宋体"/>
          <w:i w:val="0"/>
          <w:color w:val="000000"/>
          <w:shd w:val="clear" w:color="auto" w:fill="ffffff"/>
        </w:rPr>
        <w:t xml:space="preserve">（关键组件）</w:t>
      </w:r>
      <w:r>
        <w:rPr>
          <w:rFonts w:hint="eastAsia" w:ascii="宋体" w:hAnsi="宋体" w:cs="宋体"/>
          <w:color w:val="000000"/>
          <w:shd w:val="clear" w:color="auto" w:fill="ffffff"/>
        </w:rPr>
        <w:t xml:space="preserve">在中国境内生产。</w:t>
      </w:r>
      <w:r>
        <w:rPr>
          <w:rStyle w:val="891"/>
          <w:rFonts w:hint="eastAsia" w:ascii="宋体" w:hAnsi="宋体" w:cs="宋体"/>
          <w:i w:val="0"/>
          <w:color w:val="000000"/>
          <w:shd w:val="clear" w:color="auto" w:fill="ffffff"/>
        </w:rPr>
        <w:t xml:space="preserve">（产品名称2）</w:t>
      </w:r>
      <w:r>
        <w:rPr>
          <w:rFonts w:hint="eastAsia" w:ascii="宋体" w:hAnsi="宋体" w:cs="宋体"/>
          <w:color w:val="000000"/>
          <w:shd w:val="clear" w:color="auto" w:fill="ffffff"/>
        </w:rPr>
        <w:t xml:space="preserve">的</w:t>
      </w:r>
      <w:r>
        <w:rPr>
          <w:rStyle w:val="891"/>
          <w:rFonts w:hint="eastAsia" w:ascii="宋体" w:hAnsi="宋体" w:cs="宋体"/>
          <w:i w:val="0"/>
          <w:color w:val="000000"/>
          <w:shd w:val="clear" w:color="auto" w:fill="ffffff"/>
        </w:rPr>
        <w:t xml:space="preserve">（关键工序）</w:t>
      </w:r>
      <w:r>
        <w:rPr>
          <w:rFonts w:hint="eastAsia" w:ascii="宋体" w:hAnsi="宋体" w:cs="宋体"/>
          <w:color w:val="000000"/>
          <w:shd w:val="clear" w:color="auto" w:fill="ffffff"/>
        </w:rPr>
        <w:t xml:space="preserve">在中国境内完成。</w:t>
      </w:r>
      <w:r/>
    </w:p>
    <w:p>
      <w:pPr>
        <w:pStyle w:val="886"/>
        <w:ind w:firstLine="420"/>
        <w:spacing w:before="30" w:after="30" w:line="560" w:lineRule="atLeast"/>
        <w:shd w:val="clear" w:color="auto" w:fill="ffffff"/>
        <w:widowControl/>
        <w:rPr>
          <w:rFonts w:ascii="宋体" w:hAnsi="宋体" w:cs="宋体"/>
          <w:color w:val="000000"/>
        </w:rPr>
      </w:pPr>
      <w:r>
        <w:rPr>
          <w:rFonts w:hint="eastAsia" w:ascii="宋体" w:hAnsi="宋体" w:cs="宋体"/>
          <w:color w:val="000000"/>
          <w:shd w:val="clear" w:color="auto" w:fill="ffffff"/>
        </w:rPr>
        <w:t xml:space="preserve">……</w:t>
      </w:r>
      <w:r/>
    </w:p>
    <w:p>
      <w:pPr>
        <w:pStyle w:val="886"/>
        <w:ind w:firstLine="420"/>
        <w:spacing w:before="30" w:after="30" w:line="560" w:lineRule="atLeast"/>
        <w:shd w:val="clear" w:color="auto" w:fill="ffffff"/>
        <w:widowControl/>
        <w:rPr>
          <w:rFonts w:ascii="宋体" w:hAnsi="宋体" w:cs="宋体"/>
          <w:color w:val="000000"/>
        </w:rPr>
      </w:pPr>
      <w:r>
        <w:rPr>
          <w:rFonts w:hint="eastAsia" w:ascii="宋体" w:hAnsi="宋体" w:cs="宋体"/>
          <w:color w:val="000000"/>
          <w:shd w:val="clear" w:color="auto" w:fill="ffffff"/>
        </w:rPr>
        <w:t xml:space="preserve">本公司（单位）对上述声明内容的真实性负责。如有虚假，愿承担相应法律责任。</w:t>
      </w:r>
      <w:r/>
    </w:p>
    <w:p>
      <w:pPr>
        <w:pStyle w:val="886"/>
        <w:spacing w:before="30" w:after="30" w:line="560" w:lineRule="atLeast"/>
        <w:shd w:val="clear" w:color="auto" w:fill="ffffff"/>
        <w:widowControl/>
        <w:rPr>
          <w:rFonts w:ascii="宋体" w:hAnsi="宋体" w:cs="宋体"/>
          <w:color w:val="000000"/>
        </w:rPr>
      </w:pPr>
      <w:r>
        <w:rPr>
          <w:rFonts w:hint="eastAsia" w:ascii="宋体" w:hAnsi="宋体" w:cs="宋体"/>
          <w:color w:val="000000"/>
          <w:shd w:val="clear" w:color="auto" w:fill="ffffff"/>
        </w:rPr>
        <w:t xml:space="preserve"> </w:t>
      </w:r>
      <w:r/>
    </w:p>
    <w:p>
      <w:pPr>
        <w:pStyle w:val="886"/>
        <w:jc w:val="right"/>
        <w:spacing w:before="30" w:after="30" w:line="560" w:lineRule="atLeast"/>
        <w:shd w:val="clear" w:color="auto" w:fill="ffffff"/>
        <w:widowControl/>
        <w:rPr>
          <w:rFonts w:ascii="宋体" w:hAnsi="宋体" w:cs="宋体"/>
          <w:color w:val="000000"/>
        </w:rPr>
      </w:pPr>
      <w:r>
        <w:rPr>
          <w:rFonts w:hint="eastAsia" w:ascii="宋体" w:hAnsi="宋体" w:cs="宋体"/>
          <w:color w:val="000000"/>
          <w:shd w:val="clear" w:color="auto" w:fill="ffffff"/>
        </w:rPr>
        <w:t xml:space="preserve">公司（单位）名称（电子签章）：　        </w:t>
      </w:r>
      <w:r/>
    </w:p>
    <w:p>
      <w:pPr>
        <w:pStyle w:val="886"/>
        <w:jc w:val="right"/>
        <w:spacing w:before="30" w:after="30" w:line="560" w:lineRule="atLeast"/>
        <w:shd w:val="clear" w:color="auto" w:fill="ffffff"/>
        <w:widowControl/>
        <w:rPr>
          <w:rFonts w:ascii="宋体" w:hAnsi="宋体" w:cs="宋体"/>
          <w:color w:val="000000"/>
        </w:rPr>
      </w:pPr>
      <w:r>
        <w:rPr>
          <w:rFonts w:hint="eastAsia" w:ascii="宋体" w:hAnsi="宋体" w:cs="宋体"/>
          <w:color w:val="000000"/>
          <w:shd w:val="clear" w:color="auto" w:fill="ffffff"/>
        </w:rPr>
        <w:t xml:space="preserve">日期：　     年　  月　  日         </w:t>
      </w:r>
      <w:r/>
    </w:p>
    <w:p>
      <w:pPr>
        <w:pStyle w:val="886"/>
        <w:spacing w:before="30" w:after="30" w:line="560" w:lineRule="atLeast"/>
        <w:shd w:val="clear" w:color="auto" w:fill="ffffff"/>
        <w:widowControl/>
        <w:rPr>
          <w:rFonts w:ascii="宋体" w:hAnsi="宋体" w:cs="宋体"/>
          <w:color w:val="000000"/>
        </w:rPr>
      </w:pPr>
      <w:r>
        <w:rPr>
          <w:rFonts w:hint="eastAsia" w:ascii="宋体" w:hAnsi="宋体" w:cs="宋体"/>
          <w:color w:val="000000"/>
          <w:shd w:val="clear" w:color="auto" w:fill="ffffff"/>
        </w:rPr>
        <w:t xml:space="preserve">__________________</w:t>
      </w:r>
      <w:r/>
    </w:p>
    <w:p>
      <w:pPr>
        <w:rPr>
          <w:sz w:val="24"/>
          <w:szCs w:val="32"/>
        </w:rPr>
      </w:pPr>
      <w:r>
        <w:rPr>
          <w:rFonts w:hint="eastAsia"/>
          <w:sz w:val="24"/>
          <w:szCs w:val="32"/>
        </w:rPr>
        <w:t xml:space="preserve">1.产品如有型号，请在“产品名称”栏一并填写。</w:t>
      </w:r>
      <w:r/>
    </w:p>
    <w:p>
      <w:pPr>
        <w:rPr>
          <w:sz w:val="24"/>
          <w:szCs w:val="32"/>
        </w:rPr>
      </w:pPr>
      <w:r>
        <w:rPr>
          <w:rFonts w:hint="eastAsia"/>
          <w:sz w:val="24"/>
          <w:szCs w:val="32"/>
        </w:rPr>
        <w:t xml:space="preserve">2.生产厂名与厂址应与生产厂营业执照载明的相关信息保持一致。</w:t>
      </w:r>
      <w:r/>
    </w:p>
    <w:p>
      <w:pPr>
        <w:rPr>
          <w:sz w:val="24"/>
          <w:szCs w:val="32"/>
        </w:rPr>
      </w:pPr>
      <w:r>
        <w:rPr>
          <w:rFonts w:hint="eastAsia"/>
          <w:sz w:val="24"/>
          <w:szCs w:val="32"/>
        </w:rPr>
        <w:t xml:space="preserve">3.该产品的中国境内生产的组件成本占比相关要求实施前，“规定比例”栏可不填，下同。</w:t>
      </w:r>
      <w:r/>
    </w:p>
    <w:p>
      <w:pPr>
        <w:rPr>
          <w:sz w:val="24"/>
          <w:szCs w:val="32"/>
        </w:rPr>
      </w:pPr>
      <w:r>
        <w:rPr>
          <w:rFonts w:hint="eastAsia"/>
          <w:sz w:val="24"/>
          <w:szCs w:val="32"/>
        </w:rPr>
        <w:t xml:space="preserve">4.该产品的关键组件要求实施前，“关键组件”栏可不填，下同。</w:t>
      </w:r>
      <w:r/>
    </w:p>
    <w:p>
      <w:pPr>
        <w:rPr>
          <w:sz w:val="24"/>
          <w:szCs w:val="32"/>
        </w:rPr>
      </w:pPr>
      <w:r>
        <w:rPr>
          <w:rFonts w:hint="eastAsia"/>
          <w:sz w:val="24"/>
          <w:szCs w:val="32"/>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ourier New">
    <w:panose1 w:val="02070309020205020404"/>
  </w:font>
  <w:font w:name="Segoe UI">
    <w:panose1 w:val="020B0502040204020203"/>
  </w:font>
  <w:font w:name="PMingLiU">
    <w:panose1 w:val="02020500000000000000"/>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r/>
                          <w:r/>
                        </w:p>
                        <w:p>
                          <w:r/>
                          <w:r/>
                        </w:p>
                        <w:p>
                          <w:r/>
                          <w:r/>
                        </w:p>
                        <w:p>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pBdr>
        <w:bottom w:val="single" w:color="000000" w:sz="4" w:space="0"/>
      </w:pBdr>
    </w:pPr>
    <w:r>
      <w:rPr>
        <w:rFonts w:hint="eastAsia"/>
        <w:lang w:eastAsia="zh-CN"/>
      </w:rPr>
      <w:t xml:space="preserve">智慧校园3.0建设行动计划子项目网络基础建设项目</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智慧校园3.0建设行动计划子项目网络基础建设项目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48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440" w:hanging="440"/>
      </w:pPr>
      <w:rPr>
        <w:color w:val="auto"/>
      </w:rPr>
    </w:lvl>
    <w:lvl w:ilvl="1">
      <w:start w:val="3"/>
      <w:numFmt w:val="bullet"/>
      <w:isLgl w:val="false"/>
      <w:suff w:val="tab"/>
      <w:lvlText w:val="★"/>
      <w:lvlJc w:val="left"/>
      <w:pPr>
        <w:ind w:left="800" w:hanging="360"/>
      </w:pPr>
      <w:rPr>
        <w:rFonts w:hint="eastAsia" w:ascii="等线" w:hAnsi="等线" w:eastAsia="等线" w:cs="Times New Roman"/>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40" w:hanging="440"/>
      </w:pPr>
      <w:rPr>
        <w:color w:val="auto"/>
      </w:rPr>
    </w:lvl>
    <w:lvl w:ilvl="1">
      <w:start w:val="0"/>
      <w:numFmt w:val="bullet"/>
      <w:isLgl w:val="false"/>
      <w:suff w:val="tab"/>
      <w:lvlText w:val="▲"/>
      <w:lvlJc w:val="left"/>
      <w:pPr>
        <w:ind w:left="786" w:hanging="360"/>
      </w:pPr>
      <w:rPr>
        <w:rFonts w:hint="eastAsia" w:ascii="宋体" w:hAnsi="宋体" w:eastAsia="宋体" w:cs="Times New Roman"/>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3"/>
  </w:num>
  <w:num w:numId="3">
    <w:abstractNumId w:val="2"/>
  </w:num>
  <w:num w:numId="4">
    <w:abstractNumId w:val="1"/>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862"/>
    <w:link w:val="853"/>
    <w:uiPriority w:val="9"/>
    <w:rPr>
      <w:rFonts w:ascii="Arial" w:hAnsi="Arial" w:eastAsia="Arial" w:cs="Arial"/>
      <w:sz w:val="40"/>
      <w:szCs w:val="40"/>
    </w:rPr>
  </w:style>
  <w:style w:type="character" w:styleId="819">
    <w:name w:val="Heading 2 Char"/>
    <w:basedOn w:val="862"/>
    <w:link w:val="854"/>
    <w:uiPriority w:val="9"/>
    <w:rPr>
      <w:rFonts w:ascii="Arial" w:hAnsi="Arial" w:eastAsia="Arial" w:cs="Arial"/>
      <w:sz w:val="34"/>
    </w:rPr>
  </w:style>
  <w:style w:type="character" w:styleId="820">
    <w:name w:val="Heading 3 Char"/>
    <w:basedOn w:val="862"/>
    <w:link w:val="855"/>
    <w:uiPriority w:val="9"/>
    <w:rPr>
      <w:rFonts w:ascii="Arial" w:hAnsi="Arial" w:eastAsia="Arial" w:cs="Arial"/>
      <w:sz w:val="30"/>
      <w:szCs w:val="30"/>
    </w:rPr>
  </w:style>
  <w:style w:type="character" w:styleId="821">
    <w:name w:val="Heading 4 Char"/>
    <w:basedOn w:val="862"/>
    <w:link w:val="856"/>
    <w:uiPriority w:val="9"/>
    <w:rPr>
      <w:rFonts w:ascii="Arial" w:hAnsi="Arial" w:eastAsia="Arial" w:cs="Arial"/>
      <w:b/>
      <w:bCs/>
      <w:sz w:val="26"/>
      <w:szCs w:val="26"/>
    </w:rPr>
  </w:style>
  <w:style w:type="character" w:styleId="822">
    <w:name w:val="Heading 5 Char"/>
    <w:basedOn w:val="862"/>
    <w:link w:val="857"/>
    <w:uiPriority w:val="9"/>
    <w:rPr>
      <w:rFonts w:ascii="Arial" w:hAnsi="Arial" w:eastAsia="Arial" w:cs="Arial"/>
      <w:b/>
      <w:bCs/>
      <w:sz w:val="24"/>
      <w:szCs w:val="24"/>
    </w:rPr>
  </w:style>
  <w:style w:type="character" w:styleId="823">
    <w:name w:val="Heading 6 Char"/>
    <w:basedOn w:val="862"/>
    <w:link w:val="858"/>
    <w:uiPriority w:val="9"/>
    <w:rPr>
      <w:rFonts w:ascii="Arial" w:hAnsi="Arial" w:eastAsia="Arial" w:cs="Arial"/>
      <w:b/>
      <w:bCs/>
      <w:sz w:val="22"/>
      <w:szCs w:val="22"/>
    </w:rPr>
  </w:style>
  <w:style w:type="character" w:styleId="824">
    <w:name w:val="Heading 7 Char"/>
    <w:basedOn w:val="862"/>
    <w:link w:val="859"/>
    <w:uiPriority w:val="9"/>
    <w:rPr>
      <w:rFonts w:ascii="Arial" w:hAnsi="Arial" w:eastAsia="Arial" w:cs="Arial"/>
      <w:b/>
      <w:bCs/>
      <w:i/>
      <w:iCs/>
      <w:sz w:val="22"/>
      <w:szCs w:val="22"/>
    </w:rPr>
  </w:style>
  <w:style w:type="character" w:styleId="825">
    <w:name w:val="Heading 8 Char"/>
    <w:basedOn w:val="862"/>
    <w:link w:val="860"/>
    <w:uiPriority w:val="9"/>
    <w:rPr>
      <w:rFonts w:ascii="Arial" w:hAnsi="Arial" w:eastAsia="Arial" w:cs="Arial"/>
      <w:i/>
      <w:iCs/>
      <w:sz w:val="22"/>
      <w:szCs w:val="22"/>
    </w:rPr>
  </w:style>
  <w:style w:type="character" w:styleId="826">
    <w:name w:val="Heading 9 Char"/>
    <w:basedOn w:val="862"/>
    <w:link w:val="861"/>
    <w:uiPriority w:val="9"/>
    <w:rPr>
      <w:rFonts w:ascii="Arial" w:hAnsi="Arial" w:eastAsia="Arial" w:cs="Arial"/>
      <w:i/>
      <w:iCs/>
      <w:sz w:val="21"/>
      <w:szCs w:val="21"/>
    </w:rPr>
  </w:style>
  <w:style w:type="character" w:styleId="827">
    <w:name w:val="Title Char"/>
    <w:basedOn w:val="862"/>
    <w:link w:val="887"/>
    <w:uiPriority w:val="10"/>
    <w:rPr>
      <w:sz w:val="48"/>
      <w:szCs w:val="48"/>
    </w:rPr>
  </w:style>
  <w:style w:type="character" w:styleId="828">
    <w:name w:val="Quote Char"/>
    <w:link w:val="921"/>
    <w:uiPriority w:val="29"/>
    <w:rPr>
      <w:i/>
    </w:rPr>
  </w:style>
  <w:style w:type="character" w:styleId="829">
    <w:name w:val="Intense Quote Char"/>
    <w:link w:val="923"/>
    <w:uiPriority w:val="30"/>
    <w:rPr>
      <w:i/>
    </w:rPr>
  </w:style>
  <w:style w:type="character" w:styleId="830">
    <w:name w:val="Header Char"/>
    <w:basedOn w:val="862"/>
    <w:link w:val="877"/>
    <w:uiPriority w:val="99"/>
  </w:style>
  <w:style w:type="character" w:styleId="831">
    <w:name w:val="Footer Char"/>
    <w:basedOn w:val="862"/>
    <w:link w:val="876"/>
    <w:uiPriority w:val="99"/>
  </w:style>
  <w:style w:type="table" w:styleId="832">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1">
    <w:name w:val="TOC Heading"/>
    <w:uiPriority w:val="39"/>
    <w:unhideWhenUsed/>
  </w:style>
  <w:style w:type="paragraph" w:styleId="8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link w:val="910"/>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52"/>
    <w:link w:val="911"/>
    <w:uiPriority w:val="9"/>
    <w:unhideWhenUsed/>
    <w:qFormat/>
    <w:pPr>
      <w:keepLines/>
      <w:keepNext/>
      <w:spacing w:before="360" w:after="200"/>
      <w:outlineLvl w:val="1"/>
    </w:pPr>
    <w:rPr>
      <w:rFonts w:ascii="Arial" w:hAnsi="Arial" w:eastAsia="Arial" w:cs="Arial"/>
      <w:sz w:val="34"/>
    </w:rPr>
  </w:style>
  <w:style w:type="paragraph" w:styleId="855">
    <w:name w:val="Heading 3"/>
    <w:basedOn w:val="852"/>
    <w:next w:val="852"/>
    <w:link w:val="912"/>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link w:val="913"/>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link w:val="914"/>
    <w:uiPriority w:val="9"/>
    <w:unhideWhenUsed/>
    <w:qFormat/>
    <w:pPr>
      <w:keepLines/>
      <w:keepNext/>
      <w:spacing w:before="320" w:after="200"/>
      <w:outlineLvl w:val="4"/>
    </w:pPr>
    <w:rPr>
      <w:rFonts w:ascii="Arial" w:hAnsi="Arial" w:eastAsia="Arial" w:cs="Arial"/>
      <w:b/>
      <w:bCs/>
      <w:sz w:val="24"/>
    </w:rPr>
  </w:style>
  <w:style w:type="paragraph" w:styleId="858">
    <w:name w:val="Heading 6"/>
    <w:basedOn w:val="852"/>
    <w:next w:val="852"/>
    <w:link w:val="915"/>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917"/>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918"/>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39"/>
    <w:unhideWhenUsed/>
    <w:qFormat/>
    <w:pPr>
      <w:ind w:left="1701"/>
      <w:spacing w:after="57"/>
    </w:pPr>
  </w:style>
  <w:style w:type="paragraph" w:styleId="865">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6">
    <w:name w:val="annotation text"/>
    <w:basedOn w:val="852"/>
    <w:next w:val="867"/>
    <w:uiPriority w:val="99"/>
    <w:semiHidden/>
    <w:unhideWhenUsed/>
    <w:qFormat/>
    <w:pPr>
      <w:jc w:val="left"/>
    </w:pPr>
  </w:style>
  <w:style w:type="paragraph" w:styleId="867">
    <w:name w:val="Balloon Text"/>
    <w:uiPriority w:val="99"/>
    <w:unhideWhenUsed/>
    <w:qFormat/>
    <w:pPr>
      <w:jc w:val="both"/>
      <w:widowControl w:val="off"/>
    </w:pPr>
    <w:rPr>
      <w:rFonts w:ascii="Times New Roman" w:hAnsi="Times New Roman" w:eastAsia="宋体" w:cs="Times New Roman"/>
      <w:sz w:val="18"/>
      <w:szCs w:val="18"/>
      <w:lang w:val="en-US" w:eastAsia="zh-CN" w:bidi="ar-SA"/>
    </w:rPr>
  </w:style>
  <w:style w:type="paragraph" w:styleId="868">
    <w:name w:val="Body Text"/>
    <w:next w:val="869"/>
    <w:uiPriority w:val="99"/>
    <w:semiHidden/>
    <w:qFormat/>
    <w:pPr>
      <w:spacing w:after="120"/>
    </w:pPr>
    <w:rPr>
      <w:rFonts w:ascii="Times New Roman" w:hAnsi="Times New Roman" w:eastAsia="宋体" w:cs="Times New Roman"/>
      <w:sz w:val="24"/>
      <w:szCs w:val="24"/>
      <w:lang w:val="en-US" w:eastAsia="zh-CN" w:bidi="ar-SA"/>
    </w:rPr>
  </w:style>
  <w:style w:type="paragraph" w:styleId="869">
    <w:name w:val="Body Text First Indent"/>
    <w:next w:val="852"/>
    <w:uiPriority w:val="0"/>
    <w:unhideWhenUsed/>
    <w:qFormat/>
    <w:pPr>
      <w:ind w:firstLine="498"/>
      <w:spacing w:after="120"/>
    </w:pPr>
    <w:rPr>
      <w:rFonts w:ascii="Times New Roman" w:hAnsi="Times New Roman" w:eastAsia="宋体" w:cs="Times New Roman"/>
      <w:sz w:val="24"/>
      <w:lang w:val="en-US" w:eastAsia="zh-CN" w:bidi="ar-SA"/>
    </w:rPr>
  </w:style>
  <w:style w:type="paragraph" w:styleId="870">
    <w:name w:val="Body Text Indent"/>
    <w:uiPriority w:val="99"/>
    <w:qFormat/>
    <w:pPr>
      <w:ind w:left="420"/>
      <w:spacing w:after="120"/>
    </w:pPr>
    <w:rPr>
      <w:rFonts w:ascii="Times New Roman" w:hAnsi="Times New Roman" w:eastAsia="宋体" w:cs="Times New Roman"/>
      <w:lang w:val="en-US" w:eastAsia="zh-CN" w:bidi="ar-SA"/>
    </w:rPr>
  </w:style>
  <w:style w:type="paragraph" w:styleId="871">
    <w:name w:val="Block Text"/>
    <w:uiPriority w:val="0"/>
    <w:unhideWhenUsed/>
    <w:qFormat/>
    <w:pPr>
      <w:ind w:left="420" w:right="33"/>
      <w:jc w:val="both"/>
      <w:widowControl w:val="off"/>
    </w:pPr>
    <w:rPr>
      <w:rFonts w:ascii="Times New Roman" w:hAnsi="Times New Roman" w:eastAsia="宋体" w:cs="Times New Roman"/>
      <w:sz w:val="24"/>
      <w:szCs w:val="24"/>
      <w:lang w:val="en-US" w:eastAsia="zh-CN" w:bidi="ar-SA"/>
    </w:rPr>
  </w:style>
  <w:style w:type="paragraph" w:styleId="872">
    <w:name w:val="toc 5"/>
    <w:basedOn w:val="852"/>
    <w:next w:val="852"/>
    <w:uiPriority w:val="39"/>
    <w:unhideWhenUsed/>
    <w:qFormat/>
    <w:pPr>
      <w:ind w:left="1134"/>
      <w:spacing w:after="57"/>
    </w:pPr>
  </w:style>
  <w:style w:type="paragraph" w:styleId="873">
    <w:name w:val="toc 3"/>
    <w:basedOn w:val="852"/>
    <w:next w:val="852"/>
    <w:uiPriority w:val="39"/>
    <w:unhideWhenUsed/>
    <w:qFormat/>
    <w:pPr>
      <w:ind w:left="567"/>
      <w:spacing w:after="57"/>
    </w:pPr>
  </w:style>
  <w:style w:type="paragraph" w:styleId="874">
    <w:name w:val="toc 8"/>
    <w:basedOn w:val="852"/>
    <w:next w:val="852"/>
    <w:uiPriority w:val="39"/>
    <w:unhideWhenUsed/>
    <w:qFormat/>
    <w:pPr>
      <w:ind w:left="1984"/>
      <w:spacing w:after="57"/>
    </w:pPr>
  </w:style>
  <w:style w:type="paragraph" w:styleId="875">
    <w:name w:val="endnote text"/>
    <w:basedOn w:val="852"/>
    <w:uiPriority w:val="99"/>
    <w:semiHidden/>
    <w:unhideWhenUsed/>
    <w:qFormat/>
    <w:rPr>
      <w:sz w:val="20"/>
    </w:rPr>
  </w:style>
  <w:style w:type="paragraph" w:styleId="876">
    <w:name w:val="Footer"/>
    <w:basedOn w:val="852"/>
    <w:link w:val="926"/>
    <w:uiPriority w:val="99"/>
    <w:unhideWhenUsed/>
    <w:qFormat/>
    <w:pPr>
      <w:tabs>
        <w:tab w:val="center" w:pos="7143" w:leader="none"/>
        <w:tab w:val="right" w:pos="14287" w:leader="none"/>
      </w:tabs>
    </w:pPr>
  </w:style>
  <w:style w:type="paragraph" w:styleId="877">
    <w:name w:val="Header"/>
    <w:basedOn w:val="852"/>
    <w:link w:val="925"/>
    <w:uiPriority w:val="99"/>
    <w:unhideWhenUsed/>
    <w:qFormat/>
    <w:pPr>
      <w:tabs>
        <w:tab w:val="center" w:pos="7143" w:leader="none"/>
        <w:tab w:val="right" w:pos="14287" w:leader="none"/>
      </w:tabs>
    </w:pPr>
  </w:style>
  <w:style w:type="paragraph" w:styleId="878">
    <w:name w:val="toc 1"/>
    <w:basedOn w:val="852"/>
    <w:next w:val="852"/>
    <w:uiPriority w:val="39"/>
    <w:unhideWhenUsed/>
    <w:qFormat/>
    <w:pPr>
      <w:spacing w:after="57"/>
    </w:pPr>
  </w:style>
  <w:style w:type="paragraph" w:styleId="879">
    <w:name w:val="toc 4"/>
    <w:basedOn w:val="852"/>
    <w:next w:val="852"/>
    <w:uiPriority w:val="39"/>
    <w:unhideWhenUsed/>
    <w:qFormat/>
    <w:pPr>
      <w:ind w:left="850"/>
      <w:spacing w:after="57"/>
    </w:pPr>
  </w:style>
  <w:style w:type="paragraph" w:styleId="880">
    <w:name w:val="Subtitle"/>
    <w:basedOn w:val="852"/>
    <w:next w:val="852"/>
    <w:uiPriority w:val="11"/>
    <w:qFormat/>
    <w:pPr>
      <w:spacing w:before="200" w:after="200"/>
    </w:pPr>
    <w:rPr>
      <w:sz w:val="24"/>
    </w:rPr>
  </w:style>
  <w:style w:type="paragraph" w:styleId="881">
    <w:name w:val="footnote text"/>
    <w:basedOn w:val="852"/>
    <w:uiPriority w:val="99"/>
    <w:semiHidden/>
    <w:unhideWhenUsed/>
    <w:qFormat/>
    <w:pPr>
      <w:spacing w:after="40"/>
    </w:pPr>
    <w:rPr>
      <w:sz w:val="18"/>
    </w:rPr>
  </w:style>
  <w:style w:type="paragraph" w:styleId="882">
    <w:name w:val="toc 6"/>
    <w:basedOn w:val="852"/>
    <w:next w:val="852"/>
    <w:uiPriority w:val="39"/>
    <w:unhideWhenUsed/>
    <w:qFormat/>
    <w:pPr>
      <w:ind w:left="1417"/>
      <w:spacing w:after="57"/>
    </w:pPr>
  </w:style>
  <w:style w:type="paragraph" w:styleId="883">
    <w:name w:val="table of figures"/>
    <w:basedOn w:val="852"/>
    <w:next w:val="852"/>
    <w:uiPriority w:val="99"/>
    <w:unhideWhenUsed/>
    <w:qFormat/>
  </w:style>
  <w:style w:type="paragraph" w:styleId="884">
    <w:name w:val="toc 2"/>
    <w:basedOn w:val="852"/>
    <w:next w:val="852"/>
    <w:uiPriority w:val="39"/>
    <w:unhideWhenUsed/>
    <w:qFormat/>
    <w:pPr>
      <w:ind w:left="283"/>
      <w:spacing w:after="57"/>
    </w:pPr>
  </w:style>
  <w:style w:type="paragraph" w:styleId="885">
    <w:name w:val="toc 9"/>
    <w:basedOn w:val="852"/>
    <w:next w:val="852"/>
    <w:uiPriority w:val="39"/>
    <w:unhideWhenUsed/>
    <w:qFormat/>
    <w:pPr>
      <w:ind w:left="2268"/>
      <w:spacing w:after="57"/>
    </w:pPr>
  </w:style>
  <w:style w:type="paragraph" w:styleId="886">
    <w:name w:val="Normal (Web)"/>
    <w:basedOn w:val="852"/>
    <w:uiPriority w:val="0"/>
    <w:qFormat/>
    <w:pPr>
      <w:jc w:val="left"/>
      <w:spacing w:beforeAutospacing="1" w:afterAutospacing="1"/>
    </w:pPr>
    <w:rPr>
      <w:sz w:val="24"/>
    </w:rPr>
  </w:style>
  <w:style w:type="paragraph" w:styleId="887">
    <w:name w:val="Title"/>
    <w:basedOn w:val="852"/>
    <w:next w:val="852"/>
    <w:link w:val="920"/>
    <w:uiPriority w:val="10"/>
    <w:qFormat/>
    <w:pPr>
      <w:contextualSpacing/>
      <w:spacing w:before="300" w:after="200"/>
    </w:pPr>
    <w:rPr>
      <w:sz w:val="48"/>
      <w:szCs w:val="48"/>
    </w:rPr>
  </w:style>
  <w:style w:type="table" w:styleId="8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Strong"/>
    <w:basedOn w:val="862"/>
    <w:uiPriority w:val="0"/>
    <w:qFormat/>
    <w:rPr>
      <w:b/>
    </w:rPr>
  </w:style>
  <w:style w:type="character" w:styleId="890">
    <w:name w:val="endnote reference"/>
    <w:uiPriority w:val="99"/>
    <w:semiHidden/>
    <w:unhideWhenUsed/>
    <w:qFormat/>
    <w:rPr>
      <w:vertAlign w:val="superscript"/>
    </w:rPr>
  </w:style>
  <w:style w:type="character" w:styleId="891">
    <w:name w:val="Emphasis"/>
    <w:basedOn w:val="862"/>
    <w:uiPriority w:val="20"/>
    <w:qFormat/>
    <w:rPr>
      <w:i/>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annotation reference"/>
    <w:basedOn w:val="862"/>
    <w:uiPriority w:val="99"/>
    <w:semiHidden/>
    <w:unhideWhenUsed/>
    <w:qFormat/>
    <w:rPr>
      <w:sz w:val="21"/>
      <w:szCs w:val="21"/>
    </w:rPr>
  </w:style>
  <w:style w:type="character" w:styleId="894">
    <w:name w:val="footnote reference"/>
    <w:uiPriority w:val="99"/>
    <w:unhideWhenUsed/>
    <w:qFormat/>
    <w:rPr>
      <w:vertAlign w:val="superscript"/>
    </w:rPr>
  </w:style>
  <w:style w:type="paragraph" w:styleId="895" w:customStyle="1">
    <w:name w:val="正文缩进1"/>
    <w:basedOn w:val="852"/>
    <w:uiPriority w:val="0"/>
    <w:qFormat/>
    <w:pPr>
      <w:ind w:firstLine="420"/>
    </w:pPr>
  </w:style>
  <w:style w:type="paragraph" w:styleId="896" w:customStyle="1">
    <w:name w:val="列表段落1"/>
    <w:basedOn w:val="897"/>
    <w:next w:val="852"/>
    <w:uiPriority w:val="99"/>
    <w:qFormat/>
    <w:pPr>
      <w:ind w:firstLine="420"/>
    </w:pPr>
  </w:style>
  <w:style w:type="paragraph" w:styleId="897" w:customStyle="1">
    <w:name w:val="正文1"/>
    <w:basedOn w:val="898"/>
    <w:next w:val="901"/>
    <w:uiPriority w:val="0"/>
    <w:qFormat/>
    <w:pPr>
      <w:jc w:val="left"/>
      <w:spacing w:line="360" w:lineRule="atLeast"/>
    </w:pPr>
    <w:rPr>
      <w:rFonts w:ascii="宋体" w:hAnsi="Calibri"/>
      <w:sz w:val="24"/>
      <w:szCs w:val="20"/>
    </w:rPr>
  </w:style>
  <w:style w:type="paragraph" w:styleId="898" w:customStyle="1">
    <w:name w:val="正文11"/>
    <w:next w:val="899"/>
    <w:uiPriority w:val="0"/>
    <w:qFormat/>
    <w:pPr>
      <w:jc w:val="both"/>
      <w:widowControl w:val="off"/>
    </w:pPr>
    <w:rPr>
      <w:rFonts w:ascii="Times New Roman" w:hAnsi="Times New Roman" w:eastAsia="宋体" w:cs="Times New Roman"/>
      <w:sz w:val="21"/>
      <w:szCs w:val="24"/>
      <w:lang w:val="en-US" w:eastAsia="zh-CN" w:bidi="ar-SA"/>
    </w:rPr>
  </w:style>
  <w:style w:type="paragraph" w:styleId="899" w:customStyle="1">
    <w:name w:val="文本块1"/>
    <w:basedOn w:val="897"/>
    <w:next w:val="900"/>
    <w:uiPriority w:val="0"/>
    <w:qFormat/>
    <w:pPr>
      <w:ind w:left="1440" w:right="1440"/>
      <w:spacing w:after="120"/>
    </w:pPr>
    <w:rPr>
      <w:rFonts w:ascii="Times New Roman" w:hAnsi="Times New Roman"/>
    </w:rPr>
  </w:style>
  <w:style w:type="paragraph" w:styleId="900" w:customStyle="1">
    <w:name w:val="标题 41"/>
    <w:basedOn w:val="852"/>
    <w:next w:val="898"/>
    <w:link w:val="954"/>
    <w:uiPriority w:val="0"/>
    <w:qFormat/>
    <w:pPr>
      <w:keepLines/>
      <w:keepNext/>
      <w:spacing w:before="320" w:after="200"/>
      <w:outlineLvl w:val="3"/>
    </w:pPr>
    <w:rPr>
      <w:rFonts w:ascii="Arial" w:hAnsi="Arial" w:eastAsia="Arial" w:cs="Arial"/>
      <w:b/>
      <w:bCs/>
      <w:sz w:val="26"/>
      <w:szCs w:val="26"/>
    </w:rPr>
  </w:style>
  <w:style w:type="paragraph" w:styleId="901" w:customStyle="1">
    <w:name w:val="目录 11"/>
    <w:basedOn w:val="902"/>
    <w:next w:val="902"/>
    <w:uiPriority w:val="0"/>
    <w:qFormat/>
    <w:pPr>
      <w:jc w:val="left"/>
      <w:spacing w:after="100" w:line="259" w:lineRule="auto"/>
      <w:widowControl/>
    </w:pPr>
    <w:rPr>
      <w:rFonts w:ascii="Calibri" w:hAnsi="Calibri"/>
      <w:sz w:val="22"/>
      <w:szCs w:val="22"/>
    </w:rPr>
  </w:style>
  <w:style w:type="paragraph" w:styleId="902" w:customStyle="1">
    <w:name w:val="正文12"/>
    <w:next w:val="903"/>
    <w:uiPriority w:val="0"/>
    <w:qFormat/>
    <w:pPr>
      <w:jc w:val="both"/>
      <w:widowControl w:val="off"/>
    </w:pPr>
    <w:rPr>
      <w:rFonts w:ascii="Times New Roman" w:hAnsi="Times New Roman" w:eastAsia="宋体" w:cs="Times New Roman"/>
      <w:sz w:val="21"/>
      <w:szCs w:val="24"/>
      <w:lang w:val="en-US" w:eastAsia="zh-CN" w:bidi="ar-SA"/>
    </w:rPr>
  </w:style>
  <w:style w:type="paragraph" w:styleId="903" w:customStyle="1">
    <w:name w:val="无间隔1"/>
    <w:uiPriority w:val="0"/>
    <w:qFormat/>
    <w:rPr>
      <w:rFonts w:ascii="Calibri" w:hAnsi="Calibri" w:eastAsia="宋体" w:cs="Times New Roman"/>
      <w:sz w:val="22"/>
      <w:lang w:val="en-US" w:eastAsia="zh-CN" w:bidi="ar-SA"/>
    </w:rPr>
  </w:style>
  <w:style w:type="paragraph" w:styleId="904" w:customStyle="1">
    <w:name w:val="正文文本11"/>
    <w:basedOn w:val="905"/>
    <w:next w:val="906"/>
    <w:uiPriority w:val="0"/>
    <w:qFormat/>
    <w:pPr>
      <w:spacing w:line="300" w:lineRule="auto"/>
    </w:pPr>
    <w:rPr>
      <w:rFonts w:eastAsia="微软简楷体"/>
      <w:sz w:val="30"/>
    </w:rPr>
  </w:style>
  <w:style w:type="paragraph" w:styleId="905" w:customStyle="1">
    <w:name w:val="正文112"/>
    <w:next w:val="904"/>
    <w:uiPriority w:val="0"/>
    <w:qFormat/>
    <w:pPr>
      <w:jc w:val="both"/>
      <w:widowControl w:val="off"/>
    </w:pPr>
    <w:rPr>
      <w:rFonts w:ascii="Times New Roman" w:hAnsi="Times New Roman" w:eastAsia="宋体" w:cs="Times New Roman"/>
      <w:sz w:val="21"/>
      <w:szCs w:val="24"/>
      <w:lang w:val="en-US" w:eastAsia="zh-CN" w:bidi="ar-SA"/>
    </w:rPr>
  </w:style>
  <w:style w:type="paragraph" w:styleId="906" w:customStyle="1">
    <w:name w:val="一级条标题"/>
    <w:basedOn w:val="907"/>
    <w:next w:val="9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7" w:customStyle="1">
    <w:name w:val="章标题"/>
    <w:next w:val="89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08" w:customStyle="1">
    <w:name w:val="段"/>
    <w:basedOn w:val="897"/>
    <w:next w:val="852"/>
    <w:uiPriority w:val="0"/>
    <w:qFormat/>
    <w:pPr>
      <w:ind w:firstLine="200"/>
      <w:widowControl/>
    </w:pPr>
    <w:rPr>
      <w:rFonts w:ascii="Times New Roman" w:hAnsi="Times New Roman"/>
      <w:sz w:val="20"/>
    </w:rPr>
  </w:style>
  <w:style w:type="paragraph" w:styleId="909" w:customStyle="1">
    <w:name w:val="正文文本1"/>
    <w:basedOn w:val="898"/>
    <w:next w:val="897"/>
    <w:uiPriority w:val="0"/>
    <w:qFormat/>
    <w:pPr>
      <w:spacing w:after="120"/>
    </w:pPr>
    <w:rPr>
      <w:rFonts w:ascii="Calibri" w:hAnsi="Calibri"/>
    </w:rPr>
  </w:style>
  <w:style w:type="character" w:styleId="910" w:customStyle="1">
    <w:name w:val="标题 1 Char"/>
    <w:link w:val="853"/>
    <w:uiPriority w:val="9"/>
    <w:qFormat/>
    <w:rPr>
      <w:rFonts w:ascii="Arial" w:hAnsi="Arial" w:eastAsia="Arial" w:cs="Arial"/>
      <w:sz w:val="40"/>
      <w:szCs w:val="40"/>
    </w:rPr>
  </w:style>
  <w:style w:type="character" w:styleId="911" w:customStyle="1">
    <w:name w:val="标题 2 Char"/>
    <w:link w:val="854"/>
    <w:uiPriority w:val="9"/>
    <w:qFormat/>
    <w:rPr>
      <w:rFonts w:ascii="Arial" w:hAnsi="Arial" w:eastAsia="Arial" w:cs="Arial"/>
      <w:sz w:val="34"/>
    </w:rPr>
  </w:style>
  <w:style w:type="character" w:styleId="912" w:customStyle="1">
    <w:name w:val="标题 3 Char"/>
    <w:link w:val="855"/>
    <w:uiPriority w:val="9"/>
    <w:qFormat/>
    <w:rPr>
      <w:rFonts w:ascii="Arial" w:hAnsi="Arial" w:eastAsia="Arial" w:cs="Arial"/>
      <w:sz w:val="30"/>
      <w:szCs w:val="30"/>
    </w:rPr>
  </w:style>
  <w:style w:type="character" w:styleId="913" w:customStyle="1">
    <w:name w:val="标题 4 Char"/>
    <w:link w:val="856"/>
    <w:uiPriority w:val="9"/>
    <w:qFormat/>
    <w:rPr>
      <w:rFonts w:ascii="Arial" w:hAnsi="Arial" w:eastAsia="Arial" w:cs="Arial"/>
      <w:b/>
      <w:bCs/>
      <w:sz w:val="26"/>
      <w:szCs w:val="26"/>
    </w:rPr>
  </w:style>
  <w:style w:type="character" w:styleId="914" w:customStyle="1">
    <w:name w:val="标题 5 Char"/>
    <w:link w:val="857"/>
    <w:uiPriority w:val="9"/>
    <w:qFormat/>
    <w:rPr>
      <w:rFonts w:ascii="Arial" w:hAnsi="Arial" w:eastAsia="Arial" w:cs="Arial"/>
      <w:b/>
      <w:bCs/>
      <w:sz w:val="24"/>
      <w:szCs w:val="24"/>
    </w:rPr>
  </w:style>
  <w:style w:type="character" w:styleId="915" w:customStyle="1">
    <w:name w:val="标题 6 Char"/>
    <w:link w:val="858"/>
    <w:uiPriority w:val="9"/>
    <w:qFormat/>
    <w:rPr>
      <w:rFonts w:ascii="Arial" w:hAnsi="Arial" w:eastAsia="Arial" w:cs="Arial"/>
      <w:b/>
      <w:bCs/>
      <w:sz w:val="22"/>
      <w:szCs w:val="22"/>
    </w:rPr>
  </w:style>
  <w:style w:type="character" w:styleId="916" w:customStyle="1">
    <w:name w:val="标题 7 Char"/>
    <w:link w:val="859"/>
    <w:uiPriority w:val="9"/>
    <w:qFormat/>
    <w:rPr>
      <w:rFonts w:ascii="Arial" w:hAnsi="Arial" w:eastAsia="Arial" w:cs="Arial"/>
      <w:b/>
      <w:bCs/>
      <w:i/>
      <w:iCs/>
      <w:sz w:val="22"/>
      <w:szCs w:val="22"/>
    </w:rPr>
  </w:style>
  <w:style w:type="character" w:styleId="917" w:customStyle="1">
    <w:name w:val="标题 8 Char"/>
    <w:link w:val="860"/>
    <w:uiPriority w:val="9"/>
    <w:qFormat/>
    <w:rPr>
      <w:rFonts w:ascii="Arial" w:hAnsi="Arial" w:eastAsia="Arial" w:cs="Arial"/>
      <w:i/>
      <w:iCs/>
      <w:sz w:val="22"/>
      <w:szCs w:val="22"/>
    </w:rPr>
  </w:style>
  <w:style w:type="character" w:styleId="918" w:customStyle="1">
    <w:name w:val="标题 9 Char"/>
    <w:link w:val="861"/>
    <w:uiPriority w:val="9"/>
    <w:qFormat/>
    <w:rPr>
      <w:rFonts w:ascii="Arial" w:hAnsi="Arial" w:eastAsia="Arial" w:cs="Arial"/>
      <w:i/>
      <w:iCs/>
      <w:sz w:val="21"/>
      <w:szCs w:val="21"/>
    </w:rPr>
  </w:style>
  <w:style w:type="paragraph" w:styleId="919">
    <w:name w:val="List Paragraph"/>
    <w:basedOn w:val="852"/>
    <w:uiPriority w:val="34"/>
    <w:qFormat/>
    <w:pPr>
      <w:contextualSpacing/>
      <w:ind w:left="720"/>
    </w:pPr>
  </w:style>
  <w:style w:type="character" w:styleId="920" w:customStyle="1">
    <w:name w:val="标题 Char"/>
    <w:link w:val="887"/>
    <w:uiPriority w:val="10"/>
    <w:qFormat/>
    <w:rPr>
      <w:sz w:val="48"/>
      <w:szCs w:val="48"/>
    </w:rPr>
  </w:style>
  <w:style w:type="paragraph" w:styleId="921">
    <w:name w:val="Quote"/>
    <w:basedOn w:val="852"/>
    <w:next w:val="852"/>
    <w:link w:val="922"/>
    <w:uiPriority w:val="29"/>
    <w:qFormat/>
    <w:pPr>
      <w:ind w:left="720" w:right="720"/>
    </w:pPr>
    <w:rPr>
      <w:i/>
    </w:rPr>
  </w:style>
  <w:style w:type="character" w:styleId="922" w:customStyle="1">
    <w:name w:val="引用 Char"/>
    <w:link w:val="921"/>
    <w:uiPriority w:val="29"/>
    <w:qFormat/>
    <w:rPr>
      <w:i/>
    </w:rPr>
  </w:style>
  <w:style w:type="paragraph" w:styleId="923">
    <w:name w:val="Intense Quote"/>
    <w:basedOn w:val="852"/>
    <w:next w:val="852"/>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Char"/>
    <w:link w:val="923"/>
    <w:uiPriority w:val="30"/>
    <w:qFormat/>
    <w:rPr>
      <w:i/>
    </w:rPr>
  </w:style>
  <w:style w:type="character" w:styleId="925" w:customStyle="1">
    <w:name w:val="页眉 Char"/>
    <w:link w:val="877"/>
    <w:uiPriority w:val="99"/>
    <w:qFormat/>
  </w:style>
  <w:style w:type="character" w:styleId="926" w:customStyle="1">
    <w:name w:val="页脚 Char"/>
    <w:link w:val="876"/>
    <w:uiPriority w:val="99"/>
    <w:qFormat/>
  </w:style>
  <w:style w:type="paragraph" w:styleId="927" w:customStyle="1">
    <w:name w:val="TOC 标题1"/>
    <w:uiPriority w:val="39"/>
    <w:unhideWhenUsed/>
    <w:qFormat/>
    <w:rPr>
      <w:rFonts w:ascii="Times New Roman" w:hAnsi="Times New Roman" w:eastAsia="宋体" w:cs="Times New Roman"/>
      <w:lang w:val="en-US" w:eastAsia="zh-CN" w:bidi="ar-SA"/>
    </w:rPr>
  </w:style>
  <w:style w:type="paragraph" w:styleId="928" w:customStyle="1">
    <w:name w:val="标题 1111"/>
    <w:basedOn w:val="852"/>
    <w:next w:val="852"/>
    <w:uiPriority w:val="0"/>
    <w:qFormat/>
    <w:pPr>
      <w:keepLines/>
      <w:keepNext/>
      <w:spacing w:before="480" w:after="200"/>
      <w:outlineLvl w:val="0"/>
    </w:pPr>
    <w:rPr>
      <w:rFonts w:ascii="Arial" w:hAnsi="Arial" w:eastAsia="Arial" w:cs="Arial"/>
      <w:sz w:val="40"/>
      <w:szCs w:val="40"/>
    </w:rPr>
  </w:style>
  <w:style w:type="paragraph" w:styleId="929" w:customStyle="1">
    <w:name w:val="标题 213"/>
    <w:basedOn w:val="852"/>
    <w:next w:val="852"/>
    <w:uiPriority w:val="0"/>
    <w:qFormat/>
    <w:pPr>
      <w:keepLines/>
      <w:keepNext/>
      <w:spacing w:before="360" w:after="200"/>
      <w:outlineLvl w:val="1"/>
    </w:pPr>
    <w:rPr>
      <w:rFonts w:ascii="Arial" w:hAnsi="Arial" w:eastAsia="Arial" w:cs="Arial"/>
      <w:sz w:val="34"/>
    </w:rPr>
  </w:style>
  <w:style w:type="paragraph" w:styleId="930" w:customStyle="1">
    <w:name w:val="标题 312"/>
    <w:basedOn w:val="852"/>
    <w:next w:val="852"/>
    <w:uiPriority w:val="0"/>
    <w:qFormat/>
    <w:pPr>
      <w:keepLines/>
      <w:keepNext/>
      <w:spacing w:before="320" w:after="200"/>
      <w:outlineLvl w:val="2"/>
    </w:pPr>
    <w:rPr>
      <w:rFonts w:ascii="Arial" w:hAnsi="Arial" w:eastAsia="Arial" w:cs="Arial"/>
      <w:sz w:val="30"/>
      <w:szCs w:val="30"/>
    </w:rPr>
  </w:style>
  <w:style w:type="paragraph" w:styleId="931" w:customStyle="1">
    <w:name w:val="标题 4111"/>
    <w:basedOn w:val="852"/>
    <w:next w:val="852"/>
    <w:uiPriority w:val="0"/>
    <w:qFormat/>
    <w:pPr>
      <w:keepLines/>
      <w:keepNext/>
      <w:spacing w:before="320" w:after="200"/>
      <w:outlineLvl w:val="3"/>
    </w:pPr>
    <w:rPr>
      <w:rFonts w:ascii="Arial" w:hAnsi="Arial" w:eastAsia="Arial" w:cs="Arial"/>
      <w:b/>
      <w:bCs/>
      <w:sz w:val="26"/>
      <w:szCs w:val="26"/>
    </w:rPr>
  </w:style>
  <w:style w:type="paragraph" w:styleId="932" w:customStyle="1">
    <w:name w:val="标题 512"/>
    <w:basedOn w:val="852"/>
    <w:next w:val="852"/>
    <w:uiPriority w:val="0"/>
    <w:qFormat/>
    <w:pPr>
      <w:keepLines/>
      <w:keepNext/>
      <w:spacing w:before="320" w:after="200"/>
      <w:outlineLvl w:val="4"/>
    </w:pPr>
    <w:rPr>
      <w:rFonts w:ascii="Arial" w:hAnsi="Arial" w:eastAsia="Arial" w:cs="Arial"/>
      <w:b/>
      <w:bCs/>
      <w:sz w:val="24"/>
    </w:rPr>
  </w:style>
  <w:style w:type="paragraph" w:styleId="933" w:customStyle="1">
    <w:name w:val="标题 612"/>
    <w:basedOn w:val="852"/>
    <w:next w:val="852"/>
    <w:uiPriority w:val="0"/>
    <w:qFormat/>
    <w:pPr>
      <w:keepLines/>
      <w:keepNext/>
      <w:spacing w:before="320" w:after="200"/>
      <w:outlineLvl w:val="5"/>
    </w:pPr>
    <w:rPr>
      <w:rFonts w:ascii="Arial" w:hAnsi="Arial" w:eastAsia="Arial" w:cs="Arial"/>
      <w:b/>
      <w:bCs/>
      <w:sz w:val="22"/>
      <w:szCs w:val="22"/>
    </w:rPr>
  </w:style>
  <w:style w:type="paragraph" w:styleId="934" w:customStyle="1">
    <w:name w:val="标题 712"/>
    <w:basedOn w:val="852"/>
    <w:next w:val="852"/>
    <w:uiPriority w:val="0"/>
    <w:qFormat/>
    <w:pPr>
      <w:keepLines/>
      <w:keepNext/>
      <w:spacing w:before="320" w:after="200"/>
      <w:outlineLvl w:val="6"/>
    </w:pPr>
    <w:rPr>
      <w:rFonts w:ascii="Arial" w:hAnsi="Arial" w:eastAsia="Arial" w:cs="Arial"/>
      <w:b/>
      <w:bCs/>
      <w:i/>
      <w:iCs/>
      <w:sz w:val="22"/>
      <w:szCs w:val="22"/>
    </w:rPr>
  </w:style>
  <w:style w:type="paragraph" w:styleId="935" w:customStyle="1">
    <w:name w:val="标题 812"/>
    <w:basedOn w:val="852"/>
    <w:next w:val="852"/>
    <w:uiPriority w:val="0"/>
    <w:qFormat/>
    <w:pPr>
      <w:keepLines/>
      <w:keepNext/>
      <w:spacing w:before="320" w:after="200"/>
      <w:outlineLvl w:val="7"/>
    </w:pPr>
    <w:rPr>
      <w:rFonts w:ascii="Arial" w:hAnsi="Arial" w:eastAsia="Arial" w:cs="Arial"/>
      <w:i/>
      <w:iCs/>
      <w:sz w:val="22"/>
      <w:szCs w:val="22"/>
    </w:rPr>
  </w:style>
  <w:style w:type="paragraph" w:styleId="936" w:customStyle="1">
    <w:name w:val="标题 912"/>
    <w:basedOn w:val="852"/>
    <w:next w:val="852"/>
    <w:uiPriority w:val="0"/>
    <w:qFormat/>
    <w:pPr>
      <w:keepLines/>
      <w:keepNext/>
      <w:spacing w:before="320" w:after="200"/>
      <w:outlineLvl w:val="8"/>
    </w:pPr>
    <w:rPr>
      <w:rFonts w:ascii="Arial" w:hAnsi="Arial" w:eastAsia="Arial" w:cs="Arial"/>
      <w:i/>
      <w:iCs/>
      <w:szCs w:val="21"/>
    </w:rPr>
  </w:style>
  <w:style w:type="character" w:styleId="937" w:customStyle="1">
    <w:name w:val="默认段落字体13"/>
    <w:uiPriority w:val="0"/>
    <w:qFormat/>
    <w:rPr>
      <w:rFonts w:ascii="Times New Roman" w:hAnsi="Times New Roman" w:eastAsia="宋体" w:cs="Times New Roman"/>
    </w:rPr>
  </w:style>
  <w:style w:type="table" w:styleId="938" w:customStyle="1">
    <w:name w:val="普通表格121"/>
    <w:uiPriority w:val="0"/>
    <w:qFormat/>
    <w:tblPr>
      <w:tblCellMar>
        <w:left w:w="0" w:type="dxa"/>
        <w:top w:w="0" w:type="dxa"/>
        <w:right w:w="0" w:type="dxa"/>
        <w:bottom w:w="0" w:type="dxa"/>
      </w:tblCellMar>
    </w:tblPr>
  </w:style>
  <w:style w:type="character" w:styleId="939" w:customStyle="1">
    <w:name w:val="引用 字符"/>
    <w:link w:val="940"/>
    <w:uiPriority w:val="0"/>
    <w:qFormat/>
    <w:rPr>
      <w:rFonts w:ascii="Times New Roman" w:hAnsi="Times New Roman" w:eastAsia="宋体" w:cs="Times New Roman"/>
      <w:i/>
    </w:rPr>
  </w:style>
  <w:style w:type="paragraph" w:styleId="940" w:customStyle="1">
    <w:name w:val="引用1"/>
    <w:basedOn w:val="852"/>
    <w:next w:val="852"/>
    <w:link w:val="939"/>
    <w:uiPriority w:val="0"/>
    <w:qFormat/>
    <w:pPr>
      <w:ind w:left="720" w:right="720"/>
    </w:pPr>
    <w:rPr>
      <w:i/>
    </w:rPr>
  </w:style>
  <w:style w:type="character" w:styleId="941" w:customStyle="1">
    <w:name w:val="Caption Char"/>
    <w:link w:val="942"/>
    <w:uiPriority w:val="0"/>
    <w:qFormat/>
    <w:rPr>
      <w:rFonts w:ascii="Times New Roman" w:hAnsi="Times New Roman" w:eastAsia="宋体" w:cs="Times New Roman"/>
    </w:rPr>
  </w:style>
  <w:style w:type="paragraph" w:styleId="942" w:customStyle="1">
    <w:name w:val="页脚12"/>
    <w:basedOn w:val="852"/>
    <w:link w:val="941"/>
    <w:uiPriority w:val="0"/>
    <w:qFormat/>
    <w:pPr>
      <w:tabs>
        <w:tab w:val="center" w:pos="7143" w:leader="none"/>
        <w:tab w:val="right" w:pos="14287" w:leader="none"/>
      </w:tabs>
    </w:pPr>
  </w:style>
  <w:style w:type="character" w:styleId="943" w:customStyle="1">
    <w:name w:val="标题 9 字符"/>
    <w:link w:val="944"/>
    <w:uiPriority w:val="0"/>
    <w:qFormat/>
    <w:rPr>
      <w:rFonts w:ascii="Arial" w:hAnsi="Arial" w:eastAsia="Arial" w:cs="Arial"/>
      <w:i/>
      <w:iCs/>
      <w:sz w:val="21"/>
      <w:szCs w:val="21"/>
    </w:rPr>
  </w:style>
  <w:style w:type="paragraph" w:styleId="944" w:customStyle="1">
    <w:name w:val="标题 91"/>
    <w:basedOn w:val="852"/>
    <w:next w:val="852"/>
    <w:link w:val="943"/>
    <w:uiPriority w:val="0"/>
    <w:qFormat/>
    <w:pPr>
      <w:keepLines/>
      <w:keepNext/>
      <w:spacing w:before="320" w:after="200"/>
      <w:outlineLvl w:val="8"/>
    </w:pPr>
    <w:rPr>
      <w:rFonts w:ascii="Arial" w:hAnsi="Arial" w:eastAsia="Arial" w:cs="Arial"/>
      <w:i/>
      <w:iCs/>
      <w:szCs w:val="21"/>
    </w:rPr>
  </w:style>
  <w:style w:type="character" w:styleId="945" w:customStyle="1">
    <w:name w:val="副标题 字符"/>
    <w:link w:val="946"/>
    <w:uiPriority w:val="0"/>
    <w:qFormat/>
    <w:rPr>
      <w:rFonts w:ascii="Times New Roman" w:hAnsi="Times New Roman" w:eastAsia="宋体" w:cs="Times New Roman"/>
      <w:sz w:val="24"/>
      <w:szCs w:val="24"/>
    </w:rPr>
  </w:style>
  <w:style w:type="paragraph" w:styleId="946" w:customStyle="1">
    <w:name w:val="副标题1"/>
    <w:basedOn w:val="852"/>
    <w:next w:val="852"/>
    <w:link w:val="945"/>
    <w:uiPriority w:val="0"/>
    <w:qFormat/>
    <w:pPr>
      <w:spacing w:before="200" w:after="200"/>
    </w:pPr>
    <w:rPr>
      <w:sz w:val="24"/>
    </w:rPr>
  </w:style>
  <w:style w:type="character" w:styleId="947" w:customStyle="1">
    <w:name w:val="脚注文本 字符"/>
    <w:link w:val="948"/>
    <w:uiPriority w:val="0"/>
    <w:qFormat/>
    <w:rPr>
      <w:rFonts w:ascii="Times New Roman" w:hAnsi="Times New Roman" w:eastAsia="宋体" w:cs="Times New Roman"/>
      <w:sz w:val="18"/>
    </w:rPr>
  </w:style>
  <w:style w:type="paragraph" w:styleId="948" w:customStyle="1">
    <w:name w:val="脚注文本11"/>
    <w:basedOn w:val="852"/>
    <w:link w:val="947"/>
    <w:uiPriority w:val="0"/>
    <w:qFormat/>
    <w:pPr>
      <w:spacing w:after="40"/>
    </w:pPr>
    <w:rPr>
      <w:sz w:val="18"/>
    </w:rPr>
  </w:style>
  <w:style w:type="character" w:styleId="949" w:customStyle="1">
    <w:name w:val="尾注引用12"/>
    <w:uiPriority w:val="0"/>
    <w:qFormat/>
    <w:rPr>
      <w:rFonts w:ascii="Times New Roman" w:hAnsi="Times New Roman" w:eastAsia="宋体" w:cs="Times New Roman"/>
      <w:vertAlign w:val="superscript"/>
    </w:rPr>
  </w:style>
  <w:style w:type="character" w:styleId="950" w:customStyle="1">
    <w:name w:val="Heading 5 Char_6769fa77-6171-466f-983e-d120d8d4f5da"/>
    <w:link w:val="951"/>
    <w:uiPriority w:val="0"/>
    <w:qFormat/>
    <w:rPr>
      <w:rFonts w:ascii="Arial" w:hAnsi="Arial" w:eastAsia="Arial" w:cs="Arial"/>
      <w:b/>
      <w:bCs/>
      <w:sz w:val="24"/>
      <w:szCs w:val="24"/>
    </w:rPr>
  </w:style>
  <w:style w:type="paragraph" w:styleId="951" w:customStyle="1">
    <w:name w:val="标题 511"/>
    <w:basedOn w:val="852"/>
    <w:next w:val="852"/>
    <w:link w:val="950"/>
    <w:uiPriority w:val="0"/>
    <w:qFormat/>
    <w:pPr>
      <w:keepLines/>
      <w:keepNext/>
      <w:spacing w:before="320" w:after="200"/>
      <w:outlineLvl w:val="4"/>
    </w:pPr>
    <w:rPr>
      <w:rFonts w:ascii="Arial" w:hAnsi="Arial" w:eastAsia="Arial" w:cs="Arial"/>
      <w:b/>
      <w:bCs/>
      <w:sz w:val="24"/>
    </w:rPr>
  </w:style>
  <w:style w:type="character" w:styleId="952" w:customStyle="1">
    <w:name w:val="批注引用1"/>
    <w:uiPriority w:val="0"/>
    <w:qFormat/>
    <w:rPr>
      <w:rFonts w:ascii="Times New Roman" w:hAnsi="Times New Roman" w:eastAsia="宋体" w:cs="Times New Roman"/>
      <w:sz w:val="21"/>
      <w:szCs w:val="21"/>
    </w:rPr>
  </w:style>
  <w:style w:type="character" w:styleId="953" w:customStyle="1">
    <w:name w:val="font131"/>
    <w:uiPriority w:val="0"/>
    <w:qFormat/>
    <w:rPr>
      <w:rFonts w:hint="eastAsia" w:ascii="宋体" w:hAnsi="宋体" w:eastAsia="宋体" w:cs="宋体"/>
      <w:color w:val="000000"/>
      <w:sz w:val="20"/>
      <w:szCs w:val="20"/>
      <w:u w:val="none"/>
    </w:rPr>
  </w:style>
  <w:style w:type="character" w:styleId="954" w:customStyle="1">
    <w:name w:val="标题 4 字符"/>
    <w:link w:val="900"/>
    <w:uiPriority w:val="0"/>
    <w:qFormat/>
    <w:rPr>
      <w:rFonts w:ascii="Arial" w:hAnsi="Arial" w:eastAsia="Arial" w:cs="Arial"/>
      <w:b/>
      <w:bCs/>
      <w:sz w:val="26"/>
      <w:szCs w:val="26"/>
    </w:rPr>
  </w:style>
  <w:style w:type="paragraph" w:styleId="955" w:customStyle="1">
    <w:name w:val="正文111"/>
    <w:next w:val="956"/>
    <w:uiPriority w:val="0"/>
    <w:qFormat/>
    <w:pPr>
      <w:jc w:val="both"/>
      <w:widowControl w:val="off"/>
    </w:pPr>
    <w:rPr>
      <w:rFonts w:ascii="Times New Roman" w:hAnsi="Times New Roman" w:eastAsia="宋体" w:cs="Times New Roman"/>
      <w:sz w:val="21"/>
      <w:szCs w:val="24"/>
      <w:lang w:val="en-US" w:eastAsia="zh-CN" w:bidi="ar-SA"/>
    </w:rPr>
  </w:style>
  <w:style w:type="paragraph" w:styleId="956" w:customStyle="1">
    <w:name w:val="正文文本缩进1"/>
    <w:basedOn w:val="852"/>
    <w:next w:val="957"/>
    <w:uiPriority w:val="0"/>
    <w:qFormat/>
    <w:pPr>
      <w:ind w:left="420"/>
      <w:spacing w:after="120"/>
    </w:pPr>
    <w:rPr>
      <w:rFonts w:ascii="Calibri" w:hAnsi="Calibri"/>
    </w:rPr>
  </w:style>
  <w:style w:type="paragraph" w:styleId="957" w:customStyle="1">
    <w:name w:val="寄信人地址1"/>
    <w:uiPriority w:val="0"/>
    <w:qFormat/>
    <w:pPr>
      <w:jc w:val="both"/>
    </w:pPr>
    <w:rPr>
      <w:rFonts w:ascii="Arial" w:hAnsi="Arial" w:eastAsia="宋体" w:cs="Times New Roman"/>
      <w:lang w:val="en-US" w:eastAsia="zh-CN" w:bidi="ar-SA"/>
    </w:rPr>
  </w:style>
  <w:style w:type="paragraph" w:styleId="958" w:customStyle="1">
    <w:name w:val="正文首行缩进11"/>
    <w:basedOn w:val="909"/>
    <w:next w:val="959"/>
    <w:uiPriority w:val="0"/>
    <w:qFormat/>
    <w:pPr>
      <w:ind w:firstLine="420"/>
    </w:pPr>
    <w:rPr>
      <w:rFonts w:ascii="仿宋_GB2312" w:eastAsia="仿宋_GB2312"/>
      <w:sz w:val="30"/>
      <w:szCs w:val="30"/>
    </w:rPr>
  </w:style>
  <w:style w:type="paragraph" w:styleId="959" w:customStyle="1">
    <w:name w:val="正文首行缩进 211"/>
    <w:basedOn w:val="960"/>
    <w:uiPriority w:val="99"/>
    <w:qFormat/>
    <w:pPr>
      <w:ind w:left="0" w:firstLine="420"/>
      <w:spacing w:after="0" w:line="360" w:lineRule="auto"/>
    </w:pPr>
    <w:rPr>
      <w:rFonts w:ascii="宋体" w:hAnsi="宋体"/>
    </w:rPr>
  </w:style>
  <w:style w:type="paragraph" w:styleId="960" w:customStyle="1">
    <w:name w:val="正文文本缩进11"/>
    <w:basedOn w:val="902"/>
    <w:next w:val="961"/>
    <w:uiPriority w:val="99"/>
    <w:qFormat/>
    <w:pPr>
      <w:ind w:left="420"/>
      <w:spacing w:after="120"/>
    </w:pPr>
  </w:style>
  <w:style w:type="paragraph" w:styleId="961" w:customStyle="1">
    <w:name w:val="寄信人地址11"/>
    <w:basedOn w:val="852"/>
    <w:uiPriority w:val="0"/>
    <w:qFormat/>
    <w:rPr>
      <w:rFonts w:ascii="Arial" w:hAnsi="Arial"/>
    </w:rPr>
  </w:style>
  <w:style w:type="paragraph" w:styleId="962" w:customStyle="1">
    <w:name w:val="正文文本111"/>
    <w:basedOn w:val="963"/>
    <w:next w:val="902"/>
    <w:uiPriority w:val="0"/>
    <w:qFormat/>
    <w:rPr>
      <w:rFonts w:ascii="楷体_GB2312" w:hAnsi="Arial" w:eastAsia="楷体_GB2312"/>
      <w:sz w:val="28"/>
      <w:szCs w:val="28"/>
      <w:lang w:eastAsia="en-US"/>
    </w:rPr>
  </w:style>
  <w:style w:type="paragraph" w:styleId="963" w:customStyle="1">
    <w:name w:val="正文1121"/>
    <w:next w:val="962"/>
    <w:uiPriority w:val="0"/>
    <w:qFormat/>
    <w:pPr>
      <w:jc w:val="both"/>
      <w:widowControl w:val="off"/>
    </w:pPr>
    <w:rPr>
      <w:rFonts w:ascii="Calibri" w:hAnsi="Calibri" w:eastAsia="宋体" w:cs="Times New Roman"/>
      <w:sz w:val="21"/>
      <w:szCs w:val="24"/>
      <w:lang w:val="en-US" w:eastAsia="zh-CN" w:bidi="ar-SA"/>
    </w:rPr>
  </w:style>
  <w:style w:type="paragraph" w:styleId="964" w:customStyle="1">
    <w:name w:val="正文首行缩进1"/>
    <w:next w:val="965"/>
    <w:uiPriority w:val="0"/>
    <w:qFormat/>
    <w:pPr>
      <w:ind w:firstLine="200"/>
      <w:jc w:val="both"/>
      <w:spacing w:after="120" w:line="360" w:lineRule="auto"/>
      <w:widowControl w:val="off"/>
    </w:pPr>
    <w:rPr>
      <w:rFonts w:ascii="仿宋_GB2312" w:hAnsi="Times New Roman" w:eastAsia="仿宋_GB2312" w:cs="Times New Roman"/>
      <w:sz w:val="30"/>
      <w:szCs w:val="30"/>
      <w:lang w:val="en-US" w:eastAsia="zh-CN" w:bidi="ar-SA"/>
    </w:rPr>
  </w:style>
  <w:style w:type="paragraph" w:styleId="965" w:customStyle="1">
    <w:name w:val="正文首行缩进 21"/>
    <w:next w:val="955"/>
    <w:uiPriority w:val="0"/>
    <w:qFormat/>
    <w:pPr>
      <w:ind w:left="420" w:firstLine="420"/>
      <w:jc w:val="both"/>
      <w:spacing w:after="120"/>
    </w:pPr>
    <w:rPr>
      <w:rFonts w:ascii="仿宋_GB2312" w:hAnsi="Times New Roman" w:eastAsia="仿宋_GB2312" w:cs="Times New Roman"/>
      <w:color w:val="ff6600"/>
      <w:sz w:val="21"/>
      <w:lang w:val="en-US" w:eastAsia="zh-CN" w:bidi="ar-SA"/>
    </w:rPr>
  </w:style>
  <w:style w:type="paragraph" w:styleId="966" w:customStyle="1">
    <w:name w:val="目录 111"/>
    <w:basedOn w:val="902"/>
    <w:next w:val="955"/>
    <w:uiPriority w:val="0"/>
    <w:qFormat/>
    <w:pPr>
      <w:spacing w:after="57"/>
    </w:pPr>
  </w:style>
  <w:style w:type="character" w:styleId="967" w:customStyle="1">
    <w:name w:val="Intense Quote Char_50e69443-902c-46d8-bc5e-f95a68e86d1d"/>
    <w:link w:val="968"/>
    <w:uiPriority w:val="0"/>
    <w:qFormat/>
    <w:rPr>
      <w:rFonts w:ascii="Times New Roman" w:hAnsi="Times New Roman" w:eastAsia="宋体" w:cs="Times New Roman"/>
      <w:i/>
    </w:rPr>
  </w:style>
  <w:style w:type="paragraph" w:styleId="968" w:customStyle="1">
    <w:name w:val="明显引用1"/>
    <w:basedOn w:val="852"/>
    <w:next w:val="852"/>
    <w:link w:val="96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customStyle="1">
    <w:name w:val="Heading 8 Char_6ba470d1-fac4-47b5-8d0f-e9065f3e762a"/>
    <w:link w:val="970"/>
    <w:uiPriority w:val="0"/>
    <w:qFormat/>
    <w:rPr>
      <w:rFonts w:ascii="Arial" w:hAnsi="Arial" w:eastAsia="Arial" w:cs="Arial"/>
      <w:i/>
      <w:iCs/>
      <w:sz w:val="22"/>
      <w:szCs w:val="22"/>
    </w:rPr>
  </w:style>
  <w:style w:type="paragraph" w:styleId="970" w:customStyle="1">
    <w:name w:val="标题 811"/>
    <w:basedOn w:val="852"/>
    <w:next w:val="852"/>
    <w:link w:val="969"/>
    <w:uiPriority w:val="0"/>
    <w:qFormat/>
    <w:pPr>
      <w:keepLines/>
      <w:keepNext/>
      <w:spacing w:before="320" w:after="200"/>
      <w:outlineLvl w:val="7"/>
    </w:pPr>
    <w:rPr>
      <w:rFonts w:ascii="Arial" w:hAnsi="Arial" w:eastAsia="Arial" w:cs="Arial"/>
      <w:i/>
      <w:iCs/>
      <w:sz w:val="22"/>
      <w:szCs w:val="22"/>
    </w:rPr>
  </w:style>
  <w:style w:type="character" w:styleId="971" w:customStyle="1">
    <w:name w:val="标题 3 字符"/>
    <w:link w:val="972"/>
    <w:uiPriority w:val="0"/>
    <w:qFormat/>
    <w:rPr>
      <w:rFonts w:ascii="Arial" w:hAnsi="Arial" w:eastAsia="Arial" w:cs="Arial"/>
      <w:sz w:val="30"/>
      <w:szCs w:val="30"/>
    </w:rPr>
  </w:style>
  <w:style w:type="paragraph" w:styleId="972" w:customStyle="1">
    <w:name w:val="标题 31"/>
    <w:basedOn w:val="852"/>
    <w:next w:val="852"/>
    <w:link w:val="971"/>
    <w:uiPriority w:val="0"/>
    <w:qFormat/>
    <w:pPr>
      <w:keepLines/>
      <w:keepNext/>
      <w:spacing w:before="320" w:after="200"/>
      <w:outlineLvl w:val="2"/>
    </w:pPr>
    <w:rPr>
      <w:rFonts w:ascii="Arial" w:hAnsi="Arial" w:eastAsia="Arial" w:cs="Arial"/>
      <w:sz w:val="30"/>
      <w:szCs w:val="30"/>
    </w:rPr>
  </w:style>
  <w:style w:type="character" w:styleId="973" w:customStyle="1">
    <w:name w:val="font11"/>
    <w:uiPriority w:val="0"/>
    <w:qFormat/>
    <w:rPr>
      <w:rFonts w:hint="eastAsia" w:ascii="黑体" w:hAnsi="宋体" w:eastAsia="黑体" w:cs="黑体"/>
      <w:color w:val="000000"/>
      <w:sz w:val="18"/>
      <w:szCs w:val="18"/>
      <w:u w:val="none"/>
    </w:rPr>
  </w:style>
  <w:style w:type="character" w:styleId="974" w:customStyle="1">
    <w:name w:val="超链接1"/>
    <w:uiPriority w:val="0"/>
    <w:qFormat/>
    <w:rPr>
      <w:rFonts w:ascii="Times New Roman" w:hAnsi="Times New Roman" w:eastAsia="宋体" w:cs="Times New Roman"/>
      <w:color w:val="0000ff"/>
      <w:u w:val="single"/>
    </w:rPr>
  </w:style>
  <w:style w:type="character" w:styleId="975" w:customStyle="1">
    <w:name w:val="标题 6 字符"/>
    <w:link w:val="976"/>
    <w:uiPriority w:val="0"/>
    <w:qFormat/>
    <w:rPr>
      <w:rFonts w:ascii="Arial" w:hAnsi="Arial" w:eastAsia="Arial" w:cs="Arial"/>
      <w:b/>
      <w:bCs/>
      <w:sz w:val="22"/>
      <w:szCs w:val="22"/>
    </w:rPr>
  </w:style>
  <w:style w:type="paragraph" w:styleId="976" w:customStyle="1">
    <w:name w:val="标题 61"/>
    <w:basedOn w:val="852"/>
    <w:next w:val="852"/>
    <w:link w:val="975"/>
    <w:uiPriority w:val="0"/>
    <w:qFormat/>
    <w:pPr>
      <w:keepLines/>
      <w:keepNext/>
      <w:spacing w:before="320" w:after="200"/>
      <w:outlineLvl w:val="5"/>
    </w:pPr>
    <w:rPr>
      <w:rFonts w:ascii="Arial" w:hAnsi="Arial" w:eastAsia="Arial" w:cs="Arial"/>
      <w:b/>
      <w:bCs/>
      <w:sz w:val="22"/>
      <w:szCs w:val="22"/>
    </w:rPr>
  </w:style>
  <w:style w:type="character" w:styleId="977" w:customStyle="1">
    <w:name w:val="Subtitle Char"/>
    <w:link w:val="978"/>
    <w:uiPriority w:val="0"/>
    <w:qFormat/>
    <w:rPr>
      <w:rFonts w:ascii="Times New Roman" w:hAnsi="Times New Roman" w:eastAsia="宋体" w:cs="Times New Roman"/>
      <w:sz w:val="24"/>
      <w:szCs w:val="24"/>
    </w:rPr>
  </w:style>
  <w:style w:type="paragraph" w:styleId="978" w:customStyle="1">
    <w:name w:val="副标题11"/>
    <w:basedOn w:val="852"/>
    <w:next w:val="852"/>
    <w:link w:val="977"/>
    <w:uiPriority w:val="0"/>
    <w:qFormat/>
    <w:pPr>
      <w:spacing w:before="200" w:after="200"/>
    </w:pPr>
    <w:rPr>
      <w:sz w:val="24"/>
    </w:rPr>
  </w:style>
  <w:style w:type="character" w:styleId="979" w:customStyle="1">
    <w:name w:val="Endnote Text Char"/>
    <w:link w:val="980"/>
    <w:uiPriority w:val="0"/>
    <w:qFormat/>
    <w:rPr>
      <w:rFonts w:ascii="Times New Roman" w:hAnsi="Times New Roman" w:eastAsia="宋体" w:cs="Times New Roman"/>
      <w:sz w:val="20"/>
    </w:rPr>
  </w:style>
  <w:style w:type="paragraph" w:styleId="980" w:customStyle="1">
    <w:name w:val="尾注文本11"/>
    <w:basedOn w:val="852"/>
    <w:link w:val="979"/>
    <w:uiPriority w:val="0"/>
    <w:qFormat/>
    <w:rPr>
      <w:sz w:val="20"/>
    </w:rPr>
  </w:style>
  <w:style w:type="character" w:styleId="981" w:customStyle="1">
    <w:name w:val="wyg1"/>
    <w:uiPriority w:val="0"/>
    <w:qFormat/>
    <w:rPr>
      <w:rFonts w:ascii="Times New Roman" w:hAnsi="Times New Roman" w:eastAsia="宋体" w:cs="Times New Roman"/>
      <w:color w:val="000000"/>
      <w:sz w:val="20"/>
      <w:szCs w:val="20"/>
      <w:u w:val="none"/>
    </w:rPr>
  </w:style>
  <w:style w:type="character" w:styleId="982" w:customStyle="1">
    <w:name w:val="脚注引用111"/>
    <w:uiPriority w:val="0"/>
    <w:qFormat/>
    <w:rPr>
      <w:rFonts w:ascii="Times New Roman" w:hAnsi="Times New Roman" w:eastAsia="宋体" w:cs="Times New Roman"/>
      <w:vertAlign w:val="superscript"/>
    </w:rPr>
  </w:style>
  <w:style w:type="character" w:styleId="983" w:customStyle="1">
    <w:name w:val="Heading 4 Char_012047ba-673d-46d3-92ac-271a9f0e3e83"/>
    <w:link w:val="984"/>
    <w:uiPriority w:val="0"/>
    <w:qFormat/>
    <w:rPr>
      <w:rFonts w:ascii="Arial" w:hAnsi="Arial" w:eastAsia="Arial" w:cs="Arial"/>
      <w:b/>
      <w:bCs/>
      <w:sz w:val="26"/>
      <w:szCs w:val="26"/>
    </w:rPr>
  </w:style>
  <w:style w:type="paragraph" w:styleId="984" w:customStyle="1">
    <w:name w:val="标题 411"/>
    <w:basedOn w:val="852"/>
    <w:next w:val="852"/>
    <w:link w:val="983"/>
    <w:uiPriority w:val="0"/>
    <w:qFormat/>
    <w:pPr>
      <w:keepLines/>
      <w:keepNext/>
      <w:spacing w:before="320" w:after="200"/>
      <w:outlineLvl w:val="3"/>
    </w:pPr>
    <w:rPr>
      <w:rFonts w:ascii="Arial" w:hAnsi="Arial" w:eastAsia="Arial" w:cs="Arial"/>
      <w:b/>
      <w:bCs/>
      <w:sz w:val="26"/>
      <w:szCs w:val="26"/>
    </w:rPr>
  </w:style>
  <w:style w:type="character" w:styleId="985" w:customStyle="1">
    <w:name w:val="批注文字 字符"/>
    <w:link w:val="986"/>
    <w:uiPriority w:val="0"/>
    <w:qFormat/>
    <w:rPr>
      <w:rFonts w:ascii="Times New Roman" w:hAnsi="Times New Roman" w:eastAsia="宋体" w:cs="Times New Roman"/>
      <w:sz w:val="21"/>
      <w:szCs w:val="24"/>
    </w:rPr>
  </w:style>
  <w:style w:type="paragraph" w:styleId="986" w:customStyle="1">
    <w:name w:val="批注文字1"/>
    <w:basedOn w:val="852"/>
    <w:link w:val="985"/>
    <w:uiPriority w:val="0"/>
    <w:qFormat/>
    <w:pPr>
      <w:jc w:val="left"/>
    </w:pPr>
  </w:style>
  <w:style w:type="character" w:styleId="987" w:customStyle="1">
    <w:name w:val="批注主题 字符"/>
    <w:link w:val="988"/>
    <w:uiPriority w:val="0"/>
    <w:qFormat/>
    <w:rPr>
      <w:rFonts w:ascii="Times New Roman" w:hAnsi="Times New Roman" w:eastAsia="宋体" w:cs="Times New Roman"/>
      <w:b/>
      <w:bCs/>
      <w:sz w:val="21"/>
      <w:szCs w:val="24"/>
    </w:rPr>
  </w:style>
  <w:style w:type="paragraph" w:styleId="988" w:customStyle="1">
    <w:name w:val="批注主题1"/>
    <w:basedOn w:val="986"/>
    <w:next w:val="986"/>
    <w:link w:val="987"/>
    <w:uiPriority w:val="0"/>
    <w:qFormat/>
    <w:rPr>
      <w:b/>
      <w:bCs/>
    </w:rPr>
  </w:style>
  <w:style w:type="character" w:styleId="989" w:customStyle="1">
    <w:name w:val="页脚 字符"/>
    <w:link w:val="990"/>
    <w:uiPriority w:val="0"/>
    <w:qFormat/>
    <w:rPr>
      <w:rFonts w:ascii="Times New Roman" w:hAnsi="Times New Roman" w:eastAsia="宋体" w:cs="Times New Roman"/>
    </w:rPr>
  </w:style>
  <w:style w:type="paragraph" w:styleId="990" w:customStyle="1">
    <w:name w:val="页脚11"/>
    <w:basedOn w:val="852"/>
    <w:link w:val="989"/>
    <w:uiPriority w:val="0"/>
    <w:qFormat/>
    <w:pPr>
      <w:tabs>
        <w:tab w:val="center" w:pos="7143" w:leader="none"/>
        <w:tab w:val="right" w:pos="14287" w:leader="none"/>
      </w:tabs>
    </w:pPr>
  </w:style>
  <w:style w:type="character" w:styleId="991" w:customStyle="1">
    <w:name w:val="脚注引用1"/>
    <w:uiPriority w:val="0"/>
    <w:qFormat/>
    <w:rPr>
      <w:rFonts w:ascii="Times New Roman" w:hAnsi="Times New Roman" w:eastAsia="宋体" w:cs="Times New Roman"/>
      <w:vertAlign w:val="superscript"/>
    </w:rPr>
  </w:style>
  <w:style w:type="character" w:styleId="992" w:customStyle="1">
    <w:name w:val="尾注文本 字符"/>
    <w:link w:val="993"/>
    <w:uiPriority w:val="0"/>
    <w:qFormat/>
    <w:rPr>
      <w:rFonts w:ascii="Times New Roman" w:hAnsi="Times New Roman" w:eastAsia="宋体" w:cs="Times New Roman"/>
      <w:sz w:val="20"/>
    </w:rPr>
  </w:style>
  <w:style w:type="paragraph" w:styleId="993" w:customStyle="1">
    <w:name w:val="尾注文本1"/>
    <w:basedOn w:val="852"/>
    <w:link w:val="992"/>
    <w:uiPriority w:val="0"/>
    <w:qFormat/>
    <w:rPr>
      <w:sz w:val="20"/>
    </w:rPr>
  </w:style>
  <w:style w:type="character" w:styleId="994" w:customStyle="1">
    <w:name w:val="超链接11"/>
    <w:uiPriority w:val="0"/>
    <w:qFormat/>
    <w:rPr>
      <w:rFonts w:ascii="Times New Roman" w:hAnsi="Times New Roman" w:eastAsia="宋体" w:cs="Times New Roman"/>
      <w:color w:val="0000ff"/>
      <w:u w:val="single"/>
    </w:rPr>
  </w:style>
  <w:style w:type="character" w:styleId="995" w:customStyle="1">
    <w:name w:val="Heading 9 Char_6076de4b-579b-46a8-aabd-50aeeceff12a"/>
    <w:link w:val="996"/>
    <w:uiPriority w:val="0"/>
    <w:qFormat/>
    <w:rPr>
      <w:rFonts w:ascii="Arial" w:hAnsi="Arial" w:eastAsia="Arial" w:cs="Arial"/>
      <w:i/>
      <w:iCs/>
      <w:sz w:val="21"/>
      <w:szCs w:val="21"/>
    </w:rPr>
  </w:style>
  <w:style w:type="paragraph" w:styleId="996" w:customStyle="1">
    <w:name w:val="标题 911"/>
    <w:basedOn w:val="852"/>
    <w:next w:val="852"/>
    <w:link w:val="995"/>
    <w:uiPriority w:val="0"/>
    <w:qFormat/>
    <w:pPr>
      <w:keepLines/>
      <w:keepNext/>
      <w:spacing w:before="320" w:after="200"/>
      <w:outlineLvl w:val="8"/>
    </w:pPr>
    <w:rPr>
      <w:rFonts w:ascii="Arial" w:hAnsi="Arial" w:eastAsia="Arial" w:cs="Arial"/>
      <w:i/>
      <w:iCs/>
      <w:szCs w:val="21"/>
    </w:rPr>
  </w:style>
  <w:style w:type="character" w:styleId="997" w:customStyle="1">
    <w:name w:val="尾注引用11"/>
    <w:uiPriority w:val="0"/>
    <w:qFormat/>
    <w:rPr>
      <w:rFonts w:ascii="Times New Roman" w:hAnsi="Times New Roman" w:eastAsia="宋体" w:cs="Times New Roman"/>
      <w:vertAlign w:val="superscript"/>
    </w:rPr>
  </w:style>
  <w:style w:type="character" w:styleId="998" w:customStyle="1">
    <w:name w:val="Footnote Text Char"/>
    <w:link w:val="999"/>
    <w:uiPriority w:val="0"/>
    <w:qFormat/>
    <w:rPr>
      <w:rFonts w:ascii="Times New Roman" w:hAnsi="Times New Roman" w:eastAsia="宋体" w:cs="Times New Roman"/>
      <w:sz w:val="18"/>
    </w:rPr>
  </w:style>
  <w:style w:type="paragraph" w:styleId="999" w:customStyle="1">
    <w:name w:val="脚注文本12"/>
    <w:basedOn w:val="852"/>
    <w:link w:val="998"/>
    <w:uiPriority w:val="0"/>
    <w:qFormat/>
    <w:pPr>
      <w:spacing w:after="40"/>
    </w:pPr>
    <w:rPr>
      <w:sz w:val="18"/>
    </w:rPr>
  </w:style>
  <w:style w:type="character" w:styleId="1000" w:customStyle="1">
    <w:name w:val="Heading 3 Char_c0a1f36e-5b13-4afa-8aed-b8aadc56324b"/>
    <w:link w:val="1001"/>
    <w:uiPriority w:val="0"/>
    <w:qFormat/>
    <w:rPr>
      <w:rFonts w:ascii="Arial" w:hAnsi="Arial" w:eastAsia="Arial" w:cs="Arial"/>
      <w:sz w:val="30"/>
      <w:szCs w:val="30"/>
    </w:rPr>
  </w:style>
  <w:style w:type="paragraph" w:styleId="1001" w:customStyle="1">
    <w:name w:val="标题 311"/>
    <w:basedOn w:val="852"/>
    <w:next w:val="852"/>
    <w:link w:val="1000"/>
    <w:uiPriority w:val="0"/>
    <w:qFormat/>
    <w:pPr>
      <w:keepLines/>
      <w:keepNext/>
      <w:spacing w:before="320" w:after="200"/>
      <w:outlineLvl w:val="2"/>
    </w:pPr>
    <w:rPr>
      <w:rFonts w:ascii="Arial" w:hAnsi="Arial" w:eastAsia="Arial" w:cs="Arial"/>
      <w:sz w:val="30"/>
      <w:szCs w:val="30"/>
    </w:rPr>
  </w:style>
  <w:style w:type="character" w:styleId="1002" w:customStyle="1">
    <w:name w:val="超链接12"/>
    <w:uiPriority w:val="0"/>
    <w:qFormat/>
    <w:rPr>
      <w:rFonts w:ascii="Times New Roman" w:hAnsi="Times New Roman" w:eastAsia="宋体" w:cs="Times New Roman"/>
      <w:color w:val="0000ff"/>
      <w:u w:val="single"/>
    </w:rPr>
  </w:style>
  <w:style w:type="character" w:styleId="1003" w:customStyle="1">
    <w:name w:val="Header Char_9a3268ba-13d4-426a-ad30-9bdf1b7b82c6"/>
    <w:link w:val="1004"/>
    <w:uiPriority w:val="0"/>
    <w:qFormat/>
    <w:rPr>
      <w:rFonts w:ascii="Times New Roman" w:hAnsi="Times New Roman" w:eastAsia="宋体" w:cs="Times New Roman"/>
    </w:rPr>
  </w:style>
  <w:style w:type="paragraph" w:styleId="1004" w:customStyle="1">
    <w:name w:val="页眉12"/>
    <w:basedOn w:val="852"/>
    <w:link w:val="1003"/>
    <w:uiPriority w:val="0"/>
    <w:qFormat/>
    <w:pPr>
      <w:tabs>
        <w:tab w:val="center" w:pos="7143" w:leader="none"/>
        <w:tab w:val="right" w:pos="14287" w:leader="none"/>
      </w:tabs>
    </w:pPr>
  </w:style>
  <w:style w:type="character" w:styleId="1005" w:customStyle="1">
    <w:name w:val="标题 7 字符"/>
    <w:link w:val="1006"/>
    <w:uiPriority w:val="0"/>
    <w:qFormat/>
    <w:rPr>
      <w:rFonts w:ascii="Arial" w:hAnsi="Arial" w:eastAsia="Arial" w:cs="Arial"/>
      <w:b/>
      <w:bCs/>
      <w:i/>
      <w:iCs/>
      <w:sz w:val="22"/>
      <w:szCs w:val="22"/>
    </w:rPr>
  </w:style>
  <w:style w:type="paragraph" w:styleId="1006" w:customStyle="1">
    <w:name w:val="标题 71"/>
    <w:basedOn w:val="852"/>
    <w:next w:val="852"/>
    <w:link w:val="1005"/>
    <w:uiPriority w:val="0"/>
    <w:qFormat/>
    <w:pPr>
      <w:keepLines/>
      <w:keepNext/>
      <w:spacing w:before="320" w:after="200"/>
      <w:outlineLvl w:val="6"/>
    </w:pPr>
    <w:rPr>
      <w:rFonts w:ascii="Arial" w:hAnsi="Arial" w:eastAsia="Arial" w:cs="Arial"/>
      <w:b/>
      <w:bCs/>
      <w:i/>
      <w:iCs/>
      <w:sz w:val="22"/>
      <w:szCs w:val="22"/>
    </w:rPr>
  </w:style>
  <w:style w:type="character" w:styleId="1007" w:customStyle="1">
    <w:name w:val="Footer Char_c9368a12-fdba-451e-b96a-cb03134ed7f5"/>
    <w:uiPriority w:val="0"/>
    <w:qFormat/>
    <w:rPr>
      <w:rFonts w:ascii="Times New Roman" w:hAnsi="Times New Roman" w:eastAsia="宋体" w:cs="Times New Roman"/>
    </w:rPr>
  </w:style>
  <w:style w:type="character" w:styleId="1008" w:customStyle="1">
    <w:name w:val="超链接2"/>
    <w:uiPriority w:val="0"/>
    <w:qFormat/>
    <w:rPr>
      <w:rFonts w:ascii="Times New Roman" w:hAnsi="Times New Roman" w:eastAsia="宋体" w:cs="Times New Roman"/>
      <w:color w:val="0000ff"/>
      <w:u w:val="single"/>
    </w:rPr>
  </w:style>
  <w:style w:type="character" w:styleId="1009" w:customStyle="1">
    <w:name w:val="明显引用 字符"/>
    <w:link w:val="1010"/>
    <w:uiPriority w:val="0"/>
    <w:qFormat/>
    <w:rPr>
      <w:rFonts w:ascii="Times New Roman" w:hAnsi="Times New Roman" w:eastAsia="宋体" w:cs="Times New Roman"/>
      <w:i/>
    </w:rPr>
  </w:style>
  <w:style w:type="paragraph" w:styleId="1010" w:customStyle="1">
    <w:name w:val="明显引用11"/>
    <w:basedOn w:val="852"/>
    <w:next w:val="852"/>
    <w:link w:val="100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标题 8 字符"/>
    <w:link w:val="1012"/>
    <w:uiPriority w:val="0"/>
    <w:qFormat/>
    <w:rPr>
      <w:rFonts w:ascii="Arial" w:hAnsi="Arial" w:eastAsia="Arial" w:cs="Arial"/>
      <w:i/>
      <w:iCs/>
      <w:sz w:val="22"/>
      <w:szCs w:val="22"/>
    </w:rPr>
  </w:style>
  <w:style w:type="paragraph" w:styleId="1012" w:customStyle="1">
    <w:name w:val="标题 81"/>
    <w:basedOn w:val="852"/>
    <w:next w:val="852"/>
    <w:link w:val="1011"/>
    <w:uiPriority w:val="0"/>
    <w:qFormat/>
    <w:pPr>
      <w:keepLines/>
      <w:keepNext/>
      <w:spacing w:before="320" w:after="200"/>
      <w:outlineLvl w:val="7"/>
    </w:pPr>
    <w:rPr>
      <w:rFonts w:ascii="Arial" w:hAnsi="Arial" w:eastAsia="Arial" w:cs="Arial"/>
      <w:i/>
      <w:iCs/>
      <w:sz w:val="22"/>
      <w:szCs w:val="22"/>
    </w:rPr>
  </w:style>
  <w:style w:type="character" w:styleId="1013" w:customStyle="1">
    <w:name w:val="默认段落字体12"/>
    <w:uiPriority w:val="0"/>
    <w:qFormat/>
    <w:rPr>
      <w:rFonts w:ascii="Times New Roman" w:hAnsi="Times New Roman" w:eastAsia="宋体" w:cs="Times New Roman"/>
    </w:rPr>
  </w:style>
  <w:style w:type="character" w:styleId="1014" w:customStyle="1">
    <w:name w:val="批注框文本 字符"/>
    <w:link w:val="1015"/>
    <w:uiPriority w:val="0"/>
    <w:qFormat/>
    <w:rPr>
      <w:rFonts w:ascii="Times New Roman" w:hAnsi="Times New Roman" w:eastAsia="宋体" w:cs="Times New Roman"/>
      <w:sz w:val="18"/>
      <w:szCs w:val="18"/>
    </w:rPr>
  </w:style>
  <w:style w:type="paragraph" w:styleId="1015" w:customStyle="1">
    <w:name w:val="批注框文本1"/>
    <w:basedOn w:val="852"/>
    <w:link w:val="1014"/>
    <w:uiPriority w:val="0"/>
    <w:qFormat/>
    <w:rPr>
      <w:sz w:val="18"/>
      <w:szCs w:val="18"/>
    </w:rPr>
  </w:style>
  <w:style w:type="character" w:styleId="1016" w:customStyle="1">
    <w:name w:val="Heading 2 Char_1743c365-d700-47b3-b37d-12138ca16f61"/>
    <w:link w:val="1017"/>
    <w:uiPriority w:val="0"/>
    <w:qFormat/>
    <w:rPr>
      <w:rFonts w:ascii="Arial" w:hAnsi="Arial" w:eastAsia="Arial" w:cs="Arial"/>
      <w:sz w:val="34"/>
    </w:rPr>
  </w:style>
  <w:style w:type="paragraph" w:styleId="1017" w:customStyle="1">
    <w:name w:val="标题 212"/>
    <w:basedOn w:val="852"/>
    <w:next w:val="852"/>
    <w:link w:val="1016"/>
    <w:uiPriority w:val="0"/>
    <w:qFormat/>
    <w:pPr>
      <w:keepLines/>
      <w:keepNext/>
      <w:spacing w:before="360" w:after="200"/>
      <w:outlineLvl w:val="1"/>
    </w:pPr>
    <w:rPr>
      <w:rFonts w:ascii="Arial" w:hAnsi="Arial" w:eastAsia="Arial" w:cs="Arial"/>
      <w:sz w:val="34"/>
    </w:rPr>
  </w:style>
  <w:style w:type="character" w:styleId="1018" w:customStyle="1">
    <w:name w:val="标题 1 字符"/>
    <w:uiPriority w:val="0"/>
    <w:qFormat/>
    <w:rPr>
      <w:rFonts w:ascii="Arial" w:hAnsi="Arial" w:eastAsia="Arial" w:cs="Arial"/>
      <w:sz w:val="40"/>
      <w:szCs w:val="40"/>
    </w:rPr>
  </w:style>
  <w:style w:type="character" w:styleId="1019" w:customStyle="1">
    <w:name w:val="标题 2 字符"/>
    <w:link w:val="1020"/>
    <w:uiPriority w:val="0"/>
    <w:qFormat/>
    <w:rPr>
      <w:rFonts w:ascii="Arial" w:hAnsi="Arial" w:eastAsia="Arial" w:cs="Arial"/>
      <w:sz w:val="34"/>
    </w:rPr>
  </w:style>
  <w:style w:type="paragraph" w:styleId="1020" w:customStyle="1">
    <w:name w:val="标题 211"/>
    <w:basedOn w:val="1021"/>
    <w:next w:val="898"/>
    <w:link w:val="1019"/>
    <w:uiPriority w:val="0"/>
    <w:qFormat/>
    <w:pPr>
      <w:keepLines/>
      <w:keepNext/>
      <w:spacing w:before="360" w:after="200"/>
      <w:outlineLvl w:val="1"/>
    </w:pPr>
    <w:rPr>
      <w:rFonts w:ascii="Arial" w:hAnsi="Arial" w:eastAsia="Arial" w:cs="Arial"/>
      <w:sz w:val="34"/>
    </w:rPr>
  </w:style>
  <w:style w:type="paragraph" w:styleId="1021" w:customStyle="1">
    <w:name w:val="正文1111"/>
    <w:next w:val="1020"/>
    <w:uiPriority w:val="0"/>
    <w:qFormat/>
    <w:pPr>
      <w:jc w:val="both"/>
      <w:widowControl w:val="off"/>
    </w:pPr>
    <w:rPr>
      <w:rFonts w:ascii="Times New Roman" w:hAnsi="Times New Roman" w:eastAsia="宋体" w:cs="Times New Roman"/>
      <w:sz w:val="21"/>
      <w:szCs w:val="24"/>
      <w:lang w:val="en-US" w:eastAsia="zh-CN" w:bidi="ar-SA"/>
    </w:rPr>
  </w:style>
  <w:style w:type="character" w:styleId="1022" w:customStyle="1">
    <w:name w:val="font21"/>
    <w:uiPriority w:val="0"/>
    <w:qFormat/>
    <w:rPr>
      <w:rFonts w:hint="eastAsia" w:ascii="宋体" w:hAnsi="宋体" w:eastAsia="宋体" w:cs="宋体"/>
      <w:b/>
      <w:bCs/>
      <w:color w:val="000000"/>
      <w:sz w:val="28"/>
      <w:szCs w:val="28"/>
      <w:u w:val="none"/>
    </w:rPr>
  </w:style>
  <w:style w:type="character" w:styleId="1023" w:customStyle="1">
    <w:name w:val="Heading 7 Char_dbbf7fc6-722d-41fb-99a8-bcca7f7fc0ae"/>
    <w:link w:val="1024"/>
    <w:uiPriority w:val="0"/>
    <w:qFormat/>
    <w:rPr>
      <w:rFonts w:ascii="Arial" w:hAnsi="Arial" w:eastAsia="Arial" w:cs="Arial"/>
      <w:b/>
      <w:bCs/>
      <w:i/>
      <w:iCs/>
      <w:sz w:val="22"/>
      <w:szCs w:val="22"/>
    </w:rPr>
  </w:style>
  <w:style w:type="paragraph" w:styleId="1024" w:customStyle="1">
    <w:name w:val="标题 711"/>
    <w:basedOn w:val="852"/>
    <w:next w:val="852"/>
    <w:link w:val="1023"/>
    <w:uiPriority w:val="0"/>
    <w:qFormat/>
    <w:pPr>
      <w:keepLines/>
      <w:keepNext/>
      <w:spacing w:before="320" w:after="200"/>
      <w:outlineLvl w:val="6"/>
    </w:pPr>
    <w:rPr>
      <w:rFonts w:ascii="Arial" w:hAnsi="Arial" w:eastAsia="Arial" w:cs="Arial"/>
      <w:b/>
      <w:bCs/>
      <w:i/>
      <w:iCs/>
      <w:sz w:val="22"/>
      <w:szCs w:val="22"/>
    </w:rPr>
  </w:style>
  <w:style w:type="character" w:styleId="1025" w:customStyle="1">
    <w:name w:val="Heading 6 Char_840aa25f-b847-4ac5-9212-a9ec8369eb09"/>
    <w:link w:val="1026"/>
    <w:uiPriority w:val="0"/>
    <w:qFormat/>
    <w:rPr>
      <w:rFonts w:ascii="Arial" w:hAnsi="Arial" w:eastAsia="Arial" w:cs="Arial"/>
      <w:b/>
      <w:bCs/>
      <w:sz w:val="22"/>
      <w:szCs w:val="22"/>
    </w:rPr>
  </w:style>
  <w:style w:type="paragraph" w:styleId="1026" w:customStyle="1">
    <w:name w:val="标题 611"/>
    <w:basedOn w:val="852"/>
    <w:next w:val="852"/>
    <w:link w:val="1025"/>
    <w:uiPriority w:val="0"/>
    <w:qFormat/>
    <w:pPr>
      <w:keepLines/>
      <w:keepNext/>
      <w:spacing w:before="320" w:after="200"/>
      <w:outlineLvl w:val="5"/>
    </w:pPr>
    <w:rPr>
      <w:rFonts w:ascii="Arial" w:hAnsi="Arial" w:eastAsia="Arial" w:cs="Arial"/>
      <w:b/>
      <w:bCs/>
      <w:sz w:val="22"/>
      <w:szCs w:val="22"/>
    </w:rPr>
  </w:style>
  <w:style w:type="character" w:styleId="1027" w:customStyle="1">
    <w:name w:val="脚注引用11"/>
    <w:uiPriority w:val="0"/>
    <w:qFormat/>
    <w:rPr>
      <w:rFonts w:ascii="Times New Roman" w:hAnsi="Times New Roman" w:eastAsia="宋体" w:cs="Times New Roman"/>
      <w:vertAlign w:val="superscript"/>
    </w:rPr>
  </w:style>
  <w:style w:type="character" w:styleId="1028" w:customStyle="1">
    <w:name w:val="页眉 字符"/>
    <w:link w:val="1029"/>
    <w:uiPriority w:val="0"/>
    <w:qFormat/>
    <w:rPr>
      <w:rFonts w:ascii="Times New Roman" w:hAnsi="Times New Roman" w:eastAsia="宋体" w:cs="Times New Roman"/>
    </w:rPr>
  </w:style>
  <w:style w:type="paragraph" w:styleId="1029" w:customStyle="1">
    <w:name w:val="页眉11"/>
    <w:basedOn w:val="852"/>
    <w:link w:val="1028"/>
    <w:uiPriority w:val="0"/>
    <w:qFormat/>
    <w:pPr>
      <w:tabs>
        <w:tab w:val="center" w:pos="7143" w:leader="none"/>
        <w:tab w:val="right" w:pos="14287" w:leader="none"/>
      </w:tabs>
    </w:pPr>
  </w:style>
  <w:style w:type="character" w:styleId="1030" w:customStyle="1">
    <w:name w:val="默认段落字体11"/>
    <w:uiPriority w:val="0"/>
    <w:qFormat/>
    <w:rPr>
      <w:rFonts w:ascii="Times New Roman" w:hAnsi="Times New Roman" w:eastAsia="宋体" w:cs="Times New Roman"/>
    </w:rPr>
  </w:style>
  <w:style w:type="character" w:styleId="1031" w:customStyle="1">
    <w:name w:val="标题 字符"/>
    <w:link w:val="1032"/>
    <w:uiPriority w:val="0"/>
    <w:qFormat/>
    <w:rPr>
      <w:rFonts w:ascii="Times New Roman" w:hAnsi="Times New Roman" w:eastAsia="宋体" w:cs="Times New Roman"/>
      <w:sz w:val="48"/>
      <w:szCs w:val="48"/>
    </w:rPr>
  </w:style>
  <w:style w:type="paragraph" w:styleId="1032" w:customStyle="1">
    <w:name w:val="标题1"/>
    <w:basedOn w:val="852"/>
    <w:next w:val="852"/>
    <w:link w:val="1031"/>
    <w:uiPriority w:val="0"/>
    <w:qFormat/>
    <w:pPr>
      <w:contextualSpacing/>
      <w:spacing w:before="300" w:after="200"/>
    </w:pPr>
    <w:rPr>
      <w:sz w:val="48"/>
      <w:szCs w:val="48"/>
    </w:rPr>
  </w:style>
  <w:style w:type="character" w:styleId="1033" w:customStyle="1">
    <w:name w:val="font121"/>
    <w:uiPriority w:val="0"/>
    <w:qFormat/>
    <w:rPr>
      <w:rFonts w:hint="eastAsia" w:ascii="宋体" w:hAnsi="宋体" w:eastAsia="宋体" w:cs="宋体"/>
      <w:color w:val="000000"/>
      <w:sz w:val="18"/>
      <w:szCs w:val="18"/>
      <w:u w:val="none"/>
    </w:rPr>
  </w:style>
  <w:style w:type="character" w:styleId="1034" w:customStyle="1">
    <w:name w:val="Heading 1 Char_266bf9a4-41e9-4c63-9378-4b914de38d5e"/>
    <w:link w:val="1035"/>
    <w:uiPriority w:val="0"/>
    <w:qFormat/>
    <w:rPr>
      <w:rFonts w:ascii="Arial" w:hAnsi="Arial" w:eastAsia="Arial" w:cs="Arial"/>
      <w:sz w:val="40"/>
      <w:szCs w:val="40"/>
    </w:rPr>
  </w:style>
  <w:style w:type="paragraph" w:styleId="1035" w:customStyle="1">
    <w:name w:val="标题 112"/>
    <w:basedOn w:val="852"/>
    <w:next w:val="852"/>
    <w:link w:val="1034"/>
    <w:uiPriority w:val="0"/>
    <w:qFormat/>
    <w:pPr>
      <w:keepLines/>
      <w:keepNext/>
      <w:spacing w:before="480" w:after="200"/>
      <w:outlineLvl w:val="0"/>
    </w:pPr>
    <w:rPr>
      <w:rFonts w:ascii="Arial" w:hAnsi="Arial" w:eastAsia="Arial" w:cs="Arial"/>
      <w:sz w:val="40"/>
      <w:szCs w:val="40"/>
    </w:rPr>
  </w:style>
  <w:style w:type="character" w:styleId="1036" w:customStyle="1">
    <w:name w:val="NormalCharacter1"/>
    <w:uiPriority w:val="0"/>
    <w:qFormat/>
    <w:rPr>
      <w:rFonts w:ascii="Times New Roman" w:hAnsi="Times New Roman" w:eastAsia="宋体" w:cs="Times New Roman"/>
      <w:sz w:val="28"/>
      <w:lang w:val="en-US" w:eastAsia="zh-CN" w:bidi="ar-SA"/>
    </w:rPr>
  </w:style>
  <w:style w:type="character" w:styleId="1037" w:customStyle="1">
    <w:name w:val="Title Char_b7599942-a54c-4621-8948-069c6b6818da"/>
    <w:link w:val="1038"/>
    <w:uiPriority w:val="0"/>
    <w:qFormat/>
    <w:rPr>
      <w:rFonts w:ascii="Times New Roman" w:hAnsi="Times New Roman" w:eastAsia="宋体" w:cs="Times New Roman"/>
      <w:sz w:val="48"/>
      <w:szCs w:val="48"/>
    </w:rPr>
  </w:style>
  <w:style w:type="paragraph" w:styleId="1038" w:customStyle="1">
    <w:name w:val="标题11"/>
    <w:basedOn w:val="852"/>
    <w:next w:val="852"/>
    <w:link w:val="1037"/>
    <w:uiPriority w:val="0"/>
    <w:qFormat/>
    <w:pPr>
      <w:contextualSpacing/>
      <w:spacing w:before="300" w:after="200"/>
    </w:pPr>
    <w:rPr>
      <w:sz w:val="48"/>
      <w:szCs w:val="48"/>
    </w:rPr>
  </w:style>
  <w:style w:type="character" w:styleId="1039" w:customStyle="1">
    <w:name w:val="默认段落字体1"/>
    <w:uiPriority w:val="0"/>
    <w:qFormat/>
    <w:rPr>
      <w:rFonts w:ascii="Times New Roman" w:hAnsi="Times New Roman" w:eastAsia="宋体" w:cs="Times New Roman"/>
    </w:rPr>
  </w:style>
  <w:style w:type="character" w:styleId="1040" w:customStyle="1">
    <w:name w:val="Quote Char_633b1a14-41f5-4333-b896-67ef2766c65f"/>
    <w:link w:val="1041"/>
    <w:uiPriority w:val="0"/>
    <w:qFormat/>
    <w:rPr>
      <w:rFonts w:ascii="Times New Roman" w:hAnsi="Times New Roman" w:eastAsia="宋体" w:cs="Times New Roman"/>
      <w:i/>
    </w:rPr>
  </w:style>
  <w:style w:type="paragraph" w:styleId="1041" w:customStyle="1">
    <w:name w:val="引用2"/>
    <w:basedOn w:val="852"/>
    <w:next w:val="852"/>
    <w:link w:val="1040"/>
    <w:uiPriority w:val="0"/>
    <w:qFormat/>
    <w:pPr>
      <w:ind w:left="720" w:right="720"/>
    </w:pPr>
    <w:rPr>
      <w:i/>
    </w:rPr>
  </w:style>
  <w:style w:type="character" w:styleId="1042" w:customStyle="1">
    <w:name w:val="NormalCharacter11"/>
    <w:uiPriority w:val="0"/>
    <w:qFormat/>
    <w:rPr>
      <w:rFonts w:ascii="Times New Roman" w:hAnsi="Times New Roman" w:eastAsia="宋体" w:cs="Times New Roman"/>
      <w:sz w:val="21"/>
      <w:szCs w:val="24"/>
      <w:lang w:val="en-US" w:eastAsia="zh-CN" w:bidi="ar-SA"/>
    </w:rPr>
  </w:style>
  <w:style w:type="character" w:styleId="1043" w:customStyle="1">
    <w:name w:val="font41"/>
    <w:uiPriority w:val="0"/>
    <w:qFormat/>
    <w:rPr>
      <w:rFonts w:ascii="Arial" w:hAnsi="Arial" w:eastAsia="宋体" w:cs="Arial"/>
      <w:color w:val="000000"/>
      <w:sz w:val="22"/>
      <w:szCs w:val="22"/>
      <w:u w:val="none"/>
    </w:rPr>
  </w:style>
  <w:style w:type="character" w:styleId="1044" w:customStyle="1">
    <w:name w:val="标题 5 字符"/>
    <w:link w:val="1045"/>
    <w:uiPriority w:val="0"/>
    <w:qFormat/>
    <w:rPr>
      <w:rFonts w:ascii="Arial" w:hAnsi="Arial" w:eastAsia="Arial" w:cs="Arial"/>
      <w:b/>
      <w:bCs/>
      <w:sz w:val="24"/>
      <w:szCs w:val="24"/>
    </w:rPr>
  </w:style>
  <w:style w:type="paragraph" w:styleId="1045" w:customStyle="1">
    <w:name w:val="标题 51"/>
    <w:basedOn w:val="852"/>
    <w:next w:val="852"/>
    <w:link w:val="1044"/>
    <w:uiPriority w:val="0"/>
    <w:qFormat/>
    <w:pPr>
      <w:keepLines/>
      <w:keepNext/>
      <w:spacing w:before="320" w:after="200"/>
      <w:outlineLvl w:val="4"/>
    </w:pPr>
    <w:rPr>
      <w:rFonts w:ascii="Arial" w:hAnsi="Arial" w:eastAsia="Arial" w:cs="Arial"/>
      <w:b/>
      <w:bCs/>
      <w:sz w:val="24"/>
    </w:rPr>
  </w:style>
  <w:style w:type="character" w:styleId="1046" w:customStyle="1">
    <w:name w:val="尾注引用1"/>
    <w:uiPriority w:val="0"/>
    <w:qFormat/>
    <w:rPr>
      <w:rFonts w:ascii="Times New Roman" w:hAnsi="Times New Roman" w:eastAsia="宋体" w:cs="Times New Roman"/>
      <w:vertAlign w:val="superscript"/>
    </w:rPr>
  </w:style>
  <w:style w:type="paragraph" w:styleId="1047" w:customStyle="1">
    <w:name w:val="目录 612"/>
    <w:basedOn w:val="852"/>
    <w:next w:val="852"/>
    <w:uiPriority w:val="0"/>
    <w:qFormat/>
    <w:pPr>
      <w:ind w:left="1417"/>
      <w:spacing w:after="57"/>
    </w:pPr>
  </w:style>
  <w:style w:type="paragraph" w:styleId="1048" w:customStyle="1">
    <w:name w:val="目录 21"/>
    <w:basedOn w:val="852"/>
    <w:next w:val="852"/>
    <w:uiPriority w:val="0"/>
    <w:qFormat/>
    <w:pPr>
      <w:ind w:left="283"/>
      <w:spacing w:after="57"/>
    </w:pPr>
  </w:style>
  <w:style w:type="paragraph" w:styleId="1049" w:customStyle="1">
    <w:name w:val="标题12"/>
    <w:basedOn w:val="852"/>
    <w:next w:val="852"/>
    <w:uiPriority w:val="0"/>
    <w:qFormat/>
    <w:pPr>
      <w:contextualSpacing/>
      <w:spacing w:before="300" w:after="200"/>
    </w:pPr>
    <w:rPr>
      <w:sz w:val="48"/>
      <w:szCs w:val="48"/>
    </w:rPr>
  </w:style>
  <w:style w:type="paragraph" w:styleId="1050" w:customStyle="1">
    <w:name w:val="正文文本12"/>
    <w:basedOn w:val="852"/>
    <w:next w:val="852"/>
    <w:uiPriority w:val="0"/>
    <w:qFormat/>
    <w:pPr>
      <w:spacing w:after="120"/>
    </w:pPr>
  </w:style>
  <w:style w:type="paragraph" w:styleId="1051" w:customStyle="1">
    <w:name w:val="目录 9111"/>
    <w:basedOn w:val="852"/>
    <w:next w:val="852"/>
    <w:uiPriority w:val="0"/>
    <w:qFormat/>
    <w:pPr>
      <w:ind w:left="2268"/>
      <w:spacing w:after="57"/>
    </w:pPr>
  </w:style>
  <w:style w:type="paragraph" w:styleId="1052" w:customStyle="1">
    <w:name w:val="目录 31"/>
    <w:basedOn w:val="852"/>
    <w:next w:val="852"/>
    <w:uiPriority w:val="0"/>
    <w:qFormat/>
    <w:pPr>
      <w:ind w:left="567"/>
      <w:spacing w:after="57"/>
    </w:pPr>
  </w:style>
  <w:style w:type="paragraph" w:styleId="1053" w:customStyle="1">
    <w:name w:val="页脚13"/>
    <w:basedOn w:val="852"/>
    <w:uiPriority w:val="0"/>
    <w:qFormat/>
    <w:pPr>
      <w:tabs>
        <w:tab w:val="center" w:pos="7143" w:leader="none"/>
        <w:tab w:val="right" w:pos="14287" w:leader="none"/>
      </w:tabs>
    </w:pPr>
  </w:style>
  <w:style w:type="paragraph" w:styleId="1054" w:customStyle="1">
    <w:name w:val="EnvelopeReturn11"/>
    <w:basedOn w:val="852"/>
    <w:uiPriority w:val="0"/>
    <w:qFormat/>
    <w:rPr>
      <w:rFonts w:ascii="Arial" w:hAnsi="Arial"/>
    </w:rPr>
  </w:style>
  <w:style w:type="paragraph" w:styleId="1055" w:customStyle="1">
    <w:name w:val="目录 91"/>
    <w:basedOn w:val="852"/>
    <w:next w:val="852"/>
    <w:uiPriority w:val="0"/>
    <w:qFormat/>
    <w:pPr>
      <w:ind w:left="2268"/>
      <w:spacing w:after="57"/>
    </w:pPr>
  </w:style>
  <w:style w:type="paragraph" w:styleId="1056" w:customStyle="1">
    <w:name w:val="目录 71"/>
    <w:basedOn w:val="852"/>
    <w:next w:val="852"/>
    <w:uiPriority w:val="0"/>
    <w:qFormat/>
    <w:pPr>
      <w:ind w:left="1701"/>
      <w:spacing w:after="57"/>
    </w:pPr>
  </w:style>
  <w:style w:type="paragraph" w:styleId="1057" w:customStyle="1">
    <w:name w:val="目录 411"/>
    <w:basedOn w:val="852"/>
    <w:next w:val="852"/>
    <w:uiPriority w:val="0"/>
    <w:qFormat/>
    <w:pPr>
      <w:ind w:left="850"/>
      <w:spacing w:after="57"/>
    </w:pPr>
  </w:style>
  <w:style w:type="paragraph" w:styleId="1058" w:customStyle="1">
    <w:name w:val="页脚1"/>
    <w:basedOn w:val="852"/>
    <w:uiPriority w:val="0"/>
    <w:qFormat/>
    <w:pPr>
      <w:jc w:val="left"/>
      <w:tabs>
        <w:tab w:val="center" w:pos="4153" w:leader="none"/>
        <w:tab w:val="right" w:pos="8306" w:leader="none"/>
      </w:tabs>
    </w:pPr>
    <w:rPr>
      <w:sz w:val="18"/>
      <w:szCs w:val="18"/>
    </w:rPr>
  </w:style>
  <w:style w:type="paragraph" w:styleId="1059" w:customStyle="1">
    <w:name w:val="图表目录111"/>
    <w:basedOn w:val="852"/>
    <w:next w:val="852"/>
    <w:uiPriority w:val="0"/>
    <w:qFormat/>
  </w:style>
  <w:style w:type="paragraph" w:styleId="1060" w:customStyle="1">
    <w:name w:val="题注1"/>
    <w:basedOn w:val="852"/>
    <w:next w:val="852"/>
    <w:uiPriority w:val="0"/>
    <w:qFormat/>
    <w:pPr>
      <w:spacing w:line="276" w:lineRule="auto"/>
    </w:pPr>
    <w:rPr>
      <w:b/>
      <w:bCs/>
      <w:color w:val="4f81bd"/>
      <w:sz w:val="18"/>
      <w:szCs w:val="18"/>
    </w:rPr>
  </w:style>
  <w:style w:type="paragraph" w:styleId="1061" w:customStyle="1">
    <w:name w:val="页眉13"/>
    <w:basedOn w:val="852"/>
    <w:uiPriority w:val="0"/>
    <w:qFormat/>
    <w:pPr>
      <w:tabs>
        <w:tab w:val="center" w:pos="7143" w:leader="none"/>
        <w:tab w:val="right" w:pos="14287" w:leader="none"/>
      </w:tabs>
    </w:pPr>
  </w:style>
  <w:style w:type="paragraph" w:styleId="1062" w:customStyle="1">
    <w:name w:val="目录 911"/>
    <w:basedOn w:val="852"/>
    <w:next w:val="852"/>
    <w:uiPriority w:val="0"/>
    <w:qFormat/>
    <w:pPr>
      <w:ind w:left="2268"/>
      <w:spacing w:after="57"/>
    </w:pPr>
  </w:style>
  <w:style w:type="paragraph" w:styleId="1063" w:customStyle="1">
    <w:name w:val="TOC Heading_a646658d-cdbc-4fe6-b9dc-2cd03b3aca7f"/>
    <w:uiPriority w:val="0"/>
    <w:qFormat/>
    <w:rPr>
      <w:rFonts w:ascii="Calibri" w:hAnsi="Calibri" w:eastAsia="宋体" w:cs="Times New Roman"/>
      <w:lang w:val="en-US" w:eastAsia="zh-CN" w:bidi="ar-SA"/>
    </w:rPr>
  </w:style>
  <w:style w:type="paragraph" w:styleId="1064" w:customStyle="1">
    <w:name w:val="副标题12"/>
    <w:basedOn w:val="852"/>
    <w:next w:val="852"/>
    <w:uiPriority w:val="0"/>
    <w:qFormat/>
    <w:pPr>
      <w:spacing w:before="200" w:after="200"/>
    </w:pPr>
    <w:rPr>
      <w:sz w:val="24"/>
    </w:rPr>
  </w:style>
  <w:style w:type="paragraph" w:styleId="1065" w:customStyle="1">
    <w:name w:val="正文缩进11"/>
    <w:basedOn w:val="852"/>
    <w:uiPriority w:val="0"/>
    <w:qFormat/>
    <w:pPr>
      <w:ind w:firstLine="420"/>
    </w:pPr>
  </w:style>
  <w:style w:type="paragraph" w:styleId="1066" w:customStyle="1">
    <w:name w:val="批注文字11"/>
    <w:basedOn w:val="852"/>
    <w:uiPriority w:val="0"/>
    <w:qFormat/>
    <w:pPr>
      <w:jc w:val="left"/>
    </w:pPr>
  </w:style>
  <w:style w:type="paragraph" w:styleId="1067" w:customStyle="1">
    <w:name w:val="BodyTextIndent1"/>
    <w:basedOn w:val="852"/>
    <w:next w:val="1068"/>
    <w:uiPriority w:val="0"/>
    <w:qFormat/>
    <w:pPr>
      <w:ind w:left="420"/>
      <w:spacing w:after="120"/>
    </w:pPr>
  </w:style>
  <w:style w:type="paragraph" w:styleId="1068" w:customStyle="1">
    <w:name w:val="EnvelopeReturn1"/>
    <w:basedOn w:val="852"/>
    <w:uiPriority w:val="0"/>
    <w:qFormat/>
    <w:rPr>
      <w:rFonts w:ascii="Arial" w:hAnsi="Arial"/>
    </w:rPr>
  </w:style>
  <w:style w:type="paragraph" w:styleId="1069" w:customStyle="1">
    <w:name w:val="题注11"/>
    <w:basedOn w:val="852"/>
    <w:next w:val="852"/>
    <w:uiPriority w:val="0"/>
    <w:qFormat/>
    <w:pPr>
      <w:spacing w:line="276" w:lineRule="auto"/>
    </w:pPr>
    <w:rPr>
      <w:b/>
      <w:bCs/>
      <w:color w:val="4f81bd"/>
      <w:sz w:val="18"/>
      <w:szCs w:val="18"/>
    </w:rPr>
  </w:style>
  <w:style w:type="paragraph" w:styleId="1070" w:customStyle="1">
    <w:name w:val="目录 811"/>
    <w:basedOn w:val="852"/>
    <w:next w:val="852"/>
    <w:uiPriority w:val="0"/>
    <w:qFormat/>
    <w:pPr>
      <w:ind w:left="1984"/>
      <w:spacing w:after="57"/>
    </w:pPr>
  </w:style>
  <w:style w:type="paragraph" w:styleId="1071" w:customStyle="1">
    <w:name w:val="尾注文本12"/>
    <w:basedOn w:val="852"/>
    <w:uiPriority w:val="0"/>
    <w:qFormat/>
    <w:rPr>
      <w:sz w:val="20"/>
    </w:rPr>
  </w:style>
  <w:style w:type="paragraph" w:styleId="1072" w:customStyle="1">
    <w:name w:val="目录 32"/>
    <w:basedOn w:val="852"/>
    <w:next w:val="852"/>
    <w:uiPriority w:val="0"/>
    <w:qFormat/>
    <w:pPr>
      <w:ind w:left="567"/>
      <w:spacing w:after="57"/>
    </w:pPr>
  </w:style>
  <w:style w:type="paragraph" w:styleId="1073" w:customStyle="1">
    <w:name w:val="目录 311"/>
    <w:basedOn w:val="852"/>
    <w:next w:val="852"/>
    <w:uiPriority w:val="0"/>
    <w:qFormat/>
    <w:pPr>
      <w:ind w:left="567"/>
      <w:spacing w:after="57"/>
    </w:pPr>
  </w:style>
  <w:style w:type="paragraph" w:styleId="1074" w:customStyle="1">
    <w:name w:val="列表段落2"/>
    <w:basedOn w:val="852"/>
    <w:uiPriority w:val="0"/>
    <w:qFormat/>
    <w:pPr>
      <w:contextualSpacing/>
      <w:ind w:left="720"/>
    </w:pPr>
  </w:style>
  <w:style w:type="paragraph" w:styleId="1075" w:customStyle="1">
    <w:name w:val="目录 51"/>
    <w:basedOn w:val="852"/>
    <w:next w:val="852"/>
    <w:uiPriority w:val="0"/>
    <w:qFormat/>
    <w:pPr>
      <w:ind w:left="1134"/>
      <w:spacing w:after="57"/>
    </w:pPr>
  </w:style>
  <w:style w:type="paragraph" w:styleId="1076" w:customStyle="1">
    <w:name w:val="信息标题1"/>
    <w:basedOn w:val="852"/>
    <w:next w:val="1050"/>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77" w:customStyle="1">
    <w:name w:val="UserStyle_0"/>
    <w:basedOn w:val="902"/>
    <w:next w:val="902"/>
    <w:uiPriority w:val="0"/>
    <w:qFormat/>
  </w:style>
  <w:style w:type="paragraph" w:styleId="1078" w:customStyle="1">
    <w:name w:val="目录 611"/>
    <w:basedOn w:val="852"/>
    <w:next w:val="852"/>
    <w:uiPriority w:val="0"/>
    <w:qFormat/>
    <w:pPr>
      <w:ind w:left="1417"/>
      <w:spacing w:after="57"/>
    </w:pPr>
  </w:style>
  <w:style w:type="paragraph" w:styleId="1079" w:customStyle="1">
    <w:name w:val="标题 11"/>
    <w:basedOn w:val="852"/>
    <w:next w:val="852"/>
    <w:uiPriority w:val="0"/>
    <w:qFormat/>
    <w:pPr>
      <w:jc w:val="center"/>
      <w:keepLines/>
      <w:keepNext/>
      <w:spacing w:line="578" w:lineRule="auto"/>
      <w:outlineLvl w:val="0"/>
    </w:pPr>
    <w:rPr>
      <w:rFonts w:eastAsia="新宋体"/>
      <w:b/>
      <w:bCs/>
      <w:sz w:val="30"/>
      <w:szCs w:val="44"/>
    </w:rPr>
  </w:style>
  <w:style w:type="paragraph" w:styleId="1080" w:customStyle="1">
    <w:name w:val="目录 22"/>
    <w:basedOn w:val="852"/>
    <w:next w:val="852"/>
    <w:uiPriority w:val="0"/>
    <w:qFormat/>
    <w:pPr>
      <w:ind w:left="283"/>
      <w:spacing w:after="57"/>
    </w:pPr>
  </w:style>
  <w:style w:type="paragraph" w:styleId="1081" w:customStyle="1">
    <w:name w:val="文本块11"/>
    <w:basedOn w:val="852"/>
    <w:uiPriority w:val="0"/>
    <w:qFormat/>
    <w:pPr>
      <w:ind w:left="1440" w:right="1440"/>
      <w:spacing w:after="120"/>
    </w:pPr>
  </w:style>
  <w:style w:type="paragraph" w:styleId="1082" w:customStyle="1">
    <w:name w:val="目录 711"/>
    <w:basedOn w:val="852"/>
    <w:next w:val="852"/>
    <w:uiPriority w:val="0"/>
    <w:qFormat/>
    <w:pPr>
      <w:ind w:left="1701"/>
      <w:spacing w:after="57"/>
    </w:pPr>
  </w:style>
  <w:style w:type="paragraph" w:styleId="1083" w:customStyle="1">
    <w:name w:val="目录 412"/>
    <w:basedOn w:val="852"/>
    <w:next w:val="852"/>
    <w:uiPriority w:val="0"/>
    <w:qFormat/>
    <w:pPr>
      <w:ind w:left="850"/>
      <w:spacing w:after="57"/>
    </w:pPr>
  </w:style>
  <w:style w:type="paragraph" w:styleId="1084" w:customStyle="1">
    <w:name w:val="索引 51"/>
    <w:basedOn w:val="897"/>
    <w:next w:val="897"/>
    <w:uiPriority w:val="0"/>
    <w:qFormat/>
    <w:pPr>
      <w:ind w:left="798"/>
    </w:pPr>
    <w:rPr>
      <w:rFonts w:ascii="Calibri"/>
    </w:rPr>
  </w:style>
  <w:style w:type="paragraph" w:styleId="1085" w:customStyle="1">
    <w:name w:val="脚注文本1"/>
    <w:basedOn w:val="897"/>
    <w:next w:val="1084"/>
    <w:uiPriority w:val="0"/>
    <w:qFormat/>
    <w:rPr>
      <w:rFonts w:ascii="Times New Roman" w:hAnsi="Times New Roman" w:eastAsia="Times New Roman"/>
      <w:sz w:val="18"/>
      <w:szCs w:val="18"/>
    </w:rPr>
  </w:style>
  <w:style w:type="paragraph" w:styleId="1086">
    <w:name w:val="No Spacing"/>
    <w:uiPriority w:val="0"/>
    <w:qFormat/>
    <w:rPr>
      <w:rFonts w:ascii="Times New Roman" w:hAnsi="Times New Roman" w:eastAsia="宋体" w:cs="Times New Roman"/>
      <w:lang w:val="en-US" w:eastAsia="zh-CN" w:bidi="ar-SA"/>
    </w:rPr>
  </w:style>
  <w:style w:type="paragraph" w:styleId="1087" w:customStyle="1">
    <w:name w:val="目录 812"/>
    <w:basedOn w:val="852"/>
    <w:next w:val="852"/>
    <w:uiPriority w:val="0"/>
    <w:qFormat/>
    <w:pPr>
      <w:ind w:left="1984"/>
      <w:spacing w:after="57"/>
    </w:pPr>
  </w:style>
  <w:style w:type="paragraph" w:styleId="1088" w:customStyle="1">
    <w:name w:val="BodyTextIndent11"/>
    <w:basedOn w:val="852"/>
    <w:next w:val="1054"/>
    <w:uiPriority w:val="0"/>
    <w:qFormat/>
    <w:pPr>
      <w:ind w:left="420"/>
      <w:spacing w:after="120"/>
    </w:pPr>
  </w:style>
  <w:style w:type="paragraph" w:styleId="1089" w:customStyle="1">
    <w:name w:val="标题 111"/>
    <w:basedOn w:val="852"/>
    <w:next w:val="898"/>
    <w:uiPriority w:val="0"/>
    <w:qFormat/>
    <w:pPr>
      <w:keepLines/>
      <w:keepNext/>
      <w:spacing w:before="480" w:after="200"/>
      <w:outlineLvl w:val="0"/>
    </w:pPr>
    <w:rPr>
      <w:rFonts w:ascii="Arial" w:hAnsi="Arial" w:eastAsia="Arial" w:cs="Arial"/>
      <w:sz w:val="40"/>
      <w:szCs w:val="40"/>
    </w:rPr>
  </w:style>
  <w:style w:type="paragraph" w:styleId="1090" w:customStyle="1">
    <w:name w:val="目录 112"/>
    <w:basedOn w:val="852"/>
    <w:next w:val="852"/>
    <w:uiPriority w:val="0"/>
    <w:qFormat/>
    <w:pPr>
      <w:spacing w:after="57"/>
    </w:pPr>
  </w:style>
  <w:style w:type="paragraph" w:styleId="1091" w:customStyle="1">
    <w:name w:val="无间隔2"/>
    <w:uiPriority w:val="0"/>
    <w:qFormat/>
    <w:rPr>
      <w:rFonts w:ascii="Calibri" w:hAnsi="Calibri" w:eastAsia="宋体" w:cs="Times New Roman"/>
      <w:lang w:val="en-US" w:eastAsia="zh-CN" w:bidi="ar-SA"/>
    </w:rPr>
  </w:style>
  <w:style w:type="paragraph" w:styleId="1092" w:customStyle="1">
    <w:name w:val="目录 52"/>
    <w:basedOn w:val="852"/>
    <w:next w:val="852"/>
    <w:uiPriority w:val="0"/>
    <w:qFormat/>
    <w:pPr>
      <w:ind w:left="1134"/>
      <w:spacing w:after="57"/>
    </w:pPr>
  </w:style>
  <w:style w:type="paragraph" w:styleId="1093" w:customStyle="1">
    <w:name w:val="普通(网站)11"/>
    <w:basedOn w:val="852"/>
    <w:uiPriority w:val="0"/>
    <w:qFormat/>
    <w:pPr>
      <w:spacing w:beforeAutospacing="1" w:afterAutospacing="1"/>
    </w:pPr>
  </w:style>
  <w:style w:type="paragraph" w:styleId="1094" w:customStyle="1">
    <w:name w:val="列出段落1"/>
    <w:basedOn w:val="852"/>
    <w:uiPriority w:val="0"/>
    <w:qFormat/>
    <w:pPr>
      <w:contextualSpacing/>
      <w:ind w:left="720"/>
    </w:pPr>
  </w:style>
  <w:style w:type="paragraph" w:styleId="1095" w:customStyle="1">
    <w:name w:val="题注2"/>
    <w:basedOn w:val="852"/>
    <w:next w:val="852"/>
    <w:uiPriority w:val="0"/>
    <w:qFormat/>
    <w:pPr>
      <w:spacing w:line="276" w:lineRule="auto"/>
    </w:pPr>
    <w:rPr>
      <w:b/>
      <w:bCs/>
      <w:color w:val="4f81bd"/>
      <w:sz w:val="18"/>
      <w:szCs w:val="18"/>
    </w:rPr>
  </w:style>
  <w:style w:type="paragraph" w:styleId="1096" w:customStyle="1">
    <w:name w:val="正文缩进2"/>
    <w:basedOn w:val="852"/>
    <w:uiPriority w:val="0"/>
    <w:qFormat/>
    <w:pPr>
      <w:ind w:firstLine="420"/>
    </w:pPr>
  </w:style>
  <w:style w:type="paragraph" w:styleId="1097" w:customStyle="1">
    <w:name w:val="目录 61"/>
    <w:basedOn w:val="852"/>
    <w:next w:val="852"/>
    <w:uiPriority w:val="0"/>
    <w:qFormat/>
    <w:pPr>
      <w:ind w:left="1417"/>
      <w:spacing w:after="57"/>
    </w:pPr>
  </w:style>
  <w:style w:type="paragraph" w:styleId="1098" w:customStyle="1">
    <w:name w:val="脚注文本2"/>
    <w:basedOn w:val="852"/>
    <w:uiPriority w:val="0"/>
    <w:qFormat/>
    <w:pPr>
      <w:spacing w:after="40"/>
    </w:pPr>
    <w:rPr>
      <w:sz w:val="18"/>
    </w:rPr>
  </w:style>
  <w:style w:type="paragraph" w:styleId="1099" w:customStyle="1">
    <w:name w:val="Body text|21"/>
    <w:basedOn w:val="852"/>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100" w:customStyle="1">
    <w:name w:val="标题 21"/>
    <w:basedOn w:val="852"/>
    <w:next w:val="852"/>
    <w:uiPriority w:val="0"/>
    <w:qFormat/>
    <w:pPr>
      <w:jc w:val="left"/>
      <w:keepLines/>
      <w:keepNext/>
      <w:spacing w:before="50"/>
      <w:tabs>
        <w:tab w:val="left" w:pos="0" w:leader="none"/>
      </w:tabs>
    </w:pPr>
    <w:rPr>
      <w:rFonts w:ascii="Arial" w:hAnsi="Arial" w:eastAsia="黑体"/>
      <w:sz w:val="32"/>
      <w:szCs w:val="20"/>
    </w:rPr>
  </w:style>
  <w:style w:type="paragraph" w:styleId="1101" w:customStyle="1">
    <w:name w:val="目录 12"/>
    <w:basedOn w:val="852"/>
    <w:next w:val="852"/>
    <w:uiPriority w:val="0"/>
    <w:qFormat/>
    <w:pPr>
      <w:spacing w:after="57"/>
    </w:pPr>
  </w:style>
  <w:style w:type="paragraph" w:styleId="1102" w:customStyle="1">
    <w:name w:val="目录 41"/>
    <w:basedOn w:val="852"/>
    <w:next w:val="852"/>
    <w:uiPriority w:val="0"/>
    <w:qFormat/>
    <w:pPr>
      <w:ind w:left="850"/>
      <w:spacing w:after="57"/>
    </w:pPr>
  </w:style>
  <w:style w:type="paragraph" w:styleId="1103" w:customStyle="1">
    <w:name w:val="目录 72"/>
    <w:basedOn w:val="852"/>
    <w:next w:val="852"/>
    <w:uiPriority w:val="0"/>
    <w:qFormat/>
    <w:pPr>
      <w:ind w:left="1701"/>
      <w:spacing w:after="57"/>
    </w:pPr>
  </w:style>
  <w:style w:type="paragraph" w:styleId="1104" w:customStyle="1">
    <w:name w:val="正文文本2"/>
    <w:uiPriority w:val="0"/>
    <w:qFormat/>
    <w:pPr>
      <w:jc w:val="both"/>
      <w:spacing w:line="300" w:lineRule="auto"/>
      <w:widowControl w:val="off"/>
    </w:pPr>
    <w:rPr>
      <w:rFonts w:ascii="Times New Roman" w:hAnsi="Times New Roman" w:eastAsia="微软简楷体" w:cs="Times New Roman"/>
      <w:sz w:val="30"/>
      <w:szCs w:val="24"/>
      <w:lang w:val="en-US" w:eastAsia="zh-CN" w:bidi="ar-SA"/>
    </w:rPr>
  </w:style>
  <w:style w:type="paragraph" w:styleId="1105" w:customStyle="1">
    <w:name w:val="目录 211"/>
    <w:basedOn w:val="852"/>
    <w:next w:val="852"/>
    <w:uiPriority w:val="0"/>
    <w:qFormat/>
    <w:pPr>
      <w:ind w:left="283"/>
      <w:spacing w:after="57"/>
    </w:pPr>
  </w:style>
  <w:style w:type="paragraph" w:styleId="1106" w:customStyle="1">
    <w:name w:val="目录 511"/>
    <w:basedOn w:val="852"/>
    <w:next w:val="852"/>
    <w:uiPriority w:val="0"/>
    <w:qFormat/>
    <w:pPr>
      <w:ind w:left="1134"/>
      <w:spacing w:after="57"/>
    </w:pPr>
  </w:style>
  <w:style w:type="paragraph" w:styleId="1107" w:customStyle="1">
    <w:name w:val="目录 81"/>
    <w:basedOn w:val="852"/>
    <w:next w:val="852"/>
    <w:uiPriority w:val="0"/>
    <w:qFormat/>
    <w:pPr>
      <w:ind w:left="1984"/>
      <w:spacing w:after="57"/>
    </w:pPr>
  </w:style>
  <w:style w:type="paragraph" w:styleId="1108" w:customStyle="1">
    <w:name w:val="图表目录1"/>
    <w:basedOn w:val="852"/>
    <w:next w:val="852"/>
    <w:uiPriority w:val="0"/>
    <w:qFormat/>
  </w:style>
  <w:style w:type="paragraph" w:styleId="1109" w:customStyle="1">
    <w:name w:val="普通(网站)1"/>
    <w:basedOn w:val="852"/>
    <w:uiPriority w:val="0"/>
    <w:qFormat/>
    <w:pPr>
      <w:jc w:val="left"/>
      <w:spacing w:before="100" w:beforeAutospacing="1" w:after="100" w:afterAutospacing="1"/>
      <w:widowControl/>
    </w:pPr>
    <w:rPr>
      <w:rFonts w:ascii="宋体" w:hAnsi="宋体" w:cs="宋体"/>
      <w:color w:val="000000"/>
      <w:sz w:val="24"/>
      <w:szCs w:val="20"/>
    </w:rPr>
  </w:style>
  <w:style w:type="paragraph" w:styleId="1110" w:customStyle="1">
    <w:name w:val="页眉1"/>
    <w:basedOn w:val="852"/>
    <w:uiPriority w:val="0"/>
    <w:qFormat/>
    <w:pPr>
      <w:jc w:val="center"/>
      <w:tabs>
        <w:tab w:val="center" w:pos="4153" w:leader="none"/>
        <w:tab w:val="right" w:pos="8306" w:leader="none"/>
      </w:tabs>
      <w:pBdr>
        <w:bottom w:val="single" w:color="000000" w:sz="6" w:space="1"/>
      </w:pBdr>
    </w:pPr>
    <w:rPr>
      <w:sz w:val="18"/>
      <w:szCs w:val="18"/>
    </w:rPr>
  </w:style>
  <w:style w:type="paragraph" w:styleId="1111" w:customStyle="1">
    <w:name w:val="图表目录11"/>
    <w:basedOn w:val="852"/>
    <w:next w:val="852"/>
    <w:uiPriority w:val="0"/>
    <w:qFormat/>
  </w:style>
  <w:style w:type="table" w:styleId="1112" w:customStyle="1">
    <w:name w:val="List Table 4 - Accent 6"/>
    <w:uiPriority w:val="0"/>
    <w:qFormat/>
    <w:tblPr>
      <w:tblCellMar>
        <w:left w:w="0" w:type="dxa"/>
        <w:top w:w="0" w:type="dxa"/>
        <w:right w:w="0" w:type="dxa"/>
        <w:bottom w:w="0" w:type="dxa"/>
      </w:tblCellMar>
    </w:tblPr>
  </w:style>
  <w:style w:type="table" w:styleId="1113" w:customStyle="1">
    <w:name w:val="网格型11"/>
    <w:uiPriority w:val="0"/>
    <w:qFormat/>
    <w:tblPr>
      <w:tblCellMar>
        <w:left w:w="0" w:type="dxa"/>
        <w:top w:w="0" w:type="dxa"/>
        <w:right w:w="0" w:type="dxa"/>
        <w:bottom w:w="0" w:type="dxa"/>
      </w:tblCellMar>
    </w:tblPr>
  </w:style>
  <w:style w:type="table" w:styleId="1114" w:customStyle="1">
    <w:name w:val="Grid Table 2 - Accent 2"/>
    <w:uiPriority w:val="0"/>
    <w:qFormat/>
    <w:tblPr>
      <w:tblCellMar>
        <w:left w:w="0" w:type="dxa"/>
        <w:top w:w="0" w:type="dxa"/>
        <w:right w:w="0" w:type="dxa"/>
        <w:bottom w:w="0" w:type="dxa"/>
      </w:tblCellMar>
    </w:tblPr>
  </w:style>
  <w:style w:type="table" w:styleId="1115" w:customStyle="1">
    <w:name w:val="网格表 5 深色1"/>
    <w:uiPriority w:val="0"/>
    <w:qFormat/>
    <w:tblPr>
      <w:tblCellMar>
        <w:left w:w="0" w:type="dxa"/>
        <w:top w:w="0" w:type="dxa"/>
        <w:right w:w="0" w:type="dxa"/>
        <w:bottom w:w="0" w:type="dxa"/>
      </w:tblCellMar>
    </w:tblPr>
  </w:style>
  <w:style w:type="table" w:styleId="1116" w:customStyle="1">
    <w:name w:val="无格式表格 31"/>
    <w:uiPriority w:val="0"/>
    <w:qFormat/>
    <w:tblPr>
      <w:tblCellMar>
        <w:left w:w="0" w:type="dxa"/>
        <w:top w:w="0" w:type="dxa"/>
        <w:right w:w="0" w:type="dxa"/>
        <w:bottom w:w="0" w:type="dxa"/>
      </w:tblCellMar>
    </w:tblPr>
  </w:style>
  <w:style w:type="table" w:styleId="1117" w:customStyle="1">
    <w:name w:val="List Table 7 Colorful - Accent 3"/>
    <w:uiPriority w:val="0"/>
    <w:qFormat/>
    <w:tblPr>
      <w:tblCellMar>
        <w:left w:w="0" w:type="dxa"/>
        <w:top w:w="0" w:type="dxa"/>
        <w:right w:w="0" w:type="dxa"/>
        <w:bottom w:w="0" w:type="dxa"/>
      </w:tblCellMar>
    </w:tblPr>
  </w:style>
  <w:style w:type="table" w:styleId="1118" w:customStyle="1">
    <w:name w:val="清单表 1 浅色1"/>
    <w:uiPriority w:val="0"/>
    <w:qFormat/>
    <w:tblPr>
      <w:tblCellMar>
        <w:left w:w="0" w:type="dxa"/>
        <w:top w:w="0" w:type="dxa"/>
        <w:right w:w="0" w:type="dxa"/>
        <w:bottom w:w="0" w:type="dxa"/>
      </w:tblCellMar>
    </w:tblPr>
  </w:style>
  <w:style w:type="table" w:styleId="1119" w:customStyle="1">
    <w:name w:val="List Table 6 Colorful - Accent 4"/>
    <w:uiPriority w:val="0"/>
    <w:qFormat/>
    <w:tblPr>
      <w:tblCellMar>
        <w:left w:w="0" w:type="dxa"/>
        <w:top w:w="0" w:type="dxa"/>
        <w:right w:w="0" w:type="dxa"/>
        <w:bottom w:w="0" w:type="dxa"/>
      </w:tblCellMar>
    </w:tblPr>
  </w:style>
  <w:style w:type="table" w:styleId="1120" w:customStyle="1">
    <w:name w:val="Grid Table 7 Colorful - Accent 3"/>
    <w:uiPriority w:val="0"/>
    <w:qFormat/>
    <w:tblPr>
      <w:tblCellMar>
        <w:left w:w="0" w:type="dxa"/>
        <w:top w:w="0" w:type="dxa"/>
        <w:right w:w="0" w:type="dxa"/>
        <w:bottom w:w="0" w:type="dxa"/>
      </w:tblCellMar>
    </w:tblPr>
  </w:style>
  <w:style w:type="table" w:styleId="1121" w:customStyle="1">
    <w:name w:val="Bordered &amp; Lined - Accent 1"/>
    <w:uiPriority w:val="0"/>
    <w:qFormat/>
    <w:rPr>
      <w:color w:val="404040"/>
    </w:rPr>
    <w:tblPr>
      <w:tblCellMar>
        <w:left w:w="0" w:type="dxa"/>
        <w:top w:w="0" w:type="dxa"/>
        <w:right w:w="0" w:type="dxa"/>
        <w:bottom w:w="0" w:type="dxa"/>
      </w:tblCellMar>
    </w:tblPr>
  </w:style>
  <w:style w:type="table" w:styleId="1122" w:customStyle="1">
    <w:name w:val="List Table 2 - Accent 1"/>
    <w:uiPriority w:val="0"/>
    <w:qFormat/>
    <w:tblPr>
      <w:tblCellMar>
        <w:left w:w="0" w:type="dxa"/>
        <w:top w:w="0" w:type="dxa"/>
        <w:right w:w="0" w:type="dxa"/>
        <w:bottom w:w="0" w:type="dxa"/>
      </w:tblCellMar>
    </w:tblPr>
  </w:style>
  <w:style w:type="table" w:styleId="1123" w:customStyle="1">
    <w:name w:val="无格式表格 51"/>
    <w:uiPriority w:val="0"/>
    <w:qFormat/>
    <w:tblPr>
      <w:tblCellMar>
        <w:left w:w="0" w:type="dxa"/>
        <w:top w:w="0" w:type="dxa"/>
        <w:right w:w="0" w:type="dxa"/>
        <w:bottom w:w="0" w:type="dxa"/>
      </w:tblCellMar>
    </w:tblPr>
  </w:style>
  <w:style w:type="table" w:styleId="1124" w:customStyle="1">
    <w:name w:val="List Table 7 Colorful - Accent 5"/>
    <w:uiPriority w:val="0"/>
    <w:qFormat/>
    <w:tblPr>
      <w:tblCellMar>
        <w:left w:w="0" w:type="dxa"/>
        <w:top w:w="0" w:type="dxa"/>
        <w:right w:w="0" w:type="dxa"/>
        <w:bottom w:w="0" w:type="dxa"/>
      </w:tblCellMar>
    </w:tblPr>
  </w:style>
  <w:style w:type="table" w:styleId="1125" w:customStyle="1">
    <w:name w:val="普通表格11"/>
    <w:uiPriority w:val="0"/>
    <w:qFormat/>
    <w:tblPr>
      <w:tblCellMar>
        <w:left w:w="0" w:type="dxa"/>
        <w:top w:w="0" w:type="dxa"/>
        <w:right w:w="0" w:type="dxa"/>
        <w:bottom w:w="0" w:type="dxa"/>
      </w:tblCellMar>
    </w:tblPr>
  </w:style>
  <w:style w:type="table" w:styleId="1126" w:customStyle="1">
    <w:name w:val="网格表 1 浅色1"/>
    <w:uiPriority w:val="0"/>
    <w:qFormat/>
    <w:tblPr>
      <w:tblCellMar>
        <w:left w:w="0" w:type="dxa"/>
        <w:top w:w="0" w:type="dxa"/>
        <w:right w:w="0" w:type="dxa"/>
        <w:bottom w:w="0" w:type="dxa"/>
      </w:tblCellMar>
    </w:tblPr>
  </w:style>
  <w:style w:type="table" w:styleId="1127" w:customStyle="1">
    <w:name w:val="网格表 21"/>
    <w:uiPriority w:val="0"/>
    <w:qFormat/>
    <w:tblPr>
      <w:tblCellMar>
        <w:left w:w="0" w:type="dxa"/>
        <w:top w:w="0" w:type="dxa"/>
        <w:right w:w="0" w:type="dxa"/>
        <w:bottom w:w="0" w:type="dxa"/>
      </w:tblCellMar>
    </w:tblPr>
  </w:style>
  <w:style w:type="table" w:styleId="1128" w:customStyle="1">
    <w:name w:val="Grid Table 1 Light - Accent 5"/>
    <w:uiPriority w:val="0"/>
    <w:qFormat/>
    <w:tblPr>
      <w:tblCellMar>
        <w:left w:w="0" w:type="dxa"/>
        <w:top w:w="0" w:type="dxa"/>
        <w:right w:w="0" w:type="dxa"/>
        <w:bottom w:w="0" w:type="dxa"/>
      </w:tblCellMar>
    </w:tblPr>
  </w:style>
  <w:style w:type="table" w:styleId="1129" w:customStyle="1">
    <w:name w:val="Grid Table 3 - Accent 3"/>
    <w:uiPriority w:val="0"/>
    <w:qFormat/>
    <w:tblPr>
      <w:tblCellMar>
        <w:left w:w="0" w:type="dxa"/>
        <w:top w:w="0" w:type="dxa"/>
        <w:right w:w="0" w:type="dxa"/>
        <w:bottom w:w="0" w:type="dxa"/>
      </w:tblCellMar>
    </w:tblPr>
  </w:style>
  <w:style w:type="table" w:styleId="1130" w:customStyle="1">
    <w:name w:val="Grid Table 1 Light - Accent 6"/>
    <w:uiPriority w:val="0"/>
    <w:qFormat/>
    <w:tblPr>
      <w:tblCellMar>
        <w:left w:w="0" w:type="dxa"/>
        <w:top w:w="0" w:type="dxa"/>
        <w:right w:w="0" w:type="dxa"/>
        <w:bottom w:w="0" w:type="dxa"/>
      </w:tblCellMar>
    </w:tblPr>
  </w:style>
  <w:style w:type="table" w:styleId="1131" w:customStyle="1">
    <w:name w:val="List Table 1 Light - Accent 4"/>
    <w:uiPriority w:val="0"/>
    <w:qFormat/>
    <w:tblPr>
      <w:tblCellMar>
        <w:left w:w="0" w:type="dxa"/>
        <w:top w:w="0" w:type="dxa"/>
        <w:right w:w="0" w:type="dxa"/>
        <w:bottom w:w="0" w:type="dxa"/>
      </w:tblCellMar>
    </w:tblPr>
  </w:style>
  <w:style w:type="table" w:styleId="1132" w:customStyle="1">
    <w:name w:val="Grid Table 6 Colorful - Accent 5"/>
    <w:uiPriority w:val="0"/>
    <w:qFormat/>
    <w:tblPr>
      <w:tblCellMar>
        <w:left w:w="0" w:type="dxa"/>
        <w:top w:w="0" w:type="dxa"/>
        <w:right w:w="0" w:type="dxa"/>
        <w:bottom w:w="0" w:type="dxa"/>
      </w:tblCellMar>
    </w:tblPr>
  </w:style>
  <w:style w:type="table" w:styleId="1133" w:customStyle="1">
    <w:name w:val="Grid Table 6 Colorful - Accent 6"/>
    <w:uiPriority w:val="0"/>
    <w:qFormat/>
    <w:tblPr>
      <w:tblCellMar>
        <w:left w:w="0" w:type="dxa"/>
        <w:top w:w="0" w:type="dxa"/>
        <w:right w:w="0" w:type="dxa"/>
        <w:bottom w:w="0" w:type="dxa"/>
      </w:tblCellMar>
    </w:tblPr>
  </w:style>
  <w:style w:type="table" w:styleId="1134" w:customStyle="1">
    <w:name w:val="Grid Table 4 - Accent 4"/>
    <w:uiPriority w:val="0"/>
    <w:qFormat/>
    <w:tblPr>
      <w:tblCellMar>
        <w:left w:w="0" w:type="dxa"/>
        <w:top w:w="0" w:type="dxa"/>
        <w:right w:w="0" w:type="dxa"/>
        <w:bottom w:w="0" w:type="dxa"/>
      </w:tblCellMar>
    </w:tblPr>
  </w:style>
  <w:style w:type="table" w:styleId="1135" w:customStyle="1">
    <w:name w:val="Grid Table 1 Light - Accent 3"/>
    <w:uiPriority w:val="0"/>
    <w:qFormat/>
    <w:tblPr>
      <w:tblCellMar>
        <w:left w:w="0" w:type="dxa"/>
        <w:top w:w="0" w:type="dxa"/>
        <w:right w:w="0" w:type="dxa"/>
        <w:bottom w:w="0" w:type="dxa"/>
      </w:tblCellMar>
    </w:tblPr>
  </w:style>
  <w:style w:type="table" w:styleId="1136" w:customStyle="1">
    <w:name w:val="List Table 4 - Accent 1"/>
    <w:uiPriority w:val="0"/>
    <w:qFormat/>
    <w:tblPr>
      <w:tblCellMar>
        <w:left w:w="0" w:type="dxa"/>
        <w:top w:w="0" w:type="dxa"/>
        <w:right w:w="0" w:type="dxa"/>
        <w:bottom w:w="0" w:type="dxa"/>
      </w:tblCellMar>
    </w:tblPr>
  </w:style>
  <w:style w:type="table" w:styleId="1137" w:customStyle="1">
    <w:name w:val="Bordered &amp; Lined - Accent 6"/>
    <w:uiPriority w:val="0"/>
    <w:qFormat/>
    <w:rPr>
      <w:color w:val="404040"/>
    </w:rPr>
    <w:tblPr>
      <w:tblCellMar>
        <w:left w:w="0" w:type="dxa"/>
        <w:top w:w="0" w:type="dxa"/>
        <w:right w:w="0" w:type="dxa"/>
        <w:bottom w:w="0" w:type="dxa"/>
      </w:tblCellMar>
    </w:tblPr>
  </w:style>
  <w:style w:type="table" w:styleId="1138" w:customStyle="1">
    <w:name w:val="无格式表格 11"/>
    <w:uiPriority w:val="0"/>
    <w:qFormat/>
    <w:tblPr>
      <w:tblCellMar>
        <w:left w:w="0" w:type="dxa"/>
        <w:top w:w="0" w:type="dxa"/>
        <w:right w:w="0" w:type="dxa"/>
        <w:bottom w:w="0" w:type="dxa"/>
      </w:tblCellMar>
    </w:tblPr>
  </w:style>
  <w:style w:type="table" w:styleId="1139" w:customStyle="1">
    <w:name w:val="Grid Table 5 Dark- Accent 4"/>
    <w:uiPriority w:val="0"/>
    <w:qFormat/>
    <w:tblPr>
      <w:tblCellMar>
        <w:left w:w="0" w:type="dxa"/>
        <w:top w:w="0" w:type="dxa"/>
        <w:right w:w="0" w:type="dxa"/>
        <w:bottom w:w="0" w:type="dxa"/>
      </w:tblCellMar>
    </w:tblPr>
  </w:style>
  <w:style w:type="table" w:styleId="1140" w:customStyle="1">
    <w:name w:val="Grid Table 4 - Accent 3"/>
    <w:uiPriority w:val="0"/>
    <w:qFormat/>
    <w:tblPr>
      <w:tblCellMar>
        <w:left w:w="0" w:type="dxa"/>
        <w:top w:w="0" w:type="dxa"/>
        <w:right w:w="0" w:type="dxa"/>
        <w:bottom w:w="0" w:type="dxa"/>
      </w:tblCellMar>
    </w:tblPr>
  </w:style>
  <w:style w:type="table" w:styleId="1141" w:customStyle="1">
    <w:name w:val="网格表 31"/>
    <w:uiPriority w:val="0"/>
    <w:qFormat/>
    <w:tblPr>
      <w:tblCellMar>
        <w:left w:w="0" w:type="dxa"/>
        <w:top w:w="0" w:type="dxa"/>
        <w:right w:w="0" w:type="dxa"/>
        <w:bottom w:w="0" w:type="dxa"/>
      </w:tblCellMar>
    </w:tblPr>
  </w:style>
  <w:style w:type="table" w:styleId="1142" w:customStyle="1">
    <w:name w:val="Grid Table 2 - Accent 4"/>
    <w:uiPriority w:val="0"/>
    <w:qFormat/>
    <w:tblPr>
      <w:tblCellMar>
        <w:left w:w="0" w:type="dxa"/>
        <w:top w:w="0" w:type="dxa"/>
        <w:right w:w="0" w:type="dxa"/>
        <w:bottom w:w="0" w:type="dxa"/>
      </w:tblCellMar>
    </w:tblPr>
  </w:style>
  <w:style w:type="table" w:styleId="1143" w:customStyle="1">
    <w:name w:val="Lined - Accent 1"/>
    <w:uiPriority w:val="0"/>
    <w:qFormat/>
    <w:rPr>
      <w:color w:val="404040"/>
    </w:rPr>
    <w:tblPr>
      <w:tblCellMar>
        <w:left w:w="0" w:type="dxa"/>
        <w:top w:w="0" w:type="dxa"/>
        <w:right w:w="0" w:type="dxa"/>
        <w:bottom w:w="0" w:type="dxa"/>
      </w:tblCellMar>
    </w:tblPr>
  </w:style>
  <w:style w:type="table" w:styleId="1144" w:customStyle="1">
    <w:name w:val="Grid Table 3 - Accent 1"/>
    <w:uiPriority w:val="0"/>
    <w:qFormat/>
    <w:tblPr>
      <w:tblCellMar>
        <w:left w:w="0" w:type="dxa"/>
        <w:top w:w="0" w:type="dxa"/>
        <w:right w:w="0" w:type="dxa"/>
        <w:bottom w:w="0" w:type="dxa"/>
      </w:tblCellMar>
    </w:tblPr>
  </w:style>
  <w:style w:type="table" w:styleId="1145" w:customStyle="1">
    <w:name w:val="Grid Table 2 - Accent 3"/>
    <w:uiPriority w:val="0"/>
    <w:qFormat/>
    <w:tblPr>
      <w:tblCellMar>
        <w:left w:w="0" w:type="dxa"/>
        <w:top w:w="0" w:type="dxa"/>
        <w:right w:w="0" w:type="dxa"/>
        <w:bottom w:w="0" w:type="dxa"/>
      </w:tblCellMar>
    </w:tblPr>
  </w:style>
  <w:style w:type="table" w:styleId="1146" w:customStyle="1">
    <w:name w:val="List Table 7 Colorful - Accent 6"/>
    <w:uiPriority w:val="0"/>
    <w:qFormat/>
    <w:tblPr>
      <w:tblCellMar>
        <w:left w:w="0" w:type="dxa"/>
        <w:top w:w="0" w:type="dxa"/>
        <w:right w:w="0" w:type="dxa"/>
        <w:bottom w:w="0" w:type="dxa"/>
      </w:tblCellMar>
    </w:tblPr>
  </w:style>
  <w:style w:type="table" w:styleId="1147" w:customStyle="1">
    <w:name w:val="List Table 4 - Accent 4"/>
    <w:uiPriority w:val="0"/>
    <w:qFormat/>
    <w:tblPr>
      <w:tblCellMar>
        <w:left w:w="0" w:type="dxa"/>
        <w:top w:w="0" w:type="dxa"/>
        <w:right w:w="0" w:type="dxa"/>
        <w:bottom w:w="0" w:type="dxa"/>
      </w:tblCellMar>
    </w:tblPr>
  </w:style>
  <w:style w:type="table" w:styleId="1148" w:customStyle="1">
    <w:name w:val="清单表 5 深色1"/>
    <w:uiPriority w:val="0"/>
    <w:qFormat/>
    <w:tblPr>
      <w:tblCellMar>
        <w:left w:w="0" w:type="dxa"/>
        <w:top w:w="0" w:type="dxa"/>
        <w:right w:w="0" w:type="dxa"/>
        <w:bottom w:w="0" w:type="dxa"/>
      </w:tblCellMar>
    </w:tblPr>
  </w:style>
  <w:style w:type="table" w:styleId="1149" w:customStyle="1">
    <w:name w:val="Bordered - Accent 6"/>
    <w:uiPriority w:val="0"/>
    <w:qFormat/>
    <w:tblPr>
      <w:tblCellMar>
        <w:left w:w="0" w:type="dxa"/>
        <w:top w:w="0" w:type="dxa"/>
        <w:right w:w="0" w:type="dxa"/>
        <w:bottom w:w="0" w:type="dxa"/>
      </w:tblCellMar>
    </w:tblPr>
  </w:style>
  <w:style w:type="table" w:styleId="1150" w:customStyle="1">
    <w:name w:val="Bordered - Accent 2"/>
    <w:uiPriority w:val="0"/>
    <w:qFormat/>
    <w:tblPr>
      <w:tblCellMar>
        <w:left w:w="0" w:type="dxa"/>
        <w:top w:w="0" w:type="dxa"/>
        <w:right w:w="0" w:type="dxa"/>
        <w:bottom w:w="0" w:type="dxa"/>
      </w:tblCellMar>
    </w:tblPr>
  </w:style>
  <w:style w:type="table" w:styleId="1151" w:customStyle="1">
    <w:name w:val="无格式表格 21"/>
    <w:uiPriority w:val="0"/>
    <w:qFormat/>
    <w:tblPr>
      <w:tblCellMar>
        <w:left w:w="0" w:type="dxa"/>
        <w:top w:w="0" w:type="dxa"/>
        <w:right w:w="0" w:type="dxa"/>
        <w:bottom w:w="0" w:type="dxa"/>
      </w:tblCellMar>
    </w:tblPr>
  </w:style>
  <w:style w:type="table" w:styleId="1152" w:customStyle="1">
    <w:name w:val="List Table 4 - Accent 2"/>
    <w:uiPriority w:val="0"/>
    <w:qFormat/>
    <w:tblPr>
      <w:tblCellMar>
        <w:left w:w="0" w:type="dxa"/>
        <w:top w:w="0" w:type="dxa"/>
        <w:right w:w="0" w:type="dxa"/>
        <w:bottom w:w="0" w:type="dxa"/>
      </w:tblCellMar>
    </w:tblPr>
  </w:style>
  <w:style w:type="table" w:styleId="1153" w:customStyle="1">
    <w:name w:val="List Table 3 - Accent 3"/>
    <w:uiPriority w:val="0"/>
    <w:qFormat/>
    <w:tblPr>
      <w:tblCellMar>
        <w:left w:w="0" w:type="dxa"/>
        <w:top w:w="0" w:type="dxa"/>
        <w:right w:w="0" w:type="dxa"/>
        <w:bottom w:w="0" w:type="dxa"/>
      </w:tblCellMar>
    </w:tblPr>
  </w:style>
  <w:style w:type="table" w:styleId="1154" w:customStyle="1">
    <w:name w:val="List Table 2 - Accent 3"/>
    <w:uiPriority w:val="0"/>
    <w:qFormat/>
    <w:tblPr>
      <w:tblCellMar>
        <w:left w:w="0" w:type="dxa"/>
        <w:top w:w="0" w:type="dxa"/>
        <w:right w:w="0" w:type="dxa"/>
        <w:bottom w:w="0" w:type="dxa"/>
      </w:tblCellMar>
    </w:tblPr>
  </w:style>
  <w:style w:type="table" w:styleId="1155" w:customStyle="1">
    <w:name w:val="Grid Table 4 - Accent 2"/>
    <w:uiPriority w:val="0"/>
    <w:qFormat/>
    <w:tblPr>
      <w:tblCellMar>
        <w:left w:w="0" w:type="dxa"/>
        <w:top w:w="0" w:type="dxa"/>
        <w:right w:w="0" w:type="dxa"/>
        <w:bottom w:w="0" w:type="dxa"/>
      </w:tblCellMar>
    </w:tblPr>
  </w:style>
  <w:style w:type="table" w:styleId="1156" w:customStyle="1">
    <w:name w:val="Lined - Accent 2"/>
    <w:uiPriority w:val="0"/>
    <w:qFormat/>
    <w:rPr>
      <w:color w:val="404040"/>
    </w:rPr>
    <w:tblPr>
      <w:tblCellMar>
        <w:left w:w="0" w:type="dxa"/>
        <w:top w:w="0" w:type="dxa"/>
        <w:right w:w="0" w:type="dxa"/>
        <w:bottom w:w="0" w:type="dxa"/>
      </w:tblCellMar>
    </w:tblPr>
  </w:style>
  <w:style w:type="table" w:styleId="1157" w:customStyle="1">
    <w:name w:val="List Table 6 Colorful - Accent 2"/>
    <w:uiPriority w:val="0"/>
    <w:qFormat/>
    <w:tblPr>
      <w:tblCellMar>
        <w:left w:w="0" w:type="dxa"/>
        <w:top w:w="0" w:type="dxa"/>
        <w:right w:w="0" w:type="dxa"/>
        <w:bottom w:w="0" w:type="dxa"/>
      </w:tblCellMar>
    </w:tblPr>
  </w:style>
  <w:style w:type="table" w:styleId="1158" w:customStyle="1">
    <w:name w:val="Lined - Accent"/>
    <w:uiPriority w:val="0"/>
    <w:qFormat/>
    <w:rPr>
      <w:color w:val="404040"/>
    </w:rPr>
    <w:tblPr>
      <w:tblCellMar>
        <w:left w:w="0" w:type="dxa"/>
        <w:top w:w="0" w:type="dxa"/>
        <w:right w:w="0" w:type="dxa"/>
        <w:bottom w:w="0" w:type="dxa"/>
      </w:tblCellMar>
    </w:tblPr>
  </w:style>
  <w:style w:type="table" w:styleId="1159" w:customStyle="1">
    <w:name w:val="Bordered &amp; Lined - Accent"/>
    <w:uiPriority w:val="0"/>
    <w:qFormat/>
    <w:rPr>
      <w:color w:val="404040"/>
    </w:rPr>
    <w:tblPr>
      <w:tblCellMar>
        <w:left w:w="0" w:type="dxa"/>
        <w:top w:w="0" w:type="dxa"/>
        <w:right w:w="0" w:type="dxa"/>
        <w:bottom w:w="0" w:type="dxa"/>
      </w:tblCellMar>
    </w:tblPr>
  </w:style>
  <w:style w:type="table" w:styleId="1160" w:customStyle="1">
    <w:name w:val="List Table 6 Colorful - Accent 5"/>
    <w:uiPriority w:val="0"/>
    <w:qFormat/>
    <w:tblPr>
      <w:tblCellMar>
        <w:left w:w="0" w:type="dxa"/>
        <w:top w:w="0" w:type="dxa"/>
        <w:right w:w="0" w:type="dxa"/>
        <w:bottom w:w="0" w:type="dxa"/>
      </w:tblCellMar>
    </w:tblPr>
  </w:style>
  <w:style w:type="table" w:styleId="1161" w:customStyle="1">
    <w:name w:val="List Table 3 - Accent 6"/>
    <w:uiPriority w:val="0"/>
    <w:qFormat/>
    <w:tblPr>
      <w:tblCellMar>
        <w:left w:w="0" w:type="dxa"/>
        <w:top w:w="0" w:type="dxa"/>
        <w:right w:w="0" w:type="dxa"/>
        <w:bottom w:w="0" w:type="dxa"/>
      </w:tblCellMar>
    </w:tblPr>
  </w:style>
  <w:style w:type="table" w:styleId="1162" w:customStyle="1">
    <w:name w:val="无格式表格 41"/>
    <w:uiPriority w:val="0"/>
    <w:qFormat/>
    <w:tblPr>
      <w:tblCellMar>
        <w:left w:w="0" w:type="dxa"/>
        <w:top w:w="0" w:type="dxa"/>
        <w:right w:w="0" w:type="dxa"/>
        <w:bottom w:w="0" w:type="dxa"/>
      </w:tblCellMar>
    </w:tblPr>
  </w:style>
  <w:style w:type="table" w:styleId="1163" w:customStyle="1">
    <w:name w:val="List Table 2 - Accent 2"/>
    <w:uiPriority w:val="0"/>
    <w:qFormat/>
    <w:tblPr>
      <w:tblCellMar>
        <w:left w:w="0" w:type="dxa"/>
        <w:top w:w="0" w:type="dxa"/>
        <w:right w:w="0" w:type="dxa"/>
        <w:bottom w:w="0" w:type="dxa"/>
      </w:tblCellMar>
    </w:tblPr>
  </w:style>
  <w:style w:type="table" w:styleId="1164" w:customStyle="1">
    <w:name w:val="清单表 6 彩色1"/>
    <w:uiPriority w:val="0"/>
    <w:qFormat/>
    <w:tblPr>
      <w:tblCellMar>
        <w:left w:w="0" w:type="dxa"/>
        <w:top w:w="0" w:type="dxa"/>
        <w:right w:w="0" w:type="dxa"/>
        <w:bottom w:w="0" w:type="dxa"/>
      </w:tblCellMar>
    </w:tblPr>
  </w:style>
  <w:style w:type="table" w:styleId="1165" w:customStyle="1">
    <w:name w:val="Bordered - Accent 4"/>
    <w:uiPriority w:val="0"/>
    <w:qFormat/>
    <w:tblPr>
      <w:tblCellMar>
        <w:left w:w="0" w:type="dxa"/>
        <w:top w:w="0" w:type="dxa"/>
        <w:right w:w="0" w:type="dxa"/>
        <w:bottom w:w="0" w:type="dxa"/>
      </w:tblCellMar>
    </w:tblPr>
  </w:style>
  <w:style w:type="table" w:styleId="1166" w:customStyle="1">
    <w:name w:val="List Table 5 Dark - Accent 3"/>
    <w:uiPriority w:val="0"/>
    <w:qFormat/>
    <w:tblPr>
      <w:tblCellMar>
        <w:left w:w="0" w:type="dxa"/>
        <w:top w:w="0" w:type="dxa"/>
        <w:right w:w="0" w:type="dxa"/>
        <w:bottom w:w="0" w:type="dxa"/>
      </w:tblCellMar>
    </w:tblPr>
  </w:style>
  <w:style w:type="table" w:styleId="1167" w:customStyle="1">
    <w:name w:val="List Table 1 Light - Accent 1"/>
    <w:uiPriority w:val="0"/>
    <w:qFormat/>
    <w:tblPr>
      <w:tblCellMar>
        <w:left w:w="0" w:type="dxa"/>
        <w:top w:w="0" w:type="dxa"/>
        <w:right w:w="0" w:type="dxa"/>
        <w:bottom w:w="0" w:type="dxa"/>
      </w:tblCellMar>
    </w:tblPr>
  </w:style>
  <w:style w:type="table" w:styleId="1168" w:customStyle="1">
    <w:name w:val="Grid Table 4 - Accent 5"/>
    <w:uiPriority w:val="0"/>
    <w:qFormat/>
    <w:tblPr>
      <w:tblCellMar>
        <w:left w:w="0" w:type="dxa"/>
        <w:top w:w="0" w:type="dxa"/>
        <w:right w:w="0" w:type="dxa"/>
        <w:bottom w:w="0" w:type="dxa"/>
      </w:tblCellMar>
    </w:tblPr>
  </w:style>
  <w:style w:type="table" w:styleId="1169" w:customStyle="1">
    <w:name w:val="Grid Table 2 - Accent 6"/>
    <w:uiPriority w:val="0"/>
    <w:qFormat/>
    <w:tblPr>
      <w:tblCellMar>
        <w:left w:w="0" w:type="dxa"/>
        <w:top w:w="0" w:type="dxa"/>
        <w:right w:w="0" w:type="dxa"/>
        <w:bottom w:w="0" w:type="dxa"/>
      </w:tblCellMar>
    </w:tblPr>
  </w:style>
  <w:style w:type="table" w:styleId="1170" w:customStyle="1">
    <w:name w:val="Bordered - Accent 5"/>
    <w:uiPriority w:val="0"/>
    <w:qFormat/>
    <w:tblPr>
      <w:tblCellMar>
        <w:left w:w="0" w:type="dxa"/>
        <w:top w:w="0" w:type="dxa"/>
        <w:right w:w="0" w:type="dxa"/>
        <w:bottom w:w="0" w:type="dxa"/>
      </w:tblCellMar>
    </w:tblPr>
  </w:style>
  <w:style w:type="table" w:styleId="1171" w:customStyle="1">
    <w:name w:val="Bordered &amp; Lined - Accent 5"/>
    <w:uiPriority w:val="0"/>
    <w:qFormat/>
    <w:rPr>
      <w:color w:val="404040"/>
    </w:rPr>
    <w:tblPr>
      <w:tblCellMar>
        <w:left w:w="0" w:type="dxa"/>
        <w:top w:w="0" w:type="dxa"/>
        <w:right w:w="0" w:type="dxa"/>
        <w:bottom w:w="0" w:type="dxa"/>
      </w:tblCellMar>
    </w:tblPr>
  </w:style>
  <w:style w:type="table" w:styleId="1172" w:customStyle="1">
    <w:name w:val="Grid Table 3 - Accent 4"/>
    <w:uiPriority w:val="0"/>
    <w:qFormat/>
    <w:tblPr>
      <w:tblCellMar>
        <w:left w:w="0" w:type="dxa"/>
        <w:top w:w="0" w:type="dxa"/>
        <w:right w:w="0" w:type="dxa"/>
        <w:bottom w:w="0" w:type="dxa"/>
      </w:tblCellMar>
    </w:tblPr>
  </w:style>
  <w:style w:type="table" w:styleId="1173" w:customStyle="1">
    <w:name w:val="List Table 1 Light - Accent 5"/>
    <w:uiPriority w:val="0"/>
    <w:qFormat/>
    <w:tblPr>
      <w:tblCellMar>
        <w:left w:w="0" w:type="dxa"/>
        <w:top w:w="0" w:type="dxa"/>
        <w:right w:w="0" w:type="dxa"/>
        <w:bottom w:w="0" w:type="dxa"/>
      </w:tblCellMar>
    </w:tblPr>
  </w:style>
  <w:style w:type="table" w:styleId="1174" w:customStyle="1">
    <w:name w:val="Grid Table 3 - Accent 5"/>
    <w:uiPriority w:val="0"/>
    <w:qFormat/>
    <w:tblPr>
      <w:tblCellMar>
        <w:left w:w="0" w:type="dxa"/>
        <w:top w:w="0" w:type="dxa"/>
        <w:right w:w="0" w:type="dxa"/>
        <w:bottom w:w="0" w:type="dxa"/>
      </w:tblCellMar>
    </w:tblPr>
  </w:style>
  <w:style w:type="table" w:styleId="1175" w:customStyle="1">
    <w:name w:val="List Table 5 Dark - Accent 4"/>
    <w:uiPriority w:val="0"/>
    <w:qFormat/>
    <w:tblPr>
      <w:tblCellMar>
        <w:left w:w="0" w:type="dxa"/>
        <w:top w:w="0" w:type="dxa"/>
        <w:right w:w="0" w:type="dxa"/>
        <w:bottom w:w="0" w:type="dxa"/>
      </w:tblCellMar>
    </w:tblPr>
  </w:style>
  <w:style w:type="table" w:styleId="1176" w:customStyle="1">
    <w:name w:val="Lined - Accent 6"/>
    <w:uiPriority w:val="0"/>
    <w:qFormat/>
    <w:rPr>
      <w:color w:val="404040"/>
    </w:rPr>
    <w:tblPr>
      <w:tblCellMar>
        <w:left w:w="0" w:type="dxa"/>
        <w:top w:w="0" w:type="dxa"/>
        <w:right w:w="0" w:type="dxa"/>
        <w:bottom w:w="0" w:type="dxa"/>
      </w:tblCellMar>
    </w:tblPr>
  </w:style>
  <w:style w:type="table" w:styleId="1177" w:customStyle="1">
    <w:name w:val="Grid Table 3 - Accent 2"/>
    <w:uiPriority w:val="0"/>
    <w:qFormat/>
    <w:tblPr>
      <w:tblCellMar>
        <w:left w:w="0" w:type="dxa"/>
        <w:top w:w="0" w:type="dxa"/>
        <w:right w:w="0" w:type="dxa"/>
        <w:bottom w:w="0" w:type="dxa"/>
      </w:tblCellMar>
    </w:tblPr>
  </w:style>
  <w:style w:type="table" w:styleId="1178" w:customStyle="1">
    <w:name w:val="List Table 6 Colorful - Accent 3"/>
    <w:uiPriority w:val="0"/>
    <w:qFormat/>
    <w:tblPr>
      <w:tblCellMar>
        <w:left w:w="0" w:type="dxa"/>
        <w:top w:w="0" w:type="dxa"/>
        <w:right w:w="0" w:type="dxa"/>
        <w:bottom w:w="0" w:type="dxa"/>
      </w:tblCellMar>
    </w:tblPr>
  </w:style>
  <w:style w:type="table" w:styleId="1179" w:customStyle="1">
    <w:name w:val="Lined - Accent 5"/>
    <w:uiPriority w:val="0"/>
    <w:qFormat/>
    <w:rPr>
      <w:color w:val="404040"/>
    </w:rPr>
    <w:tblPr>
      <w:tblCellMar>
        <w:left w:w="0" w:type="dxa"/>
        <w:top w:w="0" w:type="dxa"/>
        <w:right w:w="0" w:type="dxa"/>
        <w:bottom w:w="0" w:type="dxa"/>
      </w:tblCellMar>
    </w:tblPr>
  </w:style>
  <w:style w:type="table" w:styleId="1180" w:customStyle="1">
    <w:name w:val="Grid Table 6 Colorful - Accent 4"/>
    <w:uiPriority w:val="0"/>
    <w:qFormat/>
    <w:tblPr>
      <w:tblCellMar>
        <w:left w:w="0" w:type="dxa"/>
        <w:top w:w="0" w:type="dxa"/>
        <w:right w:w="0" w:type="dxa"/>
        <w:bottom w:w="0" w:type="dxa"/>
      </w:tblCellMar>
    </w:tblPr>
  </w:style>
  <w:style w:type="table" w:styleId="1181" w:customStyle="1">
    <w:name w:val="List Table 6 Colorful - Accent 6"/>
    <w:uiPriority w:val="0"/>
    <w:qFormat/>
    <w:tblPr>
      <w:tblCellMar>
        <w:left w:w="0" w:type="dxa"/>
        <w:top w:w="0" w:type="dxa"/>
        <w:right w:w="0" w:type="dxa"/>
        <w:bottom w:w="0" w:type="dxa"/>
      </w:tblCellMar>
    </w:tblPr>
  </w:style>
  <w:style w:type="table" w:styleId="1182" w:customStyle="1">
    <w:name w:val="Grid Table 4 - Accent 1"/>
    <w:uiPriority w:val="0"/>
    <w:qFormat/>
    <w:tblPr>
      <w:tblCellMar>
        <w:left w:w="0" w:type="dxa"/>
        <w:top w:w="0" w:type="dxa"/>
        <w:right w:w="0" w:type="dxa"/>
        <w:bottom w:w="0" w:type="dxa"/>
      </w:tblCellMar>
    </w:tblPr>
  </w:style>
  <w:style w:type="table" w:styleId="1183" w:customStyle="1">
    <w:name w:val="Grid Table 7 Colorful - Accent 5"/>
    <w:uiPriority w:val="0"/>
    <w:qFormat/>
    <w:tblPr>
      <w:tblCellMar>
        <w:left w:w="0" w:type="dxa"/>
        <w:top w:w="0" w:type="dxa"/>
        <w:right w:w="0" w:type="dxa"/>
        <w:bottom w:w="0" w:type="dxa"/>
      </w:tblCellMar>
    </w:tblPr>
  </w:style>
  <w:style w:type="table" w:styleId="1184" w:customStyle="1">
    <w:name w:val="List Table 3 - Accent 2"/>
    <w:uiPriority w:val="0"/>
    <w:qFormat/>
    <w:tblPr>
      <w:tblCellMar>
        <w:left w:w="0" w:type="dxa"/>
        <w:top w:w="0" w:type="dxa"/>
        <w:right w:w="0" w:type="dxa"/>
        <w:bottom w:w="0" w:type="dxa"/>
      </w:tblCellMar>
    </w:tblPr>
  </w:style>
  <w:style w:type="table" w:styleId="1185" w:customStyle="1">
    <w:name w:val="List Table 2 - Accent 4"/>
    <w:uiPriority w:val="0"/>
    <w:qFormat/>
    <w:tblPr>
      <w:tblCellMar>
        <w:left w:w="0" w:type="dxa"/>
        <w:top w:w="0" w:type="dxa"/>
        <w:right w:w="0" w:type="dxa"/>
        <w:bottom w:w="0" w:type="dxa"/>
      </w:tblCellMar>
    </w:tblPr>
  </w:style>
  <w:style w:type="table" w:styleId="1186" w:customStyle="1">
    <w:name w:val="Grid Table 1 Light - Accent 2"/>
    <w:uiPriority w:val="0"/>
    <w:qFormat/>
    <w:tblPr>
      <w:tblCellMar>
        <w:left w:w="0" w:type="dxa"/>
        <w:top w:w="0" w:type="dxa"/>
        <w:right w:w="0" w:type="dxa"/>
        <w:bottom w:w="0" w:type="dxa"/>
      </w:tblCellMar>
    </w:tblPr>
  </w:style>
  <w:style w:type="table" w:styleId="1187" w:customStyle="1">
    <w:name w:val="网格型1"/>
    <w:basedOn w:val="1188"/>
    <w:uiPriority w:val="0"/>
    <w:qFormat/>
    <w:tblPr/>
  </w:style>
  <w:style w:type="table" w:styleId="1188" w:customStyle="1">
    <w:name w:val="普通表格1"/>
    <w:uiPriority w:val="0"/>
    <w:qFormat/>
    <w:tblPr>
      <w:tblCellMar>
        <w:left w:w="0" w:type="dxa"/>
        <w:top w:w="0" w:type="dxa"/>
        <w:right w:w="0" w:type="dxa"/>
        <w:bottom w:w="0" w:type="dxa"/>
      </w:tblCellMar>
    </w:tblPr>
  </w:style>
  <w:style w:type="table" w:styleId="1189" w:customStyle="1">
    <w:name w:val="Grid Table 2 - Accent 1"/>
    <w:uiPriority w:val="0"/>
    <w:qFormat/>
    <w:tblPr>
      <w:tblCellMar>
        <w:left w:w="0" w:type="dxa"/>
        <w:top w:w="0" w:type="dxa"/>
        <w:right w:w="0" w:type="dxa"/>
        <w:bottom w:w="0" w:type="dxa"/>
      </w:tblCellMar>
    </w:tblPr>
  </w:style>
  <w:style w:type="table" w:styleId="1190" w:customStyle="1">
    <w:name w:val="网格表 7 彩色1"/>
    <w:uiPriority w:val="0"/>
    <w:qFormat/>
    <w:tblPr>
      <w:tblCellMar>
        <w:left w:w="0" w:type="dxa"/>
        <w:top w:w="0" w:type="dxa"/>
        <w:right w:w="0" w:type="dxa"/>
        <w:bottom w:w="0" w:type="dxa"/>
      </w:tblCellMar>
    </w:tblPr>
  </w:style>
  <w:style w:type="table" w:styleId="1191" w:customStyle="1">
    <w:name w:val="List Table 1 Light - Accent 2"/>
    <w:uiPriority w:val="0"/>
    <w:qFormat/>
    <w:tblPr>
      <w:tblCellMar>
        <w:left w:w="0" w:type="dxa"/>
        <w:top w:w="0" w:type="dxa"/>
        <w:right w:w="0" w:type="dxa"/>
        <w:bottom w:w="0" w:type="dxa"/>
      </w:tblCellMar>
    </w:tblPr>
  </w:style>
  <w:style w:type="table" w:styleId="1192" w:customStyle="1">
    <w:name w:val="Grid Table 5 Dark- Accent 1"/>
    <w:uiPriority w:val="0"/>
    <w:qFormat/>
    <w:tblPr>
      <w:tblCellMar>
        <w:left w:w="0" w:type="dxa"/>
        <w:top w:w="0" w:type="dxa"/>
        <w:right w:w="0" w:type="dxa"/>
        <w:bottom w:w="0" w:type="dxa"/>
      </w:tblCellMar>
    </w:tblPr>
  </w:style>
  <w:style w:type="table" w:styleId="1193" w:customStyle="1">
    <w:name w:val="Grid Table 7 Colorful - Accent 2"/>
    <w:uiPriority w:val="0"/>
    <w:qFormat/>
    <w:tblPr>
      <w:tblCellMar>
        <w:left w:w="0" w:type="dxa"/>
        <w:top w:w="0" w:type="dxa"/>
        <w:right w:w="0" w:type="dxa"/>
        <w:bottom w:w="0" w:type="dxa"/>
      </w:tblCellMar>
    </w:tblPr>
  </w:style>
  <w:style w:type="table" w:styleId="1194" w:customStyle="1">
    <w:name w:val="List Table 3 - Accent 5"/>
    <w:uiPriority w:val="0"/>
    <w:qFormat/>
    <w:tblPr>
      <w:tblCellMar>
        <w:left w:w="0" w:type="dxa"/>
        <w:top w:w="0" w:type="dxa"/>
        <w:right w:w="0" w:type="dxa"/>
        <w:bottom w:w="0" w:type="dxa"/>
      </w:tblCellMar>
    </w:tblPr>
  </w:style>
  <w:style w:type="table" w:styleId="1195" w:customStyle="1">
    <w:name w:val="清单表 31"/>
    <w:uiPriority w:val="0"/>
    <w:qFormat/>
    <w:tblPr>
      <w:tblCellMar>
        <w:left w:w="0" w:type="dxa"/>
        <w:top w:w="0" w:type="dxa"/>
        <w:right w:w="0" w:type="dxa"/>
        <w:bottom w:w="0" w:type="dxa"/>
      </w:tblCellMar>
    </w:tblPr>
  </w:style>
  <w:style w:type="table" w:styleId="1196" w:customStyle="1">
    <w:name w:val="Bordered &amp; Lined - Accent 2"/>
    <w:uiPriority w:val="0"/>
    <w:qFormat/>
    <w:rPr>
      <w:color w:val="404040"/>
    </w:rPr>
    <w:tblPr>
      <w:tblCellMar>
        <w:left w:w="0" w:type="dxa"/>
        <w:top w:w="0" w:type="dxa"/>
        <w:right w:w="0" w:type="dxa"/>
        <w:bottom w:w="0" w:type="dxa"/>
      </w:tblCellMar>
    </w:tblPr>
  </w:style>
  <w:style w:type="table" w:styleId="1197" w:customStyle="1">
    <w:name w:val="List Table 4 - Accent 3"/>
    <w:uiPriority w:val="0"/>
    <w:qFormat/>
    <w:tblPr>
      <w:tblCellMar>
        <w:left w:w="0" w:type="dxa"/>
        <w:top w:w="0" w:type="dxa"/>
        <w:right w:w="0" w:type="dxa"/>
        <w:bottom w:w="0" w:type="dxa"/>
      </w:tblCellMar>
    </w:tblPr>
  </w:style>
  <w:style w:type="table" w:styleId="1198" w:customStyle="1">
    <w:name w:val="Bordered &amp; Lined - Accent 3"/>
    <w:uiPriority w:val="0"/>
    <w:qFormat/>
    <w:rPr>
      <w:color w:val="404040"/>
    </w:rPr>
    <w:tblPr>
      <w:tblCellMar>
        <w:left w:w="0" w:type="dxa"/>
        <w:top w:w="0" w:type="dxa"/>
        <w:right w:w="0" w:type="dxa"/>
        <w:bottom w:w="0" w:type="dxa"/>
      </w:tblCellMar>
    </w:tblPr>
  </w:style>
  <w:style w:type="table" w:styleId="1199" w:customStyle="1">
    <w:name w:val="List Table 3 - Accent 4"/>
    <w:uiPriority w:val="0"/>
    <w:qFormat/>
    <w:tblPr>
      <w:tblCellMar>
        <w:left w:w="0" w:type="dxa"/>
        <w:top w:w="0" w:type="dxa"/>
        <w:right w:w="0" w:type="dxa"/>
        <w:bottom w:w="0" w:type="dxa"/>
      </w:tblCellMar>
    </w:tblPr>
  </w:style>
  <w:style w:type="table" w:styleId="1200" w:customStyle="1">
    <w:name w:val="网格型12"/>
    <w:uiPriority w:val="0"/>
    <w:qFormat/>
    <w:tblPr>
      <w:tblCellMar>
        <w:left w:w="0" w:type="dxa"/>
        <w:top w:w="0" w:type="dxa"/>
        <w:right w:w="0" w:type="dxa"/>
        <w:bottom w:w="0" w:type="dxa"/>
      </w:tblCellMar>
    </w:tblPr>
  </w:style>
  <w:style w:type="table" w:styleId="1201" w:customStyle="1">
    <w:name w:val="List Table 2 - Accent 6"/>
    <w:uiPriority w:val="0"/>
    <w:qFormat/>
    <w:tblPr>
      <w:tblCellMar>
        <w:left w:w="0" w:type="dxa"/>
        <w:top w:w="0" w:type="dxa"/>
        <w:right w:w="0" w:type="dxa"/>
        <w:bottom w:w="0" w:type="dxa"/>
      </w:tblCellMar>
    </w:tblPr>
  </w:style>
  <w:style w:type="table" w:styleId="1202" w:customStyle="1">
    <w:name w:val="清单表 41"/>
    <w:uiPriority w:val="0"/>
    <w:qFormat/>
    <w:tblPr>
      <w:tblCellMar>
        <w:left w:w="0" w:type="dxa"/>
        <w:top w:w="0" w:type="dxa"/>
        <w:right w:w="0" w:type="dxa"/>
        <w:bottom w:w="0" w:type="dxa"/>
      </w:tblCellMar>
    </w:tblPr>
  </w:style>
  <w:style w:type="table" w:styleId="1203" w:customStyle="1">
    <w:name w:val="Grid Table 6 Colorful - Accent 1"/>
    <w:uiPriority w:val="0"/>
    <w:qFormat/>
    <w:tblPr>
      <w:tblCellMar>
        <w:left w:w="0" w:type="dxa"/>
        <w:top w:w="0" w:type="dxa"/>
        <w:right w:w="0" w:type="dxa"/>
        <w:bottom w:w="0" w:type="dxa"/>
      </w:tblCellMar>
    </w:tblPr>
  </w:style>
  <w:style w:type="table" w:styleId="1204" w:customStyle="1">
    <w:name w:val="List Table 3 - Accent 1"/>
    <w:uiPriority w:val="0"/>
    <w:qFormat/>
    <w:tblPr>
      <w:tblCellMar>
        <w:left w:w="0" w:type="dxa"/>
        <w:top w:w="0" w:type="dxa"/>
        <w:right w:w="0" w:type="dxa"/>
        <w:bottom w:w="0" w:type="dxa"/>
      </w:tblCellMar>
    </w:tblPr>
  </w:style>
  <w:style w:type="table" w:styleId="1205" w:customStyle="1">
    <w:name w:val="网格表 6 彩色1"/>
    <w:uiPriority w:val="0"/>
    <w:qFormat/>
    <w:tblPr>
      <w:tblCellMar>
        <w:left w:w="0" w:type="dxa"/>
        <w:top w:w="0" w:type="dxa"/>
        <w:right w:w="0" w:type="dxa"/>
        <w:bottom w:w="0" w:type="dxa"/>
      </w:tblCellMar>
    </w:tblPr>
  </w:style>
  <w:style w:type="table" w:styleId="1206" w:customStyle="1">
    <w:name w:val="List Table 5 Dark - Accent 5"/>
    <w:uiPriority w:val="0"/>
    <w:qFormat/>
    <w:tblPr>
      <w:tblCellMar>
        <w:left w:w="0" w:type="dxa"/>
        <w:top w:w="0" w:type="dxa"/>
        <w:right w:w="0" w:type="dxa"/>
        <w:bottom w:w="0" w:type="dxa"/>
      </w:tblCellMar>
    </w:tblPr>
  </w:style>
  <w:style w:type="table" w:styleId="1207" w:customStyle="1">
    <w:name w:val="List Table 7 Colorful - Accent 1"/>
    <w:uiPriority w:val="0"/>
    <w:qFormat/>
    <w:tblPr>
      <w:tblCellMar>
        <w:left w:w="0" w:type="dxa"/>
        <w:top w:w="0" w:type="dxa"/>
        <w:right w:w="0" w:type="dxa"/>
        <w:bottom w:w="0" w:type="dxa"/>
      </w:tblCellMar>
    </w:tblPr>
  </w:style>
  <w:style w:type="table" w:styleId="1208" w:customStyle="1">
    <w:name w:val="Grid Table 5 Dark - Accent 6"/>
    <w:uiPriority w:val="0"/>
    <w:qFormat/>
    <w:tblPr>
      <w:tblCellMar>
        <w:left w:w="0" w:type="dxa"/>
        <w:top w:w="0" w:type="dxa"/>
        <w:right w:w="0" w:type="dxa"/>
        <w:bottom w:w="0" w:type="dxa"/>
      </w:tblCellMar>
    </w:tblPr>
  </w:style>
  <w:style w:type="table" w:styleId="1209" w:customStyle="1">
    <w:name w:val="Grid Table 5 Dark - Accent 5"/>
    <w:uiPriority w:val="0"/>
    <w:qFormat/>
    <w:tblPr>
      <w:tblCellMar>
        <w:left w:w="0" w:type="dxa"/>
        <w:top w:w="0" w:type="dxa"/>
        <w:right w:w="0" w:type="dxa"/>
        <w:bottom w:w="0" w:type="dxa"/>
      </w:tblCellMar>
    </w:tblPr>
  </w:style>
  <w:style w:type="table" w:styleId="1210" w:customStyle="1">
    <w:name w:val="网格表 41"/>
    <w:uiPriority w:val="0"/>
    <w:qFormat/>
    <w:tblPr>
      <w:tblCellMar>
        <w:left w:w="0" w:type="dxa"/>
        <w:top w:w="0" w:type="dxa"/>
        <w:right w:w="0" w:type="dxa"/>
        <w:bottom w:w="0" w:type="dxa"/>
      </w:tblCellMar>
    </w:tblPr>
  </w:style>
  <w:style w:type="table" w:styleId="1211" w:customStyle="1">
    <w:name w:val="List Table 5 Dark - Accent 2"/>
    <w:uiPriority w:val="0"/>
    <w:qFormat/>
    <w:tblPr>
      <w:tblCellMar>
        <w:left w:w="0" w:type="dxa"/>
        <w:top w:w="0" w:type="dxa"/>
        <w:right w:w="0" w:type="dxa"/>
        <w:bottom w:w="0" w:type="dxa"/>
      </w:tblCellMar>
    </w:tblPr>
  </w:style>
  <w:style w:type="table" w:styleId="1212" w:customStyle="1">
    <w:name w:val="网格型2"/>
    <w:uiPriority w:val="0"/>
    <w:qFormat/>
    <w:tblPr>
      <w:tblCellMar>
        <w:left w:w="0" w:type="dxa"/>
        <w:top w:w="0" w:type="dxa"/>
        <w:right w:w="0" w:type="dxa"/>
        <w:bottom w:w="0" w:type="dxa"/>
      </w:tblCellMar>
    </w:tblPr>
  </w:style>
  <w:style w:type="table" w:styleId="1213" w:customStyle="1">
    <w:name w:val="List Table 7 Colorful - Accent 4"/>
    <w:uiPriority w:val="0"/>
    <w:qFormat/>
    <w:tblPr>
      <w:tblCellMar>
        <w:left w:w="0" w:type="dxa"/>
        <w:top w:w="0" w:type="dxa"/>
        <w:right w:w="0" w:type="dxa"/>
        <w:bottom w:w="0" w:type="dxa"/>
      </w:tblCellMar>
    </w:tblPr>
  </w:style>
  <w:style w:type="table" w:styleId="1214" w:customStyle="1">
    <w:name w:val="List Table 5 Dark - Accent 1"/>
    <w:uiPriority w:val="0"/>
    <w:qFormat/>
    <w:tblPr>
      <w:tblCellMar>
        <w:left w:w="0" w:type="dxa"/>
        <w:top w:w="0" w:type="dxa"/>
        <w:right w:w="0" w:type="dxa"/>
        <w:bottom w:w="0" w:type="dxa"/>
      </w:tblCellMar>
    </w:tblPr>
  </w:style>
  <w:style w:type="table" w:styleId="1215" w:customStyle="1">
    <w:name w:val="清单表 7 彩色1"/>
    <w:uiPriority w:val="0"/>
    <w:qFormat/>
    <w:tblPr>
      <w:tblCellMar>
        <w:left w:w="0" w:type="dxa"/>
        <w:top w:w="0" w:type="dxa"/>
        <w:right w:w="0" w:type="dxa"/>
        <w:bottom w:w="0" w:type="dxa"/>
      </w:tblCellMar>
    </w:tblPr>
  </w:style>
  <w:style w:type="table" w:styleId="1216" w:customStyle="1">
    <w:name w:val="Grid Table 1 Light - Accent 4"/>
    <w:uiPriority w:val="0"/>
    <w:qFormat/>
    <w:tblPr>
      <w:tblCellMar>
        <w:left w:w="0" w:type="dxa"/>
        <w:top w:w="0" w:type="dxa"/>
        <w:right w:w="0" w:type="dxa"/>
        <w:bottom w:w="0" w:type="dxa"/>
      </w:tblCellMar>
    </w:tblPr>
  </w:style>
  <w:style w:type="table" w:styleId="1217" w:customStyle="1">
    <w:name w:val="Lined - Accent 3"/>
    <w:uiPriority w:val="0"/>
    <w:qFormat/>
    <w:rPr>
      <w:color w:val="404040"/>
    </w:rPr>
    <w:tblPr>
      <w:tblCellMar>
        <w:left w:w="0" w:type="dxa"/>
        <w:top w:w="0" w:type="dxa"/>
        <w:right w:w="0" w:type="dxa"/>
        <w:bottom w:w="0" w:type="dxa"/>
      </w:tblCellMar>
    </w:tblPr>
  </w:style>
  <w:style w:type="table" w:styleId="1218" w:customStyle="1">
    <w:name w:val="Grid Table 7 Colorful - Accent 1"/>
    <w:uiPriority w:val="0"/>
    <w:qFormat/>
    <w:tblPr>
      <w:tblCellMar>
        <w:left w:w="0" w:type="dxa"/>
        <w:top w:w="0" w:type="dxa"/>
        <w:right w:w="0" w:type="dxa"/>
        <w:bottom w:w="0" w:type="dxa"/>
      </w:tblCellMar>
    </w:tblPr>
  </w:style>
  <w:style w:type="table" w:styleId="1219" w:customStyle="1">
    <w:name w:val="List Table 5 Dark - Accent 6"/>
    <w:uiPriority w:val="0"/>
    <w:qFormat/>
    <w:tblPr>
      <w:tblCellMar>
        <w:left w:w="0" w:type="dxa"/>
        <w:top w:w="0" w:type="dxa"/>
        <w:right w:w="0" w:type="dxa"/>
        <w:bottom w:w="0" w:type="dxa"/>
      </w:tblCellMar>
    </w:tblPr>
  </w:style>
  <w:style w:type="table" w:styleId="1220" w:customStyle="1">
    <w:name w:val="List Table 6 Colorful - Accent 1"/>
    <w:uiPriority w:val="0"/>
    <w:qFormat/>
    <w:tblPr>
      <w:tblCellMar>
        <w:left w:w="0" w:type="dxa"/>
        <w:top w:w="0" w:type="dxa"/>
        <w:right w:w="0" w:type="dxa"/>
        <w:bottom w:w="0" w:type="dxa"/>
      </w:tblCellMar>
    </w:tblPr>
  </w:style>
  <w:style w:type="table" w:styleId="1221" w:customStyle="1">
    <w:name w:val="List Table 4 - Accent 5"/>
    <w:uiPriority w:val="0"/>
    <w:qFormat/>
    <w:tblPr>
      <w:tblCellMar>
        <w:left w:w="0" w:type="dxa"/>
        <w:top w:w="0" w:type="dxa"/>
        <w:right w:w="0" w:type="dxa"/>
        <w:bottom w:w="0" w:type="dxa"/>
      </w:tblCellMar>
    </w:tblPr>
  </w:style>
  <w:style w:type="table" w:styleId="1222" w:customStyle="1">
    <w:name w:val="List Table 2 - Accent 5"/>
    <w:uiPriority w:val="0"/>
    <w:qFormat/>
    <w:tblPr>
      <w:tblCellMar>
        <w:left w:w="0" w:type="dxa"/>
        <w:top w:w="0" w:type="dxa"/>
        <w:right w:w="0" w:type="dxa"/>
        <w:bottom w:w="0" w:type="dxa"/>
      </w:tblCellMar>
    </w:tblPr>
  </w:style>
  <w:style w:type="table" w:styleId="1223" w:customStyle="1">
    <w:name w:val="Grid Table 5 Dark - Accent 3"/>
    <w:uiPriority w:val="0"/>
    <w:qFormat/>
    <w:tblPr>
      <w:tblCellMar>
        <w:left w:w="0" w:type="dxa"/>
        <w:top w:w="0" w:type="dxa"/>
        <w:right w:w="0" w:type="dxa"/>
        <w:bottom w:w="0" w:type="dxa"/>
      </w:tblCellMar>
    </w:tblPr>
  </w:style>
  <w:style w:type="table" w:styleId="1224" w:customStyle="1">
    <w:name w:val="Grid Table 7 Colorful - Accent 4"/>
    <w:uiPriority w:val="0"/>
    <w:qFormat/>
    <w:tblPr>
      <w:tblCellMar>
        <w:left w:w="0" w:type="dxa"/>
        <w:top w:w="0" w:type="dxa"/>
        <w:right w:w="0" w:type="dxa"/>
        <w:bottom w:w="0" w:type="dxa"/>
      </w:tblCellMar>
    </w:tblPr>
  </w:style>
  <w:style w:type="table" w:styleId="1225" w:customStyle="1">
    <w:name w:val="Grid Table 5 Dark - Accent 2"/>
    <w:uiPriority w:val="0"/>
    <w:qFormat/>
    <w:tblPr>
      <w:tblCellMar>
        <w:left w:w="0" w:type="dxa"/>
        <w:top w:w="0" w:type="dxa"/>
        <w:right w:w="0" w:type="dxa"/>
        <w:bottom w:w="0" w:type="dxa"/>
      </w:tblCellMar>
    </w:tblPr>
  </w:style>
  <w:style w:type="table" w:styleId="1226" w:customStyle="1">
    <w:name w:val="List Table 1 Light - Accent 6"/>
    <w:uiPriority w:val="0"/>
    <w:qFormat/>
    <w:tblPr>
      <w:tblCellMar>
        <w:left w:w="0" w:type="dxa"/>
        <w:top w:w="0" w:type="dxa"/>
        <w:right w:w="0" w:type="dxa"/>
        <w:bottom w:w="0" w:type="dxa"/>
      </w:tblCellMar>
    </w:tblPr>
  </w:style>
  <w:style w:type="table" w:styleId="1227" w:customStyle="1">
    <w:name w:val="Table Grid Light"/>
    <w:uiPriority w:val="0"/>
    <w:qFormat/>
    <w:tblPr>
      <w:tblCellMar>
        <w:left w:w="0" w:type="dxa"/>
        <w:top w:w="0" w:type="dxa"/>
        <w:right w:w="0" w:type="dxa"/>
        <w:bottom w:w="0" w:type="dxa"/>
      </w:tblCellMar>
    </w:tblPr>
  </w:style>
  <w:style w:type="table" w:styleId="1228" w:customStyle="1">
    <w:name w:val="List Table 7 Colorful - Accent 2"/>
    <w:uiPriority w:val="0"/>
    <w:qFormat/>
    <w:tblPr>
      <w:tblCellMar>
        <w:left w:w="0" w:type="dxa"/>
        <w:top w:w="0" w:type="dxa"/>
        <w:right w:w="0" w:type="dxa"/>
        <w:bottom w:w="0" w:type="dxa"/>
      </w:tblCellMar>
    </w:tblPr>
  </w:style>
  <w:style w:type="table" w:styleId="1229" w:customStyle="1">
    <w:name w:val="Grid Table 1 Light - Accent 1"/>
    <w:uiPriority w:val="0"/>
    <w:qFormat/>
    <w:tblPr>
      <w:tblCellMar>
        <w:left w:w="0" w:type="dxa"/>
        <w:top w:w="0" w:type="dxa"/>
        <w:right w:w="0" w:type="dxa"/>
        <w:bottom w:w="0" w:type="dxa"/>
      </w:tblCellMar>
    </w:tblPr>
  </w:style>
  <w:style w:type="table" w:styleId="1230" w:customStyle="1">
    <w:name w:val="Grid Table 3 - Accent 6"/>
    <w:uiPriority w:val="0"/>
    <w:qFormat/>
    <w:tblPr>
      <w:tblCellMar>
        <w:left w:w="0" w:type="dxa"/>
        <w:top w:w="0" w:type="dxa"/>
        <w:right w:w="0" w:type="dxa"/>
        <w:bottom w:w="0" w:type="dxa"/>
      </w:tblCellMar>
    </w:tblPr>
  </w:style>
  <w:style w:type="table" w:styleId="1231" w:customStyle="1">
    <w:name w:val="Grid Table 2 - Accent 5"/>
    <w:uiPriority w:val="0"/>
    <w:qFormat/>
    <w:tblPr>
      <w:tblCellMar>
        <w:left w:w="0" w:type="dxa"/>
        <w:top w:w="0" w:type="dxa"/>
        <w:right w:w="0" w:type="dxa"/>
        <w:bottom w:w="0" w:type="dxa"/>
      </w:tblCellMar>
    </w:tblPr>
  </w:style>
  <w:style w:type="table" w:styleId="1232" w:customStyle="1">
    <w:name w:val="Grid Table 7 Colorful - Accent 6"/>
    <w:uiPriority w:val="0"/>
    <w:qFormat/>
    <w:tblPr>
      <w:tblCellMar>
        <w:left w:w="0" w:type="dxa"/>
        <w:top w:w="0" w:type="dxa"/>
        <w:right w:w="0" w:type="dxa"/>
        <w:bottom w:w="0" w:type="dxa"/>
      </w:tblCellMar>
    </w:tblPr>
  </w:style>
  <w:style w:type="table" w:styleId="1233" w:customStyle="1">
    <w:name w:val="Grid Table 4 - Accent 6"/>
    <w:uiPriority w:val="0"/>
    <w:qFormat/>
    <w:tblPr>
      <w:tblCellMar>
        <w:left w:w="0" w:type="dxa"/>
        <w:top w:w="0" w:type="dxa"/>
        <w:right w:w="0" w:type="dxa"/>
        <w:bottom w:w="0" w:type="dxa"/>
      </w:tblCellMar>
    </w:tblPr>
  </w:style>
  <w:style w:type="table" w:styleId="1234" w:customStyle="1">
    <w:name w:val="Bordered"/>
    <w:uiPriority w:val="0"/>
    <w:qFormat/>
    <w:tblPr>
      <w:tblCellMar>
        <w:left w:w="0" w:type="dxa"/>
        <w:top w:w="0" w:type="dxa"/>
        <w:right w:w="0" w:type="dxa"/>
        <w:bottom w:w="0" w:type="dxa"/>
      </w:tblCellMar>
    </w:tblPr>
  </w:style>
  <w:style w:type="table" w:styleId="1235" w:customStyle="1">
    <w:name w:val="Bordered - Accent 3"/>
    <w:uiPriority w:val="0"/>
    <w:qFormat/>
    <w:tblPr>
      <w:tblCellMar>
        <w:left w:w="0" w:type="dxa"/>
        <w:top w:w="0" w:type="dxa"/>
        <w:right w:w="0" w:type="dxa"/>
        <w:bottom w:w="0" w:type="dxa"/>
      </w:tblCellMar>
    </w:tblPr>
  </w:style>
  <w:style w:type="table" w:styleId="1236" w:customStyle="1">
    <w:name w:val="Grid Table 6 Colorful - Accent 2"/>
    <w:uiPriority w:val="0"/>
    <w:qFormat/>
    <w:tblPr>
      <w:tblCellMar>
        <w:left w:w="0" w:type="dxa"/>
        <w:top w:w="0" w:type="dxa"/>
        <w:right w:w="0" w:type="dxa"/>
        <w:bottom w:w="0" w:type="dxa"/>
      </w:tblCellMar>
    </w:tblPr>
  </w:style>
  <w:style w:type="table" w:styleId="1237" w:customStyle="1">
    <w:name w:val="Bordered &amp; Lined - Accent 4"/>
    <w:uiPriority w:val="0"/>
    <w:qFormat/>
    <w:rPr>
      <w:color w:val="404040"/>
    </w:rPr>
    <w:tblPr>
      <w:tblCellMar>
        <w:left w:w="0" w:type="dxa"/>
        <w:top w:w="0" w:type="dxa"/>
        <w:right w:w="0" w:type="dxa"/>
        <w:bottom w:w="0" w:type="dxa"/>
      </w:tblCellMar>
    </w:tblPr>
  </w:style>
  <w:style w:type="table" w:styleId="1238" w:customStyle="1">
    <w:name w:val="普通表格12"/>
    <w:uiPriority w:val="0"/>
    <w:qFormat/>
    <w:tblPr>
      <w:tblCellMar>
        <w:left w:w="0" w:type="dxa"/>
        <w:top w:w="0" w:type="dxa"/>
        <w:right w:w="0" w:type="dxa"/>
        <w:bottom w:w="0" w:type="dxa"/>
      </w:tblCellMar>
    </w:tblPr>
  </w:style>
  <w:style w:type="table" w:styleId="1239" w:customStyle="1">
    <w:name w:val="Lined - Accent 4"/>
    <w:uiPriority w:val="0"/>
    <w:qFormat/>
    <w:rPr>
      <w:color w:val="404040"/>
    </w:rPr>
    <w:tblPr>
      <w:tblCellMar>
        <w:left w:w="0" w:type="dxa"/>
        <w:top w:w="0" w:type="dxa"/>
        <w:right w:w="0" w:type="dxa"/>
        <w:bottom w:w="0" w:type="dxa"/>
      </w:tblCellMar>
    </w:tblPr>
  </w:style>
  <w:style w:type="table" w:styleId="1240" w:customStyle="1">
    <w:name w:val="List Table 1 Light - Accent 3"/>
    <w:uiPriority w:val="0"/>
    <w:qFormat/>
    <w:tblPr>
      <w:tblCellMar>
        <w:left w:w="0" w:type="dxa"/>
        <w:top w:w="0" w:type="dxa"/>
        <w:right w:w="0" w:type="dxa"/>
        <w:bottom w:w="0" w:type="dxa"/>
      </w:tblCellMar>
    </w:tblPr>
  </w:style>
  <w:style w:type="table" w:styleId="1241" w:customStyle="1">
    <w:name w:val="Grid Table 6 Colorful - Accent 3"/>
    <w:uiPriority w:val="0"/>
    <w:qFormat/>
    <w:tblPr>
      <w:tblCellMar>
        <w:left w:w="0" w:type="dxa"/>
        <w:top w:w="0" w:type="dxa"/>
        <w:right w:w="0" w:type="dxa"/>
        <w:bottom w:w="0" w:type="dxa"/>
      </w:tblCellMar>
    </w:tblPr>
  </w:style>
  <w:style w:type="table" w:styleId="1242" w:customStyle="1">
    <w:name w:val="Bordered - Accent 1"/>
    <w:uiPriority w:val="0"/>
    <w:qFormat/>
    <w:tblPr>
      <w:tblCellMar>
        <w:left w:w="0" w:type="dxa"/>
        <w:top w:w="0" w:type="dxa"/>
        <w:right w:w="0" w:type="dxa"/>
        <w:bottom w:w="0" w:type="dxa"/>
      </w:tblCellMar>
    </w:tblPr>
  </w:style>
  <w:style w:type="table" w:styleId="1243" w:customStyle="1">
    <w:name w:val="清单表 21"/>
    <w:uiPriority w:val="0"/>
    <w:qFormat/>
    <w:tblPr>
      <w:tblCellMar>
        <w:left w:w="0" w:type="dxa"/>
        <w:top w:w="0" w:type="dxa"/>
        <w:right w:w="0" w:type="dxa"/>
        <w:bottom w:w="0" w:type="dxa"/>
      </w:tblCellMar>
    </w:tblPr>
  </w:style>
  <w:style w:type="paragraph" w:styleId="1244" w:customStyle="1">
    <w:name w:val="正文文本13"/>
    <w:next w:val="906"/>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普通(网站)13"/>
    <w:uiPriority w:val="0"/>
    <w:qFormat/>
    <w:pPr>
      <w:spacing w:before="100" w:beforeAutospacing="1" w:after="100" w:afterAutospacing="1"/>
      <w:widowControl w:val="off"/>
    </w:pPr>
    <w:rPr>
      <w:rFonts w:ascii="Times New Roman" w:hAnsi="Times New Roman" w:eastAsia="宋体" w:cs="Times New Roman"/>
      <w:sz w:val="24"/>
      <w:szCs w:val="24"/>
      <w:lang w:val="en-US" w:eastAsia="zh-CN" w:bidi="ar-SA"/>
    </w:rPr>
  </w:style>
  <w:style w:type="paragraph" w:styleId="1246" w:customStyle="1">
    <w:name w:val="表格文字"/>
    <w:next w:val="868"/>
    <w:uiPriority w:val="99"/>
    <w:qFormat/>
    <w:pPr>
      <w:ind w:left="420"/>
      <w:spacing w:before="25" w:after="25"/>
    </w:pPr>
    <w:rPr>
      <w:rFonts w:ascii="Times New Roman" w:hAnsi="Times New Roman" w:eastAsia="宋体" w:cs="Times New Roman"/>
      <w:bCs/>
      <w:spacing w:val="10"/>
      <w:lang w:val="en-US" w:eastAsia="zh-CN" w:bidi="ar-SA"/>
    </w:rPr>
  </w:style>
  <w:style w:type="character" w:styleId="1247" w:customStyle="1">
    <w:name w:val="fontstyle01"/>
    <w:basedOn w:val="862"/>
    <w:uiPriority w:val="0"/>
    <w:qFormat/>
    <w:rPr>
      <w:rFonts w:hint="eastAsia" w:ascii="宋体" w:hAnsi="宋体" w:eastAsia="宋体"/>
      <w:color w:val="000000"/>
      <w:sz w:val="24"/>
      <w:szCs w:val="24"/>
    </w:rPr>
  </w:style>
  <w:style w:type="paragraph" w:styleId="1248" w:customStyle="1">
    <w:name w:val="修订1"/>
    <w:hidden/>
    <w:uiPriority w:val="99"/>
    <w:unhideWhenUsed/>
    <w:qFormat/>
    <w:rPr>
      <w:rFonts w:ascii="Times New Roman" w:hAnsi="Times New Roman" w:eastAsia="宋体" w:cs="Times New Roman"/>
      <w:sz w:val="21"/>
      <w:szCs w:val="24"/>
      <w:lang w:val="en-US" w:eastAsia="zh-CN" w:bidi="ar-SA"/>
    </w:rPr>
  </w:style>
  <w:style w:type="numbering" w:styleId="1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0bd359b7-f38d-4953-a6b6-851520aa259e</errorID>
      <errorWord>--</errorWord>
      <group>L1_Punc</group>
      <groupName>标点问题</groupName>
      <ability>L2_Punc</ability>
      <abilityName>标点符号检查</abilityName>
      <candidateList>
        <item>——</item>
      </candidateList>
      <explain/>
      <paraID>1BB9E9C7</paraID>
      <start>26</start>
      <end>28</end>
      <status>ignored</status>
      <modifiedWord/>
      <trackRevisions>false</trackRevisions>
    </reviewItem>
    <reviewItem>
      <errorID>a4bbd9eb-0b48-4793-ba3a-57f2cd0baa8e</errorID>
      <errorWord>--</errorWord>
      <group>L1_Punc</group>
      <groupName>标点问题</groupName>
      <ability>L2_Punc</ability>
      <abilityName>标点符号检查</abilityName>
      <candidateList>
        <item>——</item>
      </candidateList>
      <explain/>
      <paraID>1BB9E9C7</paraID>
      <start>35</start>
      <end>37</end>
      <status>ignored</status>
      <modifiedWord/>
      <trackRevisions>false</trackRevisions>
    </reviewItem>
    <reviewItem>
      <errorID>5a64d9d2-0fb5-4358-8f72-2096c70f7bd5</errorID>
      <errorWord>－－</errorWord>
      <group>L1_Punc</group>
      <groupName>标点问题</groupName>
      <ability>L2_Punc</ability>
      <abilityName>标点符号检查</abilityName>
      <candidateList>
        <item>——</item>
      </candidateList>
      <explain/>
      <paraID>1BB9E9C7</paraID>
      <start>41</start>
      <end>43</end>
      <status>ignored</status>
      <modifiedWord/>
      <trackRevisions>false</trackRevisions>
    </reviewItem>
    <reviewItem>
      <errorID>e3a7d836-8f42-4fc4-bb13-b780b4ea3364</errorID>
      <errorWord>“.</errorWord>
      <group>L1_Punc</group>
      <groupName>标点问题</groupName>
      <ability>L2_Punc</ability>
      <abilityName>标点符号检查</abilityName>
      <candidateList>
        <item>“</item>
      </candidateList>
      <explain/>
      <paraID>1BB9E9C7</paraID>
      <start>54</start>
      <end>56</end>
      <status>ignored</status>
      <modifiedWord/>
      <trackRevisions>false</trackRevisions>
    </reviewItem>
    <reviewItem>
      <errorID>efbc0300-a7c4-4074-b055-e3419a699316</errorID>
      <errorWord>--</errorWord>
      <group>L1_Punc</group>
      <groupName>标点问题</groupName>
      <ability>L2_Punc</ability>
      <abilityName>标点符号检查</abilityName>
      <candidateList>
        <item>——</item>
      </candidateList>
      <explain/>
      <paraID>1BB9E9C7</paraID>
      <start>62</start>
      <end>64</end>
      <status>ignored</status>
      <modifiedWord/>
      <trackRevisions>false</trackRevisions>
    </reviewItem>
    <reviewItem>
      <errorID>c1b9f727-1d3e-4f09-b397-4bdf1410b0af</errorID>
      <errorWord>“.</errorWord>
      <group>L1_Punc</group>
      <groupName>标点问题</groupName>
      <ability>L2_Punc</ability>
      <abilityName>标点符号检查</abilityName>
      <candidateList>
        <item>“</item>
      </candidateList>
      <explain/>
      <paraID>1BB9E9C7</paraID>
      <start>69</start>
      <end>71</end>
      <status>ignored</status>
      <modifiedWord/>
      <trackRevisions>false</trackRevisions>
    </reviewItem>
    <reviewItem>
      <errorID>de145a6c-ad52-408c-b8bd-4df1aa380a5d</errorID>
      <errorWord>－－</errorWord>
      <group>L1_Punc</group>
      <groupName>标点问题</groupName>
      <ability>L2_Punc</ability>
      <abilityName>标点符号检查</abilityName>
      <candidateList>
        <item>——</item>
      </candidateList>
      <explain/>
      <paraID>1BB9E9C7</paraID>
      <start>92</start>
      <end>94</end>
      <status>ignored</status>
      <modifiedWord/>
      <trackRevisions>false</trackRevisions>
    </reviewItem>
    <reviewItem>
      <errorID>3018ffb5-ba0d-462e-8be3-bfa7f92f341f</errorID>
      <errorWord>－－</errorWord>
      <group>L1_Punc</group>
      <groupName>标点问题</groupName>
      <ability>L2_Punc</ability>
      <abilityName>标点符号检查</abilityName>
      <candidateList>
        <item>——</item>
      </candidateList>
      <explain/>
      <paraID>1BB9E9C7</paraID>
      <start>100</start>
      <end>102</end>
      <status>ignored</status>
      <modifiedWord/>
      <trackRevisions>false</trackRevisions>
    </reviewItem>
    <reviewItem>
      <errorID>d983c683-de63-4e7b-947a-f508a1ae84b5</errorID>
      <errorWord>--</errorWord>
      <group>L1_Punc</group>
      <groupName>标点问题</groupName>
      <ability>L2_Punc</ability>
      <abilityName>标点符号检查</abilityName>
      <candidateList>
        <item>——</item>
      </candidateList>
      <explain/>
      <paraID>1BB9E9C7</paraID>
      <start>120</start>
      <end>122</end>
      <status>ignored</status>
      <modifiedWord/>
      <trackRevisions>false</trackRevisions>
    </reviewItem>
    <reviewItem>
      <errorID>cf4d4c3c-ff1c-4463-8a92-50d522f7b336</errorID>
      <errorWord>-</errorWord>
      <group>L1_Format</group>
      <groupName>格式问题</groupName>
      <ability>L2_HalfPunc</ability>
      <abilityName>全半角检查</abilityName>
      <candidateList>
        <item>－</item>
      </candidateList>
      <explain>文本全半角错误。</explain>
      <paraID>1EDACEE9</paraID>
      <start>130</start>
      <end>131</end>
      <status>ignored</status>
      <modifiedWord/>
      <trackRevisions>false</trackRevisions>
    </reviewItem>
    <reviewItem>
      <errorID>18fa211b-1543-4729-88d1-617a4aaa0189</errorID>
      <errorWord>-</errorWord>
      <group>L1_Format</group>
      <groupName>格式问题</groupName>
      <ability>L2_HalfPunc</ability>
      <abilityName>全半角检查</abilityName>
      <candidateList>
        <item>－</item>
      </candidateList>
      <explain>文本全半角错误。</explain>
      <paraID>1EDACEE9</paraID>
      <start>131</start>
      <end>132</end>
      <status>ignored</status>
      <modifiedWord/>
      <trackRevisions>false</trackRevisions>
    </reviewItem>
    <reviewItem>
      <errorID>9ee3541a-0e4e-40af-9602-13e6c6e8e6ee</errorID>
      <errorWord>-</errorWord>
      <group>L1_Format</group>
      <groupName>格式问题</groupName>
      <ability>L2_HalfPunc</ability>
      <abilityName>全半角检查</abilityName>
      <candidateList>
        <item>－</item>
      </candidateList>
      <explain>文本全半角错误。</explain>
      <paraID>1EDACEE9</paraID>
      <start>135</start>
      <end>136</end>
      <status>ignored</status>
      <modifiedWord/>
      <trackRevisions>false</trackRevisions>
    </reviewItem>
    <reviewItem>
      <errorID>1cb55222-09cc-4d66-b155-e95c8354eb3a</errorID>
      <errorWord>-</errorWord>
      <group>L1_Format</group>
      <groupName>格式问题</groupName>
      <ability>L2_HalfPunc</ability>
      <abilityName>全半角检查</abilityName>
      <candidateList>
        <item>－</item>
      </candidateList>
      <explain>文本全半角错误。</explain>
      <paraID>1EDACEE9</paraID>
      <start>136</start>
      <end>137</end>
      <status>ignored</status>
      <modifiedWord/>
      <trackRevisions>false</trackRevisions>
    </reviewItem>
    <reviewItem>
      <errorID>0246b593-0c05-4dfc-91b2-32718f3efb79</errorID>
      <errorWord>“.</errorWord>
      <group>L1_Punc</group>
      <groupName>标点问题</groupName>
      <ability>L2_Punc</ability>
      <abilityName>标点符号检查</abilityName>
      <candidateList>
        <item>“</item>
      </candidateList>
      <explain/>
      <paraID>728DCA9B</paraID>
      <start>12</start>
      <end>14</end>
      <status>ignored</status>
      <modifiedWord/>
      <trackRevisions>false</trackRevisions>
    </reviewItem>
    <reviewItem>
      <errorID>9d0ecd59-1844-42bf-81fa-2f9de0c7a59e</errorID>
      <errorWord>-</errorWord>
      <group>L1_Format</group>
      <groupName>格式问题</groupName>
      <ability>L2_HalfPunc</ability>
      <abilityName>全半角检查</abilityName>
      <candidateList>
        <item>－</item>
      </candidateList>
      <explain>文本全半角错误。</explain>
      <paraID>728DCA9B</paraID>
      <start>48</start>
      <end>49</end>
      <status>ignored</status>
      <modifiedWord/>
      <trackRevisions>false</trackRevisions>
    </reviewItem>
    <reviewItem>
      <errorID>dfce603a-7996-4c2f-9694-4dbb1d62e66e</errorID>
      <errorWord>-</errorWord>
      <group>L1_Format</group>
      <groupName>格式问题</groupName>
      <ability>L2_HalfPunc</ability>
      <abilityName>全半角检查</abilityName>
      <candidateList>
        <item>－</item>
      </candidateList>
      <explain>文本全半角错误。</explain>
      <paraID>728DCA9B</paraID>
      <start>49</start>
      <end>50</end>
      <status>ignored</status>
      <modifiedWord/>
      <trackRevisions>false</trackRevisions>
    </reviewItem>
    <reviewItem>
      <errorID>4aa96225-b370-4d5f-9a31-c875f98a13aa</errorID>
      <errorWord>-</errorWord>
      <group>L1_Format</group>
      <groupName>格式问题</groupName>
      <ability>L2_HalfPunc</ability>
      <abilityName>全半角检查</abilityName>
      <candidateList>
        <item>－</item>
      </candidateList>
      <explain>文本全半角错误。</explain>
      <paraID>728DCA9B</paraID>
      <start>55</start>
      <end>56</end>
      <status>ignored</status>
      <modifiedWord/>
      <trackRevisions>false</trackRevisions>
    </reviewItem>
    <reviewItem>
      <errorID>8dc1d2de-5253-41f6-a534-e676762549bb</errorID>
      <errorWord>-</errorWord>
      <group>L1_Format</group>
      <groupName>格式问题</groupName>
      <ability>L2_HalfPunc</ability>
      <abilityName>全半角检查</abilityName>
      <candidateList>
        <item>－</item>
      </candidateList>
      <explain>文本全半角错误。</explain>
      <paraID>728DCA9B</paraID>
      <start>56</start>
      <end>57</end>
      <status>ignored</status>
      <modifiedWord/>
      <trackRevisions>false</trackRevisions>
    </reviewItem>
    <reviewItem>
      <errorID>82e67442-6744-41df-9cf5-ccfc949395dc</errorID>
      <errorWord>--</errorWord>
      <group>L1_Punc</group>
      <groupName>标点问题</groupName>
      <ability>L2_Punc</ability>
      <abilityName>标点符号检查</abilityName>
      <candidateList>
        <item>——</item>
      </candidateList>
      <explain/>
      <paraID>728DCA9B</paraID>
      <start>101</start>
      <end>103</end>
      <status>ignored</status>
      <modifiedWord/>
      <trackRevisions>false</trackRevisions>
    </reviewItem>
    <reviewItem>
      <errorID>9590255d-340f-4c08-9b2a-575d47571a22</errorID>
      <errorWord>----</errorWord>
      <group>L1_Punc</group>
      <groupName>标点问题</groupName>
      <ability>L2_Punc</ability>
      <abilityName>标点符号检查</abilityName>
      <candidateList>
        <item>——</item>
      </candidateList>
      <explain/>
      <paraID>728DCA9B</paraID>
      <start>107</start>
      <end>111</end>
      <status>ignored</status>
      <modifiedWord/>
      <trackRevisions>false</trackRevisions>
    </reviewItem>
    <reviewItem>
      <errorID>42855d6a-24d6-4b9a-8b8f-352441b2a0f1</errorID>
      <errorWord>-</errorWord>
      <group>L1_Format</group>
      <groupName>格式问题</groupName>
      <ability>L2_HalfPunc</ability>
      <abilityName>全半角检查</abilityName>
      <candidateList>
        <item>－</item>
      </candidateList>
      <explain>文本全半角错误。</explain>
      <paraID>57E8F625</paraID>
      <start>119</start>
      <end>120</end>
      <status>ignored</status>
      <modifiedWord/>
      <trackRevisions>false</trackRevisions>
    </reviewItem>
    <reviewItem>
      <errorID>ee8062f9-499b-4e4c-9976-7574e166bc9d</errorID>
      <errorWord>-</errorWord>
      <group>L1_Format</group>
      <groupName>格式问题</groupName>
      <ability>L2_HalfPunc</ability>
      <abilityName>全半角检查</abilityName>
      <candidateList>
        <item>－</item>
      </candidateList>
      <explain>文本全半角错误。</explain>
      <paraID>57E8F625</paraID>
      <start>120</start>
      <end>121</end>
      <status>ignored</status>
      <modifiedWord/>
      <trackRevisions>false</trackRevisions>
    </reviewItem>
    <reviewItem>
      <errorID>f5c87d94-213e-4769-b598-f2a4869ea163</errorID>
      <errorWord>-</errorWord>
      <group>L1_Format</group>
      <groupName>格式问题</groupName>
      <ability>L2_HalfPunc</ability>
      <abilityName>全半角检查</abilityName>
      <candidateList>
        <item>－</item>
      </candidateList>
      <explain>文本全半角错误。</explain>
      <paraID>57E8F625</paraID>
      <start>124</start>
      <end>125</end>
      <status>ignored</status>
      <modifiedWord/>
      <trackRevisions>false</trackRevisions>
    </reviewItem>
    <reviewItem>
      <errorID>6116172a-5934-4faf-bc16-1b3d0990fa3d</errorID>
      <errorWord>-</errorWord>
      <group>L1_Format</group>
      <groupName>格式问题</groupName>
      <ability>L2_HalfPunc</ability>
      <abilityName>全半角检查</abilityName>
      <candidateList>
        <item>－</item>
      </candidateList>
      <explain>文本全半角错误。</explain>
      <paraID>57E8F625</paraID>
      <start>125</start>
      <end>126</end>
      <status>ignored</status>
      <modifiedWord/>
      <trackRevisions>false</trackRevisions>
    </reviewItem>
    <reviewItem>
      <errorID>905c3aee-2c0b-455e-a27c-791804690a4b</errorID>
      <errorWord>。</errorWord>
      <group>L1_Punc</group>
      <groupName>标点问题</groupName>
      <ability>L2_Punc</ability>
      <abilityName>标点符号检查</abilityName>
      <candidateList>
        <item>：</item>
      </candidateList>
      <explain/>
      <paraID>5BF470F8</paraID>
      <start>6</start>
      <end>7</end>
      <status>ignored</status>
      <modifiedWord/>
      <trackRevisions>false</trackRevisions>
    </reviewItem>
    <reviewItem>
      <errorID>0a0119e2-51cf-40c8-b716-8a6fe090d940</errorID>
      <errorWord>招标采购</errorWord>
      <group>L1_Word</group>
      <groupName>字词问题</groupName>
      <ability>L2_Typo</ability>
      <abilityName>字词错误</abilityName>
      <candidateList>
        <item>采购招标</item>
      </candidateList>
      <explain/>
      <paraID>33E6131F</paraID>
      <start>5</start>
      <end>9</end>
      <status>ignored</status>
      <modifiedWord/>
      <trackRevisions>false</trackRevisions>
    </reviewItem>
    <reviewItem>
      <errorID>d9cf9b1b-d7d6-486b-a695-770bf67d49fb</errorID>
      <errorWord>。</errorWord>
      <group>L1_Punc</group>
      <groupName>标点问题</groupName>
      <ability>L2_Punc</ability>
      <abilityName>标点符号检查</abilityName>
      <candidateList>
        <item>：</item>
      </candidateList>
      <explain/>
      <paraID>33E6131F</paraID>
      <start>11</start>
      <end>12</end>
      <status>ignored</status>
      <modifiedWord/>
      <trackRevisions>false</trackRevisions>
    </reviewItem>
    <reviewItem>
      <errorID>89f51d8b-ce8f-4cb0-8611-22a7f73b377a</errorID>
      <errorWord>和</errorWord>
      <group>L1_Word</group>
      <groupName>字词问题</groupName>
      <ability>L2_Typo</ability>
      <abilityName>字词错误</abilityName>
      <candidateList>
        <item>、</item>
      </candidateList>
      <explain/>
      <paraID> 911CBFC</paraID>
      <start>53</start>
      <end>54</end>
      <status>ignored</status>
      <modifiedWord/>
      <trackRevisions>false</trackRevisions>
    </reviewItem>
    <reviewItem>
      <errorID>1e833363-3845-4844-8f27-3f72d04b70d3</errorID>
      <errorWord>，</errorWord>
      <group>L1_Punc</group>
      <groupName>标点问题</groupName>
      <ability>L2_Punc</ability>
      <abilityName>标点符号检查</abilityName>
      <candidateList>
        <item>。</item>
      </candidateList>
      <explain/>
      <paraID>6D85BFEA</paraID>
      <start>31</start>
      <end>32</end>
      <status>ignored</status>
      <modifiedWord/>
      <trackRevisions>false</trackRevisions>
    </reviewItem>
    <reviewItem>
      <errorID>42c5b8bd-8031-47ae-8b33-0215a9c30fbb</errorID>
      <errorWord>的所提</errorWord>
      <group>L1_Grammar</group>
      <groupName>语法问题</groupName>
      <ability>L2_Grammar</ability>
      <abilityName>语法错误</abilityName>
      <candidateList>
        <item>的</item>
      </candidateList>
      <explain/>
      <paraID>45B9697C</paraID>
      <start>35</start>
      <end>38</end>
      <status>ignored</status>
      <modifiedWord/>
      <trackRevisions>false</trackRevisions>
    </reviewItem>
    <reviewItem>
      <errorID>fbbabe98-7aa0-4d00-a67d-cba96f0b27c9</errorID>
      <errorWord>（十七）</errorWord>
      <group>L1_Format</group>
      <groupName>格式问题</groupName>
      <ability>L2_Ordinal</ability>
      <abilityName>序号格式</abilityName>
      <candidateList>
        <item>（十二）</item>
      </candidateList>
      <explain>标题顺序错误，请检查标题顺序是否合理。</explain>
      <paraID>2418831C</paraID>
      <start>0</start>
      <end>4</end>
      <status>ignored</status>
      <modifiedWord/>
      <trackRevisions>false</trackRevisions>
    </reviewItem>
    <reviewItem>
      <errorID>2c8e6d6e-b502-420c-961b-23d9004fca4a</errorID>
      <errorWord>结果</errorWord>
      <group>L1_Word</group>
      <groupName>字词问题</groupName>
      <ability>L2_Typo</ability>
      <abilityName>字词错误</abilityName>
      <candidateList>
        <item>后果</item>
      </candidateList>
      <explain/>
      <paraID>6E2055C3</paraID>
      <start>31</start>
      <end>35</end>
      <status>modified</status>
      <modifiedWord>后果</modifiedWord>
      <trackRevisions>true</trackRevisions>
    </reviewItem>
    <reviewItem>
      <errorID>3461a92b-d60f-4903-b833-83554a4abcbe</errorID>
      <errorWord>（十八）</errorWord>
      <group>L1_Format</group>
      <groupName>格式问题</groupName>
      <ability>L2_Ordinal</ability>
      <abilityName>序号格式</abilityName>
      <candidateList>
        <item>（十二）</item>
      </candidateList>
      <explain>标题顺序错误，请检查标题顺序是否合理。</explain>
      <paraID>2CFF0D69</paraID>
      <start>0</start>
      <end>4</end>
      <status>ignored</status>
      <modifiedWord/>
      <trackRevisions>false</trackRevisions>
    </reviewItem>
    <reviewItem>
      <errorID>60fa8c3f-7d1b-4be6-b854-7a538b0fabba</errorID>
      <errorWord>（十九）</errorWord>
      <group>L1_Format</group>
      <groupName>格式问题</groupName>
      <ability>L2_Ordinal</ability>
      <abilityName>序号格式</abilityName>
      <candidateList>
        <item>（十二）</item>
      </candidateList>
      <explain>标题顺序错误，请检查标题顺序是否合理。</explain>
      <paraID>4E3B3121</paraID>
      <start>0</start>
      <end>4</end>
      <status>ignored</status>
      <modifiedWord/>
      <trackRevisions>false</trackRevisions>
    </reviewItem>
    <reviewItem>
      <errorID>3296804b-6690-445d-9421-168a1e21cf53</errorID>
      <errorWord>（二十）</errorWord>
      <group>L1_Format</group>
      <groupName>格式问题</groupName>
      <ability>L2_Ordinal</ability>
      <abilityName>序号格式</abilityName>
      <candidateList>
        <item>（十二）</item>
      </candidateList>
      <explain>标题顺序错误，请检查标题顺序是否合理。</explain>
      <paraID>685E09D5</paraID>
      <start>0</start>
      <end>4</end>
      <status>ignored</status>
      <modifiedWord/>
      <trackRevisions>false</trackRevisions>
    </reviewItem>
    <reviewItem>
      <errorID>09480fb4-78e4-4b58-8a9b-2638b1e3fb80</errorID>
      <errorWord>的；</errorWord>
      <group>L1_Word</group>
      <groupName>字词问题</groupName>
      <ability>L2_Typo</ability>
      <abilityName>字词错误</abilityName>
      <candidateList>
        <item>。</item>
      </candidateList>
      <explain/>
      <paraID>69B6D32A</paraID>
      <start>45</start>
      <end>47</end>
      <status>ignored</status>
      <modifiedWord/>
      <trackRevisions>false</trackRevisions>
    </reviewItem>
    <reviewItem>
      <errorID>b5677aa4-ac5e-4c42-815f-a9abcfd56f8a</errorID>
      <errorWord>的；</errorWord>
      <group>L1_Word</group>
      <groupName>字词问题</groupName>
      <ability>L2_Typo</ability>
      <abilityName>字词错误</abilityName>
      <candidateList>
        <item>，</item>
      </candidateList>
      <explain/>
      <paraID>1CA01BAB</paraID>
      <start>23</start>
      <end>25</end>
      <status>ignored</status>
      <modifiedWord/>
      <trackRevisions>false</trackRevisions>
    </reviewItem>
    <reviewItem>
      <errorID>04baac83-c512-4545-96a4-327b2a15276d</errorID>
      <errorWord>的，并且</errorWord>
      <group>L1_Grammar</group>
      <groupName>语法问题</groupName>
      <ability>L2_Grammar</ability>
      <abilityName>语法错误</abilityName>
      <candidateList>
        <item>且</item>
      </candidateList>
      <explain/>
      <paraID>4AF09443</paraID>
      <start>182</start>
      <end>186</end>
      <status>ignored</status>
      <modifiedWord/>
      <trackRevisions>false</trackRevisions>
    </reviewItem>
    <reviewItem>
      <errorID>ddfe960f-ee6e-4df6-a0c8-1d5988fdeda5</errorID>
      <errorWord>，</errorWord>
      <group>L1_Punc</group>
      <groupName>标点问题</groupName>
      <ability>L2_Punc</ability>
      <abilityName>标点符号检查</abilityName>
      <candidateList>
        <item/>
      </candidateList>
      <explain/>
      <paraID>25294854</paraID>
      <start>32</start>
      <end>33</end>
      <status>ignored</status>
      <modifiedWord/>
      <trackRevisions>false</trackRevisions>
    </reviewItem>
    <reviewItem>
      <errorID>5e06fa80-0a3b-45f2-b542-137fc3af34cb</errorID>
      <errorWord>&lt;</errorWord>
      <group>L1_Format</group>
      <groupName>格式问题</groupName>
      <ability>L2_HalfPunc</ability>
      <abilityName>全半角检查</abilityName>
      <candidateList>
        <item>〈</item>
      </candidateList>
      <explain>文本全半角错误。</explain>
      <paraID>59394B79</paraID>
      <start>49</start>
      <end>50</end>
      <status>ignored</status>
      <modifiedWord/>
      <trackRevisions>false</trackRevisions>
    </reviewItem>
    <reviewItem>
      <errorID>d1ea87b9-d40e-4813-9b12-5b74d31ae65f</errorID>
      <errorWord>&lt;</errorWord>
      <group>L1_Format</group>
      <groupName>格式问题</groupName>
      <ability>L2_HalfPunc</ability>
      <abilityName>全半角检查</abilityName>
      <candidateList>
        <item>〈</item>
      </candidateList>
      <explain>文本全半角错误。</explain>
      <paraID>749FBBCA</paraID>
      <start>49</start>
      <end>50</end>
      <status>ignored</status>
      <modifiedWord/>
      <trackRevisions>false</trackRevisions>
    </reviewItem>
    <reviewItem>
      <errorID>5923132b-1451-47eb-8ed9-4d64de8751fc</errorID>
      <errorWord>&lt;</errorWord>
      <group>L1_Format</group>
      <groupName>格式问题</groupName>
      <ability>L2_HalfPunc</ability>
      <abilityName>全半角检查</abilityName>
      <candidateList>
        <item>〈</item>
      </candidateList>
      <explain>文本全半角错误。</explain>
      <paraID>1523A8B3</paraID>
      <start>64</start>
      <end>65</end>
      <status>ignored</status>
      <modifiedWord/>
      <trackRevisions>false</trackRevisions>
    </reviewItem>
    <reviewItem>
      <errorID>1263092d-0f22-4827-afef-5839ffe8dc3a</errorID>
      <errorWord>，</errorWord>
      <group>L1_Word</group>
      <groupName>字词问题</groupName>
      <ability>L2_Typo</ability>
      <abilityName>字词错误</abilityName>
      <candidateList>
        <item>，并</item>
      </candidateList>
      <explain/>
      <paraID>17EEF00E</paraID>
      <start>76</start>
      <end>79</end>
      <status>modified</status>
      <modifiedWord>，并</modifiedWord>
      <trackRevisions>true</trackRevisions>
    </reviewItem>
    <reviewItem>
      <errorID>82e9c359-b139-4f5b-985e-1ab6e066dc20</errorID>
      <errorWord>影响</errorWord>
      <group>L1_Grammar</group>
      <groupName>语法问题</groupName>
      <ability>L2_Grammar</ability>
      <abilityName>语法错误</abilityName>
      <candidateList>
        <item>通过影响</item>
      </candidateList>
      <explain/>
      <paraID>4A44EF82</paraID>
      <start>32</start>
      <end>38</end>
      <status>modified</status>
      <modifiedWord>通过影响</modifiedWord>
      <trackRevisions>true</trackRevisions>
    </reviewItem>
    <reviewItem>
      <errorID>e2808ef4-164f-40bc-8acd-eb58506c9ccb</errorID>
      <errorWord>为有</errorWord>
      <group>L1_Word</group>
      <groupName>字词问题</groupName>
      <ability>L2_Typo</ability>
      <abilityName>字词错误</abilityName>
      <candidateList>
        <item>为</item>
      </candidateList>
      <explain/>
      <paraID>4DA0D0FB</paraID>
      <start>28</start>
      <end>30</end>
      <status>ignored</status>
      <modifiedWord/>
      <trackRevisions>false</trackRevisions>
    </reviewItem>
    <reviewItem>
      <errorID>9c9cac73-54ff-4cf3-acbc-31f467a51a64</errorID>
      <errorWord>而造成矛盾时</errorWord>
      <group>L1_Grammar</group>
      <groupName>语法问题</groupName>
      <ability>L2_Grammar</ability>
      <abilityName>语法错误</abilityName>
      <candidateList>
        <item>产生矛盾</item>
      </candidateList>
      <explain/>
      <paraID>53E8D847</paraID>
      <start>59</start>
      <end>65</end>
      <status>ignored</status>
      <modifiedWord/>
      <trackRevisions>false</trackRevisions>
    </reviewItem>
    <reviewItem>
      <errorID>b7b23e0e-3f31-44cc-bcba-36cb3aaecdc7</errorID>
      <errorWord>（四）</errorWord>
      <group>L1_Format</group>
      <groupName>格式问题</groupName>
      <ability>L2_Ordinal</ability>
      <abilityName>序号格式</abilityName>
      <candidateList>
        <item>（三）</item>
      </candidateList>
      <explain>标题顺序错误，请检查标题顺序是否合理。</explain>
      <paraID>22F02098</paraID>
      <start>0</start>
      <end>3</end>
      <status>ignored</status>
      <modifiedWord/>
      <trackRevisions>false</trackRevisions>
    </reviewItem>
    <reviewItem>
      <errorID>ed11140a-0308-46bd-b997-ccb3a014aa15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6E1B5153</paraID>
      <start>0</start>
      <end>2</end>
      <status>ignored</status>
      <modifiedWord/>
      <trackRevisions>false</trackRevisions>
    </reviewItem>
    <reviewItem>
      <errorID>42ce0f74-615b-40ab-80b0-c7f77c25c6d8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39CC6BB3</paraID>
      <start>0</start>
      <end>2</end>
      <status>ignored</status>
      <modifiedWord/>
      <trackRevisions>false</trackRevisions>
    </reviewItem>
    <reviewItem>
      <errorID>9e303188-b646-48f9-bbee-2fead90ad201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106533D9</paraID>
      <start>0</start>
      <end>2</end>
      <status>ignored</status>
      <modifiedWord/>
      <trackRevisions>false</trackRevisions>
    </reviewItem>
    <reviewItem>
      <errorID>202d4ab5-e7b1-4e6d-87ab-9d6d87f99695</errorID>
      <errorWord>1、</errorWord>
      <group>L1_Format</group>
      <groupName>格式问题</groupName>
      <ability>L2_Ordinal</ability>
      <abilityName>序号格式</abilityName>
      <candidateList>
        <item>1.</item>
      </candidateList>
      <explain>当前序号格式不规范，建议修改为规范格式[1.]。</explain>
      <paraID>4176D5F8</paraID>
      <start>0</start>
      <end>2</end>
      <status>ignored</status>
      <modifiedWord/>
      <trackRevisions>false</trackRevisions>
    </reviewItem>
    <reviewItem>
      <errorID>4b781804-d8a9-4816-b3be-1c3b83e4d2aa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106A8188</paraID>
      <start>0</start>
      <end>2</end>
      <status>ignored</status>
      <modifiedWord/>
      <trackRevisions>false</trackRevisions>
    </reviewItem>
    <reviewItem>
      <errorID>45ce58ae-c66c-4a77-8e35-794b71ef2e52</errorID>
      <errorWord>3、</errorWord>
      <group>L1_Format</group>
      <groupName>格式问题</groupName>
      <ability>L2_Ordinal</ability>
      <abilityName>序号格式</abilityName>
      <candidateList>
        <item>3.</item>
      </candidateList>
      <explain>当前序号格式不规范，建议修改为规范格式[3.]。</explain>
      <paraID>16072A3C</paraID>
      <start>0</start>
      <end>2</end>
      <status>ignored</status>
      <modifiedWord/>
      <trackRevisions>false</trackRevisions>
    </reviewItem>
    <reviewItem>
      <errorID>9df44307-2302-49e3-8e8b-8f1ff42ea6b8</errorID>
      <errorWord>4、</errorWord>
      <group>L1_Format</group>
      <groupName>格式问题</groupName>
      <ability>L2_Ordinal</ability>
      <abilityName>序号格式</abilityName>
      <candidateList>
        <item>4.</item>
      </candidateList>
      <explain>当前序号格式不规范，建议修改为规范格式[4.]。</explain>
      <paraID>4F23FD98</paraID>
      <start>0</start>
      <end>2</end>
      <status>ignored</status>
      <modifiedWord/>
      <trackRevisions>false</trackRevisions>
    </reviewItem>
    <reviewItem>
      <errorID>2831faaa-a865-4576-977c-676f7adcfe5f</errorID>
      <errorWord>（七）</errorWord>
      <group>L1_Format</group>
      <groupName>格式问题</groupName>
      <ability>L2_Ordinal</ability>
      <abilityName>序号格式</abilityName>
      <candidateList>
        <item>（八）</item>
      </candidateList>
      <explain>标题顺序错误，请检查标题顺序是否合理。</explain>
      <paraID>362D17AE</paraID>
      <start>0</start>
      <end>3</end>
      <status>ignored</status>
      <modifiedWord/>
      <trackRevisions>false</trackRevisions>
    </reviewItem>
    <reviewItem>
      <errorID>30ec3cff-d5fa-4f2d-b5c8-595c5361c606</errorID>
      <errorWord>项目的</errorWord>
      <group>L1_Word</group>
      <groupName>字词问题</groupName>
      <ability>L2_Typo</ability>
      <abilityName>字词错误</abilityName>
      <candidateList>
        <item>项目</item>
      </candidateList>
      <explain/>
      <paraID>70F9D744</paraID>
      <start>45</start>
      <end>48</end>
      <status>ignored</status>
      <modifiedWord/>
      <trackRevisions>false</trackRevisions>
    </reviewItem>
    <reviewItem>
      <errorID>2861c8e1-a40c-4c92-958d-c1d5348f4b56</errorID>
      <errorWord>。当</errorWord>
      <group>L1_Word</group>
      <groupName>字词问题</groupName>
      <ability>L2_Typo</ability>
      <abilityName>字词错误</abilityName>
      <candidateList>
        <item>。</item>
      </candidateList>
      <explain/>
      <paraID>70F9D744</paraID>
      <start>76</start>
      <end>78</end>
      <status>ignored</status>
      <modifiedWord/>
      <trackRevisions>false</trackRevisions>
    </reviewItem>
    <reviewItem>
      <errorID>c831a40b-833c-46c0-ba85-151af94b0bdf</errorID>
      <errorWord>项目的</errorWord>
      <group>L1_Word</group>
      <groupName>字词问题</groupName>
      <ability>L2_Typo</ability>
      <abilityName>字词错误</abilityName>
      <candidateList>
        <item>项目</item>
      </candidateList>
      <explain/>
      <paraID>70F9D744</paraID>
      <start>81</start>
      <end>84</end>
      <status>ignored</status>
      <modifiedWord/>
      <trackRevisions>false</trackRevisions>
    </reviewItem>
    <reviewItem>
      <errorID>777647cb-a674-4498-b94d-0a790e51c598</errorID>
      <errorWord>之后</errorWord>
      <group>L1_Word</group>
      <groupName>字词问题</groupName>
      <ability>L2_Typo</ability>
      <abilityName>字词错误</abilityName>
      <candidateList>
        <item>后</item>
      </candidateList>
      <explain/>
      <paraID>70F9D744</paraID>
      <start>90</start>
      <end>92</end>
      <status>ignored</status>
      <modifiedWord/>
      <trackRevisions>false</trackRevisions>
    </reviewItem>
    <reviewItem>
      <errorID>74a3f3d9-791f-45e6-b354-c871430f4ed6</errorID>
      <errorWord>便</errorWord>
      <group>L1_Word</group>
      <groupName>字词问题</groupName>
      <ability>L2_Typo</ability>
      <abilityName>字词错误</abilityName>
      <candidateList>
        <item>即</item>
      </candidateList>
      <explain/>
      <paraID>70F9D744</paraID>
      <start>99</start>
      <end>100</end>
      <status>ignored</status>
      <modifiedWord/>
      <trackRevisions>false</trackRevisions>
    </reviewItem>
    <reviewItem>
      <errorID>23f4e1f8-7fbf-406a-85ed-31ad0e350bce</errorID>
      <errorWord>，其</errorWord>
      <group>L1_Word</group>
      <groupName>字词问题</groupName>
      <ability>L2_Typo</ability>
      <abilityName>字词错误</abilityName>
      <candidateList>
        <item>，</item>
      </candidateList>
      <explain/>
      <paraID>70F9D744</paraID>
      <start>107</start>
      <end>109</end>
      <status>ignored</status>
      <modifiedWord/>
      <trackRevisions>false</trackRevisions>
    </reviewItem>
    <reviewItem>
      <errorID>6766d570-01a8-4b2b-8370-adf706fcc647</errorID>
      <errorWord>项目的</errorWord>
      <group>L1_Word</group>
      <groupName>字词问题</groupName>
      <ability>L2_Typo</ability>
      <abilityName>字词错误</abilityName>
      <candidateList>
        <item>项目</item>
      </candidateList>
      <explain/>
      <paraID>70F9D744</paraID>
      <start>119</start>
      <end>122</end>
      <status>ignored</status>
      <modifiedWord/>
      <trackRevisions>false</trackRevisions>
    </reviewItem>
    <reviewItem>
      <errorID>4ca54b17-7ed9-46db-8115-a8015da814e0</errorID>
      <errorWord>其它</errorWord>
      <group>L1_Word</group>
      <groupName>字词问题</groupName>
      <ability>L2_Alias</ability>
      <abilityName>也作/曾用词</abilityName>
      <candidateList>
        <item>其他</item>
      </candidateList>
      <explain>词汇[其它]为不规范表述或旧称，其规范书面表述为[其他]。</explain>
      <paraID>3AA0E152</paraID>
      <start>2</start>
      <end>4</end>
      <status>ignored</status>
      <modifiedWord/>
      <trackRevisions>false</trackRevisions>
    </reviewItem>
    <reviewItem>
      <errorID>d4a9334a-292a-4fa2-8165-4ad38c51e505</errorID>
      <errorWord>招标</errorWord>
      <group>L1_Word</group>
      <groupName>字词问题</groupName>
      <ability>L2_Typo</ability>
      <abilityName>字词错误</abilityName>
      <candidateList>
        <item>本</item>
      </candidateList>
      <explain/>
      <paraID>3877D884</paraID>
      <start>18</start>
      <end>20</end>
      <status>ignored</status>
      <modifiedWord/>
      <trackRevisions>false</trackRevisions>
    </reviewItem>
    <reviewItem>
      <errorID>1929eb3d-7950-47aa-84c5-6bc89d2f3b2b</errorID>
      <errorWord>招标</errorWord>
      <group>L1_Word</group>
      <groupName>字词问题</groupName>
      <ability>L2_Typo</ability>
      <abilityName>字词错误</abilityName>
      <candidateList>
        <item>本</item>
      </candidateList>
      <explain/>
      <paraID>4DBCB64B</paraID>
      <start>20</start>
      <end>22</end>
      <status>ignored</status>
      <modifiedWord/>
      <trackRevisions>false</trackRevisions>
    </reviewItem>
    <reviewItem>
      <errorID>fd3e4bae-e60b-4537-9d70-29332cadec8a</errorID>
      <errorWord>招标</errorWord>
      <group>L1_Word</group>
      <groupName>字词问题</groupName>
      <ability>L2_Typo</ability>
      <abilityName>字词错误</abilityName>
      <candidateList>
        <item>本</item>
      </candidateList>
      <explain/>
      <paraID>673515A9</paraID>
      <start>35</start>
      <end>37</end>
      <status>ignored</status>
      <modifiedWord/>
      <trackRevisions>false</trackRevisions>
    </reviewItem>
    <reviewItem>
      <errorID>3ca9d180-e770-4785-af23-5b5b2144452b</errorID>
      <errorWord>招标</errorWord>
      <group>L1_Word</group>
      <groupName>字词问题</groupName>
      <ability>L2_Typo</ability>
      <abilityName>字词错误</abilityName>
      <candidateList>
        <item>本</item>
      </candidateList>
      <explain/>
      <paraID>64C6FDFE</paraID>
      <start>20</start>
      <end>22</end>
      <status>ignored</status>
      <modifiedWord/>
      <trackRevisions>false</trackRevisions>
    </reviewItem>
    <reviewItem>
      <errorID>c40049b5-7f8d-4553-a115-311a4d1efa3c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719AEEE3</paraID>
      <start>0</start>
      <end>2</end>
      <status>ignored</status>
      <modifiedWord/>
      <trackRevisions>false</trackRevisions>
    </reviewItem>
    <reviewItem>
      <errorID>25a9d6f5-b711-4836-b3be-8d2731f35282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111C5040</paraID>
      <start>0</start>
      <end>2</end>
      <status>ignored</status>
      <modifiedWord/>
      <trackRevisions>false</trackRevisions>
    </reviewItem>
    <reviewItem>
      <errorID>6c1e1aef-c0c8-4ec4-b577-629d40e1dd82</errorID>
      <errorWord>本国</errorWord>
      <group>L1_Word</group>
      <groupName>字词问题</groupName>
      <ability>L2_Typo</ability>
      <abilityName>字词错误</abilityName>
      <candidateList>
        <item>国</item>
      </candidateList>
      <explain/>
      <paraID> E942AED</paraID>
      <start>153</start>
      <end>155</end>
      <status>ignored</status>
      <modifiedWord/>
      <trackRevisions>false</trackRevisions>
    </reviewItem>
    <reviewItem>
      <errorID>4f5e4932-e5dc-49c1-8294-8478395417fc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269FC780</paraID>
      <start>0</start>
      <end>2</end>
      <status>ignored</status>
      <modifiedWord/>
      <trackRevisions>false</trackRevisions>
    </reviewItem>
    <reviewItem>
      <errorID>05a14f1a-8db3-4709-9129-de05a19e5295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3C70887C</paraID>
      <start>0</start>
      <end>2</end>
      <status>ignored</status>
      <modifiedWord/>
      <trackRevisions>false</trackRevisions>
    </reviewItem>
    <reviewItem>
      <errorID>1a6f3d1d-f6ad-4a25-9e2b-a573d722b78e</errorID>
      <errorWord>，</errorWord>
      <group>L1_Punc</group>
      <groupName>标点问题</groupName>
      <ability>L2_Punc</ability>
      <abilityName>标点符号检查</abilityName>
      <candidateList>
        <item/>
      </candidateList>
      <explain/>
      <paraID>6536C40C</paraID>
      <start>65</start>
      <end>66</end>
      <status>modified</status>
      <modifiedWord/>
      <trackRevisions>true</trackRevisions>
    </reviewItem>
    <reviewItem>
      <errorID>c088531e-0603-4b1d-a0f0-9b0b4e1ec48f</errorID>
      <errorWord>（十三）2</errorWord>
      <group>L1_Format</group>
      <groupName>格式问题</groupName>
      <ability>L2_Ordinal</ability>
      <abilityName>序号格式</abilityName>
      <candidateList>
        <item>（十二）2</item>
      </candidateList>
      <explain>标题顺序错误，请检查标题顺序是否合理。</explain>
      <paraID>3D38EB6F</paraID>
      <start>0</start>
      <end>5</end>
      <status>ignored</status>
      <modifiedWord/>
      <trackRevisions>false</trackRevisions>
    </reviewItem>
    <reviewItem>
      <errorID>3bfbb210-66f5-4c9b-81ef-f97cd01eaf97</errorID>
      <errorWord>（十三）3</errorWord>
      <group>L1_Format</group>
      <groupName>格式问题</groupName>
      <ability>L2_Ordinal</ability>
      <abilityName>序号格式</abilityName>
      <candidateList>
        <item>（十二）3</item>
      </candidateList>
      <explain>标题顺序错误，请检查标题顺序是否合理。</explain>
      <paraID> 642CEB5</paraID>
      <start>0</start>
      <end>5</end>
      <status>ignored</status>
      <modifiedWord/>
      <trackRevisions>false</trackRevisions>
    </reviewItem>
    <reviewItem>
      <errorID>f9227322-f629-4377-b722-401de391421c</errorID>
      <errorWord>政府</errorWord>
      <group>L1_Grammar</group>
      <groupName>语法问题</groupName>
      <ability>L2_Grammar</ability>
      <abilityName>语法错误</abilityName>
      <candidateList>
        <item>政府采购客户端工具。政府</item>
      </candidateList>
      <explain/>
      <paraID>103C4E62</paraID>
      <start>43</start>
      <end>45</end>
      <status>ignored</status>
      <modifiedWord/>
      <trackRevisions>false</trackRevisions>
    </reviewItem>
    <reviewItem>
      <errorID>93a9b053-49c4-44b3-b939-6c4e8f5d777f</errorID>
      <errorWord>-</errorWord>
      <group>L1_Format</group>
      <groupName>格式问题</groupName>
      <ability>L2_HalfPunc</ability>
      <abilityName>全半角检查</abilityName>
      <candidateList>
        <item>－</item>
      </candidateList>
      <explain>文本全半角错误。</explain>
      <paraID>103C4E62</paraID>
      <start>109</start>
      <end>110</end>
      <status>ignored</status>
      <modifiedWord/>
      <trackRevisions>false</trackRevisions>
    </reviewItem>
    <reviewItem>
      <errorID>06984a30-4b04-4e6c-92ed-234f008c11f3</errorID>
      <errorWord>-</errorWord>
      <group>L1_Format</group>
      <groupName>格式问题</groupName>
      <ability>L2_HalfPunc</ability>
      <abilityName>全半角检查</abilityName>
      <candidateList>
        <item>－</item>
      </candidateList>
      <explain>文本全半角错误。</explain>
      <paraID>103C4E62</paraID>
      <start>155</start>
      <end>156</end>
      <status>ignored</status>
      <modifiedWord/>
      <trackRevisions>false</trackRevisions>
    </reviewItem>
    <reviewItem>
      <errorID>36711f35-6a07-4de5-8df6-d5c7d489f4e3</errorID>
      <errorWord>-</errorWord>
      <group>L1_Format</group>
      <groupName>格式问题</groupName>
      <ability>L2_HalfPunc</ability>
      <abilityName>全半角检查</abilityName>
      <candidateList>
        <item>－</item>
      </candidateList>
      <explain>文本全半角错误。</explain>
      <paraID>103C4E62</paraID>
      <start>160</start>
      <end>161</end>
      <status>ignored</status>
      <modifiedWord/>
      <trackRevisions>false</trackRevisions>
    </reviewItem>
    <reviewItem>
      <errorID>a5253021-d8a8-4b3a-8954-b12a5a3080b7</errorID>
      <errorWord>-</errorWord>
      <group>L1_Format</group>
      <groupName>格式问题</groupName>
      <ability>L2_HalfPunc</ability>
      <abilityName>全半角检查</abilityName>
      <candidateList>
        <item>－</item>
      </candidateList>
      <explain>文本全半角错误。</explain>
      <paraID>103C4E62</paraID>
      <start>161</start>
      <end>162</end>
      <status>ignored</status>
      <modifiedWord/>
      <trackRevisions>false</trackRevisions>
    </reviewItem>
    <reviewItem>
      <errorID>730b37ee-6f31-4cbf-b1fc-a10e0a9fbdfd</errorID>
      <errorWord>，</errorWord>
      <group>L1_Punc</group>
      <groupName>标点问题</groupName>
      <ability>L2_Punc</ability>
      <abilityName>标点符号检查</abilityName>
      <candidateList>
        <item/>
      </candidateList>
      <explain/>
      <paraID>103C4E62</paraID>
      <start>206</start>
      <end>207</end>
      <status>modified</status>
      <modifiedWord/>
      <trackRevisions>true</trackRevisions>
    </reviewItem>
    <reviewItem>
      <errorID>89d15511-d44f-4028-8a59-68ff75016519</errorID>
      <errorWord>。</errorWord>
      <group>L1_Punc</group>
      <groupName>标点问题</groupName>
      <ability>L2_Punc</ability>
      <abilityName>标点符号检查</abilityName>
      <candidateList>
        <item>，</item>
      </candidateList>
      <explain/>
      <paraID> D0A840B</paraID>
      <start>34</start>
      <end>35</end>
      <status>ignored</status>
      <modifiedWord/>
      <trackRevisions>false</trackRevisions>
    </reviewItem>
    <reviewItem>
      <errorID>5bca17e8-d5b8-44d9-92f2-bf13c5101224</errorID>
      <errorWord>！</errorWord>
      <group>L1_Punc</group>
      <groupName>标点问题</groupName>
      <ability>L2_Punc</ability>
      <abilityName>标点符号检查</abilityName>
      <candidateList>
        <item>，</item>
      </candidateList>
      <explain/>
      <paraID> D0A840B</paraID>
      <start>47</start>
      <end>48</end>
      <status>ignored</status>
      <modifiedWord/>
      <trackRevisions>false</trackRevisions>
    </reviewItem>
    <reviewItem>
      <errorID>8addfe69-7bfc-4d8c-9b8b-b3bd1316707f</errorID>
      <errorWord>“.</errorWord>
      <group>L1_Punc</group>
      <groupName>标点问题</groupName>
      <ability>L2_Punc</ability>
      <abilityName>标点符号检查</abilityName>
      <candidateList>
        <item>“</item>
      </candidateList>
      <explain/>
      <paraID> D0A840B</paraID>
      <start>50</start>
      <end>52</end>
      <status>ignored</status>
      <modifiedWord/>
      <trackRevisions>false</trackRevisions>
    </reviewItem>
    <reviewItem>
      <errorID>2f3025a1-85f3-4da3-a7a0-278138578402</errorID>
      <errorWord>）</errorWord>
      <group>L1_Punc</group>
      <groupName>标点问题</groupName>
      <ability>L2_Punc</ability>
      <abilityName>标点符号检查</abilityName>
      <candidateList>
        <item/>
      </candidateList>
      <explain/>
      <paraID> D0A840B</paraID>
      <start>57</start>
      <end>58</end>
      <status>ignored</status>
      <modifiedWord/>
      <trackRevisions>false</trackRevisions>
    </reviewItem>
    <reviewItem>
      <errorID>e02dcf6b-cdb3-47dc-b102-860ebfe0b39f</errorID>
      <errorWord>“.</errorWord>
      <group>L1_Punc</group>
      <groupName>标点问题</groupName>
      <ability>L2_Punc</ability>
      <abilityName>标点符号检查</abilityName>
      <candidateList>
        <item>“</item>
      </candidateList>
      <explain/>
      <paraID> D0A840B</paraID>
      <start>78</start>
      <end>80</end>
      <status>ignored</status>
      <modifiedWord/>
      <trackRevisions>false</trackRevisions>
    </reviewItem>
    <reviewItem>
      <errorID>2f9f73ba-0eb7-4a47-93c4-e79286e98433</errorID>
      <errorWord>登陆</errorWord>
      <group>L1_Word</group>
      <groupName>字词问题</groupName>
      <ability>L2_Typo</ability>
      <abilityName>字词错误</abilityName>
      <candidateList>
        <item>登录</item>
      </candidateList>
      <explain>存在发音相同字词的误用。</explain>
      <paraID>12F10DD2</paraID>
      <start>43</start>
      <end>45</end>
      <status>ignored</status>
      <modifiedWord/>
      <trackRevisions>false</trackRevisions>
    </reviewItem>
    <reviewItem>
      <errorID>34d8d5f6-dbc4-46bc-887e-bdc4621f34be</errorID>
      <errorWord>五）1</errorWord>
      <group>L1_Format</group>
      <groupName>格式问题</groupName>
      <ability>L2_Ordinal</ability>
      <abilityName>序号格式</abilityName>
      <candidateList>
        <item>五）2</item>
      </candidateList>
      <explain>标题顺序错误，请检查标题顺序是否合理。</explain>
      <paraID>111C2DC3</paraID>
      <start>3</start>
      <end>6</end>
      <status>ignored</status>
      <modifiedWord/>
      <trackRevisions>false</trackRevisions>
    </reviewItem>
    <reviewItem>
      <errorID>da7d60b7-7ed0-4313-b309-851a32df9b5b</errorID>
      <errorWord> </errorWord>
      <group>L1_Punc</group>
      <groupName>标点问题</groupName>
      <ability>L2_Punc</ability>
      <abilityName>标点符号检查</abilityName>
      <candidateList>
        <item/>
      </candidateList>
      <explain>此处空格冗余，建议删除。</explain>
      <paraID>7019EE46</paraID>
      <start>18</start>
      <end>19</end>
      <status>ignored</status>
      <modifiedWord/>
      <trackRevisions>false</trackRevisions>
    </reviewItem>
    <reviewItem>
      <errorID>a33a6059-6501-47ae-8214-8a200a2ec502</errorID>
      <errorWord>-</errorWord>
      <group>L1_Format</group>
      <groupName>格式问题</groupName>
      <ability>L2_HalfPunc</ability>
      <abilityName>全半角检查</abilityName>
      <candidateList>
        <item>－</item>
      </candidateList>
      <explain>文本全半角错误。</explain>
      <paraID>7019EE46</paraID>
      <start>118</start>
      <end>119</end>
      <status>ignored</status>
      <modifiedWord/>
      <trackRevisions>false</trackRevisions>
    </reviewItem>
    <reviewItem>
      <errorID>b45baeac-8d72-40fb-ad0d-63ad05bb0f06</errorID>
      <errorWord>-</errorWord>
      <group>L1_Format</group>
      <groupName>格式问题</groupName>
      <ability>L2_HalfPunc</ability>
      <abilityName>全半角检查</abilityName>
      <candidateList>
        <item>－</item>
      </candidateList>
      <explain>文本全半角错误。</explain>
      <paraID>7019EE46</paraID>
      <start>119</start>
      <end>120</end>
      <status>ignored</status>
      <modifiedWord/>
      <trackRevisions>false</trackRevisions>
    </reviewItem>
    <reviewItem>
      <errorID>e47197a9-c39a-4b16-80ad-ed0d58abfa97</errorID>
      <errorWord>--供应商登录入口</errorWord>
      <group>L1_Punc</group>
      <groupName>标点问题</groupName>
      <ability>L2_Punc</ability>
      <abilityName>标点符号检查</abilityName>
      <candidateList>
        <item>”—“供应商登录入口”</item>
      </candidateList>
      <explain/>
      <paraID>7019EE46</paraID>
      <start>123</start>
      <end>132</end>
      <status>ignored</status>
      <modifiedWord/>
      <trackRevisions>false</trackRevisions>
    </reviewItem>
    <reviewItem>
      <errorID>3badf998-c668-4b13-ad26-b63008b0a961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33A018E0</paraID>
      <start>0</start>
      <end>2</end>
      <status>ignored</status>
      <modifiedWord/>
      <trackRevisions>false</trackRevisions>
    </reviewItem>
    <reviewItem>
      <errorID>4b6eb04d-48dd-4c7a-866d-eb592a1749ef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5D25DD03</paraID>
      <start>0</start>
      <end>2</end>
      <status>ignored</status>
      <modifiedWord/>
      <trackRevisions>false</trackRevisions>
    </reviewItem>
    <reviewItem>
      <errorID>915068bd-804b-4424-8cb5-87f680814562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7EBDD660</paraID>
      <start>0</start>
      <end>2</end>
      <status>ignored</status>
      <modifiedWord/>
      <trackRevisions>false</trackRevisions>
    </reviewItem>
    <reviewItem>
      <errorID>9468f5ad-0ee0-4552-8e24-69328f010785</errorID>
      <errorWord>,</errorWord>
      <group>L1_Punc</group>
      <groupName>标点问题</groupName>
      <ability>L2_Punc</ability>
      <abilityName>标点符号检查</abilityName>
      <candidateList>
        <item>，</item>
      </candidateList>
      <explain/>
      <paraID>7EBDD660</paraID>
      <start>39</start>
      <end>40</end>
      <status>ignored</status>
      <modifiedWord/>
      <trackRevisions>false</trackRevisions>
    </reviewItem>
    <reviewItem>
      <errorID>44b487f5-d6ea-487b-886b-d1803048903a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5AD1B227</paraID>
      <start>0</start>
      <end>2</end>
      <status>ignored</status>
      <modifiedWord/>
      <trackRevisions>false</trackRevisions>
    </reviewItem>
    <reviewItem>
      <errorID>3ae5a712-822b-4aca-94db-786a15cf6c79</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6930BBC2</paraID>
      <start>2</start>
      <end>4</end>
      <status>ignored</status>
      <modifiedWord/>
      <trackRevisions>false</trackRevisions>
    </reviewItem>
    <reviewItem>
      <errorID>848991d9-aefb-444c-b385-ad4555d1bfed</errorID>
      <errorWord>上该表</errorWord>
      <group>L1_Word</group>
      <groupName>字词问题</groupName>
      <ability>L2_Typo</ability>
      <abilityName>字词错误</abilityName>
      <candidateList>
        <item>上表</item>
      </candidateList>
      <explain/>
      <paraID>34CBFF8C</paraID>
      <start>2</start>
      <end>7</end>
      <status>modified</status>
      <modifiedWord>上表</modifiedWord>
      <trackRevisions>true</trackRevisions>
    </reviewItem>
    <reviewItem>
      <errorID>37fa9625-54f2-42df-9b8e-5979ad1cf5e2</errorID>
      <errorWord>[2026]1号</errorWord>
      <group>L1_Knowledge</group>
      <groupName>知识性问题</groupName>
      <ability>L2_Knowledge</ability>
      <abilityName>其他知识</abilityName>
      <candidateList>
        <item>〔2026〕1号</item>
      </candidateList>
      <explain>发文字号格式错误。</explain>
      <paraID>4BF82036</paraID>
      <start>7</start>
      <end>15</end>
      <status>ignored</status>
      <modifiedWord/>
      <trackRevisions>false</trackRevisions>
    </reviewItem>
    <reviewItem>
      <errorID>1acf04bf-fc43-409f-a371-0be74626b791</errorID>
      <errorWord>、</errorWord>
      <group>L1_Punc</group>
      <groupName>标点问题</groupName>
      <ability>L2_Punc</ability>
      <abilityName>标点符号检查</abilityName>
      <candidateList>
        <item>. </item>
      </candidateList>
      <explain/>
      <paraID>7DCC9C64</paraID>
      <start>3</start>
      <end>4</end>
      <status>ignored</status>
      <modifiedWord/>
      <trackRevisions>false</trackRevisions>
    </reviewItem>
    <reviewItem>
      <errorID>fdc62e50-5762-4819-a92c-bd33e0d102ce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543AFBA8</paraID>
      <start>0</start>
      <end>2</end>
      <status>ignored</status>
      <modifiedWord/>
      <trackRevisions>false</trackRevisions>
    </reviewItem>
    <reviewItem>
      <errorID>74c2b3c6-4fee-42ac-a874-1fad70109284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5DEDEF45</paraID>
      <start>0</start>
      <end>2</end>
      <status>ignored</status>
      <modifiedWord/>
      <trackRevisions>false</trackRevisions>
    </reviewItem>
    <reviewItem>
      <errorID>ca6d2b35-756b-4c76-867d-910e9389a2d4</errorID>
      <errorWord>、</errorWord>
      <group>L1_Punc</group>
      <groupName>标点问题</groupName>
      <ability>L2_Punc</ability>
      <abilityName>标点符号检查</abilityName>
      <candidateList>
        <item>. </item>
      </candidateList>
      <explain/>
      <paraID>240ABA68</paraID>
      <start>3</start>
      <end>4</end>
      <status>ignored</status>
      <modifiedWord/>
      <trackRevisions>false</trackRevisions>
    </reviewItem>
    <reviewItem>
      <errorID>79370a0e-becb-4c29-a42e-39dcd9a6ef3d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2C994C52</paraID>
      <start>0</start>
      <end>2</end>
      <status>ignored</status>
      <modifiedWord/>
      <trackRevisions>false</trackRevisions>
    </reviewItem>
    <reviewItem>
      <errorID>ba7da7c3-0438-40a1-91b3-d27efff542b9</errorID>
      <errorWord>实质性</errorWord>
      <group>L1_Word</group>
      <groupName>字词问题</groupName>
      <ability>L2_Typo</ability>
      <abilityName>字词错误</abilityName>
      <candidateList>
        <item>为实质性</item>
      </candidateList>
      <explain/>
      <paraID>2C994C52</paraID>
      <start>12</start>
      <end>19</end>
      <status>modified</status>
      <modifiedWord>为实质性</modifiedWord>
      <trackRevisions>true</trackRevisions>
    </reviewItem>
    <reviewItem>
      <errorID>a68bbbea-e613-4c79-91cc-891a54022cbf</errorID>
      <errorWord>次</errorWord>
      <group>L1_Word</group>
      <groupName>字词问题</groupName>
      <ability>L2_Typo</ability>
      <abilityName>字词错误</abilityName>
      <candidateList>
        <item>为次</item>
      </candidateList>
      <explain/>
      <paraID>2C994C52</paraID>
      <start>27</start>
      <end>30</end>
      <status>modified</status>
      <modifiedWord>为次</modifiedWord>
      <trackRevisions>true</trackRevisions>
    </reviewItem>
    <reviewItem>
      <errorID>de23dbad-50b3-4471-b708-6ac65501c59f</errorID>
      <errorWord>详实</errorWord>
      <group>L1_Word</group>
      <groupName>字词问题</groupName>
      <ability>L2_Typo</ability>
      <abilityName>字词错误</abilityName>
      <candidateList>
        <item>翔实</item>
      </candidateList>
      <explain/>
      <paraID>5C8CCBC6</paraID>
      <start>36</start>
      <end>38</end>
      <status>ignored</status>
      <modifiedWord/>
      <trackRevisions>false</trackRevisions>
    </reviewItem>
    <reviewItem>
      <errorID>740b8979-7a94-4ab9-9fdb-e2a06220ea1d</errorID>
      <errorWord>详实</errorWord>
      <group>L1_Word</group>
      <groupName>字词问题</groupName>
      <ability>L2_Typo</ability>
      <abilityName>字词错误</abilityName>
      <candidateList>
        <item>翔实</item>
      </candidateList>
      <explain/>
      <paraID>45061656</paraID>
      <start>12</start>
      <end>14</end>
      <status>ignored</status>
      <modifiedWord/>
      <trackRevisions>false</trackRevisions>
    </reviewItem>
    <reviewItem>
      <errorID>b8340f19-6871-480f-826b-b7c7977cc940</errorID>
      <errorWord>个</errorWord>
      <group>L1_Word</group>
      <groupName>字词问题</groupName>
      <ability>L2_Typo</ability>
      <abilityName>字词错误</abilityName>
      <candidateList>
        <item>台</item>
      </candidateList>
      <explain/>
      <paraID>2FDF8389</paraID>
      <start>48</start>
      <end>50</end>
      <status>modified</status>
      <modifiedWord>台</modifiedWord>
      <trackRevisions>true</trackRevisions>
    </reviewItem>
    <reviewItem>
      <errorID>52b870a7-57e7-41c4-a526-0da7ef1a9397</errorID>
      <errorWord>(</errorWord>
      <group>L1_Format</group>
      <groupName>格式问题</groupName>
      <ability>L2_HalfPunc</ability>
      <abilityName>全半角检查</abilityName>
      <candidateList>
        <item>（</item>
      </candidateList>
      <explain>文本全半角错误。</explain>
      <paraID>3327560E</paraID>
      <start>13</start>
      <end>14</end>
      <status>ignored</status>
      <modifiedWord/>
      <trackRevisions>false</trackRevisions>
    </reviewItem>
    <reviewItem>
      <errorID>8052c009-ac71-472c-b973-1da2230d5293</errorID>
      <errorWord>)</errorWord>
      <group>L1_Format</group>
      <groupName>格式问题</groupName>
      <ability>L2_HalfPunc</ability>
      <abilityName>全半角检查</abilityName>
      <candidateList>
        <item>）</item>
      </candidateList>
      <explain>文本全半角错误。</explain>
      <paraID>3327560E</paraID>
      <start>16</start>
      <end>17</end>
      <status>ignored</status>
      <modifiedWord/>
      <trackRevisions>false</trackRevisions>
    </reviewItem>
    <reviewItem>
      <errorID>74ab5396-f2b2-4288-97ce-4bcb55e1fc96</errorID>
      <errorWord>省级及以上人民政府</errorWord>
      <group>L1_Political</group>
      <groupName>政治性问题</groupName>
      <ability>L2_Unpolitical</ability>
      <abilityName>政治敏感错误</abilityName>
      <candidateList>
        <item>省级以上人民政府</item>
      </candidateList>
      <explain/>
      <paraID>5606C6B3</paraID>
      <start>32</start>
      <end>41</end>
      <status>ignored</status>
      <modifiedWord/>
      <trackRevisions>false</trackRevisions>
    </reviewItem>
    <reviewItem>
      <errorID>9fbbfedc-b396-4427-a3e6-f47fc018b64d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16099669</paraID>
      <start>0</start>
      <end>2</end>
      <status>ignored</status>
      <modifiedWord/>
      <trackRevisions>false</trackRevisions>
    </reviewItem>
    <reviewItem>
      <errorID>81995c63-bcc1-4365-9148-844f00e048de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3321ABA5</paraID>
      <start>34</start>
      <end>37</end>
      <status>ignored</status>
      <modifiedWord/>
      <trackRevisions>false</trackRevisions>
    </reviewItem>
    <reviewItem>
      <errorID>f32a5b06-1f6a-4c3a-80fc-78fb7da0f13f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E65719C</paraID>
      <start>0</start>
      <end>3</end>
      <status>ignored</status>
      <modifiedWord/>
      <trackRevisions>false</trackRevisions>
    </reviewItem>
    <reviewItem>
      <errorID>86943f68-2bd8-4d78-a1c2-007b7c0474f8</errorID>
      <errorWord>经</errorWord>
      <group>L1_Punc</group>
      <groupName>标点问题</groupName>
      <ability>L2_Punc</ability>
      <abilityName>标点符号检查</abilityName>
      <candidateList>
        <item>，经</item>
      </candidateList>
      <explain/>
      <paraID> E65719C</paraID>
      <start>101</start>
      <end>102</end>
      <status>ignored</status>
      <modifiedWord/>
      <trackRevisions>false</trackRevisions>
    </reviewItem>
    <reviewItem>
      <errorID>653ae34f-269d-4197-b601-a0f5c6d7679c</errorID>
      <errorWord>提供中</errorWord>
      <group>L1_Word</group>
      <groupName>字词问题</groupName>
      <ability>L2_Typo</ability>
      <abilityName>字词错误</abilityName>
      <candidateList>
        <item>提供</item>
      </candidateList>
      <explain/>
      <paraID>702A764A</paraID>
      <start>84</start>
      <end>89</end>
      <status>modified</status>
      <modifiedWord>提供</modifiedWord>
      <trackRevisions>true</trackRevisions>
    </reviewItem>
    <reviewItem>
      <errorID>8f788f39-ee29-4ad7-9542-28bf5eadaa19</errorID>
      <errorWord>接</errorWord>
      <group>L1_Word</group>
      <groupName>字词问题</groupName>
      <ability>L2_Typo</ability>
      <abilityName>字词错误</abilityName>
      <candidateList>
        <item>接到</item>
      </candidateList>
      <explain/>
      <paraID>7D07F113</paraID>
      <start>58</start>
      <end>59</end>
      <status>ignored</status>
      <modifiedWord/>
      <trackRevisions>false</trackRevisions>
    </reviewItem>
    <reviewItem>
      <errorID>52d74913-ea4f-4829-8d0e-bc75bdaa0575</errorID>
      <errorWord>(2) 或</errorWord>
      <group>L1_Punc</group>
      <groupName>标点问题</groupName>
      <ability>L2_Punc</ability>
      <abilityName>标点符号检查</abilityName>
      <candidateList>
        <item>（2）、</item>
      </candidateList>
      <explain/>
      <paraID>5C2962FD</paraID>
      <start>2</start>
      <end>7</end>
      <status>ignored</status>
      <modifiedWord/>
      <trackRevisions>false</trackRevisions>
    </reviewItem>
    <reviewItem>
      <errorID>0fd69d4a-a520-4c27-ba03-c2f733226a5d</errorID>
      <errorWord>或</errorWord>
      <group>L1_Word</group>
      <groupName>字词问题</groupName>
      <ability>L2_Typo</ability>
      <abilityName>字词错误</abilityName>
      <candidateList>
        <item>、</item>
      </candidateList>
      <explain/>
      <paraID>5C2962FD</paraID>
      <start>10</start>
      <end>11</end>
      <status>ignored</status>
      <modifiedWord/>
      <trackRevisions>false</trackRevisions>
    </reviewItem>
    <reviewItem>
      <errorID>a5c55128-c28f-4466-9758-52344524282a</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 91E2036</paraID>
      <start>1</start>
      <end>8</end>
      <status>ignored</status>
      <modifiedWord/>
      <trackRevisions>false</trackRevisions>
    </reviewItem>
    <reviewItem>
      <errorID>03be079c-ce9a-4241-8f24-50cadb25b0f7</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 91E2036</paraID>
      <start>8</start>
      <end>12</end>
      <status>ignored</status>
      <modifiedWord/>
      <trackRevisions>false</trackRevisions>
    </reviewItem>
    <reviewItem>
      <errorID>e932ea08-bf74-4270-85f1-45c5fe5318fd</errorID>
      <errorWord>,</errorWord>
      <group>L1_Format</group>
      <groupName>格式问题</groupName>
      <ability>L2_HalfPunc</ability>
      <abilityName>全半角检查</abilityName>
      <candidateList>
        <item>，</item>
      </candidateList>
      <explain>文本全半角错误。</explain>
      <paraID>4998F6C0</paraID>
      <start>9</start>
      <end>10</end>
      <status>ignored</status>
      <modifiedWord/>
      <trackRevisions>false</trackRevisions>
    </reviewItem>
    <reviewItem>
      <errorID>e82a3ce2-0853-4a70-8aae-527c9d64bd92</errorID>
      <errorWord>程</errorWord>
      <group>L1_Word</group>
      <groupName>字词问题</groupName>
      <ability>L2_Typo</ability>
      <abilityName>字词错误</abilityName>
      <candidateList>
        <item>程中</item>
      </candidateList>
      <explain/>
      <paraID>7875F8BC</paraID>
      <start>15</start>
      <end>18</end>
      <status>modified</status>
      <modifiedWord>程中</modifiedWord>
      <trackRevisions>true</trackRevisions>
    </reviewItem>
    <reviewItem>
      <errorID>fd845dbc-ae51-4d6a-bcec-74da5b53a325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47CACBD6</paraID>
      <start>0</start>
      <end>2</end>
      <status>ignored</status>
      <modifiedWord/>
      <trackRevisions>false</trackRevisions>
    </reviewItem>
    <reviewItem>
      <errorID>da99e5b2-7a3b-4b9a-ac67-9758b9d8f925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23937890</paraID>
      <start>0</start>
      <end>2</end>
      <status>ignored</status>
      <modifiedWord/>
      <trackRevisions>false</trackRevisions>
    </reviewItem>
    <reviewItem>
      <errorID>2af3b009-8837-4310-ad79-5f624ee50796</errorID>
      <errorWord>3、</errorWord>
      <group>L1_Format</group>
      <groupName>格式问题</groupName>
      <ability>L2_Ordinal</ability>
      <abilityName>序号格式</abilityName>
      <candidateList>
        <item>3.</item>
      </candidateList>
      <explain>当前序号格式不规范，建议修改为规范格式[3.]。</explain>
      <paraID>1A12D346</paraID>
      <start>0</start>
      <end>2</end>
      <status>ignored</status>
      <modifiedWord/>
      <trackRevisions>false</trackRevisions>
    </reviewItem>
    <reviewItem>
      <errorID>fef412e1-c9e4-405e-8c6a-cf8c8737b39a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5EF1C5EC</paraID>
      <start>0</start>
      <end>2</end>
      <status>ignored</status>
      <modifiedWord/>
      <trackRevisions>false</trackRevisions>
    </reviewItem>
    <reviewItem>
      <errorID>85e31ee6-eace-46e3-ae09-a175f49487af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30260D54</paraID>
      <start>0</start>
      <end>2</end>
      <status>ignored</status>
      <modifiedWord/>
      <trackRevisions>false</trackRevisions>
    </reviewItem>
    <reviewItem>
      <errorID>9abb764a-1550-455b-8ee0-57d70f55f926</errorID>
      <errorWord>繁琐复杂</errorWord>
      <group>L1_Grammar</group>
      <groupName>语法问题</groupName>
      <ability>L2_Grammar</ability>
      <abilityName>语法错误</abilityName>
      <candidateList>
        <item>繁琐</item>
      </candidateList>
      <explain/>
      <paraID>59D1ECAC</paraID>
      <start>120</start>
      <end>124</end>
      <status>ignored</status>
      <modifiedWord/>
      <trackRevisions>false</trackRevisions>
    </reviewItem>
    <reviewItem>
      <errorID>189a37a5-b16d-424f-a925-39b562854bd9</errorID>
      <errorWord>3</errorWord>
      <group>L1_Grammar</group>
      <groupName>语法问题</groupName>
      <ability>L2_Grammar</ability>
      <abilityName>语法错误</abilityName>
      <candidateList>
        <item>提供3</item>
      </candidateList>
      <explain/>
      <paraID>7D48BC77</paraID>
      <start>40</start>
      <end>41</end>
      <status>ignored</status>
      <modifiedWord/>
      <trackRevisions>false</trackRevisions>
    </reviewItem>
    <reviewItem>
      <errorID>e223b97b-ac2d-4b44-b863-d8a4b63d4576</errorID>
      <errorWord>、</errorWord>
      <group>L1_Word</group>
      <groupName>字词问题</groupName>
      <ability>L2_Typo</ability>
      <abilityName>字词错误</abilityName>
      <candidateList>
        <item>及</item>
      </candidateList>
      <explain/>
      <paraID>7D48BC77</paraID>
      <start>53</start>
      <end>54</end>
      <status>ignored</status>
      <modifiedWord/>
      <trackRevisions>false</trackRevisions>
    </reviewItem>
    <reviewItem>
      <errorID>3cb94d20-b2b8-4bfc-8b13-6b616a820479</errorID>
      <errorWord>，</errorWord>
      <group>L1_Punc</group>
      <groupName>标点问题</groupName>
      <ability>L2_Punc</ability>
      <abilityName>标点符号检查</abilityName>
      <candidateList>
        <item>、</item>
      </candidateList>
      <explain/>
      <paraID>7D48BC77</paraID>
      <start>74</start>
      <end>75</end>
      <status>ignored</status>
      <modifiedWord/>
      <trackRevisions>false</trackRevisions>
    </reviewItem>
    <reviewItem>
      <errorID>25e087fc-e8a1-400b-a964-e0ba9038b671</errorID>
      <errorWord>V20</errorWord>
      <group>L1_Word</group>
      <groupName>字词问题</groupName>
      <ability>L2_Typo</ability>
      <abilityName>字词错误</abilityName>
      <candidateList>
        <item>UOS</item>
      </candidateList>
      <explain/>
      <paraID>7FA08103</paraID>
      <start>34</start>
      <end>37</end>
      <status>ignored</status>
      <modifiedWord/>
      <trackRevisions>false</trackRevisions>
    </reviewItem>
    <reviewItem>
      <errorID>59cb9518-05e4-47ff-a881-3abfddb67c26</errorID>
      <errorWord>6千</errorWord>
      <group>L1_Knowledge</group>
      <groupName>知识性问题</groupName>
      <ability>L2_Knowledge</ability>
      <abilityName>其他知识</abilityName>
      <candidateList>
        <item>6000</item>
      </candidateList>
      <explain>根据GB/T 15835-2011规定，只有“万”、“亿可以与阿拉伯数字混用，例如：“4万”、“4亿”、“4万亿”等。其他情况应统一使用阿拉伯数字。</explain>
      <paraID>3FCCC646</paraID>
      <start>123</start>
      <end>125</end>
      <status>ignored</status>
      <modifiedWord/>
      <trackRevisions>false</trackRevisions>
    </reviewItem>
    <reviewItem>
      <errorID>84706776-593d-4380-82f1-fad0ece85949</errorID>
      <errorWord>:</errorWord>
      <group>L1_Format</group>
      <groupName>格式问题</groupName>
      <ability>L2_HalfPunc</ability>
      <abilityName>全半角检查</abilityName>
      <candidateList>
        <item>：</item>
      </candidateList>
      <explain>文本全半角错误。</explain>
      <paraID>7C924BAC</paraID>
      <start>20</start>
      <end>21</end>
      <status>ignored</status>
      <modifiedWord/>
      <trackRevisions>false</trackRevisions>
    </reviewItem>
    <reviewItem>
      <errorID>8e6c3db3-27b1-488a-8b71-201c4eec6173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6C32154A</paraID>
      <start>13</start>
      <end>16</end>
      <status>ignored</status>
      <modifiedWord/>
      <trackRevisions>false</trackRevisions>
    </reviewItem>
    <reviewItem>
      <errorID>09a79cea-ec6c-4644-8139-4b359a5d2dc7</errorID>
      <errorWord>4千</errorWord>
      <group>L1_Knowledge</group>
      <groupName>知识性问题</groupName>
      <ability>L2_Knowledge</ability>
      <abilityName>其他知识</abilityName>
      <candidateList>
        <item>4000</item>
      </candidateList>
      <explain>根据GB/T 15835-2011规定，只有“万”、“亿可以与阿拉伯数字混用，例如：“4万”、“4亿”、“4万亿”等。其他情况应统一使用阿拉伯数字。</explain>
      <paraID>638FF420</paraID>
      <start>136</start>
      <end>138</end>
      <status>ignored</status>
      <modifiedWord/>
      <trackRevisions>false</trackRevisions>
    </reviewItem>
    <reviewItem>
      <errorID>ac139e14-01e8-4a63-9765-a390d9ee9e96</errorID>
      <errorWord>(</errorWord>
      <group>L1_Format</group>
      <groupName>格式问题</groupName>
      <ability>L2_HalfPunc</ability>
      <abilityName>全半角检查</abilityName>
      <candidateList>
        <item>（</item>
      </candidateList>
      <explain>文本全半角错误。</explain>
      <paraID>638FF420</paraID>
      <start>148</start>
      <end>149</end>
      <status>ignored</status>
      <modifiedWord/>
      <trackRevisions>false</trackRevisions>
    </reviewItem>
    <reviewItem>
      <errorID>40ead3ea-2573-4104-baa7-b03979e679c4</errorID>
      <errorWord>(</errorWord>
      <group>L1_Format</group>
      <groupName>格式问题</groupName>
      <ability>L2_HalfPunc</ability>
      <abilityName>全半角检查</abilityName>
      <candidateList>
        <item>（</item>
      </candidateList>
      <explain>文本全半角错误。</explain>
      <paraID>638FF420</paraID>
      <start>161</start>
      <end>162</end>
      <status>ignored</status>
      <modifiedWord/>
      <trackRevisions>false</trackRevisions>
    </reviewItem>
    <reviewItem>
      <errorID>74330feb-88ba-491a-b52c-f528c18dd767</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70FDB9C4</paraID>
      <start>62</start>
      <end>66</end>
      <status>ignored</status>
      <modifiedWord/>
      <trackRevisions>false</trackRevisions>
    </reviewItem>
    <reviewItem>
      <errorID>438b3325-d67e-4171-b873-0bd2c303e80f</errorID>
      <errorWord>:</errorWord>
      <group>L1_Format</group>
      <groupName>格式问题</groupName>
      <ability>L2_HalfPunc</ability>
      <abilityName>全半角检查</abilityName>
      <candidateList>
        <item>：</item>
      </candidateList>
      <explain>文本全半角错误。</explain>
      <paraID>43A2DE82</paraID>
      <start>16</start>
      <end>17</end>
      <status>ignored</status>
      <modifiedWord/>
      <trackRevisions>false</trackRevisions>
    </reviewItem>
    <reviewItem>
      <errorID>22cd1fe3-2a61-4173-a1c4-182bacbf4ad7</errorID>
      <errorWord>多个的</errorWord>
      <group>L1_Word</group>
      <groupName>字词问题</groupName>
      <ability>L2_Typo</ability>
      <abilityName>字词错误</abilityName>
      <candidateList>
        <item>多个</item>
      </candidateList>
      <explain/>
      <paraID>74AA43F4</paraID>
      <start>4</start>
      <end>9</end>
      <status>modified</status>
      <modifiedWord>多个</modifiedWord>
      <trackRevisions>true</trackRevisions>
    </reviewItem>
    <reviewItem>
      <errorID>642043b7-2dd2-4c12-a6e6-5bad2ee4163a</errorID>
      <errorWord>(</errorWord>
      <group>L1_Format</group>
      <groupName>格式问题</groupName>
      <ability>L2_HalfPunc</ability>
      <abilityName>全半角检查</abilityName>
      <candidateList>
        <item>（</item>
      </candidateList>
      <explain>文本全半角错误。</explain>
      <paraID>6446E01C</paraID>
      <start>20</start>
      <end>21</end>
      <status>ignored</status>
      <modifiedWord/>
      <trackRevisions>false</trackRevisions>
    </reviewItem>
    <reviewItem>
      <errorID>c2979b26-7424-4205-80a0-6ae18c7b8f00</errorID>
      <errorWord>),</errorWord>
      <group>L1_Format</group>
      <groupName>格式问题</groupName>
      <ability>L2_HalfPunc</ability>
      <abilityName>全半角检查</abilityName>
      <candidateList>
        <item>），</item>
      </candidateList>
      <explain>文本全半角错误。</explain>
      <paraID>6446E01C</paraID>
      <start>29</start>
      <end>31</end>
      <status>ignored</status>
      <modifiedWord/>
      <trackRevisions>false</trackRevisions>
    </reviewItem>
    <reviewItem>
      <errorID>8964ff83-4bbd-4874-aef0-5a7b792471ab</errorID>
      <errorWord>应能</errorWord>
      <group>L1_Word</group>
      <groupName>字词问题</groupName>
      <ability>L2_Typo</ability>
      <abilityName>字词错误</abilityName>
      <candidateList>
        <item>应</item>
      </candidateList>
      <explain/>
      <paraID>3F9D0AB9</paraID>
      <start>3</start>
      <end>6</end>
      <status>modified</status>
      <modifiedWord>应</modifiedWord>
      <trackRevisions>true</trackRevisions>
    </reviewItem>
    <reviewItem>
      <errorID>ab383655-3596-48a2-bd77-d0a531b8b2ab</errorID>
      <errorWord>区域中</errorWord>
      <group>L1_Word</group>
      <groupName>字词问题</groupName>
      <ability>L2_Typo</ability>
      <abilityName>字词错误</abilityName>
      <candidateList>
        <item>区域</item>
      </candidateList>
      <explain/>
      <paraID>70B2183C</paraID>
      <start>50</start>
      <end>53</end>
      <status>ignored</status>
      <modifiedWord/>
      <trackRevisions>false</trackRevisions>
    </reviewItem>
    <reviewItem>
      <errorID>450f36b6-5ea8-467b-a5d6-80f02afdf2e5</errorID>
      <errorWord>性能用</errorWord>
      <group>L1_Word</group>
      <groupName>字词问题</groupName>
      <ability>L2_Typo</ability>
      <abilityName>字词错误</abilityName>
      <candidateList>
        <item>性能</item>
      </candidateList>
      <explain/>
      <paraID>45F30F6C</paraID>
      <start>18</start>
      <end>21</end>
      <status>ignored</status>
      <modifiedWord/>
      <trackRevisions>false</trackRevisions>
    </reviewItem>
    <reviewItem>
      <errorID>dc557d82-18b4-4c9c-9117-4ba1f1ebf973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77086F0A</paraID>
      <start>34</start>
      <end>37</end>
      <status>ignored</status>
      <modifiedWord/>
      <trackRevisions>false</trackRevisions>
    </reviewItem>
    <reviewItem>
      <errorID>e46043dc-0704-4835-803a-78cdcf214d73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738A668F</paraID>
      <start>0</start>
      <end>2</end>
      <status>ignored</status>
      <modifiedWord/>
      <trackRevisions>false</trackRevisions>
    </reviewItem>
    <reviewItem>
      <errorID>37a4fea8-676f-42e4-a37b-888a3c543ba7</errorID>
      <errorWord>“/</errorWord>
      <group>L1_Punc</group>
      <groupName>标点问题</groupName>
      <ability>L2_Punc</ability>
      <abilityName>标点符号检查</abilityName>
      <candidateList>
        <item>“</item>
      </candidateList>
      <explain/>
      <paraID>6C7281D6</paraID>
      <start>145</start>
      <end>147</end>
      <status>ignored</status>
      <modifiedWord/>
      <trackRevisions>false</trackRevisions>
    </reviewItem>
    <reviewItem>
      <errorID>a4dc717a-6b93-4450-97d9-75e7684962b0</errorID>
      <errorWord>！！！</errorWord>
      <group>L1_Punc</group>
      <groupName>标点问题</groupName>
      <ability>L2_Punc</ability>
      <abilityName>标点符号检查</abilityName>
      <candidateList>
        <item>！</item>
      </candidateList>
      <explain/>
      <paraID>57507A5D</paraID>
      <start>98</start>
      <end>101</end>
      <status>ignored</status>
      <modifiedWord/>
      <trackRevisions>false</trackRevisions>
    </reviewItem>
    <reviewItem>
      <errorID>19f31b39-fde6-40be-b550-5b752b16911a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34D61651</paraID>
      <start>0</start>
      <end>2</end>
      <status>ignored</status>
      <modifiedWord/>
      <trackRevisions>false</trackRevisions>
    </reviewItem>
    <reviewItem>
      <errorID>159c222d-e4f8-424b-96eb-99d56de424f7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77C32179</paraID>
      <start>0</start>
      <end>2</end>
      <status>ignored</status>
      <modifiedWord/>
      <trackRevisions>false</trackRevisions>
    </reviewItem>
    <reviewItem>
      <errorID>0b133da7-bdfa-4158-9694-ff8d9f4ef6f4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657271D1</paraID>
      <start>0</start>
      <end>2</end>
      <status>ignored</status>
      <modifiedWord/>
      <trackRevisions>false</trackRevisions>
    </reviewItem>
    <reviewItem>
      <errorID>df238914-e3c0-4613-9853-81eafae59a51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5B07010</paraID>
      <start>0</start>
      <end>2</end>
      <status>ignored</status>
      <modifiedWord/>
      <trackRevisions>false</trackRevisions>
    </reviewItem>
    <reviewItem>
      <errorID>75be5141-c7b6-4c81-8410-42b5f238a44d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254040C4</paraID>
      <start>0</start>
      <end>2</end>
      <status>ignored</status>
      <modifiedWord/>
      <trackRevisions>false</trackRevisions>
    </reviewItem>
    <reviewItem>
      <errorID>a11e0677-d438-4792-a035-909984abc223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297B74E8</paraID>
      <start>0</start>
      <end>2</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6156D82-0C35-4CDF-8E52-D6656295EF1D}"/>
</file>

<file path=customXml/itemProps2.xml><?xml version="1.0" encoding="utf-8"?>
<ds:datastoreItem xmlns:ds="http://schemas.openxmlformats.org/officeDocument/2006/customXml" ds:itemID="{F9DC54F6-1C8F-4CD4-9D20-CDE9E6BD4E5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智慧校园3.0建设行动计划子项目网络基础建设项目采购招标文件（合规校订稿）</dc:title>
  <dc:subject>招标文件文字校订与合规审核</dc:subject>
  <dc:creator>Skywork</dc:creator>
  <cp:lastModifiedBy>全过程一组</cp:lastModifiedBy>
  <cp:revision>4</cp:revision>
  <dcterms:created xsi:type="dcterms:W3CDTF">2026-11-03T00:42:00Z</dcterms:created>
  <dcterms:modified xsi:type="dcterms:W3CDTF">2026-11-03T06:48:35Z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2052-12.1.0.28505</vt:lpwstr>
  </property>
  <property fmtid="{D5CDD505-2E9C-101B-9397-08002B2CF9AE}" pid="4" name="ICV">
    <vt:lpwstr>B1DC7C8A888249B18CC7FC4CD9ECD96E_13</vt:lpwstr>
  </property>
</Properties>
</file>