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258"/>
        <w:spacing w:before="270" w:line="224" w:lineRule="auto"/>
        <w:widowControl w:val="off"/>
        <w:rPr>
          <w:rFonts w:ascii="宋体" w:hAnsi="宋体" w:eastAsia="宋体" w:cs="宋体"/>
          <w:color w:val="auto"/>
          <w:spacing w:val="5"/>
          <w:sz w:val="83"/>
          <w:szCs w:val="83"/>
        </w:rPr>
      </w:pPr>
      <w:r>
        <w:rPr>
          <w:rFonts w:ascii="宋体" w:hAnsi="宋体" w:eastAsia="宋体" w:cs="宋体"/>
          <w:color w:val="auto"/>
          <w:spacing w:val="5"/>
          <w:sz w:val="83"/>
          <w:szCs w:val="83"/>
        </w:rPr>
      </w:r>
      <w:r/>
    </w:p>
    <w:p>
      <w:pPr>
        <w:ind w:left="1258"/>
        <w:spacing w:before="270" w:line="224" w:lineRule="auto"/>
        <w:widowControl w:val="off"/>
        <w:rPr>
          <w:rFonts w:ascii="宋体" w:hAnsi="宋体" w:eastAsia="宋体" w:cs="宋体"/>
          <w:color w:val="auto"/>
          <w:sz w:val="83"/>
          <w:szCs w:val="83"/>
        </w:rPr>
      </w:pPr>
      <w:r>
        <w:rPr>
          <w:rFonts w:hint="eastAsia" w:ascii="宋体" w:hAnsi="宋体" w:eastAsia="宋体" w:cs="宋体"/>
          <w:color w:val="auto"/>
          <w:spacing w:val="5"/>
          <w:sz w:val="83"/>
          <w:szCs w:val="83"/>
        </w:rPr>
        <w:t xml:space="preserve">竞争性磋</w:t>
      </w:r>
      <w:bookmarkStart w:id="109" w:name="_GoBack"/>
      <w:r/>
      <w:bookmarkEnd w:id="109"/>
      <w:r>
        <w:rPr>
          <w:rFonts w:hint="eastAsia" w:ascii="宋体" w:hAnsi="宋体" w:eastAsia="宋体" w:cs="宋体"/>
          <w:color w:val="auto"/>
          <w:spacing w:val="5"/>
          <w:sz w:val="83"/>
          <w:szCs w:val="83"/>
        </w:rPr>
        <w:t xml:space="preserve">商文件</w:t>
      </w:r>
      <w:r/>
    </w:p>
    <w:p>
      <w:pPr>
        <w:pStyle w:val="927"/>
        <w:spacing w:line="279" w:lineRule="auto"/>
        <w:widowControl w:val="off"/>
        <w:rPr>
          <w:rFonts w:ascii="宋体" w:hAnsi="宋体" w:eastAsia="宋体" w:cs="宋体"/>
          <w:color w:val="auto"/>
        </w:rPr>
      </w:pPr>
      <w:r>
        <w:rPr>
          <w:rFonts w:ascii="宋体" w:hAnsi="宋体" w:eastAsia="宋体" w:cs="宋体"/>
          <w:color w:val="auto"/>
        </w:rPr>
      </w:r>
      <w:r/>
    </w:p>
    <w:p>
      <w:pPr>
        <w:pStyle w:val="927"/>
        <w:spacing w:line="279" w:lineRule="auto"/>
        <w:widowControl w:val="off"/>
        <w:rPr>
          <w:rFonts w:ascii="宋体" w:hAnsi="宋体" w:eastAsia="宋体" w:cs="宋体"/>
          <w:color w:val="auto"/>
        </w:rPr>
      </w:pPr>
      <w:r>
        <w:rPr>
          <w:rFonts w:ascii="宋体" w:hAnsi="宋体" w:eastAsia="宋体" w:cs="宋体"/>
          <w:color w:val="auto"/>
        </w:rPr>
      </w:r>
      <w:r/>
    </w:p>
    <w:p>
      <w:pPr>
        <w:pStyle w:val="927"/>
        <w:spacing w:line="279" w:lineRule="auto"/>
        <w:widowControl w:val="off"/>
        <w:rPr>
          <w:rFonts w:ascii="宋体" w:hAnsi="宋体" w:eastAsia="宋体" w:cs="宋体"/>
          <w:color w:val="auto"/>
        </w:rPr>
      </w:pPr>
      <w:r>
        <w:rPr>
          <w:rFonts w:ascii="宋体" w:hAnsi="宋体" w:eastAsia="宋体" w:cs="宋体"/>
          <w:color w:val="auto"/>
        </w:rPr>
      </w:r>
      <w:r/>
    </w:p>
    <w:tbl>
      <w:tblPr>
        <w:tblStyle w:val="92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06"/>
        <w:gridCol w:w="5593"/>
      </w:tblGrid>
      <w:tr>
        <w:trPr>
          <w:jc w:val="center"/>
          <w:trHeight w:val="1134" w:hRule="exact"/>
        </w:trPr>
        <w:tc>
          <w:tcPr>
            <w:tcBorders>
              <w:top w:val="none" w:color="000000" w:sz="4" w:space="0"/>
              <w:left w:val="none" w:color="000000" w:sz="4" w:space="0"/>
              <w:bottom w:val="none" w:color="000000" w:sz="4" w:space="0"/>
              <w:right w:val="none" w:color="000000" w:sz="4" w:space="0"/>
            </w:tcBorders>
            <w:tcW w:w="2306" w:type="dxa"/>
            <w:vAlign w:val="center"/>
            <w:textDirection w:val="lrTb"/>
            <w:noWrap w:val="false"/>
          </w:tcPr>
          <w:p>
            <w:pPr>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项目名称：</w:t>
            </w:r>
            <w:r/>
          </w:p>
        </w:tc>
        <w:tc>
          <w:tcPr>
            <w:tcBorders>
              <w:top w:val="none" w:color="000000" w:sz="4" w:space="0"/>
              <w:left w:val="none" w:color="000000" w:sz="4" w:space="0"/>
              <w:bottom w:val="none" w:color="000000" w:sz="4" w:space="0"/>
              <w:right w:val="none" w:color="000000" w:sz="4" w:space="0"/>
            </w:tcBorders>
            <w:tcW w:w="5593" w:type="dxa"/>
            <w:vAlign w:val="center"/>
            <w:textDirection w:val="lrTb"/>
            <w:noWrap w:val="false"/>
          </w:tcPr>
          <w:p>
            <w:pPr>
              <w:spacing w:line="500" w:lineRule="exact"/>
              <w:widowControl w:val="off"/>
              <w:rPr>
                <w:rFonts w:ascii="宋体" w:hAnsi="宋体" w:eastAsia="宋体" w:cs="宋体"/>
                <w:color w:val="auto"/>
                <w:sz w:val="36"/>
                <w:szCs w:val="36"/>
              </w:rPr>
            </w:pPr>
            <w:r>
              <w:rPr>
                <w:rFonts w:hint="eastAsia" w:ascii="宋体" w:hAnsi="宋体" w:eastAsia="宋体" w:cs="宋体"/>
                <w:b/>
                <w:bCs/>
                <w:color w:val="auto"/>
                <w:sz w:val="32"/>
                <w:szCs w:val="24"/>
                <w:lang w:eastAsia="zh-CN"/>
              </w:rPr>
              <w:t xml:space="preserve">宿迁市自然保护地勘界立标项目</w:t>
            </w:r>
            <w:r/>
          </w:p>
        </w:tc>
      </w:tr>
      <w:tr>
        <w:trPr>
          <w:jc w:val="center"/>
          <w:trHeight w:val="1134" w:hRule="exact"/>
        </w:trPr>
        <w:tc>
          <w:tcPr>
            <w:tcBorders>
              <w:top w:val="none" w:color="000000" w:sz="4" w:space="0"/>
              <w:left w:val="none" w:color="000000" w:sz="4" w:space="0"/>
              <w:bottom w:val="none" w:color="000000" w:sz="4" w:space="0"/>
              <w:right w:val="none" w:color="000000" w:sz="4" w:space="0"/>
            </w:tcBorders>
            <w:tcW w:w="2306" w:type="dxa"/>
            <w:vAlign w:val="center"/>
            <w:textDirection w:val="lrTb"/>
            <w:noWrap w:val="false"/>
          </w:tcPr>
          <w:p>
            <w:pPr>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项目编号：</w:t>
            </w:r>
            <w:r/>
          </w:p>
        </w:tc>
        <w:tc>
          <w:tcPr>
            <w:tcBorders>
              <w:top w:val="none" w:color="000000" w:sz="4" w:space="0"/>
              <w:left w:val="none" w:color="000000" w:sz="4" w:space="0"/>
              <w:bottom w:val="none" w:color="000000" w:sz="4" w:space="0"/>
              <w:right w:val="none" w:color="000000" w:sz="4" w:space="0"/>
            </w:tcBorders>
            <w:tcW w:w="5593" w:type="dxa"/>
            <w:vAlign w:val="center"/>
            <w:textDirection w:val="lrTb"/>
            <w:noWrap w:val="false"/>
          </w:tcPr>
          <w:p>
            <w:pPr>
              <w:spacing w:line="500" w:lineRule="exact"/>
              <w:widowControl w:val="off"/>
              <w:rPr>
                <w:rFonts w:ascii="宋体" w:hAnsi="宋体" w:eastAsia="宋体" w:cs="宋体"/>
                <w:color w:val="auto"/>
                <w:sz w:val="36"/>
                <w:szCs w:val="36"/>
                <w:lang w:eastAsia="zh-CN"/>
              </w:rPr>
            </w:pPr>
            <w:r>
              <w:rPr>
                <w:rFonts w:hint="eastAsia" w:ascii="宋体" w:hAnsi="宋体" w:eastAsia="宋体" w:cs="宋体"/>
                <w:b/>
                <w:bCs/>
                <w:color w:val="auto"/>
                <w:sz w:val="32"/>
                <w:szCs w:val="24"/>
                <w:lang w:eastAsia="zh-CN"/>
              </w:rPr>
              <w:t xml:space="preserve">JSZC-321300-JSKJ-C2026-0039</w:t>
            </w:r>
            <w:r/>
          </w:p>
        </w:tc>
      </w:tr>
    </w:tbl>
    <w:p>
      <w:pPr>
        <w:jc w:val="center"/>
        <w:spacing w:before="120" w:after="120" w:line="360" w:lineRule="auto"/>
        <w:widowControl w:val="off"/>
        <w:rPr>
          <w:rFonts w:ascii="宋体" w:hAnsi="宋体" w:eastAsia="宋体" w:cs="宋体"/>
          <w:b/>
          <w:color w:val="auto"/>
          <w:sz w:val="30"/>
          <w:szCs w:val="30"/>
        </w:rPr>
      </w:pPr>
      <w:r>
        <w:rPr>
          <w:rFonts w:hint="eastAsia" w:ascii="宋体" w:hAnsi="宋体" w:eastAsia="宋体" w:cs="宋体"/>
          <w:b/>
          <w:bCs/>
          <w:color w:val="auto"/>
          <w:sz w:val="32"/>
          <w:szCs w:val="24"/>
        </w:rPr>
        <w:t xml:space="preserve">（</w:t>
      </w:r>
      <w:r>
        <w:rPr>
          <w:rFonts w:hint="eastAsia" w:ascii="宋体" w:hAnsi="宋体" w:eastAsia="宋体" w:cs="宋体"/>
          <w:b/>
          <w:bCs/>
          <w:color w:val="auto"/>
          <w:sz w:val="32"/>
          <w:szCs w:val="24"/>
          <w:u w:val="single"/>
          <w:lang w:eastAsia="zh-CN"/>
        </w:rPr>
        <w:t xml:space="preserve">服务</w:t>
      </w:r>
      <w:r>
        <w:rPr>
          <w:rFonts w:hint="eastAsia" w:ascii="宋体" w:hAnsi="宋体" w:eastAsia="宋体" w:cs="宋体"/>
          <w:b/>
          <w:bCs/>
          <w:color w:val="auto"/>
          <w:sz w:val="32"/>
          <w:szCs w:val="24"/>
        </w:rPr>
        <w:t xml:space="preserve">类项目，</w:t>
      </w:r>
      <w:r>
        <w:rPr>
          <w:rFonts w:hint="eastAsia" w:ascii="宋体" w:hAnsi="宋体" w:eastAsia="宋体" w:cs="宋体"/>
          <w:b/>
          <w:bCs/>
          <w:color w:val="auto"/>
          <w:sz w:val="32"/>
          <w:szCs w:val="24"/>
          <w:u w:val="single"/>
        </w:rPr>
        <w:t xml:space="preserve">是</w:t>
      </w:r>
      <w:r>
        <w:rPr>
          <w:rFonts w:hint="eastAsia" w:ascii="宋体" w:hAnsi="宋体" w:eastAsia="宋体" w:cs="宋体"/>
          <w:b/>
          <w:bCs/>
          <w:color w:val="auto"/>
          <w:sz w:val="32"/>
          <w:szCs w:val="24"/>
        </w:rPr>
        <w:t xml:space="preserve">专门面向中小企业）</w:t>
      </w:r>
      <w:r/>
    </w:p>
    <w:p>
      <w:pPr>
        <w:pStyle w:val="927"/>
        <w:spacing w:line="279" w:lineRule="auto"/>
        <w:widowControl w:val="off"/>
        <w:rPr>
          <w:rFonts w:ascii="宋体" w:hAnsi="宋体" w:eastAsia="宋体" w:cs="宋体"/>
          <w:color w:val="auto"/>
        </w:rPr>
      </w:pPr>
      <w:r>
        <w:rPr>
          <w:rFonts w:ascii="宋体" w:hAnsi="宋体" w:eastAsia="宋体" w:cs="宋体"/>
          <w:color w:val="auto"/>
        </w:rPr>
      </w:r>
      <w:r/>
    </w:p>
    <w:p>
      <w:pPr>
        <w:pStyle w:val="927"/>
        <w:spacing w:line="279" w:lineRule="auto"/>
        <w:widowControl w:val="off"/>
        <w:rPr>
          <w:rFonts w:ascii="宋体" w:hAnsi="宋体" w:eastAsia="宋体" w:cs="宋体"/>
          <w:color w:val="auto"/>
        </w:rPr>
      </w:pPr>
      <w:r>
        <w:rPr>
          <w:rFonts w:ascii="宋体" w:hAnsi="宋体" w:eastAsia="宋体" w:cs="宋体"/>
          <w:color w:val="auto"/>
        </w:rPr>
      </w:r>
      <w:r/>
    </w:p>
    <w:p>
      <w:pPr>
        <w:pStyle w:val="927"/>
        <w:spacing w:line="279" w:lineRule="auto"/>
        <w:widowControl w:val="off"/>
        <w:rPr>
          <w:rFonts w:ascii="宋体" w:hAnsi="宋体" w:eastAsia="宋体" w:cs="宋体"/>
          <w:color w:val="auto"/>
        </w:rPr>
      </w:pPr>
      <w:r>
        <w:rPr>
          <w:rFonts w:ascii="宋体" w:hAnsi="宋体" w:eastAsia="宋体" w:cs="宋体"/>
          <w:color w:val="auto"/>
        </w:rPr>
      </w:r>
      <w:r/>
    </w:p>
    <w:tbl>
      <w:tblPr>
        <w:tblStyle w:val="921"/>
        <w:tblW w:w="0" w:type="auto"/>
        <w:jc w:val="center"/>
        <w:tblLayout w:type="fixed"/>
        <w:tblCellMar>
          <w:left w:w="108" w:type="dxa"/>
          <w:top w:w="0" w:type="dxa"/>
          <w:right w:w="108" w:type="dxa"/>
          <w:bottom w:w="0" w:type="dxa"/>
        </w:tblCellMar>
        <w:tblLook w:val="04A0" w:firstRow="1" w:lastRow="0" w:firstColumn="1" w:lastColumn="0" w:noHBand="0" w:noVBand="1"/>
      </w:tblPr>
      <w:tblGrid>
        <w:gridCol w:w="2605"/>
        <w:gridCol w:w="5482"/>
      </w:tblGrid>
      <w:tr>
        <w:trPr>
          <w:jc w:val="center"/>
          <w:trHeight w:val="800"/>
        </w:trPr>
        <w:tc>
          <w:tcPr>
            <w:tcBorders>
              <w:top w:val="none" w:color="000000" w:sz="4" w:space="0"/>
              <w:left w:val="none" w:color="000000" w:sz="4" w:space="0"/>
              <w:bottom w:val="none" w:color="000000" w:sz="4" w:space="0"/>
              <w:right w:val="none" w:color="000000" w:sz="4" w:space="0"/>
            </w:tcBorders>
            <w:tcW w:w="2605" w:type="dxa"/>
            <w:vAlign w:val="center"/>
            <w:textDirection w:val="lrTb"/>
            <w:noWrap w:val="false"/>
          </w:tcPr>
          <w:p>
            <w:pPr>
              <w:jc w:val="both"/>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采购人：</w:t>
            </w:r>
            <w:r/>
          </w:p>
        </w:tc>
        <w:tc>
          <w:tcPr>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both"/>
              <w:spacing w:line="500" w:lineRule="exact"/>
              <w:widowControl w:val="off"/>
              <w:rPr>
                <w:rFonts w:ascii="宋体" w:hAnsi="宋体" w:eastAsia="宋体" w:cs="宋体"/>
                <w:b/>
                <w:bCs/>
                <w:color w:val="auto"/>
                <w:sz w:val="32"/>
                <w:szCs w:val="24"/>
                <w:lang w:eastAsia="zh-CN"/>
              </w:rPr>
            </w:pPr>
            <w:r>
              <w:rPr>
                <w:rFonts w:hint="eastAsia" w:ascii="宋体" w:hAnsi="宋体" w:eastAsia="宋体" w:cs="宋体"/>
                <w:b/>
                <w:bCs/>
                <w:color w:val="auto"/>
                <w:sz w:val="32"/>
                <w:szCs w:val="24"/>
                <w:lang w:eastAsia="zh-CN"/>
              </w:rPr>
              <w:t xml:space="preserve">宿迁市自然资源和规划局</w:t>
            </w:r>
            <w:r/>
          </w:p>
        </w:tc>
      </w:tr>
      <w:tr>
        <w:trPr>
          <w:jc w:val="center"/>
          <w:trHeight w:val="800"/>
        </w:trPr>
        <w:tc>
          <w:tcPr>
            <w:tcBorders>
              <w:top w:val="none" w:color="000000" w:sz="4" w:space="0"/>
              <w:left w:val="none" w:color="000000" w:sz="4" w:space="0"/>
              <w:bottom w:val="none" w:color="000000" w:sz="4" w:space="0"/>
              <w:right w:val="none" w:color="000000" w:sz="4" w:space="0"/>
            </w:tcBorders>
            <w:tcW w:w="2605" w:type="dxa"/>
            <w:vAlign w:val="center"/>
            <w:textDirection w:val="lrTb"/>
            <w:noWrap w:val="false"/>
          </w:tcPr>
          <w:p>
            <w:pPr>
              <w:jc w:val="both"/>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both"/>
              <w:spacing w:line="500" w:lineRule="exact"/>
              <w:widowControl w:val="off"/>
              <w:rPr>
                <w:rFonts w:ascii="宋体" w:hAnsi="宋体" w:eastAsia="宋体" w:cs="宋体"/>
                <w:b/>
                <w:bCs/>
                <w:color w:val="auto"/>
                <w:sz w:val="32"/>
                <w:szCs w:val="24"/>
                <w:lang w:eastAsia="zh-CN"/>
              </w:rPr>
            </w:pPr>
            <w:r>
              <w:rPr>
                <w:rFonts w:hint="eastAsia" w:ascii="宋体" w:hAnsi="宋体" w:eastAsia="宋体" w:cs="宋体"/>
                <w:b/>
                <w:bCs/>
                <w:color w:val="auto"/>
                <w:sz w:val="32"/>
                <w:szCs w:val="24"/>
                <w:lang w:eastAsia="zh-CN"/>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605" w:type="dxa"/>
            <w:vAlign w:val="center"/>
            <w:textDirection w:val="lrTb"/>
            <w:noWrap w:val="false"/>
          </w:tcPr>
          <w:p>
            <w:pPr>
              <w:jc w:val="both"/>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日期：</w:t>
            </w:r>
            <w:r/>
          </w:p>
        </w:tc>
        <w:tc>
          <w:tcPr>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both"/>
              <w:spacing w:line="500" w:lineRule="exact"/>
              <w:widowControl w:val="off"/>
              <w:rPr>
                <w:rFonts w:ascii="宋体" w:hAnsi="宋体" w:eastAsia="宋体" w:cs="宋体"/>
                <w:b/>
                <w:bCs/>
                <w:color w:val="auto"/>
                <w:sz w:val="32"/>
                <w:szCs w:val="24"/>
                <w:lang w:eastAsia="zh-CN"/>
              </w:rPr>
            </w:pPr>
            <w:r/>
            <w:bookmarkStart w:id="0" w:name="EB0fd9ce30eb754b71a75bf113b0320af1"/>
            <w:r/>
            <w:bookmarkEnd w:id="0"/>
            <w:r>
              <w:rPr>
                <w:rFonts w:hint="eastAsia" w:ascii="宋体" w:hAnsi="宋体" w:eastAsia="宋体" w:cs="宋体"/>
                <w:b/>
                <w:bCs/>
                <w:color w:val="auto"/>
                <w:sz w:val="32"/>
                <w:szCs w:val="24"/>
                <w:lang w:eastAsia="zh-CN"/>
              </w:rPr>
              <w:t xml:space="preserve">2026年</w:t>
            </w:r>
            <w:r>
              <w:rPr>
                <w:rFonts w:hint="eastAsia" w:ascii="宋体" w:hAnsi="宋体" w:eastAsia="宋体" w:cs="宋体"/>
                <w:b/>
                <w:bCs/>
                <w:color w:val="auto"/>
                <w:sz w:val="32"/>
                <w:szCs w:val="24"/>
                <w:lang w:val="en-US" w:eastAsia="zh-CN"/>
              </w:rPr>
              <w:t xml:space="preserve">10</w:t>
            </w:r>
            <w:r>
              <w:rPr>
                <w:rFonts w:hint="eastAsia" w:ascii="宋体" w:hAnsi="宋体" w:eastAsia="宋体" w:cs="宋体"/>
                <w:b/>
                <w:bCs/>
                <w:color w:val="auto"/>
                <w:sz w:val="32"/>
                <w:szCs w:val="24"/>
                <w:lang w:eastAsia="zh-CN"/>
              </w:rPr>
              <w:t xml:space="preserve">月</w:t>
            </w:r>
            <w:r>
              <w:rPr>
                <w:rFonts w:hint="eastAsia" w:ascii="宋体" w:hAnsi="宋体" w:eastAsia="宋体" w:cs="宋体"/>
                <w:b/>
                <w:bCs/>
                <w:color w:val="auto"/>
                <w:sz w:val="32"/>
                <w:szCs w:val="24"/>
                <w:lang w:val="en-US" w:eastAsia="zh-CN"/>
              </w:rPr>
              <w:t xml:space="preserve">16</w:t>
            </w:r>
            <w:r>
              <w:rPr>
                <w:rFonts w:hint="eastAsia" w:ascii="宋体" w:hAnsi="宋体" w:eastAsia="宋体" w:cs="宋体"/>
                <w:b/>
                <w:bCs/>
                <w:color w:val="auto"/>
                <w:sz w:val="32"/>
                <w:szCs w:val="24"/>
                <w:lang w:eastAsia="zh-CN"/>
              </w:rPr>
              <w:t xml:space="preserve">日</w:t>
            </w:r>
            <w:r/>
          </w:p>
        </w:tc>
      </w:tr>
    </w:tbl>
    <w:p>
      <w:pPr>
        <w:ind w:left="3064"/>
        <w:spacing w:before="1" w:line="225" w:lineRule="auto"/>
        <w:widowControl w:val="off"/>
        <w:rPr>
          <w:rFonts w:ascii="宋体" w:hAnsi="宋体" w:eastAsia="宋体" w:cs="宋体"/>
          <w:color w:val="auto"/>
          <w:sz w:val="31"/>
          <w:szCs w:val="31"/>
        </w:rPr>
      </w:pPr>
      <w:r>
        <w:rPr>
          <w:rFonts w:ascii="宋体" w:hAnsi="宋体" w:eastAsia="宋体" w:cs="宋体"/>
          <w:color w:val="auto"/>
          <w:sz w:val="31"/>
          <w:szCs w:val="31"/>
        </w:rPr>
      </w:r>
      <w:r/>
    </w:p>
    <w:p>
      <w:pPr>
        <w:spacing w:line="225" w:lineRule="auto"/>
        <w:widowControl w:val="off"/>
        <w:rPr>
          <w:rFonts w:ascii="宋体" w:hAnsi="宋体" w:eastAsia="宋体" w:cs="宋体"/>
          <w:color w:val="auto"/>
          <w:sz w:val="31"/>
          <w:szCs w:val="31"/>
        </w:rPr>
        <w:sectPr>
          <w:footnotePr/>
          <w:endnotePr/>
          <w:type w:val="nextPage"/>
          <w:pgSz w:w="11906" w:h="16839" w:orient="portrait"/>
          <w:pgMar w:top="1701" w:right="1785" w:bottom="1701" w:left="1785" w:header="0" w:footer="820" w:gutter="0"/>
          <w:cols w:num="1" w:sep="0" w:space="720" w:equalWidth="1"/>
          <w:docGrid w:linePitch="360"/>
        </w:sectPr>
      </w:pPr>
      <w:r>
        <w:rPr>
          <w:rFonts w:ascii="宋体" w:hAnsi="宋体" w:eastAsia="宋体" w:cs="宋体"/>
          <w:color w:val="auto"/>
          <w:sz w:val="31"/>
          <w:szCs w:val="31"/>
        </w:rPr>
      </w:r>
      <w:r/>
    </w:p>
    <w:p>
      <w:pPr>
        <w:ind w:left="420"/>
        <w:spacing w:before="61" w:line="228" w:lineRule="auto"/>
        <w:widowControl w:val="off"/>
        <w:tabs>
          <w:tab w:val="right" w:pos="8935" w:leader="dot"/>
        </w:tabs>
        <w:rPr>
          <w:rFonts w:ascii="宋体" w:hAnsi="宋体" w:eastAsia="宋体" w:cs="宋体"/>
          <w:color w:val="auto"/>
          <w:sz w:val="20"/>
          <w:szCs w:val="20"/>
        </w:rPr>
      </w:pPr>
      <w:r>
        <w:rPr>
          <w:rFonts w:ascii="宋体" w:hAnsi="宋体" w:eastAsia="宋体" w:cs="宋体"/>
          <w:color w:val="auto"/>
          <w:sz w:val="20"/>
          <w:szCs w:val="20"/>
        </w:rPr>
      </w:r>
      <w:r/>
    </w:p>
    <w:sdt>
      <w:sdtPr>
        <w15:appearance w15:val="boundingBox"/>
        <w15:color w:val="dbdbdb"/>
        <w:id w:val="147482340"/>
        <w:docPartObj>
          <w:docPartGallery w:val="Table of Contents"/>
          <w:docPartUnique w:val="true"/>
        </w:docPartObj>
        <w:rPr>
          <w:rFonts w:ascii="宋体" w:hAnsi="宋体" w:eastAsia="宋体"/>
          <w:b/>
          <w:bCs/>
          <w:color w:val="auto"/>
          <w:sz w:val="52"/>
          <w:szCs w:val="52"/>
        </w:rPr>
      </w:sdtPr>
      <w:sdtContent>
        <w:p>
          <w:pPr>
            <w:jc w:val="center"/>
            <w:rPr>
              <w:b/>
              <w:bCs/>
              <w:color w:val="auto"/>
              <w:sz w:val="52"/>
              <w:szCs w:val="52"/>
            </w:rPr>
          </w:pPr>
          <w:r>
            <w:rPr>
              <w:rFonts w:ascii="宋体" w:hAnsi="宋体" w:eastAsia="宋体"/>
              <w:b/>
              <w:bCs/>
              <w:color w:val="auto"/>
              <w:sz w:val="44"/>
              <w:szCs w:val="44"/>
            </w:rPr>
            <w:t xml:space="preserve">目录</w:t>
          </w:r>
          <w:r/>
        </w:p>
        <w:p>
          <w:pPr>
            <w:pStyle w:val="936"/>
            <w:tabs>
              <w:tab w:val="right" w:pos="8937" w:leader="dot"/>
            </w:tabs>
          </w:pPr>
          <w:r>
            <w:rPr>
              <w:rFonts w:hint="eastAsia" w:ascii="宋体" w:hAnsi="宋体" w:eastAsia="宋体" w:cs="宋体"/>
              <w:color w:val="auto"/>
              <w:sz w:val="20"/>
              <w:szCs w:val="20"/>
            </w:rPr>
            <w:fldChar w:fldCharType="begin"/>
          </w:r>
          <w:r>
            <w:rPr>
              <w:rFonts w:hint="eastAsia" w:ascii="宋体" w:hAnsi="宋体" w:eastAsia="宋体" w:cs="宋体"/>
              <w:color w:val="auto"/>
              <w:sz w:val="20"/>
              <w:szCs w:val="20"/>
            </w:rPr>
            <w:instrText xml:space="preserve">TOC \o "1-2" \h \u </w:instrText>
          </w:r>
          <w:r>
            <w:rPr>
              <w:rFonts w:hint="eastAsia" w:ascii="宋体" w:hAnsi="宋体" w:eastAsia="宋体" w:cs="宋体"/>
              <w:color w:val="auto"/>
              <w:sz w:val="20"/>
              <w:szCs w:val="20"/>
            </w:rPr>
            <w:fldChar w:fldCharType="separate"/>
          </w: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_Toc10847 </w:instrText>
          </w:r>
          <w:r>
            <w:rPr>
              <w:rFonts w:hint="eastAsia" w:ascii="宋体" w:hAnsi="宋体" w:eastAsia="宋体" w:cs="宋体"/>
              <w:szCs w:val="20"/>
            </w:rPr>
            <w:fldChar w:fldCharType="separate"/>
          </w:r>
          <w:r>
            <w:rPr>
              <w:rFonts w:hint="eastAsia" w:ascii="宋体" w:hAnsi="宋体" w:eastAsia="宋体" w:cs="宋体"/>
              <w:bCs/>
              <w:spacing w:val="7"/>
              <w:szCs w:val="44"/>
            </w:rPr>
            <w:t xml:space="preserve">第一章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磋商邀请</w:t>
          </w:r>
          <w:r>
            <w:tab/>
          </w:r>
          <w:r>
            <w:fldChar w:fldCharType="begin"/>
          </w:r>
          <w:r>
            <w:instrText xml:space="preserve"> PAGEREF _Toc10847 \h </w:instrText>
          </w:r>
          <w:r>
            <w:fldChar w:fldCharType="separate"/>
          </w:r>
          <w:r>
            <w:t xml:space="preserve">1</w:t>
          </w:r>
          <w:r>
            <w:fldChar w:fldCharType="end"/>
          </w:r>
          <w:r>
            <w:rPr>
              <w:rFonts w:hint="eastAsia" w:ascii="宋体" w:hAnsi="宋体" w:eastAsia="宋体" w:cs="宋体"/>
              <w:color w:val="auto"/>
              <w:szCs w:val="20"/>
            </w:rPr>
            <w:fldChar w:fldCharType="end"/>
          </w:r>
          <w:r/>
        </w:p>
        <w:p>
          <w:pPr>
            <w:pStyle w:val="936"/>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_Toc30603 </w:instrText>
          </w:r>
          <w:r>
            <w:rPr>
              <w:rFonts w:hint="eastAsia" w:ascii="宋体" w:hAnsi="宋体" w:eastAsia="宋体" w:cs="宋体"/>
              <w:szCs w:val="20"/>
            </w:rPr>
            <w:fldChar w:fldCharType="separate"/>
          </w:r>
          <w:r>
            <w:rPr>
              <w:rFonts w:hint="eastAsia" w:ascii="宋体" w:hAnsi="宋体" w:eastAsia="宋体" w:cs="宋体"/>
              <w:bCs/>
              <w:spacing w:val="7"/>
              <w:szCs w:val="44"/>
            </w:rPr>
            <w:t xml:space="preserve">第二章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供应商须知</w:t>
          </w:r>
          <w:r>
            <w:tab/>
          </w:r>
          <w:r>
            <w:fldChar w:fldCharType="begin"/>
          </w:r>
          <w:r>
            <w:instrText xml:space="preserve"> PAGEREF _Toc30603 \h </w:instrText>
          </w:r>
          <w:r>
            <w:fldChar w:fldCharType="separate"/>
          </w:r>
          <w:r>
            <w:t xml:space="preserve">4</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_Toc10304 </w:instrText>
          </w:r>
          <w:r>
            <w:rPr>
              <w:rFonts w:hint="eastAsia" w:ascii="宋体" w:hAnsi="宋体" w:eastAsia="宋体" w:cs="宋体"/>
              <w:szCs w:val="20"/>
            </w:rPr>
            <w:fldChar w:fldCharType="separate"/>
          </w:r>
          <w:r>
            <w:rPr>
              <w:rFonts w:hint="eastAsia" w:ascii="宋体" w:hAnsi="宋体" w:eastAsia="宋体" w:cs="宋体"/>
              <w:lang w:eastAsia="zh-CN"/>
            </w:rPr>
            <w:t xml:space="preserve">供应商</w:t>
          </w:r>
          <w:r>
            <w:rPr>
              <w:rFonts w:hint="eastAsia" w:ascii="宋体" w:hAnsi="宋体" w:eastAsia="宋体" w:cs="宋体"/>
            </w:rPr>
            <w:t xml:space="preserve">须知前附表：</w:t>
          </w:r>
          <w:r>
            <w:tab/>
          </w:r>
          <w:r>
            <w:fldChar w:fldCharType="begin"/>
          </w:r>
          <w:r>
            <w:instrText xml:space="preserve"> PAGEREF _Toc10304 \h </w:instrText>
          </w:r>
          <w:r>
            <w:fldChar w:fldCharType="separate"/>
          </w:r>
          <w:r>
            <w:t xml:space="preserve">4</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_Toc10340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一、总则</w:t>
          </w:r>
          <w:r>
            <w:tab/>
          </w:r>
          <w:r>
            <w:fldChar w:fldCharType="begin"/>
          </w:r>
          <w:r>
            <w:instrText xml:space="preserve"> PAGEREF _Toc10340 \h </w:instrText>
          </w:r>
          <w:r>
            <w:fldChar w:fldCharType="separate"/>
          </w:r>
          <w:r>
            <w:t xml:space="preserve">5</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_Toc8290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二、磋商文件</w:t>
          </w:r>
          <w:r>
            <w:tab/>
          </w:r>
          <w:r>
            <w:fldChar w:fldCharType="begin"/>
          </w:r>
          <w:r>
            <w:instrText xml:space="preserve"> PAGEREF _Toc8290 \h </w:instrText>
          </w:r>
          <w:r>
            <w:fldChar w:fldCharType="separate"/>
          </w:r>
          <w:r>
            <w:t xml:space="preserve">5</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_Toc410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三、响应文件的编制</w:t>
          </w:r>
          <w:r>
            <w:tab/>
          </w:r>
          <w:r>
            <w:fldChar w:fldCharType="begin"/>
          </w:r>
          <w:r>
            <w:instrText xml:space="preserve"> PAGEREF _Toc410 \h </w:instrText>
          </w:r>
          <w:r>
            <w:fldChar w:fldCharType="separate"/>
          </w:r>
          <w:r>
            <w:t xml:space="preserve">6</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_Toc11017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四、响应文件的递交</w:t>
          </w:r>
          <w:r>
            <w:tab/>
          </w:r>
          <w:r>
            <w:fldChar w:fldCharType="begin"/>
          </w:r>
          <w:r>
            <w:instrText xml:space="preserve"> PAGEREF _Toc11017 \h </w:instrText>
          </w:r>
          <w:r>
            <w:fldChar w:fldCharType="separate"/>
          </w:r>
          <w:r>
            <w:t xml:space="preserve">9</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_Toc3426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五、响应文件的解密与评审</w:t>
          </w:r>
          <w:r>
            <w:tab/>
          </w:r>
          <w:r>
            <w:fldChar w:fldCharType="begin"/>
          </w:r>
          <w:r>
            <w:instrText xml:space="preserve"> PAGEREF _Toc3426 \h </w:instrText>
          </w:r>
          <w:r>
            <w:fldChar w:fldCharType="separate"/>
          </w:r>
          <w:r>
            <w:t xml:space="preserve">10</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_Toc14486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六、成交</w:t>
          </w:r>
          <w:r>
            <w:tab/>
          </w:r>
          <w:r>
            <w:fldChar w:fldCharType="begin"/>
          </w:r>
          <w:r>
            <w:instrText xml:space="preserve"> PAGEREF _Toc14486 \h </w:instrText>
          </w:r>
          <w:r>
            <w:fldChar w:fldCharType="separate"/>
          </w:r>
          <w:r>
            <w:t xml:space="preserve">16</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_Toc13743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七、授予合同</w:t>
          </w:r>
          <w:r>
            <w:tab/>
          </w:r>
          <w:r>
            <w:fldChar w:fldCharType="begin"/>
          </w:r>
          <w:r>
            <w:instrText xml:space="preserve"> PAGEREF _Toc13743 \h </w:instrText>
          </w:r>
          <w:r>
            <w:fldChar w:fldCharType="separate"/>
          </w:r>
          <w:r>
            <w:t xml:space="preserve">19</w:t>
          </w:r>
          <w:r>
            <w:fldChar w:fldCharType="end"/>
          </w:r>
          <w:r>
            <w:rPr>
              <w:rFonts w:hint="eastAsia" w:ascii="宋体" w:hAnsi="宋体" w:eastAsia="宋体" w:cs="宋体"/>
              <w:color w:val="auto"/>
              <w:szCs w:val="20"/>
            </w:rPr>
            <w:fldChar w:fldCharType="end"/>
          </w:r>
          <w:r/>
        </w:p>
        <w:p>
          <w:pPr>
            <w:pStyle w:val="936"/>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_Toc8697 </w:instrText>
          </w:r>
          <w:r>
            <w:rPr>
              <w:rFonts w:hint="eastAsia" w:ascii="宋体" w:hAnsi="宋体" w:eastAsia="宋体" w:cs="宋体"/>
              <w:szCs w:val="20"/>
            </w:rPr>
            <w:fldChar w:fldCharType="separate"/>
          </w:r>
          <w:r>
            <w:rPr>
              <w:rFonts w:hint="eastAsia" w:ascii="宋体" w:hAnsi="宋体" w:eastAsia="宋体" w:cs="宋体"/>
              <w:bCs/>
              <w:spacing w:val="7"/>
              <w:szCs w:val="44"/>
            </w:rPr>
            <w:t xml:space="preserve">第</w:t>
          </w:r>
          <w:r>
            <w:rPr>
              <w:rFonts w:hint="eastAsia" w:ascii="宋体" w:hAnsi="宋体" w:eastAsia="宋体" w:cs="宋体"/>
              <w:bCs/>
              <w:spacing w:val="7"/>
              <w:szCs w:val="44"/>
              <w:lang w:eastAsia="zh-CN"/>
            </w:rPr>
            <w:t xml:space="preserve">三</w:t>
          </w:r>
          <w:r>
            <w:rPr>
              <w:rFonts w:hint="eastAsia" w:ascii="宋体" w:hAnsi="宋体" w:eastAsia="宋体" w:cs="宋体"/>
              <w:bCs/>
              <w:spacing w:val="7"/>
              <w:szCs w:val="44"/>
            </w:rPr>
            <w:t xml:space="preserve">章</w:t>
          </w:r>
          <w:r>
            <w:rPr>
              <w:rFonts w:hint="eastAsia" w:ascii="宋体" w:hAnsi="宋体" w:eastAsia="宋体" w:cs="宋体"/>
              <w:bCs/>
              <w:spacing w:val="7"/>
              <w:szCs w:val="44"/>
              <w:lang w:eastAsia="zh-CN"/>
            </w:rPr>
            <w:t xml:space="preserve">  合同文本</w:t>
          </w:r>
          <w:r>
            <w:tab/>
          </w:r>
          <w:r>
            <w:fldChar w:fldCharType="begin"/>
          </w:r>
          <w:r>
            <w:instrText xml:space="preserve"> PAGEREF _Toc8697 \h </w:instrText>
          </w:r>
          <w:r>
            <w:fldChar w:fldCharType="separate"/>
          </w:r>
          <w:r>
            <w:t xml:space="preserve">22</w:t>
          </w:r>
          <w:r>
            <w:fldChar w:fldCharType="end"/>
          </w:r>
          <w:r>
            <w:rPr>
              <w:rFonts w:hint="eastAsia" w:ascii="宋体" w:hAnsi="宋体" w:eastAsia="宋体" w:cs="宋体"/>
              <w:color w:val="auto"/>
              <w:szCs w:val="20"/>
            </w:rPr>
            <w:fldChar w:fldCharType="end"/>
          </w:r>
          <w:r/>
        </w:p>
        <w:p>
          <w:pPr>
            <w:pStyle w:val="936"/>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_Toc19028 </w:instrText>
          </w:r>
          <w:r>
            <w:rPr>
              <w:rFonts w:hint="eastAsia" w:ascii="宋体" w:hAnsi="宋体" w:eastAsia="宋体" w:cs="宋体"/>
              <w:szCs w:val="20"/>
            </w:rPr>
            <w:fldChar w:fldCharType="separate"/>
          </w:r>
          <w:r>
            <w:rPr>
              <w:rFonts w:hint="eastAsia" w:ascii="宋体" w:hAnsi="宋体" w:eastAsia="宋体" w:cs="宋体"/>
              <w:bCs/>
              <w:spacing w:val="7"/>
              <w:szCs w:val="44"/>
            </w:rPr>
            <w:t xml:space="preserve">第四章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采购需求</w:t>
          </w:r>
          <w:r>
            <w:tab/>
          </w:r>
          <w:r>
            <w:fldChar w:fldCharType="begin"/>
          </w:r>
          <w:r>
            <w:instrText xml:space="preserve"> PAGEREF _Toc19028 \h </w:instrText>
          </w:r>
          <w:r>
            <w:fldChar w:fldCharType="separate"/>
          </w:r>
          <w:r>
            <w:t xml:space="preserve">33</w:t>
          </w:r>
          <w:r>
            <w:fldChar w:fldCharType="end"/>
          </w:r>
          <w:r>
            <w:rPr>
              <w:rFonts w:hint="eastAsia" w:ascii="宋体" w:hAnsi="宋体" w:eastAsia="宋体" w:cs="宋体"/>
              <w:color w:val="auto"/>
              <w:szCs w:val="20"/>
            </w:rPr>
            <w:fldChar w:fldCharType="end"/>
          </w:r>
          <w:r/>
        </w:p>
        <w:p>
          <w:pPr>
            <w:pStyle w:val="936"/>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_Toc25938 </w:instrText>
          </w:r>
          <w:r>
            <w:rPr>
              <w:rFonts w:hint="eastAsia" w:ascii="宋体" w:hAnsi="宋体" w:eastAsia="宋体" w:cs="宋体"/>
              <w:szCs w:val="20"/>
            </w:rPr>
            <w:fldChar w:fldCharType="separate"/>
          </w:r>
          <w:r>
            <w:rPr>
              <w:rFonts w:hint="eastAsia" w:ascii="宋体" w:hAnsi="宋体" w:eastAsia="宋体" w:cs="宋体"/>
              <w:bCs/>
              <w:spacing w:val="7"/>
              <w:szCs w:val="44"/>
            </w:rPr>
            <w:t xml:space="preserve">第五章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评审方法与评审标准</w:t>
          </w:r>
          <w:r>
            <w:tab/>
          </w:r>
          <w:r>
            <w:fldChar w:fldCharType="begin"/>
          </w:r>
          <w:r>
            <w:instrText xml:space="preserve"> PAGEREF _Toc25938 \h </w:instrText>
          </w:r>
          <w:r>
            <w:fldChar w:fldCharType="separate"/>
          </w:r>
          <w:r>
            <w:t xml:space="preserve">40</w:t>
          </w:r>
          <w:r>
            <w:fldChar w:fldCharType="end"/>
          </w:r>
          <w:r>
            <w:rPr>
              <w:rFonts w:hint="eastAsia" w:ascii="宋体" w:hAnsi="宋体" w:eastAsia="宋体" w:cs="宋体"/>
              <w:color w:val="auto"/>
              <w:szCs w:val="20"/>
            </w:rPr>
            <w:fldChar w:fldCharType="end"/>
          </w:r>
          <w:r/>
        </w:p>
        <w:p>
          <w:pPr>
            <w:pStyle w:val="936"/>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_Toc28341 </w:instrText>
          </w:r>
          <w:r>
            <w:rPr>
              <w:rFonts w:hint="eastAsia" w:ascii="宋体" w:hAnsi="宋体" w:eastAsia="宋体" w:cs="宋体"/>
              <w:szCs w:val="20"/>
            </w:rPr>
            <w:fldChar w:fldCharType="separate"/>
          </w:r>
          <w:r>
            <w:rPr>
              <w:rFonts w:hint="eastAsia" w:ascii="宋体" w:hAnsi="宋体" w:eastAsia="宋体" w:cs="宋体"/>
              <w:bCs/>
              <w:spacing w:val="7"/>
              <w:szCs w:val="44"/>
            </w:rPr>
            <w:t xml:space="preserve">第六章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响应文件格式</w:t>
          </w:r>
          <w:r>
            <w:tab/>
          </w:r>
          <w:r>
            <w:fldChar w:fldCharType="begin"/>
          </w:r>
          <w:r>
            <w:instrText xml:space="preserve"> PAGEREF _Toc28341 \h </w:instrText>
          </w:r>
          <w:r>
            <w:fldChar w:fldCharType="separate"/>
          </w:r>
          <w:r>
            <w:t xml:space="preserve">47</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_Toc15205 </w:instrText>
          </w:r>
          <w:r>
            <w:rPr>
              <w:rFonts w:hint="eastAsia" w:ascii="宋体" w:hAnsi="宋体" w:eastAsia="宋体" w:cs="宋体"/>
              <w:szCs w:val="20"/>
            </w:rPr>
            <w:fldChar w:fldCharType="separate"/>
          </w:r>
          <w:r>
            <w:rPr>
              <w:rFonts w:hint="eastAsia" w:ascii="宋体" w:hAnsi="宋体" w:eastAsia="宋体" w:cs="宋体"/>
              <w:bCs/>
              <w:szCs w:val="32"/>
            </w:rPr>
            <w:t xml:space="preserve">响应文件目录</w:t>
          </w:r>
          <w:r>
            <w:tab/>
          </w:r>
          <w:r>
            <w:fldChar w:fldCharType="begin"/>
          </w:r>
          <w:r>
            <w:instrText xml:space="preserve"> PAGEREF _Toc15205 \h </w:instrText>
          </w:r>
          <w:r>
            <w:fldChar w:fldCharType="separate"/>
          </w:r>
          <w:r>
            <w:t xml:space="preserve">48</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_Toc29437 </w:instrText>
          </w:r>
          <w:r>
            <w:rPr>
              <w:rFonts w:hint="eastAsia" w:ascii="宋体" w:hAnsi="宋体" w:eastAsia="宋体" w:cs="宋体"/>
              <w:szCs w:val="20"/>
            </w:rPr>
            <w:fldChar w:fldCharType="separate"/>
          </w:r>
          <w:r>
            <w:rPr>
              <w:rFonts w:hint="eastAsia" w:ascii="宋体" w:hAnsi="宋体" w:eastAsia="宋体" w:cs="宋体"/>
              <w:bCs/>
              <w:szCs w:val="32"/>
            </w:rPr>
            <w:t xml:space="preserve">一、响应声明及承诺函</w:t>
          </w:r>
          <w:r>
            <w:tab/>
          </w:r>
          <w:r>
            <w:fldChar w:fldCharType="begin"/>
          </w:r>
          <w:r>
            <w:instrText xml:space="preserve"> PAGEREF _Toc29437 \h </w:instrText>
          </w:r>
          <w:r>
            <w:fldChar w:fldCharType="separate"/>
          </w:r>
          <w:r>
            <w:t xml:space="preserve">49</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_Toc10927 </w:instrText>
          </w:r>
          <w:r>
            <w:rPr>
              <w:rFonts w:hint="eastAsia" w:ascii="宋体" w:hAnsi="宋体" w:eastAsia="宋体" w:cs="宋体"/>
              <w:szCs w:val="20"/>
            </w:rPr>
            <w:fldChar w:fldCharType="separate"/>
          </w:r>
          <w:r>
            <w:rPr>
              <w:rFonts w:hint="eastAsia" w:ascii="宋体" w:hAnsi="宋体" w:eastAsia="宋体" w:cs="宋体"/>
              <w:bCs/>
              <w:szCs w:val="32"/>
            </w:rPr>
            <w:t xml:space="preserve">二、供应商基本信息</w:t>
          </w:r>
          <w:r>
            <w:tab/>
          </w:r>
          <w:r>
            <w:fldChar w:fldCharType="begin"/>
          </w:r>
          <w:r>
            <w:instrText xml:space="preserve"> PAGEREF _Toc10927 \h </w:instrText>
          </w:r>
          <w:r>
            <w:fldChar w:fldCharType="separate"/>
          </w:r>
          <w:r>
            <w:t xml:space="preserve">50</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_Toc472 </w:instrText>
          </w:r>
          <w:r>
            <w:rPr>
              <w:rFonts w:hint="eastAsia" w:ascii="宋体" w:hAnsi="宋体" w:eastAsia="宋体" w:cs="宋体"/>
              <w:szCs w:val="20"/>
            </w:rPr>
            <w:fldChar w:fldCharType="separate"/>
          </w:r>
          <w:r>
            <w:rPr>
              <w:rFonts w:hint="eastAsia" w:ascii="宋体" w:hAnsi="宋体" w:eastAsia="宋体" w:cs="宋体"/>
              <w:bCs/>
              <w:szCs w:val="32"/>
            </w:rPr>
            <w:t xml:space="preserve">三、特定资格要求的证明文件</w:t>
          </w:r>
          <w:r>
            <w:tab/>
          </w:r>
          <w:r>
            <w:fldChar w:fldCharType="begin"/>
          </w:r>
          <w:r>
            <w:instrText xml:space="preserve"> PAGEREF _Toc472 \h </w:instrText>
          </w:r>
          <w:r>
            <w:fldChar w:fldCharType="separate"/>
          </w:r>
          <w:r>
            <w:t xml:space="preserve">51</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_Toc29837 </w:instrText>
          </w:r>
          <w:r>
            <w:rPr>
              <w:rFonts w:hint="eastAsia" w:ascii="宋体" w:hAnsi="宋体" w:eastAsia="宋体" w:cs="宋体"/>
              <w:szCs w:val="20"/>
            </w:rPr>
            <w:fldChar w:fldCharType="separate"/>
          </w:r>
          <w:r>
            <w:rPr>
              <w:rFonts w:hint="eastAsia" w:ascii="宋体" w:hAnsi="宋体" w:eastAsia="宋体" w:cs="宋体"/>
              <w:bCs/>
              <w:szCs w:val="32"/>
            </w:rPr>
            <w:t xml:space="preserve">四、法定代表人身份证明或法人授权书</w:t>
          </w:r>
          <w:r>
            <w:tab/>
          </w:r>
          <w:r>
            <w:fldChar w:fldCharType="begin"/>
          </w:r>
          <w:r>
            <w:instrText xml:space="preserve"> PAGEREF _Toc29837 \h </w:instrText>
          </w:r>
          <w:r>
            <w:fldChar w:fldCharType="separate"/>
          </w:r>
          <w:r>
            <w:t xml:space="preserve">52</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_Toc6928 </w:instrText>
          </w:r>
          <w:r>
            <w:rPr>
              <w:rFonts w:hint="eastAsia" w:ascii="宋体" w:hAnsi="宋体" w:eastAsia="宋体" w:cs="宋体"/>
              <w:szCs w:val="20"/>
            </w:rPr>
            <w:fldChar w:fldCharType="separate"/>
          </w:r>
          <w:r>
            <w:rPr>
              <w:rFonts w:hint="eastAsia" w:ascii="宋体" w:hAnsi="宋体" w:eastAsia="宋体" w:cs="宋体"/>
              <w:bCs/>
              <w:szCs w:val="32"/>
            </w:rPr>
            <w:t xml:space="preserve">五、中小企业声明函</w:t>
          </w:r>
          <w:r>
            <w:tab/>
          </w:r>
          <w:r>
            <w:fldChar w:fldCharType="begin"/>
          </w:r>
          <w:r>
            <w:instrText xml:space="preserve"> PAGEREF _Toc6928 \h </w:instrText>
          </w:r>
          <w:r>
            <w:fldChar w:fldCharType="separate"/>
          </w:r>
          <w:r>
            <w:t xml:space="preserve">54</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_Toc13846 </w:instrText>
          </w:r>
          <w:r>
            <w:rPr>
              <w:rFonts w:hint="eastAsia" w:ascii="宋体" w:hAnsi="宋体" w:eastAsia="宋体" w:cs="宋体"/>
              <w:szCs w:val="20"/>
            </w:rPr>
            <w:fldChar w:fldCharType="separate"/>
          </w:r>
          <w:r>
            <w:rPr>
              <w:rFonts w:hint="eastAsia" w:ascii="宋体" w:hAnsi="宋体" w:eastAsia="宋体" w:cs="宋体"/>
              <w:bCs/>
              <w:szCs w:val="32"/>
            </w:rPr>
            <w:t xml:space="preserve">六、报价一览表</w:t>
          </w:r>
          <w:r>
            <w:tab/>
          </w:r>
          <w:r>
            <w:fldChar w:fldCharType="begin"/>
          </w:r>
          <w:r>
            <w:instrText xml:space="preserve"> PAGEREF _Toc13846 \h </w:instrText>
          </w:r>
          <w:r>
            <w:fldChar w:fldCharType="separate"/>
          </w:r>
          <w:r>
            <w:t xml:space="preserve">56</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_Toc23044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七</w:t>
          </w:r>
          <w:r>
            <w:rPr>
              <w:rFonts w:hint="eastAsia" w:ascii="宋体" w:hAnsi="宋体" w:eastAsia="宋体" w:cs="宋体"/>
              <w:bCs/>
              <w:szCs w:val="32"/>
            </w:rPr>
            <w:t xml:space="preserve">、</w:t>
          </w:r>
          <w:r>
            <w:rPr>
              <w:rFonts w:hint="eastAsia" w:ascii="宋体" w:hAnsi="宋体" w:eastAsia="宋体" w:cs="宋体"/>
              <w:iCs/>
              <w:szCs w:val="32"/>
              <w:highlight w:val="none"/>
            </w:rPr>
            <w:t xml:space="preserve">分项报价表（服务类）</w:t>
          </w:r>
          <w:r>
            <w:tab/>
          </w:r>
          <w:r>
            <w:fldChar w:fldCharType="begin"/>
          </w:r>
          <w:r>
            <w:instrText xml:space="preserve"> PAGEREF _Toc23044 \h </w:instrText>
          </w:r>
          <w:r>
            <w:fldChar w:fldCharType="separate"/>
          </w:r>
          <w:r>
            <w:t xml:space="preserve">57</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_Toc27948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八</w:t>
          </w:r>
          <w:r>
            <w:rPr>
              <w:rFonts w:hint="eastAsia" w:ascii="宋体" w:hAnsi="宋体" w:eastAsia="宋体" w:cs="宋体"/>
              <w:bCs/>
              <w:szCs w:val="32"/>
            </w:rPr>
            <w:t xml:space="preserve">、</w:t>
          </w:r>
          <w:r>
            <w:rPr>
              <w:rFonts w:hint="eastAsia" w:ascii="宋体" w:hAnsi="宋体" w:eastAsia="宋体" w:cs="宋体"/>
              <w:bCs/>
              <w:szCs w:val="32"/>
              <w:lang w:eastAsia="zh-CN"/>
            </w:rPr>
            <w:t xml:space="preserve">项目实施方案</w:t>
          </w:r>
          <w:r>
            <w:tab/>
          </w:r>
          <w:r>
            <w:fldChar w:fldCharType="begin"/>
          </w:r>
          <w:r>
            <w:instrText xml:space="preserve"> PAGEREF _Toc27948 \h </w:instrText>
          </w:r>
          <w:r>
            <w:fldChar w:fldCharType="separate"/>
          </w:r>
          <w:r>
            <w:t xml:space="preserve">58</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_Toc23817 </w:instrText>
          </w:r>
          <w:r>
            <w:rPr>
              <w:rFonts w:hint="eastAsia" w:ascii="宋体" w:hAnsi="宋体" w:eastAsia="宋体" w:cs="宋体"/>
              <w:szCs w:val="20"/>
            </w:rPr>
            <w:fldChar w:fldCharType="separate"/>
          </w:r>
          <w:r>
            <w:rPr>
              <w:rFonts w:hint="eastAsia" w:ascii="宋体" w:hAnsi="宋体" w:eastAsia="宋体" w:cs="宋体"/>
              <w:bCs/>
              <w:szCs w:val="28"/>
              <w:lang w:eastAsia="zh-CN"/>
            </w:rPr>
            <w:t xml:space="preserve">九、响应及偏离表</w:t>
          </w:r>
          <w:r>
            <w:tab/>
          </w:r>
          <w:r>
            <w:fldChar w:fldCharType="begin"/>
          </w:r>
          <w:r>
            <w:instrText xml:space="preserve"> PAGEREF _Toc23817 \h </w:instrText>
          </w:r>
          <w:r>
            <w:fldChar w:fldCharType="separate"/>
          </w:r>
          <w:r>
            <w:t xml:space="preserve">59</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_Toc24291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十、</w:t>
          </w:r>
          <w:r>
            <w:rPr>
              <w:rFonts w:hint="eastAsia" w:ascii="宋体" w:hAnsi="宋体" w:eastAsia="宋体" w:cs="宋体"/>
              <w:bCs/>
              <w:szCs w:val="32"/>
            </w:rPr>
            <w:t xml:space="preserve">项目组人员</w:t>
          </w:r>
          <w:r>
            <w:tab/>
          </w:r>
          <w:r>
            <w:fldChar w:fldCharType="begin"/>
          </w:r>
          <w:r>
            <w:instrText xml:space="preserve"> PAGEREF _Toc24291 \h </w:instrText>
          </w:r>
          <w:r>
            <w:fldChar w:fldCharType="separate"/>
          </w:r>
          <w:r>
            <w:t xml:space="preserve">60</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_Toc15536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十一</w:t>
          </w:r>
          <w:r>
            <w:rPr>
              <w:rFonts w:hint="eastAsia" w:ascii="宋体" w:hAnsi="宋体" w:eastAsia="宋体" w:cs="宋体"/>
              <w:bCs/>
              <w:szCs w:val="32"/>
            </w:rPr>
            <w:t xml:space="preserve">、企业业绩</w:t>
          </w:r>
          <w:r>
            <w:tab/>
          </w:r>
          <w:r>
            <w:fldChar w:fldCharType="begin"/>
          </w:r>
          <w:r>
            <w:instrText xml:space="preserve"> PAGEREF _Toc15536 \h </w:instrText>
          </w:r>
          <w:r>
            <w:fldChar w:fldCharType="separate"/>
          </w:r>
          <w:r>
            <w:t xml:space="preserve">61</w:t>
          </w:r>
          <w:r>
            <w:fldChar w:fldCharType="end"/>
          </w:r>
          <w:r>
            <w:rPr>
              <w:rFonts w:hint="eastAsia" w:ascii="宋体" w:hAnsi="宋体" w:eastAsia="宋体" w:cs="宋体"/>
              <w:color w:val="auto"/>
              <w:szCs w:val="20"/>
            </w:rPr>
            <w:fldChar w:fldCharType="end"/>
          </w:r>
          <w:r/>
        </w:p>
        <w:p>
          <w:pPr>
            <w:pStyle w:val="942"/>
            <w:tabs>
              <w:tab w:val="right" w:pos="8937" w:leader="dot"/>
            </w:tabs>
          </w:pPr>
          <w:r>
            <w:rPr>
              <w:rFonts w:hint="eastAsia" w:ascii="宋体" w:hAnsi="宋体" w:eastAsia="宋体" w:cs="宋体"/>
              <w:color w:val="auto"/>
              <w:szCs w:val="20"/>
            </w:rPr>
            <w:fldChar w:fldCharType="begin"/>
          </w:r>
          <w:r>
            <w:rPr>
              <w:rFonts w:hint="eastAsia" w:ascii="宋体" w:hAnsi="宋体" w:eastAsia="宋体" w:cs="宋体"/>
              <w:szCs w:val="20"/>
            </w:rPr>
            <w:instrText xml:space="preserve"> HYPERLINK \l _Toc12846 </w:instrText>
          </w:r>
          <w:r>
            <w:rPr>
              <w:rFonts w:hint="eastAsia" w:ascii="宋体" w:hAnsi="宋体" w:eastAsia="宋体" w:cs="宋体"/>
              <w:szCs w:val="20"/>
            </w:rPr>
            <w:fldChar w:fldCharType="separate"/>
          </w:r>
          <w:r>
            <w:rPr>
              <w:rFonts w:hint="eastAsia" w:ascii="宋体" w:hAnsi="宋体" w:eastAsia="宋体" w:cs="宋体"/>
              <w:bCs/>
              <w:szCs w:val="32"/>
              <w:lang w:eastAsia="zh-CN"/>
            </w:rPr>
            <w:t xml:space="preserve">十二</w:t>
          </w:r>
          <w:r>
            <w:rPr>
              <w:rFonts w:hint="eastAsia" w:ascii="宋体" w:hAnsi="宋体" w:eastAsia="宋体" w:cs="宋体"/>
              <w:bCs/>
              <w:szCs w:val="32"/>
            </w:rPr>
            <w:t xml:space="preserve">、磋商所需其他材料</w:t>
          </w:r>
          <w:r>
            <w:tab/>
          </w:r>
          <w:r>
            <w:fldChar w:fldCharType="begin"/>
          </w:r>
          <w:r>
            <w:instrText xml:space="preserve"> PAGEREF _Toc12846 \h </w:instrText>
          </w:r>
          <w:r>
            <w:fldChar w:fldCharType="separate"/>
          </w:r>
          <w:r>
            <w:t xml:space="preserve">62</w:t>
          </w:r>
          <w:r>
            <w:fldChar w:fldCharType="end"/>
          </w:r>
          <w:r>
            <w:rPr>
              <w:rFonts w:hint="eastAsia" w:ascii="宋体" w:hAnsi="宋体" w:eastAsia="宋体" w:cs="宋体"/>
              <w:color w:val="auto"/>
              <w:szCs w:val="20"/>
            </w:rPr>
            <w:fldChar w:fldCharType="end"/>
          </w:r>
          <w:r/>
        </w:p>
        <w:p>
          <w:pPr>
            <w:spacing w:line="228" w:lineRule="auto"/>
            <w:widowControl w:val="off"/>
            <w:rPr>
              <w:rFonts w:ascii="宋体" w:hAnsi="宋体" w:eastAsia="宋体" w:cs="宋体"/>
              <w:b/>
              <w:color w:val="auto"/>
              <w:szCs w:val="20"/>
            </w:rPr>
          </w:pPr>
          <w:r>
            <w:rPr>
              <w:rFonts w:hint="eastAsia" w:ascii="宋体" w:hAnsi="宋体" w:eastAsia="宋体" w:cs="宋体"/>
              <w:color w:val="auto"/>
              <w:szCs w:val="20"/>
            </w:rPr>
            <w:fldChar w:fldCharType="end"/>
          </w:r>
          <w:r/>
        </w:p>
      </w:sdtContent>
    </w:sdt>
    <w:p>
      <w:pPr>
        <w:pStyle w:val="946"/>
        <w:rPr>
          <w:color w:val="auto"/>
        </w:rPr>
        <w:sectPr>
          <w:footerReference w:type="default" r:id="rId9"/>
          <w:footnotePr/>
          <w:endnotePr/>
          <w:type w:val="nextPage"/>
          <w:pgSz w:w="11906" w:h="16839" w:orient="portrait"/>
          <w:pgMar w:top="1431" w:right="1488" w:bottom="1058" w:left="1481" w:header="0" w:footer="879" w:gutter="0"/>
          <w:pgNumType w:start="1"/>
          <w:cols w:num="1" w:sep="0" w:space="720" w:equalWidth="1"/>
          <w:docGrid w:linePitch="360"/>
        </w:sectPr>
      </w:pPr>
      <w:r>
        <w:rPr>
          <w:color w:val="auto"/>
        </w:rPr>
      </w:r>
      <w:r/>
    </w:p>
    <w:p>
      <w:pPr>
        <w:ind w:left="2936"/>
        <w:spacing w:before="336" w:line="225" w:lineRule="auto"/>
        <w:widowControl w:val="off"/>
        <w:rPr>
          <w:rFonts w:ascii="宋体" w:hAnsi="宋体" w:eastAsia="宋体" w:cs="宋体"/>
          <w:b/>
          <w:bCs/>
          <w:color w:val="auto"/>
          <w:sz w:val="44"/>
          <w:szCs w:val="44"/>
        </w:rPr>
        <w:outlineLvl w:val="0"/>
      </w:pPr>
      <w:r/>
      <w:bookmarkStart w:id="1" w:name="bookmark2"/>
      <w:r/>
      <w:bookmarkEnd w:id="1"/>
      <w:r/>
      <w:bookmarkStart w:id="2" w:name="_Toc10847"/>
      <w:r>
        <w:rPr>
          <w:rFonts w:hint="eastAsia" w:ascii="宋体" w:hAnsi="宋体" w:eastAsia="宋体" w:cs="宋体"/>
          <w:b/>
          <w:bCs/>
          <w:color w:val="auto"/>
          <w:spacing w:val="7"/>
          <w:sz w:val="44"/>
          <w:szCs w:val="44"/>
        </w:rPr>
        <w:t xml:space="preserve">第一章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磋商邀请</w:t>
      </w:r>
      <w:bookmarkEnd w:id="2"/>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受宿迁市自然资源和规划局的委托，江苏科建工程项目管理有限公司就宿迁市自然保护地勘界立标项目（JSZC-321300-JSKJ-C2026-0039）项目进行竞争性磋商采购，欢迎符合条件的供应商参加磋商。</w:t>
      </w:r>
      <w:r/>
    </w:p>
    <w:p>
      <w:pPr>
        <w:spacing w:line="44" w:lineRule="auto"/>
        <w:widowControl w:val="off"/>
        <w:rPr>
          <w:rFonts w:ascii="宋体" w:hAnsi="宋体" w:eastAsia="宋体" w:cs="宋体"/>
          <w:color w:val="auto"/>
          <w:sz w:val="2"/>
          <w:lang w:eastAsia="zh-CN"/>
        </w:rPr>
      </w:pPr>
      <w:r>
        <w:rPr>
          <w:rFonts w:ascii="宋体" w:hAnsi="宋体" w:eastAsia="宋体" w:cs="宋体"/>
          <w:color w:val="auto"/>
          <w:sz w:val="2"/>
          <w:lang w:eastAsia="zh-CN"/>
        </w:rPr>
      </w:r>
      <w:r/>
    </w:p>
    <w:tbl>
      <w:tblPr>
        <w:tblStyle w:val="1112"/>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textDirection w:val="lrTb"/>
            <w:noWrap w:val="false"/>
          </w:tcPr>
          <w:p>
            <w:pPr>
              <w:pStyle w:val="1113"/>
              <w:ind w:left="577"/>
              <w:spacing w:before="204" w:line="220" w:lineRule="auto"/>
              <w:widowControl w:val="off"/>
              <w:rPr>
                <w:color w:val="auto"/>
                <w:lang w:eastAsia="zh-CN"/>
              </w:rPr>
            </w:pPr>
            <w:r>
              <w:rPr>
                <w:rFonts w:hint="eastAsia"/>
                <w:color w:val="auto"/>
                <w:spacing w:val="-4"/>
                <w:lang w:eastAsia="zh-CN"/>
              </w:rPr>
              <w:t xml:space="preserve">项目概况</w:t>
            </w:r>
            <w:r/>
          </w:p>
          <w:p>
            <w:pPr>
              <w:ind w:firstLine="960"/>
              <w:jc w:val="both"/>
              <w:spacing w:line="520" w:lineRule="exact"/>
              <w:widowControl w:val="off"/>
              <w:rPr>
                <w:rFonts w:ascii="宋体" w:hAnsi="宋体" w:eastAsia="宋体" w:cs="宋体"/>
                <w:color w:val="auto"/>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lang w:eastAsia="zh-CN"/>
              </w:rPr>
              <w:t xml:space="preserve">宿迁市自然保护地勘界立标项目竞争性磋商项目的潜在供应商可在</w:t>
            </w:r>
            <w:r>
              <w:rPr>
                <w:rFonts w:hint="eastAsia" w:ascii="宋体" w:hAnsi="宋体" w:eastAsia="宋体" w:cs="宋体"/>
                <w:color w:val="auto"/>
                <w:sz w:val="24"/>
                <w:szCs w:val="24"/>
                <w:u w:val="single"/>
                <w:lang w:eastAsia="zh-CN"/>
              </w:rPr>
              <w:t xml:space="preserve">“宿迁市政府采购网”自行免费下载</w:t>
            </w:r>
            <w:r>
              <w:rPr>
                <w:rFonts w:hint="eastAsia" w:ascii="宋体" w:hAnsi="宋体" w:eastAsia="宋体" w:cs="宋体"/>
                <w:color w:val="auto"/>
                <w:sz w:val="24"/>
                <w:szCs w:val="24"/>
                <w:lang w:eastAsia="zh-CN"/>
              </w:rPr>
              <w:t xml:space="preserve">磋商文件，并于</w:t>
            </w:r>
            <w:r>
              <w:rPr>
                <w:rFonts w:ascii="宋体" w:hAnsi="宋体" w:eastAsia="宋体" w:cs="宋体"/>
                <w:b/>
                <w:color w:val="auto"/>
                <w:sz w:val="24"/>
                <w:lang w:eastAsia="zh-CN"/>
              </w:rPr>
              <w:t xml:space="preserve">2026-</w:t>
            </w:r>
            <w:r>
              <w:rPr>
                <w:rFonts w:hint="eastAsia" w:ascii="宋体" w:hAnsi="宋体" w:eastAsia="宋体" w:cs="宋体"/>
                <w:b/>
                <w:color w:val="auto"/>
                <w:sz w:val="24"/>
                <w:lang w:val="en-US" w:eastAsia="zh-CN"/>
              </w:rPr>
              <w:t xml:space="preserve">10</w:t>
            </w:r>
            <w:r>
              <w:rPr>
                <w:rFonts w:ascii="宋体" w:hAnsi="宋体" w:eastAsia="宋体" w:cs="宋体"/>
                <w:b/>
                <w:color w:val="auto"/>
                <w:sz w:val="24"/>
                <w:lang w:eastAsia="zh-CN"/>
              </w:rPr>
              <w:t xml:space="preserve">-</w:t>
            </w:r>
            <w:r>
              <w:rPr>
                <w:rFonts w:hint="eastAsia" w:ascii="宋体" w:hAnsi="宋体" w:eastAsia="宋体" w:cs="宋体"/>
                <w:b/>
                <w:color w:val="auto"/>
                <w:sz w:val="24"/>
                <w:lang w:val="en-US" w:eastAsia="zh-CN"/>
              </w:rPr>
              <w:t xml:space="preserve">29</w:t>
            </w:r>
            <w:r>
              <w:rPr>
                <w:rFonts w:hint="eastAsia" w:ascii="宋体" w:hAnsi="宋体" w:eastAsia="宋体" w:cs="宋体"/>
                <w:b/>
                <w:color w:val="auto"/>
                <w:sz w:val="24"/>
                <w:lang w:eastAsia="zh-CN"/>
              </w:rPr>
              <w:t xml:space="preserve"> </w:t>
            </w:r>
            <w:r>
              <w:rPr>
                <w:rFonts w:ascii="宋体" w:hAnsi="宋体" w:eastAsia="宋体" w:cs="宋体"/>
                <w:b/>
                <w:color w:val="ff0000"/>
                <w:sz w:val="24"/>
                <w:lang w:eastAsia="zh-CN"/>
              </w:rPr>
              <w:t xml:space="preserve"> </w:t>
            </w:r>
            <w:r>
              <w:rPr>
                <w:rFonts w:ascii="宋体" w:hAnsi="宋体" w:eastAsia="宋体" w:cs="宋体"/>
                <w:b/>
                <w:color w:val="auto"/>
                <w:sz w:val="24"/>
                <w:lang w:eastAsia="zh-CN"/>
              </w:rPr>
              <w:t xml:space="preserve">09</w:t>
            </w:r>
            <w:r>
              <w:rPr>
                <w:rFonts w:hint="eastAsia" w:ascii="宋体" w:hAnsi="宋体" w:eastAsia="宋体" w:cs="宋体"/>
                <w:b/>
                <w:color w:val="auto"/>
                <w:sz w:val="24"/>
                <w:lang w:eastAsia="zh-CN"/>
              </w:rPr>
              <w:t xml:space="preserve">:</w:t>
            </w:r>
            <w:r>
              <w:rPr>
                <w:rFonts w:ascii="宋体" w:hAnsi="宋体" w:eastAsia="宋体" w:cs="宋体"/>
                <w:b/>
                <w:color w:val="auto"/>
                <w:sz w:val="24"/>
                <w:lang w:eastAsia="zh-CN"/>
              </w:rPr>
              <w:t xml:space="preserve">30</w:t>
            </w:r>
            <w:r>
              <w:rPr>
                <w:rFonts w:hint="eastAsia" w:ascii="宋体" w:hAnsi="宋体" w:eastAsia="宋体" w:cs="宋体"/>
                <w:color w:val="auto"/>
                <w:sz w:val="24"/>
                <w:szCs w:val="24"/>
                <w:lang w:eastAsia="zh-CN"/>
              </w:rPr>
              <w:t xml:space="preserve">（北京时间）前递交响应文件。</w:t>
            </w:r>
            <w:r/>
          </w:p>
        </w:tc>
      </w:tr>
    </w:tbl>
    <w:p>
      <w:pPr>
        <w:ind w:firstLine="476"/>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14:textOutline w14:w="4356" w14:cap="sq" w14:cmpd="sng" w14:algn="ctr">
            <w14:solidFill>
              <w14:srgbClr w14:val="000000"/>
            </w14:solidFill>
            <w14:prstDash w14:val="solid"/>
            <w14:bevel/>
          </w14:textOutline>
        </w:rPr>
        <w:t xml:space="preserve">一、项目基本情况</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1.项目编号：JSZC-321300-JSKJ-C2026-0039</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2.项目名称：宿迁市自然保护地勘界立标项目</w:t>
      </w:r>
      <w:r/>
    </w:p>
    <w:p>
      <w:pPr>
        <w:ind w:firstLine="480"/>
        <w:jc w:val="both"/>
        <w:spacing w:line="5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3.预算金额</w:t>
      </w:r>
      <w:r>
        <w:rPr>
          <w:rFonts w:hint="eastAsia" w:ascii="宋体" w:hAnsi="宋体" w:eastAsia="宋体" w:cs="宋体"/>
          <w:color w:val="auto"/>
          <w:sz w:val="24"/>
          <w:szCs w:val="24"/>
          <w:highlight w:val="none"/>
          <w:lang w:eastAsia="zh-CN"/>
        </w:rPr>
        <w:t xml:space="preserve">：139.50万元</w:t>
      </w:r>
      <w:r/>
    </w:p>
    <w:p>
      <w:pPr>
        <w:ind w:firstLine="480"/>
        <w:jc w:val="both"/>
        <w:spacing w:line="5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4.本项目设定最高限价，最高限价为：138.00万元</w:t>
      </w:r>
      <w:r/>
    </w:p>
    <w:p>
      <w:pPr>
        <w:ind w:firstLine="480"/>
        <w:jc w:val="both"/>
        <w:spacing w:line="5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5.采购需求：宿迁市自然保护地勘界立标项目，详细内容见本磋商文件第四章采购需求。</w:t>
      </w:r>
      <w:r/>
    </w:p>
    <w:p>
      <w:pPr>
        <w:ind w:firstLine="480"/>
        <w:jc w:val="both"/>
        <w:spacing w:line="5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6.合同履行期限：自合同签订之日起完成采购人要求及项目需求中的所有内容并通过采购人验收为止。</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7.本项目不接受联合体参与磋商。</w:t>
      </w:r>
      <w:r/>
    </w:p>
    <w:p>
      <w:pPr>
        <w:ind w:firstLine="476"/>
        <w:spacing w:line="500" w:lineRule="exact"/>
        <w:widowControl w:val="off"/>
        <w:rPr>
          <w:rFonts w:ascii="宋体" w:hAnsi="宋体" w:eastAsia="宋体" w:cs="宋体"/>
          <w:color w:val="auto"/>
          <w:sz w:val="24"/>
          <w:szCs w:val="24"/>
          <w:lang w:eastAsia="zh-CN"/>
        </w:rPr>
      </w:pPr>
      <w:r/>
      <w:bookmarkStart w:id="3" w:name="bookmark3"/>
      <w:r/>
      <w:bookmarkEnd w:id="3"/>
      <w:r>
        <w:rPr>
          <w:rFonts w:hint="eastAsia" w:ascii="宋体" w:hAnsi="宋体" w:eastAsia="宋体" w:cs="宋体"/>
          <w:color w:val="auto"/>
          <w:spacing w:val="-1"/>
          <w:sz w:val="24"/>
          <w:szCs w:val="24"/>
          <w:lang w:eastAsia="zh-CN"/>
          <w14:textOutline w14:w="4356" w14:cap="sq" w14:cmpd="sng" w14:algn="ctr">
            <w14:solidFill>
              <w14:srgbClr w14:val="000000"/>
            </w14:solidFill>
            <w14:prstDash w14:val="solid"/>
            <w14:bevel/>
          </w14:textOutline>
        </w:rPr>
        <w:t xml:space="preserve">二、申请人的资格要求：</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（一）通用资格要求</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1.具备《中华人民共和国政府采购法》第二十二条第一款规定的6项条件（按要求提供响应声明及承诺函）；</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2.信用信息。信用信息查询渠道：“信用中国”网（www.creditchina.gov.cn）、“中国政府采购”网（www.ccgp.gov.cn）、江苏政府采购网（www.ccgp-jiangsu.gov.cn）。</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用信息的使用规则：供应商被列入失信被执行人、重大税收违法失信主体、政府采购严重违法失信行为记录名单及其他不符合《中华人民共和国政府采购法》第二十二条规定条件的，将拒绝其参与政府采购活动（响应文件中无需提供证明材料）。</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投标处理。</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）本项目的特定资格要求：供应商须具有有效的自然资源主管部门颁发的甲级测绘资质证书（专业类别包含工程测量、地理信息系统工程）。</w:t>
      </w:r>
      <w:r/>
    </w:p>
    <w:p>
      <w:pPr>
        <w:ind w:firstLine="476"/>
        <w:spacing w:line="500" w:lineRule="exact"/>
        <w:widowControl w:val="off"/>
        <w:rPr>
          <w:rFonts w:ascii="宋体" w:hAnsi="宋体" w:eastAsia="宋体" w:cs="宋体"/>
          <w:color w:val="auto"/>
          <w:sz w:val="24"/>
          <w:szCs w:val="24"/>
          <w:lang w:eastAsia="zh-CN"/>
        </w:rPr>
      </w:pPr>
      <w:r/>
      <w:bookmarkStart w:id="4" w:name="bookmark4"/>
      <w:r/>
      <w:bookmarkEnd w:id="4"/>
      <w:r>
        <w:rPr>
          <w:rFonts w:hint="eastAsia" w:ascii="宋体" w:hAnsi="宋体" w:eastAsia="宋体" w:cs="宋体"/>
          <w:color w:val="auto"/>
          <w:spacing w:val="-1"/>
          <w:sz w:val="24"/>
          <w:szCs w:val="24"/>
          <w:lang w:eastAsia="zh-CN"/>
          <w14:textOutline w14:w="4356" w14:cap="sq" w14:cmpd="sng" w14:algn="ctr">
            <w14:solidFill>
              <w14:srgbClr w14:val="000000"/>
            </w14:solidFill>
            <w14:prstDash w14:val="solid"/>
            <w14:bevel/>
          </w14:textOutline>
        </w:rPr>
        <w:t xml:space="preserve">三、获取磋商文件</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1.时间：</w:t>
      </w:r>
      <w:r>
        <w:rPr>
          <w:rFonts w:hint="eastAsia" w:ascii="宋体" w:hAnsi="宋体" w:eastAsia="宋体" w:cs="宋体"/>
          <w:b/>
          <w:bCs/>
          <w:color w:val="auto"/>
          <w:sz w:val="24"/>
          <w:szCs w:val="24"/>
          <w:lang w:eastAsia="zh-CN"/>
        </w:rPr>
        <w:t xml:space="preserve">自磋商文件公告发布之日起5个工作日</w:t>
      </w:r>
      <w:r>
        <w:rPr>
          <w:rFonts w:hint="eastAsia" w:ascii="宋体" w:hAnsi="宋体" w:eastAsia="宋体" w:cs="宋体"/>
          <w:color w:val="auto"/>
          <w:sz w:val="24"/>
          <w:szCs w:val="24"/>
          <w:lang w:eastAsia="zh-CN"/>
        </w:rPr>
        <w:t xml:space="preserve">。</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2.地点：在“宿迁市政府采购网”自行免费下载。</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3.方式：供应商应在采购文件提供的时间内，通过“苏采云”系统（网址：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eastAsia="宋体" w:cs="宋体"/>
          <w:color w:val="auto"/>
          <w:sz w:val="24"/>
          <w:szCs w:val="24"/>
          <w:lang w:eastAsia="zh-CN"/>
        </w:rPr>
        <w:t xml:space="preserve">http://jszfcg.jsczt.cn/</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xml:space="preserve">）或宿迁市政府采购网点击“政府采购管理交易系统（苏采云）”，使用CA锁进入系统，从“项目参与”--“采购项目”菜单中，找到本项目获取采购文件（后缀名为“.kedt”）。</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4.本项目共分一个包。供应商未按要求获取竞争性磋商文件导致无法磋商的，后果自负（其响应文件不予接受）。</w:t>
      </w:r>
      <w:r/>
    </w:p>
    <w:p>
      <w:pPr>
        <w:ind w:firstLine="373"/>
        <w:spacing w:line="520" w:lineRule="exact"/>
        <w:rPr>
          <w:rFonts w:ascii="宋体" w:hAnsi="宋体" w:eastAsia="宋体" w:cs="宋体"/>
          <w:b/>
          <w:bCs/>
          <w:color w:val="auto"/>
          <w:sz w:val="24"/>
          <w:szCs w:val="24"/>
          <w:lang w:eastAsia="zh-CN"/>
        </w:rPr>
      </w:pPr>
      <w:r/>
      <w:bookmarkStart w:id="5" w:name="bookmark5"/>
      <w:r/>
      <w:bookmarkEnd w:id="5"/>
      <w:r>
        <w:rPr>
          <w:rFonts w:hint="eastAsia" w:ascii="宋体" w:hAnsi="宋体" w:eastAsia="宋体" w:cs="宋体"/>
          <w:b/>
          <w:bCs/>
          <w:color w:val="auto"/>
          <w:sz w:val="24"/>
          <w:szCs w:val="24"/>
          <w:lang w:eastAsia="zh-CN"/>
        </w:rPr>
        <w:t xml:space="preserve">四、响应文件提交</w:t>
      </w:r>
      <w:r/>
    </w:p>
    <w:p>
      <w:pPr>
        <w:ind w:firstLine="480"/>
        <w:spacing w:line="520" w:lineRule="exact"/>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1.响应文件提交截止时间：</w:t>
      </w:r>
      <w:r>
        <w:rPr>
          <w:rFonts w:ascii="宋体" w:hAnsi="宋体" w:eastAsia="宋体" w:cs="宋体"/>
          <w:b/>
          <w:color w:val="auto"/>
          <w:sz w:val="24"/>
          <w:lang w:eastAsia="zh-CN"/>
        </w:rPr>
        <w:t xml:space="preserve">2026-</w:t>
      </w:r>
      <w:r>
        <w:rPr>
          <w:rFonts w:hint="eastAsia" w:ascii="宋体" w:hAnsi="宋体" w:eastAsia="宋体" w:cs="宋体"/>
          <w:b/>
          <w:color w:val="auto"/>
          <w:sz w:val="24"/>
          <w:lang w:val="en-US" w:eastAsia="zh-CN"/>
        </w:rPr>
        <w:t xml:space="preserve">10</w:t>
      </w:r>
      <w:r>
        <w:rPr>
          <w:rFonts w:ascii="宋体" w:hAnsi="宋体" w:eastAsia="宋体" w:cs="宋体"/>
          <w:b/>
          <w:color w:val="auto"/>
          <w:sz w:val="24"/>
          <w:lang w:eastAsia="zh-CN"/>
        </w:rPr>
        <w:t xml:space="preserve">-</w:t>
      </w:r>
      <w:r>
        <w:rPr>
          <w:rFonts w:hint="eastAsia" w:ascii="宋体" w:hAnsi="宋体" w:eastAsia="宋体" w:cs="宋体"/>
          <w:b/>
          <w:color w:val="auto"/>
          <w:sz w:val="24"/>
          <w:lang w:val="en-US" w:eastAsia="zh-CN"/>
        </w:rPr>
        <w:t xml:space="preserve">29</w:t>
      </w:r>
      <w:r>
        <w:rPr>
          <w:rFonts w:ascii="宋体" w:hAnsi="宋体" w:eastAsia="宋体" w:cs="宋体"/>
          <w:b/>
          <w:color w:val="auto"/>
          <w:sz w:val="24"/>
          <w:lang w:eastAsia="zh-CN"/>
        </w:rPr>
        <w:t xml:space="preserve"> 09</w:t>
      </w:r>
      <w:r>
        <w:rPr>
          <w:rFonts w:hint="eastAsia" w:ascii="宋体" w:hAnsi="宋体" w:eastAsia="宋体" w:cs="宋体"/>
          <w:b/>
          <w:color w:val="auto"/>
          <w:sz w:val="24"/>
          <w:lang w:eastAsia="zh-CN"/>
        </w:rPr>
        <w:t xml:space="preserve">:</w:t>
      </w:r>
      <w:r>
        <w:rPr>
          <w:rFonts w:ascii="宋体" w:hAnsi="宋体" w:eastAsia="宋体" w:cs="宋体"/>
          <w:b/>
          <w:color w:val="auto"/>
          <w:sz w:val="24"/>
          <w:lang w:eastAsia="zh-CN"/>
        </w:rPr>
        <w:t xml:space="preserve">30</w:t>
      </w:r>
      <w:r>
        <w:rPr>
          <w:rFonts w:hint="eastAsia" w:ascii="宋体" w:hAnsi="宋体" w:eastAsia="宋体" w:cs="宋体"/>
          <w:bCs/>
          <w:color w:val="auto"/>
          <w:sz w:val="24"/>
          <w:szCs w:val="24"/>
          <w:lang w:eastAsia="zh-CN"/>
        </w:rPr>
        <w:t xml:space="preserve">（北京时间）。</w:t>
      </w:r>
      <w:r/>
    </w:p>
    <w:p>
      <w:pPr>
        <w:ind w:firstLine="480"/>
        <w:spacing w:line="52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2.地点：“苏采云”政府采购交易系统网上开标大厅。</w:t>
      </w:r>
      <w:r/>
    </w:p>
    <w:p>
      <w:pPr>
        <w:ind w:firstLine="480"/>
        <w:spacing w:line="520" w:lineRule="exact"/>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五、开启</w:t>
      </w:r>
      <w:r/>
    </w:p>
    <w:p>
      <w:pPr>
        <w:ind w:firstLine="480"/>
        <w:spacing w:line="520" w:lineRule="exact"/>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1.响应文件开启时间：</w:t>
      </w:r>
      <w:r>
        <w:rPr>
          <w:rFonts w:ascii="宋体" w:hAnsi="宋体" w:eastAsia="宋体" w:cs="宋体"/>
          <w:b/>
          <w:color w:val="auto"/>
          <w:sz w:val="24"/>
          <w:lang w:eastAsia="zh-CN"/>
        </w:rPr>
        <w:t xml:space="preserve">2026-</w:t>
      </w:r>
      <w:r>
        <w:rPr>
          <w:rFonts w:hint="eastAsia" w:ascii="宋体" w:hAnsi="宋体" w:eastAsia="宋体" w:cs="宋体"/>
          <w:b/>
          <w:color w:val="auto"/>
          <w:sz w:val="24"/>
          <w:lang w:val="en-US" w:eastAsia="zh-CN"/>
        </w:rPr>
        <w:t xml:space="preserve">10</w:t>
      </w:r>
      <w:r>
        <w:rPr>
          <w:rFonts w:ascii="宋体" w:hAnsi="宋体" w:eastAsia="宋体" w:cs="宋体"/>
          <w:b/>
          <w:color w:val="auto"/>
          <w:sz w:val="24"/>
          <w:lang w:eastAsia="zh-CN"/>
        </w:rPr>
        <w:t xml:space="preserve">-</w:t>
      </w:r>
      <w:r>
        <w:rPr>
          <w:rFonts w:hint="eastAsia" w:ascii="宋体" w:hAnsi="宋体" w:eastAsia="宋体" w:cs="宋体"/>
          <w:b/>
          <w:color w:val="auto"/>
          <w:sz w:val="24"/>
          <w:lang w:val="en-US" w:eastAsia="zh-CN"/>
        </w:rPr>
        <w:t xml:space="preserve">29</w:t>
      </w:r>
      <w:r>
        <w:rPr>
          <w:rFonts w:ascii="宋体" w:hAnsi="宋体" w:eastAsia="宋体" w:cs="宋体"/>
          <w:b/>
          <w:color w:val="auto"/>
          <w:sz w:val="24"/>
          <w:lang w:eastAsia="zh-CN"/>
        </w:rPr>
        <w:t xml:space="preserve"> 09</w:t>
      </w:r>
      <w:r>
        <w:rPr>
          <w:rFonts w:hint="eastAsia" w:ascii="宋体" w:hAnsi="宋体" w:eastAsia="宋体" w:cs="宋体"/>
          <w:b/>
          <w:color w:val="auto"/>
          <w:sz w:val="24"/>
          <w:lang w:eastAsia="zh-CN"/>
        </w:rPr>
        <w:t xml:space="preserve">:</w:t>
      </w:r>
      <w:r>
        <w:rPr>
          <w:rFonts w:ascii="宋体" w:hAnsi="宋体" w:eastAsia="宋体" w:cs="宋体"/>
          <w:b/>
          <w:color w:val="auto"/>
          <w:sz w:val="24"/>
          <w:lang w:eastAsia="zh-CN"/>
        </w:rPr>
        <w:t xml:space="preserve">30</w:t>
      </w:r>
      <w:r>
        <w:rPr>
          <w:rFonts w:hint="eastAsia" w:ascii="宋体" w:hAnsi="宋体" w:eastAsia="宋体" w:cs="宋体"/>
          <w:bCs/>
          <w:color w:val="auto"/>
          <w:sz w:val="24"/>
          <w:szCs w:val="24"/>
          <w:lang w:eastAsia="zh-CN"/>
        </w:rPr>
        <w:t xml:space="preserve">（北京时间）。</w:t>
      </w:r>
      <w:r/>
    </w:p>
    <w:p>
      <w:pPr>
        <w:ind w:firstLine="480"/>
        <w:spacing w:line="52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2.地点：市区开标五厅</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eastAsia="zh-CN"/>
        </w:rPr>
        <w:t xml:space="preserve">。</w:t>
      </w:r>
      <w:r/>
    </w:p>
    <w:p>
      <w:pPr>
        <w:ind w:firstLine="472"/>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14:textOutline w14:w="4356" w14:cap="sq" w14:cmpd="sng" w14:algn="ctr">
            <w14:solidFill>
              <w14:srgbClr w14:val="000000"/>
            </w14:solidFill>
            <w14:prstDash w14:val="solid"/>
            <w14:bevel/>
          </w14:textOutline>
        </w:rPr>
        <w:t xml:space="preserve">六、公告期限</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自本公告发布之日起3个工作日。</w:t>
      </w:r>
      <w:r/>
    </w:p>
    <w:p>
      <w:pPr>
        <w:ind w:firstLine="476"/>
        <w:spacing w:line="500" w:lineRule="exact"/>
        <w:widowControl w:val="off"/>
        <w:rPr>
          <w:rFonts w:ascii="宋体" w:hAnsi="宋体" w:eastAsia="宋体" w:cs="宋体"/>
          <w:color w:val="auto"/>
          <w:sz w:val="24"/>
          <w:szCs w:val="24"/>
          <w:lang w:eastAsia="zh-CN"/>
        </w:rPr>
      </w:pPr>
      <w:r/>
      <w:bookmarkStart w:id="6" w:name="bookmark7"/>
      <w:r/>
      <w:bookmarkEnd w:id="6"/>
      <w:r>
        <w:rPr>
          <w:rFonts w:hint="eastAsia" w:ascii="宋体" w:hAnsi="宋体" w:eastAsia="宋体" w:cs="宋体"/>
          <w:color w:val="auto"/>
          <w:spacing w:val="-1"/>
          <w:sz w:val="24"/>
          <w:szCs w:val="24"/>
          <w:lang w:eastAsia="zh-CN"/>
          <w14:textOutline w14:w="4356" w14:cap="sq" w14:cmpd="sng" w14:algn="ctr">
            <w14:solidFill>
              <w14:srgbClr w14:val="000000"/>
            </w14:solidFill>
            <w14:prstDash w14:val="solid"/>
            <w14:bevel/>
          </w14:textOutline>
        </w:rPr>
        <w:t xml:space="preserve">七、其他补充事宜</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1.财政部门监督电话：0527-84363063。</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2.“CA”数字证书办理：“苏采云”系统目前仅支持“苏采云”系统下的政务CA。省内各地区办理的“苏采云”系统下的政务CA全省通用。宿迁地区CA数字证书办理联系方式：18351098172。</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3.宿迁地区“苏采云”技术支持客服电话：0527-84363067、0519-86722806。</w:t>
      </w:r>
      <w:r/>
    </w:p>
    <w:p>
      <w:pPr>
        <w:ind w:firstLine="480"/>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4.如果供应商通过苏采云系统参与政府采购项目，相关操作手册详见链接：</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ascii="宋体" w:hAnsi="宋体" w:eastAsia="宋体" w:cs="宋体"/>
          <w:color w:val="auto"/>
          <w:sz w:val="24"/>
          <w:szCs w:val="24"/>
          <w:lang w:eastAsia="zh-CN"/>
        </w:rPr>
        <w:t xml:space="preserve">http://www.ccgp-jiangsu.gov.cn/jiangsu/zlxz/ee/ee3a4bc5a3454aa2b0d9312230633ce9.html</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xml:space="preserve">。</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5.现场勘察及答疑：本项目不组织集中勘察及答疑，供应商如对采购需求有疑问，请咨询采购单位联系人。</w:t>
      </w:r>
      <w:r/>
    </w:p>
    <w:p>
      <w:pPr>
        <w:ind w:firstLine="480"/>
        <w:spacing w:line="500" w:lineRule="exact"/>
        <w:widowControl w:val="off"/>
        <w:rPr>
          <w:rFonts w:ascii="宋体" w:hAnsi="宋体" w:eastAsia="宋体" w:cs="宋体"/>
          <w:color w:val="auto"/>
          <w:sz w:val="24"/>
          <w:szCs w:val="24"/>
          <w:lang w:eastAsia="zh-CN"/>
        </w:rPr>
      </w:pPr>
      <w:r/>
      <w:bookmarkStart w:id="7" w:name="bookmark8"/>
      <w:r/>
      <w:bookmarkEnd w:id="7"/>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八、本次磋商联系方式</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1.采购人信息</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名称：宿迁市自然资源和规划局</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地址：宿迁市宿城区洪泽湖路887号</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联系人：袁景</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联系方式：0527-84359612</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2.采购代理机构信息</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名称：江苏科建工程项目管理有限公司</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地址：宿迁市电子商务产业园电商大厦B栋4楼4F13室</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联系人：赵飞飞</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联系方式：0527-88988618</w:t>
      </w:r>
      <w:r/>
    </w:p>
    <w:p>
      <w:pPr>
        <w:ind w:firstLine="468"/>
        <w:spacing w:line="500" w:lineRule="exact"/>
        <w:widowControl w:val="off"/>
        <w:rPr>
          <w:rFonts w:ascii="宋体" w:hAnsi="宋体" w:eastAsia="宋体" w:cs="宋体"/>
          <w:color w:val="auto"/>
          <w:sz w:val="24"/>
          <w:szCs w:val="24"/>
          <w:lang w:eastAsia="zh-CN"/>
        </w:rPr>
      </w:pPr>
      <w:r/>
      <w:bookmarkStart w:id="8" w:name="bookmark9"/>
      <w:r/>
      <w:bookmarkEnd w:id="8"/>
      <w:r>
        <w:rPr>
          <w:rFonts w:hint="eastAsia" w:ascii="宋体" w:hAnsi="宋体" w:eastAsia="宋体" w:cs="宋体"/>
          <w:color w:val="auto"/>
          <w:spacing w:val="-3"/>
          <w:sz w:val="24"/>
          <w:szCs w:val="24"/>
          <w:lang w:eastAsia="zh-CN"/>
          <w14:textOutline w14:w="4356" w14:cap="sq" w14:cmpd="sng" w14:algn="ctr">
            <w14:solidFill>
              <w14:srgbClr w14:val="000000"/>
            </w14:solidFill>
            <w14:prstDash w14:val="solid"/>
            <w14:bevel/>
          </w14:textOutline>
        </w:rPr>
        <w:t xml:space="preserve">九、其他</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1.有关本次采购的事项若存在变动或修改，敬请及时关注“宿迁市政府采购网”更正公告。</w:t>
      </w:r>
      <w:r/>
    </w:p>
    <w:p>
      <w:pPr>
        <w:pStyle w:val="946"/>
        <w:ind w:firstLine="480"/>
        <w:rPr>
          <w:color w:val="auto"/>
        </w:rPr>
        <w:sectPr>
          <w:footerReference w:type="default" r:id="rId10"/>
          <w:footnotePr/>
          <w:endnotePr/>
          <w:type w:val="nextPage"/>
          <w:pgSz w:w="11906" w:h="16839" w:orient="portrait"/>
          <w:pgMar w:top="1417" w:right="1304" w:bottom="1417" w:left="1361" w:header="0" w:footer="879" w:gutter="0"/>
          <w:pgNumType w:start="1"/>
          <w:cols w:num="1" w:sep="0" w:space="720" w:equalWidth="1"/>
          <w:docGrid w:linePitch="360"/>
        </w:sectPr>
      </w:pPr>
      <w:r>
        <w:rPr>
          <w:rFonts w:hint="eastAsia" w:ascii="宋体" w:hAnsi="宋体" w:eastAsia="宋体" w:cs="宋体"/>
          <w:color w:val="auto"/>
          <w:sz w:val="24"/>
          <w:szCs w:val="24"/>
          <w:lang w:eastAsia="zh-CN"/>
        </w:rPr>
        <w:t xml:space="preserve">2.本次磋商不收取磋商保证金。</w:t>
      </w:r>
      <w:r/>
    </w:p>
    <w:p>
      <w:pPr>
        <w:jc w:val="center"/>
        <w:spacing w:before="336" w:line="225" w:lineRule="auto"/>
        <w:widowControl w:val="off"/>
        <w:rPr>
          <w:rFonts w:ascii="宋体" w:hAnsi="宋体" w:eastAsia="宋体" w:cs="宋体"/>
          <w:b/>
          <w:bCs/>
          <w:color w:val="auto"/>
          <w:spacing w:val="7"/>
          <w:sz w:val="44"/>
          <w:szCs w:val="44"/>
        </w:rPr>
        <w:outlineLvl w:val="0"/>
      </w:pPr>
      <w:r/>
      <w:bookmarkStart w:id="9" w:name="bookmark11"/>
      <w:r/>
      <w:bookmarkEnd w:id="9"/>
      <w:r/>
      <w:bookmarkStart w:id="10" w:name="bookmark10"/>
      <w:r/>
      <w:bookmarkEnd w:id="10"/>
      <w:r/>
      <w:bookmarkStart w:id="11" w:name="_Toc30603"/>
      <w:r>
        <w:rPr>
          <w:rFonts w:hint="eastAsia" w:ascii="宋体" w:hAnsi="宋体" w:eastAsia="宋体" w:cs="宋体"/>
          <w:b/>
          <w:bCs/>
          <w:color w:val="auto"/>
          <w:spacing w:val="7"/>
          <w:sz w:val="44"/>
          <w:szCs w:val="44"/>
        </w:rPr>
        <w:t xml:space="preserve">第二章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供应商须知</w:t>
      </w:r>
      <w:bookmarkEnd w:id="11"/>
      <w:r/>
      <w:r/>
    </w:p>
    <w:p>
      <w:pPr>
        <w:pStyle w:val="927"/>
        <w:spacing w:line="305" w:lineRule="auto"/>
        <w:widowControl w:val="off"/>
        <w:rPr>
          <w:rFonts w:ascii="宋体" w:hAnsi="宋体" w:eastAsia="宋体" w:cs="宋体"/>
          <w:color w:val="auto"/>
        </w:rPr>
      </w:pPr>
      <w:r>
        <w:rPr>
          <w:rFonts w:ascii="宋体" w:hAnsi="宋体" w:eastAsia="宋体" w:cs="宋体"/>
          <w:color w:val="auto"/>
        </w:rPr>
      </w:r>
      <w:r/>
    </w:p>
    <w:p>
      <w:pPr>
        <w:pStyle w:val="912"/>
        <w:keepLines w:val="0"/>
        <w:keepNext w:val="0"/>
        <w:rPr>
          <w:rFonts w:ascii="宋体" w:hAnsi="宋体" w:eastAsia="宋体" w:cs="宋体"/>
          <w:color w:val="auto"/>
        </w:rPr>
      </w:pPr>
      <w:r/>
      <w:bookmarkStart w:id="12" w:name="_Toc27387"/>
      <w:r/>
      <w:bookmarkStart w:id="13" w:name="_Toc15106"/>
      <w:r/>
      <w:bookmarkStart w:id="14" w:name="_Toc25815"/>
      <w:r/>
      <w:bookmarkStart w:id="15" w:name="_Toc1699"/>
      <w:r/>
      <w:bookmarkStart w:id="16" w:name="_Toc10304"/>
      <w:r>
        <w:rPr>
          <w:rFonts w:hint="eastAsia" w:ascii="宋体" w:hAnsi="宋体" w:eastAsia="宋体" w:cs="宋体"/>
          <w:color w:val="auto"/>
          <w:lang w:eastAsia="zh-CN"/>
        </w:rPr>
        <w:t xml:space="preserve">供应商</w:t>
      </w:r>
      <w:r>
        <w:rPr>
          <w:rFonts w:hint="eastAsia" w:ascii="宋体" w:hAnsi="宋体" w:eastAsia="宋体" w:cs="宋体"/>
          <w:color w:val="auto"/>
        </w:rPr>
        <w:t xml:space="preserve">须知前附表：</w:t>
      </w:r>
      <w:bookmarkEnd w:id="12"/>
      <w:r/>
      <w:bookmarkEnd w:id="13"/>
      <w:r/>
      <w:bookmarkEnd w:id="14"/>
      <w:r/>
      <w:bookmarkEnd w:id="15"/>
      <w:r/>
      <w:bookmarkEnd w:id="16"/>
      <w:r/>
      <w:r/>
    </w:p>
    <w:tbl>
      <w:tblPr>
        <w:tblStyle w:val="9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773"/>
        <w:gridCol w:w="6661"/>
      </w:tblGrid>
      <w:tr>
        <w:trPr>
          <w:trHeight w:val="462"/>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ascii="宋体" w:hAnsi="宋体" w:eastAsia="宋体" w:cs="宋体"/>
                <w:b/>
                <w:color w:val="auto"/>
                <w:sz w:val="24"/>
                <w:szCs w:val="24"/>
              </w:rPr>
            </w:pPr>
            <w:r/>
            <w:bookmarkStart w:id="17" w:name="_Toc29262"/>
            <w:r/>
            <w:bookmarkStart w:id="18" w:name="_Toc81575154"/>
            <w:r/>
            <w:bookmarkStart w:id="19" w:name="_Toc81575191"/>
            <w:r>
              <w:rPr>
                <w:rFonts w:hint="eastAsia" w:ascii="宋体" w:hAnsi="宋体" w:eastAsia="宋体" w:cs="宋体"/>
                <w:b/>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本项目</w:t>
            </w:r>
            <w:bookmarkStart w:id="20" w:name="EB9a5853ee094f4f0ea6ec3169265f6f2c"/>
            <w:r>
              <w:rPr>
                <w:rFonts w:hint="eastAsia" w:ascii="宋体" w:hAnsi="宋体" w:eastAsia="宋体" w:cs="宋体"/>
                <w:color w:val="auto"/>
                <w:sz w:val="24"/>
                <w:szCs w:val="24"/>
              </w:rPr>
              <w:t xml:space="preserve">属性按以下第</w:t>
            </w:r>
            <w:bookmarkEnd w:id="20"/>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rPr>
              <w:t xml:space="preserve">种确定：</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1.货物</w:t>
            </w:r>
            <w:bookmarkStart w:id="21" w:name="EBd5c6c026f9674c39b21b31ecd0c1e7fa"/>
            <w:r>
              <w:rPr>
                <w:rFonts w:hint="eastAsia" w:ascii="宋体" w:hAnsi="宋体" w:eastAsia="宋体" w:cs="宋体"/>
                <w:color w:val="auto"/>
                <w:sz w:val="24"/>
                <w:szCs w:val="24"/>
              </w:rPr>
              <w:t xml:space="preserve">采购；2.</w:t>
            </w:r>
            <w:bookmarkEnd w:id="21"/>
            <w:r>
              <w:rPr>
                <w:rFonts w:hint="eastAsia" w:ascii="宋体" w:hAnsi="宋体" w:eastAsia="宋体" w:cs="宋体"/>
                <w:color w:val="auto"/>
                <w:sz w:val="24"/>
                <w:szCs w:val="24"/>
              </w:rPr>
              <w:t xml:space="preserve">服务</w:t>
            </w:r>
            <w:bookmarkStart w:id="22" w:name="EBf7d2a4f44ecb4166a93ea852e73be69f"/>
            <w:r>
              <w:rPr>
                <w:rFonts w:hint="eastAsia" w:ascii="宋体" w:hAnsi="宋体" w:eastAsia="宋体" w:cs="宋体"/>
                <w:color w:val="auto"/>
                <w:sz w:val="24"/>
                <w:szCs w:val="24"/>
              </w:rPr>
              <w:t xml:space="preserve">采购；3.</w:t>
            </w:r>
            <w:bookmarkEnd w:id="22"/>
            <w:r>
              <w:rPr>
                <w:rFonts w:hint="eastAsia" w:ascii="宋体" w:hAnsi="宋体" w:eastAsia="宋体" w:cs="宋体"/>
                <w:color w:val="auto"/>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bookmarkStart w:id="23" w:name="EBd40b5fb42f2944a3b45e579ce3941f02"/>
            <w:r/>
            <w:bookmarkEnd w:id="23"/>
            <w:r>
              <w:rPr>
                <w:rFonts w:hint="eastAsia" w:ascii="宋体" w:hAnsi="宋体" w:eastAsia="宋体" w:cs="宋体"/>
                <w:color w:val="auto"/>
                <w:sz w:val="24"/>
                <w:szCs w:val="24"/>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响应文件份数</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提交加密电子响应文件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在“</w:t>
            </w:r>
            <w:r>
              <w:rPr>
                <w:rFonts w:hint="eastAsia" w:ascii="宋体" w:hAnsi="宋体" w:eastAsia="宋体" w:cs="宋体"/>
                <w:color w:val="auto"/>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种方式确定：</w:t>
            </w:r>
            <w:r/>
          </w:p>
          <w:p>
            <w:pPr>
              <w:ind w:firstLine="240"/>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1.接受进口产品。</w:t>
            </w:r>
            <w:r>
              <w:rPr>
                <w:rFonts w:hint="eastAsia" w:ascii="宋体" w:hAnsi="宋体" w:eastAsia="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rPr>
              <w:t xml:space="preserve">；</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具体评标办法详见</w:t>
            </w:r>
            <w:r>
              <w:rPr>
                <w:rFonts w:hint="eastAsia" w:ascii="宋体" w:hAnsi="宋体" w:eastAsia="宋体" w:cs="宋体"/>
                <w:color w:val="auto"/>
                <w:sz w:val="24"/>
                <w:szCs w:val="24"/>
                <w:lang w:eastAsia="zh-CN"/>
              </w:rPr>
              <w:t xml:space="preserve">磋商文件</w:t>
            </w: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eastAsia="zh-CN"/>
              </w:rPr>
              <w:t xml:space="preserve">五</w:t>
            </w:r>
            <w:r>
              <w:rPr>
                <w:rFonts w:hint="eastAsia" w:ascii="宋体" w:hAnsi="宋体" w:eastAsia="宋体" w:cs="宋体"/>
                <w:color w:val="auto"/>
                <w:sz w:val="24"/>
                <w:szCs w:val="24"/>
              </w:rPr>
              <w:t xml:space="preserve">章。</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磋商小组依据磋商文件规定的评标办法和</w:t>
            </w:r>
            <w:r>
              <w:rPr>
                <w:rFonts w:hint="eastAsia" w:ascii="宋体" w:hAnsi="宋体" w:eastAsia="宋体" w:cs="宋体"/>
                <w:color w:val="auto"/>
                <w:sz w:val="24"/>
                <w:szCs w:val="24"/>
                <w:lang w:eastAsia="zh-CN"/>
              </w:rPr>
              <w:t xml:space="preserve">标准</w:t>
            </w:r>
            <w:r>
              <w:rPr>
                <w:rFonts w:hint="eastAsia" w:ascii="宋体" w:hAnsi="宋体" w:eastAsia="宋体" w:cs="宋体"/>
                <w:color w:val="auto"/>
                <w:sz w:val="24"/>
                <w:szCs w:val="24"/>
              </w:rPr>
              <w:t xml:space="preserve">推荐</w:t>
            </w:r>
            <w:r>
              <w:rPr>
                <w:rFonts w:hint="eastAsia" w:ascii="宋体" w:hAnsi="宋体" w:eastAsia="宋体" w:cs="宋体"/>
                <w:color w:val="auto"/>
                <w:sz w:val="24"/>
                <w:szCs w:val="24"/>
                <w:u w:val="single"/>
                <w:lang w:eastAsia="zh-CN"/>
              </w:rPr>
              <w:t xml:space="preserve">3</w:t>
            </w: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候选人。</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确定</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人</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种方式确定</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人：</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磋商小组直接确定排名第一的成交候选供应商为成交供应商；</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highlight w:val="none"/>
              </w:rPr>
            </w:pPr>
            <w:r/>
            <w:bookmarkStart w:id="24"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24"/>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firstLine="24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1.允许分包，</w:t>
            </w:r>
            <w:bookmarkStart w:id="25"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25"/>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firstLine="24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采购人支付，采购人按照采购代理合同约定支付。</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其他</w:t>
            </w:r>
            <w:bookmarkEnd w:id="17"/>
            <w:r/>
            <w:bookmarkEnd w:id="18"/>
            <w:r/>
            <w:bookmarkEnd w:id="19"/>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Style w:val="1136"/>
                <w:rFonts w:hint="eastAsia" w:ascii="宋体" w:hAnsi="宋体" w:cs="宋体"/>
                <w:b/>
                <w:color w:val="auto"/>
                <w:sz w:val="24"/>
              </w:rPr>
              <w:t xml:space="preserve">不管招标结果如何，供应商均应自行承担招标所需一切费用。</w:t>
            </w:r>
            <w:r/>
          </w:p>
        </w:tc>
      </w:tr>
    </w:tbl>
    <w:p>
      <w:pPr>
        <w:pStyle w:val="927"/>
        <w:spacing w:line="305" w:lineRule="auto"/>
        <w:widowControl w:val="off"/>
        <w:rPr>
          <w:rFonts w:ascii="宋体" w:hAnsi="宋体" w:eastAsia="宋体" w:cs="宋体"/>
          <w:color w:val="auto"/>
        </w:rPr>
      </w:pPr>
      <w:r>
        <w:rPr>
          <w:rFonts w:ascii="宋体" w:hAnsi="宋体" w:eastAsia="宋体" w:cs="宋体"/>
          <w:color w:val="auto"/>
        </w:rPr>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26" w:name="_Toc10340"/>
      <w:r>
        <w:rPr>
          <w:rFonts w:hint="eastAsia" w:ascii="宋体" w:hAnsi="宋体" w:eastAsia="宋体" w:cs="宋体"/>
          <w:b/>
          <w:bCs/>
          <w:color w:val="auto"/>
          <w:sz w:val="32"/>
          <w:szCs w:val="32"/>
          <w:lang w:eastAsia="zh-CN"/>
        </w:rPr>
        <w:t xml:space="preserve">一、总则</w:t>
      </w:r>
      <w:bookmarkEnd w:id="26"/>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1.采购方式</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1.1本次政府采购活动采取竞争性磋商（以下简称磋商）方式，本磋商文件仅适用于磋商公告中所述项目。</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2.合格的供应商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2.1满足磋商公告中供应商资格要求的规定。</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2.2满足本磋商文件实质性要求和条件的规定。</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3.适用法律</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3.1本次磋商及由此产生的合同受中华人民共和国有关的法律法规制约和保护。</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4.磋商费用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4.1供应商应自行承担所有与参加本次磋商有关的费用，无论磋商过程中的做法和结果如何，采购代理机构在任何情况下均无义务和责任承担这些费用。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4.2代理费用收取方式及标准：按以下第</w:t>
      </w:r>
      <w:r>
        <w:rPr>
          <w:rFonts w:hint="eastAsia" w:ascii="宋体" w:hAnsi="宋体" w:eastAsia="宋体" w:cs="宋体"/>
          <w:b/>
          <w:bCs/>
          <w:color w:val="auto"/>
          <w:sz w:val="24"/>
          <w:szCs w:val="24"/>
          <w:u w:val="single"/>
          <w:lang w:eastAsia="zh-CN"/>
        </w:rPr>
        <w:t xml:space="preserve">4.2.2</w:t>
      </w:r>
      <w:r>
        <w:rPr>
          <w:rFonts w:hint="eastAsia" w:ascii="宋体" w:hAnsi="宋体" w:eastAsia="宋体" w:cs="宋体"/>
          <w:color w:val="auto"/>
          <w:sz w:val="24"/>
          <w:szCs w:val="24"/>
          <w:lang w:eastAsia="zh-CN"/>
        </w:rPr>
        <w:t xml:space="preserve">种方式执行：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4.2.1无需支付；</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4.2.2具体方式及标准为：采购人支付，采购人按照采购代理合同约定支付。</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5.磋商文件的约束力</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供应商一旦参加本项目采购活动，即被认为接受了本磋商文件的规定和约束。</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27" w:name="bookmark12"/>
      <w:r/>
      <w:bookmarkEnd w:id="27"/>
      <w:r/>
      <w:bookmarkStart w:id="28" w:name="_Toc8290"/>
      <w:r>
        <w:rPr>
          <w:rFonts w:hint="eastAsia" w:ascii="宋体" w:hAnsi="宋体" w:eastAsia="宋体" w:cs="宋体"/>
          <w:b/>
          <w:bCs/>
          <w:color w:val="auto"/>
          <w:sz w:val="32"/>
          <w:szCs w:val="32"/>
          <w:lang w:eastAsia="zh-CN"/>
        </w:rPr>
        <w:t xml:space="preserve">二、磋商文件</w:t>
      </w:r>
      <w:bookmarkEnd w:id="28"/>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6.磋商文件构成</w:t>
      </w:r>
      <w:r/>
    </w:p>
    <w:p>
      <w:pPr>
        <w:ind w:firstLine="464"/>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4"/>
          <w:sz w:val="24"/>
          <w:szCs w:val="24"/>
        </w:rPr>
        <w:t xml:space="preserve">6.1磋商文件由以下部分组成：</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（1）磋商邀请</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（2）供应商须知</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（3）合同文本</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（4）采购需求</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（5）评审方法与评审标准</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（6）响应文件格式</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请仔细检查磋商文件是否齐全，如有缺漏请立即与采购代理机构联系解决。</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7.磋商文件的澄清</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任何要求对磋商文件进行澄清的供应商，应在磋商截止期5日前按磋商公告中的通讯地址，以书面形式通知采购代理机构。</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8.磋商文件的澄清和修改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8.2在响应文件提交截止时间之前，采购代理机构可以对磋商文件进行修改。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8.3采购代理机构有权按照法定的要求推迟响应文件递交截止日期和磋商日期。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8.5供应商应及时登录“苏采云”系统获取澄清答疑文件（修改后磋商文件），如因供应商原因未能及时下载澄清和修改后的磋商文件，由此造成的相关责任，由供应商承担。</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29" w:name="bookmark13"/>
      <w:r/>
      <w:bookmarkEnd w:id="29"/>
      <w:r/>
      <w:bookmarkStart w:id="30" w:name="_Toc410"/>
      <w:r>
        <w:rPr>
          <w:rFonts w:hint="eastAsia" w:ascii="宋体" w:hAnsi="宋体" w:eastAsia="宋体" w:cs="宋体"/>
          <w:b/>
          <w:bCs/>
          <w:color w:val="auto"/>
          <w:sz w:val="32"/>
          <w:szCs w:val="32"/>
          <w:lang w:eastAsia="zh-CN"/>
        </w:rPr>
        <w:t xml:space="preserve">三、响应文件的编制</w:t>
      </w:r>
      <w:bookmarkEnd w:id="30"/>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9.响应文件的语言及度量衡单位</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lang w:eastAsia="zh-CN"/>
        </w:rPr>
        <w:t xml:space="preserve">简体中文</w:t>
      </w:r>
      <w:r>
        <w:rPr>
          <w:rFonts w:hint="eastAsia" w:ascii="宋体" w:hAnsi="宋体" w:eastAsia="宋体" w:cs="宋体"/>
          <w:color w:val="auto"/>
          <w:sz w:val="24"/>
          <w:szCs w:val="24"/>
          <w:lang w:eastAsia="zh-CN"/>
        </w:rPr>
        <w:t xml:space="preserve">。</w:t>
      </w:r>
      <w:r/>
    </w:p>
    <w:p>
      <w:pPr>
        <w:ind w:firstLine="480"/>
        <w:jc w:val="both"/>
        <w:spacing w:line="520" w:lineRule="exact"/>
        <w:widowControl w:val="off"/>
        <w:rPr>
          <w:rFonts w:ascii="宋体" w:hAnsi="宋体" w:eastAsia="宋体" w:cs="宋体"/>
          <w:color w:val="auto"/>
        </w:rPr>
      </w:pPr>
      <w:r>
        <w:rPr>
          <w:rFonts w:hint="eastAsia" w:ascii="宋体" w:hAnsi="宋体" w:eastAsia="宋体" w:cs="宋体"/>
          <w:color w:val="auto"/>
          <w:sz w:val="24"/>
          <w:szCs w:val="24"/>
          <w:lang w:eastAsia="zh-CN"/>
        </w:rPr>
        <w:t xml:space="preserve">9.2除技术性能另有规定外，响应文件所使用的度量衡单位，均须采用国家法定计量单位。</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10.响应文件构成</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其投标可能被拒绝。</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各供应商在编制响应文件时请按照磋商文件第六章规定的格式进行，混乱的编排导致响应文件被误读或磋商小组查找不到有效文件，这是供应商的风险。</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10.2供应商编写的响应文件应包括资格证明文件、分项报价表、响应及偏离表、其他证明文件、磋商申请及声明函、报价一览表等部分。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10.5如标书制作工具中格式和内容与“宿迁市政府采购网”发布的磋商文件不一致，请以“宿迁市政府采购网”发布的磋商文件为准。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10.6成交后按相关要求提供与电子响应文件一致的纸质打印响应文件5份。</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11.证明磋商响应标的符合磋商文件规定的文件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11.1供应商应按照磋商文件要求提交证明文件，证明其及磋商响应标的符合磋商文件规定。</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11.2磋商文件对证明文件无明确形式要求的，证明文件可以以文字资料、图纸和数据等形式提交。</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12.分项报价表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12.1供应商应按照磋商文件规定格式填报分项报价表。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12.2磋商货币。响应文件中的单价和总价无特殊规定的采用人民币报价，以元为单位标注。磋商文件中另有规定的按规定执行。</w:t>
      </w:r>
      <w:r/>
    </w:p>
    <w:p>
      <w:pPr>
        <w:ind w:firstLine="480"/>
        <w:spacing w:line="52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本项目不接受备选的投标方案或有选择的报价，只允许有一个报价。供应商响应文件中的报价作为首次报价，不公开；以最后报价作为评审价。投标报价内容包括但不限于：完成本项目服务工作期间所需的人工、材料、使用软件费、机械、车辆、会务、论证、评审、验收、差旅、保险、利润、税金、通讯、办公设备、政策性文件规定及合同包含的所有风险、责任等各项应有费用。采购人不再支付报价以外的任何费用。</w:t>
      </w:r>
      <w:r/>
    </w:p>
    <w:p>
      <w:pPr>
        <w:ind w:firstLine="480"/>
        <w:spacing w:line="52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12.4供应商</w:t>
      </w:r>
      <w:r>
        <w:rPr>
          <w:rStyle w:val="1136"/>
          <w:rFonts w:hint="eastAsia" w:ascii="宋体" w:hAnsi="宋体" w:cs="宋体"/>
          <w:color w:val="auto"/>
          <w:sz w:val="24"/>
          <w:szCs w:val="24"/>
        </w:rPr>
        <w:t xml:space="preserve">报价时应充分考虑所有可能影响到报价的因素，一旦磋商结束最终成交，如发生漏、缺、少项，都将被认为是供应商的报价让利行为，损失自负。</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13.技术要求响应及偏离表、商务要求响应及偏离表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13.1供应商需对磋商文件中的技术要求与商务要求作出响应或偏离，并说明原因。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13.2供应商可在响应文件中提供认为需要的其他技术文件或说明。</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14.服务承诺、培训计划、人员安排及其他</w:t>
      </w:r>
      <w:r/>
    </w:p>
    <w:p>
      <w:pPr>
        <w:ind w:firstLine="480"/>
        <w:jc w:val="both"/>
        <w:keepLines/>
        <w:keepNext/>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需根据</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文件要求提供有关售后服务的管理制度，售后服务机构的分布情况，售后服务人员的数量、素质、技术水平及售后服务的反应能力等。</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15.磋商响应函</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15.1供应商应按照磋商文件中提供的格式完整、正确地填写响应声明及承诺函。</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16.磋商有效期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16.1磋商有效期为提交响应文件截止之日起</w:t>
      </w:r>
      <w:r>
        <w:rPr>
          <w:rFonts w:hint="eastAsia" w:ascii="宋体" w:hAnsi="宋体" w:eastAsia="宋体" w:cs="宋体"/>
          <w:b/>
          <w:bCs/>
          <w:color w:val="auto"/>
          <w:sz w:val="24"/>
          <w:szCs w:val="24"/>
          <w:u w:val="single"/>
          <w:lang w:eastAsia="zh-CN"/>
        </w:rPr>
        <w:t xml:space="preserve">六十（60）天</w:t>
      </w:r>
      <w:r>
        <w:rPr>
          <w:rFonts w:hint="eastAsia" w:ascii="宋体" w:hAnsi="宋体" w:eastAsia="宋体" w:cs="宋体"/>
          <w:color w:val="auto"/>
          <w:sz w:val="24"/>
          <w:szCs w:val="24"/>
          <w:lang w:eastAsia="zh-CN"/>
        </w:rPr>
        <w:t xml:space="preserve">。磋商有效期比规定短的将被视为非实质性响应磋商文件而予以拒绝。</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17.磋商有效期的延长</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17.2成交人的响应文件作为项目合同的附件，其有效期至成交人全部合同义务履行完毕为止。</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1" w:name="bookmark14"/>
      <w:r/>
      <w:bookmarkEnd w:id="31"/>
      <w:r/>
      <w:bookmarkStart w:id="32" w:name="_Toc11017"/>
      <w:r>
        <w:rPr>
          <w:rFonts w:hint="eastAsia" w:ascii="宋体" w:hAnsi="宋体" w:eastAsia="宋体" w:cs="宋体"/>
          <w:b/>
          <w:bCs/>
          <w:color w:val="auto"/>
          <w:sz w:val="32"/>
          <w:szCs w:val="32"/>
          <w:lang w:eastAsia="zh-CN"/>
        </w:rPr>
        <w:t xml:space="preserve">四、响应文件的递交</w:t>
      </w:r>
      <w:bookmarkEnd w:id="32"/>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18.电子磋商响应文件的递交</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18.1供应商应当按照《操作手册》规定，在提交响应文件截止时间前制作并上传电子响应文件。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19.提交响应文件截止时间</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19.1供应商上传电子响应文件的时间不得迟于磋商公告中规定的提交响应文件截止时间。</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供应商应充分考虑网络环境、网络带宽等风险因素，如因供应商自身原因导致电子响应文件上传不成功，按照本磋商文件第二章第26.3.2条规定作无效响应处理。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20.响应文件的拒收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21.响应文件的撤回和修改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21.1响应文件的撤回</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21.1.1电子响应文件的撤回</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供应商可在提交响应文件截止时间前，撤回其电子响应文件，具体操作方法见《操作手册》。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21.1.2供应商撤回电子响应文件，则认为其不再参与本项目磋商活动。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21.2响应文件的修改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21.2.1供应商可在提交响应文件截止时间前，对其电子响应文件进行修改，具体操作方法见《操作手册》。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21.2.2在提交响应文件截止时间之后，供应商不得对其电子响应文件作任何修改。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21.3在提交响应文件截止时间至磋商文件中规定的磋商有效期满之间的这段时间内，供应商不得撤回其响应文件。</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3" w:name="bookmark15"/>
      <w:r/>
      <w:bookmarkEnd w:id="33"/>
      <w:r/>
      <w:bookmarkStart w:id="34" w:name="_Toc3426"/>
      <w:r>
        <w:rPr>
          <w:rFonts w:hint="eastAsia" w:ascii="宋体" w:hAnsi="宋体" w:eastAsia="宋体" w:cs="宋体"/>
          <w:b/>
          <w:bCs/>
          <w:color w:val="auto"/>
          <w:sz w:val="32"/>
          <w:szCs w:val="32"/>
          <w:lang w:eastAsia="zh-CN"/>
        </w:rPr>
        <w:t xml:space="preserve">五、响应文件的解密与评审</w:t>
      </w:r>
      <w:bookmarkEnd w:id="34"/>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22.响应文件解密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22.1供应商应当按照《“苏采云”系统供应商操作手册》规定，参加磋商活动和在苏采云系统规定的时间内对磋商响应文件进行解密。</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23.磋商小组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23.1采购代理机构将组织磋商小组对响应文件进行评审。磋商小组由采购人代表和有关技术、经济等方面的专家组成，且人员构成符合政府采购有关规定。</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23.2磋商小组独立工作，负责评审所有响应文件并确定成交候选人。</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24.评审过程的保密与公正</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24.1磋商小组、采购人和采购代理机构工作人员、相关监督人员等与评审工作有关的人员，对评审情况以及在评审过程中获悉的国家秘密、商业秘密负有保密责任。</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24.2在评审过程中，供应商不得以任何行为影响磋商评审过程，否则其响应文件将被作为无效响应文件。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24.3在项目评审期间，采购代理机构将设专门人员与供应商联系。</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24.4采购代理机构和磋商小组不向未成交的供应商解释未成交原因，也不公布评审过程中的相关细节。</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25.评审过程中的澄清</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磋商小组并非对每个供应商都作澄清要求。</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25.3接到磋商小组澄清、说明和更正要求的供应商如未按规定作出澄清、说明和更正，其风险由供应商自行承担。</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26.对响应文件的审查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26.1响应文件审查分为资格审查和符合性审查。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26.1.1资格审查：由磋商小组依据法律法规和磋商文件的规定，对响应文件中的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资格证明文件进行审查，以确定供应商是否具备参加磋商的资格。</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磋商小组在进行资格审查的同时，将在“信用中国”网站（www.creditchina.gov.cn）查询供应商的信用记录，以确定供应商是否具备磋商资格，并将查询结果留存并归档。</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26.1.2符合性审查：依据磋商文件的规定，由磋商小组从响应文件的有效性、完整性和对磋商文件的响应程度等方面进行审查，以确定是否对磋商文件的实质性要求作出响应。</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26.3未实质性响应磋商文件的情形</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26.3.1供应商在苏采云系统规定的时间内未成功解密电子响应文件的。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26.3.2供应商未按照磋商文件要求上传电子响应文件的。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26.3.3同一供应商提交两个（含两个）以上不同的响应文件或者最后报价的。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26.3.4供应商不具备磋商文件中规定资格要求的。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26.3.5供应商的最后报价超过了采购预算。</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26.3.6不符合磋商文件中规定的实质性要求和条件的（本磋商文件中加★项为实质性要求和条件）。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26.3.7供应商被“信用中国”网站（www.creditchina.gov.cn）列入失信被执行人、重大税收违法失信主体或政府采购严重失信行为记录名单，或查询“信用中国”网站后发现供应商存在其他不符合《中华人民共和国政府采购法》第二十二条规定条件的信用记录。</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26.3.8响应文件含有采购人不能接受的附加条件的。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26.3.9本项目采购产品被财政部、国家发展改革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26.3.10响应文件未按照磋商文件要求加盖CA电子公章的。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26.3.11响应文件中已标价工程量清单与竞争性磋商文件规定的暂估价、暂列金额及甲供材料价格不一致的；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26.3.12响应文件中已标价工程量清单与竞争性磋商文件明确列出的不可竞争费用项目或费率或计算基础不一致的；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26.3.13响应文件的已标价工程量清单与竞争性磋商文件提供的工程量清单中的项目编码、项目名称、项目特征、计量单位、工程量不一致的；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26.3.14本项目专门面向中小企业（含监狱企业、残疾人福利企业）采购，非中小企业参与本项目磋商的。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26.4未实质性响应磋商文件的响应文件按无效响应处理。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26.5如果响应文件实质上没有响应磋商文件的要求，磋商小组将予以拒绝，供应商不得通过修改或撤销不符合要求的偏离或保留而使其成为实质性响应的文件。</w:t>
      </w:r>
      <w:r/>
    </w:p>
    <w:p>
      <w:pPr>
        <w:ind w:firstLine="480"/>
        <w:jc w:val="both"/>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26.6供应商在项目评审全过程中应保持通信畅通，并安排专人与采购代理机构及磋商小组联系。</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27.磋商程序及评审方法和评审标准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27.1磋商程序</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27.1.1对于通过资格审查和符合性审查的供应商，磋商小组将集中与单一供应商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分别进行磋商。磋商小组通过苏采云系统向供应商发布“磋商函”，供应商应当按照要求在苏采云系统提交“磋商响应函”并加盖CA电子公章。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27.1.3供应商未在磋商小组规定的时间内在苏采云系统中提交最后报价的，视为放弃磋商，其响应文件按无效响应处理。最后报价格式表须加盖CA电子公章，否则视为未提交最后报价。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auto"/>
          <w:sz w:val="24"/>
          <w:szCs w:val="24"/>
        </w:rPr>
        <w:t xml:space="preserve">在提交最后报价之前，可以根据磋商情况退出磋商，并在苏采云系统中提交“退出磋商函”并加盖CA电子公章。</w:t>
      </w:r>
      <w:r>
        <w:rPr>
          <w:rFonts w:hint="eastAsia" w:ascii="宋体" w:hAnsi="宋体" w:eastAsia="宋体" w:cs="宋体"/>
          <w:color w:val="auto"/>
          <w:sz w:val="24"/>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ascii="宋体" w:hAnsi="宋体" w:eastAsia="宋体" w:cs="宋体"/>
          <w:b/>
          <w:color w:val="auto"/>
          <w:sz w:val="24"/>
        </w:rPr>
      </w:pPr>
      <w:r>
        <w:rPr>
          <w:rFonts w:hint="eastAsia" w:ascii="宋体" w:hAnsi="宋体" w:eastAsia="宋体" w:cs="宋体"/>
          <w:color w:val="auto"/>
          <w:sz w:val="24"/>
          <w:lang w:eastAsia="zh-CN"/>
        </w:rPr>
        <w:t xml:space="preserve">27.1.4</w:t>
      </w:r>
      <w:r>
        <w:rPr>
          <w:rFonts w:hint="eastAsia" w:ascii="宋体" w:hAnsi="宋体" w:eastAsia="宋体" w:cs="宋体"/>
          <w:b/>
          <w:color w:val="auto"/>
          <w:sz w:val="24"/>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宋体" w:hAnsi="宋体" w:eastAsia="宋体" w:cs="宋体"/>
          <w:color w:val="auto"/>
          <w:sz w:val="24"/>
          <w:szCs w:val="24"/>
        </w:rPr>
      </w:pPr>
      <w:r>
        <w:rPr>
          <w:rFonts w:hint="eastAsia" w:ascii="宋体" w:hAnsi="宋体" w:eastAsia="宋体" w:cs="宋体"/>
          <w:color w:val="auto"/>
          <w:sz w:val="24"/>
          <w:lang w:eastAsia="zh-CN"/>
        </w:rPr>
        <w:t xml:space="preserve">27.1.5</w:t>
      </w:r>
      <w:r>
        <w:rPr>
          <w:rFonts w:hint="eastAsia" w:ascii="宋体" w:hAnsi="宋体" w:eastAsia="宋体" w:cs="宋体"/>
          <w:color w:val="auto"/>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lang w:eastAsia="zh-CN"/>
        </w:rPr>
        <w:t xml:space="preserve">27.1.6报价一览表</w:t>
      </w:r>
      <w:r>
        <w:rPr>
          <w:rFonts w:hint="eastAsia" w:ascii="宋体" w:hAnsi="宋体" w:eastAsia="宋体" w:cs="宋体"/>
          <w:color w:val="auto"/>
          <w:sz w:val="24"/>
        </w:rPr>
        <w:t xml:space="preserve">中大、小写应一致，如出现不一致情况的，以大写为准。</w:t>
      </w:r>
      <w:r>
        <w:rPr>
          <w:rFonts w:hint="eastAsia" w:ascii="宋体" w:hAnsi="宋体" w:eastAsia="宋体" w:cs="宋体"/>
          <w:color w:val="auto"/>
          <w:sz w:val="24"/>
          <w:lang w:eastAsia="zh-CN"/>
        </w:rPr>
        <w:t xml:space="preserve">报价一览表</w:t>
      </w:r>
      <w:r>
        <w:rPr>
          <w:rFonts w:hint="eastAsia" w:ascii="宋体" w:hAnsi="宋体" w:eastAsia="宋体" w:cs="宋体"/>
          <w:color w:val="auto"/>
          <w:sz w:val="24"/>
        </w:rPr>
        <w:t xml:space="preserve">内容与分项报价表内容应一致。如出现不一致情况，以</w:t>
      </w:r>
      <w:r>
        <w:rPr>
          <w:rFonts w:hint="eastAsia" w:ascii="宋体" w:hAnsi="宋体" w:eastAsia="宋体" w:cs="宋体"/>
          <w:color w:val="auto"/>
          <w:sz w:val="24"/>
          <w:lang w:eastAsia="zh-CN"/>
        </w:rPr>
        <w:t xml:space="preserve">报价一览表</w:t>
      </w:r>
      <w:r>
        <w:rPr>
          <w:rFonts w:hint="eastAsia" w:ascii="宋体" w:hAnsi="宋体" w:eastAsia="宋体" w:cs="宋体"/>
          <w:color w:val="auto"/>
          <w:sz w:val="24"/>
        </w:rPr>
        <w:t xml:space="preserve">内容为准，修正分项报价表。</w:t>
      </w:r>
      <w:r/>
    </w:p>
    <w:p>
      <w:pPr>
        <w:ind w:firstLine="480"/>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lang w:eastAsia="zh-CN"/>
        </w:rPr>
        <w:t xml:space="preserve">27.1.7</w:t>
      </w:r>
      <w:r>
        <w:rPr>
          <w:rFonts w:hint="eastAsia" w:ascii="宋体" w:hAnsi="宋体" w:eastAsia="宋体" w:cs="宋体"/>
          <w:color w:val="auto"/>
          <w:sz w:val="24"/>
        </w:rPr>
        <w:t xml:space="preserve">项目评审中，不得去掉最后报价中的最高报价和最低报价。</w:t>
      </w:r>
      <w:r/>
    </w:p>
    <w:p>
      <w:pPr>
        <w:ind w:firstLine="482"/>
        <w:spacing w:line="480" w:lineRule="exact"/>
        <w:rPr>
          <w:rFonts w:ascii="宋体" w:hAnsi="宋体" w:eastAsia="宋体" w:cs="宋体"/>
          <w:b/>
          <w:bCs/>
          <w:color w:val="auto"/>
          <w:sz w:val="24"/>
        </w:rPr>
      </w:pPr>
      <w:r/>
      <w:bookmarkStart w:id="35" w:name="_Hlk204074773"/>
      <w:r>
        <w:rPr>
          <w:rFonts w:hint="eastAsia" w:ascii="宋体" w:hAnsi="宋体" w:eastAsia="宋体" w:cs="宋体"/>
          <w:b/>
          <w:bCs/>
          <w:color w:val="auto"/>
          <w:sz w:val="24"/>
          <w:szCs w:val="24"/>
          <w:lang w:eastAsia="zh-CN"/>
        </w:rPr>
        <w:t xml:space="preserve">27.2</w:t>
      </w:r>
      <w:r>
        <w:rPr>
          <w:rFonts w:hint="eastAsia" w:ascii="宋体" w:hAnsi="宋体" w:eastAsia="宋体" w:cs="宋体"/>
          <w:b/>
          <w:bCs/>
          <w:color w:val="auto"/>
          <w:sz w:val="24"/>
        </w:rPr>
        <w:t xml:space="preserve">异常低价响应审查</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24"/>
          <w:lang w:eastAsia="zh-CN"/>
        </w:rPr>
        <w:t xml:space="preserve">27.2</w:t>
      </w:r>
      <w:r>
        <w:rPr>
          <w:rFonts w:hint="eastAsia" w:ascii="宋体" w:hAnsi="宋体" w:eastAsia="宋体" w:cs="宋体"/>
          <w:color w:val="auto"/>
          <w:sz w:val="24"/>
        </w:rPr>
        <w:t xml:space="preserve">.1</w:t>
      </w:r>
      <w:bookmarkEnd w:id="35"/>
      <w:r>
        <w:rPr>
          <w:rFonts w:hint="eastAsia" w:ascii="宋体" w:hAnsi="宋体" w:eastAsia="宋体" w:cs="宋体"/>
          <w:color w:val="auto"/>
          <w:sz w:val="24"/>
          <w:szCs w:val="32"/>
          <w:lang w:eastAsia="zh-CN"/>
        </w:rPr>
        <w:t xml:space="preserve">评审过程中出现下列情形之一的，磋商小组应当启动异常低价响应审查程序：</w:t>
      </w:r>
      <w:r/>
    </w:p>
    <w:p>
      <w:pPr>
        <w:ind w:firstLine="480"/>
        <w:spacing w:line="500" w:lineRule="exact"/>
        <w:widowControl w:val="off"/>
        <w:rPr>
          <w:rFonts w:ascii="宋体" w:hAnsi="宋体" w:eastAsia="宋体" w:cs="宋体"/>
          <w:color w:val="auto"/>
          <w:sz w:val="24"/>
          <w:szCs w:val="32"/>
          <w:lang w:eastAsia="zh-CN"/>
        </w:rPr>
      </w:pPr>
      <w:r>
        <w:rPr>
          <w:rFonts w:hint="eastAsia" w:ascii="宋体" w:hAnsi="宋体" w:eastAsia="宋体" w:cs="宋体"/>
          <w:color w:val="auto"/>
          <w:sz w:val="24"/>
          <w:szCs w:val="32"/>
          <w:lang w:eastAsia="zh-CN"/>
        </w:rPr>
        <w:t xml:space="preserve">（1）磋商报价</w:t>
      </w:r>
      <w:r>
        <w:rPr>
          <w:rFonts w:hint="eastAsia" w:ascii="宋体" w:hAnsi="宋体" w:eastAsia="宋体" w:cs="宋体"/>
          <w:color w:val="auto"/>
          <w:sz w:val="24"/>
          <w:szCs w:val="32"/>
        </w:rPr>
        <w:t xml:space="preserve">低于全部通过符合性审查供应商</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平均值50%的，即</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〈全部通过符合性审查供应商</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平均值×50%</w:t>
      </w:r>
      <w:r>
        <w:rPr>
          <w:rFonts w:hint="eastAsia" w:ascii="宋体" w:hAnsi="宋体" w:eastAsia="宋体" w:cs="宋体"/>
          <w:color w:val="auto"/>
          <w:sz w:val="24"/>
          <w:szCs w:val="32"/>
          <w:lang w:eastAsia="zh-CN"/>
        </w:rPr>
        <w:t xml:space="preserve">；</w:t>
      </w:r>
      <w:r/>
    </w:p>
    <w:p>
      <w:pPr>
        <w:ind w:firstLine="480"/>
        <w:spacing w:line="500" w:lineRule="exact"/>
        <w:widowControl w:val="off"/>
        <w:rPr>
          <w:rFonts w:ascii="宋体" w:hAnsi="宋体" w:eastAsia="宋体" w:cs="宋体"/>
          <w:color w:val="auto"/>
          <w:sz w:val="24"/>
          <w:szCs w:val="32"/>
          <w:lang w:eastAsia="zh-CN"/>
        </w:rPr>
      </w:pPr>
      <w:r>
        <w:rPr>
          <w:rFonts w:hint="eastAsia" w:ascii="宋体" w:hAnsi="宋体" w:eastAsia="宋体" w:cs="宋体"/>
          <w:color w:val="auto"/>
          <w:sz w:val="24"/>
          <w:szCs w:val="32"/>
          <w:lang w:eastAsia="zh-CN"/>
        </w:rPr>
        <w:t xml:space="preserve">（2）磋商报价</w:t>
      </w:r>
      <w:r>
        <w:rPr>
          <w:rFonts w:hint="eastAsia" w:ascii="宋体" w:hAnsi="宋体" w:eastAsia="宋体" w:cs="宋体"/>
          <w:color w:val="auto"/>
          <w:sz w:val="24"/>
          <w:szCs w:val="32"/>
        </w:rPr>
        <w:t xml:space="preserve">低于通过符合性审查的次低报价供应商投标</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响应</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报价50%的，即</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〈通过符合性审查的次低报价供应商</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×50%</w:t>
      </w:r>
      <w:r>
        <w:rPr>
          <w:rFonts w:hint="eastAsia" w:ascii="宋体" w:hAnsi="宋体" w:eastAsia="宋体" w:cs="宋体"/>
          <w:color w:val="auto"/>
          <w:sz w:val="24"/>
          <w:szCs w:val="32"/>
          <w:lang w:eastAsia="zh-CN"/>
        </w:rPr>
        <w:t xml:space="preserve">；</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（3）磋商报价</w:t>
      </w:r>
      <w:r>
        <w:rPr>
          <w:rFonts w:hint="eastAsia" w:ascii="宋体" w:hAnsi="宋体" w:eastAsia="宋体" w:cs="宋体"/>
          <w:color w:val="auto"/>
          <w:sz w:val="24"/>
          <w:szCs w:val="32"/>
        </w:rPr>
        <w:t xml:space="preserve">低于采购项目最高限价45%的，即</w:t>
      </w:r>
      <w:r>
        <w:rPr>
          <w:rFonts w:hint="eastAsia" w:ascii="宋体" w:hAnsi="宋体" w:eastAsia="宋体" w:cs="宋体"/>
          <w:color w:val="auto"/>
          <w:sz w:val="24"/>
          <w:szCs w:val="32"/>
          <w:lang w:eastAsia="zh-CN"/>
        </w:rPr>
        <w:t xml:space="preserve">磋商报价 &lt; </w:t>
      </w:r>
      <w:r>
        <w:rPr>
          <w:rFonts w:hint="eastAsia" w:ascii="宋体" w:hAnsi="宋体" w:eastAsia="宋体" w:cs="宋体"/>
          <w:color w:val="auto"/>
          <w:sz w:val="24"/>
          <w:szCs w:val="32"/>
        </w:rPr>
        <w:t xml:space="preserve">采购项目最高限价×45%</w:t>
      </w:r>
      <w:r>
        <w:rPr>
          <w:rFonts w:hint="eastAsia" w:ascii="宋体" w:hAnsi="宋体" w:eastAsia="宋体" w:cs="宋体"/>
          <w:color w:val="auto"/>
          <w:sz w:val="24"/>
          <w:szCs w:val="32"/>
          <w:lang w:eastAsia="zh-CN"/>
        </w:rPr>
        <w:t xml:space="preserve">；</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（4）磋商小组</w:t>
      </w:r>
      <w:r>
        <w:rPr>
          <w:rFonts w:hint="eastAsia" w:ascii="宋体" w:hAnsi="宋体" w:eastAsia="宋体" w:cs="宋体"/>
          <w:color w:val="auto"/>
          <w:sz w:val="24"/>
          <w:szCs w:val="32"/>
        </w:rPr>
        <w:t xml:space="preserve">基于专业判断，认为供应商报价过低，有可能影响产品质量或者不能诚信履约的其他情形。</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启动异常低价响应审查后，属于前述第1项至第4项情形的，评审现场应当要求相关供应商</w:t>
      </w:r>
      <w:r>
        <w:rPr>
          <w:rFonts w:hint="eastAsia" w:ascii="宋体" w:hAnsi="宋体" w:eastAsia="宋体" w:cs="宋体"/>
          <w:color w:val="auto"/>
          <w:sz w:val="24"/>
          <w:szCs w:val="32"/>
          <w:lang w:eastAsia="zh-CN"/>
        </w:rPr>
        <w:t xml:space="preserve">通过“苏采云”系统在</w:t>
      </w:r>
      <w:r>
        <w:rPr>
          <w:rFonts w:hint="eastAsia" w:ascii="宋体" w:hAnsi="宋体" w:eastAsia="宋体" w:cs="宋体"/>
          <w:color w:val="auto"/>
          <w:sz w:val="24"/>
          <w:szCs w:val="32"/>
        </w:rPr>
        <w:t xml:space="preserve">合理的时间内对响应价格作出解释</w:t>
      </w:r>
      <w:r>
        <w:rPr>
          <w:rFonts w:hint="eastAsia" w:ascii="宋体" w:hAnsi="宋体" w:eastAsia="宋体" w:cs="宋体"/>
          <w:color w:val="auto"/>
          <w:sz w:val="24"/>
          <w:szCs w:val="32"/>
          <w:lang w:eastAsia="zh-CN"/>
        </w:rPr>
        <w:t xml:space="preserve">，并</w:t>
      </w:r>
      <w:r>
        <w:rPr>
          <w:rFonts w:hint="eastAsia" w:ascii="宋体" w:hAnsi="宋体" w:eastAsia="宋体" w:cs="宋体"/>
          <w:color w:val="auto"/>
          <w:sz w:val="24"/>
          <w:szCs w:val="32"/>
        </w:rPr>
        <w:t xml:space="preserve">提供项目具体成本测算等与报价合理性相关的书面说明及必要的证明材料，包括但不限于原材料成本</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人工成本</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制造费用等</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给予相关供应商的合理时间一般不少于30分钟。其中，属于第3项情形，供应商已随响应文件一并提交相关书面说明及必要的证明材料的，在评审现场可不再重复提交。</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依据专业经验，参考同类项目中标</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成交</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价格，类似产品市场价格水平，行业人工费用标准，国家有关部门指导行业协会发布的行业平均成本等情况，对报价合理性进行判断。响应供应商不能提供书面说明</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证明材料，或者提供的书面说明</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证明材料不能证明其报价合理性的，</w:t>
      </w: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应当将其作为无效响应处理。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32"/>
        </w:rPr>
        <w:t xml:space="preserve">异常低价投标</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响应</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审查的启动原因</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审查意见和审查结果应当在评审报告中记录，并</w:t>
      </w:r>
      <w:r>
        <w:rPr>
          <w:rFonts w:hint="eastAsia" w:ascii="宋体" w:hAnsi="宋体" w:cs="宋体"/>
          <w:color w:val="auto"/>
          <w:sz w:val="24"/>
          <w:szCs w:val="32"/>
          <w:lang w:eastAsia="zh-CN"/>
        </w:rPr>
        <w:t xml:space="preserve">附</w:t>
      </w:r>
      <w:r>
        <w:rPr>
          <w:rFonts w:hint="eastAsia" w:ascii="宋体" w:hAnsi="宋体" w:eastAsia="宋体" w:cs="宋体"/>
          <w:color w:val="auto"/>
          <w:sz w:val="24"/>
          <w:szCs w:val="32"/>
        </w:rPr>
        <w:t xml:space="preserve">供应商提供的相关书面说明及证明材料，以及</w:t>
      </w: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有关互联网浏览</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查询历史一并归档。</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cs="宋体"/>
          <w:color w:val="auto"/>
          <w:sz w:val="24"/>
          <w:lang w:eastAsia="zh-CN"/>
        </w:rPr>
        <w:t xml:space="preserve">27.3</w:t>
      </w:r>
      <w:r>
        <w:rPr>
          <w:rFonts w:hint="eastAsia" w:ascii="宋体" w:hAnsi="宋体" w:eastAsia="宋体" w:cs="宋体"/>
          <w:color w:val="auto"/>
          <w:sz w:val="24"/>
          <w:szCs w:val="24"/>
          <w:lang w:eastAsia="zh-CN"/>
        </w:rPr>
        <w:t xml:space="preserve">评审方法和评审标准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27.3.1评审方法。经磋商确定最终采购需求和提交最后报价的供应商后，由磋商小组采用综合评分法对提交最后报价的供应商的响应文件和最后报价进行综合评分。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27.3.2评审标准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见本磋商文件第五章规定。</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27.6采购活动终止的情况</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出现下列情形之一的，本次竞争性磋商采购活动将被终止：</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27.6.1因情况变化，不再符合规定的竞争性磋商采购方式适用情形的。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27.6.2出现影响采购公正的违法、违规行为的。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27.6.3除本磋商文件第二章第27.1.2条第三款规定的情形外，在采购过程中符合要求的供应商或者最后报价未超过采购预算的供应商不足3家的。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27.6.4在苏采云系统规定时间内成功解密电子响应文件的供应商不足3家的。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27.6.5评委会认定磋商文件存在歧义、重大缺陷导致评审工作无法进行。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27.6.6因“苏采云”系统故障原因造成开标不成功的。</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6" w:name="bookmark16"/>
      <w:r/>
      <w:bookmarkEnd w:id="36"/>
      <w:r/>
      <w:bookmarkStart w:id="37" w:name="_Toc14486"/>
      <w:r>
        <w:rPr>
          <w:rFonts w:hint="eastAsia" w:ascii="宋体" w:hAnsi="宋体" w:eastAsia="宋体" w:cs="宋体"/>
          <w:b/>
          <w:bCs/>
          <w:color w:val="auto"/>
          <w:sz w:val="32"/>
          <w:szCs w:val="32"/>
          <w:lang w:eastAsia="zh-CN"/>
        </w:rPr>
        <w:t xml:space="preserve">六、成交</w:t>
      </w:r>
      <w:bookmarkEnd w:id="37"/>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28.确定成交单位</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28.2采购人从评审报告提出的成交候选供应商中，按照排序由高到低的原则确定成交供应商。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按以下第</w:t>
      </w:r>
      <w:r>
        <w:rPr>
          <w:rFonts w:hint="eastAsia" w:ascii="宋体" w:hAnsi="宋体" w:eastAsia="宋体" w:cs="宋体"/>
          <w:color w:val="auto"/>
          <w:sz w:val="24"/>
          <w:szCs w:val="24"/>
          <w:u w:val="single"/>
          <w:lang w:eastAsia="zh-CN"/>
        </w:rPr>
        <w:t xml:space="preserve">（2）</w:t>
      </w:r>
      <w:r>
        <w:rPr>
          <w:rFonts w:hint="eastAsia" w:ascii="宋体" w:hAnsi="宋体" w:eastAsia="宋体" w:cs="宋体"/>
          <w:color w:val="auto"/>
          <w:sz w:val="24"/>
          <w:szCs w:val="24"/>
          <w:lang w:eastAsia="zh-CN"/>
        </w:rPr>
        <w:t xml:space="preserve">种方式确定成交供应商：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（1）磋商小组直接确定排名第一的成交候选供应商为成交供应商；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（2）采购人从评审报告提出的成交候选供应商中按顺序确定成交供应商。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28.3成交供应商确定后，采购代理机构将在“宿迁市政府采购网”发布成交结果公告，公告期限为1个工作日。</w:t>
      </w:r>
      <w:r/>
    </w:p>
    <w:p>
      <w:pPr>
        <w:ind w:firstLine="480"/>
        <w:jc w:val="both"/>
        <w:spacing w:line="520" w:lineRule="exact"/>
        <w:widowControl w:val="off"/>
        <w:rPr>
          <w:rFonts w:ascii="宋体" w:hAnsi="宋体" w:eastAsia="宋体" w:cs="宋体"/>
          <w:b/>
          <w:bCs/>
          <w:color w:val="auto"/>
        </w:rPr>
      </w:pPr>
      <w:r>
        <w:rPr>
          <w:rFonts w:hint="eastAsia" w:ascii="宋体" w:hAnsi="宋体" w:eastAsia="宋体" w:cs="宋体"/>
          <w:b/>
          <w:bCs/>
          <w:color w:val="auto"/>
          <w:sz w:val="24"/>
          <w:szCs w:val="24"/>
          <w:lang w:eastAsia="zh-CN"/>
        </w:rPr>
        <w:t xml:space="preserve">28.4若有充分证据证明，成交供应商出现下列情况之一的，一经查实，将被取消成交资格：</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28.4.1提供虚假材料谋取成交的。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28.4.2与评审专家、采购人、其他供应商或者采购代理机构工作人员恶意串通的。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28.4.3向评审专家、采购人或采购代理机构工作人员行贿或者提供其他不正当利益的。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28.4.4恶意竞争，最后报价明显低于其自身合理成本且又无法提供证明的。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28.4.5不满足本磋商文件规定的实质性要求，但在评审过程中又未被磋商小组发现的。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28.4.6成交后无正当理由拒不与采购人签订政府采购合同或者未按照磋商文件确定的事项签订政府采购合同的。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28.4.7将政府采购合同转包的。</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29.质疑处理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29.1提出质疑的供应商应当是参与所质疑项目采购活动的供应商。潜在供应商依法获取其可质疑的采购文件的，可以对采购文件提出质疑。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29.2.1对可以质疑的采购文件提出质疑的，为收到采购文件之日或者采购文件公告期限届满之日。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29.2.2对采购过程提出质疑的，为各采购程序环节结束之日。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29.2.3对成交结果提出质疑的，为成交结果公告期限届满之日。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520" w:lineRule="exact"/>
        <w:widowControl w:val="off"/>
        <w:rPr>
          <w:rFonts w:ascii="宋体" w:hAnsi="宋体" w:eastAsia="宋体" w:cs="宋体"/>
          <w:color w:val="auto"/>
        </w:rPr>
      </w:pPr>
      <w:r>
        <w:rPr>
          <w:rFonts w:hint="eastAsia" w:ascii="宋体" w:hAnsi="宋体" w:eastAsia="宋体" w:cs="宋体"/>
          <w:color w:val="auto"/>
          <w:sz w:val="24"/>
          <w:szCs w:val="24"/>
          <w:lang w:eastAsia="zh-CN"/>
        </w:rPr>
        <w:t xml:space="preserve">29.4供应商应以书面形式向采购人或者其委托的采购代理机构提出质疑。质疑超出采购机构代理范围的，供应商应当向采购人提出。</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接收质疑函的方式：现场接收或邮寄接收。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联系部门：宿迁市自然资源和规划局、江苏科建工程项目管理有限公司</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联系电话：0527-84359612、0527-88988618</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通讯地址：宿迁市宿城区洪泽湖路887号、宿迁市电子商务产业园电商大厦B栋4楼4F13室</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采购人质疑接收人及联系方式见本磋商文件第一章。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29.5以下情形的质疑不予受理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29.5.1内容不符合《政府采购质疑和投诉办法》第十二条规定的质疑。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29.5.2超出政府采购法定期限的质疑。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29.5.3以传真、电子邮件等方式递交的非原件形式的质疑。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29.5.4未参加磋商活动的供应商或在磋商活动中自身权益未受到损害的供应商所提出的质疑。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29.5.5供应商组成联合体参加磋商，联合体中任何一方或多方未按要求签字、盖章、加盖公章的质疑。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30.成交通知书</w:t>
      </w:r>
      <w:r/>
    </w:p>
    <w:p>
      <w:pPr>
        <w:ind w:left="1" w:right="2" w:firstLine="480"/>
        <w:spacing w:before="195" w:line="36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30.1成交结果确定后，采购代理机构将向成交供应商发出成交通知书。请成交供应商使用</w:t>
      </w:r>
      <w:r>
        <w:rPr>
          <w:rFonts w:hint="eastAsia" w:ascii="宋体" w:hAnsi="宋体" w:eastAsia="宋体" w:cs="宋体"/>
          <w:color w:val="auto"/>
          <w:sz w:val="24"/>
          <w:szCs w:val="24"/>
        </w:rPr>
        <w:t xml:space="preserve">CA</w:t>
      </w:r>
      <w:r>
        <w:rPr>
          <w:rFonts w:hint="eastAsia" w:ascii="宋体" w:hAnsi="宋体" w:eastAsia="宋体" w:cs="宋体"/>
          <w:color w:val="auto"/>
          <w:spacing w:val="1"/>
          <w:sz w:val="24"/>
          <w:szCs w:val="24"/>
        </w:rPr>
        <w:t xml:space="preserve">数字证书登录“苏采云系统”及时下载成交通知书。成交供应商可自行</w:t>
      </w:r>
      <w:r/>
    </w:p>
    <w:p>
      <w:pPr>
        <w:ind w:left="9"/>
        <w:spacing w:line="21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下载打印《成交通知书》，《成交通知书》将作为授予合同资格的唯一合法依据。</w:t>
      </w:r>
      <w:r/>
    </w:p>
    <w:p>
      <w:pPr>
        <w:ind w:left="5" w:right="2" w:firstLine="476"/>
        <w:spacing w:before="196" w:line="369" w:lineRule="auto"/>
        <w:widowControl w:val="off"/>
        <w:rPr>
          <w:rFonts w:ascii="宋体" w:hAnsi="宋体" w:eastAsia="宋体" w:cs="宋体"/>
          <w:color w:val="auto"/>
          <w:sz w:val="24"/>
          <w:szCs w:val="24"/>
        </w:rPr>
      </w:pPr>
      <w:r>
        <w:rPr>
          <w:rFonts w:hint="eastAsia" w:ascii="宋体" w:hAnsi="宋体" w:eastAsia="宋体" w:cs="宋体"/>
          <w:color w:val="auto"/>
          <w:spacing w:val="2"/>
          <w:sz w:val="24"/>
          <w:szCs w:val="24"/>
        </w:rPr>
        <w:t xml:space="preserve">30.2成交通知书将是合同的一个组成部分。对采购人和</w:t>
      </w:r>
      <w:r>
        <w:rPr>
          <w:rFonts w:hint="eastAsia" w:ascii="宋体" w:hAnsi="宋体" w:eastAsia="宋体" w:cs="宋体"/>
          <w:color w:val="auto"/>
          <w:spacing w:val="1"/>
          <w:sz w:val="24"/>
          <w:szCs w:val="24"/>
        </w:rPr>
        <w:t xml:space="preserve">成交供应商均具有法律效</w:t>
      </w:r>
      <w:r>
        <w:rPr>
          <w:rFonts w:hint="eastAsia" w:ascii="宋体" w:hAnsi="宋体" w:eastAsia="宋体" w:cs="宋体"/>
          <w:color w:val="auto"/>
          <w:spacing w:val="2"/>
          <w:sz w:val="24"/>
          <w:szCs w:val="24"/>
        </w:rPr>
        <w:t xml:space="preserve">力。成交通知书发出后，采购人改变成交结果的，或者成</w:t>
      </w:r>
      <w:r>
        <w:rPr>
          <w:rFonts w:hint="eastAsia" w:ascii="宋体" w:hAnsi="宋体" w:eastAsia="宋体" w:cs="宋体"/>
          <w:color w:val="auto"/>
          <w:spacing w:val="1"/>
          <w:sz w:val="24"/>
          <w:szCs w:val="24"/>
        </w:rPr>
        <w:t xml:space="preserve">交供应商放弃成交项目的，</w:t>
      </w:r>
      <w:r/>
    </w:p>
    <w:p>
      <w:pPr>
        <w:ind w:left="1"/>
        <w:spacing w:line="21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应当依法承担法律责任。</w:t>
      </w:r>
      <w:r/>
    </w:p>
    <w:p>
      <w:pPr>
        <w:pStyle w:val="927"/>
        <w:spacing w:line="340" w:lineRule="auto"/>
        <w:widowControl w:val="off"/>
        <w:rPr>
          <w:rFonts w:ascii="宋体" w:hAnsi="宋体" w:eastAsia="宋体" w:cs="宋体"/>
          <w:color w:val="auto"/>
        </w:rPr>
      </w:pPr>
      <w:r>
        <w:rPr>
          <w:rFonts w:ascii="宋体" w:hAnsi="宋体" w:eastAsia="宋体" w:cs="宋体"/>
          <w:color w:val="auto"/>
        </w:rPr>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8" w:name="bookmark17"/>
      <w:r/>
      <w:bookmarkEnd w:id="38"/>
      <w:r/>
      <w:bookmarkStart w:id="39" w:name="_Toc13743"/>
      <w:r>
        <w:rPr>
          <w:rFonts w:hint="eastAsia" w:ascii="宋体" w:hAnsi="宋体" w:eastAsia="宋体" w:cs="宋体"/>
          <w:b/>
          <w:bCs/>
          <w:color w:val="auto"/>
          <w:sz w:val="32"/>
          <w:szCs w:val="32"/>
          <w:lang w:eastAsia="zh-CN"/>
        </w:rPr>
        <w:t xml:space="preserve">七、授予合同</w:t>
      </w:r>
      <w:bookmarkEnd w:id="39"/>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31.签订合同</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w:t>
      </w:r>
      <w:r>
        <w:rPr>
          <w:rFonts w:hint="eastAsia" w:ascii="宋体" w:hAnsi="宋体" w:eastAsia="宋体" w:cs="宋体"/>
          <w:color w:val="auto"/>
          <w:spacing w:val="1"/>
          <w:sz w:val="24"/>
          <w:szCs w:val="24"/>
          <w:lang w:eastAsia="zh-CN"/>
        </w:rPr>
        <w:t xml:space="preserve">1</w:t>
      </w:r>
      <w:r>
        <w:rPr>
          <w:rFonts w:hint="eastAsia" w:ascii="宋体" w:hAnsi="宋体" w:eastAsia="宋体" w:cs="宋体"/>
          <w:color w:val="auto"/>
          <w:spacing w:val="1"/>
          <w:sz w:val="24"/>
          <w:szCs w:val="24"/>
        </w:rPr>
        <w:t xml:space="preserve">成交供应商应当在成交通知书发出之日起15日内，按照磋商文件确定的事项与采购人签订政府采购合同。</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31.2磋商文件、成交供应商的响应文件及磋商过程中有关澄清、承诺文件均应作为合同附件。</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31.3签订合同后，成交供应商不得将合同标的进行转包。未经采购人同意，成交供应商也不得采用分包形式履行合同</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否则采购人有权终止合同。转包或分包造成采购人损失的，成交供应商应承担相应赔偿责任。</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31.4本项目的非主体、非关键性工作是否允许分包按以下第</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rPr>
        <w:t xml:space="preserve">种方式确定：</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lang w:eastAsia="zh-CN"/>
        </w:rPr>
        <w:t xml:space="preserve">本项目所涉及的公路机电工程专业施工内容，经采购人同意后允许分包给相适应的施工资质和施工能力单位。</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2.不允许分包。未经采购人同意，成交供应商也不得采用分包形式履行合同</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否则采购人有权终止合同。转包或分包造成采购人损失的，成交供应商应承担相应赔偿责任。</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31.5履约保证金</w:t>
      </w:r>
      <w:r/>
    </w:p>
    <w:p>
      <w:pPr>
        <w:ind w:firstLine="484"/>
        <w:spacing w:line="500" w:lineRule="exact"/>
        <w:widowControl w:val="off"/>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 xml:space="preserve">按照以下第（</w:t>
      </w:r>
      <w:r>
        <w:rPr>
          <w:rFonts w:hint="eastAsia" w:ascii="宋体" w:hAnsi="宋体" w:eastAsia="宋体" w:cs="宋体"/>
          <w:b/>
          <w:bCs/>
          <w:color w:val="auto"/>
          <w:spacing w:val="1"/>
          <w:sz w:val="24"/>
          <w:szCs w:val="24"/>
          <w:lang w:val="en-US" w:eastAsia="zh-CN"/>
        </w:rPr>
        <w:t xml:space="preserve">1</w:t>
      </w:r>
      <w:r>
        <w:rPr>
          <w:rFonts w:hint="eastAsia" w:ascii="宋体" w:hAnsi="宋体" w:eastAsia="宋体" w:cs="宋体"/>
          <w:b/>
          <w:bCs/>
          <w:color w:val="auto"/>
          <w:spacing w:val="1"/>
          <w:sz w:val="24"/>
          <w:szCs w:val="24"/>
        </w:rPr>
        <w:t xml:space="preserve">）方式确定履约保证收取方式。</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（1）</w:t>
      </w:r>
      <w:r>
        <w:rPr>
          <w:rFonts w:hint="eastAsia" w:ascii="宋体" w:hAnsi="宋体" w:eastAsia="宋体" w:cs="宋体"/>
          <w:color w:val="auto"/>
          <w:spacing w:val="1"/>
          <w:sz w:val="24"/>
          <w:szCs w:val="24"/>
        </w:rPr>
        <w:t xml:space="preserve">不收取履约保证金。</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（2）</w:t>
      </w:r>
      <w:r>
        <w:rPr>
          <w:rFonts w:hint="eastAsia" w:ascii="宋体" w:hAnsi="宋体" w:eastAsia="宋体" w:cs="宋体"/>
          <w:color w:val="auto"/>
          <w:spacing w:val="1"/>
          <w:sz w:val="24"/>
          <w:szCs w:val="24"/>
        </w:rPr>
        <w:t xml:space="preserve">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rPr>
          <w:rFonts w:hint="eastAsia" w:ascii="宋体" w:hAnsi="宋体" w:eastAsia="宋体" w:cs="宋体"/>
          <w:color w:val="auto"/>
          <w:spacing w:val="1"/>
          <w:sz w:val="24"/>
          <w:szCs w:val="24"/>
          <w:lang w:eastAsia="zh-CN"/>
        </w:rPr>
        <w:t xml:space="preserve">。</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履约保证金退还的方式：以银行电汇、网上银行、数字人民币形式缴纳履约保证金的，退回至</w:t>
      </w:r>
      <w:r>
        <w:rPr>
          <w:rFonts w:hint="eastAsia" w:ascii="宋体" w:hAnsi="宋体" w:eastAsia="宋体" w:cs="宋体"/>
          <w:color w:val="auto"/>
          <w:spacing w:val="1"/>
          <w:sz w:val="24"/>
          <w:szCs w:val="24"/>
          <w:lang w:eastAsia="zh-CN"/>
        </w:rPr>
        <w:t xml:space="preserve">供应商</w:t>
      </w:r>
      <w:r>
        <w:rPr>
          <w:rFonts w:hint="eastAsia" w:ascii="宋体" w:hAnsi="宋体" w:eastAsia="宋体" w:cs="宋体"/>
          <w:color w:val="auto"/>
          <w:spacing w:val="1"/>
          <w:sz w:val="24"/>
          <w:szCs w:val="24"/>
        </w:rPr>
        <w:t xml:space="preserve">存款账户或</w:t>
      </w:r>
      <w:r>
        <w:rPr>
          <w:rFonts w:hint="eastAsia" w:ascii="宋体" w:hAnsi="宋体" w:eastAsia="宋体" w:cs="宋体"/>
          <w:color w:val="auto"/>
          <w:spacing w:val="1"/>
          <w:sz w:val="24"/>
          <w:szCs w:val="24"/>
          <w:lang w:eastAsia="zh-CN"/>
        </w:rPr>
        <w:t xml:space="preserve">供应商</w:t>
      </w:r>
      <w:r>
        <w:rPr>
          <w:rFonts w:hint="eastAsia" w:ascii="宋体" w:hAnsi="宋体" w:eastAsia="宋体" w:cs="宋体"/>
          <w:color w:val="auto"/>
          <w:spacing w:val="1"/>
          <w:sz w:val="24"/>
          <w:szCs w:val="24"/>
        </w:rPr>
        <w:t xml:space="preserve">数字人民币账户；以保函、担保、保险等形式</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缴纳履约保证金的，在保函、担保、保险约定的保证期限届满之日起自行失效；</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履约保证金退还的条件：按以下第c种方式</w:t>
      </w:r>
      <w:r>
        <w:rPr>
          <w:rFonts w:hint="eastAsia" w:ascii="宋体" w:hAnsi="宋体" w:eastAsia="宋体" w:cs="宋体"/>
          <w:color w:val="auto"/>
          <w:spacing w:val="1"/>
          <w:sz w:val="24"/>
          <w:szCs w:val="24"/>
          <w:lang w:eastAsia="zh-CN"/>
        </w:rPr>
        <w:t xml:space="preserve">执行</w:t>
      </w:r>
      <w:r>
        <w:rPr>
          <w:rFonts w:hint="eastAsia" w:ascii="宋体" w:hAnsi="宋体" w:eastAsia="宋体" w:cs="宋体"/>
          <w:color w:val="auto"/>
          <w:spacing w:val="1"/>
          <w:sz w:val="24"/>
          <w:szCs w:val="24"/>
        </w:rPr>
        <w:t xml:space="preserve">：</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a.</w:t>
      </w:r>
      <w:r>
        <w:rPr>
          <w:rFonts w:hint="eastAsia" w:ascii="宋体" w:hAnsi="宋体" w:eastAsia="宋体" w:cs="宋体"/>
          <w:color w:val="auto"/>
          <w:spacing w:val="1"/>
          <w:sz w:val="24"/>
          <w:szCs w:val="24"/>
        </w:rPr>
        <w:t xml:space="preserve">货物类项目，项目验收合格，出具验收报告及履约保证金收据申请退付；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b.</w:t>
      </w:r>
      <w:r>
        <w:rPr>
          <w:rFonts w:hint="eastAsia" w:ascii="宋体" w:hAnsi="宋体" w:eastAsia="宋体" w:cs="宋体"/>
          <w:color w:val="auto"/>
          <w:spacing w:val="1"/>
          <w:sz w:val="24"/>
          <w:szCs w:val="24"/>
        </w:rPr>
        <w:t xml:space="preserve">服务类项目，项目履约期满评价合格，出具履约评价报告及履约保证金</w:t>
      </w:r>
      <w:r>
        <w:rPr>
          <w:rFonts w:hint="eastAsia" w:ascii="宋体" w:hAnsi="宋体" w:eastAsia="宋体" w:cs="宋体"/>
          <w:color w:val="auto"/>
          <w:spacing w:val="1"/>
          <w:sz w:val="24"/>
          <w:szCs w:val="24"/>
          <w:lang w:eastAsia="zh-CN"/>
        </w:rPr>
        <w:t xml:space="preserve">凭证</w:t>
      </w:r>
      <w:r>
        <w:rPr>
          <w:rFonts w:hint="eastAsia" w:ascii="宋体" w:hAnsi="宋体" w:eastAsia="宋体" w:cs="宋体"/>
          <w:color w:val="auto"/>
          <w:spacing w:val="1"/>
          <w:sz w:val="24"/>
          <w:szCs w:val="24"/>
        </w:rPr>
        <w:t xml:space="preserve">申请退付；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c.</w:t>
      </w:r>
      <w:r>
        <w:rPr>
          <w:rFonts w:hint="eastAsia" w:ascii="宋体" w:hAnsi="宋体" w:eastAsia="宋体" w:cs="宋体"/>
          <w:color w:val="auto"/>
          <w:spacing w:val="1"/>
          <w:sz w:val="24"/>
          <w:szCs w:val="24"/>
        </w:rPr>
        <w:t xml:space="preserve">工程类项目，项目完工验收合格，出具完工证明及履约保证金收据申请退付；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履约保证金退还时间：采购单位收到供应商退付申请后5个工作日内退还；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4"/>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保险</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的通知》</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苏财购﹝2023﹞150号</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32.标的物的追加</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32.1政府采购合同履行中，采购人需追加与合同标的相同的工程、货物、服务（包含</w:t>
      </w:r>
      <w:r>
        <w:rPr>
          <w:rFonts w:hint="eastAsia" w:ascii="宋体" w:hAnsi="宋体" w:eastAsia="宋体" w:cs="宋体"/>
          <w:color w:val="auto"/>
          <w:spacing w:val="1"/>
          <w:sz w:val="24"/>
          <w:szCs w:val="24"/>
          <w:lang w:eastAsia="zh-CN"/>
        </w:rPr>
        <w:t xml:space="preserve">与</w:t>
      </w:r>
      <w:r>
        <w:rPr>
          <w:rFonts w:hint="eastAsia" w:ascii="宋体" w:hAnsi="宋体" w:eastAsia="宋体" w:cs="宋体"/>
          <w:color w:val="auto"/>
          <w:spacing w:val="1"/>
          <w:sz w:val="24"/>
          <w:szCs w:val="24"/>
        </w:rPr>
        <w:t xml:space="preserve">工程及</w:t>
      </w:r>
      <w:r>
        <w:rPr>
          <w:rFonts w:hint="eastAsia" w:ascii="宋体" w:hAnsi="宋体" w:eastAsia="宋体" w:cs="宋体"/>
          <w:color w:val="auto"/>
          <w:spacing w:val="1"/>
          <w:sz w:val="24"/>
          <w:szCs w:val="24"/>
          <w:lang w:eastAsia="zh-CN"/>
        </w:rPr>
        <w:t xml:space="preserve">工程</w:t>
      </w:r>
      <w:r>
        <w:rPr>
          <w:rFonts w:hint="eastAsia" w:ascii="宋体" w:hAnsi="宋体" w:eastAsia="宋体" w:cs="宋体"/>
          <w:color w:val="auto"/>
          <w:spacing w:val="1"/>
          <w:sz w:val="24"/>
          <w:szCs w:val="24"/>
        </w:rPr>
        <w:t xml:space="preserve">相关的货物、</w:t>
      </w:r>
      <w:r>
        <w:rPr>
          <w:rFonts w:hint="eastAsia" w:ascii="宋体" w:hAnsi="宋体" w:eastAsia="宋体" w:cs="宋体"/>
          <w:color w:val="auto"/>
          <w:spacing w:val="1"/>
          <w:sz w:val="24"/>
          <w:szCs w:val="24"/>
          <w:lang w:eastAsia="zh-CN"/>
        </w:rPr>
        <w:t xml:space="preserve">服务</w:t>
      </w:r>
      <w:r>
        <w:rPr>
          <w:rFonts w:hint="eastAsia" w:ascii="宋体" w:hAnsi="宋体" w:eastAsia="宋体" w:cs="宋体"/>
          <w:color w:val="auto"/>
          <w:spacing w:val="1"/>
          <w:sz w:val="24"/>
          <w:szCs w:val="24"/>
        </w:rPr>
        <w:t xml:space="preserve">）的，在不改变合同其他条款的前提下，可以与成交供应商协商签订补充合同，但所有补充合同的采购金额不超过原合同金额10%。</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33.政府采购履约资金扶持政策</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33.1</w:t>
      </w:r>
      <w:r>
        <w:rPr>
          <w:rFonts w:hint="eastAsia" w:ascii="宋体" w:hAnsi="宋体" w:eastAsia="宋体" w:cs="宋体"/>
          <w:bCs/>
          <w:color w:val="auto"/>
          <w:sz w:val="24"/>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34.验收及付款</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34.2采购人可以邀请参加本项目的其他供应商或者第三方机构参与验收。参与验收的供应商或者第三方机构的意见作为验收书的参考资料一并存档。</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4"/>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35.付款</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4"/>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（1）合同签订后，支付合同价款的10%作为预付款；</w:t>
      </w:r>
      <w:r/>
    </w:p>
    <w:p>
      <w:pPr>
        <w:ind w:firstLine="484"/>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（2）完成《宿迁市自然保护地勘界立标实施方案》编制后，经甲方确认付至合同价款的30%；</w:t>
      </w:r>
      <w:r/>
    </w:p>
    <w:p>
      <w:pPr>
        <w:ind w:firstLine="484"/>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（3）完成宿迁市自然保护地勘界，成果提交甲方并通过省级审查后，付至合同价款的60%；</w:t>
      </w:r>
      <w:r/>
    </w:p>
    <w:p>
      <w:pPr>
        <w:ind w:firstLine="484"/>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（4）完成宿迁市自然保护地勘界立标，立标成果提交甲方，经省级验收合格后，付至合同价款的100%。</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注：在签订合同时，供应商明确表示无需预付款或者主动要求降低预付款比例，采购人可不适用前述预付款规定。</w:t>
      </w:r>
      <w:r/>
    </w:p>
    <w:p>
      <w:pPr>
        <w:rPr>
          <w:rFonts w:ascii="宋体" w:hAnsi="宋体" w:eastAsia="宋体" w:cs="宋体"/>
          <w:color w:val="auto"/>
          <w:spacing w:val="1"/>
          <w:sz w:val="24"/>
          <w:szCs w:val="24"/>
        </w:rPr>
      </w:pPr>
      <w:r>
        <w:rPr>
          <w:rFonts w:hint="eastAsia" w:ascii="宋体" w:hAnsi="宋体" w:eastAsia="宋体" w:cs="宋体"/>
          <w:color w:val="auto"/>
          <w:spacing w:val="1"/>
          <w:sz w:val="24"/>
          <w:szCs w:val="24"/>
        </w:rPr>
        <w:br w:type="page" w:clear="all"/>
      </w:r>
      <w:r/>
    </w:p>
    <w:p>
      <w:pPr>
        <w:jc w:val="center"/>
        <w:spacing w:before="336" w:line="225" w:lineRule="auto"/>
        <w:widowControl w:val="off"/>
        <w:rPr>
          <w:rFonts w:ascii="宋体" w:hAnsi="宋体" w:eastAsia="宋体" w:cs="宋体"/>
          <w:b/>
          <w:bCs/>
          <w:color w:val="auto"/>
          <w:spacing w:val="7"/>
          <w:sz w:val="44"/>
          <w:szCs w:val="44"/>
          <w:lang w:eastAsia="zh-CN"/>
        </w:rPr>
        <w:outlineLvl w:val="0"/>
      </w:pPr>
      <w:r/>
      <w:bookmarkStart w:id="40" w:name="_Toc8697"/>
      <w:r>
        <w:rPr>
          <w:rFonts w:hint="eastAsia" w:ascii="宋体" w:hAnsi="宋体" w:eastAsia="宋体" w:cs="宋体"/>
          <w:b/>
          <w:bCs/>
          <w:color w:val="auto"/>
          <w:spacing w:val="7"/>
          <w:sz w:val="44"/>
          <w:szCs w:val="44"/>
        </w:rPr>
        <w:t xml:space="preserve">第</w:t>
      </w:r>
      <w:r>
        <w:rPr>
          <w:rFonts w:hint="eastAsia" w:ascii="宋体" w:hAnsi="宋体" w:eastAsia="宋体" w:cs="宋体"/>
          <w:b/>
          <w:bCs/>
          <w:color w:val="auto"/>
          <w:spacing w:val="7"/>
          <w:sz w:val="44"/>
          <w:szCs w:val="44"/>
          <w:lang w:eastAsia="zh-CN"/>
        </w:rPr>
        <w:t xml:space="preserve">三</w:t>
      </w:r>
      <w:r>
        <w:rPr>
          <w:rFonts w:hint="eastAsia" w:ascii="宋体" w:hAnsi="宋体" w:eastAsia="宋体" w:cs="宋体"/>
          <w:b/>
          <w:bCs/>
          <w:color w:val="auto"/>
          <w:spacing w:val="7"/>
          <w:sz w:val="44"/>
          <w:szCs w:val="44"/>
        </w:rPr>
        <w:t xml:space="preserve">章</w:t>
      </w:r>
      <w:r>
        <w:rPr>
          <w:rFonts w:hint="eastAsia" w:ascii="宋体" w:hAnsi="宋体" w:eastAsia="宋体" w:cs="宋体"/>
          <w:b/>
          <w:bCs/>
          <w:color w:val="auto"/>
          <w:spacing w:val="7"/>
          <w:sz w:val="44"/>
          <w:szCs w:val="44"/>
          <w:lang w:eastAsia="zh-CN"/>
        </w:rPr>
        <w:t xml:space="preserve">  合同文本</w:t>
      </w:r>
      <w:bookmarkEnd w:id="40"/>
      <w:r/>
      <w:r/>
    </w:p>
    <w:p>
      <w:pPr>
        <w:pStyle w:val="927"/>
        <w:spacing w:line="277" w:lineRule="auto"/>
        <w:widowControl w:val="off"/>
        <w:rPr>
          <w:rFonts w:ascii="宋体" w:hAnsi="宋体" w:eastAsia="宋体" w:cs="宋体"/>
          <w:color w:val="auto"/>
        </w:rPr>
      </w:pPr>
      <w:r>
        <w:rPr>
          <w:rFonts w:ascii="宋体" w:hAnsi="宋体" w:eastAsia="宋体" w:cs="宋体"/>
          <w:color w:val="auto"/>
        </w:rPr>
      </w:r>
      <w:r/>
    </w:p>
    <w:p>
      <w:pPr>
        <w:jc w:val="both"/>
        <w:widowControl w:val="off"/>
        <w:rPr>
          <w:rFonts w:ascii="宋体" w:hAnsi="宋体" w:eastAsia="宋体" w:cs="宋体"/>
          <w:sz w:val="28"/>
          <w:szCs w:val="28"/>
        </w:rPr>
      </w:pPr>
      <w:r>
        <w:rPr>
          <w:rFonts w:ascii="宋体" w:hAnsi="宋体" w:eastAsia="宋体" w:cs="宋体"/>
          <w:sz w:val="28"/>
          <w:szCs w:val="28"/>
        </w:rPr>
      </w:r>
      <w:r/>
    </w:p>
    <w:p>
      <w:pPr>
        <w:ind w:firstLine="562"/>
        <w:jc w:val="center"/>
        <w:spacing w:line="440" w:lineRule="exact"/>
        <w:widowControl w:val="off"/>
        <w:rPr>
          <w:rFonts w:ascii="宋体" w:hAnsi="宋体" w:eastAsia="宋体" w:cs="宋体"/>
          <w:b/>
          <w:bCs/>
          <w:sz w:val="36"/>
          <w:szCs w:val="36"/>
        </w:rPr>
      </w:pPr>
      <w:r>
        <w:rPr>
          <w:rFonts w:ascii="宋体" w:hAnsi="宋体" w:eastAsia="宋体" w:cs="宋体"/>
          <w:b/>
          <w:bCs/>
          <w:sz w:val="36"/>
          <w:szCs w:val="36"/>
        </w:rPr>
      </w:r>
      <w:r/>
    </w:p>
    <w:p>
      <w:pPr>
        <w:jc w:val="center"/>
        <w:spacing w:line="440" w:lineRule="exact"/>
        <w:widowControl w:val="off"/>
        <w:tabs>
          <w:tab w:val="left" w:pos="7980" w:leader="none"/>
        </w:tabs>
        <w:rPr>
          <w:rFonts w:ascii="宋体" w:hAnsi="宋体" w:eastAsia="宋体" w:cs="宋体"/>
          <w:b/>
          <w:bCs/>
          <w:sz w:val="40"/>
          <w:szCs w:val="40"/>
        </w:rPr>
      </w:pPr>
      <w:r>
        <w:rPr>
          <w:rFonts w:ascii="宋体" w:hAnsi="宋体" w:eastAsia="宋体" w:cs="宋体"/>
          <w:b/>
          <w:bCs/>
          <w:sz w:val="40"/>
          <w:szCs w:val="40"/>
        </w:rPr>
      </w:r>
      <w:r/>
    </w:p>
    <w:p>
      <w:pPr>
        <w:ind w:firstLine="562"/>
        <w:jc w:val="center"/>
        <w:spacing w:line="440" w:lineRule="exact"/>
        <w:widowControl w:val="off"/>
        <w:rPr>
          <w:rFonts w:ascii="宋体" w:hAnsi="宋体" w:eastAsia="宋体" w:cs="宋体"/>
          <w:b/>
          <w:bCs/>
          <w:sz w:val="36"/>
          <w:szCs w:val="36"/>
        </w:rPr>
      </w:pPr>
      <w:r>
        <w:rPr>
          <w:rFonts w:ascii="宋体" w:hAnsi="宋体" w:eastAsia="宋体" w:cs="宋体"/>
          <w:b/>
          <w:bCs/>
          <w:sz w:val="36"/>
          <w:szCs w:val="36"/>
        </w:rPr>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t xml:space="preserve">政府采购合同</w:t>
      </w:r>
      <w:r/>
    </w:p>
    <w:p>
      <w:pPr>
        <w:jc w:val="center"/>
        <w:spacing w:line="480" w:lineRule="auto"/>
        <w:widowControl/>
        <w:rPr>
          <w:rFonts w:hint="eastAsia" w:ascii="仿宋" w:hAnsi="仿宋" w:eastAsia="仿宋" w:cs="仿宋"/>
          <w:b/>
          <w:sz w:val="36"/>
          <w:szCs w:val="24"/>
        </w:rPr>
      </w:pPr>
      <w:r>
        <w:rPr>
          <w:rFonts w:hint="eastAsia" w:ascii="仿宋" w:hAnsi="仿宋" w:eastAsia="仿宋" w:cs="仿宋"/>
          <w:b/>
          <w:sz w:val="36"/>
          <w:szCs w:val="24"/>
        </w:rPr>
        <w:t xml:space="preserve">（服务类）</w:t>
      </w:r>
      <w:r/>
    </w:p>
    <w:p>
      <w:pPr>
        <w:spacing w:after="200"/>
        <w:rPr>
          <w:rFonts w:hint="eastAsia" w:ascii="仿宋" w:hAnsi="仿宋" w:eastAsia="仿宋" w:cs="仿宋"/>
          <w:b/>
          <w:sz w:val="24"/>
          <w:szCs w:val="20"/>
        </w:rPr>
      </w:pPr>
      <w:r>
        <w:rPr>
          <w:rFonts w:hint="eastAsia" w:ascii="仿宋" w:hAnsi="仿宋" w:eastAsia="仿宋" w:cs="仿宋"/>
          <w:b/>
          <w:sz w:val="24"/>
          <w:szCs w:val="20"/>
        </w:rPr>
      </w:r>
      <w:r/>
    </w:p>
    <w:p>
      <w:pPr>
        <w:pStyle w:val="947"/>
        <w:ind w:firstLine="320"/>
        <w:rPr>
          <w:rFonts w:hint="eastAsia" w:ascii="仿宋" w:hAnsi="仿宋" w:eastAsia="仿宋" w:cs="仿宋"/>
        </w:rPr>
      </w:pPr>
      <w:r>
        <w:rPr>
          <w:rFonts w:hint="eastAsia" w:ascii="仿宋" w:hAnsi="仿宋" w:eastAsia="仿宋" w:cs="仿宋"/>
        </w:rPr>
      </w:r>
      <w:r/>
    </w:p>
    <w:p>
      <w:pPr>
        <w:pStyle w:val="947"/>
        <w:ind w:firstLine="320"/>
        <w:rPr>
          <w:rFonts w:hint="eastAsia" w:ascii="仿宋" w:hAnsi="仿宋" w:eastAsia="仿宋" w:cs="仿宋"/>
        </w:rPr>
      </w:pPr>
      <w:r>
        <w:rPr>
          <w:rFonts w:hint="eastAsia" w:ascii="仿宋" w:hAnsi="仿宋" w:eastAsia="仿宋" w:cs="仿宋"/>
        </w:rPr>
      </w:r>
      <w:r/>
    </w:p>
    <w:p>
      <w:pPr>
        <w:ind w:left="1470"/>
        <w:jc w:val="left"/>
        <w:spacing w:after="200"/>
        <w:rPr>
          <w:rFonts w:hint="eastAsia" w:ascii="仿宋" w:hAnsi="仿宋" w:eastAsia="仿宋" w:cs="仿宋"/>
          <w:sz w:val="28"/>
          <w:szCs w:val="28"/>
        </w:rPr>
      </w:pPr>
      <w:r>
        <w:rPr>
          <w:rFonts w:hint="eastAsia" w:ascii="仿宋" w:hAnsi="仿宋" w:eastAsia="仿宋" w:cs="仿宋"/>
          <w:sz w:val="28"/>
          <w:szCs w:val="28"/>
        </w:rPr>
        <w:t xml:space="preserve">合同编号：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1470"/>
        <w:jc w:val="left"/>
        <w:spacing w:after="200"/>
        <w:rPr>
          <w:rFonts w:ascii="仿宋" w:hAnsi="仿宋" w:eastAsia="仿宋" w:cs="仿宋"/>
          <w:sz w:val="28"/>
          <w:szCs w:val="28"/>
          <w:u w:val="single"/>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宿迁市自然保护地勘界立标项目 </w:t>
      </w:r>
      <w:r/>
    </w:p>
    <w:p>
      <w:pPr>
        <w:ind w:left="1470"/>
        <w:jc w:val="left"/>
        <w:spacing w:after="200"/>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宿迁市自然资源和规划局</w:t>
      </w:r>
      <w:r>
        <w:rPr>
          <w:rFonts w:hint="eastAsia" w:ascii="仿宋" w:hAnsi="仿宋" w:eastAsia="仿宋" w:cs="仿宋"/>
          <w:sz w:val="28"/>
          <w:szCs w:val="28"/>
          <w:u w:val="single"/>
        </w:rPr>
        <w:t xml:space="preserve"> </w:t>
      </w:r>
      <w:r/>
    </w:p>
    <w:p>
      <w:pPr>
        <w:ind w:left="1470"/>
        <w:jc w:val="left"/>
        <w:spacing w:after="200"/>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u w:val="single"/>
        </w:rPr>
      </w:pPr>
      <w:r>
        <w:rPr>
          <w:rFonts w:hint="eastAsia" w:ascii="仿宋" w:hAnsi="仿宋" w:eastAsia="仿宋" w:cs="仿宋"/>
          <w:sz w:val="28"/>
          <w:szCs w:val="28"/>
          <w:u w:val="single"/>
        </w:rPr>
      </w:r>
      <w:r/>
    </w:p>
    <w:p>
      <w:pPr>
        <w:jc w:val="center"/>
        <w:rPr>
          <w:rFonts w:hint="eastAsia" w:ascii="仿宋" w:hAnsi="仿宋" w:eastAsia="仿宋" w:cs="仿宋"/>
          <w:sz w:val="28"/>
          <w:szCs w:val="28"/>
        </w:rPr>
      </w:pPr>
      <w:r>
        <w:rPr>
          <w:rFonts w:hint="eastAsia" w:ascii="仿宋" w:hAnsi="仿宋" w:eastAsia="仿宋" w:cs="仿宋"/>
          <w:sz w:val="28"/>
          <w:szCs w:val="28"/>
        </w:rPr>
        <w:t xml:space="preserve">签订日期：      年      月      日</w:t>
      </w:r>
      <w:r/>
    </w:p>
    <w:p>
      <w:pPr>
        <w:jc w:val="center"/>
        <w:rPr>
          <w:rFonts w:hint="eastAsia" w:ascii="仿宋" w:hAnsi="仿宋" w:eastAsia="仿宋" w:cs="仿宋"/>
          <w:sz w:val="28"/>
          <w:szCs w:val="28"/>
        </w:rPr>
      </w:pPr>
      <w:r>
        <w:rPr>
          <w:rFonts w:hint="eastAsia" w:ascii="仿宋" w:hAnsi="仿宋" w:eastAsia="仿宋" w:cs="仿宋"/>
          <w:sz w:val="28"/>
          <w:szCs w:val="28"/>
        </w:rPr>
        <w:br w:type="page" w:clear="all"/>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项目名称：宿迁市自然保护地勘界立标项目</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u w:val="single"/>
        </w:rPr>
        <w:t xml:space="preserve">宿迁市自然资源和规划局</w:t>
      </w:r>
      <w:r/>
    </w:p>
    <w:p>
      <w:pPr>
        <w:spacing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乙方：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480"/>
        <w:spacing w:line="500" w:lineRule="exact"/>
        <w:rPr>
          <w:rFonts w:hint="eastAsia" w:ascii="仿宋" w:hAnsi="仿宋" w:eastAsia="仿宋" w:cs="仿宋"/>
          <w:b/>
          <w:sz w:val="24"/>
          <w:szCs w:val="24"/>
        </w:rPr>
      </w:pPr>
      <w:r>
        <w:rPr>
          <w:rFonts w:hint="eastAsia" w:ascii="仿宋" w:hAnsi="仿宋" w:eastAsia="仿宋" w:cs="仿宋"/>
          <w:sz w:val="24"/>
          <w:szCs w:val="24"/>
        </w:rPr>
        <w:t xml:space="preserve">甲、乙双方</w:t>
      </w:r>
      <w:r>
        <w:rPr>
          <w:rFonts w:hint="eastAsia" w:ascii="仿宋" w:hAnsi="仿宋" w:eastAsia="仿宋" w:cs="仿宋"/>
          <w:sz w:val="24"/>
          <w:szCs w:val="24"/>
          <w:lang w:eastAsia="zh-CN"/>
        </w:rPr>
        <w:t xml:space="preserve">根据</w:t>
      </w:r>
      <w:r>
        <w:rPr>
          <w:rFonts w:hint="eastAsia" w:ascii="仿宋" w:hAnsi="仿宋" w:eastAsia="仿宋" w:cs="仿宋"/>
          <w:sz w:val="24"/>
          <w:szCs w:val="24"/>
        </w:rPr>
        <w:t xml:space="preserve">《中华人民共和国民法典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中华人民共和国测绘法》和有关法律法规，</w:t>
      </w:r>
      <w:r>
        <w:rPr>
          <w:rFonts w:hint="eastAsia" w:ascii="仿宋" w:hAnsi="仿宋" w:eastAsia="仿宋" w:cs="仿宋"/>
          <w:sz w:val="24"/>
          <w:szCs w:val="24"/>
          <w:lang w:eastAsia="zh-CN"/>
        </w:rPr>
        <w:t xml:space="preserve">以及</w:t>
      </w:r>
      <w:r>
        <w:rPr>
          <w:rFonts w:hint="eastAsia" w:ascii="仿宋" w:hAnsi="仿宋" w:eastAsia="仿宋" w:cs="仿宋"/>
          <w:sz w:val="24"/>
          <w:szCs w:val="24"/>
          <w:u w:val="single"/>
        </w:rPr>
        <w:t xml:space="preserve">宿迁市自然保护地勘界立标项目</w:t>
      </w:r>
      <w:r>
        <w:rPr>
          <w:rFonts w:hint="eastAsia" w:ascii="仿宋" w:hAnsi="仿宋" w:eastAsia="仿宋" w:cs="仿宋"/>
          <w:sz w:val="24"/>
          <w:szCs w:val="24"/>
          <w:lang w:eastAsia="zh-CN"/>
        </w:rPr>
        <w:t xml:space="preserve">竞争性磋商</w:t>
      </w:r>
      <w:r>
        <w:rPr>
          <w:rFonts w:hint="eastAsia" w:ascii="仿宋" w:hAnsi="仿宋" w:eastAsia="仿宋" w:cs="仿宋"/>
          <w:sz w:val="24"/>
          <w:szCs w:val="24"/>
        </w:rPr>
        <w:t xml:space="preserve">的结果，签署本合同。本项目</w:t>
      </w:r>
      <w:r>
        <w:rPr>
          <w:rFonts w:hint="eastAsia" w:ascii="仿宋" w:hAnsi="仿宋" w:eastAsia="仿宋" w:cs="仿宋"/>
          <w:sz w:val="24"/>
          <w:szCs w:val="24"/>
          <w:lang w:eastAsia="zh-CN"/>
        </w:rPr>
        <w:t xml:space="preserve">竞争性磋商文件</w:t>
      </w:r>
      <w:r>
        <w:rPr>
          <w:rFonts w:hint="eastAsia" w:ascii="仿宋" w:hAnsi="仿宋" w:eastAsia="仿宋" w:cs="仿宋"/>
          <w:sz w:val="24"/>
          <w:szCs w:val="24"/>
        </w:rPr>
        <w:t xml:space="preserve">的要求和响应文件的响应条款，皆作为本合同的约定内容。</w:t>
      </w:r>
      <w:r/>
    </w:p>
    <w:p>
      <w:pPr>
        <w:ind w:firstLine="482"/>
        <w:spacing w:line="500" w:lineRule="exact"/>
        <w:rPr>
          <w:rFonts w:hint="eastAsia" w:ascii="仿宋" w:hAnsi="仿宋" w:eastAsia="仿宋" w:cs="仿宋"/>
          <w:b/>
          <w:sz w:val="24"/>
          <w:szCs w:val="24"/>
        </w:rPr>
        <w:outlineLvl w:val="1"/>
      </w:pPr>
      <w:r/>
      <w:bookmarkStart w:id="41" w:name="_Toc8717"/>
      <w:r/>
      <w:bookmarkStart w:id="42" w:name="_Toc21328"/>
      <w:r>
        <w:rPr>
          <w:rFonts w:hint="eastAsia" w:ascii="仿宋" w:hAnsi="仿宋" w:eastAsia="仿宋" w:cs="仿宋"/>
          <w:b/>
          <w:sz w:val="24"/>
          <w:szCs w:val="24"/>
        </w:rPr>
        <w:t xml:space="preserve">一、合同内容</w:t>
      </w:r>
      <w:bookmarkEnd w:id="41"/>
      <w:r/>
      <w:bookmarkEnd w:id="42"/>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1.项目名称：宿迁市自然保护地勘界立标项目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2.项目质量：合格</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3.履行时间（期限）：自合同</w:t>
      </w:r>
      <w:r>
        <w:rPr>
          <w:rFonts w:hint="eastAsia" w:ascii="仿宋" w:hAnsi="仿宋" w:eastAsia="仿宋" w:cs="仿宋"/>
          <w:sz w:val="24"/>
          <w:szCs w:val="24"/>
          <w:highlight w:val="none"/>
          <w:lang w:eastAsia="zh-CN"/>
        </w:rPr>
        <w:t xml:space="preserve">签订之日起</w:t>
      </w:r>
      <w:r>
        <w:rPr>
          <w:rFonts w:hint="eastAsia" w:ascii="仿宋" w:hAnsi="仿宋" w:eastAsia="仿宋" w:cs="仿宋"/>
          <w:sz w:val="24"/>
          <w:szCs w:val="24"/>
          <w:highlight w:val="none"/>
        </w:rPr>
        <w:t xml:space="preserve">完成采购人要求及项目需求中的所有内容并通过采购人验收为止。</w:t>
      </w:r>
      <w:r/>
    </w:p>
    <w:p>
      <w:pPr>
        <w:ind w:firstLine="480"/>
        <w:spacing w:line="500" w:lineRule="exact"/>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.履行地点：宿迁市，具体由甲方指定</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.履行方式：乙方应当在甲方确定的时间、指定的地点履行合同。</w:t>
      </w:r>
      <w:r/>
    </w:p>
    <w:p>
      <w:pPr>
        <w:ind w:firstLine="482"/>
        <w:spacing w:line="500" w:lineRule="exact"/>
        <w:tabs>
          <w:tab w:val="left" w:pos="5460" w:leader="none"/>
        </w:tabs>
        <w:rPr>
          <w:rFonts w:hint="eastAsia" w:ascii="仿宋" w:hAnsi="仿宋" w:eastAsia="仿宋" w:cs="仿宋"/>
          <w:b/>
          <w:sz w:val="24"/>
          <w:szCs w:val="24"/>
        </w:rPr>
        <w:outlineLvl w:val="1"/>
      </w:pPr>
      <w:r/>
      <w:bookmarkStart w:id="43" w:name="_Toc14810"/>
      <w:r/>
      <w:bookmarkStart w:id="44" w:name="_Toc23337"/>
      <w:r>
        <w:rPr>
          <w:rFonts w:hint="eastAsia" w:ascii="仿宋" w:hAnsi="仿宋" w:eastAsia="仿宋" w:cs="仿宋"/>
          <w:b/>
          <w:sz w:val="24"/>
          <w:szCs w:val="24"/>
        </w:rPr>
        <w:t xml:space="preserve">二、合同金额</w:t>
      </w:r>
      <w:bookmarkEnd w:id="43"/>
      <w:r/>
      <w:bookmarkEnd w:id="44"/>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本合同含税价为</w:t>
      </w:r>
      <w:r>
        <w:rPr>
          <w:rFonts w:hint="eastAsia" w:ascii="仿宋" w:hAnsi="仿宋" w:eastAsia="仿宋" w:cs="仿宋"/>
          <w:sz w:val="24"/>
          <w:szCs w:val="24"/>
          <w:lang w:eastAsia="zh-CN"/>
        </w:rPr>
        <w:t xml:space="preserve">（大写）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w:t>
      </w:r>
      <w:r>
        <w:rPr>
          <w:rFonts w:hint="default" w:ascii="Arial" w:hAnsi="Arial" w:eastAsia="仿宋" w:cs="Arial"/>
          <w:sz w:val="24"/>
          <w:szCs w:val="24"/>
          <w:lang w:val="en-US"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合同价包括但不限于完成本项目服务工作期间所需的人工、材料、使用软件费、机械、车辆、会务、论证、评审、验收、差旅、保险、利润、税金、通讯、办公设备、政策性文件规定及合同包含的所有风险、责任等各项应有费用。采购人不再支付报价以外的任何费用。</w:t>
      </w:r>
      <w:r/>
    </w:p>
    <w:p>
      <w:pPr>
        <w:ind w:firstLine="482"/>
        <w:spacing w:line="500" w:lineRule="exact"/>
        <w:rPr>
          <w:rFonts w:hint="eastAsia" w:ascii="仿宋" w:hAnsi="仿宋" w:eastAsia="仿宋" w:cs="仿宋"/>
          <w:b/>
          <w:sz w:val="24"/>
          <w:szCs w:val="24"/>
        </w:rPr>
        <w:outlineLvl w:val="1"/>
      </w:pPr>
      <w:r/>
      <w:bookmarkStart w:id="45" w:name="_Toc11698"/>
      <w:r/>
      <w:bookmarkStart w:id="46" w:name="_Toc16127"/>
      <w:r>
        <w:rPr>
          <w:rFonts w:hint="eastAsia" w:ascii="仿宋" w:hAnsi="仿宋" w:eastAsia="仿宋" w:cs="仿宋"/>
          <w:b/>
          <w:sz w:val="24"/>
          <w:szCs w:val="24"/>
        </w:rPr>
        <w:t xml:space="preserve">三、服务内容、</w:t>
      </w:r>
      <w:bookmarkEnd w:id="45"/>
      <w:r>
        <w:rPr>
          <w:rFonts w:hint="eastAsia" w:ascii="仿宋" w:hAnsi="仿宋" w:eastAsia="仿宋" w:cs="仿宋"/>
          <w:b/>
          <w:sz w:val="24"/>
        </w:rPr>
        <w:t xml:space="preserve">工期安排与项目成果</w:t>
      </w:r>
      <w:r>
        <w:rPr>
          <w:rFonts w:hint="eastAsia" w:ascii="仿宋" w:hAnsi="仿宋" w:eastAsia="仿宋" w:cs="仿宋"/>
          <w:b/>
          <w:sz w:val="24"/>
          <w:szCs w:val="24"/>
        </w:rPr>
        <w:t xml:space="preserve">及技术要求</w:t>
      </w:r>
      <w:bookmarkEnd w:id="46"/>
      <w:r/>
      <w:r/>
    </w:p>
    <w:p>
      <w:pPr>
        <w:pStyle w:val="1149"/>
        <w:ind w:firstLine="482"/>
        <w:spacing w:line="500" w:lineRule="exact"/>
        <w:rPr>
          <w:rFonts w:hint="default" w:ascii="仿宋" w:hAnsi="仿宋" w:eastAsia="仿宋" w:cs="仿宋"/>
          <w:b/>
          <w:sz w:val="24"/>
          <w:lang w:val="en-US" w:eastAsia="zh-CN"/>
        </w:rPr>
      </w:pPr>
      <w:r/>
      <w:bookmarkStart w:id="47" w:name="_Toc22124"/>
      <w:r>
        <w:rPr>
          <w:rFonts w:hint="eastAsia" w:ascii="仿宋" w:hAnsi="仿宋" w:eastAsia="仿宋" w:cs="仿宋"/>
          <w:b/>
          <w:sz w:val="24"/>
          <w:lang w:val="en-US" w:eastAsia="zh-CN"/>
        </w:rPr>
        <w:t xml:space="preserve">1.服务内容</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1.1</w:t>
      </w:r>
      <w:r>
        <w:rPr>
          <w:rFonts w:hint="eastAsia" w:ascii="仿宋" w:hAnsi="仿宋" w:eastAsia="仿宋" w:cs="仿宋"/>
          <w:b w:val="0"/>
          <w:bCs/>
          <w:sz w:val="24"/>
        </w:rPr>
        <w:t xml:space="preserve">工作准备与方案编制</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收集、整理宿迁市自然保护地各类规划图件、批复文件资料，接受省级下发勘界立标基础资料以及相关技术培训，编制《宿迁市自然保护地勘界立标实施方案》，为该项目提供规范、可行、准确的技术实施依据。</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w:t>
      </w:r>
      <w:r>
        <w:rPr>
          <w:rFonts w:hint="eastAsia" w:ascii="仿宋" w:hAnsi="仿宋" w:eastAsia="仿宋" w:cs="仿宋"/>
          <w:b w:val="0"/>
          <w:bCs/>
          <w:sz w:val="24"/>
        </w:rPr>
        <w:t xml:space="preserve">.2勘界</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勘界阶段，按照《自然保护地勘界立标规范》（GB T 39740-2020）及江苏省林业局下发的勘界立标技术要求，完成以下几点主要任务。</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1</w:t>
      </w:r>
      <w:r>
        <w:rPr>
          <w:rFonts w:hint="eastAsia" w:ascii="仿宋" w:hAnsi="仿宋" w:eastAsia="仿宋" w:cs="仿宋"/>
          <w:b w:val="0"/>
          <w:bCs/>
          <w:sz w:val="24"/>
          <w:lang w:val="en-US" w:eastAsia="zh-CN"/>
        </w:rPr>
        <w:t xml:space="preserve">.2.1</w:t>
      </w:r>
      <w:r>
        <w:rPr>
          <w:rFonts w:hint="eastAsia" w:ascii="仿宋" w:hAnsi="仿宋" w:eastAsia="仿宋" w:cs="仿宋"/>
          <w:b w:val="0"/>
          <w:bCs/>
          <w:sz w:val="24"/>
        </w:rPr>
        <w:t xml:space="preserve">边界点和定标点预设、踏勘和编号，依据各类基础资料，开展边界点和定标点预设、踏勘和编号，相关技术要求需按国家林草局与江苏省林业局最新文件要求执行。边界点和定标点预设、踏勘和编号过程中，应按照《自然保护区等自然保护地勘界立标工作规范》（办护字〔2019〕129号）要求做好边界技术修正工作，并充分与现场实际情况、相关调查监测成果、相关规划做好衔接。</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1.2.2</w:t>
      </w:r>
      <w:r>
        <w:rPr>
          <w:rFonts w:hint="eastAsia" w:ascii="仿宋" w:hAnsi="仿宋" w:eastAsia="仿宋" w:cs="仿宋"/>
          <w:b w:val="0"/>
          <w:bCs/>
          <w:sz w:val="24"/>
        </w:rPr>
        <w:t xml:space="preserve">定标点测量和登记，通过实测或图上量测方式获取定标点坐标和高程，填写定标点登记表。</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1.2.3</w:t>
      </w:r>
      <w:r>
        <w:rPr>
          <w:rFonts w:hint="eastAsia" w:ascii="仿宋" w:hAnsi="仿宋" w:eastAsia="仿宋" w:cs="仿宋"/>
          <w:b w:val="0"/>
          <w:bCs/>
          <w:sz w:val="24"/>
        </w:rPr>
        <w:t xml:space="preserve">边界点和定标点成果检查，按照《测绘成果质量检查与验收》（GB/T 24356-2023）规定，组织对边界点和定标点成果进行100%自查；两级检查全部合格后，接受省林业局组织的质量审查。</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1.2.4</w:t>
      </w:r>
      <w:r>
        <w:rPr>
          <w:rFonts w:hint="eastAsia" w:ascii="仿宋" w:hAnsi="仿宋" w:eastAsia="仿宋" w:cs="仿宋"/>
          <w:b w:val="0"/>
          <w:bCs/>
          <w:sz w:val="24"/>
        </w:rPr>
        <w:t xml:space="preserve">边界地形图更新和边界线标绘，将已测定的边界线、定标点标绘在边界地形图上，当边界线附近的地形要素发生变化影响到边界线走向的确定和表示时，按要求更新地形图。</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1.2.5</w:t>
      </w:r>
      <w:r>
        <w:rPr>
          <w:rFonts w:hint="eastAsia" w:ascii="仿宋" w:hAnsi="仿宋" w:eastAsia="仿宋" w:cs="仿宋"/>
          <w:b w:val="0"/>
          <w:bCs/>
          <w:sz w:val="24"/>
        </w:rPr>
        <w:t xml:space="preserve">勘界成果制作，按照相关技术要求，形成勘界成果，接受省林业局组织的质量审查。</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1.2.6</w:t>
      </w:r>
      <w:r>
        <w:rPr>
          <w:rFonts w:hint="eastAsia" w:ascii="仿宋" w:hAnsi="仿宋" w:eastAsia="仿宋" w:cs="仿宋"/>
          <w:b w:val="0"/>
          <w:bCs/>
          <w:sz w:val="24"/>
        </w:rPr>
        <w:t xml:space="preserve">边界地形图、勘界成果检查与成果报送，按照《测绘成果质量检查与验收》（GB/T 24356-2023）规定，完成两级检查并组织编写检查报告，应甲方需要配合开展勘界成果论证、验收、公示与上报等相关工作。</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w:t>
      </w:r>
      <w:r>
        <w:rPr>
          <w:rFonts w:hint="eastAsia" w:ascii="仿宋" w:hAnsi="仿宋" w:eastAsia="仿宋" w:cs="仿宋"/>
          <w:b w:val="0"/>
          <w:bCs/>
          <w:sz w:val="24"/>
        </w:rPr>
        <w:t xml:space="preserve">.3立标</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立标阶段，按照《自然保护地勘界立标规范》（GB T 39740-2020）及江苏省林业局下发的勘界立标技术要求，完成以下几点主要任务。</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1.3.1</w:t>
      </w:r>
      <w:r>
        <w:rPr>
          <w:rFonts w:hint="eastAsia" w:ascii="仿宋" w:hAnsi="仿宋" w:eastAsia="仿宋" w:cs="仿宋"/>
          <w:b w:val="0"/>
          <w:bCs/>
          <w:sz w:val="24"/>
        </w:rPr>
        <w:t xml:space="preserve">外业立标与测量</w:t>
      </w:r>
      <w:r>
        <w:rPr>
          <w:rFonts w:hint="eastAsia" w:ascii="仿宋" w:hAnsi="仿宋" w:eastAsia="仿宋" w:cs="仿宋"/>
          <w:b w:val="0"/>
          <w:bCs/>
          <w:sz w:val="24"/>
          <w:lang w:eastAsia="zh-CN"/>
        </w:rPr>
        <w:t xml:space="preserve">，根</w:t>
      </w:r>
      <w:r>
        <w:rPr>
          <w:rFonts w:hint="eastAsia" w:ascii="仿宋" w:hAnsi="仿宋" w:eastAsia="仿宋" w:cs="仿宋"/>
          <w:b w:val="0"/>
          <w:bCs/>
          <w:sz w:val="24"/>
        </w:rPr>
        <w:t xml:space="preserve">据确定的定标点类型、数量和编号，按照标识规格和设计要求，将标识预制成型并完成埋设与外业测量，可根据实际情况定制特殊地段的标识。</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1.3.2</w:t>
      </w:r>
      <w:r>
        <w:rPr>
          <w:rFonts w:hint="eastAsia" w:ascii="仿宋" w:hAnsi="仿宋" w:eastAsia="仿宋" w:cs="仿宋"/>
          <w:b w:val="0"/>
          <w:bCs/>
          <w:sz w:val="24"/>
        </w:rPr>
        <w:t xml:space="preserve">立标成果检查，立标工作结束后，按照《数字测绘成果质量检查与验收》（GB/T 18316-2008）要求，完成立标成果两级检查，接受省林业局组织的质量审查。</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1</w:t>
      </w:r>
      <w:r>
        <w:rPr>
          <w:rFonts w:hint="eastAsia" w:ascii="仿宋" w:hAnsi="仿宋" w:eastAsia="仿宋" w:cs="仿宋"/>
          <w:b w:val="0"/>
          <w:bCs/>
          <w:sz w:val="24"/>
        </w:rPr>
        <w:t xml:space="preserve">.4成果集成与验收</w:t>
      </w:r>
      <w:r/>
    </w:p>
    <w:p>
      <w:pPr>
        <w:pStyle w:val="1149"/>
        <w:ind w:firstLine="480"/>
        <w:spacing w:line="500" w:lineRule="exact"/>
        <w:rPr>
          <w:rFonts w:hint="eastAsia" w:ascii="仿宋" w:hAnsi="仿宋" w:eastAsia="仿宋" w:cs="仿宋"/>
          <w:b/>
          <w:sz w:val="24"/>
        </w:rPr>
      </w:pPr>
      <w:r>
        <w:rPr>
          <w:rFonts w:hint="eastAsia" w:ascii="仿宋" w:hAnsi="仿宋" w:eastAsia="仿宋" w:cs="仿宋"/>
          <w:b w:val="0"/>
          <w:bCs/>
          <w:sz w:val="24"/>
        </w:rPr>
        <w:t xml:space="preserve">宿迁市自然保护地勘界立标成果分为文档成果、专题图成果、数据库成果三类成果。形成成果后，接受甲方组织的验收。</w:t>
      </w:r>
      <w:r/>
    </w:p>
    <w:p>
      <w:pPr>
        <w:pStyle w:val="1149"/>
        <w:ind w:firstLine="482"/>
        <w:spacing w:line="500" w:lineRule="exact"/>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工期安排与项目成果</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2</w:t>
      </w:r>
      <w:r>
        <w:rPr>
          <w:rFonts w:hint="eastAsia" w:ascii="仿宋" w:hAnsi="仿宋" w:eastAsia="仿宋" w:cs="仿宋"/>
          <w:b w:val="0"/>
          <w:bCs/>
          <w:sz w:val="24"/>
        </w:rPr>
        <w:t xml:space="preserve">.1工期安排</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2.1.1</w:t>
      </w:r>
      <w:r>
        <w:rPr>
          <w:rFonts w:hint="eastAsia" w:ascii="仿宋" w:hAnsi="仿宋" w:eastAsia="仿宋" w:cs="仿宋"/>
          <w:b w:val="0"/>
          <w:bCs/>
          <w:sz w:val="24"/>
        </w:rPr>
        <w:t xml:space="preserve">江苏省自然保护地勘界立标工作全面启动后，1个月内完成《宿迁市自然保护地勘界立标实施方案》编制；</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2.1.2</w:t>
      </w:r>
      <w:r>
        <w:rPr>
          <w:rFonts w:hint="eastAsia" w:ascii="仿宋" w:hAnsi="仿宋" w:eastAsia="仿宋" w:cs="仿宋"/>
          <w:b w:val="0"/>
          <w:bCs/>
          <w:sz w:val="24"/>
        </w:rPr>
        <w:t xml:space="preserve">宿迁市自然保护地勘界工作启动后，6个月内形成勘界成果，提交甲方并配合开展论证、验收、公示与上报工作；</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2.1.3</w:t>
      </w:r>
      <w:r>
        <w:rPr>
          <w:rFonts w:hint="eastAsia" w:ascii="仿宋" w:hAnsi="仿宋" w:eastAsia="仿宋" w:cs="仿宋"/>
          <w:b w:val="0"/>
          <w:bCs/>
          <w:sz w:val="24"/>
        </w:rPr>
        <w:t xml:space="preserve">宿迁市自然保护地勘界立标工作启动后，6个月内形成立标成果，提交甲方并配合开展验收工作。</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2.1.4</w:t>
      </w:r>
      <w:r>
        <w:rPr>
          <w:rFonts w:hint="eastAsia" w:ascii="仿宋" w:hAnsi="仿宋" w:eastAsia="仿宋" w:cs="仿宋"/>
          <w:b w:val="0"/>
          <w:bCs/>
          <w:sz w:val="24"/>
        </w:rPr>
        <w:t xml:space="preserve">具体工期安排可根据自然保护地整合优化工作进程以及国家、省文件要求进行相应调整。</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lang w:val="en-US" w:eastAsia="zh-CN"/>
        </w:rPr>
        <w:t xml:space="preserve">2</w:t>
      </w:r>
      <w:r>
        <w:rPr>
          <w:rFonts w:hint="eastAsia" w:ascii="仿宋" w:hAnsi="仿宋" w:eastAsia="仿宋" w:cs="仿宋"/>
          <w:b w:val="0"/>
          <w:bCs/>
          <w:sz w:val="24"/>
        </w:rPr>
        <w:t xml:space="preserve">.2项目成果</w:t>
      </w:r>
      <w:r/>
    </w:p>
    <w:p>
      <w:pPr>
        <w:pStyle w:val="1149"/>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按照《自然保护地勘界立标规范》（GB T 39740-2020）及江苏省林业局下发的勘界立标技术要求，形成文档成果、专题图成果、数据库成果等三类成果。最终成果以国家林草局、省林业局要求为准。</w:t>
      </w:r>
      <w:r/>
    </w:p>
    <w:p>
      <w:pPr>
        <w:pStyle w:val="1149"/>
        <w:ind w:firstLine="482"/>
        <w:spacing w:line="500" w:lineRule="exact"/>
        <w:rPr>
          <w:rFonts w:hint="eastAsia" w:ascii="仿宋" w:hAnsi="仿宋" w:eastAsia="仿宋" w:cs="仿宋"/>
          <w:b/>
          <w:sz w:val="24"/>
        </w:rPr>
      </w:pPr>
      <w:r>
        <w:rPr>
          <w:rFonts w:hint="eastAsia" w:ascii="仿宋" w:hAnsi="仿宋" w:eastAsia="仿宋" w:cs="仿宋"/>
          <w:b/>
          <w:sz w:val="24"/>
        </w:rPr>
        <w:t xml:space="preserve">3.技术要求</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（一）国家标准</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1.GB/T 39740-2020 自然保护地勘界立标规范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2.GB/T 45071-2024 自然保护地分类分级</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3.GB/T 45072-2024 自然保护地名词术语</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4.GB/T 35822-2018 自然保护区功能区划技术规程</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5.GB/T 14529-1993 自然保护区类型与级别划分原则</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6.GB/T 18005-1999 中国森林公园风景资源质量等级评定</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7.GB/T 20399-2006 自然保护区总体规划技术规程</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8.GB/T 50298-2018 风景名胜区总体规划标准</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9.GB/T 51046-2014 国家森林公园设计规范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10.GB/T 18314-2009 全球定位系统</w:t>
      </w:r>
      <w:r>
        <w:rPr>
          <w:rFonts w:hint="eastAsia" w:ascii="仿宋" w:hAnsi="仿宋" w:eastAsia="仿宋" w:cs="仿宋"/>
          <w:bCs/>
          <w:sz w:val="24"/>
          <w:lang w:eastAsia="zh-CN"/>
        </w:rPr>
        <w:t xml:space="preserve">（</w:t>
      </w:r>
      <w:r>
        <w:rPr>
          <w:rFonts w:hint="eastAsia" w:ascii="仿宋" w:hAnsi="仿宋" w:eastAsia="仿宋" w:cs="仿宋"/>
          <w:bCs/>
          <w:sz w:val="24"/>
        </w:rPr>
        <w:t xml:space="preserve">GPS</w:t>
      </w:r>
      <w:r>
        <w:rPr>
          <w:rFonts w:hint="eastAsia" w:ascii="仿宋" w:hAnsi="仿宋" w:eastAsia="仿宋" w:cs="仿宋"/>
          <w:bCs/>
          <w:sz w:val="24"/>
          <w:lang w:eastAsia="zh-CN"/>
        </w:rPr>
        <w:t xml:space="preserve">）</w:t>
      </w:r>
      <w:r>
        <w:rPr>
          <w:rFonts w:hint="eastAsia" w:ascii="仿宋" w:hAnsi="仿宋" w:eastAsia="仿宋" w:cs="仿宋"/>
          <w:bCs/>
          <w:sz w:val="24"/>
        </w:rPr>
        <w:t xml:space="preserve">测量规范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11.GB/T 20257.1-2017 国家基本比例尺地图图式第1部分</w:t>
      </w:r>
      <w:r>
        <w:rPr>
          <w:rFonts w:hint="eastAsia" w:ascii="仿宋" w:hAnsi="仿宋" w:eastAsia="仿宋" w:cs="仿宋"/>
          <w:bCs/>
          <w:sz w:val="24"/>
          <w:lang w:eastAsia="zh-CN"/>
        </w:rPr>
        <w:t xml:space="preserve">：</w:t>
      </w:r>
      <w:r>
        <w:rPr>
          <w:rFonts w:hint="eastAsia" w:ascii="仿宋" w:hAnsi="仿宋" w:eastAsia="仿宋" w:cs="仿宋"/>
          <w:bCs/>
          <w:sz w:val="24"/>
        </w:rPr>
        <w:t xml:space="preserve">1:5001:10001:2000地形图图式</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12.GB/T 19710.1-2023地理信息元数据第1部分</w:t>
      </w:r>
      <w:r>
        <w:rPr>
          <w:rFonts w:hint="eastAsia" w:ascii="仿宋" w:hAnsi="仿宋" w:eastAsia="仿宋" w:cs="仿宋"/>
          <w:bCs/>
          <w:sz w:val="24"/>
          <w:lang w:eastAsia="zh-CN"/>
        </w:rPr>
        <w:t xml:space="preserve">：</w:t>
      </w:r>
      <w:r>
        <w:rPr>
          <w:rFonts w:hint="eastAsia" w:ascii="仿宋" w:hAnsi="仿宋" w:eastAsia="仿宋" w:cs="仿宋"/>
          <w:bCs/>
          <w:sz w:val="24"/>
        </w:rPr>
        <w:t xml:space="preserve">基础；</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13.GB/T 13923-2022基础地理信息要素分类与代码</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14.GB/T24356-2023 测绘成果质量检查与验收。</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15.GB/T 18316-2008 数字测绘成果质量检查与验收；</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（二）行业规范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1.CJJ/T 121-2008 风景名胜区分类标准</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2.LY/T 3190-2020 国家公园勘界立标规范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3.LY/T1953-2011 自然保护区设施标识规范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4.LY/T 2005-2012 国家级森林公园总体规划规范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5.CH/T 2009-2010 全球定位系统实时动态测量</w:t>
      </w:r>
      <w:r>
        <w:rPr>
          <w:rFonts w:hint="eastAsia" w:ascii="仿宋" w:hAnsi="仿宋" w:eastAsia="仿宋" w:cs="仿宋"/>
          <w:bCs/>
          <w:sz w:val="24"/>
          <w:lang w:eastAsia="zh-CN"/>
        </w:rPr>
        <w:t xml:space="preserve">（</w:t>
      </w:r>
      <w:r>
        <w:rPr>
          <w:rFonts w:hint="eastAsia" w:ascii="仿宋" w:hAnsi="仿宋" w:eastAsia="仿宋" w:cs="仿宋"/>
          <w:bCs/>
          <w:sz w:val="24"/>
        </w:rPr>
        <w:t xml:space="preserve">RTK</w:t>
      </w:r>
      <w:r>
        <w:rPr>
          <w:rFonts w:hint="eastAsia" w:ascii="仿宋" w:hAnsi="仿宋" w:eastAsia="仿宋" w:cs="仿宋"/>
          <w:bCs/>
          <w:sz w:val="24"/>
          <w:lang w:eastAsia="zh-CN"/>
        </w:rPr>
        <w:t xml:space="preserve">）</w:t>
      </w:r>
      <w:r>
        <w:rPr>
          <w:rFonts w:hint="eastAsia" w:ascii="仿宋" w:hAnsi="仿宋" w:eastAsia="仿宋" w:cs="仿宋"/>
          <w:bCs/>
          <w:sz w:val="24"/>
        </w:rPr>
        <w:t xml:space="preserve">技术规范</w:t>
      </w:r>
      <w:r/>
    </w:p>
    <w:p>
      <w:pPr>
        <w:pStyle w:val="1149"/>
        <w:ind w:firstLine="480"/>
        <w:spacing w:line="500" w:lineRule="exact"/>
        <w:rPr>
          <w:rFonts w:hint="eastAsia" w:ascii="仿宋" w:hAnsi="仿宋" w:eastAsia="仿宋" w:cs="仿宋"/>
          <w:bCs/>
          <w:sz w:val="24"/>
        </w:rPr>
      </w:pPr>
      <w:r>
        <w:rPr>
          <w:rFonts w:hint="eastAsia" w:ascii="仿宋" w:hAnsi="仿宋" w:eastAsia="仿宋" w:cs="仿宋"/>
          <w:bCs/>
          <w:sz w:val="24"/>
        </w:rPr>
        <w:t xml:space="preserve">6.CH/T 9016-2012 三维地理信息模型生产规范；</w:t>
      </w:r>
      <w:r/>
    </w:p>
    <w:p>
      <w:pPr>
        <w:pStyle w:val="1149"/>
        <w:ind w:firstLine="480"/>
        <w:spacing w:line="500" w:lineRule="exact"/>
        <w:rPr>
          <w:rStyle w:val="1136"/>
          <w:rFonts w:hint="eastAsia" w:ascii="仿宋" w:hAnsi="仿宋" w:eastAsia="仿宋" w:cs="仿宋"/>
          <w:bCs/>
          <w:sz w:val="24"/>
          <w:szCs w:val="24"/>
        </w:rPr>
      </w:pPr>
      <w:r>
        <w:rPr>
          <w:rFonts w:hint="eastAsia" w:ascii="仿宋" w:hAnsi="仿宋" w:eastAsia="仿宋" w:cs="仿宋"/>
          <w:bCs/>
          <w:sz w:val="24"/>
        </w:rPr>
        <w:t xml:space="preserve">注：如国家或行业部门有新的依据出台，则以新依据为准。</w:t>
      </w:r>
      <w:r/>
    </w:p>
    <w:p>
      <w:pPr>
        <w:ind w:firstLine="482"/>
        <w:spacing w:line="500" w:lineRule="exact"/>
        <w:rPr>
          <w:rFonts w:hint="eastAsia" w:ascii="仿宋" w:hAnsi="仿宋" w:eastAsia="仿宋" w:cs="仿宋"/>
          <w:b/>
          <w:sz w:val="24"/>
          <w:szCs w:val="24"/>
        </w:rPr>
        <w:outlineLvl w:val="1"/>
      </w:pPr>
      <w:r/>
      <w:bookmarkStart w:id="48" w:name="_Toc19449"/>
      <w:r>
        <w:rPr>
          <w:rFonts w:hint="eastAsia" w:ascii="仿宋" w:hAnsi="仿宋" w:eastAsia="仿宋" w:cs="仿宋"/>
          <w:b/>
          <w:sz w:val="24"/>
          <w:szCs w:val="24"/>
        </w:rPr>
        <w:t xml:space="preserve">四、技术资料</w:t>
      </w:r>
      <w:bookmarkEnd w:id="47"/>
      <w:r/>
      <w:bookmarkEnd w:id="48"/>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1.乙方应按</w:t>
      </w:r>
      <w:r>
        <w:rPr>
          <w:rFonts w:hint="eastAsia" w:ascii="仿宋" w:hAnsi="仿宋" w:eastAsia="仿宋" w:cs="仿宋"/>
          <w:sz w:val="24"/>
          <w:szCs w:val="24"/>
          <w:lang w:eastAsia="zh-CN"/>
        </w:rPr>
        <w:t xml:space="preserve">竞争性磋商文件</w:t>
      </w:r>
      <w:r>
        <w:rPr>
          <w:rFonts w:hint="eastAsia" w:ascii="仿宋" w:hAnsi="仿宋" w:eastAsia="仿宋" w:cs="仿宋"/>
          <w:sz w:val="24"/>
          <w:szCs w:val="24"/>
        </w:rPr>
        <w:t xml:space="preserve">规定的时间向甲方提供与合同标的有关的技术资料。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3.乙方在履行合同过程中借用甲方的技术资料，在本合同任务完成后，全部归还给甲方。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4.本条规定在本合同终止后亦有效。</w:t>
      </w:r>
      <w:r/>
    </w:p>
    <w:p>
      <w:pPr>
        <w:ind w:firstLine="482"/>
        <w:spacing w:line="500" w:lineRule="exact"/>
        <w:rPr>
          <w:rFonts w:hint="eastAsia" w:ascii="仿宋" w:hAnsi="仿宋" w:eastAsia="仿宋" w:cs="仿宋"/>
          <w:b/>
          <w:sz w:val="24"/>
          <w:szCs w:val="24"/>
        </w:rPr>
        <w:outlineLvl w:val="1"/>
      </w:pPr>
      <w:r/>
      <w:bookmarkStart w:id="49" w:name="_Toc15291"/>
      <w:r/>
      <w:bookmarkStart w:id="50" w:name="_Toc28010"/>
      <w:r>
        <w:rPr>
          <w:rFonts w:hint="eastAsia" w:ascii="仿宋" w:hAnsi="仿宋" w:eastAsia="仿宋" w:cs="仿宋"/>
          <w:b/>
          <w:sz w:val="24"/>
          <w:szCs w:val="24"/>
        </w:rPr>
        <w:t xml:space="preserve">五、知识产权</w:t>
      </w:r>
      <w:bookmarkEnd w:id="49"/>
      <w:r/>
      <w:bookmarkEnd w:id="50"/>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乙方应保证甲方在使用、接受本合同标的或其任何一部分时不受第三方提出侵犯其专利权、版权、商标权和工业设计权等知识产权的起诉。一旦出现侵权，由乙方负全部责任（包括甲方为此支付的律师费、赔偿款等）。</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3.除合同条款另有约定外，乙方为实施合同所编制的文件的著作权属于甲方，乙方可因实施合同目的需要而复制、使用此类文件，但不能用于与合同无关的其他事项。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4.合同当事人保证在履行合同过程中不侵犯对方及第三方的知识产权。乙方在实施合同时侵犯他人的专利权或其他知识产权所引起的责任，由乙方承担。</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5.合同当事人双方均有权在不损害对方利益和保密约定的前提下，在自己宣传用的印刷品或其他出版物上，或申报奖项时等情形下公布有关文件的文字和图片材料。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6.除合同条款另有约定外，乙方在合同签订前和签订时已确定采用的专利、专有技术的使用费应包含在签约合同价中。</w:t>
      </w:r>
      <w:r/>
    </w:p>
    <w:p>
      <w:pPr>
        <w:ind w:firstLine="482"/>
        <w:spacing w:line="500" w:lineRule="exact"/>
        <w:rPr>
          <w:rFonts w:hint="eastAsia" w:ascii="仿宋" w:hAnsi="仿宋" w:eastAsia="仿宋" w:cs="仿宋"/>
          <w:b/>
          <w:sz w:val="24"/>
          <w:szCs w:val="21"/>
        </w:rPr>
        <w:outlineLvl w:val="1"/>
      </w:pPr>
      <w:r/>
      <w:bookmarkStart w:id="51" w:name="_Toc24156"/>
      <w:r/>
      <w:bookmarkStart w:id="52" w:name="_Toc9362"/>
      <w:r>
        <w:rPr>
          <w:rFonts w:hint="eastAsia" w:ascii="仿宋" w:hAnsi="仿宋" w:eastAsia="仿宋" w:cs="仿宋"/>
          <w:b/>
          <w:sz w:val="24"/>
          <w:szCs w:val="24"/>
        </w:rPr>
        <w:t xml:space="preserve">六、</w:t>
      </w:r>
      <w:bookmarkEnd w:id="51"/>
      <w:r/>
      <w:bookmarkStart w:id="53" w:name="_Toc28015"/>
      <w:r>
        <w:rPr>
          <w:rFonts w:hint="eastAsia" w:ascii="仿宋" w:hAnsi="仿宋" w:eastAsia="仿宋" w:cs="仿宋"/>
          <w:b/>
          <w:sz w:val="24"/>
          <w:szCs w:val="21"/>
        </w:rPr>
        <w:t xml:space="preserve">产权担保</w:t>
      </w:r>
      <w:bookmarkEnd w:id="52"/>
      <w:r/>
      <w:r/>
    </w:p>
    <w:p>
      <w:pPr>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1"/>
        </w:rPr>
        <w:t xml:space="preserve">乙方保证所交付的合同标的的所有权完全属于乙方且无任何抵押、查封等产权瑕疵</w:t>
      </w:r>
      <w:r>
        <w:rPr>
          <w:rFonts w:hint="eastAsia" w:ascii="仿宋" w:hAnsi="仿宋" w:eastAsia="仿宋" w:cs="仿宋"/>
          <w:bCs/>
          <w:sz w:val="24"/>
          <w:szCs w:val="24"/>
        </w:rPr>
        <w:t xml:space="preserve">。</w:t>
      </w:r>
      <w:r/>
    </w:p>
    <w:p>
      <w:pPr>
        <w:ind w:firstLine="482"/>
        <w:spacing w:line="500" w:lineRule="exact"/>
        <w:rPr>
          <w:rFonts w:hint="eastAsia" w:ascii="仿宋" w:hAnsi="仿宋" w:eastAsia="仿宋" w:cs="仿宋"/>
          <w:b/>
          <w:sz w:val="24"/>
          <w:szCs w:val="24"/>
        </w:rPr>
        <w:outlineLvl w:val="1"/>
      </w:pPr>
      <w:r/>
      <w:bookmarkStart w:id="54" w:name="_Toc3369"/>
      <w:r>
        <w:rPr>
          <w:rFonts w:hint="eastAsia" w:ascii="仿宋" w:hAnsi="仿宋" w:eastAsia="仿宋" w:cs="仿宋"/>
          <w:b/>
          <w:sz w:val="24"/>
          <w:szCs w:val="24"/>
        </w:rPr>
        <w:t xml:space="preserve">七、履约保证金</w:t>
      </w:r>
      <w:bookmarkEnd w:id="53"/>
      <w:r/>
      <w:bookmarkEnd w:id="54"/>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本项目不收取履约保证金。</w:t>
      </w:r>
      <w:r/>
    </w:p>
    <w:p>
      <w:pPr>
        <w:ind w:firstLine="482"/>
        <w:spacing w:line="500" w:lineRule="exact"/>
        <w:rPr>
          <w:rFonts w:hint="eastAsia" w:ascii="仿宋" w:hAnsi="仿宋" w:eastAsia="仿宋" w:cs="仿宋"/>
          <w:b/>
          <w:sz w:val="24"/>
          <w:szCs w:val="24"/>
        </w:rPr>
        <w:outlineLvl w:val="1"/>
      </w:pPr>
      <w:r/>
      <w:bookmarkStart w:id="55" w:name="_Toc18369"/>
      <w:r/>
      <w:bookmarkStart w:id="56" w:name="_Toc20334"/>
      <w:r>
        <w:rPr>
          <w:rFonts w:hint="eastAsia" w:ascii="仿宋" w:hAnsi="仿宋" w:eastAsia="仿宋" w:cs="仿宋"/>
          <w:b/>
          <w:sz w:val="24"/>
          <w:szCs w:val="24"/>
        </w:rPr>
        <w:t xml:space="preserve">八、合同转包或分包</w:t>
      </w:r>
      <w:bookmarkEnd w:id="55"/>
      <w:r/>
      <w:bookmarkEnd w:id="56"/>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1.乙方不得将合同标的转包给他人履行。</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2.乙方不得将合同标的分包给他人履行。</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3.乙方如有转包、分包行为，甲方有权解除合同。</w:t>
      </w:r>
      <w:r/>
    </w:p>
    <w:p>
      <w:pPr>
        <w:ind w:firstLine="482"/>
        <w:spacing w:line="500" w:lineRule="exact"/>
        <w:rPr>
          <w:rFonts w:hint="eastAsia" w:ascii="仿宋" w:hAnsi="仿宋" w:eastAsia="仿宋" w:cs="仿宋"/>
          <w:b/>
          <w:sz w:val="24"/>
          <w:szCs w:val="24"/>
        </w:rPr>
        <w:outlineLvl w:val="1"/>
      </w:pPr>
      <w:r/>
      <w:bookmarkStart w:id="57" w:name="_Toc25043"/>
      <w:r/>
      <w:bookmarkStart w:id="58" w:name="_Toc7420"/>
      <w:r>
        <w:rPr>
          <w:rFonts w:hint="eastAsia" w:ascii="仿宋" w:hAnsi="仿宋" w:eastAsia="仿宋" w:cs="仿宋"/>
          <w:b/>
          <w:sz w:val="24"/>
          <w:szCs w:val="24"/>
        </w:rPr>
        <w:t xml:space="preserve">九、合同款项的支付方式及进度安排</w:t>
      </w:r>
      <w:bookmarkEnd w:id="57"/>
      <w:r/>
      <w:bookmarkEnd w:id="58"/>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对于满足合同约定支付条件的，自收到发票后10个工作日内将资金支付到</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账户或</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数字人民币账户。</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（1）合同签订后，支付合同价款的10%作为预付款；</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（2）完成《宿迁市自然保护地勘界立标实施方案》编制后，经甲方确认付至合同价款的30%；</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（3）完成宿迁市自然保护地勘界，成果提交甲方并通过省级审查后，付至合同价款的60%；</w:t>
      </w:r>
      <w:r/>
    </w:p>
    <w:p>
      <w:pPr>
        <w:ind w:firstLine="480"/>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（4）完成宿迁市自然保护地勘界立标，立标成果提交甲方，经省级验收合格后，付至合同价款的100%。</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注：</w:t>
      </w:r>
      <w:r>
        <w:rPr>
          <w:rFonts w:hint="eastAsia" w:ascii="仿宋" w:hAnsi="仿宋" w:eastAsia="仿宋" w:cs="仿宋"/>
          <w:sz w:val="24"/>
          <w:szCs w:val="24"/>
        </w:rPr>
        <w:t xml:space="preserve">乙方未按要求提供相应发票的，甲方有权拒绝付款且不视为违约。甲方有权</w:t>
      </w:r>
      <w:r>
        <w:rPr>
          <w:rFonts w:hint="eastAsia" w:ascii="仿宋" w:hAnsi="仿宋" w:eastAsia="仿宋" w:cs="仿宋"/>
          <w:bCs/>
          <w:sz w:val="24"/>
          <w:szCs w:val="24"/>
        </w:rPr>
        <w:t xml:space="preserve">从应付款项中直接扣除乙方应承担的违约金及其他费用。</w:t>
      </w:r>
      <w:r/>
    </w:p>
    <w:p>
      <w:pPr>
        <w:ind w:firstLine="480"/>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乙方收款账户名称：</w:t>
      </w:r>
      <w:r>
        <w:rPr>
          <w:rFonts w:hint="eastAsia" w:ascii="仿宋" w:hAnsi="仿宋" w:eastAsia="仿宋" w:cs="仿宋"/>
          <w:sz w:val="24"/>
          <w:szCs w:val="24"/>
          <w:u w:val="single"/>
          <w:lang w:val="en-US" w:eastAsia="zh-CN"/>
        </w:rPr>
        <w:t xml:space="preserve">           </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银行账户：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482"/>
        <w:spacing w:line="500" w:lineRule="exact"/>
        <w:rPr>
          <w:rFonts w:hint="eastAsia" w:ascii="仿宋" w:hAnsi="仿宋" w:eastAsia="仿宋" w:cs="仿宋"/>
          <w:b/>
          <w:sz w:val="24"/>
          <w:szCs w:val="24"/>
        </w:rPr>
        <w:outlineLvl w:val="1"/>
      </w:pPr>
      <w:r/>
      <w:bookmarkStart w:id="59" w:name="_Toc321"/>
      <w:r/>
      <w:bookmarkStart w:id="60" w:name="_Toc13853"/>
      <w:r>
        <w:rPr>
          <w:rFonts w:hint="eastAsia" w:ascii="仿宋" w:hAnsi="仿宋" w:eastAsia="仿宋" w:cs="仿宋"/>
          <w:b/>
          <w:sz w:val="24"/>
          <w:szCs w:val="24"/>
        </w:rPr>
        <w:t xml:space="preserve">十、税费</w:t>
      </w:r>
      <w:bookmarkEnd w:id="59"/>
      <w:r/>
      <w:bookmarkEnd w:id="60"/>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spacing w:line="500" w:lineRule="exact"/>
        <w:rPr>
          <w:rFonts w:hint="eastAsia" w:ascii="仿宋" w:hAnsi="仿宋" w:eastAsia="仿宋" w:cs="仿宋"/>
          <w:b/>
          <w:sz w:val="24"/>
          <w:szCs w:val="24"/>
        </w:rPr>
        <w:outlineLvl w:val="1"/>
      </w:pPr>
      <w:r/>
      <w:bookmarkStart w:id="61" w:name="_Toc14455"/>
      <w:r/>
      <w:bookmarkStart w:id="62" w:name="_Toc4107"/>
      <w:r>
        <w:rPr>
          <w:rFonts w:hint="eastAsia" w:ascii="仿宋" w:hAnsi="仿宋" w:eastAsia="仿宋" w:cs="仿宋"/>
          <w:b/>
          <w:sz w:val="24"/>
          <w:szCs w:val="24"/>
        </w:rPr>
        <w:t xml:space="preserve">十一、项目验收</w:t>
      </w:r>
      <w:bookmarkEnd w:id="61"/>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1.甲方依法组织履约验收工作。</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3.对于实际使用人和甲方分离的项目，甲方邀请实际使用人参与验收。</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4.如有必要，甲方邀请参加本项目的其他供应商（无利害关系）或第三方专业机构及专家参与验收，相关意见将作为验收书的参考资料。</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rPr>
          <w:rFonts w:hint="eastAsia" w:ascii="仿宋" w:hAnsi="仿宋" w:eastAsia="仿宋" w:cs="仿宋"/>
          <w:b/>
          <w:sz w:val="24"/>
          <w:szCs w:val="24"/>
        </w:rPr>
        <w:outlineLvl w:val="1"/>
      </w:pPr>
      <w:r/>
      <w:bookmarkStart w:id="63" w:name="_Toc30467"/>
      <w:r>
        <w:rPr>
          <w:rFonts w:hint="eastAsia" w:ascii="仿宋" w:hAnsi="仿宋" w:eastAsia="仿宋" w:cs="仿宋"/>
          <w:b/>
          <w:sz w:val="24"/>
          <w:szCs w:val="24"/>
        </w:rPr>
        <w:t xml:space="preserve">十二、违约责任</w:t>
      </w:r>
      <w:bookmarkEnd w:id="62"/>
      <w:r/>
      <w:bookmarkEnd w:id="63"/>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1.本项目不得转包、分包，如有发生，甲方有权单方解除合同，要求乙方无条件清场，因此产生的全部损失和法律责任由乙方自行承担，乙方应退还甲方全部已支付的全部合同款项外，还应支付</w:t>
      </w:r>
      <w:bookmarkStart w:id="64" w:name="OLE_LINK2"/>
      <w:r>
        <w:rPr>
          <w:rFonts w:hint="eastAsia" w:ascii="仿宋" w:hAnsi="仿宋" w:eastAsia="仿宋" w:cs="仿宋"/>
          <w:sz w:val="24"/>
          <w:szCs w:val="24"/>
        </w:rPr>
        <w:t xml:space="preserve">合同价款总额</w:t>
      </w:r>
      <w:bookmarkEnd w:id="64"/>
      <w:r>
        <w:rPr>
          <w:rFonts w:hint="eastAsia" w:ascii="仿宋" w:hAnsi="仿宋" w:eastAsia="仿宋" w:cs="仿宋"/>
          <w:sz w:val="24"/>
          <w:szCs w:val="24"/>
        </w:rPr>
        <w:t xml:space="preserve">30%的违约金。</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乙方未按照合同约定期限交付服务成果的（包括计划书、中间成果、最终成果及相关配套资料等），乙方应承担逾期交付的违约责任，按逾期每日5‰向甲方支付相应违约金，甲方有权从应付合同款项直接抵扣相应费用。乙方逾期交付达到10个工作日仍未能完成交付的，甲方可解除合同，乙方应退还甲方全部已支付的全部合同款项外，还应支付合同价款总额30%的违约金。因甲方原因导致逾期交付的，不视为乙方违约，交付期限可相应顺延。</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退还甲方全部已支付的全部合同款项外，还应支付合同价款总额30%的违约金。</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乙方未经甲方同意，擅自调整、更换项目组负责人、成员的，甲方有权要求乙方限期整改，乙方拒不整改或者在10个工作日内整改后仍不符合合同及服务承诺要求的，甲方有权解除合同，乙方应退还甲方全部已支付的全部合同款项外，还应支付合同价款总额30%的违约金。</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5.乙方违反合同约定的保密、知识产权等规定，侵害甲方或者第三方合法权益的，乙方应自行承担全部法律责任，全额赔偿甲方因此产生的所有损失，并支付合同价款总额10%的违约金。</w:t>
      </w:r>
      <w:r/>
    </w:p>
    <w:p>
      <w:pPr>
        <w:ind w:firstLine="480"/>
        <w:spacing w:line="500" w:lineRule="exact"/>
        <w:rPr>
          <w:rFonts w:hint="eastAsia" w:ascii="仿宋" w:hAnsi="仿宋" w:eastAsia="仿宋" w:cs="仿宋"/>
          <w:sz w:val="24"/>
          <w:szCs w:val="24"/>
        </w:rPr>
      </w:pPr>
      <w:r/>
      <w:bookmarkStart w:id="65" w:name="OLE_LINK1"/>
      <w:r>
        <w:rPr>
          <w:rFonts w:hint="eastAsia" w:ascii="仿宋" w:hAnsi="仿宋" w:eastAsia="仿宋" w:cs="仿宋"/>
          <w:sz w:val="24"/>
          <w:szCs w:val="24"/>
        </w:rPr>
        <w:t xml:space="preserve">6.甲方无正当理由拒绝接收乙方已按照约定完成并符合标准的服务成果（包括计划书、中间成果、最终成果及相关配套资料等），逾期超过合理期限的，乙方可以解除合同，并要求甲方支付已完成合格工作量相应的合同款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bookmarkEnd w:id="65"/>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9.如果出现政府采购监督管理部门在处理投诉该项目事项期间，书面通知甲方暂停采购活动的情形，或者询问或质疑事项可能影响中标结果的，导致甲方中止或终止履行合同的情形，均不视为甲方违约。</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约方应当赔偿守约方全部实际损失，并承担合同价款总额5%的违约金。</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11.</w:t>
      </w:r>
      <w:r>
        <w:rPr>
          <w:rFonts w:hint="eastAsia" w:ascii="仿宋" w:hAnsi="仿宋" w:eastAsia="仿宋" w:cs="仿宋"/>
          <w:bCs/>
          <w:sz w:val="24"/>
          <w:szCs w:val="24"/>
        </w:rPr>
        <w:t xml:space="preserve"> </w:t>
      </w:r>
      <w:r>
        <w:rPr>
          <w:rFonts w:hint="eastAsia" w:ascii="仿宋" w:hAnsi="仿宋" w:eastAsia="仿宋" w:cs="仿宋"/>
          <w:bCs/>
          <w:sz w:val="24"/>
          <w:szCs w:val="21"/>
        </w:rPr>
        <w:t xml:space="preserve">非因甲方原因，乙方全面履行本合同其他约定或义务之一的，甲方有权要求其继续履行或解除合同。甲方选择继续履行的，乙方应支付合同总价10%的违约金；甲方选择解除合同的或乙方仍未全面履行的，甲方均有权解除合同，</w:t>
      </w:r>
      <w:r>
        <w:rPr>
          <w:rFonts w:hint="eastAsia" w:ascii="仿宋" w:hAnsi="仿宋" w:eastAsia="仿宋" w:cs="仿宋"/>
          <w:sz w:val="24"/>
          <w:szCs w:val="24"/>
        </w:rPr>
        <w:t xml:space="preserve">乙方应退还甲方全部已支付的全部合同款项外，还应支付合同价款总额30%的违约金</w:t>
      </w:r>
      <w:r>
        <w:rPr>
          <w:rFonts w:hint="eastAsia" w:ascii="仿宋" w:hAnsi="仿宋" w:eastAsia="仿宋" w:cs="仿宋"/>
          <w:bCs/>
          <w:sz w:val="24"/>
          <w:szCs w:val="21"/>
        </w:rPr>
        <w:t xml:space="preserve">。</w:t>
      </w:r>
      <w:r/>
    </w:p>
    <w:p>
      <w:pPr>
        <w:ind w:firstLine="480"/>
        <w:spacing w:line="500" w:lineRule="exact"/>
        <w:rPr>
          <w:rFonts w:hint="eastAsia" w:ascii="仿宋" w:hAnsi="仿宋" w:eastAsia="仿宋" w:cs="仿宋"/>
          <w:sz w:val="24"/>
          <w:szCs w:val="24"/>
        </w:rPr>
      </w:pPr>
      <w:r>
        <w:rPr>
          <w:rFonts w:hint="eastAsia" w:ascii="仿宋" w:hAnsi="仿宋" w:eastAsia="仿宋" w:cs="仿宋"/>
          <w:bCs/>
          <w:sz w:val="24"/>
          <w:szCs w:val="21"/>
        </w:rPr>
        <w:t xml:space="preserve">12.</w:t>
      </w:r>
      <w:r>
        <w:rPr>
          <w:rFonts w:hint="eastAsia" w:ascii="仿宋" w:hAnsi="仿宋" w:eastAsia="仿宋" w:cs="仿宋"/>
          <w:bCs/>
          <w:sz w:val="24"/>
          <w:szCs w:val="24"/>
        </w:rPr>
        <w:t xml:space="preserve"> </w:t>
      </w:r>
      <w:r>
        <w:rPr>
          <w:rFonts w:hint="eastAsia" w:ascii="仿宋" w:hAnsi="仿宋" w:eastAsia="仿宋" w:cs="仿宋"/>
          <w:bCs/>
          <w:sz w:val="24"/>
          <w:szCs w:val="21"/>
        </w:rPr>
        <w:t xml:space="preserve">违约方应承担守约方主张权益产生的包括但不限于交通费、误工费、鉴定费、保全费、保全保险费、诉讼费等相关费用。</w:t>
      </w:r>
      <w:r/>
    </w:p>
    <w:p>
      <w:pPr>
        <w:ind w:firstLine="482"/>
        <w:spacing w:line="500" w:lineRule="exact"/>
        <w:rPr>
          <w:rFonts w:hint="eastAsia" w:ascii="仿宋" w:hAnsi="仿宋" w:eastAsia="仿宋" w:cs="仿宋"/>
          <w:bCs/>
          <w:sz w:val="24"/>
          <w:szCs w:val="21"/>
        </w:rPr>
        <w:outlineLvl w:val="1"/>
      </w:pPr>
      <w:r/>
      <w:bookmarkStart w:id="66" w:name="_Toc24779"/>
      <w:r>
        <w:rPr>
          <w:rFonts w:hint="eastAsia" w:ascii="仿宋" w:hAnsi="仿宋" w:eastAsia="仿宋" w:cs="仿宋"/>
          <w:b/>
          <w:sz w:val="24"/>
          <w:szCs w:val="21"/>
        </w:rPr>
        <w:t xml:space="preserve">十三、乙方合法权益补偿机制</w:t>
      </w:r>
      <w:bookmarkEnd w:id="66"/>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乙方合法权益补偿救济机制。在履约过程中因政策变化、规划调整而无法履行合同约定，合同各方有权请求解除合约关系，或双方协商重新拟定补充协议。</w:t>
      </w:r>
      <w:r/>
    </w:p>
    <w:p>
      <w:pPr>
        <w:ind w:firstLine="482"/>
        <w:spacing w:line="500" w:lineRule="exact"/>
        <w:rPr>
          <w:rFonts w:hint="eastAsia" w:ascii="仿宋" w:hAnsi="仿宋" w:eastAsia="仿宋" w:cs="仿宋"/>
          <w:b/>
          <w:sz w:val="24"/>
          <w:szCs w:val="21"/>
        </w:rPr>
        <w:outlineLvl w:val="1"/>
      </w:pPr>
      <w:r/>
      <w:bookmarkStart w:id="67" w:name="_Toc32091"/>
      <w:r>
        <w:rPr>
          <w:rFonts w:hint="eastAsia" w:ascii="仿宋" w:hAnsi="仿宋" w:eastAsia="仿宋" w:cs="仿宋"/>
          <w:b/>
          <w:sz w:val="24"/>
          <w:szCs w:val="21"/>
        </w:rPr>
        <w:t xml:space="preserve">十四、不可抗力事件处理</w:t>
      </w:r>
      <w:bookmarkEnd w:id="67"/>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1.在合同有效期内，任何一方因不可抗力事件导致不能履行合同，则合同履行期可延长，其延长期与不可抗力影响期相同。</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2.不可抗力事件发生后，应立即通知对方，并寄送有关权威机构出具的证明。</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3.不可抗力事件延续120天以上，双方应通过友好协商，确定是否继续履行合同。</w:t>
      </w:r>
      <w:r/>
    </w:p>
    <w:p>
      <w:pPr>
        <w:ind w:firstLine="482"/>
        <w:spacing w:line="500" w:lineRule="exact"/>
        <w:rPr>
          <w:rFonts w:hint="eastAsia" w:ascii="仿宋" w:hAnsi="仿宋" w:eastAsia="仿宋" w:cs="仿宋"/>
          <w:b/>
          <w:sz w:val="24"/>
          <w:szCs w:val="21"/>
        </w:rPr>
        <w:outlineLvl w:val="1"/>
      </w:pPr>
      <w:r/>
      <w:bookmarkStart w:id="68" w:name="_Toc31584"/>
      <w:r>
        <w:rPr>
          <w:rFonts w:hint="eastAsia" w:ascii="仿宋" w:hAnsi="仿宋" w:eastAsia="仿宋" w:cs="仿宋"/>
          <w:b/>
          <w:sz w:val="24"/>
          <w:szCs w:val="21"/>
        </w:rPr>
        <w:t xml:space="preserve">十五、解决争议的方法</w:t>
      </w:r>
      <w:bookmarkEnd w:id="68"/>
      <w:r/>
      <w:r/>
    </w:p>
    <w:p>
      <w:pPr>
        <w:ind w:firstLine="480"/>
        <w:spacing w:line="500" w:lineRule="exact"/>
        <w:rPr>
          <w:rFonts w:hint="eastAsia" w:ascii="仿宋" w:hAnsi="仿宋" w:eastAsia="仿宋" w:cs="仿宋"/>
          <w:sz w:val="24"/>
          <w:szCs w:val="24"/>
        </w:rPr>
      </w:pPr>
      <w:r>
        <w:rPr>
          <w:rFonts w:hint="eastAsia" w:ascii="仿宋" w:hAnsi="仿宋" w:eastAsia="仿宋" w:cs="仿宋"/>
          <w:bCs/>
          <w:sz w:val="24"/>
          <w:szCs w:val="21"/>
        </w:rPr>
        <w:t xml:space="preserve">双方在签订、履行合同中所发生的一切争议，应通过友好协商解决。如协商不成，由甲方住所地人民法院管辖</w:t>
      </w:r>
      <w:r>
        <w:rPr>
          <w:rFonts w:hint="eastAsia" w:ascii="仿宋" w:hAnsi="仿宋" w:eastAsia="仿宋" w:cs="仿宋"/>
          <w:sz w:val="24"/>
          <w:szCs w:val="24"/>
        </w:rPr>
        <w:t xml:space="preserve">。</w:t>
      </w:r>
      <w:r/>
    </w:p>
    <w:p>
      <w:pPr>
        <w:ind w:firstLine="482"/>
        <w:spacing w:line="500" w:lineRule="exact"/>
        <w:rPr>
          <w:rFonts w:hint="eastAsia" w:ascii="仿宋" w:hAnsi="仿宋" w:eastAsia="仿宋" w:cs="仿宋"/>
          <w:bCs/>
          <w:sz w:val="24"/>
          <w:szCs w:val="21"/>
        </w:rPr>
        <w:outlineLvl w:val="1"/>
      </w:pPr>
      <w:r/>
      <w:bookmarkStart w:id="69" w:name="_Toc8677"/>
      <w:r>
        <w:rPr>
          <w:rFonts w:hint="eastAsia" w:ascii="仿宋" w:hAnsi="仿宋" w:eastAsia="仿宋" w:cs="仿宋"/>
          <w:b/>
          <w:sz w:val="24"/>
          <w:szCs w:val="21"/>
        </w:rPr>
        <w:t xml:space="preserve">十六、合同</w:t>
      </w:r>
      <w:r>
        <w:rPr>
          <w:rFonts w:hint="eastAsia" w:ascii="仿宋" w:hAnsi="仿宋" w:eastAsia="仿宋" w:cs="仿宋"/>
          <w:b/>
          <w:sz w:val="24"/>
          <w:szCs w:val="21"/>
          <w:lang w:eastAsia="zh-CN"/>
        </w:rPr>
        <w:t xml:space="preserve">生效及其他</w:t>
      </w:r>
      <w:bookmarkEnd w:id="69"/>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1.合同经双方法定代表人或授权委托代表人签字并加盖单位公章后生效。</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2.本合同未尽事宜，遵照《中华人民共和国民法典》《中华人民共和国政府采购法》等有关条文执行。</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3.</w:t>
      </w:r>
      <w:r>
        <w:rPr>
          <w:rFonts w:hint="eastAsia" w:ascii="仿宋" w:hAnsi="仿宋" w:eastAsia="仿宋" w:cs="仿宋"/>
          <w:sz w:val="24"/>
          <w:szCs w:val="24"/>
        </w:rPr>
        <w:t xml:space="preserve">乙方选发甲方提供的优质信息内容，若未完成刊发数量，可顺延到确保完成。若甲方实际刊发信息超出合作数量，根据刊发超出条目另计费。</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4.本合同自签订之日起生效。本合同一式陆份，双方各持叁份，均具有同等法律效力。</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5.</w:t>
      </w:r>
      <w:r>
        <w:rPr>
          <w:rFonts w:hint="eastAsia" w:ascii="仿宋" w:hAnsi="仿宋" w:eastAsia="仿宋" w:cs="仿宋"/>
          <w:sz w:val="24"/>
          <w:szCs w:val="24"/>
        </w:rPr>
        <w:t xml:space="preserve">除以上内容外，甲乙可拓展合作空间，具体合作内容由双方另行商定</w:t>
      </w:r>
      <w:r>
        <w:rPr>
          <w:rFonts w:hint="eastAsia" w:ascii="仿宋" w:hAnsi="仿宋" w:eastAsia="仿宋" w:cs="仿宋"/>
          <w:bCs/>
          <w:sz w:val="24"/>
          <w:szCs w:val="21"/>
        </w:rPr>
        <w:t xml:space="preserve">，经双方协商一致，签订补充协议，补充协议具有与合同同等的法律效应。</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6.补充协议、招标响应文件（包括但不限于</w:t>
      </w:r>
      <w:r>
        <w:rPr>
          <w:rFonts w:hint="eastAsia" w:ascii="仿宋" w:hAnsi="仿宋" w:eastAsia="仿宋" w:cs="仿宋"/>
          <w:bCs/>
          <w:sz w:val="24"/>
          <w:szCs w:val="21"/>
          <w:lang w:eastAsia="zh-CN"/>
        </w:rPr>
        <w:t xml:space="preserve">竞争性磋商文件</w:t>
      </w:r>
      <w:r>
        <w:rPr>
          <w:rFonts w:hint="eastAsia" w:ascii="仿宋" w:hAnsi="仿宋" w:eastAsia="仿宋" w:cs="仿宋"/>
          <w:bCs/>
          <w:sz w:val="24"/>
          <w:szCs w:val="21"/>
        </w:rPr>
        <w:t xml:space="preserve">、响应文件、成交通知书等）具有与合同同等的法律效力。</w:t>
      </w:r>
      <w:r/>
    </w:p>
    <w:p>
      <w:pPr>
        <w:ind w:firstLine="482"/>
        <w:spacing w:line="500" w:lineRule="exact"/>
        <w:rPr>
          <w:rFonts w:hint="eastAsia" w:ascii="仿宋" w:hAnsi="仿宋" w:eastAsia="仿宋" w:cs="仿宋"/>
          <w:b/>
          <w:sz w:val="24"/>
          <w:szCs w:val="21"/>
        </w:rPr>
        <w:outlineLvl w:val="1"/>
      </w:pPr>
      <w:r/>
      <w:bookmarkStart w:id="70" w:name="_Toc14723"/>
      <w:r>
        <w:rPr>
          <w:rFonts w:hint="eastAsia" w:ascii="仿宋" w:hAnsi="仿宋" w:eastAsia="仿宋" w:cs="仿宋"/>
          <w:b/>
          <w:sz w:val="24"/>
          <w:szCs w:val="21"/>
        </w:rPr>
        <w:t xml:space="preserve">十七、法律文书送达地址确认</w:t>
      </w:r>
      <w:bookmarkEnd w:id="70"/>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r>
      <w:r/>
    </w:p>
    <w:tbl>
      <w:tblPr>
        <w:tblStyle w:val="921"/>
        <w:tblpPr w:horzAnchor="page" w:tblpX="1852" w:vertAnchor="text" w:tblpY="272" w:leftFromText="180" w:topFromText="0" w:rightFromText="180" w:bottomFromText="0"/>
        <w:tblW w:w="8919" w:type="dxa"/>
        <w:tblInd w:w="0" w:type="dxa"/>
        <w:tblLayout w:type="autofit"/>
        <w:tblCellMar>
          <w:left w:w="108" w:type="dxa"/>
          <w:top w:w="0" w:type="dxa"/>
          <w:right w:w="108" w:type="dxa"/>
          <w:bottom w:w="0" w:type="dxa"/>
        </w:tblCellMar>
        <w:tblLook w:val="04A0" w:firstRow="1" w:lastRow="0" w:firstColumn="1" w:lastColumn="0" w:noHBand="0" w:noVBand="1"/>
      </w:tblPr>
      <w:tblGrid>
        <w:gridCol w:w="4199"/>
        <w:gridCol w:w="4720"/>
      </w:tblGrid>
      <w:tr>
        <w:trPr>
          <w:trHeight w:val="930" w:hRule="exact"/>
        </w:trPr>
        <w:tc>
          <w:tcPr>
            <w:tcW w:w="4199"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甲方：（盖章）</w:t>
            </w:r>
            <w:r/>
          </w:p>
        </w:tc>
        <w:tc>
          <w:tcPr>
            <w:tcW w:w="4720"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乙方：（盖章）</w:t>
            </w:r>
            <w:r/>
          </w:p>
        </w:tc>
      </w:tr>
      <w:tr>
        <w:trPr>
          <w:trHeight w:val="1176" w:hRule="exact"/>
        </w:trPr>
        <w:tc>
          <w:tcPr>
            <w:tcW w:w="4199"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地址：</w:t>
            </w:r>
            <w:r/>
          </w:p>
        </w:tc>
        <w:tc>
          <w:tcPr>
            <w:tcW w:w="4720"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地址：</w:t>
            </w:r>
            <w:r/>
          </w:p>
        </w:tc>
      </w:tr>
      <w:tr>
        <w:trPr>
          <w:trHeight w:val="930" w:hRule="exact"/>
        </w:trPr>
        <w:tc>
          <w:tcPr>
            <w:tcW w:w="4199"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法定（授权）代表人：</w:t>
            </w:r>
            <w:r/>
          </w:p>
        </w:tc>
        <w:tc>
          <w:tcPr>
            <w:tcW w:w="4720"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法定（授权）代表人：</w:t>
            </w:r>
            <w:r/>
          </w:p>
        </w:tc>
      </w:tr>
      <w:tr>
        <w:trPr>
          <w:trHeight w:val="930" w:hRule="exact"/>
        </w:trPr>
        <w:tc>
          <w:tcPr>
            <w:tcW w:w="4199"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联系人：</w:t>
            </w:r>
            <w:r/>
          </w:p>
        </w:tc>
        <w:tc>
          <w:tcPr>
            <w:tcW w:w="4720"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联系人：</w:t>
            </w:r>
            <w:r/>
          </w:p>
        </w:tc>
      </w:tr>
      <w:tr>
        <w:trPr>
          <w:trHeight w:val="930" w:hRule="exact"/>
        </w:trPr>
        <w:tc>
          <w:tcPr>
            <w:tcW w:w="4199"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W w:w="4720"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p>
        </w:tc>
      </w:tr>
      <w:tr>
        <w:trPr>
          <w:trHeight w:val="930" w:hRule="exact"/>
        </w:trPr>
        <w:tc>
          <w:tcPr>
            <w:tcW w:w="4199" w:type="dxa"/>
            <w:vAlign w:val="center"/>
            <w:textDirection w:val="lrTb"/>
            <w:noWrap w:val="false"/>
          </w:tcPr>
          <w:p>
            <w:pPr>
              <w:jc w:val="right"/>
              <w:widowControl/>
              <w:rPr>
                <w:rFonts w:hint="eastAsia" w:ascii="仿宋" w:hAnsi="仿宋" w:eastAsia="仿宋" w:cs="仿宋"/>
                <w:sz w:val="24"/>
                <w:szCs w:val="24"/>
              </w:rPr>
            </w:pPr>
            <w:r>
              <w:rPr>
                <w:rFonts w:hint="eastAsia" w:ascii="仿宋" w:hAnsi="仿宋" w:eastAsia="仿宋" w:cs="仿宋"/>
                <w:sz w:val="24"/>
                <w:szCs w:val="24"/>
              </w:rPr>
              <w:t xml:space="preserve">签订日期：    年   月   日</w:t>
            </w:r>
            <w:r/>
          </w:p>
        </w:tc>
        <w:tc>
          <w:tcPr>
            <w:tcW w:w="4720" w:type="dxa"/>
            <w:vAlign w:val="center"/>
            <w:textDirection w:val="lrTb"/>
            <w:noWrap w:val="false"/>
          </w:tcPr>
          <w:p>
            <w:pPr>
              <w:jc w:val="right"/>
              <w:widowControl/>
              <w:rPr>
                <w:rFonts w:hint="eastAsia" w:ascii="仿宋" w:hAnsi="仿宋" w:eastAsia="仿宋" w:cs="仿宋"/>
                <w:sz w:val="24"/>
                <w:szCs w:val="24"/>
              </w:rPr>
            </w:pPr>
            <w:r>
              <w:rPr>
                <w:rFonts w:hint="eastAsia" w:ascii="仿宋" w:hAnsi="仿宋" w:eastAsia="仿宋" w:cs="仿宋"/>
                <w:sz w:val="24"/>
                <w:szCs w:val="24"/>
              </w:rPr>
              <w:t xml:space="preserve">签订日期：     年   月  日</w:t>
            </w:r>
            <w:r/>
          </w:p>
        </w:tc>
      </w:tr>
      <w:tr>
        <w:trPr>
          <w:trHeight w:val="405" w:hRule="exact"/>
        </w:trPr>
        <w:tc>
          <w:tcPr>
            <w:gridSpan w:val="2"/>
            <w:tcW w:w="8919"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注：以上地址、联系方式视为法律文书送达的地址、联系方式。</w:t>
            </w:r>
            <w:r/>
          </w:p>
        </w:tc>
      </w:tr>
    </w:tbl>
    <w:p>
      <w:pPr>
        <w:pStyle w:val="964"/>
        <w:rPr>
          <w:rFonts w:ascii="宋体" w:hAnsi="宋体" w:eastAsia="宋体" w:cs="宋体"/>
          <w:spacing w:val="1"/>
          <w:sz w:val="24"/>
          <w:szCs w:val="24"/>
        </w:rPr>
      </w:pPr>
      <w:r>
        <w:rPr>
          <w:rFonts w:ascii="宋体" w:hAnsi="宋体" w:eastAsia="宋体" w:cs="宋体"/>
          <w:spacing w:val="1"/>
          <w:sz w:val="24"/>
          <w:szCs w:val="24"/>
        </w:rPr>
      </w:r>
      <w:r/>
    </w:p>
    <w:p>
      <w:pPr>
        <w:jc w:val="center"/>
        <w:spacing w:before="336" w:line="225" w:lineRule="auto"/>
        <w:widowControl w:val="off"/>
        <w:rPr>
          <w:rFonts w:ascii="宋体" w:hAnsi="宋体" w:eastAsia="宋体" w:cs="宋体"/>
          <w:b/>
          <w:bCs/>
          <w:color w:val="auto"/>
          <w:spacing w:val="7"/>
          <w:sz w:val="44"/>
          <w:szCs w:val="44"/>
        </w:rPr>
        <w:outlineLvl w:val="0"/>
      </w:pPr>
      <w:r>
        <w:rPr>
          <w:rFonts w:hint="eastAsia" w:ascii="宋体" w:hAnsi="宋体" w:eastAsia="宋体" w:cs="宋体"/>
          <w:b/>
          <w:bCs/>
          <w:color w:val="auto"/>
          <w:spacing w:val="7"/>
          <w:sz w:val="44"/>
          <w:szCs w:val="44"/>
        </w:rPr>
        <w:br w:type="page" w:clear="all"/>
      </w:r>
      <w:bookmarkStart w:id="71" w:name="bookmark19"/>
      <w:r/>
      <w:bookmarkEnd w:id="71"/>
      <w:r/>
      <w:bookmarkStart w:id="72" w:name="_Toc19028"/>
      <w:r>
        <w:rPr>
          <w:rFonts w:hint="eastAsia" w:ascii="宋体" w:hAnsi="宋体" w:eastAsia="宋体" w:cs="宋体"/>
          <w:b/>
          <w:bCs/>
          <w:color w:val="auto"/>
          <w:spacing w:val="7"/>
          <w:sz w:val="44"/>
          <w:szCs w:val="44"/>
        </w:rPr>
        <w:t xml:space="preserve">第四章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采购需求</w:t>
      </w:r>
      <w:bookmarkEnd w:id="72"/>
      <w:r/>
      <w:r/>
    </w:p>
    <w:p>
      <w:pPr>
        <w:pStyle w:val="927"/>
        <w:spacing w:line="277" w:lineRule="auto"/>
        <w:widowControl w:val="off"/>
        <w:rPr>
          <w:rFonts w:ascii="宋体" w:hAnsi="宋体" w:eastAsia="宋体" w:cs="宋体"/>
          <w:color w:val="auto"/>
        </w:rPr>
      </w:pPr>
      <w:r>
        <w:rPr>
          <w:rFonts w:ascii="宋体" w:hAnsi="宋体" w:eastAsia="宋体" w:cs="宋体"/>
          <w:color w:val="auto"/>
        </w:rPr>
      </w:r>
      <w:r/>
    </w:p>
    <w:p>
      <w:pPr>
        <w:pStyle w:val="1133"/>
        <w:ind w:firstLine="489"/>
        <w:spacing w:line="460" w:lineRule="exact"/>
        <w:widowControl/>
        <w:rPr>
          <w:rStyle w:val="1130"/>
          <w:rFonts w:ascii="宋体" w:hAnsi="宋体" w:eastAsia="宋体" w:cs="宋体"/>
          <w:b/>
          <w:bCs/>
          <w:color w:val="auto"/>
          <w:sz w:val="24"/>
          <w:szCs w:val="24"/>
          <w:lang w:eastAsia="zh-CN"/>
        </w:rPr>
      </w:pPr>
      <w:r>
        <w:rPr>
          <w:rStyle w:val="1130"/>
          <w:rFonts w:hint="eastAsia" w:ascii="宋体" w:hAnsi="宋体" w:eastAsia="宋体" w:cs="宋体"/>
          <w:b/>
          <w:bCs/>
          <w:color w:val="auto"/>
          <w:sz w:val="24"/>
          <w:szCs w:val="24"/>
          <w:lang w:eastAsia="zh-CN"/>
        </w:rPr>
        <w:t xml:space="preserve">项目属性：</w:t>
      </w:r>
      <w:r>
        <w:rPr>
          <w:rStyle w:val="1130"/>
          <w:rFonts w:hint="eastAsia" w:ascii="宋体" w:hAnsi="宋体" w:cs="宋体"/>
          <w:b/>
          <w:bCs/>
          <w:color w:val="auto"/>
          <w:sz w:val="24"/>
          <w:szCs w:val="24"/>
          <w:lang w:eastAsia="zh-CN"/>
        </w:rPr>
        <w:t xml:space="preserve">服务</w:t>
      </w:r>
      <w:r>
        <w:rPr>
          <w:rStyle w:val="1130"/>
          <w:rFonts w:hint="eastAsia" w:ascii="宋体" w:hAnsi="宋体" w:eastAsia="宋体" w:cs="宋体"/>
          <w:b/>
          <w:bCs/>
          <w:color w:val="auto"/>
          <w:sz w:val="24"/>
          <w:szCs w:val="24"/>
          <w:lang w:eastAsia="zh-CN"/>
        </w:rPr>
        <w:t xml:space="preserve">类项目；</w:t>
      </w:r>
      <w:r/>
    </w:p>
    <w:p>
      <w:pPr>
        <w:pStyle w:val="1133"/>
        <w:ind w:firstLine="489"/>
        <w:spacing w:line="460" w:lineRule="exact"/>
        <w:widowControl/>
        <w:rPr>
          <w:rStyle w:val="1130"/>
          <w:rFonts w:ascii="宋体" w:hAnsi="宋体" w:eastAsia="宋体" w:cs="宋体"/>
          <w:b/>
          <w:bCs/>
          <w:color w:val="auto"/>
          <w:sz w:val="24"/>
          <w:szCs w:val="24"/>
          <w:lang w:eastAsia="zh-CN"/>
        </w:rPr>
      </w:pPr>
      <w:r>
        <w:rPr>
          <w:rStyle w:val="1130"/>
          <w:rFonts w:hint="eastAsia" w:ascii="宋体" w:hAnsi="宋体" w:eastAsia="宋体" w:cs="宋体"/>
          <w:b/>
          <w:bCs/>
          <w:color w:val="auto"/>
          <w:sz w:val="24"/>
          <w:szCs w:val="24"/>
          <w:lang w:eastAsia="zh-CN"/>
        </w:rPr>
        <w:t xml:space="preserve">本项目采购标的对应的中小企业划分标准所属行业：</w:t>
      </w:r>
      <w:r>
        <w:rPr>
          <w:rStyle w:val="1130"/>
          <w:rFonts w:hint="eastAsia" w:ascii="宋体" w:hAnsi="宋体" w:cs="宋体"/>
          <w:b/>
          <w:bCs/>
          <w:color w:val="auto"/>
          <w:sz w:val="24"/>
          <w:szCs w:val="24"/>
          <w:lang w:eastAsia="zh-CN"/>
        </w:rPr>
        <w:t xml:space="preserve">其他未列明行业</w:t>
      </w:r>
      <w:r>
        <w:rPr>
          <w:rStyle w:val="1130"/>
          <w:rFonts w:hint="eastAsia" w:ascii="宋体" w:hAnsi="宋体" w:eastAsia="宋体" w:cs="宋体"/>
          <w:b/>
          <w:bCs/>
          <w:color w:val="auto"/>
          <w:sz w:val="24"/>
          <w:szCs w:val="24"/>
          <w:lang w:eastAsia="zh-CN"/>
        </w:rPr>
        <w:t xml:space="preserve">；</w:t>
      </w:r>
      <w:r/>
    </w:p>
    <w:p>
      <w:pPr>
        <w:pStyle w:val="1133"/>
        <w:ind w:firstLine="489"/>
        <w:spacing w:line="460" w:lineRule="exact"/>
        <w:widowControl/>
        <w:rPr>
          <w:rStyle w:val="1130"/>
          <w:rFonts w:ascii="宋体" w:hAnsi="宋体" w:eastAsia="宋体" w:cs="宋体"/>
          <w:b/>
          <w:bCs/>
          <w:color w:val="auto"/>
          <w:sz w:val="24"/>
          <w:szCs w:val="24"/>
          <w:lang w:eastAsia="zh-CN"/>
        </w:rPr>
      </w:pPr>
      <w:r>
        <w:rPr>
          <w:rStyle w:val="1130"/>
          <w:rFonts w:hint="eastAsia" w:ascii="宋体" w:hAnsi="宋体" w:eastAsia="宋体" w:cs="宋体"/>
          <w:b/>
          <w:bCs/>
          <w:color w:val="auto"/>
          <w:sz w:val="24"/>
          <w:szCs w:val="24"/>
          <w:lang w:eastAsia="zh-CN"/>
        </w:rPr>
        <w:t xml:space="preserve">本项目不接受进口产品。</w:t>
      </w:r>
      <w:r/>
    </w:p>
    <w:p>
      <w:pPr>
        <w:pStyle w:val="1133"/>
        <w:ind w:firstLine="488"/>
        <w:spacing w:line="400" w:lineRule="exact"/>
        <w:rPr>
          <w:rStyle w:val="1130"/>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一、项目背景</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2019年，中共中央</w:t>
      </w:r>
      <w:r>
        <w:rPr>
          <w:rStyle w:val="1130"/>
          <w:rFonts w:hint="eastAsia" w:ascii="方正仿宋_GBK" w:hAnsi="方正仿宋_GBK" w:eastAsia="方正仿宋_GBK" w:cs="方正仿宋_GBK"/>
          <w:color w:val="auto"/>
          <w:sz w:val="30"/>
          <w:szCs w:val="30"/>
          <w:lang w:eastAsia="zh-CN"/>
        </w:rPr>
        <w:t xml:space="preserve">办公厅印发《关于建立以国家公园为主体的自然保护地体系的指导意见》（中办发〔2019〕42号）指出，建立以国家公园为主体的自然保护地体系，是贯彻习近平生态文明思想的重大举措，是党的十九大提出的重大改革任务。文件要求合理调整自然保护地范围并勘界立标，制定自然保护地范围和区划调整办法，依规开展调整工作；制定自然保护地边界勘定方案、确认程序和标识系统，开展自然保护地勘界定标并建立矢量数据库，与生态保护红线衔接在重要地段、重要部位设立界桩和标识牌；确因技术原因引起的数据、图件与现地不符等问题可以按管理程序一次性纠正。</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为贯彻落实中共中央办公厅、国务院办公厅《关于建立以国家公园为主体的自然保护地体系的指导意见》的通知、国家林业和草原局《自然保护区等自然保护地勘界立标工作规范》（办护字〔2019〕129号），江苏省林业局印发《关于开展全省自然保护地勘界立标工作的通知》（苏林保〔2019〕3号），要求全面完成江苏省自然保护地勘界立标并建立矢量数据库。根据国家、省相关工作部署，需对宿迁市境内自然保护地开展勘界立标工作。</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二、项目目标</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根据江苏省自然保护地整合优化方案，开展宿迁市自然保护地（不含江苏泗洪洪泽湖湿地国家级自然保护区、沭阳三河省级湿地公园）边界踏勘、定标点测绘、边界地形图更新等工作，形成勘界成果后进行外业立标与测量。</w:t>
      </w:r>
      <w:r>
        <w:rPr>
          <w:rStyle w:val="1130"/>
          <w:rFonts w:hint="eastAsia" w:ascii="方正仿宋_GBK" w:hAnsi="方正仿宋_GBK" w:eastAsia="方正仿宋_GBK" w:cs="方正仿宋_GBK"/>
          <w:color w:val="auto"/>
          <w:sz w:val="30"/>
          <w:szCs w:val="30"/>
          <w:lang w:val="en-US" w:eastAsia="zh-CN"/>
        </w:rPr>
        <w:t xml:space="preserve">自然保护地勘界立标成果上报阶段，还需对沭阳三河省级湿地公园勘界立标成果进行市级数据校核、矢量入库，最终形成</w:t>
      </w:r>
      <w:r>
        <w:rPr>
          <w:rStyle w:val="1130"/>
          <w:rFonts w:hint="eastAsia" w:ascii="方正仿宋_GBK" w:hAnsi="方正仿宋_GBK" w:eastAsia="方正仿宋_GBK" w:cs="方正仿宋_GBK"/>
          <w:color w:val="auto"/>
          <w:sz w:val="30"/>
          <w:szCs w:val="30"/>
          <w:lang w:eastAsia="zh-CN"/>
        </w:rPr>
        <w:t xml:space="preserve">宿迁市自然保护地勘界立标</w:t>
      </w:r>
      <w:r>
        <w:rPr>
          <w:rStyle w:val="1130"/>
          <w:rFonts w:hint="eastAsia" w:ascii="方正仿宋_GBK" w:hAnsi="方正仿宋_GBK" w:eastAsia="方正仿宋_GBK" w:cs="方正仿宋_GBK"/>
          <w:color w:val="auto"/>
          <w:sz w:val="30"/>
          <w:szCs w:val="30"/>
          <w:lang w:val="en-US" w:eastAsia="zh-CN"/>
        </w:rPr>
        <w:t xml:space="preserve">成果并通过省级审查</w:t>
      </w:r>
      <w:r>
        <w:rPr>
          <w:rStyle w:val="1130"/>
          <w:rFonts w:hint="eastAsia" w:ascii="方正仿宋_GBK" w:hAnsi="方正仿宋_GBK" w:eastAsia="方正仿宋_GBK" w:cs="方正仿宋_GBK"/>
          <w:color w:val="auto"/>
          <w:sz w:val="30"/>
          <w:szCs w:val="30"/>
          <w:lang w:eastAsia="zh-CN"/>
        </w:rPr>
        <w:t xml:space="preserve">。</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三、项目需求</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1.收集、整理宿迁市自然保护地勘界立标基础资料，依据相关规划、批复文件，以及省级下发勘界立标基础资料，编制《宿迁市自然保护地勘界立标实施方案》。</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2.勘界阶段，一是完成边界点和定标点预设、踏勘、编号，定标点的测量和登记，以及边界点成果、定标点成果的检查，接受省级技术审查；二是完成边界地形图更新、边界线标绘、勘界成果制作与检查，接受省级技术审查后报送勘界成果。</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3.立标阶段，完成界碑、界桩、标识牌等标识的制作、埋设与测量登记，接受省级技术审查后报送立标成果。</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4.勘界、立标两部分工作结束后，完成相关文档成果、专题图成果、数据库成果等编制与集成，配合完成成果验收工作。</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四、项目内容</w:t>
      </w:r>
      <w:r/>
    </w:p>
    <w:p>
      <w:pPr>
        <w:pStyle w:val="1133"/>
        <w:ind w:firstLine="488"/>
        <w:spacing w:line="360" w:lineRule="auto"/>
        <w:rPr>
          <w:rStyle w:val="1130"/>
          <w:rFonts w:ascii="方正仿宋_GBK" w:hAnsi="方正仿宋_GBK" w:eastAsia="方正仿宋_GBK" w:cs="方正仿宋_GBK"/>
          <w:b/>
          <w:bCs/>
          <w:color w:val="auto"/>
          <w:sz w:val="30"/>
          <w:szCs w:val="30"/>
          <w:lang w:eastAsia="zh-CN"/>
        </w:rPr>
      </w:pPr>
      <w:r>
        <w:rPr>
          <w:rStyle w:val="1130"/>
          <w:rFonts w:hint="eastAsia" w:ascii="方正仿宋_GBK" w:hAnsi="方正仿宋_GBK" w:eastAsia="方正仿宋_GBK" w:cs="方正仿宋_GBK"/>
          <w:b/>
          <w:bCs/>
          <w:color w:val="auto"/>
          <w:sz w:val="30"/>
          <w:szCs w:val="30"/>
          <w:lang w:eastAsia="zh-CN"/>
        </w:rPr>
        <w:t xml:space="preserve">4.1工作准备与方案编制</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收集、整理宿迁市自然保护地</w:t>
      </w:r>
      <w:r>
        <w:rPr>
          <w:rStyle w:val="1130"/>
          <w:rFonts w:ascii="方正仿宋_GBK" w:hAnsi="方正仿宋_GBK" w:eastAsia="方正仿宋_GBK" w:cs="方正仿宋_GBK"/>
          <w:color w:val="auto"/>
          <w:sz w:val="30"/>
          <w:szCs w:val="30"/>
          <w:lang w:eastAsia="zh-CN"/>
        </w:rPr>
        <w:t xml:space="preserve">（不含江苏泗洪洪泽湖湿地国家级自然保护区</w:t>
      </w:r>
      <w:r>
        <w:rPr>
          <w:rStyle w:val="1130"/>
          <w:rFonts w:hint="eastAsia" w:ascii="方正仿宋_GBK" w:hAnsi="方正仿宋_GBK" w:eastAsia="方正仿宋_GBK" w:cs="方正仿宋_GBK"/>
          <w:color w:val="auto"/>
          <w:sz w:val="30"/>
          <w:szCs w:val="30"/>
          <w:lang w:eastAsia="zh-CN"/>
        </w:rPr>
        <w:t xml:space="preserve">、</w:t>
      </w:r>
      <w:r>
        <w:rPr>
          <w:rStyle w:val="1130"/>
          <w:rFonts w:hint="eastAsia" w:ascii="方正仿宋_GBK" w:hAnsi="方正仿宋_GBK" w:eastAsia="方正仿宋_GBK" w:cs="方正仿宋_GBK"/>
          <w:color w:val="auto"/>
          <w:sz w:val="30"/>
          <w:szCs w:val="30"/>
          <w:lang w:val="en-US" w:eastAsia="zh-CN"/>
        </w:rPr>
        <w:t xml:space="preserve">沭阳三河省级湿地公园</w:t>
      </w:r>
      <w:r>
        <w:rPr>
          <w:rStyle w:val="1130"/>
          <w:rFonts w:ascii="方正仿宋_GBK" w:hAnsi="方正仿宋_GBK" w:eastAsia="方正仿宋_GBK" w:cs="方正仿宋_GBK"/>
          <w:color w:val="auto"/>
          <w:sz w:val="30"/>
          <w:szCs w:val="30"/>
          <w:lang w:eastAsia="zh-CN"/>
        </w:rPr>
        <w:t xml:space="preserve">）</w:t>
      </w:r>
      <w:r>
        <w:rPr>
          <w:rStyle w:val="1130"/>
          <w:rFonts w:hint="eastAsia" w:ascii="方正仿宋_GBK" w:hAnsi="方正仿宋_GBK" w:eastAsia="方正仿宋_GBK" w:cs="方正仿宋_GBK"/>
          <w:color w:val="auto"/>
          <w:sz w:val="30"/>
          <w:szCs w:val="30"/>
          <w:lang w:eastAsia="zh-CN"/>
        </w:rPr>
        <w:t xml:space="preserve">各类规划图件、批复文件资料，接受省级下发勘界立标基础资料以及相关技术培训，编制《宿迁市自然保护地勘界立标实施方案》，为该项目提供规范、可行、准确的技术实施依据。</w:t>
      </w:r>
      <w:r/>
    </w:p>
    <w:p>
      <w:pPr>
        <w:pStyle w:val="1133"/>
        <w:ind w:firstLine="488"/>
        <w:spacing w:line="360" w:lineRule="auto"/>
        <w:rPr>
          <w:rStyle w:val="1130"/>
          <w:rFonts w:ascii="方正仿宋_GBK" w:hAnsi="方正仿宋_GBK" w:eastAsia="方正仿宋_GBK" w:cs="方正仿宋_GBK"/>
          <w:b/>
          <w:bCs/>
          <w:color w:val="auto"/>
          <w:sz w:val="30"/>
          <w:szCs w:val="30"/>
          <w:lang w:eastAsia="zh-CN"/>
        </w:rPr>
      </w:pPr>
      <w:r>
        <w:rPr>
          <w:rStyle w:val="1130"/>
          <w:rFonts w:hint="eastAsia" w:ascii="方正仿宋_GBK" w:hAnsi="方正仿宋_GBK" w:eastAsia="方正仿宋_GBK" w:cs="方正仿宋_GBK"/>
          <w:b/>
          <w:bCs/>
          <w:color w:val="auto"/>
          <w:sz w:val="30"/>
          <w:szCs w:val="30"/>
          <w:lang w:eastAsia="zh-CN"/>
        </w:rPr>
        <w:t xml:space="preserve">4.2勘界</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勘界阶段，按照《自然保护地勘界立标规范》（GB T 39740-2020）及江苏省林业局下发的勘界立标技术要求，完成以下几点主要任务。</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1.边界点和定标点预设、踏勘和编号，依据各类基础资料，开展边界点和定标点预设、踏勘和编号，相关技术要求需按国家林草局与江苏省林业局最新文件要求执行。边界点和定标点预设、踏勘和编号过程中，应按照《自然保护区等自然保护地勘界立标工作规范》（办护字〔2019〕129号）要求做好边界技术修正工作，并充分与现场实际情况、相关调查监测成果、相关规划做好衔接。</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2.定标点测量和登记，通过实测或图上量测方式获取定标点坐标和高程，填写定标点登记表。</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3.边界点和定标点成果检查，按照《测绘成果质量检查与验收》（GB/T 24356-2023）规定，组织对边界点和定标点成果进行100%自查；两级检查全部合格后，接受省林业局组织的质量审查。</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4.边界地形图更新和边界线标绘，将已测定的边界线、定标点标绘在边界地形图上，当边界线附近的地形要素发生变化影响到边界线走向的确定和表示时，按要求更新地形图。</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5.勘界成果制作，按照相关技术要求，形成勘界成果，接受省林业局组织的质量审查。</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6.边界地形图、勘界成果检查与成果报送，按照《测绘成果质量检查与验收》（GB/T 24356-2023）规定，完成两级检查并组织编写检查报告，应甲方需要配合开展勘界成果论证、验收、公示与上报等相关工作。</w:t>
      </w:r>
      <w:r/>
    </w:p>
    <w:p>
      <w:pPr>
        <w:pStyle w:val="1133"/>
        <w:ind w:firstLine="488"/>
        <w:spacing w:line="360" w:lineRule="auto"/>
        <w:rPr>
          <w:rStyle w:val="1130"/>
          <w:rFonts w:ascii="方正仿宋_GBK" w:hAnsi="方正仿宋_GBK" w:eastAsia="方正仿宋_GBK" w:cs="方正仿宋_GBK"/>
          <w:b/>
          <w:bCs/>
          <w:color w:val="auto"/>
          <w:sz w:val="30"/>
          <w:szCs w:val="30"/>
          <w:lang w:eastAsia="zh-CN"/>
        </w:rPr>
      </w:pPr>
      <w:r>
        <w:rPr>
          <w:rStyle w:val="1130"/>
          <w:rFonts w:hint="eastAsia" w:ascii="方正仿宋_GBK" w:hAnsi="方正仿宋_GBK" w:eastAsia="方正仿宋_GBK" w:cs="方正仿宋_GBK"/>
          <w:b/>
          <w:bCs/>
          <w:color w:val="auto"/>
          <w:sz w:val="30"/>
          <w:szCs w:val="30"/>
          <w:lang w:eastAsia="zh-CN"/>
        </w:rPr>
        <w:t xml:space="preserve">4.3立标</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立标阶段，按照《自然保护地勘界立标规范》（GB T 39740-2020）及江苏省林业局下发的勘界立标技术要求，完成以下几点主要任务。</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1.外业立标与测量，根据确定的定标点类型、数量和编号，按照标识规格和设计要求，将标识预制成型并完成埋设与外业测量，可根据实际情况定制特殊地段的标识。</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2.立标成果检查，立标工作结束后，按照《测绘成果质量检查与验收》（GB/T 24356-2023）要求，完成立标成果两级检查，接受省林业局组织的质量审查。</w:t>
      </w:r>
      <w:r/>
    </w:p>
    <w:p>
      <w:pPr>
        <w:pStyle w:val="1133"/>
        <w:ind w:firstLine="488"/>
        <w:spacing w:line="360" w:lineRule="auto"/>
        <w:rPr>
          <w:rStyle w:val="1130"/>
          <w:rFonts w:ascii="方正仿宋_GBK" w:hAnsi="方正仿宋_GBK" w:eastAsia="方正仿宋_GBK" w:cs="方正仿宋_GBK"/>
          <w:b/>
          <w:bCs/>
          <w:color w:val="auto"/>
          <w:sz w:val="30"/>
          <w:szCs w:val="30"/>
          <w:lang w:eastAsia="zh-CN"/>
        </w:rPr>
      </w:pPr>
      <w:r>
        <w:rPr>
          <w:rStyle w:val="1130"/>
          <w:rFonts w:hint="eastAsia" w:ascii="方正仿宋_GBK" w:hAnsi="方正仿宋_GBK" w:eastAsia="方正仿宋_GBK" w:cs="方正仿宋_GBK"/>
          <w:b/>
          <w:bCs/>
          <w:color w:val="auto"/>
          <w:sz w:val="30"/>
          <w:szCs w:val="30"/>
          <w:lang w:eastAsia="zh-CN"/>
        </w:rPr>
        <w:t xml:space="preserve">4.4成果集成与验收</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宿迁市自然保护地勘界立标成果分为文档成果、专题图成果、数据库成果三类成果。形成成果后，接受甲方组织的验收。</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五、工期安排与项目成果</w:t>
      </w:r>
      <w:r/>
    </w:p>
    <w:p>
      <w:pPr>
        <w:pStyle w:val="1133"/>
        <w:ind w:firstLine="488"/>
        <w:spacing w:line="360" w:lineRule="auto"/>
        <w:rPr>
          <w:rStyle w:val="1130"/>
          <w:rFonts w:hint="eastAsia" w:ascii="方正仿宋_GBK" w:hAnsi="方正仿宋_GBK" w:eastAsia="方正仿宋_GBK" w:cs="方正仿宋_GBK"/>
          <w:b/>
          <w:bCs/>
          <w:color w:val="auto"/>
          <w:sz w:val="30"/>
          <w:szCs w:val="30"/>
          <w:lang w:eastAsia="zh-CN"/>
        </w:rPr>
      </w:pPr>
      <w:r>
        <w:rPr>
          <w:rStyle w:val="1130"/>
          <w:rFonts w:hint="eastAsia" w:ascii="方正仿宋_GBK" w:hAnsi="方正仿宋_GBK" w:eastAsia="方正仿宋_GBK" w:cs="方正仿宋_GBK"/>
          <w:b/>
          <w:bCs/>
          <w:color w:val="auto"/>
          <w:sz w:val="30"/>
          <w:szCs w:val="30"/>
          <w:lang w:eastAsia="zh-CN"/>
        </w:rPr>
        <w:t xml:space="preserve">5.1工期安排</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1.江苏省自然保护地勘界立标工作全面启动后，1个月内完成《宿迁市自然保护地勘界立标实施方案》编制；</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2.宿迁市自然保护地勘界工作启动后，6个月内形成勘界成果，提交甲方并配合开展论证、验收、公示与上报工作；</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3.宿迁市自然保护地勘界立标工作启动后，6个月内形成立标成果，提交甲方并配合开展验收工作。</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4.具体工期安排可根据自然保护地整合优化工作进程以及国家、省文件要求进行相应调整。</w:t>
      </w:r>
      <w:r/>
    </w:p>
    <w:p>
      <w:pPr>
        <w:pStyle w:val="1133"/>
        <w:ind w:firstLine="488"/>
        <w:spacing w:line="360" w:lineRule="auto"/>
        <w:rPr>
          <w:rStyle w:val="1130"/>
          <w:rFonts w:hint="eastAsia" w:ascii="方正仿宋_GBK" w:hAnsi="方正仿宋_GBK" w:eastAsia="方正仿宋_GBK" w:cs="方正仿宋_GBK"/>
          <w:b/>
          <w:bCs/>
          <w:color w:val="auto"/>
          <w:sz w:val="30"/>
          <w:szCs w:val="30"/>
          <w:lang w:eastAsia="zh-CN"/>
        </w:rPr>
      </w:pPr>
      <w:r>
        <w:rPr>
          <w:rStyle w:val="1130"/>
          <w:rFonts w:hint="eastAsia" w:ascii="方正仿宋_GBK" w:hAnsi="方正仿宋_GBK" w:eastAsia="方正仿宋_GBK" w:cs="方正仿宋_GBK"/>
          <w:b/>
          <w:bCs/>
          <w:color w:val="auto"/>
          <w:sz w:val="30"/>
          <w:szCs w:val="30"/>
          <w:lang w:eastAsia="zh-CN"/>
        </w:rPr>
        <w:t xml:space="preserve">5.2项目成果</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按照《自然保护地勘界立标规范》（GB T 39740-2020）及江苏省林业局下发的勘界立标技术要求，形成文档成果、专题图成果、数据库成果等三类成果。最终成果以国家林草局、省林业局要求为准。</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六、付款方式</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对于满足合同约定支付条件的，自收到发票后10个工作日内将资金支付到合同约定的供应商账户或供应商数字人民币账户。</w:t>
      </w:r>
      <w:r/>
    </w:p>
    <w:p>
      <w:pPr>
        <w:pStyle w:val="1133"/>
        <w:ind w:firstLine="488"/>
        <w:spacing w:line="360" w:lineRule="auto"/>
        <w:rPr>
          <w:rStyle w:val="1130"/>
          <w:rFonts w:hint="eastAsia" w:ascii="方正仿宋_GBK" w:hAnsi="方正仿宋_GBK" w:eastAsia="方正仿宋_GBK" w:cs="方正仿宋_GBK"/>
          <w:color w:val="auto"/>
          <w:sz w:val="30"/>
          <w:szCs w:val="30"/>
          <w:highlight w:val="none"/>
          <w:lang w:eastAsia="zh-CN"/>
        </w:rPr>
      </w:pPr>
      <w:r>
        <w:rPr>
          <w:rStyle w:val="1130"/>
          <w:rFonts w:hint="eastAsia" w:ascii="方正仿宋_GBK" w:hAnsi="方正仿宋_GBK" w:eastAsia="方正仿宋_GBK" w:cs="方正仿宋_GBK"/>
          <w:color w:val="auto"/>
          <w:sz w:val="30"/>
          <w:szCs w:val="30"/>
          <w:highlight w:val="none"/>
          <w:lang w:eastAsia="zh-CN"/>
        </w:rPr>
        <w:t xml:space="preserve">（1）合同签订后，支付合同价款的10%作为预付款；</w:t>
      </w:r>
      <w:r/>
    </w:p>
    <w:p>
      <w:pPr>
        <w:pStyle w:val="1133"/>
        <w:ind w:firstLine="488"/>
        <w:spacing w:line="360" w:lineRule="auto"/>
        <w:rPr>
          <w:rStyle w:val="1130"/>
          <w:rFonts w:hint="eastAsia" w:ascii="方正仿宋_GBK" w:hAnsi="方正仿宋_GBK" w:eastAsia="方正仿宋_GBK" w:cs="方正仿宋_GBK"/>
          <w:color w:val="auto"/>
          <w:sz w:val="30"/>
          <w:szCs w:val="30"/>
          <w:highlight w:val="none"/>
          <w:lang w:eastAsia="zh-CN"/>
        </w:rPr>
      </w:pPr>
      <w:r>
        <w:rPr>
          <w:rStyle w:val="1130"/>
          <w:rFonts w:hint="eastAsia" w:ascii="方正仿宋_GBK" w:hAnsi="方正仿宋_GBK" w:eastAsia="方正仿宋_GBK" w:cs="方正仿宋_GBK"/>
          <w:color w:val="auto"/>
          <w:sz w:val="30"/>
          <w:szCs w:val="30"/>
          <w:highlight w:val="none"/>
          <w:lang w:eastAsia="zh-CN"/>
        </w:rPr>
        <w:t xml:space="preserve">（2）完成《宿迁市自然保护地勘界立标实施方案》编制后，经甲方确认付至合同价款的30%；</w:t>
      </w:r>
      <w:r/>
    </w:p>
    <w:p>
      <w:pPr>
        <w:pStyle w:val="1133"/>
        <w:ind w:firstLine="488"/>
        <w:spacing w:line="360" w:lineRule="auto"/>
        <w:rPr>
          <w:rStyle w:val="1130"/>
          <w:rFonts w:hint="eastAsia" w:ascii="方正仿宋_GBK" w:hAnsi="方正仿宋_GBK" w:eastAsia="方正仿宋_GBK" w:cs="方正仿宋_GBK"/>
          <w:color w:val="auto"/>
          <w:sz w:val="30"/>
          <w:szCs w:val="30"/>
          <w:highlight w:val="none"/>
          <w:lang w:eastAsia="zh-CN"/>
        </w:rPr>
      </w:pPr>
      <w:r>
        <w:rPr>
          <w:rStyle w:val="1130"/>
          <w:rFonts w:hint="eastAsia" w:ascii="方正仿宋_GBK" w:hAnsi="方正仿宋_GBK" w:eastAsia="方正仿宋_GBK" w:cs="方正仿宋_GBK"/>
          <w:color w:val="auto"/>
          <w:sz w:val="30"/>
          <w:szCs w:val="30"/>
          <w:highlight w:val="none"/>
          <w:lang w:eastAsia="zh-CN"/>
        </w:rPr>
        <w:t xml:space="preserve">（3）完成宿迁市自然保护地勘界，成果提交甲方并通过省级审查后，付至合同价款的60%；</w:t>
      </w:r>
      <w:r/>
    </w:p>
    <w:p>
      <w:pPr>
        <w:pStyle w:val="1133"/>
        <w:ind w:firstLine="488"/>
        <w:spacing w:line="360" w:lineRule="auto"/>
        <w:rPr>
          <w:rStyle w:val="1130"/>
          <w:rFonts w:hint="eastAsia" w:ascii="方正仿宋_GBK" w:hAnsi="方正仿宋_GBK" w:eastAsia="方正仿宋_GBK" w:cs="方正仿宋_GBK"/>
          <w:color w:val="auto"/>
          <w:sz w:val="30"/>
          <w:szCs w:val="30"/>
          <w:highlight w:val="none"/>
          <w:lang w:eastAsia="zh-CN"/>
        </w:rPr>
      </w:pPr>
      <w:r>
        <w:rPr>
          <w:rStyle w:val="1130"/>
          <w:rFonts w:hint="eastAsia" w:ascii="方正仿宋_GBK" w:hAnsi="方正仿宋_GBK" w:eastAsia="方正仿宋_GBK" w:cs="方正仿宋_GBK"/>
          <w:color w:val="auto"/>
          <w:sz w:val="30"/>
          <w:szCs w:val="30"/>
          <w:highlight w:val="none"/>
          <w:lang w:eastAsia="zh-CN"/>
        </w:rPr>
        <w:t xml:space="preserve">（4）完成宿迁市自然保护地勘界立标，立标成果提交甲方，经省级验收合格后，付至合同价款的100%。</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注：在签订合同时，供应商明确表示无需预付款或者主动要求降低预付款比例的，采购人可不适用前述规定。</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七、验收要求</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提交的成果资料符合相关规范、符合宿迁市自然资源和规划局有关要求，并顺利通过采购人验收合格。</w:t>
      </w:r>
      <w:r/>
    </w:p>
    <w:p>
      <w:pPr>
        <w:spacing w:line="360" w:lineRule="auto"/>
        <w:widowControl w:val="off"/>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pPr>
      <w:r>
        <w:rPr>
          <w:rFonts w:hint="eastAsia" w:ascii="方正楷体_GB2312" w:hAnsi="方正楷体_GB2312" w:eastAsia="方正楷体_GB2312" w:cs="方正楷体_GB2312"/>
          <w:color w:val="auto"/>
          <w:sz w:val="32"/>
          <w:szCs w:val="32"/>
          <w:lang w:eastAsia="zh-CN"/>
          <w14:textOutline w14:w="4356" w14:cap="sq" w14:cmpd="sng" w14:algn="ctr">
            <w14:solidFill>
              <w14:srgbClr w14:val="000000"/>
            </w14:solidFill>
            <w14:prstDash w14:val="solid"/>
            <w14:bevel/>
          </w14:textOutline>
        </w:rPr>
        <w:t xml:space="preserve">八、其他要求</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本项目实施方案包括但不限于技术方案、项目实施方案、质量保证措施、安全、保密措施、售后服务和培训、合理化建议等。</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技术方案应能够充分体现项目的实际需求，对自然保护地勘界政策理解、技术路线、坐标体系、界线校核规则、矢量数据库建设、成果标准（符合国家林草局勘界立标技术规范）内容的全面性、针对性、可行性。</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项目实施方案主要包括针对本项目人员配备，实施过程中的质量管理、时间进度安排等，包含施工组织总体设计、设备投入、方案针对性、工作时序安排、内业梳理、外业现场边界核查、权属走访、界标点预设、界桩点位选址、公示方案、安装方案及调试、验收、成果上报、与林业及资规部门协同机制等内容。</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质量保证措施主要包括项目成果质量目标是否明确，保证措施是否切实可行、责任明确，质量承诺是否符合项目要求，从建立两级检查制度（</w:t>
      </w:r>
      <w:r>
        <w:rPr>
          <w:rStyle w:val="1130"/>
          <w:rFonts w:ascii="方正仿宋_GBK" w:hAnsi="方正仿宋_GBK" w:eastAsia="方正仿宋_GBK" w:cs="方正仿宋_GBK"/>
          <w:color w:val="auto"/>
          <w:sz w:val="30"/>
          <w:szCs w:val="30"/>
          <w:lang w:eastAsia="zh-CN"/>
        </w:rPr>
        <w:t xml:space="preserve">过程检查和最终检查两级质量控制</w:t>
      </w:r>
      <w:r>
        <w:rPr>
          <w:rStyle w:val="1130"/>
          <w:rFonts w:hint="eastAsia" w:ascii="方正仿宋_GBK" w:hAnsi="方正仿宋_GBK" w:eastAsia="方正仿宋_GBK" w:cs="方正仿宋_GBK"/>
          <w:color w:val="auto"/>
          <w:sz w:val="30"/>
          <w:szCs w:val="30"/>
          <w:lang w:eastAsia="zh-CN"/>
        </w:rPr>
        <w:t xml:space="preserve">），成果校核机制，矢量数据精度管控、成果内部验收制度、成果修改闭环管理等。</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安全、保密措施主要包括制定的安全责任制度、数据生产安全控制措施、应急预案及数据资料保密制度，对安全生产：野外山林作业安全、森林防火、交通、野外避险措施；测绘成果保密：涉密矢量数据管理、数据传输、存储、资料销毁制度等。</w:t>
      </w:r>
      <w:r/>
    </w:p>
    <w:p>
      <w:pPr>
        <w:pStyle w:val="1133"/>
        <w:ind w:firstLine="488"/>
        <w:spacing w:line="360" w:lineRule="auto"/>
        <w:rPr>
          <w:rStyle w:val="1130"/>
          <w:rFonts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售后服务和培训主要包括在项目实施过程中和项目完成后为采购人提供有关售后服务的措施，根据成果交付后的技术对接、成果修改完善、向省林业局汇报、入库协调、勘界成果动态更新、后期立标施工技术、质保服务期限承诺。</w:t>
      </w:r>
      <w:r/>
    </w:p>
    <w:p>
      <w:pPr>
        <w:pStyle w:val="1133"/>
        <w:ind w:firstLine="488"/>
        <w:spacing w:line="360" w:lineRule="auto"/>
        <w:rPr>
          <w:rStyle w:val="1130"/>
          <w:rFonts w:hint="eastAsia" w:ascii="方正仿宋_GBK" w:hAnsi="方正仿宋_GBK" w:eastAsia="方正仿宋_GBK" w:cs="方正仿宋_GBK"/>
          <w:color w:val="auto"/>
          <w:sz w:val="30"/>
          <w:szCs w:val="30"/>
          <w:lang w:eastAsia="zh-CN"/>
        </w:rPr>
      </w:pPr>
      <w:r>
        <w:rPr>
          <w:rStyle w:val="1130"/>
          <w:rFonts w:hint="eastAsia" w:ascii="方正仿宋_GBK" w:hAnsi="方正仿宋_GBK" w:eastAsia="方正仿宋_GBK" w:cs="方正仿宋_GBK"/>
          <w:color w:val="auto"/>
          <w:sz w:val="30"/>
          <w:szCs w:val="30"/>
          <w:lang w:eastAsia="zh-CN"/>
        </w:rPr>
        <w:t xml:space="preserve">合理化建议主要包括针对我市自然保护地现状、勘界难点、界线争议处置、勘界成果与国土空间规划衔接、后续勘界立标实施、矛盾地块处置提出针对性合理化建议。</w:t>
      </w:r>
      <w:r/>
    </w:p>
    <w:p>
      <w:pPr>
        <w:pStyle w:val="1133"/>
        <w:ind w:firstLine="488"/>
        <w:spacing w:line="400" w:lineRule="exact"/>
        <w:rPr>
          <w:rStyle w:val="1130"/>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spacing w:line="219" w:lineRule="auto"/>
        <w:widowControl w:val="off"/>
        <w:rPr>
          <w:rFonts w:ascii="宋体" w:hAnsi="宋体" w:eastAsia="宋体" w:cs="宋体"/>
          <w:color w:val="auto"/>
          <w:sz w:val="24"/>
          <w:szCs w:val="24"/>
        </w:rPr>
        <w:sectPr>
          <w:headerReference w:type="default" r:id="rId8"/>
          <w:footerReference w:type="default" r:id="rId11"/>
          <w:footnotePr/>
          <w:endnotePr/>
          <w:type w:val="nextPage"/>
          <w:pgSz w:w="11906" w:h="16839" w:orient="portrait"/>
          <w:pgMar w:top="1431" w:right="1369" w:bottom="1058" w:left="1482" w:header="0" w:footer="879" w:gutter="0"/>
          <w:cols w:num="1" w:sep="0" w:space="720" w:equalWidth="1"/>
          <w:docGrid w:linePitch="360"/>
        </w:sectPr>
      </w:pPr>
      <w:r>
        <w:rPr>
          <w:rFonts w:ascii="宋体" w:hAnsi="宋体" w:eastAsia="宋体" w:cs="宋体"/>
          <w:color w:val="auto"/>
          <w:sz w:val="24"/>
          <w:szCs w:val="24"/>
        </w:rPr>
      </w:r>
      <w:r/>
    </w:p>
    <w:p>
      <w:pPr>
        <w:jc w:val="center"/>
        <w:spacing w:before="336" w:line="225" w:lineRule="auto"/>
        <w:widowControl w:val="off"/>
        <w:rPr>
          <w:rFonts w:ascii="宋体" w:hAnsi="宋体" w:eastAsia="宋体" w:cs="宋体"/>
          <w:b/>
          <w:bCs/>
          <w:color w:val="auto"/>
          <w:spacing w:val="7"/>
          <w:sz w:val="44"/>
          <w:szCs w:val="44"/>
        </w:rPr>
        <w:outlineLvl w:val="0"/>
      </w:pPr>
      <w:r/>
      <w:bookmarkStart w:id="73" w:name="bookmark20"/>
      <w:r/>
      <w:bookmarkEnd w:id="73"/>
      <w:r/>
      <w:bookmarkStart w:id="74" w:name="_Toc25938"/>
      <w:r>
        <w:rPr>
          <w:rFonts w:hint="eastAsia" w:ascii="宋体" w:hAnsi="宋体" w:eastAsia="宋体" w:cs="宋体"/>
          <w:b/>
          <w:bCs/>
          <w:color w:val="auto"/>
          <w:spacing w:val="7"/>
          <w:sz w:val="44"/>
          <w:szCs w:val="44"/>
        </w:rPr>
        <w:t xml:space="preserve">第五章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评审方法与评审标准</w:t>
      </w:r>
      <w:bookmarkEnd w:id="74"/>
      <w:r/>
      <w:r/>
    </w:p>
    <w:p>
      <w:pPr>
        <w:pStyle w:val="927"/>
        <w:spacing w:line="321" w:lineRule="auto"/>
        <w:widowControl w:val="off"/>
        <w:rPr>
          <w:rFonts w:ascii="宋体" w:hAnsi="宋体" w:eastAsia="宋体" w:cs="宋体"/>
          <w:color w:val="auto"/>
        </w:rPr>
      </w:pPr>
      <w:r>
        <w:rPr>
          <w:rFonts w:ascii="宋体" w:hAnsi="宋体" w:eastAsia="宋体" w:cs="宋体"/>
          <w:color w:val="auto"/>
        </w:rPr>
      </w:r>
      <w:r/>
    </w:p>
    <w:p>
      <w:pPr>
        <w:jc w:val="right"/>
        <w:spacing w:before="78" w:line="480" w:lineRule="exact"/>
        <w:widowControl w:val="off"/>
        <w:rPr>
          <w:rFonts w:ascii="宋体" w:hAnsi="宋体" w:eastAsia="宋体" w:cs="宋体"/>
          <w:color w:val="auto"/>
          <w:sz w:val="24"/>
          <w:szCs w:val="24"/>
        </w:rPr>
      </w:pPr>
      <w:r>
        <w:rPr>
          <w:rFonts w:hint="eastAsia" w:ascii="宋体" w:hAnsi="宋体" w:eastAsia="宋体" w:cs="宋体"/>
          <w:color w:val="auto"/>
          <w:position w:val="18"/>
          <w:sz w:val="24"/>
          <w:szCs w:val="24"/>
          <w14:textOutline w14:w="4356" w14:cap="sq" w14:cmpd="sng" w14:algn="ctr">
            <w14:solidFill>
              <w14:srgbClr w14:val="000000"/>
            </w14:solidFill>
            <w14:prstDash w14:val="solid"/>
            <w14:bevel/>
          </w14:textOutline>
        </w:rPr>
        <w:t xml:space="preserve">一、资格审查。</w:t>
      </w:r>
      <w:r>
        <w:rPr>
          <w:rFonts w:hint="eastAsia" w:ascii="宋体" w:hAnsi="宋体" w:eastAsia="宋体" w:cs="宋体"/>
          <w:color w:val="auto"/>
          <w:position w:val="18"/>
          <w:sz w:val="24"/>
          <w:szCs w:val="24"/>
        </w:rPr>
        <w:t xml:space="preserve">资格审查人员按照下列指标对各供应商的资格</w:t>
      </w:r>
      <w:r>
        <w:rPr>
          <w:rFonts w:hint="eastAsia" w:ascii="宋体" w:hAnsi="宋体" w:eastAsia="宋体" w:cs="宋体"/>
          <w:color w:val="auto"/>
          <w:spacing w:val="-1"/>
          <w:position w:val="18"/>
          <w:sz w:val="24"/>
          <w:szCs w:val="24"/>
        </w:rPr>
        <w:t xml:space="preserve">进行审查，未通过</w:t>
      </w:r>
      <w:r/>
    </w:p>
    <w:p>
      <w:pPr>
        <w:ind w:left="9"/>
        <w:spacing w:before="1" w:line="220" w:lineRule="auto"/>
        <w:widowControl w:val="off"/>
        <w:rPr>
          <w:rFonts w:ascii="宋体" w:hAnsi="宋体" w:eastAsia="宋体" w:cs="宋体"/>
          <w:color w:val="auto"/>
          <w:sz w:val="24"/>
          <w:szCs w:val="24"/>
        </w:rPr>
      </w:pPr>
      <w:r>
        <w:rPr>
          <w:rFonts w:hint="eastAsia" w:ascii="宋体" w:hAnsi="宋体" w:eastAsia="宋体" w:cs="宋体"/>
          <w:color w:val="auto"/>
          <w:spacing w:val="-2"/>
          <w:sz w:val="24"/>
          <w:szCs w:val="24"/>
        </w:rPr>
        <w:t xml:space="preserve">审查的为无效标，不参与评审。</w:t>
      </w:r>
      <w:r/>
    </w:p>
    <w:p>
      <w:pPr>
        <w:spacing w:line="14" w:lineRule="exact"/>
        <w:widowControl w:val="off"/>
        <w:rPr>
          <w:rFonts w:ascii="宋体" w:hAnsi="宋体" w:eastAsia="宋体" w:cs="宋体"/>
          <w:color w:val="auto"/>
        </w:rPr>
      </w:pPr>
      <w:r>
        <w:rPr>
          <w:rFonts w:ascii="宋体" w:hAnsi="宋体" w:eastAsia="宋体" w:cs="宋体"/>
          <w:color w:val="auto"/>
        </w:rPr>
      </w:r>
      <w:r/>
    </w:p>
    <w:tbl>
      <w:tblPr>
        <w:tblStyle w:val="1112"/>
        <w:tblW w:w="894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21"/>
        <w:gridCol w:w="4919"/>
      </w:tblGrid>
      <w:tr>
        <w:trPr>
          <w:jc w:val="center"/>
          <w:trHeight w:val="397" w:hRule="exact"/>
        </w:trPr>
        <w:tc>
          <w:tcPr>
            <w:tcW w:w="4021" w:type="dxa"/>
            <w:vAlign w:val="center"/>
            <w:textDirection w:val="lrTb"/>
            <w:noWrap w:val="false"/>
          </w:tcPr>
          <w:p>
            <w:pPr>
              <w:pStyle w:val="1113"/>
              <w:jc w:val="center"/>
              <w:spacing w:line="221" w:lineRule="auto"/>
              <w:widowControl w:val="off"/>
              <w:rPr>
                <w:b/>
                <w:bCs/>
                <w:color w:val="auto"/>
              </w:rPr>
            </w:pPr>
            <w:r>
              <w:rPr>
                <w:rFonts w:hint="eastAsia"/>
                <w:b/>
                <w:bCs/>
                <w:color w:val="auto"/>
                <w:spacing w:val="-3"/>
              </w:rPr>
              <w:t xml:space="preserve">资格审查因素</w:t>
            </w:r>
            <w:r/>
          </w:p>
        </w:tc>
        <w:tc>
          <w:tcPr>
            <w:tcW w:w="4919" w:type="dxa"/>
            <w:vAlign w:val="center"/>
            <w:textDirection w:val="lrTb"/>
            <w:noWrap w:val="false"/>
          </w:tcPr>
          <w:p>
            <w:pPr>
              <w:pStyle w:val="1113"/>
              <w:jc w:val="center"/>
              <w:spacing w:line="222" w:lineRule="auto"/>
              <w:widowControl w:val="off"/>
              <w:rPr>
                <w:b/>
                <w:bCs/>
                <w:color w:val="auto"/>
              </w:rPr>
            </w:pPr>
            <w:r>
              <w:rPr>
                <w:rFonts w:hint="eastAsia"/>
                <w:b/>
                <w:bCs/>
                <w:color w:val="auto"/>
                <w:spacing w:val="-4"/>
              </w:rPr>
              <w:t xml:space="preserve">审查标准</w:t>
            </w:r>
            <w:r/>
          </w:p>
        </w:tc>
      </w:tr>
      <w:tr>
        <w:trPr>
          <w:jc w:val="center"/>
          <w:trHeight w:val="397" w:hRule="exact"/>
        </w:trPr>
        <w:tc>
          <w:tcPr>
            <w:tcW w:w="4021"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响应声明及承诺函</w:t>
            </w:r>
            <w:r/>
          </w:p>
        </w:tc>
        <w:tc>
          <w:tcPr>
            <w:tcW w:w="4919"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中小企业声明函</w:t>
            </w:r>
            <w:r/>
          </w:p>
        </w:tc>
        <w:tc>
          <w:tcPr>
            <w:tcW w:w="4919"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信用信息</w:t>
            </w:r>
            <w:r/>
          </w:p>
        </w:tc>
        <w:tc>
          <w:tcPr>
            <w:tcW w:w="4919"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联合体响应</w:t>
            </w:r>
            <w:r/>
          </w:p>
        </w:tc>
        <w:tc>
          <w:tcPr>
            <w:tcW w:w="4919"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431" w:hRule="exact"/>
        </w:trPr>
        <w:tc>
          <w:tcPr>
            <w:tcW w:w="4021" w:type="dxa"/>
            <w:vAlign w:val="center"/>
            <w:textDirection w:val="lrTb"/>
            <w:noWrap w:val="false"/>
          </w:tcPr>
          <w:p>
            <w:pPr>
              <w:rPr>
                <w:rFonts w:ascii="宋体" w:hAnsi="宋体" w:eastAsia="宋体" w:cs="宋体"/>
                <w:szCs w:val="22"/>
                <w:lang w:eastAsia="zh-CN"/>
              </w:rPr>
            </w:pPr>
            <w:r>
              <w:rPr>
                <w:rFonts w:hint="eastAsia" w:ascii="宋体" w:hAnsi="宋体" w:eastAsia="宋体" w:cs="宋体"/>
                <w:szCs w:val="22"/>
              </w:rPr>
              <w:t xml:space="preserve">供应商资质</w:t>
            </w:r>
            <w:r/>
          </w:p>
        </w:tc>
        <w:tc>
          <w:tcPr>
            <w:tcW w:w="4919"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bl>
    <w:p>
      <w:pPr>
        <w:ind w:left="567"/>
        <w:spacing w:before="194" w:line="502" w:lineRule="exact"/>
        <w:widowControl w:val="off"/>
        <w:rPr>
          <w:rFonts w:ascii="宋体" w:hAnsi="宋体" w:eastAsia="宋体" w:cs="宋体"/>
          <w:color w:val="auto"/>
          <w:sz w:val="24"/>
          <w:szCs w:val="24"/>
        </w:rPr>
      </w:pPr>
      <w:r>
        <w:rPr>
          <w:rFonts w:hint="eastAsia" w:ascii="宋体" w:hAnsi="宋体" w:eastAsia="宋体" w:cs="宋体"/>
          <w:color w:val="auto"/>
          <w:position w:val="19"/>
          <w:sz w:val="24"/>
          <w:szCs w:val="24"/>
          <w14:textOutline w14:w="4356" w14:cap="sq" w14:cmpd="sng" w14:algn="ctr">
            <w14:solidFill>
              <w14:srgbClr w14:val="000000"/>
            </w14:solidFill>
            <w14:prstDash w14:val="solid"/>
            <w14:bevel/>
          </w14:textOutline>
        </w:rPr>
        <w:t xml:space="preserve">二、符合性审查。</w:t>
      </w:r>
      <w:r>
        <w:rPr>
          <w:rFonts w:hint="eastAsia" w:ascii="宋体" w:hAnsi="宋体" w:eastAsia="宋体" w:cs="宋体"/>
          <w:color w:val="auto"/>
          <w:position w:val="19"/>
          <w:sz w:val="24"/>
          <w:szCs w:val="24"/>
        </w:rPr>
        <w:t xml:space="preserve">磋商小组首先按照下列指标对各供应商进行</w:t>
      </w:r>
      <w:r>
        <w:rPr>
          <w:rFonts w:hint="eastAsia" w:ascii="宋体" w:hAnsi="宋体" w:eastAsia="宋体" w:cs="宋体"/>
          <w:color w:val="auto"/>
          <w:spacing w:val="-1"/>
          <w:position w:val="19"/>
          <w:sz w:val="24"/>
          <w:szCs w:val="24"/>
        </w:rPr>
        <w:t xml:space="preserve">初步评审，未通</w:t>
      </w:r>
      <w:r/>
    </w:p>
    <w:p>
      <w:pPr>
        <w:ind w:left="2"/>
        <w:spacing w:before="1" w:line="220"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过评审的为无效标，不再参与评审。</w:t>
      </w:r>
      <w:r/>
    </w:p>
    <w:p>
      <w:pPr>
        <w:spacing w:line="17" w:lineRule="exact"/>
        <w:widowControl w:val="off"/>
        <w:rPr>
          <w:rFonts w:ascii="宋体" w:hAnsi="宋体" w:eastAsia="宋体" w:cs="宋体"/>
          <w:color w:val="auto"/>
        </w:rPr>
      </w:pPr>
      <w:r>
        <w:rPr>
          <w:rFonts w:ascii="宋体" w:hAnsi="宋体" w:eastAsia="宋体" w:cs="宋体"/>
          <w:color w:val="auto"/>
        </w:rPr>
      </w:r>
      <w:r/>
    </w:p>
    <w:tbl>
      <w:tblPr>
        <w:tblStyle w:val="1112"/>
        <w:tblW w:w="88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55"/>
        <w:gridCol w:w="5025"/>
      </w:tblGrid>
      <w:tr>
        <w:trPr>
          <w:jc w:val="center"/>
          <w:trHeight w:val="397" w:hRule="exact"/>
        </w:trPr>
        <w:tc>
          <w:tcPr>
            <w:tcW w:w="3855" w:type="dxa"/>
            <w:textDirection w:val="lrTb"/>
            <w:noWrap w:val="false"/>
          </w:tcPr>
          <w:p>
            <w:pPr>
              <w:pStyle w:val="1113"/>
              <w:ind w:left="1341"/>
              <w:spacing w:before="54" w:line="221" w:lineRule="auto"/>
              <w:widowControl w:val="off"/>
              <w:rPr>
                <w:color w:val="auto"/>
              </w:rPr>
            </w:pPr>
            <w:r>
              <w:rPr>
                <w:rFonts w:hint="eastAsia"/>
                <w:color w:val="auto"/>
                <w:spacing w:val="-2"/>
              </w:rPr>
              <w:t xml:space="preserve">评审因素</w:t>
            </w:r>
            <w:r/>
          </w:p>
        </w:tc>
        <w:tc>
          <w:tcPr>
            <w:tcW w:w="5025" w:type="dxa"/>
            <w:textDirection w:val="lrTb"/>
            <w:noWrap w:val="false"/>
          </w:tcPr>
          <w:p>
            <w:pPr>
              <w:pStyle w:val="1113"/>
              <w:ind w:left="1966"/>
              <w:spacing w:before="54" w:line="222" w:lineRule="auto"/>
              <w:widowControl w:val="off"/>
              <w:rPr>
                <w:color w:val="auto"/>
              </w:rPr>
            </w:pPr>
            <w:r>
              <w:rPr>
                <w:rFonts w:hint="eastAsia"/>
                <w:color w:val="auto"/>
                <w:spacing w:val="-2"/>
              </w:rPr>
              <w:t xml:space="preserve">评审标准</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rPr>
              <w:t xml:space="preserve">法定代表人身份证明或法人授权书</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lang w:eastAsia="zh-CN"/>
              </w:rPr>
              <w:t xml:space="preserve">报价一览表</w:t>
            </w:r>
            <w:r>
              <w:rPr>
                <w:rFonts w:hint="eastAsia" w:ascii="宋体" w:hAnsi="宋体" w:eastAsia="宋体" w:cs="宋体"/>
                <w:szCs w:val="22"/>
              </w:rPr>
              <w:t xml:space="preserve">及投标报价</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rPr>
              <w:t xml:space="preserve">技术标准和要求</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rPr>
              <w:t xml:space="preserve">其他</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bl>
    <w:p>
      <w:pPr>
        <w:ind w:left="563"/>
        <w:spacing w:before="194" w:line="220" w:lineRule="auto"/>
        <w:widowControl w:val="off"/>
        <w:rPr>
          <w:rFonts w:ascii="宋体" w:hAnsi="宋体" w:eastAsia="宋体" w:cs="宋体"/>
          <w:color w:val="auto"/>
          <w:sz w:val="24"/>
          <w:szCs w:val="24"/>
        </w:rPr>
      </w:pPr>
      <w:r>
        <w:rPr>
          <w:rFonts w:hint="eastAsia" w:ascii="宋体" w:hAnsi="宋体" w:eastAsia="宋体" w:cs="宋体"/>
          <w:color w:val="auto"/>
          <w:sz w:val="24"/>
          <w:szCs w:val="24"/>
          <w14:textOutline w14:w="4356" w14:cap="sq" w14:cmpd="sng" w14:algn="ctr">
            <w14:solidFill>
              <w14:srgbClr w14:val="000000"/>
            </w14:solidFill>
            <w14:prstDash w14:val="solid"/>
            <w14:bevel/>
          </w14:textOutline>
        </w:rPr>
        <w:t xml:space="preserve">三、评分办法—综合评分法</w:t>
      </w:r>
      <w:r/>
    </w:p>
    <w:p>
      <w:pPr>
        <w:pStyle w:val="1133"/>
        <w:ind w:firstLine="488"/>
        <w:spacing w:line="460" w:lineRule="exact"/>
        <w:rPr>
          <w:rStyle w:val="1130"/>
          <w:rFonts w:ascii="宋体" w:hAnsi="宋体" w:eastAsia="宋体" w:cs="宋体"/>
          <w:color w:val="auto"/>
          <w:sz w:val="24"/>
          <w:szCs w:val="24"/>
          <w:lang w:eastAsia="zh-CN"/>
        </w:rPr>
      </w:pPr>
      <w:r>
        <w:rPr>
          <w:rFonts w:hint="eastAsia" w:ascii="宋体" w:hAnsi="宋体" w:cs="宋体"/>
          <w:sz w:val="24"/>
          <w:szCs w:val="24"/>
          <w14:textOutline w14:w="4356" w14:cap="sq" w14:cmpd="sng" w14:algn="ctr">
            <w14:solidFill>
              <w14:srgbClr w14:val="000000"/>
            </w14:solidFill>
            <w14:prstDash w14:val="solid"/>
            <w14:bevel/>
          </w14:textOutline>
        </w:rPr>
        <w:t xml:space="preserve">（一）评标办法：</w:t>
      </w:r>
      <w:r>
        <w:rPr>
          <w:rStyle w:val="1130"/>
          <w:rFonts w:hint="eastAsia" w:ascii="宋体" w:hAnsi="宋体" w:eastAsia="宋体" w:cs="宋体"/>
          <w:color w:val="auto"/>
          <w:sz w:val="24"/>
          <w:szCs w:val="24"/>
          <w:lang w:eastAsia="zh-CN"/>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磋商小组根据评审后供应商排序推荐3名成交候选人。响应文件满足磋商文件全部实质性要求，且评审后排序第一的供应商为第一成交候选人，依次类推。</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综合评分保留至小数点后两位。</w:t>
      </w:r>
      <w:r/>
    </w:p>
    <w:p>
      <w:pPr>
        <w:jc w:val="right"/>
        <w:spacing w:before="194" w:line="480" w:lineRule="exact"/>
        <w:widowControl w:val="off"/>
        <w:rPr>
          <w:rFonts w:ascii="宋体" w:hAnsi="宋体" w:eastAsia="宋体" w:cs="宋体"/>
          <w:color w:val="auto"/>
          <w:sz w:val="24"/>
          <w:szCs w:val="24"/>
        </w:rPr>
      </w:pPr>
      <w:r>
        <w:rPr>
          <w:rFonts w:hint="eastAsia" w:ascii="宋体" w:hAnsi="宋体" w:eastAsia="宋体" w:cs="宋体"/>
          <w:color w:val="auto"/>
          <w:position w:val="18"/>
          <w:sz w:val="24"/>
          <w:szCs w:val="24"/>
          <w14:textOutline w14:w="4356" w14:cap="sq" w14:cmpd="sng" w14:algn="ctr">
            <w14:solidFill>
              <w14:srgbClr w14:val="000000"/>
            </w14:solidFill>
            <w14:prstDash w14:val="solid"/>
            <w14:bevel/>
          </w14:textOutline>
        </w:rPr>
        <w:t xml:space="preserve">（二）详细评审。</w:t>
      </w:r>
      <w:r>
        <w:rPr>
          <w:rFonts w:hint="eastAsia" w:ascii="宋体" w:hAnsi="宋体" w:eastAsia="宋体" w:cs="宋体"/>
          <w:color w:val="auto"/>
          <w:position w:val="18"/>
          <w:sz w:val="24"/>
          <w:szCs w:val="24"/>
        </w:rPr>
        <w:t xml:space="preserve">磋商小组按照竞争性磋商文</w:t>
      </w:r>
      <w:r>
        <w:rPr>
          <w:rFonts w:hint="eastAsia" w:ascii="宋体" w:hAnsi="宋体" w:eastAsia="宋体" w:cs="宋体"/>
          <w:color w:val="auto"/>
          <w:spacing w:val="-1"/>
          <w:position w:val="18"/>
          <w:sz w:val="24"/>
          <w:szCs w:val="24"/>
        </w:rPr>
        <w:t xml:space="preserve">件规定的评分标准，对各响应文件</w:t>
      </w:r>
      <w:r/>
    </w:p>
    <w:p>
      <w:pPr>
        <w:spacing w:before="28"/>
        <w:widowControl w:val="off"/>
        <w:rPr>
          <w:rFonts w:ascii="宋体" w:hAnsi="宋体" w:eastAsia="宋体" w:cs="宋体"/>
          <w:color w:val="auto"/>
          <w:lang w:eastAsia="zh-CN"/>
        </w:rPr>
      </w:pPr>
      <w:r>
        <w:rPr>
          <w:rFonts w:hint="eastAsia" w:ascii="宋体" w:hAnsi="宋体" w:eastAsia="宋体" w:cs="宋体"/>
          <w:color w:val="auto"/>
          <w:sz w:val="24"/>
          <w:szCs w:val="24"/>
        </w:rPr>
        <w:t xml:space="preserve">进行详细评审打分。磋商小组组长对各评审专家的打分情况进</w:t>
      </w:r>
      <w:r>
        <w:rPr>
          <w:rFonts w:hint="eastAsia" w:ascii="宋体" w:hAnsi="宋体" w:eastAsia="宋体" w:cs="宋体"/>
          <w:color w:val="auto"/>
          <w:spacing w:val="-1"/>
          <w:sz w:val="24"/>
          <w:szCs w:val="24"/>
        </w:rPr>
        <w:t xml:space="preserve">行复核无误后汇总。</w:t>
      </w:r>
      <w:r/>
    </w:p>
    <w:tbl>
      <w:tblPr>
        <w:tblStyle w:val="921"/>
        <w:tblW w:w="5145" w:type="pct"/>
        <w:jc w:val="center"/>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2" w:space="0"/>
          <w:insideV w:val="single" w:color="000000" w:themeColor="text1" w:sz="2" w:space="0"/>
        </w:tblBorders>
        <w:tblLayout w:type="autofit"/>
        <w:tblCellMar>
          <w:left w:w="0" w:type="dxa"/>
          <w:top w:w="0" w:type="dxa"/>
          <w:right w:w="0" w:type="dxa"/>
          <w:bottom w:w="0" w:type="dxa"/>
        </w:tblCellMar>
        <w:tblLook w:val="04A0" w:firstRow="1" w:lastRow="0" w:firstColumn="1" w:lastColumn="0" w:noHBand="0" w:noVBand="1"/>
      </w:tblPr>
      <w:tblGrid>
        <w:gridCol w:w="1115"/>
        <w:gridCol w:w="1264"/>
        <w:gridCol w:w="857"/>
        <w:gridCol w:w="6113"/>
      </w:tblGrid>
      <w:tr>
        <w:trPr>
          <w:jc w:val="center"/>
        </w:trPr>
        <w:tc>
          <w:tcPr>
            <w:gridSpan w:val="2"/>
            <w:tcW w:w="2372" w:type="dxa"/>
            <w:vAlign w:val="center"/>
            <w:textDirection w:val="lrTb"/>
            <w:noWrap w:val="false"/>
          </w:tcPr>
          <w:p>
            <w:pPr>
              <w:jc w:val="center"/>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W w:w="854" w:type="dxa"/>
            <w:vAlign w:val="center"/>
            <w:textDirection w:val="lrTb"/>
            <w:noWrap w:val="false"/>
          </w:tcPr>
          <w:p>
            <w:pPr>
              <w:jc w:val="center"/>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分数</w:t>
            </w:r>
            <w:r/>
          </w:p>
        </w:tc>
        <w:tc>
          <w:tcPr>
            <w:tcW w:w="6094" w:type="dxa"/>
            <w:vAlign w:val="center"/>
            <w:textDirection w:val="lrTb"/>
            <w:noWrap w:val="false"/>
          </w:tcPr>
          <w:p>
            <w:pPr>
              <w:jc w:val="center"/>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jc w:val="center"/>
        </w:trPr>
        <w:tc>
          <w:tcPr>
            <w:tcW w:w="1112"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报价分</w:t>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cs="宋体"/>
                <w:color w:val="auto"/>
                <w:sz w:val="24"/>
                <w:szCs w:val="24"/>
              </w:rPr>
              <w:t xml:space="preserve">磋商报价</w:t>
            </w:r>
            <w:r/>
          </w:p>
        </w:tc>
        <w:tc>
          <w:tcPr>
            <w:tcW w:w="85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.00</w:t>
            </w:r>
            <w:r/>
          </w:p>
        </w:tc>
        <w:tc>
          <w:tcPr>
            <w:tcW w:w="6094" w:type="dxa"/>
            <w:vAlign w:val="center"/>
            <w:textDirection w:val="lrTb"/>
            <w:noWrap w:val="false"/>
          </w:tcPr>
          <w:p>
            <w:pPr>
              <w:ind w:firstLine="24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以满足磋商文件要求且最后报价最低的供应商的价格为磋商基准价，其价格分为满分。其他供应商报价得分＝（磋商基准价/最后</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报价）*</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注：最终计算结果四舍五入保留至小数点后两位。</w:t>
            </w:r>
            <w:r/>
          </w:p>
        </w:tc>
      </w:tr>
      <w:tr>
        <w:trPr>
          <w:cantSplit/>
          <w:jc w:val="center"/>
        </w:trPr>
        <w:tc>
          <w:tcPr>
            <w:tcW w:w="1112" w:type="dxa"/>
            <w:vAlign w:val="center"/>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企业综合实力</w:t>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企业业绩</w:t>
            </w:r>
            <w:r/>
          </w:p>
        </w:tc>
        <w:tc>
          <w:tcPr>
            <w:tcW w:w="854"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12</w:t>
            </w:r>
            <w:r>
              <w:rPr>
                <w:rFonts w:hint="eastAsia" w:ascii="宋体" w:hAnsi="宋体" w:eastAsia="宋体" w:cs="宋体"/>
                <w:sz w:val="24"/>
                <w:szCs w:val="24"/>
                <w:highlight w:val="none"/>
              </w:rPr>
              <w:t xml:space="preserve">.00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（1）供应商自2023年1月1日（以合同签订时间为准）以来，供应商承担过勘界立标或者</w:t>
            </w:r>
            <w:r>
              <w:rPr>
                <w:rFonts w:hint="eastAsia" w:ascii="宋体" w:hAnsi="宋体" w:eastAsia="宋体" w:cs="宋体"/>
                <w:sz w:val="24"/>
                <w:szCs w:val="24"/>
                <w:highlight w:val="none"/>
                <w:lang w:val="en-US" w:eastAsia="zh-CN"/>
              </w:rPr>
              <w:t xml:space="preserve">森林、草原、耕地、湿地等测绘项目</w:t>
            </w:r>
            <w:r>
              <w:rPr>
                <w:rFonts w:hint="eastAsia" w:ascii="宋体" w:hAnsi="宋体" w:eastAsia="宋体" w:cs="宋体"/>
                <w:sz w:val="24"/>
                <w:szCs w:val="24"/>
                <w:highlight w:val="none"/>
                <w:lang w:eastAsia="zh-CN"/>
              </w:rPr>
              <w:t xml:space="preserve">的，每个3分，最高得6分；</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（2）供应商自2023年1月1日（以合同签订时间为准）以来，供应商承担过所有权确权登记或者国土空间测绘项目（内容须包含勘测定界和界址放样）的，每个3分，最高得6分。</w:t>
            </w:r>
            <w:r/>
          </w:p>
          <w:p>
            <w:pPr>
              <w:ind w:firstLine="241"/>
              <w:spacing w:line="3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响应文件中提供业绩证明材料电子件包括：中标（成交）通知书、采购合同电子件、甲方出具的验收合格证明材料电子件，三者缺一不可；业绩证明材料应能够明确反映供应商名称、合同签订时间、项目内容（服务内容）等清晰可见，否则不得分。</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（2）同一项目不重复计分。</w:t>
            </w:r>
            <w:r/>
          </w:p>
        </w:tc>
      </w:tr>
      <w:tr>
        <w:trPr>
          <w:cantSplit/>
          <w:jc w:val="center"/>
        </w:trPr>
        <w:tc>
          <w:tcPr>
            <w:tcW w:w="1112" w:type="dxa"/>
            <w:vAlign w:val="center"/>
            <w:vMerge w:val="restart"/>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团队人员</w:t>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W w:w="854"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.00</w:t>
            </w:r>
            <w:r/>
          </w:p>
        </w:tc>
        <w:tc>
          <w:tcPr>
            <w:tcW w:w="6094" w:type="dxa"/>
            <w:textDirection w:val="lrTb"/>
            <w:noWrap w:val="false"/>
          </w:tcPr>
          <w:p>
            <w:pPr>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拟选派的项目负责人：</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（1）具备测绘类工程师得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分，测绘类高级工程师及以上得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分；最高得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（2）具备注册测绘师资格得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w:t>
            </w:r>
            <w:r/>
          </w:p>
          <w:p>
            <w:pPr>
              <w:ind w:firstLine="241"/>
              <w:spacing w:line="3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（1）提供人员注册资格证书电子件；职称证书电子件，同一人拥有多个等级职称的，仅按最高等级职称计一次。</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（2）以上人员以项目组人员一览表中的人员信息为准，须提供2026年4月份以来任意一月本单位为其缴纳的社会保险证明（以社保主管部门出具的为准）；否则不得分。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W w:w="854" w:type="dxa"/>
            <w:vAlign w:val="center"/>
            <w:textDirection w:val="lrTb"/>
            <w:noWrap w:val="false"/>
          </w:tcPr>
          <w:p>
            <w:pPr>
              <w:jc w:val="center"/>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.00</w:t>
            </w:r>
            <w:r/>
          </w:p>
        </w:tc>
        <w:tc>
          <w:tcPr>
            <w:tcW w:w="6094" w:type="dxa"/>
            <w:textDirection w:val="lrTb"/>
            <w:noWrap w:val="false"/>
          </w:tcPr>
          <w:p>
            <w:pPr>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拟选派的技术负责人：</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（1）具备测绘类工程师得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分，测绘类高级及以上工程师得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分；最高得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（2）具备注册测绘师资格得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w:t>
            </w:r>
            <w:r/>
          </w:p>
          <w:p>
            <w:pPr>
              <w:ind w:firstLine="241"/>
              <w:spacing w:line="3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（1）提供人员注册资格证书电子件；职称证书电子件，同一人拥有多个等级职称的，仅按最高等级职称计一次。</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（2）以上人员以项目组人员一览表中的人员信息为准，须提供2026年4月份以来任意一月本单位为其缴纳的社会保险证明（以社保主管部门出具的为准）；否则不得分。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60" w:type="dxa"/>
            <w:vAlign w:val="center"/>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项目组成员</w:t>
            </w:r>
            <w:r/>
          </w:p>
        </w:tc>
        <w:tc>
          <w:tcPr>
            <w:tcW w:w="854" w:type="dxa"/>
            <w:vAlign w:val="center"/>
            <w:textDirection w:val="lrTb"/>
            <w:noWrap w:val="false"/>
          </w:tcPr>
          <w:p>
            <w:pPr>
              <w:jc w:val="center"/>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.00</w:t>
            </w:r>
            <w:r/>
          </w:p>
        </w:tc>
        <w:tc>
          <w:tcPr>
            <w:tcW w:w="6094" w:type="dxa"/>
            <w:textDirection w:val="lrTb"/>
            <w:noWrap w:val="false"/>
          </w:tcPr>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拟选派的项目组成员（除项目负责人、技术负责外），具备测绘类工程师或者注册测绘师资格的，有1人得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分。</w:t>
            </w:r>
            <w:r/>
          </w:p>
          <w:p>
            <w:pPr>
              <w:ind w:firstLine="241"/>
              <w:spacing w:line="3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（1）提供人员注册资格证书电子件；职称证书电子件，同一人拥有多个等级职称的，仅按最高等级职称计一次。</w:t>
            </w:r>
            <w:r/>
          </w:p>
          <w:p>
            <w:pPr>
              <w:ind w:firstLine="24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（2）以上人员以项目组人员一览表中的人员信息为准，须提供2026年4月份以来任意一月本单位为其缴纳的社会保险证明（以社保主管部门出具的为准）；否则不得分。</w:t>
            </w:r>
            <w:r/>
          </w:p>
        </w:tc>
      </w:tr>
      <w:tr>
        <w:trPr>
          <w:cantSplit/>
          <w:jc w:val="center"/>
        </w:trPr>
        <w:tc>
          <w:tcPr>
            <w:tcW w:w="1112" w:type="dxa"/>
            <w:vAlign w:val="center"/>
            <w:vMerge w:val="restart"/>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项目实施方案</w:t>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项目实施方案</w:t>
            </w:r>
            <w:r/>
          </w:p>
        </w:tc>
        <w:tc>
          <w:tcPr>
            <w:tcW w:w="854"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各供应商针对本项目人员配备，实施过程中的质量管理、时间进度安排等，包含从施工组织总体设计、设备投入、方案针对性、工作时序安排、内业梳理、外业现场边界核查、权属走访、界标点预设、界桩点位选址、公示方案、安装方案及调试、验收、成果上报、与林业及资规部门协同机制等内容的全面性、针对性、可行性进行评价。</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分；不全面得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未提供的得0分，本项最高得1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技术方案</w:t>
            </w:r>
            <w:r/>
          </w:p>
        </w:tc>
        <w:tc>
          <w:tcPr>
            <w:tcW w:w="854"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方案应能够充分体现项目的实际需求，对自然保护地勘界政策理解、技术路线、坐标体系、界线校核规则、矢量数据库建设、成果标准（符合国家林草局勘界立标技术规范）内容的全面性、针对性、可行性进行评价。</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全面性（4分）：全面具体详实得4分；较全面得3分；不全面得2分，没有不得分。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针对性（3分）：针对性强得3分；针对性较强得2分；针对性不强得1分，没有不得分。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可行性（3分）：符合实际切实可行得3分；较切实可行得2分；可行性欠缺得1分，没有不得分。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未提供的得0分，本项最高得10分。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质量保证措施</w:t>
            </w:r>
            <w:r/>
          </w:p>
        </w:tc>
        <w:tc>
          <w:tcPr>
            <w:tcW w:w="854"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提供的项目成果质量目标是否明确，保证措施是否切实可行、责任明确，质量承诺是否符合项目要求，从建立两级检查制度（过程检查和最终检查两级质量控制），成果校核机制，矢量数据精度管控、成果内部验收制度、成果修改闭环管理等内容的全面性、针对性、可行性进行评价。</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全面性（4分）：全面具体详实得4分；较全面得3分；不全面得2分，没有不得分。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针对性（3分）：针对性强得3分；针对性较强得2分；针对性不强得1分，没有不得分。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可行性（3分）：符合实际切实可行得3分；较切实可行得2分；可行性欠缺得1分，没有不得分。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未提供的得0分，本项最高得10分。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安全、保密措施</w:t>
            </w:r>
            <w:r/>
          </w:p>
        </w:tc>
        <w:tc>
          <w:tcPr>
            <w:tcW w:w="854"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根据供应商制定的安全责任制度、数据生产安全控制措施、应急预案及数据资料保密制度，对安全生产：野外山林作业安全、森林防火、交通、野外避险措施； 测绘成果保密：涉密矢量数据管理、数据传输、存储、资料销毁制度等内容的全面性、针对性、可行性进行评价。</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1.全面性（2分）：全面具体详实得2分；较全面得1分；不全面得0分；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2.针对性（2分）：针对性强得2分；针对性较强得1分；针对性不强得0分；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3.可行性（2分）：符合实际切实可行得2分；较切实可行得1分；可行性欠缺得0分；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未提供的得0分，本项最高得6分。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售后服务和培训</w:t>
            </w:r>
            <w:r/>
          </w:p>
        </w:tc>
        <w:tc>
          <w:tcPr>
            <w:tcW w:w="854"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项目实施过程中和项目完成后为采购人提供有关售后服务的措施，根据成果交付后的技术对接、成果修改完善、向省林业局汇报、入库协调、勘界成果动态更新、后期立标施工技术、质保服务期限承诺。方案可行、培训服务多方面进行综合评定，对内容的全面性、针对性、可行性进行评价。</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1.全面性（2分）：全面具体详实得2分；较全面得1分；不全面得0分。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2.针对性（2分）：针对性强得2分；针对性较强得1分；针对性不强得0分。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3.可行性（2分）：符合实际切实可行得2分；较切实可行得1分；可行性欠缺得0.5分。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未提供的得0分，本项最高得6分。</w:t>
            </w:r>
            <w:r/>
          </w:p>
        </w:tc>
      </w:tr>
      <w:tr>
        <w:trPr>
          <w:cantSplit/>
          <w:jc w:val="center"/>
        </w:trPr>
        <w:tc>
          <w:tcPr>
            <w:tcW w:w="1112" w:type="dxa"/>
            <w:vAlign w:val="center"/>
            <w:vMerge w:val="continue"/>
            <w:textDirection w:val="lrTb"/>
            <w:noWrap w:val="false"/>
          </w:tcPr>
          <w:p>
            <w:pP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6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合理化建议</w:t>
            </w:r>
            <w:r/>
          </w:p>
        </w:tc>
        <w:tc>
          <w:tcPr>
            <w:tcW w:w="854"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w:t>
            </w:r>
            <w:r/>
          </w:p>
        </w:tc>
        <w:tc>
          <w:tcPr>
            <w:tcW w:w="6094" w:type="dxa"/>
            <w:vAlign w:val="center"/>
            <w:textDirection w:val="lrTb"/>
            <w:noWrap w:val="false"/>
          </w:tcPr>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针对我市自然保护地现状、勘界难点、界线争议处置、勘界成果与国土空间规划衔接、后续勘界立标实施、矛盾地块处置提出针对性合理化建议。</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1.建议贴合本地实际、具备实操价值：5分；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2.建议一般性：3分；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3.仅有通用表述：1分；无建议不得分。</w:t>
            </w:r>
            <w:r/>
          </w:p>
          <w:p>
            <w:pPr>
              <w:ind w:firstLine="24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未提供的得0分，本项最高得5分。</w:t>
            </w:r>
            <w:r/>
          </w:p>
        </w:tc>
      </w:tr>
    </w:tbl>
    <w:p>
      <w:pPr>
        <w:ind w:left="507"/>
        <w:spacing w:before="179" w:line="480" w:lineRule="exact"/>
        <w:widowControl w:val="off"/>
        <w:rPr>
          <w:rFonts w:ascii="宋体" w:hAnsi="宋体" w:eastAsia="宋体" w:cs="宋体"/>
          <w:color w:val="auto"/>
          <w:sz w:val="24"/>
          <w:szCs w:val="24"/>
        </w:rPr>
      </w:pPr>
      <w:r>
        <w:rPr>
          <w:rFonts w:hint="eastAsia" w:ascii="宋体" w:hAnsi="宋体" w:eastAsia="宋体" w:cs="宋体"/>
          <w:color w:val="auto"/>
          <w:position w:val="18"/>
          <w:sz w:val="24"/>
          <w:szCs w:val="24"/>
          <w14:textOutline w14:w="4356" w14:cap="sq" w14:cmpd="sng" w14:algn="ctr">
            <w14:solidFill>
              <w14:srgbClr w14:val="000000"/>
            </w14:solidFill>
            <w14:prstDash w14:val="solid"/>
            <w14:bevel/>
          </w14:textOutline>
        </w:rPr>
        <w:t xml:space="preserve">（三）评标结果。</w:t>
      </w:r>
      <w:r>
        <w:rPr>
          <w:rFonts w:hint="eastAsia" w:ascii="宋体" w:hAnsi="宋体" w:eastAsia="宋体" w:cs="宋体"/>
          <w:color w:val="auto"/>
          <w:position w:val="18"/>
          <w:sz w:val="24"/>
          <w:szCs w:val="24"/>
        </w:rPr>
        <w:t xml:space="preserve">磋商小组按照本办法规定推</w:t>
      </w:r>
      <w:r>
        <w:rPr>
          <w:rFonts w:hint="eastAsia" w:ascii="宋体" w:hAnsi="宋体" w:eastAsia="宋体" w:cs="宋体"/>
          <w:color w:val="auto"/>
          <w:spacing w:val="-1"/>
          <w:position w:val="18"/>
          <w:sz w:val="24"/>
          <w:szCs w:val="24"/>
        </w:rPr>
        <w:t xml:space="preserve">荐成交候选人，并形成评标报告。</w:t>
      </w:r>
      <w:r/>
    </w:p>
    <w:p>
      <w:pPr>
        <w:ind w:left="507"/>
        <w:spacing w:line="21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14:textOutline w14:w="4356" w14:cap="sq" w14:cmpd="sng" w14:algn="ctr">
            <w14:solidFill>
              <w14:srgbClr w14:val="000000"/>
            </w14:solidFill>
            <w14:prstDash w14:val="solid"/>
            <w14:bevel/>
          </w14:textOutline>
        </w:rPr>
        <w:t xml:space="preserve">（四）政府采购政策功能落实</w:t>
      </w:r>
      <w:r/>
    </w:p>
    <w:p>
      <w:pPr>
        <w:ind w:firstLine="482"/>
        <w:spacing w:line="500" w:lineRule="exact"/>
        <w:widowControl w:val="off"/>
        <w:rPr>
          <w:rFonts w:ascii="宋体" w:hAnsi="宋体" w:eastAsia="宋体" w:cs="宋体"/>
          <w:b/>
          <w:color w:val="auto"/>
          <w:sz w:val="24"/>
          <w:szCs w:val="24"/>
          <w:u w:val="single"/>
        </w:rPr>
      </w:pPr>
      <w:r>
        <w:rPr>
          <w:rFonts w:hint="eastAsia" w:ascii="宋体" w:hAnsi="宋体" w:eastAsia="宋体" w:cs="宋体"/>
          <w:b/>
          <w:bCs/>
          <w:color w:val="auto"/>
          <w:sz w:val="24"/>
          <w:szCs w:val="24"/>
        </w:rPr>
        <w:t xml:space="preserve">本项目落实的政府采购政策</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u w:val="single"/>
          <w:lang w:eastAsia="zh-CN"/>
        </w:rPr>
        <w:t xml:space="preserve">1、2、4</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1</w:t>
      </w:r>
      <w:r>
        <w:rPr>
          <w:rStyle w:val="1130"/>
          <w:rFonts w:hint="eastAsia" w:ascii="宋体" w:hAnsi="宋体" w:cs="宋体"/>
          <w:color w:val="auto"/>
          <w:sz w:val="24"/>
          <w:szCs w:val="24"/>
          <w:lang w:eastAsia="zh-CN"/>
        </w:rPr>
        <w:t xml:space="preserve">.</w:t>
      </w:r>
      <w:r>
        <w:rPr>
          <w:rStyle w:val="1130"/>
          <w:rFonts w:hint="eastAsia" w:ascii="宋体" w:hAnsi="宋体" w:eastAsia="宋体" w:cs="宋体"/>
          <w:color w:val="auto"/>
          <w:sz w:val="24"/>
          <w:szCs w:val="24"/>
          <w:lang w:eastAsia="zh-CN"/>
        </w:rPr>
        <w:t xml:space="preserve">采购本国货物、工程和服务</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cs="宋体"/>
          <w:color w:val="auto"/>
          <w:sz w:val="24"/>
          <w:szCs w:val="24"/>
          <w:lang w:eastAsia="zh-CN"/>
        </w:rPr>
        <w:t xml:space="preserve">2.</w:t>
      </w:r>
      <w:r>
        <w:rPr>
          <w:rStyle w:val="1130"/>
          <w:rFonts w:hint="eastAsia" w:ascii="宋体" w:hAnsi="宋体" w:eastAsia="宋体" w:cs="宋体"/>
          <w:color w:val="auto"/>
          <w:sz w:val="24"/>
          <w:szCs w:val="24"/>
          <w:lang w:eastAsia="zh-CN"/>
        </w:rPr>
        <w:t xml:space="preserve">中小企业政策</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本项目按以下第（1）种政策确定本项目落实的中小企业政策：</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（1）本项目专门面向中小企业（含监狱企业、残疾人福利企业）采购。</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（2）</w:t>
      </w:r>
      <w:r>
        <w:rPr>
          <w:rStyle w:val="1130"/>
          <w:rFonts w:hint="eastAsia" w:ascii="宋体" w:hAnsi="宋体" w:cs="宋体"/>
          <w:color w:val="auto"/>
          <w:sz w:val="24"/>
          <w:szCs w:val="24"/>
          <w:lang w:eastAsia="zh-CN"/>
        </w:rPr>
        <w:t xml:space="preserve">供应商</w:t>
      </w:r>
      <w:r>
        <w:rPr>
          <w:rStyle w:val="1130"/>
          <w:rFonts w:hint="eastAsia" w:ascii="宋体" w:hAnsi="宋体" w:eastAsia="宋体" w:cs="宋体"/>
          <w:color w:val="auto"/>
          <w:sz w:val="24"/>
          <w:szCs w:val="24"/>
          <w:lang w:eastAsia="zh-CN"/>
        </w:rPr>
        <w:t xml:space="preserve">提供的服务符合规定情形的，对小微企业报价给予扣除（扣除比例</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详见“</w:t>
      </w:r>
      <w:r>
        <w:rPr>
          <w:rStyle w:val="1130"/>
          <w:rFonts w:hint="eastAsia" w:ascii="宋体" w:hAnsi="宋体" w:cs="宋体"/>
          <w:color w:val="auto"/>
          <w:sz w:val="24"/>
          <w:szCs w:val="24"/>
          <w:lang w:eastAsia="zh-CN"/>
        </w:rPr>
        <w:t xml:space="preserve">供应商</w:t>
      </w:r>
      <w:r>
        <w:rPr>
          <w:rStyle w:val="1130"/>
          <w:rFonts w:hint="eastAsia" w:ascii="宋体" w:hAnsi="宋体" w:eastAsia="宋体" w:cs="宋体"/>
          <w:color w:val="auto"/>
          <w:sz w:val="24"/>
          <w:szCs w:val="24"/>
          <w:lang w:eastAsia="zh-CN"/>
        </w:rPr>
        <w:t xml:space="preserve">须知”-“政府采购政策”相关条款），用扣除后的价格参加评审。</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cs="宋体"/>
          <w:color w:val="auto"/>
          <w:sz w:val="24"/>
          <w:szCs w:val="24"/>
          <w:lang w:eastAsia="zh-CN"/>
        </w:rPr>
        <w:t xml:space="preserve">供应商</w:t>
      </w:r>
      <w:r>
        <w:rPr>
          <w:rStyle w:val="1130"/>
          <w:rFonts w:hint="eastAsia" w:ascii="宋体" w:hAnsi="宋体" w:eastAsia="宋体" w:cs="宋体"/>
          <w:color w:val="auto"/>
          <w:sz w:val="24"/>
          <w:szCs w:val="24"/>
          <w:lang w:eastAsia="zh-CN"/>
        </w:rPr>
        <w:t xml:space="preserve">提供的服务符合下列情形的，对小微企业报价给予%的扣除，用扣除后的价格参加评审。在工程采购项目中，工程由中小企业承建，即工程施工单位为中小企业。</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②参加投标的监狱企业，视同小型、微型企业。监狱企业应当按照《财政部司法部关于政府采购支持监狱企业发展有关问题的通知》（财库〔2014〕68号）的规定，提供由省级以上监狱管理局、戒毒管理局</w:t>
      </w:r>
      <w:r>
        <w:rPr>
          <w:rStyle w:val="1130"/>
          <w:rFonts w:hint="eastAsia" w:ascii="宋体" w:hAnsi="宋体" w:cs="宋体"/>
          <w:color w:val="auto"/>
          <w:sz w:val="24"/>
          <w:szCs w:val="24"/>
          <w:lang w:eastAsia="zh-CN"/>
        </w:rPr>
        <w:t xml:space="preserve">（</w:t>
      </w:r>
      <w:r>
        <w:rPr>
          <w:rStyle w:val="1130"/>
          <w:rFonts w:hint="eastAsia" w:ascii="宋体" w:hAnsi="宋体" w:eastAsia="宋体" w:cs="宋体"/>
          <w:color w:val="auto"/>
          <w:sz w:val="24"/>
          <w:szCs w:val="24"/>
          <w:lang w:eastAsia="zh-CN"/>
        </w:rPr>
        <w:t xml:space="preserve">含新疆生产建设兵团</w:t>
      </w:r>
      <w:r>
        <w:rPr>
          <w:rStyle w:val="1130"/>
          <w:rFonts w:hint="eastAsia" w:ascii="宋体" w:hAnsi="宋体" w:cs="宋体"/>
          <w:color w:val="auto"/>
          <w:sz w:val="24"/>
          <w:szCs w:val="24"/>
          <w:lang w:eastAsia="zh-CN"/>
        </w:rPr>
        <w:t xml:space="preserve">）</w:t>
      </w:r>
      <w:r>
        <w:rPr>
          <w:rStyle w:val="1130"/>
          <w:rFonts w:hint="eastAsia" w:ascii="宋体" w:hAnsi="宋体" w:eastAsia="宋体" w:cs="宋体"/>
          <w:color w:val="auto"/>
          <w:sz w:val="24"/>
          <w:szCs w:val="24"/>
          <w:lang w:eastAsia="zh-CN"/>
        </w:rPr>
        <w:t xml:space="preserve">出具的属于监狱企业的证明文件</w:t>
      </w:r>
      <w:r>
        <w:rPr>
          <w:rStyle w:val="1130"/>
          <w:rFonts w:hint="eastAsia" w:ascii="宋体" w:hAnsi="宋体" w:cs="宋体"/>
          <w:color w:val="auto"/>
          <w:sz w:val="24"/>
          <w:szCs w:val="24"/>
          <w:lang w:eastAsia="zh-CN"/>
        </w:rPr>
        <w:t xml:space="preserve">（在</w:t>
      </w:r>
      <w:r>
        <w:rPr>
          <w:rStyle w:val="1130"/>
          <w:rFonts w:hint="eastAsia" w:ascii="宋体" w:hAnsi="宋体" w:eastAsia="宋体" w:cs="宋体"/>
          <w:color w:val="auto"/>
          <w:sz w:val="24"/>
          <w:szCs w:val="24"/>
          <w:lang w:eastAsia="zh-CN"/>
        </w:rPr>
        <w:t xml:space="preserve">响应文件中上传加盖出具单位公章的电子件）。</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③参加投标的残疾人福利性单位，视同小型、微型企业。残疾人福利性单位应当按照《财政部民政部中国残疾人联合会关于促进残疾人就业政府采购政策的通知》</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（财库〔2017〕141号）的规定，提供《残疾人福利性单位声明函》。</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w:t>
      </w:r>
      <w:r>
        <w:rPr>
          <w:rStyle w:val="1130"/>
          <w:rFonts w:hint="eastAsia" w:ascii="宋体" w:hAnsi="宋体" w:cs="宋体"/>
          <w:color w:val="auto"/>
          <w:sz w:val="24"/>
          <w:szCs w:val="24"/>
          <w:lang w:eastAsia="zh-CN"/>
        </w:rPr>
        <w:t xml:space="preserve">”“</w:t>
      </w:r>
      <w:r>
        <w:rPr>
          <w:rStyle w:val="1130"/>
          <w:rFonts w:hint="eastAsia" w:ascii="宋体" w:hAnsi="宋体" w:eastAsia="宋体" w:cs="宋体"/>
          <w:color w:val="auto"/>
          <w:sz w:val="24"/>
          <w:szCs w:val="24"/>
          <w:lang w:eastAsia="zh-CN"/>
        </w:rPr>
        <w:t xml:space="preserve">采购需求”相关内容为准。）</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3.采购本国产品的支持政策</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3.4 供应商需按照招标文件的要求提供《关于符合本国产品标准的声明函》，如不提供将不享受本国产品价格评审优惠。</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cs="宋体"/>
          <w:color w:val="auto"/>
          <w:sz w:val="24"/>
          <w:szCs w:val="24"/>
          <w:lang w:val="en-US" w:eastAsia="zh-CN"/>
        </w:rPr>
        <w:t xml:space="preserve">4</w:t>
      </w:r>
      <w:r>
        <w:rPr>
          <w:rStyle w:val="1130"/>
          <w:rFonts w:hint="eastAsia" w:ascii="宋体" w:hAnsi="宋体" w:cs="宋体"/>
          <w:color w:val="auto"/>
          <w:sz w:val="24"/>
          <w:szCs w:val="24"/>
          <w:lang w:eastAsia="zh-CN"/>
        </w:rPr>
        <w:t xml:space="preserve">.</w:t>
      </w:r>
      <w:r>
        <w:rPr>
          <w:rStyle w:val="1130"/>
          <w:rFonts w:hint="eastAsia" w:ascii="宋体" w:hAnsi="宋体" w:eastAsia="宋体" w:cs="宋体"/>
          <w:color w:val="auto"/>
          <w:sz w:val="24"/>
          <w:szCs w:val="24"/>
          <w:lang w:eastAsia="zh-CN"/>
        </w:rPr>
        <w:t xml:space="preserve">商品包装、快递包装政府采购需求标准（试行）</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eastAsia="宋体" w:cs="宋体"/>
          <w:color w:val="auto"/>
          <w:sz w:val="24"/>
          <w:szCs w:val="24"/>
          <w:lang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133"/>
        <w:ind w:firstLine="488"/>
        <w:spacing w:line="460" w:lineRule="exact"/>
        <w:rPr>
          <w:rStyle w:val="1130"/>
          <w:rFonts w:ascii="宋体" w:hAnsi="宋体" w:eastAsia="宋体" w:cs="宋体"/>
          <w:color w:val="auto"/>
          <w:sz w:val="24"/>
          <w:szCs w:val="24"/>
          <w:lang w:eastAsia="zh-CN"/>
        </w:rPr>
      </w:pPr>
      <w:r>
        <w:rPr>
          <w:rStyle w:val="1130"/>
          <w:rFonts w:hint="eastAsia" w:ascii="宋体" w:hAnsi="宋体" w:cs="宋体"/>
          <w:color w:val="auto"/>
          <w:sz w:val="24"/>
          <w:szCs w:val="24"/>
          <w:lang w:val="en-US" w:eastAsia="zh-CN"/>
        </w:rPr>
        <w:t xml:space="preserve">5</w:t>
      </w:r>
      <w:r>
        <w:rPr>
          <w:rStyle w:val="1130"/>
          <w:rFonts w:hint="eastAsia" w:ascii="宋体" w:hAnsi="宋体" w:cs="宋体"/>
          <w:color w:val="auto"/>
          <w:sz w:val="24"/>
          <w:szCs w:val="24"/>
          <w:lang w:eastAsia="zh-CN"/>
        </w:rPr>
        <w:t xml:space="preserve">.</w:t>
      </w:r>
      <w:r>
        <w:rPr>
          <w:rStyle w:val="1130"/>
          <w:rFonts w:hint="eastAsia" w:ascii="宋体" w:hAnsi="宋体" w:eastAsia="宋体" w:cs="宋体"/>
          <w:color w:val="auto"/>
          <w:sz w:val="24"/>
          <w:szCs w:val="24"/>
          <w:lang w:eastAsia="zh-CN"/>
        </w:rPr>
        <w:t xml:space="preserve">本项目中涉及涂料、胶黏剂、油墨、清洗剂等挥发性有机物产品的，属于强制性标准的，供应商应当提供符合国家和江苏省相关VOCs含量限制标准的产品。</w:t>
      </w:r>
      <w:r/>
    </w:p>
    <w:p>
      <w:pPr>
        <w:pStyle w:val="946"/>
        <w:rPr>
          <w:color w:val="auto"/>
        </w:rPr>
        <w:sectPr>
          <w:footerReference w:type="default" r:id="rId12"/>
          <w:footnotePr/>
          <w:endnotePr/>
          <w:type w:val="nextPage"/>
          <w:pgSz w:w="11906" w:h="16839" w:orient="portrait"/>
          <w:pgMar w:top="1431" w:right="1369" w:bottom="1058" w:left="1481" w:header="0" w:footer="879" w:gutter="0"/>
          <w:cols w:num="1" w:sep="0" w:space="720" w:equalWidth="1"/>
          <w:docGrid w:linePitch="360"/>
        </w:sectPr>
      </w:pPr>
      <w:r>
        <w:rPr>
          <w:color w:val="auto"/>
        </w:rPr>
      </w:r>
      <w:r/>
    </w:p>
    <w:p>
      <w:pPr>
        <w:jc w:val="center"/>
        <w:spacing w:before="336" w:line="225" w:lineRule="auto"/>
        <w:widowControl w:val="off"/>
        <w:rPr>
          <w:rFonts w:ascii="宋体" w:hAnsi="宋体" w:eastAsia="宋体" w:cs="宋体"/>
          <w:b/>
          <w:bCs/>
          <w:color w:val="auto"/>
          <w:spacing w:val="7"/>
          <w:sz w:val="44"/>
          <w:szCs w:val="44"/>
        </w:rPr>
        <w:outlineLvl w:val="0"/>
      </w:pPr>
      <w:r/>
      <w:bookmarkStart w:id="75" w:name="_Toc28341"/>
      <w:r>
        <w:rPr>
          <w:rFonts w:hint="eastAsia" w:ascii="宋体" w:hAnsi="宋体" w:eastAsia="宋体" w:cs="宋体"/>
          <w:b/>
          <w:bCs/>
          <w:color w:val="auto"/>
          <w:spacing w:val="7"/>
          <w:sz w:val="44"/>
          <w:szCs w:val="44"/>
        </w:rPr>
        <w:t xml:space="preserve">第六章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响应文件格式</w:t>
      </w:r>
      <w:bookmarkEnd w:id="75"/>
      <w:r/>
      <w:r/>
    </w:p>
    <w:p>
      <w:pPr>
        <w:pStyle w:val="927"/>
        <w:spacing w:line="338" w:lineRule="auto"/>
        <w:widowControl w:val="off"/>
        <w:rPr>
          <w:rFonts w:ascii="宋体" w:hAnsi="宋体" w:eastAsia="宋体" w:cs="宋体"/>
          <w:color w:val="auto"/>
        </w:rPr>
      </w:pPr>
      <w:r>
        <w:rPr>
          <w:rFonts w:ascii="宋体" w:hAnsi="宋体" w:eastAsia="宋体" w:cs="宋体"/>
          <w:color w:val="auto"/>
        </w:rPr>
      </w:r>
      <w:r/>
    </w:p>
    <w:p>
      <w:pPr>
        <w:pStyle w:val="927"/>
        <w:spacing w:line="339" w:lineRule="auto"/>
        <w:widowControl w:val="off"/>
        <w:rPr>
          <w:rFonts w:ascii="宋体" w:hAnsi="宋体" w:eastAsia="宋体" w:cs="宋体"/>
          <w:color w:val="auto"/>
        </w:rPr>
      </w:pPr>
      <w:r>
        <w:rPr>
          <w:rFonts w:ascii="宋体" w:hAnsi="宋体" w:eastAsia="宋体" w:cs="宋体"/>
          <w:color w:val="auto"/>
        </w:rPr>
      </w:r>
      <w:r/>
    </w:p>
    <w:p>
      <w:pPr>
        <w:pStyle w:val="927"/>
        <w:spacing w:line="339" w:lineRule="auto"/>
        <w:widowControl w:val="off"/>
        <w:rPr>
          <w:rFonts w:ascii="宋体" w:hAnsi="宋体" w:eastAsia="宋体" w:cs="宋体"/>
          <w:color w:val="auto"/>
        </w:rPr>
      </w:pPr>
      <w:r>
        <w:rPr>
          <w:rFonts w:ascii="宋体" w:hAnsi="宋体" w:eastAsia="宋体" w:cs="宋体"/>
          <w:color w:val="auto"/>
        </w:rPr>
      </w:r>
      <w:r/>
    </w:p>
    <w:p>
      <w:pPr>
        <w:pStyle w:val="927"/>
        <w:spacing w:line="339" w:lineRule="auto"/>
        <w:widowControl w:val="off"/>
        <w:rPr>
          <w:rFonts w:ascii="宋体" w:hAnsi="宋体" w:eastAsia="宋体" w:cs="宋体"/>
          <w:color w:val="auto"/>
        </w:rPr>
      </w:pPr>
      <w:r>
        <w:rPr>
          <w:rFonts w:ascii="宋体" w:hAnsi="宋体" w:eastAsia="宋体" w:cs="宋体"/>
          <w:color w:val="auto"/>
        </w:rPr>
      </w:r>
      <w:r/>
    </w:p>
    <w:p>
      <w:pPr>
        <w:pStyle w:val="927"/>
        <w:spacing w:line="339" w:lineRule="auto"/>
        <w:widowControl w:val="off"/>
        <w:rPr>
          <w:rFonts w:ascii="宋体" w:hAnsi="宋体" w:eastAsia="宋体" w:cs="宋体"/>
          <w:color w:val="auto"/>
        </w:rPr>
      </w:pPr>
      <w:r>
        <w:rPr>
          <w:rFonts w:ascii="宋体" w:hAnsi="宋体" w:eastAsia="宋体" w:cs="宋体"/>
          <w:color w:val="auto"/>
        </w:rPr>
      </w:r>
      <w:r/>
    </w:p>
    <w:p>
      <w:pPr>
        <w:jc w:val="center"/>
        <w:spacing w:before="231" w:line="223" w:lineRule="auto"/>
        <w:widowControl w:val="off"/>
        <w:rPr>
          <w:rFonts w:ascii="宋体" w:hAnsi="宋体" w:eastAsia="宋体" w:cs="宋体"/>
          <w:color w:val="auto"/>
          <w:sz w:val="71"/>
          <w:szCs w:val="71"/>
        </w:rPr>
      </w:pPr>
      <w:r/>
      <w:bookmarkStart w:id="76" w:name="bookmark21"/>
      <w:r/>
      <w:bookmarkEnd w:id="76"/>
      <w:r>
        <w:rPr>
          <w:rFonts w:hint="eastAsia" w:ascii="宋体" w:hAnsi="宋体" w:eastAsia="宋体" w:cs="宋体"/>
          <w:color w:val="auto"/>
          <w:spacing w:val="-25"/>
          <w:sz w:val="71"/>
          <w:szCs w:val="71"/>
          <w14:textOutline w14:w="13081" w14:cap="sq" w14:cmpd="sng" w14:algn="ctr">
            <w14:solidFill>
              <w14:srgbClr w14:val="000000"/>
            </w14:solidFill>
            <w14:prstDash w14:val="solid"/>
            <w14:bevel/>
          </w14:textOutline>
        </w:rPr>
        <w:t xml:space="preserve">响应文件</w:t>
      </w:r>
      <w:r/>
    </w:p>
    <w:p>
      <w:pPr>
        <w:pStyle w:val="927"/>
        <w:spacing w:line="253" w:lineRule="auto"/>
        <w:widowControl w:val="off"/>
        <w:rPr>
          <w:rFonts w:ascii="宋体" w:hAnsi="宋体" w:eastAsia="宋体" w:cs="宋体"/>
          <w:color w:val="auto"/>
        </w:rPr>
      </w:pPr>
      <w:r>
        <w:rPr>
          <w:rFonts w:ascii="宋体" w:hAnsi="宋体" w:eastAsia="宋体" w:cs="宋体"/>
          <w:color w:val="auto"/>
        </w:rPr>
      </w:r>
      <w:r/>
    </w:p>
    <w:p>
      <w:pPr>
        <w:pStyle w:val="927"/>
        <w:spacing w:line="253" w:lineRule="auto"/>
        <w:widowControl w:val="off"/>
        <w:rPr>
          <w:rFonts w:ascii="宋体" w:hAnsi="宋体" w:eastAsia="宋体" w:cs="宋体"/>
          <w:color w:val="auto"/>
        </w:rPr>
      </w:pPr>
      <w:r>
        <w:rPr>
          <w:rFonts w:ascii="宋体" w:hAnsi="宋体" w:eastAsia="宋体" w:cs="宋体"/>
          <w:color w:val="auto"/>
        </w:rPr>
      </w:r>
      <w:r/>
    </w:p>
    <w:p>
      <w:pPr>
        <w:pStyle w:val="927"/>
        <w:spacing w:line="253" w:lineRule="auto"/>
        <w:widowControl w:val="off"/>
        <w:rPr>
          <w:rFonts w:ascii="宋体" w:hAnsi="宋体" w:eastAsia="宋体" w:cs="宋体"/>
          <w:color w:val="auto"/>
        </w:rPr>
      </w:pPr>
      <w:r>
        <w:rPr>
          <w:rFonts w:ascii="宋体" w:hAnsi="宋体" w:eastAsia="宋体" w:cs="宋体"/>
          <w:color w:val="auto"/>
        </w:rPr>
      </w:r>
      <w:r/>
    </w:p>
    <w:p>
      <w:pPr>
        <w:pStyle w:val="927"/>
        <w:spacing w:line="253" w:lineRule="auto"/>
        <w:widowControl w:val="off"/>
        <w:rPr>
          <w:rFonts w:ascii="宋体" w:hAnsi="宋体" w:eastAsia="宋体" w:cs="宋体"/>
          <w:color w:val="auto"/>
        </w:rPr>
      </w:pPr>
      <w:r>
        <w:rPr>
          <w:rFonts w:ascii="宋体" w:hAnsi="宋体" w:eastAsia="宋体" w:cs="宋体"/>
          <w:color w:val="auto"/>
        </w:rPr>
      </w:r>
      <w:r/>
    </w:p>
    <w:p>
      <w:pPr>
        <w:pStyle w:val="927"/>
        <w:spacing w:line="253" w:lineRule="auto"/>
        <w:widowControl w:val="off"/>
        <w:rPr>
          <w:rFonts w:ascii="宋体" w:hAnsi="宋体" w:eastAsia="宋体" w:cs="宋体"/>
          <w:color w:val="auto"/>
        </w:rPr>
      </w:pPr>
      <w:r>
        <w:rPr>
          <w:rFonts w:ascii="宋体" w:hAnsi="宋体" w:eastAsia="宋体" w:cs="宋体"/>
          <w:color w:val="auto"/>
        </w:rPr>
      </w:r>
      <w:r/>
    </w:p>
    <w:p>
      <w:pPr>
        <w:pStyle w:val="927"/>
        <w:spacing w:line="254" w:lineRule="auto"/>
        <w:widowControl w:val="off"/>
        <w:rPr>
          <w:rFonts w:ascii="宋体" w:hAnsi="宋体" w:eastAsia="宋体" w:cs="宋体"/>
          <w:color w:val="auto"/>
        </w:rPr>
      </w:pPr>
      <w:r>
        <w:rPr>
          <w:rFonts w:ascii="宋体" w:hAnsi="宋体" w:eastAsia="宋体" w:cs="宋体"/>
          <w:color w:val="auto"/>
        </w:rPr>
      </w:r>
      <w:r/>
    </w:p>
    <w:p>
      <w:pPr>
        <w:pStyle w:val="927"/>
        <w:spacing w:line="254" w:lineRule="auto"/>
        <w:widowControl w:val="off"/>
        <w:rPr>
          <w:rFonts w:ascii="宋体" w:hAnsi="宋体" w:eastAsia="宋体" w:cs="宋体"/>
          <w:color w:val="auto"/>
        </w:rPr>
      </w:pPr>
      <w:r>
        <w:rPr>
          <w:rFonts w:ascii="宋体" w:hAnsi="宋体" w:eastAsia="宋体" w:cs="宋体"/>
          <w:color w:val="auto"/>
        </w:rPr>
      </w:r>
      <w:r/>
    </w:p>
    <w:p>
      <w:pPr>
        <w:pStyle w:val="927"/>
        <w:spacing w:line="254" w:lineRule="auto"/>
        <w:widowControl w:val="off"/>
        <w:rPr>
          <w:rFonts w:ascii="宋体" w:hAnsi="宋体" w:eastAsia="宋体" w:cs="宋体"/>
          <w:color w:val="auto"/>
        </w:rPr>
      </w:pPr>
      <w:r>
        <w:rPr>
          <w:rFonts w:ascii="宋体" w:hAnsi="宋体" w:eastAsia="宋体" w:cs="宋体"/>
          <w:color w:val="auto"/>
        </w:rPr>
      </w:r>
      <w:r/>
    </w:p>
    <w:p>
      <w:pPr>
        <w:pStyle w:val="927"/>
        <w:spacing w:line="254" w:lineRule="auto"/>
        <w:widowControl w:val="off"/>
        <w:rPr>
          <w:rFonts w:ascii="宋体" w:hAnsi="宋体" w:eastAsia="宋体" w:cs="宋体"/>
          <w:color w:val="auto"/>
        </w:rPr>
      </w:pPr>
      <w:r>
        <w:rPr>
          <w:rFonts w:ascii="宋体" w:hAnsi="宋体" w:eastAsia="宋体" w:cs="宋体"/>
          <w:color w:val="auto"/>
        </w:rPr>
      </w:r>
      <w:r/>
    </w:p>
    <w:p>
      <w:pPr>
        <w:pStyle w:val="927"/>
        <w:spacing w:line="254" w:lineRule="auto"/>
        <w:widowControl w:val="off"/>
        <w:rPr>
          <w:rFonts w:ascii="宋体" w:hAnsi="宋体" w:eastAsia="宋体" w:cs="宋体"/>
          <w:color w:val="auto"/>
        </w:rPr>
      </w:pPr>
      <w:r>
        <w:rPr>
          <w:rFonts w:ascii="宋体" w:hAnsi="宋体" w:eastAsia="宋体" w:cs="宋体"/>
          <w:color w:val="auto"/>
        </w:rPr>
      </w:r>
      <w:r/>
    </w:p>
    <w:p>
      <w:pPr>
        <w:pStyle w:val="927"/>
        <w:spacing w:line="254" w:lineRule="auto"/>
        <w:widowControl w:val="off"/>
        <w:rPr>
          <w:rFonts w:ascii="宋体" w:hAnsi="宋体" w:eastAsia="宋体" w:cs="宋体"/>
          <w:color w:val="auto"/>
        </w:rPr>
      </w:pPr>
      <w:r>
        <w:rPr>
          <w:rFonts w:ascii="宋体" w:hAnsi="宋体" w:eastAsia="宋体" w:cs="宋体"/>
          <w:color w:val="auto"/>
        </w:rPr>
      </w:r>
      <w:r/>
    </w:p>
    <w:p>
      <w:pPr>
        <w:ind w:left="792"/>
        <w:spacing w:before="114" w:line="466" w:lineRule="exact"/>
        <w:widowControl w:val="off"/>
        <w:rPr>
          <w:rFonts w:ascii="宋体" w:hAnsi="宋体" w:eastAsia="宋体" w:cs="宋体"/>
          <w:color w:val="auto"/>
          <w:sz w:val="35"/>
          <w:szCs w:val="35"/>
        </w:rPr>
      </w:pPr>
      <w:r>
        <w:rPr>
          <w:rFonts w:hint="eastAsia" w:ascii="宋体" w:hAnsi="宋体" w:eastAsia="宋体" w:cs="宋体"/>
          <w:color w:val="auto"/>
          <w:spacing w:val="-19"/>
          <w:position w:val="7"/>
          <w:sz w:val="35"/>
          <w:szCs w:val="35"/>
          <w14:textOutline w14:w="6540" w14:cap="sq" w14:cmpd="sng" w14:algn="ctr">
            <w14:solidFill>
              <w14:srgbClr w14:val="000000"/>
            </w14:solidFill>
            <w14:prstDash w14:val="solid"/>
            <w14:bevel/>
          </w14:textOutline>
        </w:rPr>
        <w:t xml:space="preserve">项目名称：</w:t>
      </w:r>
      <w:r/>
    </w:p>
    <w:p>
      <w:pPr>
        <w:ind w:left="792"/>
        <w:spacing w:line="225" w:lineRule="auto"/>
        <w:widowControl w:val="off"/>
        <w:rPr>
          <w:rFonts w:ascii="宋体" w:hAnsi="宋体" w:eastAsia="宋体" w:cs="宋体"/>
          <w:color w:val="auto"/>
          <w:sz w:val="35"/>
          <w:szCs w:val="35"/>
        </w:rPr>
      </w:pPr>
      <w:r>
        <w:rPr>
          <w:rFonts w:hint="eastAsia" w:ascii="宋体" w:hAnsi="宋体" w:eastAsia="宋体" w:cs="宋体"/>
          <w:color w:val="auto"/>
          <w:spacing w:val="-21"/>
          <w:sz w:val="35"/>
          <w:szCs w:val="35"/>
          <w14:textOutline w14:w="6540" w14:cap="sq" w14:cmpd="sng" w14:algn="ctr">
            <w14:solidFill>
              <w14:srgbClr w14:val="000000"/>
            </w14:solidFill>
            <w14:prstDash w14:val="solid"/>
            <w14:bevel/>
          </w14:textOutline>
        </w:rPr>
        <w:t xml:space="preserve">项目编号：</w:t>
      </w:r>
      <w:r/>
    </w:p>
    <w:p>
      <w:pPr>
        <w:ind w:left="790"/>
        <w:spacing w:before="40" w:line="225" w:lineRule="auto"/>
        <w:widowControl w:val="off"/>
        <w:rPr>
          <w:rFonts w:ascii="宋体" w:hAnsi="宋体" w:eastAsia="宋体" w:cs="宋体"/>
          <w:color w:val="auto"/>
          <w:sz w:val="35"/>
          <w:szCs w:val="35"/>
        </w:rPr>
      </w:pPr>
      <w:r>
        <w:rPr>
          <w:rFonts w:hint="eastAsia" w:ascii="宋体" w:hAnsi="宋体" w:eastAsia="宋体" w:cs="宋体"/>
          <w:color w:val="auto"/>
          <w:spacing w:val="9"/>
          <w:sz w:val="35"/>
          <w:szCs w:val="35"/>
          <w:lang w:eastAsia="zh-CN"/>
          <w14:textOutline w14:w="6540" w14:cap="sq" w14:cmpd="sng" w14:algn="ctr">
            <w14:solidFill>
              <w14:srgbClr w14:val="000000"/>
            </w14:solidFill>
            <w14:prstDash w14:val="solid"/>
            <w14:bevel/>
          </w14:textOutline>
        </w:rPr>
        <w:t xml:space="preserve">供应商</w:t>
      </w:r>
      <w:r>
        <w:rPr>
          <w:rFonts w:hint="eastAsia" w:ascii="宋体" w:hAnsi="宋体" w:eastAsia="宋体" w:cs="宋体"/>
          <w:color w:val="auto"/>
          <w:spacing w:val="9"/>
          <w:sz w:val="35"/>
          <w:szCs w:val="35"/>
          <w14:textOutline w14:w="6540" w14:cap="sq" w14:cmpd="sng" w14:algn="ctr">
            <w14:solidFill>
              <w14:srgbClr w14:val="000000"/>
            </w14:solidFill>
            <w14:prstDash w14:val="solid"/>
            <w14:bevel/>
          </w14:textOutline>
        </w:rPr>
        <w:t xml:space="preserve">名称</w:t>
      </w:r>
      <w:r>
        <w:rPr>
          <w:rFonts w:hint="eastAsia" w:ascii="宋体" w:hAnsi="宋体" w:eastAsia="宋体" w:cs="宋体"/>
          <w:color w:val="auto"/>
          <w:spacing w:val="-36"/>
          <w:sz w:val="35"/>
          <w:szCs w:val="35"/>
          <w14:textOutline w14:w="6540" w14:cap="sq" w14:cmpd="sng" w14:algn="ctr">
            <w14:solidFill>
              <w14:srgbClr w14:val="000000"/>
            </w14:solidFill>
            <w14:prstDash w14:val="solid"/>
            <w14:bevel/>
          </w14:textOutline>
        </w:rPr>
        <w:t xml:space="preserve">：</w:t>
      </w:r>
      <w:r>
        <w:rPr>
          <w:rFonts w:hint="eastAsia" w:ascii="宋体" w:hAnsi="宋体" w:eastAsia="宋体" w:cs="宋体"/>
          <w:color w:val="auto"/>
          <w:spacing w:val="-36"/>
          <w:sz w:val="35"/>
          <w:szCs w:val="35"/>
          <w:u w:val="single"/>
          <w14:textOutline w14:w="6540" w14:cap="sq" w14:cmpd="sng" w14:algn="ctr">
            <w14:solidFill>
              <w14:srgbClr w14:val="000000"/>
            </w14:solidFill>
            <w14:prstDash w14:val="solid"/>
            <w14:bevel/>
          </w14:textOutline>
        </w:rPr>
        <w:t xml:space="preserve">（</w:t>
      </w:r>
      <w:r>
        <w:rPr>
          <w:rFonts w:hint="eastAsia" w:ascii="宋体" w:hAnsi="宋体" w:eastAsia="宋体" w:cs="宋体"/>
          <w:color w:val="auto"/>
          <w:spacing w:val="9"/>
          <w:sz w:val="35"/>
          <w:szCs w:val="35"/>
          <w:u w:val="single"/>
          <w14:textOutline w14:w="6540" w14:cap="sq" w14:cmpd="sng" w14:algn="ctr">
            <w14:solidFill>
              <w14:srgbClr w14:val="000000"/>
            </w14:solidFill>
            <w14:prstDash w14:val="solid"/>
            <w14:bevel/>
          </w14:textOutline>
        </w:rPr>
        <w:t xml:space="preserve">加盖</w:t>
      </w:r>
      <w:r>
        <w:rPr>
          <w:rFonts w:hint="eastAsia" w:ascii="宋体" w:hAnsi="宋体" w:eastAsia="宋体" w:cs="宋体"/>
          <w:color w:val="auto"/>
          <w:sz w:val="35"/>
          <w:szCs w:val="35"/>
          <w:u w:val="single"/>
          <w14:textOutline w14:w="6540" w14:cap="sq" w14:cmpd="sng" w14:algn="ctr">
            <w14:solidFill>
              <w14:srgbClr w14:val="000000"/>
            </w14:solidFill>
            <w14:prstDash w14:val="solid"/>
            <w14:bevel/>
          </w14:textOutline>
        </w:rPr>
        <w:t xml:space="preserve">CA</w:t>
      </w:r>
      <w:r>
        <w:rPr>
          <w:rFonts w:hint="eastAsia" w:ascii="宋体" w:hAnsi="宋体" w:eastAsia="宋体" w:cs="宋体"/>
          <w:color w:val="auto"/>
          <w:spacing w:val="9"/>
          <w:sz w:val="35"/>
          <w:szCs w:val="35"/>
          <w:u w:val="single"/>
          <w14:textOutline w14:w="6540" w14:cap="sq" w14:cmpd="sng" w14:algn="ctr">
            <w14:solidFill>
              <w14:srgbClr w14:val="000000"/>
            </w14:solidFill>
            <w14:prstDash w14:val="solid"/>
            <w14:bevel/>
          </w14:textOutline>
        </w:rPr>
        <w:t xml:space="preserve">电子公章）</w:t>
      </w:r>
      <w:r/>
    </w:p>
    <w:p>
      <w:pPr>
        <w:ind w:left="790"/>
        <w:spacing w:before="40" w:line="225" w:lineRule="auto"/>
        <w:widowControl w:val="off"/>
        <w:rPr>
          <w:rFonts w:ascii="宋体" w:hAnsi="宋体" w:eastAsia="宋体" w:cs="宋体"/>
          <w:color w:val="auto"/>
          <w:sz w:val="35"/>
          <w:szCs w:val="35"/>
        </w:rPr>
      </w:pPr>
      <w:r>
        <w:rPr>
          <w:rFonts w:hint="eastAsia" w:ascii="宋体" w:hAnsi="宋体" w:eastAsia="宋体" w:cs="宋体"/>
          <w:color w:val="auto"/>
          <w:spacing w:val="-25"/>
          <w:sz w:val="35"/>
          <w:szCs w:val="35"/>
          <w14:textOutline w14:w="6540" w14:cap="sq" w14:cmpd="sng" w14:algn="ctr">
            <w14:solidFill>
              <w14:srgbClr w14:val="000000"/>
            </w14:solidFill>
            <w14:prstDash w14:val="solid"/>
            <w14:bevel/>
          </w14:textOutline>
        </w:rPr>
        <w:t xml:space="preserve">日期：</w:t>
      </w:r>
      <w:r/>
    </w:p>
    <w:p>
      <w:pPr>
        <w:spacing w:line="226" w:lineRule="auto"/>
        <w:widowControl w:val="off"/>
        <w:rPr>
          <w:rFonts w:ascii="宋体" w:hAnsi="宋体" w:eastAsia="宋体" w:cs="宋体"/>
          <w:color w:val="auto"/>
          <w:sz w:val="35"/>
          <w:szCs w:val="35"/>
        </w:rPr>
        <w:sectPr>
          <w:footerReference w:type="default" r:id="rId13"/>
          <w:footnotePr/>
          <w:endnotePr/>
          <w:type w:val="nextPage"/>
          <w:pgSz w:w="11906" w:h="16839" w:orient="portrait"/>
          <w:pgMar w:top="1431" w:right="1785" w:bottom="1058" w:left="1785" w:header="0" w:footer="879" w:gutter="0"/>
          <w:cols w:num="1" w:sep="0" w:space="720" w:equalWidth="1"/>
          <w:docGrid w:linePitch="360"/>
        </w:sectPr>
      </w:pPr>
      <w:r>
        <w:rPr>
          <w:rFonts w:ascii="宋体" w:hAnsi="宋体" w:eastAsia="宋体" w:cs="宋体"/>
          <w:color w:val="auto"/>
          <w:sz w:val="35"/>
          <w:szCs w:val="35"/>
        </w:rPr>
      </w:r>
      <w:r/>
    </w:p>
    <w:p>
      <w:pPr>
        <w:pStyle w:val="927"/>
        <w:spacing w:line="246" w:lineRule="auto"/>
        <w:widowControl w:val="off"/>
        <w:rPr>
          <w:rFonts w:ascii="宋体" w:hAnsi="宋体" w:eastAsia="宋体" w:cs="宋体"/>
          <w:color w:val="auto"/>
        </w:rPr>
      </w:pPr>
      <w:r>
        <w:rPr>
          <w:rFonts w:ascii="宋体" w:hAnsi="宋体" w:eastAsia="宋体" w:cs="宋体"/>
          <w:color w:val="auto"/>
        </w:rPr>
      </w:r>
      <w:r/>
    </w:p>
    <w:p>
      <w:pPr>
        <w:jc w:val="center"/>
        <w:spacing w:before="145" w:after="145" w:line="360" w:lineRule="auto"/>
        <w:widowControl w:val="off"/>
        <w:rPr>
          <w:rFonts w:ascii="宋体" w:hAnsi="宋体" w:eastAsia="宋体" w:cs="宋体"/>
          <w:b/>
          <w:bCs/>
          <w:color w:val="auto"/>
          <w:sz w:val="32"/>
          <w:szCs w:val="32"/>
        </w:rPr>
        <w:outlineLvl w:val="1"/>
      </w:pPr>
      <w:r/>
      <w:bookmarkStart w:id="77" w:name="bookmark22"/>
      <w:r/>
      <w:bookmarkEnd w:id="77"/>
      <w:r/>
      <w:bookmarkStart w:id="78" w:name="_Toc15205"/>
      <w:r>
        <w:rPr>
          <w:rFonts w:hint="eastAsia" w:ascii="宋体" w:hAnsi="宋体" w:eastAsia="宋体" w:cs="宋体"/>
          <w:b/>
          <w:bCs/>
          <w:color w:val="auto"/>
          <w:sz w:val="32"/>
          <w:szCs w:val="32"/>
        </w:rPr>
        <w:t xml:space="preserve">响应文件目录</w:t>
      </w:r>
      <w:bookmarkEnd w:id="78"/>
      <w:r/>
      <w:r/>
    </w:p>
    <w:p>
      <w:pPr>
        <w:pStyle w:val="927"/>
        <w:spacing w:line="244" w:lineRule="auto"/>
        <w:widowControl w:val="off"/>
        <w:rPr>
          <w:rFonts w:ascii="宋体" w:hAnsi="宋体" w:eastAsia="宋体" w:cs="宋体"/>
          <w:color w:val="auto"/>
        </w:rPr>
      </w:pPr>
      <w:r>
        <w:rPr>
          <w:rFonts w:ascii="宋体" w:hAnsi="宋体" w:eastAsia="宋体" w:cs="宋体"/>
          <w:color w:val="auto"/>
        </w:rPr>
      </w:r>
      <w:r/>
    </w:p>
    <w:p>
      <w:pPr>
        <w:pStyle w:val="927"/>
        <w:spacing w:line="245" w:lineRule="auto"/>
        <w:widowControl w:val="off"/>
        <w:rPr>
          <w:rFonts w:ascii="宋体" w:hAnsi="宋体" w:eastAsia="宋体" w:cs="宋体"/>
          <w:color w:val="auto"/>
        </w:rPr>
      </w:pPr>
      <w:r>
        <w:rPr>
          <w:rFonts w:ascii="宋体" w:hAnsi="宋体" w:eastAsia="宋体" w:cs="宋体"/>
          <w:color w:val="auto"/>
        </w:rPr>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一、响应声明及承诺函</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二、供应商基本信息</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三、特定资格要求的证明文件</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四、法定代表人身份证明或法人授权书</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五、中小企业声明函</w:t>
      </w:r>
      <w:r/>
    </w:p>
    <w:p>
      <w:pPr>
        <w:spacing w:line="360" w:lineRule="auto"/>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六</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报价一览表</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lang w:eastAsia="zh-CN"/>
        </w:rPr>
        <w:t xml:space="preserve">七</w:t>
      </w:r>
      <w:r>
        <w:rPr>
          <w:rFonts w:hint="eastAsia" w:ascii="宋体" w:hAnsi="宋体" w:eastAsia="宋体" w:cs="宋体"/>
          <w:color w:val="auto"/>
          <w:sz w:val="28"/>
          <w:szCs w:val="28"/>
        </w:rPr>
        <w:t xml:space="preserve">、分项报价表（服务类）</w:t>
      </w:r>
      <w:r/>
    </w:p>
    <w:p>
      <w:pPr>
        <w:spacing w:line="360" w:lineRule="auto"/>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八</w:t>
      </w:r>
      <w:r>
        <w:rPr>
          <w:rFonts w:hint="eastAsia" w:ascii="宋体" w:hAnsi="宋体" w:eastAsia="宋体" w:cs="宋体"/>
          <w:color w:val="auto"/>
          <w:sz w:val="28"/>
          <w:szCs w:val="28"/>
        </w:rPr>
        <w:t xml:space="preserve">、响应及偏离表</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lang w:eastAsia="zh-CN"/>
        </w:rPr>
        <w:t xml:space="preserve">九</w:t>
      </w:r>
      <w:r>
        <w:rPr>
          <w:rFonts w:hint="eastAsia" w:ascii="宋体" w:hAnsi="宋体" w:eastAsia="宋体" w:cs="宋体"/>
          <w:color w:val="auto"/>
          <w:sz w:val="28"/>
          <w:szCs w:val="28"/>
        </w:rPr>
        <w:t xml:space="preserve">、项目组人员</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lang w:eastAsia="zh-CN"/>
        </w:rPr>
        <w:t xml:space="preserve">十</w:t>
      </w:r>
      <w:r>
        <w:rPr>
          <w:rFonts w:hint="eastAsia" w:ascii="宋体" w:hAnsi="宋体" w:eastAsia="宋体" w:cs="宋体"/>
          <w:color w:val="auto"/>
          <w:sz w:val="28"/>
          <w:szCs w:val="28"/>
        </w:rPr>
        <w:t xml:space="preserve">、企业业绩</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十</w:t>
      </w:r>
      <w:r>
        <w:rPr>
          <w:rFonts w:hint="eastAsia" w:ascii="宋体" w:hAnsi="宋体" w:eastAsia="宋体" w:cs="宋体"/>
          <w:color w:val="auto"/>
          <w:sz w:val="28"/>
          <w:szCs w:val="28"/>
          <w:lang w:eastAsia="zh-CN"/>
        </w:rPr>
        <w:t xml:space="preserve">一</w:t>
      </w:r>
      <w:r>
        <w:rPr>
          <w:rFonts w:hint="eastAsia" w:ascii="宋体" w:hAnsi="宋体" w:eastAsia="宋体" w:cs="宋体"/>
          <w:color w:val="auto"/>
          <w:sz w:val="28"/>
          <w:szCs w:val="28"/>
        </w:rPr>
        <w:t xml:space="preserve">、磋商所需其他材料</w:t>
      </w:r>
      <w:r/>
    </w:p>
    <w:p>
      <w:pPr>
        <w:spacing w:line="219" w:lineRule="auto"/>
        <w:widowControl w:val="off"/>
        <w:rPr>
          <w:rFonts w:ascii="宋体" w:hAnsi="宋体" w:eastAsia="宋体" w:cs="宋体"/>
          <w:color w:val="auto"/>
          <w:sz w:val="24"/>
          <w:szCs w:val="24"/>
        </w:rPr>
        <w:sectPr>
          <w:footerReference w:type="default" r:id="rId14"/>
          <w:footnotePr/>
          <w:endnotePr/>
          <w:type w:val="nextPage"/>
          <w:pgSz w:w="11906" w:h="16839" w:orient="portrait"/>
          <w:pgMar w:top="1431" w:right="1785" w:bottom="1058" w:left="1785" w:header="0" w:footer="879" w:gutter="0"/>
          <w:cols w:num="1" w:sep="0" w:space="720" w:equalWidth="1"/>
          <w:docGrid w:linePitch="360"/>
        </w:sectPr>
      </w:pPr>
      <w:r>
        <w:rPr>
          <w:rFonts w:ascii="宋体" w:hAnsi="宋体" w:eastAsia="宋体" w:cs="宋体"/>
          <w:color w:val="auto"/>
          <w:sz w:val="24"/>
          <w:szCs w:val="24"/>
        </w:rPr>
      </w:r>
      <w:r/>
    </w:p>
    <w:p>
      <w:pPr>
        <w:spacing w:before="145" w:after="145" w:line="360" w:lineRule="auto"/>
        <w:widowControl w:val="off"/>
        <w:rPr>
          <w:rFonts w:ascii="宋体" w:hAnsi="宋体" w:eastAsia="宋体" w:cs="宋体"/>
          <w:b/>
          <w:bCs/>
          <w:color w:val="auto"/>
          <w:sz w:val="32"/>
          <w:szCs w:val="32"/>
        </w:rPr>
        <w:outlineLvl w:val="1"/>
      </w:pPr>
      <w:r/>
      <w:bookmarkStart w:id="79" w:name="bookmark27"/>
      <w:r/>
      <w:bookmarkEnd w:id="79"/>
      <w:r/>
      <w:bookmarkStart w:id="80" w:name="_Toc32692"/>
      <w:r/>
      <w:bookmarkStart w:id="81" w:name="_Toc29437"/>
      <w:r>
        <w:rPr>
          <w:rFonts w:hint="eastAsia" w:ascii="宋体" w:hAnsi="宋体" w:eastAsia="宋体" w:cs="宋体"/>
          <w:b/>
          <w:bCs/>
          <w:color w:val="auto"/>
          <w:sz w:val="32"/>
          <w:szCs w:val="32"/>
        </w:rPr>
        <w:t xml:space="preserve">一、</w:t>
      </w:r>
      <w:bookmarkEnd w:id="80"/>
      <w:r>
        <w:rPr>
          <w:rFonts w:hint="eastAsia" w:ascii="宋体" w:hAnsi="宋体" w:eastAsia="宋体" w:cs="宋体"/>
          <w:b/>
          <w:bCs/>
          <w:color w:val="auto"/>
          <w:sz w:val="32"/>
          <w:szCs w:val="32"/>
        </w:rPr>
        <w:t xml:space="preserve">响应声明及承诺函</w:t>
      </w:r>
      <w:bookmarkEnd w:id="81"/>
      <w:r/>
      <w:r/>
    </w:p>
    <w:p>
      <w:pPr>
        <w:pStyle w:val="1114"/>
        <w:jc w:val="center"/>
        <w:rPr>
          <w:rFonts w:ascii="宋体" w:hAnsi="宋体" w:cs="宋体"/>
          <w:b/>
          <w:sz w:val="32"/>
          <w:szCs w:val="32"/>
        </w:rPr>
      </w:pPr>
      <w:r>
        <w:rPr>
          <w:rFonts w:hint="eastAsia" w:ascii="宋体" w:hAnsi="宋体" w:cs="宋体"/>
          <w:b/>
          <w:sz w:val="32"/>
          <w:szCs w:val="32"/>
        </w:rPr>
        <w:t xml:space="preserve">响应声明及承诺函</w:t>
      </w:r>
      <w:r/>
    </w:p>
    <w:p>
      <w:pPr>
        <w:pStyle w:val="1114"/>
        <w:jc w:val="left"/>
        <w:spacing w:line="500" w:lineRule="exact"/>
        <w:rPr>
          <w:rFonts w:ascii="宋体" w:hAnsi="宋体" w:cs="宋体"/>
          <w:sz w:val="24"/>
          <w:szCs w:val="24"/>
          <w:u w:val="single"/>
        </w:rPr>
      </w:pPr>
      <w:r>
        <w:rPr>
          <w:rFonts w:hint="eastAsia" w:ascii="宋体" w:hAnsi="宋体" w:cs="宋体"/>
          <w:sz w:val="24"/>
          <w:szCs w:val="24"/>
          <w:u w:val="single"/>
        </w:rPr>
        <w:t xml:space="preserve">（采购单位名称）：</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项目的竞争性磋商文件，我单位在参加本项目竞争性磋商活动中，特做出如下承诺：</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三、我方按磋商文件要求提交响应文件，响应磋商文件规定的响应有效期；</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四、如果我方的响应文件被接受，我方将按照《中华人民共和国民法典》及其他有关法律法规的规定，按期、按质、按量交付采购单位，全面做到履约守信；</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七、投标即视为已承诺响应磋商文件要求。</w:t>
      </w:r>
      <w:r/>
    </w:p>
    <w:p>
      <w:pPr>
        <w:pStyle w:val="1114"/>
        <w:ind w:firstLine="480"/>
        <w:jc w:val="left"/>
        <w:spacing w:line="500" w:lineRule="exact"/>
        <w:rPr>
          <w:rFonts w:ascii="宋体" w:hAnsi="宋体" w:cs="宋体"/>
          <w:sz w:val="24"/>
          <w:szCs w:val="24"/>
        </w:rPr>
      </w:pPr>
      <w:r>
        <w:rPr>
          <w:rFonts w:ascii="宋体" w:hAnsi="宋体" w:cs="宋体"/>
          <w:sz w:val="24"/>
          <w:szCs w:val="24"/>
        </w:rPr>
      </w:r>
      <w:r/>
    </w:p>
    <w:p>
      <w:pPr>
        <w:pStyle w:val="1114"/>
        <w:jc w:val="left"/>
        <w:spacing w:line="500" w:lineRule="exact"/>
        <w:rPr>
          <w:rFonts w:ascii="宋体" w:hAnsi="宋体" w:cs="宋体"/>
          <w:sz w:val="24"/>
          <w:szCs w:val="24"/>
        </w:rPr>
      </w:pPr>
      <w:r>
        <w:rPr>
          <w:rFonts w:ascii="宋体" w:hAnsi="宋体" w:cs="宋体"/>
          <w:sz w:val="24"/>
          <w:szCs w:val="24"/>
        </w:rPr>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ind w:firstLine="480"/>
        <w:spacing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color w:val="auto"/>
          <w:sz w:val="32"/>
          <w:szCs w:val="32"/>
        </w:rPr>
      </w:pPr>
      <w:r/>
      <w:bookmarkStart w:id="82" w:name="_Toc21447"/>
      <w:r/>
      <w:bookmarkStart w:id="83" w:name="_Toc27399"/>
      <w:r/>
      <w:bookmarkStart w:id="84" w:name="_Toc120614284"/>
      <w:r>
        <w:rPr>
          <w:rFonts w:hint="eastAsia" w:ascii="宋体" w:hAnsi="宋体" w:eastAsia="宋体" w:cs="宋体"/>
          <w:b/>
          <w:bCs/>
          <w:color w:val="auto"/>
          <w:sz w:val="32"/>
          <w:szCs w:val="32"/>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85" w:name="_Toc10927"/>
      <w:r>
        <w:rPr>
          <w:rFonts w:hint="eastAsia" w:ascii="宋体" w:hAnsi="宋体" w:eastAsia="宋体" w:cs="宋体"/>
          <w:b/>
          <w:bCs/>
          <w:color w:val="auto"/>
          <w:sz w:val="32"/>
          <w:szCs w:val="32"/>
        </w:rPr>
        <w:t xml:space="preserve">二、供应商基本信息</w:t>
      </w:r>
      <w:bookmarkEnd w:id="82"/>
      <w:r/>
      <w:bookmarkEnd w:id="83"/>
      <w:r/>
      <w:bookmarkEnd w:id="85"/>
      <w:r/>
      <w:r/>
    </w:p>
    <w:p>
      <w:pPr>
        <w:pStyle w:val="1115"/>
        <w:jc w:val="center"/>
        <w:rPr>
          <w:rFonts w:ascii="宋体" w:hAnsi="宋体" w:cs="宋体"/>
          <w:sz w:val="44"/>
          <w:szCs w:val="44"/>
        </w:rPr>
      </w:pPr>
      <w:r>
        <w:rPr>
          <w:rFonts w:hint="eastAsia" w:ascii="宋体" w:hAnsi="宋体" w:cs="宋体"/>
          <w:sz w:val="44"/>
          <w:szCs w:val="44"/>
        </w:rPr>
        <w:t xml:space="preserve">供应商基本情况表</w:t>
      </w:r>
      <w:r/>
    </w:p>
    <w:tbl>
      <w:tblPr>
        <w:tblStyle w:val="921"/>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供应商名称</w:t>
            </w:r>
            <w:r/>
          </w:p>
        </w:tc>
        <w:tc>
          <w:tcPr>
            <w:gridSpan w:val="3"/>
            <w:tcW w:w="699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供应商类别</w:t>
            </w:r>
            <w:r/>
          </w:p>
        </w:tc>
        <w:tc>
          <w:tcPr>
            <w:gridSpan w:val="3"/>
            <w:tcW w:w="699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5"/>
              <w:jc w:val="center"/>
              <w:spacing w:line="600" w:lineRule="exact"/>
              <w:rPr>
                <w:rFonts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val="false"/>
          </w:tcPr>
          <w:p>
            <w:pPr>
              <w:pStyle w:val="1115"/>
              <w:jc w:val="center"/>
              <w:spacing w:line="600" w:lineRule="exact"/>
              <w:rPr>
                <w:rFonts w:ascii="宋体" w:hAnsi="宋体" w:cs="宋体"/>
                <w:sz w:val="24"/>
                <w:szCs w:val="24"/>
              </w:rPr>
            </w:pPr>
            <w:r>
              <w:rPr>
                <w:rFonts w:ascii="宋体" w:hAnsi="宋体" w:cs="宋体"/>
                <w:sz w:val="24"/>
                <w:szCs w:val="24"/>
              </w:rPr>
            </w:r>
            <w:r/>
          </w:p>
        </w:tc>
      </w:tr>
      <w:tr>
        <w:trPr>
          <w:jc w:val="center"/>
          <w:trHeight w:val="2376"/>
        </w:trPr>
        <w:tc>
          <w:tcPr>
            <w:tcW w:w="1526" w:type="dxa"/>
            <w:vAlign w:val="center"/>
            <w:textDirection w:val="lrTb"/>
            <w:noWrap w:val="false"/>
          </w:tcPr>
          <w:p>
            <w:pPr>
              <w:pStyle w:val="1115"/>
              <w:jc w:val="center"/>
              <w:spacing w:line="560" w:lineRule="exact"/>
              <w:rPr>
                <w:rFonts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val="false"/>
          </w:tcPr>
          <w:p>
            <w:pPr>
              <w:pStyle w:val="1115"/>
              <w:ind w:firstLine="1433"/>
              <w:spacing w:line="560" w:lineRule="exact"/>
              <w:rPr>
                <w:rFonts w:ascii="宋体" w:hAnsi="宋体" w:cs="宋体"/>
                <w:sz w:val="24"/>
                <w:szCs w:val="24"/>
              </w:rPr>
            </w:pPr>
            <w:r>
              <w:rPr>
                <w:rFonts w:ascii="宋体" w:hAnsi="宋体" w:cs="宋体"/>
                <w:sz w:val="24"/>
                <w:szCs w:val="24"/>
              </w:rPr>
            </w:r>
            <w:r/>
          </w:p>
        </w:tc>
      </w:tr>
      <w:tr>
        <w:trPr>
          <w:jc w:val="center"/>
          <w:trHeight w:val="1134"/>
        </w:trPr>
        <w:tc>
          <w:tcPr>
            <w:tcW w:w="1526" w:type="dxa"/>
            <w:vAlign w:val="center"/>
            <w:textDirection w:val="lrTb"/>
            <w:noWrap w:val="false"/>
          </w:tcPr>
          <w:p>
            <w:pPr>
              <w:pStyle w:val="1115"/>
              <w:jc w:val="center"/>
              <w:spacing w:line="560" w:lineRule="exact"/>
              <w:rPr>
                <w:rFonts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val="false"/>
          </w:tcPr>
          <w:p>
            <w:pPr>
              <w:pStyle w:val="1115"/>
              <w:jc w:val="center"/>
              <w:spacing w:line="500" w:lineRule="exact"/>
              <w:rPr>
                <w:rFonts w:ascii="宋体" w:hAnsi="宋体" w:cs="宋体"/>
                <w:sz w:val="24"/>
                <w:szCs w:val="24"/>
              </w:rPr>
            </w:pPr>
            <w:r>
              <w:rPr>
                <w:rFonts w:ascii="宋体" w:hAnsi="宋体" w:cs="宋体"/>
                <w:sz w:val="24"/>
                <w:szCs w:val="24"/>
              </w:rPr>
            </w:r>
            <w:r/>
          </w:p>
        </w:tc>
      </w:tr>
    </w:tbl>
    <w:p>
      <w:pPr>
        <w:spacing w:before="145" w:after="145" w:line="360" w:lineRule="auto"/>
        <w:widowControl w:val="off"/>
        <w:rPr>
          <w:rFonts w:ascii="宋体" w:hAnsi="宋体" w:eastAsia="宋体" w:cs="宋体"/>
          <w:i/>
          <w:color w:val="auto"/>
          <w:sz w:val="32"/>
          <w:szCs w:val="32"/>
          <w:u w:val="single"/>
        </w:rPr>
        <w:outlineLvl w:val="1"/>
      </w:pPr>
      <w:r>
        <w:rPr>
          <w:rFonts w:hint="eastAsia" w:ascii="宋体" w:hAnsi="宋体" w:eastAsia="宋体" w:cs="宋体"/>
          <w:iCs/>
          <w:color w:val="auto"/>
          <w:sz w:val="32"/>
          <w:szCs w:val="32"/>
        </w:rPr>
        <w:br w:type="page" w:clear="all"/>
      </w:r>
      <w:bookmarkStart w:id="86" w:name="_Toc472"/>
      <w:r/>
      <w:bookmarkStart w:id="87" w:name="_Toc9628"/>
      <w:r>
        <w:rPr>
          <w:rFonts w:hint="eastAsia" w:ascii="宋体" w:hAnsi="宋体" w:eastAsia="宋体" w:cs="宋体"/>
          <w:b/>
          <w:bCs/>
          <w:color w:val="auto"/>
          <w:sz w:val="32"/>
          <w:szCs w:val="32"/>
        </w:rPr>
        <w:t xml:space="preserve">三、特定资格要求的证明文件</w:t>
      </w:r>
      <w:bookmarkEnd w:id="86"/>
      <w:r/>
      <w:bookmarkEnd w:id="87"/>
      <w:r/>
      <w:r/>
    </w:p>
    <w:p>
      <w:pPr>
        <w:pStyle w:val="964"/>
        <w:rPr>
          <w:rFonts w:ascii="宋体" w:hAnsi="宋体" w:eastAsia="宋体" w:cs="宋体"/>
          <w:sz w:val="24"/>
        </w:rPr>
      </w:pPr>
      <w:r>
        <w:rPr>
          <w:rFonts w:hint="eastAsia" w:ascii="宋体" w:hAnsi="宋体" w:eastAsia="宋体" w:cs="宋体"/>
          <w:sz w:val="24"/>
        </w:rPr>
        <w:t xml:space="preserve">如果本项目申请人的特定资格要求中要求提供的，必须提供。</w:t>
      </w:r>
      <w:r/>
    </w:p>
    <w:p>
      <w:pPr>
        <w:pStyle w:val="964"/>
        <w:rPr>
          <w:rFonts w:ascii="宋体" w:hAnsi="宋体" w:eastAsia="宋体" w:cs="宋体"/>
          <w:sz w:val="24"/>
        </w:rPr>
      </w:pPr>
      <w:r>
        <w:rPr>
          <w:rFonts w:hint="eastAsia" w:ascii="宋体" w:hAnsi="宋体" w:eastAsia="宋体" w:cs="宋体"/>
          <w:sz w:val="24"/>
        </w:rPr>
        <w:t xml:space="preserve">附营业执照、资质证书等资料。</w:t>
      </w:r>
      <w:r/>
    </w:p>
    <w:p>
      <w:pPr>
        <w:pStyle w:val="964"/>
        <w:ind w:firstLine="0"/>
        <w:rPr>
          <w:rFonts w:ascii="宋体" w:hAnsi="宋体" w:eastAsia="宋体" w:cs="宋体"/>
          <w:sz w:val="24"/>
        </w:rPr>
      </w:pPr>
      <w:r>
        <w:rPr>
          <w:rFonts w:ascii="宋体" w:hAnsi="宋体" w:eastAsia="宋体" w:cs="宋体"/>
          <w:sz w:val="24"/>
        </w:rPr>
      </w:r>
      <w:r/>
    </w:p>
    <w:p>
      <w:pPr>
        <w:spacing w:before="145" w:after="145" w:line="360" w:lineRule="auto"/>
        <w:widowControl w:val="off"/>
        <w:rPr>
          <w:rFonts w:hint="eastAsia" w:ascii="宋体" w:hAnsi="宋体" w:eastAsia="宋体" w:cs="宋体"/>
          <w:b/>
          <w:bCs/>
          <w:color w:val="auto"/>
          <w:sz w:val="32"/>
          <w:szCs w:val="32"/>
        </w:rPr>
        <w:outlineLvl w:val="1"/>
      </w:pPr>
      <w:r>
        <w:rPr>
          <w:rFonts w:hint="eastAsia" w:ascii="宋体" w:hAnsi="宋体" w:eastAsia="宋体" w:cs="宋体"/>
          <w:color w:val="auto"/>
          <w:sz w:val="24"/>
          <w:lang w:eastAsia="zh-CN"/>
        </w:rPr>
        <w:br w:type="page" w:clear="all"/>
      </w:r>
      <w:bookmarkStart w:id="88" w:name="_Toc1503"/>
      <w:r/>
      <w:bookmarkStart w:id="89" w:name="_Toc29837"/>
      <w:r>
        <w:rPr>
          <w:rFonts w:hint="eastAsia" w:ascii="宋体" w:hAnsi="宋体" w:eastAsia="宋体" w:cs="宋体"/>
          <w:b/>
          <w:bCs/>
          <w:color w:val="auto"/>
          <w:sz w:val="32"/>
          <w:szCs w:val="32"/>
        </w:rPr>
        <w:t xml:space="preserve">四、法定代表人身份证明或法人授权书</w:t>
      </w:r>
      <w:bookmarkEnd w:id="88"/>
      <w:r/>
      <w:bookmarkEnd w:id="89"/>
      <w:r/>
      <w:r/>
    </w:p>
    <w:p>
      <w:pPr>
        <w:jc w:val="center"/>
        <w:rPr>
          <w:rFonts w:hint="eastAsia" w:ascii="宋体" w:hAnsi="宋体" w:eastAsia="宋体" w:cs="宋体"/>
          <w:iCs/>
          <w:color w:val="auto"/>
          <w:sz w:val="32"/>
          <w:szCs w:val="32"/>
        </w:rPr>
      </w:pPr>
      <w:r>
        <w:rPr>
          <w:rFonts w:hint="eastAsia" w:ascii="宋体" w:hAnsi="宋体" w:eastAsia="宋体" w:cs="宋体"/>
          <w:iCs/>
          <w:color w:val="auto"/>
          <w:sz w:val="32"/>
          <w:szCs w:val="32"/>
        </w:rPr>
      </w:r>
      <w:r/>
    </w:p>
    <w:p>
      <w:pPr>
        <w:jc w:val="center"/>
        <w:rPr>
          <w:rFonts w:ascii="宋体" w:hAnsi="宋体" w:eastAsia="宋体" w:cs="宋体"/>
          <w:iCs/>
          <w:color w:val="auto"/>
          <w:sz w:val="32"/>
          <w:szCs w:val="32"/>
        </w:rPr>
      </w:pPr>
      <w:r>
        <w:rPr>
          <w:rFonts w:hint="eastAsia" w:ascii="宋体" w:hAnsi="宋体" w:eastAsia="宋体" w:cs="宋体"/>
          <w:iCs/>
          <w:color w:val="auto"/>
          <w:sz w:val="32"/>
          <w:szCs w:val="32"/>
        </w:rPr>
        <w:t xml:space="preserve">法定代表人身份证明</w:t>
      </w:r>
      <w:r/>
    </w:p>
    <w:p>
      <w:pPr>
        <w:pStyle w:val="1138"/>
        <w:spacing w:line="480" w:lineRule="exact"/>
        <w:rPr>
          <w:rFonts w:ascii="宋体" w:hAnsi="宋体" w:cs="宋体"/>
          <w:sz w:val="24"/>
        </w:rPr>
      </w:pPr>
      <w:r>
        <w:rPr>
          <w:rFonts w:ascii="宋体" w:hAnsi="宋体" w:cs="宋体"/>
          <w:sz w:val="24"/>
        </w:rPr>
      </w:r>
      <w:r/>
    </w:p>
    <w:p>
      <w:pPr>
        <w:pStyle w:val="1138"/>
        <w:spacing w:line="48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 </w:t>
      </w:r>
      <w:r/>
    </w:p>
    <w:p>
      <w:pPr>
        <w:pStyle w:val="1138"/>
        <w:spacing w:line="480" w:lineRule="exact"/>
        <w:rPr>
          <w:rFonts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pStyle w:val="1138"/>
        <w:spacing w:line="480" w:lineRule="exact"/>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pStyle w:val="1138"/>
        <w:spacing w:line="480" w:lineRule="exact"/>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pStyle w:val="1138"/>
        <w:spacing w:line="480" w:lineRule="exact"/>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pStyle w:val="1138"/>
        <w:spacing w:line="480" w:lineRule="exact"/>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系</w:t>
      </w:r>
      <w:r/>
    </w:p>
    <w:p>
      <w:pPr>
        <w:pStyle w:val="1138"/>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（供应商名称）的法定代表人。</w:t>
      </w:r>
      <w:r/>
    </w:p>
    <w:p>
      <w:pPr>
        <w:pStyle w:val="1138"/>
        <w:ind w:firstLine="480"/>
        <w:spacing w:line="480" w:lineRule="exact"/>
        <w:rPr>
          <w:rFonts w:ascii="宋体" w:hAnsi="宋体" w:cs="宋体"/>
          <w:sz w:val="24"/>
        </w:rPr>
      </w:pPr>
      <w:r>
        <w:rPr>
          <w:rFonts w:hint="eastAsia" w:ascii="宋体" w:hAnsi="宋体" w:cs="宋体"/>
          <w:sz w:val="24"/>
        </w:rPr>
        <w:t xml:space="preserve">特此证明。</w:t>
      </w:r>
      <w:r/>
    </w:p>
    <w:p>
      <w:pPr>
        <w:pStyle w:val="1139"/>
        <w:spacing w:line="600" w:lineRule="exact"/>
        <w:rPr>
          <w:rFonts w:ascii="宋体" w:hAnsi="宋体" w:cs="宋体"/>
          <w:sz w:val="24"/>
        </w:rPr>
      </w:pPr>
      <w:r>
        <w:rPr>
          <w:rFonts w:hint="eastAsia" w:ascii="宋体" w:hAnsi="宋体" w:cs="宋体"/>
          <w:b/>
          <w:sz w:val="24"/>
        </w:rPr>
        <w:t xml:space="preserve">（附法定代表人有效身份证扫描件。）</w:t>
      </w:r>
      <w:r/>
    </w:p>
    <w:p>
      <w:pPr>
        <w:pStyle w:val="1138"/>
        <w:jc w:val="right"/>
        <w:spacing w:line="480" w:lineRule="exact"/>
        <w:rPr>
          <w:rFonts w:ascii="宋体" w:hAnsi="宋体" w:cs="宋体"/>
          <w:sz w:val="24"/>
        </w:rPr>
      </w:pPr>
      <w:r>
        <w:rPr>
          <w:rFonts w:ascii="宋体" w:hAnsi="宋体" w:cs="宋体"/>
          <w:sz w:val="24"/>
        </w:rPr>
      </w:r>
      <w:r/>
    </w:p>
    <w:p>
      <w:pPr>
        <w:pStyle w:val="1138"/>
        <w:jc w:val="right"/>
        <w:spacing w:line="480" w:lineRule="exact"/>
        <w:rPr>
          <w:rFonts w:ascii="宋体" w:hAnsi="宋体" w:cs="宋体"/>
          <w:sz w:val="24"/>
        </w:rPr>
      </w:pPr>
      <w:r>
        <w:rPr>
          <w:rFonts w:ascii="宋体" w:hAnsi="宋体" w:cs="宋体"/>
          <w:sz w:val="24"/>
        </w:rPr>
      </w:r>
      <w:r/>
    </w:p>
    <w:p>
      <w:pPr>
        <w:pStyle w:val="1139"/>
        <w:ind w:firstLine="445"/>
        <w:jc w:val="right"/>
        <w:spacing w:line="700" w:lineRule="exact"/>
        <w:rPr>
          <w:rFonts w:ascii="宋体" w:hAnsi="宋体" w:cs="宋体"/>
          <w:sz w:val="24"/>
        </w:rPr>
      </w:pPr>
      <w:r>
        <w:rPr>
          <w:rFonts w:hint="eastAsia" w:ascii="宋体" w:hAnsi="宋体" w:cs="宋体"/>
          <w:sz w:val="24"/>
        </w:rPr>
        <w:t xml:space="preserve">单位名称：</w:t>
      </w:r>
      <w:r>
        <w:rPr>
          <w:rFonts w:hint="eastAsia" w:ascii="宋体" w:hAnsi="宋体" w:cs="宋体"/>
          <w:sz w:val="24"/>
          <w:u w:val="single"/>
        </w:rPr>
        <w:t xml:space="preserve">             </w:t>
      </w:r>
      <w:r>
        <w:rPr>
          <w:rFonts w:hint="eastAsia" w:ascii="宋体" w:hAnsi="宋体" w:cs="宋体"/>
          <w:sz w:val="24"/>
        </w:rPr>
        <w:t xml:space="preserve">（加盖CA电子公章）</w:t>
      </w:r>
      <w:r/>
    </w:p>
    <w:p>
      <w:pPr>
        <w:pStyle w:val="1137"/>
        <w:ind w:firstLine="424"/>
        <w:jc w:val="right"/>
        <w:spacing w:line="56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w:t>
      </w:r>
      <w:r/>
    </w:p>
    <w:p>
      <w:pPr>
        <w:pStyle w:val="1137"/>
        <w:ind w:firstLine="424"/>
        <w:jc w:val="right"/>
        <w:spacing w:line="560" w:lineRule="exact"/>
        <w:rPr>
          <w:rFonts w:ascii="宋体" w:hAnsi="宋体" w:cs="宋体"/>
          <w:iCs/>
          <w:sz w:val="32"/>
          <w:szCs w:val="32"/>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center"/>
        <w:rPr>
          <w:rFonts w:ascii="宋体" w:hAnsi="宋体" w:eastAsia="宋体" w:cs="宋体"/>
          <w:iCs/>
          <w:color w:val="auto"/>
          <w:sz w:val="32"/>
          <w:szCs w:val="32"/>
        </w:rPr>
        <w:sectPr>
          <w:footerReference w:type="default" r:id="rId15"/>
          <w:footnotePr/>
          <w:endnotePr/>
          <w:type w:val="nextPage"/>
          <w:pgSz w:w="11906" w:h="16839" w:orient="portrait"/>
          <w:pgMar w:top="1431" w:right="1473" w:bottom="1058" w:left="1483" w:header="0" w:footer="879" w:gutter="0"/>
          <w:cols w:num="1" w:sep="0" w:space="720" w:equalWidth="1"/>
          <w:docGrid w:linePitch="360"/>
        </w:sectPr>
      </w:pPr>
      <w:r>
        <w:rPr>
          <w:rFonts w:ascii="宋体" w:hAnsi="宋体" w:eastAsia="宋体" w:cs="宋体"/>
          <w:iCs/>
          <w:color w:val="auto"/>
          <w:sz w:val="32"/>
          <w:szCs w:val="32"/>
        </w:rPr>
      </w:r>
      <w:r/>
    </w:p>
    <w:p>
      <w:pPr>
        <w:jc w:val="center"/>
        <w:rPr>
          <w:rFonts w:ascii="宋体" w:hAnsi="宋体" w:eastAsia="宋体" w:cs="宋体"/>
          <w:iCs/>
          <w:color w:val="auto"/>
          <w:sz w:val="32"/>
          <w:szCs w:val="32"/>
        </w:rPr>
      </w:pPr>
      <w:r>
        <w:rPr>
          <w:rFonts w:hint="eastAsia" w:ascii="宋体" w:hAnsi="宋体" w:eastAsia="宋体" w:cs="宋体"/>
          <w:iCs/>
          <w:color w:val="auto"/>
          <w:sz w:val="32"/>
          <w:szCs w:val="32"/>
        </w:rPr>
        <w:t xml:space="preserve">法人授权书</w:t>
      </w:r>
      <w:r/>
    </w:p>
    <w:p>
      <w:pPr>
        <w:ind w:firstLine="480"/>
        <w:widowControl w:val="off"/>
        <w:tabs>
          <w:tab w:val="left" w:pos="360" w:leader="none"/>
        </w:tabs>
        <w:rPr>
          <w:rFonts w:ascii="宋体" w:hAnsi="宋体" w:eastAsia="宋体" w:cs="宋体"/>
          <w:color w:val="auto"/>
          <w:sz w:val="24"/>
          <w:szCs w:val="24"/>
        </w:rPr>
      </w:pPr>
      <w:r>
        <w:rPr>
          <w:rFonts w:ascii="宋体" w:hAnsi="宋体" w:eastAsia="宋体" w:cs="宋体"/>
          <w:color w:val="auto"/>
          <w:sz w:val="24"/>
          <w:szCs w:val="24"/>
        </w:rPr>
      </w:r>
      <w:r/>
    </w:p>
    <w:p>
      <w:pPr>
        <w:ind w:firstLine="480"/>
        <w:spacing w:line="700" w:lineRule="exact"/>
        <w:widowControl w:val="off"/>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本授权书声明：____________（供应商名称）授权________________（被授权人的姓名）为我方就</w:t>
      </w:r>
      <w:r>
        <w:rPr>
          <w:rFonts w:hint="eastAsia" w:ascii="宋体" w:hAnsi="宋体" w:eastAsia="宋体" w:cs="宋体"/>
          <w:color w:val="auto"/>
          <w:sz w:val="24"/>
          <w:szCs w:val="24"/>
          <w:lang w:eastAsia="zh-CN"/>
        </w:rPr>
        <w:t xml:space="preserve">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 xml:space="preserve">项目采购活动的合法代理人，以本单位名义全权处理一切与该项目采购有关的事务。</w:t>
      </w:r>
      <w:r/>
    </w:p>
    <w:p>
      <w:pPr>
        <w:ind w:firstLine="480"/>
        <w:spacing w:line="700" w:lineRule="exact"/>
        <w:widowControl w:val="off"/>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spacing w:line="700" w:lineRule="exact"/>
        <w:widowControl w:val="off"/>
        <w:tabs>
          <w:tab w:val="left" w:pos="360" w:leader="none"/>
        </w:tabs>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p>
    <w:p>
      <w:pPr>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被授权人联系电话：（手机）</w:t>
      </w:r>
      <w:r>
        <w:rPr>
          <w:rFonts w:hint="eastAsia" w:ascii="宋体" w:hAnsi="宋体" w:eastAsia="宋体" w:cs="宋体"/>
          <w:color w:val="auto"/>
          <w:sz w:val="24"/>
          <w:szCs w:val="24"/>
          <w:u w:val="single"/>
        </w:rPr>
        <w:t xml:space="preserve">                          </w:t>
      </w:r>
      <w:r/>
    </w:p>
    <w:p>
      <w:pPr>
        <w:spacing w:line="700" w:lineRule="exact"/>
        <w:widowControl w:val="off"/>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ind w:firstLine="480"/>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单位地址：</w:t>
      </w:r>
      <w:r>
        <w:rPr>
          <w:rFonts w:hint="eastAsia" w:ascii="宋体" w:hAnsi="宋体" w:eastAsia="宋体" w:cs="宋体"/>
          <w:color w:val="auto"/>
          <w:sz w:val="24"/>
          <w:szCs w:val="24"/>
          <w:u w:val="single"/>
        </w:rPr>
        <w:t xml:space="preserve">                                         </w:t>
      </w:r>
      <w:r/>
    </w:p>
    <w:p>
      <w:pPr>
        <w:ind w:firstLine="480"/>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日期：</w:t>
      </w:r>
      <w:bookmarkStart w:id="90" w:name="_Hlt26955070"/>
      <w:r/>
      <w:bookmarkEnd w:id="90"/>
      <w:r/>
      <w:bookmarkStart w:id="91" w:name="_格式3__银行出具的资信证明"/>
      <w:r/>
      <w:bookmarkEnd w:id="91"/>
      <w:r/>
      <w:bookmarkStart w:id="92" w:name="_Hlt26671380"/>
      <w:r/>
      <w:bookmarkEnd w:id="92"/>
      <w:r>
        <w:rPr>
          <w:rFonts w:hint="eastAsia" w:ascii="宋体" w:hAnsi="宋体" w:eastAsia="宋体" w:cs="宋体"/>
          <w:color w:val="auto"/>
          <w:sz w:val="24"/>
          <w:szCs w:val="24"/>
          <w:u w:val="single"/>
        </w:rPr>
        <w:t xml:space="preserve">                                         </w:t>
      </w:r>
      <w:r/>
    </w:p>
    <w:p>
      <w:pPr>
        <w:spacing w:line="460" w:lineRule="exact"/>
        <w:widowControl w:val="off"/>
        <w:rPr>
          <w:rFonts w:ascii="宋体" w:hAnsi="宋体" w:eastAsia="宋体" w:cs="宋体"/>
          <w:bCs/>
          <w:color w:val="auto"/>
          <w:sz w:val="24"/>
        </w:rPr>
      </w:pPr>
      <w:r>
        <w:rPr>
          <w:rFonts w:ascii="宋体" w:hAnsi="宋体" w:eastAsia="宋体" w:cs="宋体"/>
          <w:bCs/>
          <w:color w:val="auto"/>
          <w:sz w:val="24"/>
        </w:rPr>
      </w:r>
      <w:r/>
    </w:p>
    <w:p>
      <w:pPr>
        <w:ind w:firstLine="480"/>
        <w:widowControl w:val="off"/>
        <w:tabs>
          <w:tab w:val="left" w:pos="360" w:leader="none"/>
        </w:tabs>
        <w:rPr>
          <w:rFonts w:ascii="宋体" w:hAnsi="宋体" w:eastAsia="宋体" w:cs="宋体"/>
          <w:color w:val="auto"/>
          <w:sz w:val="24"/>
          <w:szCs w:val="24"/>
          <w:u w:val="single"/>
        </w:rPr>
      </w:pPr>
      <w:r>
        <w:rPr>
          <w:rFonts w:ascii="宋体" w:hAnsi="宋体" w:eastAsia="宋体" w:cs="宋体"/>
          <w:color w:val="auto"/>
          <w:sz w:val="24"/>
          <w:szCs w:val="24"/>
          <w:u w:val="single"/>
        </w:rPr>
      </w:r>
      <w:r/>
    </w:p>
    <w:p>
      <w:pPr>
        <w:ind w:firstLine="480"/>
        <w:widowControl w:val="off"/>
        <w:tabs>
          <w:tab w:val="left" w:pos="360" w:leader="none"/>
        </w:tabs>
        <w:rPr>
          <w:rFonts w:ascii="宋体" w:hAnsi="宋体" w:eastAsia="宋体" w:cs="宋体"/>
          <w:color w:val="auto"/>
          <w:sz w:val="24"/>
          <w:szCs w:val="24"/>
        </w:rPr>
      </w:pPr>
      <w:r>
        <w:rPr>
          <w:rFonts w:ascii="宋体" w:hAnsi="宋体" w:eastAsia="宋体" w:cs="宋体"/>
          <w:color w:val="auto"/>
          <w:sz w:val="24"/>
          <w:szCs w:val="24"/>
        </w:rPr>
      </w:r>
      <w:r/>
    </w:p>
    <w:p>
      <w:pPr>
        <w:ind w:firstLine="420"/>
        <w:widowControl w:val="off"/>
        <w:rPr>
          <w:rFonts w:ascii="宋体" w:hAnsi="宋体" w:eastAsia="宋体" w:cs="宋体"/>
          <w:i/>
          <w:color w:val="auto"/>
          <w:sz w:val="24"/>
          <w:szCs w:val="24"/>
          <w:u w:val="single"/>
        </w:rPr>
      </w:pPr>
      <w:r>
        <w:rPr>
          <w:rFonts w:ascii="宋体" w:hAnsi="宋体" w:eastAsia="宋体" w:cs="宋体"/>
          <w:i/>
          <w:color w:val="auto"/>
          <w:sz w:val="24"/>
          <w:szCs w:val="24"/>
          <w:u w:val="single"/>
        </w:rPr>
      </w:r>
      <w:r/>
    </w:p>
    <w:p>
      <w:pPr>
        <w:widowControl w:val="off"/>
        <w:rPr>
          <w:rFonts w:ascii="宋体" w:hAnsi="宋体" w:eastAsia="宋体" w:cs="宋体"/>
          <w:color w:val="auto"/>
        </w:rPr>
      </w:pPr>
      <w:r>
        <w:rPr>
          <w:rFonts w:ascii="宋体" w:hAnsi="宋体" w:eastAsia="宋体" w:cs="宋体"/>
          <w:color w:val="auto"/>
        </w:rPr>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b/>
          <w:color w:val="auto"/>
          <w:sz w:val="24"/>
          <w:szCs w:val="44"/>
        </w:rPr>
        <w:br w:type="page" w:clear="all"/>
      </w:r>
      <w:bookmarkStart w:id="93" w:name="_Toc25599"/>
      <w:r/>
      <w:bookmarkStart w:id="94" w:name="_Toc6928"/>
      <w:r>
        <w:rPr>
          <w:rFonts w:hint="eastAsia" w:ascii="宋体" w:hAnsi="宋体" w:eastAsia="宋体" w:cs="宋体"/>
          <w:b/>
          <w:bCs/>
          <w:color w:val="auto"/>
          <w:sz w:val="32"/>
          <w:szCs w:val="32"/>
        </w:rPr>
        <w:t xml:space="preserve">五、中小企业声明函</w:t>
      </w:r>
      <w:bookmarkEnd w:id="93"/>
      <w:r/>
      <w:bookmarkEnd w:id="94"/>
      <w:r/>
      <w:r/>
    </w:p>
    <w:p>
      <w:pPr>
        <w:pStyle w:val="1116"/>
        <w:jc w:val="center"/>
        <w:rPr>
          <w:rFonts w:ascii="宋体" w:hAnsi="宋体" w:cs="宋体"/>
          <w:b/>
          <w:sz w:val="36"/>
          <w:szCs w:val="36"/>
        </w:rPr>
      </w:pPr>
      <w:r>
        <w:rPr>
          <w:rFonts w:hint="eastAsia" w:ascii="宋体" w:hAnsi="宋体" w:cs="宋体"/>
          <w:b/>
          <w:sz w:val="36"/>
          <w:szCs w:val="36"/>
        </w:rPr>
        <w:t xml:space="preserve">中小企业声明函（工程、服务）</w:t>
      </w:r>
      <w:r/>
    </w:p>
    <w:p>
      <w:pPr>
        <w:pStyle w:val="1116"/>
        <w:jc w:val="left"/>
        <w:rPr>
          <w:rFonts w:ascii="宋体" w:hAnsi="宋体" w:cs="宋体"/>
          <w:b/>
          <w:sz w:val="32"/>
          <w:szCs w:val="32"/>
        </w:rPr>
      </w:pPr>
      <w:r>
        <w:rPr>
          <w:rFonts w:ascii="宋体" w:hAnsi="宋体" w:cs="宋体"/>
          <w:b/>
          <w:sz w:val="32"/>
          <w:szCs w:val="32"/>
        </w:rPr>
      </w:r>
      <w:r/>
    </w:p>
    <w:p>
      <w:pPr>
        <w:pStyle w:val="1116"/>
        <w:ind w:firstLine="480"/>
        <w:jc w:val="left"/>
        <w:spacing w:line="5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116"/>
        <w:ind w:firstLine="480"/>
        <w:jc w:val="left"/>
        <w:spacing w:line="500" w:lineRule="exact"/>
        <w:rPr>
          <w:rFonts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116"/>
        <w:ind w:firstLine="480"/>
        <w:jc w:val="left"/>
        <w:spacing w:line="500" w:lineRule="exact"/>
        <w:rPr>
          <w:rFonts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p>
    <w:p>
      <w:pPr>
        <w:pStyle w:val="1116"/>
        <w:ind w:firstLine="480"/>
        <w:jc w:val="left"/>
        <w:spacing w:line="500" w:lineRule="exact"/>
        <w:rPr>
          <w:rFonts w:ascii="宋体" w:hAnsi="宋体" w:cs="宋体"/>
          <w:sz w:val="24"/>
          <w:szCs w:val="24"/>
        </w:rPr>
      </w:pPr>
      <w:r>
        <w:rPr>
          <w:rFonts w:hint="eastAsia" w:ascii="宋体" w:hAnsi="宋体" w:cs="宋体"/>
          <w:sz w:val="24"/>
          <w:szCs w:val="24"/>
        </w:rPr>
        <w:t xml:space="preserve">……</w:t>
      </w:r>
      <w:r/>
    </w:p>
    <w:p>
      <w:pPr>
        <w:pStyle w:val="1116"/>
        <w:ind w:firstLine="480"/>
        <w:jc w:val="left"/>
        <w:spacing w:line="5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116"/>
        <w:ind w:firstLine="480"/>
        <w:jc w:val="left"/>
        <w:spacing w:line="5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116"/>
        <w:ind w:firstLine="480"/>
        <w:jc w:val="center"/>
        <w:spacing w:line="500" w:lineRule="exact"/>
        <w:rPr>
          <w:rFonts w:ascii="宋体" w:hAnsi="宋体" w:cs="宋体"/>
          <w:sz w:val="24"/>
          <w:szCs w:val="24"/>
        </w:rPr>
      </w:pPr>
      <w:r>
        <w:rPr>
          <w:rFonts w:ascii="宋体" w:hAnsi="宋体" w:cs="宋体"/>
          <w:sz w:val="24"/>
          <w:szCs w:val="24"/>
        </w:rPr>
      </w:r>
      <w:r/>
    </w:p>
    <w:p>
      <w:pPr>
        <w:pStyle w:val="1116"/>
        <w:ind w:firstLine="480"/>
        <w:jc w:val="left"/>
        <w:spacing w:line="500" w:lineRule="exact"/>
        <w:rPr>
          <w:rFonts w:ascii="宋体" w:hAnsi="宋体" w:cs="宋体"/>
          <w:sz w:val="24"/>
          <w:szCs w:val="24"/>
        </w:rPr>
      </w:pPr>
      <w:r>
        <w:rPr>
          <w:rFonts w:hint="eastAsia" w:ascii="宋体" w:hAnsi="宋体" w:cs="宋体"/>
          <w:sz w:val="24"/>
          <w:szCs w:val="24"/>
        </w:rPr>
        <w:t xml:space="preserve">企业名称（电子签章）：</w:t>
      </w:r>
      <w:r/>
    </w:p>
    <w:p>
      <w:pPr>
        <w:pStyle w:val="1116"/>
        <w:ind w:firstLine="480"/>
        <w:jc w:val="left"/>
        <w:spacing w:line="500" w:lineRule="exact"/>
        <w:rPr>
          <w:rFonts w:ascii="宋体" w:hAnsi="宋体" w:cs="宋体"/>
          <w:sz w:val="24"/>
          <w:szCs w:val="24"/>
        </w:rPr>
      </w:pPr>
      <w:r>
        <w:rPr>
          <w:rFonts w:hint="eastAsia" w:ascii="宋体" w:hAnsi="宋体" w:cs="宋体"/>
          <w:sz w:val="24"/>
          <w:szCs w:val="24"/>
        </w:rPr>
        <w:t xml:space="preserve">日期：  年  月  日</w:t>
      </w:r>
      <w:r/>
    </w:p>
    <w:p>
      <w:pPr>
        <w:pStyle w:val="1116"/>
        <w:ind w:firstLine="480"/>
        <w:spacing w:line="500" w:lineRule="exact"/>
        <w:rPr>
          <w:rFonts w:ascii="宋体" w:hAnsi="宋体" w:cs="宋体"/>
          <w:sz w:val="24"/>
          <w:szCs w:val="24"/>
        </w:rPr>
      </w:pPr>
      <w:r>
        <w:rPr>
          <w:rFonts w:ascii="宋体" w:hAnsi="宋体" w:cs="宋体"/>
          <w:sz w:val="24"/>
          <w:szCs w:val="24"/>
        </w:rPr>
      </w:r>
      <w:r/>
    </w:p>
    <w:p>
      <w:pPr>
        <w:pStyle w:val="1116"/>
        <w:ind w:firstLine="360"/>
        <w:spacing w:line="560" w:lineRule="exact"/>
        <w:rPr>
          <w:rFonts w:ascii="宋体" w:hAnsi="宋体" w:cs="宋体"/>
          <w:sz w:val="18"/>
          <w:szCs w:val="18"/>
        </w:rPr>
      </w:pPr>
      <w:r>
        <w:rPr>
          <w:rFonts w:hint="eastAsia" w:ascii="宋体" w:hAnsi="宋体" w:cs="宋体"/>
          <w:sz w:val="18"/>
          <w:szCs w:val="18"/>
        </w:rPr>
        <w:t xml:space="preserve">备注1：从业人员、营业收入、资产总额填报上一年数据，无上一年数据的新成立企业可不填报。</w:t>
      </w:r>
      <w:r/>
    </w:p>
    <w:p>
      <w:pPr>
        <w:pStyle w:val="1116"/>
        <w:ind w:firstLine="360"/>
        <w:spacing w:line="560" w:lineRule="exact"/>
        <w:rPr>
          <w:rFonts w:ascii="宋体" w:hAnsi="宋体" w:cs="宋体"/>
          <w:sz w:val="18"/>
          <w:szCs w:val="18"/>
        </w:rPr>
      </w:pPr>
      <w:r>
        <w:rPr>
          <w:rFonts w:hint="eastAsia" w:ascii="宋体" w:hAnsi="宋体" w:cs="宋体"/>
          <w:sz w:val="18"/>
          <w:szCs w:val="18"/>
        </w:rPr>
        <w:t xml:space="preserve">备注2：本声明函按照采购文件中格式提供或者按照“苏采云”系统中格式提供均可。</w:t>
      </w:r>
      <w:r/>
    </w:p>
    <w:p>
      <w:pPr>
        <w:pStyle w:val="1116"/>
        <w:ind w:firstLine="360"/>
        <w:spacing w:line="560" w:lineRule="exact"/>
        <w:rPr>
          <w:rFonts w:ascii="宋体" w:hAnsi="宋体" w:cs="宋体"/>
          <w:sz w:val="18"/>
          <w:szCs w:val="18"/>
        </w:rPr>
      </w:pPr>
      <w:r>
        <w:rPr>
          <w:rFonts w:ascii="宋体" w:hAnsi="宋体" w:cs="宋体"/>
          <w:sz w:val="18"/>
          <w:szCs w:val="18"/>
        </w:rPr>
      </w:r>
      <w:r/>
    </w:p>
    <w:p>
      <w:pPr>
        <w:spacing w:line="4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line="588" w:lineRule="exact"/>
        <w:widowControl w:val="off"/>
        <w:rPr>
          <w:rFonts w:ascii="宋体" w:hAnsi="宋体" w:eastAsia="宋体" w:cs="宋体"/>
          <w:color w:val="auto"/>
          <w:sz w:val="24"/>
        </w:rPr>
      </w:pPr>
      <w:r>
        <w:rPr>
          <w:rFonts w:hint="eastAsia" w:ascii="宋体" w:hAnsi="宋体" w:eastAsia="宋体" w:cs="宋体"/>
          <w:b/>
          <w:color w:val="auto"/>
          <w:sz w:val="32"/>
          <w:szCs w:val="32"/>
        </w:rPr>
        <w:t xml:space="preserve">残疾人福利性单位声明函</w:t>
      </w:r>
      <w:r/>
    </w:p>
    <w:p>
      <w:pPr>
        <w:ind w:firstLine="480"/>
        <w:spacing w:line="588" w:lineRule="exact"/>
        <w:widowControl w:val="off"/>
        <w:rPr>
          <w:rFonts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w:t>
      </w:r>
      <w:r>
        <w:rPr>
          <w:rFonts w:hint="eastAsia" w:ascii="宋体" w:hAnsi="宋体" w:eastAsia="宋体" w:cs="宋体"/>
          <w:color w:val="auto"/>
          <w:sz w:val="24"/>
          <w:lang w:eastAsia="zh-CN"/>
        </w:rPr>
        <w:t xml:space="preserve">〔2017〕141号</w:t>
      </w:r>
      <w:r>
        <w:rPr>
          <w:rFonts w:hint="eastAsia" w:ascii="宋体" w:hAnsi="宋体" w:eastAsia="宋体" w:cs="宋体"/>
          <w:color w:val="auto"/>
          <w:sz w:val="24"/>
        </w:rPr>
        <w:t xml:space="preserve">）的规定，本单位为符合条件的残疾人福利性单位，且本单位参加______单位的采购文件编号为______的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widowControl w:val="off"/>
        <w:rPr>
          <w:rFonts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ind w:firstLine="480"/>
        <w:spacing w:line="588" w:lineRule="exact"/>
        <w:widowControl w:val="off"/>
        <w:rPr>
          <w:rFonts w:ascii="宋体" w:hAnsi="宋体" w:eastAsia="宋体" w:cs="宋体"/>
          <w:color w:val="auto"/>
          <w:sz w:val="24"/>
        </w:rPr>
      </w:pPr>
      <w:r>
        <w:rPr>
          <w:rFonts w:ascii="宋体" w:hAnsi="宋体" w:eastAsia="宋体" w:cs="宋体"/>
          <w:color w:val="auto"/>
          <w:sz w:val="24"/>
        </w:rPr>
      </w:r>
      <w:r/>
    </w:p>
    <w:p>
      <w:pPr>
        <w:ind w:firstLine="480"/>
        <w:spacing w:line="588" w:lineRule="exact"/>
        <w:widowControl w:val="off"/>
        <w:rPr>
          <w:rFonts w:ascii="宋体" w:hAnsi="宋体" w:eastAsia="宋体" w:cs="宋体"/>
          <w:color w:val="auto"/>
          <w:sz w:val="24"/>
        </w:rPr>
      </w:pPr>
      <w:r>
        <w:rPr>
          <w:rFonts w:hint="eastAsia" w:ascii="宋体" w:hAnsi="宋体" w:eastAsia="宋体" w:cs="宋体"/>
          <w:color w:val="auto"/>
          <w:sz w:val="24"/>
        </w:rPr>
        <w:t xml:space="preserve">（备注：1</w:t>
      </w:r>
      <w:r>
        <w:rPr>
          <w:rFonts w:hint="eastAsia" w:ascii="宋体" w:hAnsi="宋体" w:eastAsia="宋体" w:cs="宋体"/>
          <w:color w:val="auto"/>
          <w:sz w:val="24"/>
          <w:lang w:eastAsia="zh-CN"/>
        </w:rPr>
        <w:t xml:space="preserve">、非残疾人福利性单位不需提供此函</w:t>
      </w:r>
      <w:r>
        <w:rPr>
          <w:rFonts w:hint="eastAsia" w:ascii="宋体" w:hAnsi="宋体" w:eastAsia="宋体" w:cs="宋体"/>
          <w:color w:val="auto"/>
          <w:sz w:val="24"/>
        </w:rPr>
        <w:t xml:space="preserve">。2、成交供应商为残疾人福利单位的，此声明函将随成交结果同时公告，接受社会监督）</w:t>
      </w:r>
      <w:r/>
    </w:p>
    <w:p>
      <w:pPr>
        <w:ind w:firstLine="624"/>
        <w:spacing w:line="588" w:lineRule="exact"/>
        <w:widowControl w:val="off"/>
        <w:rPr>
          <w:rFonts w:ascii="宋体" w:hAnsi="宋体" w:eastAsia="宋体" w:cs="宋体"/>
          <w:color w:val="auto"/>
          <w:spacing w:val="6"/>
          <w:sz w:val="30"/>
          <w:szCs w:val="30"/>
        </w:rPr>
      </w:pPr>
      <w:r>
        <w:rPr>
          <w:rFonts w:ascii="宋体" w:hAnsi="宋体" w:eastAsia="宋体" w:cs="宋体"/>
          <w:color w:val="auto"/>
          <w:spacing w:val="6"/>
          <w:sz w:val="30"/>
          <w:szCs w:val="30"/>
        </w:rPr>
      </w:r>
      <w:r/>
    </w:p>
    <w:p>
      <w:pPr>
        <w:ind w:right="1390" w:firstLine="624"/>
        <w:jc w:val="center"/>
        <w:spacing w:line="588" w:lineRule="exact"/>
        <w:widowControl w:val="off"/>
        <w:tabs>
          <w:tab w:val="left" w:pos="4860" w:leader="none"/>
        </w:tabs>
        <w:rPr>
          <w:rFonts w:ascii="宋体" w:hAnsi="宋体" w:eastAsia="宋体" w:cs="宋体"/>
          <w:color w:val="auto"/>
          <w:sz w:val="24"/>
        </w:rPr>
      </w:pPr>
      <w:r>
        <w:rPr>
          <w:rFonts w:hint="eastAsia" w:ascii="宋体" w:hAnsi="宋体" w:eastAsia="宋体" w:cs="宋体"/>
          <w:color w:val="auto"/>
          <w:sz w:val="24"/>
        </w:rPr>
        <w:t xml:space="preserve">供应商全称（加盖CA电子公</w:t>
      </w:r>
      <w:r>
        <w:rPr>
          <w:rFonts w:hint="eastAsia" w:ascii="宋体" w:hAnsi="宋体" w:eastAsia="宋体" w:cs="宋体"/>
          <w:color w:val="auto"/>
          <w:sz w:val="24"/>
          <w:lang w:eastAsia="zh-CN"/>
        </w:rPr>
        <w:t xml:space="preserve">章</w:t>
      </w:r>
      <w:r>
        <w:rPr>
          <w:rFonts w:hint="eastAsia" w:ascii="宋体" w:hAnsi="宋体" w:eastAsia="宋体" w:cs="宋体"/>
          <w:color w:val="auto"/>
          <w:sz w:val="24"/>
        </w:rPr>
        <w:t xml:space="preserve">）：</w:t>
      </w:r>
      <w:r/>
    </w:p>
    <w:p>
      <w:pPr>
        <w:ind w:right="1560" w:firstLine="480"/>
        <w:jc w:val="both"/>
        <w:spacing w:line="588" w:lineRule="exact"/>
        <w:widowControl w:val="off"/>
        <w:tabs>
          <w:tab w:val="left" w:pos="4860" w:leader="none"/>
        </w:tabs>
        <w:rPr>
          <w:rFonts w:ascii="宋体" w:hAnsi="宋体" w:eastAsia="宋体" w:cs="宋体"/>
          <w:color w:val="auto"/>
          <w:sz w:val="24"/>
        </w:rPr>
      </w:pPr>
      <w:r>
        <w:rPr>
          <w:rFonts w:hint="eastAsia" w:ascii="宋体" w:hAnsi="宋体" w:eastAsia="宋体" w:cs="宋体"/>
          <w:color w:val="auto"/>
          <w:sz w:val="24"/>
          <w:lang w:val="en-US" w:eastAsia="zh-CN"/>
        </w:rPr>
        <w:tab/>
      </w:r>
      <w:r>
        <w:rPr>
          <w:rFonts w:hint="eastAsia" w:ascii="宋体" w:hAnsi="宋体" w:eastAsia="宋体" w:cs="宋体"/>
          <w:color w:val="auto"/>
          <w:sz w:val="24"/>
          <w:lang w:val="en-US" w:eastAsia="zh-CN"/>
        </w:rPr>
        <w:tab/>
      </w:r>
      <w:r>
        <w:rPr>
          <w:rFonts w:hint="eastAsia" w:ascii="宋体" w:hAnsi="宋体" w:eastAsia="宋体" w:cs="宋体"/>
          <w:color w:val="auto"/>
          <w:sz w:val="24"/>
        </w:rPr>
        <w:t xml:space="preserve">日  期：</w:t>
      </w:r>
      <w:r/>
    </w:p>
    <w:p>
      <w:pPr>
        <w:jc w:val="center"/>
        <w:spacing w:line="5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jc w:val="center"/>
        <w:spacing w:line="5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clear="all"/>
      </w:r>
      <w:r/>
    </w:p>
    <w:p>
      <w:pPr>
        <w:pStyle w:val="1123"/>
        <w:widowControl w:val="off"/>
        <w:rPr>
          <w:rFonts w:ascii="宋体" w:hAnsi="宋体" w:eastAsia="宋体" w:cs="宋体"/>
        </w:rPr>
        <w:outlineLvl w:val="1"/>
      </w:pPr>
      <w:r/>
      <w:bookmarkStart w:id="95" w:name="_Toc13846"/>
      <w:r>
        <w:rPr>
          <w:rFonts w:hint="eastAsia" w:ascii="宋体" w:hAnsi="宋体" w:eastAsia="宋体" w:cs="宋体"/>
          <w:bCs/>
          <w:szCs w:val="32"/>
        </w:rPr>
        <w:t xml:space="preserve">六、报价一览表</w:t>
      </w:r>
      <w:bookmarkEnd w:id="95"/>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供应商全称（加盖CA电子签章）：</w:t>
      </w:r>
      <w:r/>
    </w:p>
    <w:p>
      <w:pPr>
        <w:ind w:firstLine="480"/>
        <w:spacing w:line="360" w:lineRule="auto"/>
        <w:rPr>
          <w:rFonts w:ascii="宋体" w:hAnsi="宋体" w:eastAsia="宋体" w:cs="宋体"/>
          <w:color w:val="auto"/>
          <w:sz w:val="24"/>
          <w:szCs w:val="24"/>
        </w:rPr>
      </w:pPr>
      <w:r>
        <w:rPr>
          <w:rFonts w:hint="eastAsia" w:ascii="宋体" w:hAnsi="宋体" w:cs="宋体"/>
          <w:color w:val="auto"/>
          <w:sz w:val="24"/>
          <w:szCs w:val="24"/>
        </w:rPr>
        <w:t xml:space="preserve">项目名称：</w:t>
      </w:r>
      <w:r>
        <w:rPr>
          <w:rFonts w:hint="eastAsia" w:ascii="宋体" w:hAnsi="宋体" w:eastAsia="宋体" w:cs="宋体"/>
          <w:color w:val="auto"/>
          <w:sz w:val="24"/>
          <w:szCs w:val="24"/>
          <w:lang w:eastAsia="zh-CN"/>
        </w:rPr>
        <w:t xml:space="preserve">宿迁市自然保护地勘界立标项目</w:t>
      </w:r>
      <w:r/>
    </w:p>
    <w:p>
      <w:pPr>
        <w:ind w:firstLine="480"/>
        <w:spacing w:line="360" w:lineRule="auto"/>
        <w:rPr>
          <w:rFonts w:ascii="宋体" w:hAnsi="宋体" w:eastAsia="宋体" w:cs="宋体"/>
          <w:color w:val="auto"/>
          <w:sz w:val="24"/>
          <w:szCs w:val="24"/>
          <w:lang w:eastAsia="zh-CN"/>
        </w:rPr>
      </w:pPr>
      <w:r>
        <w:rPr>
          <w:rFonts w:hint="eastAsia" w:ascii="宋体" w:hAnsi="宋体" w:cs="宋体"/>
          <w:color w:val="auto"/>
          <w:sz w:val="24"/>
          <w:szCs w:val="24"/>
        </w:rPr>
        <w:t xml:space="preserve">招标编号：</w:t>
      </w:r>
      <w:r>
        <w:rPr>
          <w:rFonts w:hint="eastAsia" w:ascii="宋体" w:hAnsi="宋体" w:eastAsia="宋体" w:cs="宋体"/>
          <w:color w:val="auto"/>
          <w:sz w:val="24"/>
          <w:szCs w:val="24"/>
          <w:lang w:eastAsia="zh-CN"/>
        </w:rPr>
        <w:t xml:space="preserve">JSZC-321300-JSKJ-C2026-0039</w:t>
      </w:r>
      <w:r/>
    </w:p>
    <w:tbl>
      <w:tblPr>
        <w:tblStyle w:val="9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5"/>
        <w:gridCol w:w="3056"/>
      </w:tblGrid>
      <w:tr>
        <w:trPr/>
        <w:tc>
          <w:tcPr>
            <w:tcW w:w="3055" w:type="dxa"/>
            <w:textDirection w:val="lrTb"/>
            <w:noWrap w:val="false"/>
          </w:tcPr>
          <w:p>
            <w:pPr>
              <w:jc w:val="center"/>
              <w:spacing w:line="500" w:lineRule="exact"/>
              <w:widowControl/>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标题</w:t>
            </w:r>
            <w:r/>
          </w:p>
        </w:tc>
        <w:tc>
          <w:tcPr>
            <w:tcW w:w="3055" w:type="dxa"/>
            <w:textDirection w:val="lrTb"/>
            <w:noWrap w:val="false"/>
          </w:tcPr>
          <w:p>
            <w:pPr>
              <w:jc w:val="center"/>
              <w:spacing w:line="500" w:lineRule="exact"/>
              <w:widowControl/>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内容</w:t>
            </w:r>
            <w:r/>
          </w:p>
        </w:tc>
        <w:tc>
          <w:tcPr>
            <w:tcW w:w="3056" w:type="dxa"/>
            <w:textDirection w:val="lrTb"/>
            <w:noWrap w:val="false"/>
          </w:tcPr>
          <w:p>
            <w:pPr>
              <w:jc w:val="center"/>
              <w:spacing w:line="500" w:lineRule="exact"/>
              <w:widowControl/>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单位</w:t>
            </w:r>
            <w:r/>
          </w:p>
        </w:tc>
      </w:tr>
      <w:tr>
        <w:trPr/>
        <w:tc>
          <w:tcPr>
            <w:tcW w:w="3055"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磋商报价</w:t>
            </w:r>
            <w:r/>
          </w:p>
        </w:tc>
        <w:tc>
          <w:tcPr>
            <w:tcW w:w="3055"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c>
          <w:tcPr>
            <w:tcW w:w="3056"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元</w:t>
            </w:r>
            <w:r/>
          </w:p>
        </w:tc>
      </w:tr>
    </w:tbl>
    <w:p>
      <w:pPr>
        <w:rPr>
          <w:rFonts w:ascii="宋体" w:hAnsi="宋体" w:cs="宋体"/>
          <w:color w:val="auto"/>
          <w:sz w:val="24"/>
          <w:szCs w:val="24"/>
        </w:rPr>
      </w:pPr>
      <w:r>
        <w:rPr>
          <w:rFonts w:ascii="宋体" w:hAnsi="宋体" w:cs="宋体"/>
          <w:color w:val="auto"/>
          <w:sz w:val="24"/>
          <w:szCs w:val="24"/>
        </w:rPr>
      </w:r>
      <w:r/>
    </w:p>
    <w:p>
      <w:pPr>
        <w:ind w:firstLine="480"/>
        <w:jc w:val="center"/>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r/>
    </w:p>
    <w:p>
      <w:pPr>
        <w:pStyle w:val="1125"/>
        <w:widowControl w:val="off"/>
        <w:rPr>
          <w:rFonts w:ascii="宋体" w:hAnsi="宋体" w:eastAsia="宋体" w:cs="宋体"/>
        </w:rPr>
      </w:pPr>
      <w:r>
        <w:rPr>
          <w:rFonts w:ascii="宋体" w:hAnsi="宋体" w:eastAsia="宋体" w:cs="宋体"/>
        </w:rPr>
      </w:r>
      <w:r/>
    </w:p>
    <w:p>
      <w:pPr>
        <w:pStyle w:val="1125"/>
        <w:widowControl w:val="off"/>
        <w:rPr>
          <w:rFonts w:ascii="宋体" w:hAnsi="宋体" w:eastAsia="宋体" w:cs="宋体"/>
        </w:rPr>
      </w:pPr>
      <w:r>
        <w:rPr>
          <w:rFonts w:ascii="宋体" w:hAnsi="宋体" w:eastAsia="宋体" w:cs="宋体"/>
        </w:rPr>
      </w:r>
      <w:r/>
    </w:p>
    <w:p>
      <w:pPr>
        <w:rPr>
          <w:rFonts w:ascii="宋体" w:hAnsi="宋体" w:eastAsia="宋体" w:cs="宋体"/>
          <w:b/>
          <w:bCs/>
          <w:color w:val="auto"/>
          <w:sz w:val="32"/>
          <w:szCs w:val="32"/>
          <w:lang w:eastAsia="zh-CN"/>
        </w:rPr>
      </w:pPr>
      <w:r/>
      <w:bookmarkStart w:id="96" w:name="_Toc3156"/>
      <w:r>
        <w:rPr>
          <w:rFonts w:hint="eastAsia" w:ascii="宋体" w:hAnsi="宋体" w:eastAsia="宋体" w:cs="宋体"/>
          <w:b/>
          <w:bCs/>
          <w:color w:val="auto"/>
          <w:sz w:val="32"/>
          <w:szCs w:val="32"/>
          <w:lang w:eastAsia="zh-CN"/>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97" w:name="_Toc23044"/>
      <w:r>
        <w:rPr>
          <w:rFonts w:hint="eastAsia" w:ascii="宋体" w:hAnsi="宋体" w:eastAsia="宋体" w:cs="宋体"/>
          <w:b/>
          <w:bCs/>
          <w:color w:val="auto"/>
          <w:sz w:val="32"/>
          <w:szCs w:val="32"/>
          <w:lang w:eastAsia="zh-CN"/>
        </w:rPr>
        <w:t xml:space="preserve">七</w:t>
      </w:r>
      <w:r>
        <w:rPr>
          <w:rFonts w:hint="eastAsia" w:ascii="宋体" w:hAnsi="宋体" w:eastAsia="宋体" w:cs="宋体"/>
          <w:b/>
          <w:bCs/>
          <w:color w:val="auto"/>
          <w:sz w:val="32"/>
          <w:szCs w:val="32"/>
        </w:rPr>
        <w:t xml:space="preserve">、</w:t>
      </w:r>
      <w:bookmarkEnd w:id="96"/>
      <w:r>
        <w:rPr>
          <w:rFonts w:hint="eastAsia" w:ascii="宋体" w:hAnsi="宋体" w:eastAsia="宋体" w:cs="宋体"/>
          <w:b/>
          <w:iCs/>
          <w:color w:val="auto"/>
          <w:sz w:val="32"/>
          <w:szCs w:val="32"/>
          <w:highlight w:val="none"/>
        </w:rPr>
        <w:t xml:space="preserve">分项报价表（服务类）</w:t>
      </w:r>
      <w:bookmarkEnd w:id="97"/>
      <w:r/>
      <w:bookmarkEnd w:id="84"/>
      <w:r/>
      <w:r/>
    </w:p>
    <w:p>
      <w:pPr>
        <w:jc w:val="center"/>
        <w:spacing w:before="146" w:after="146" w:line="460" w:lineRule="exact"/>
        <w:rPr>
          <w:rFonts w:hint="eastAsia" w:ascii="宋体" w:hAnsi="宋体" w:eastAsia="宋体" w:cs="宋体"/>
          <w:b/>
          <w:color w:val="auto"/>
          <w:sz w:val="32"/>
          <w:szCs w:val="32"/>
          <w:highlight w:val="none"/>
        </w:rPr>
      </w:pPr>
      <w:r/>
      <w:bookmarkStart w:id="98" w:name="_Toc19687"/>
      <w:r>
        <w:rPr>
          <w:rFonts w:hint="eastAsia" w:ascii="宋体" w:hAnsi="宋体" w:eastAsia="宋体" w:cs="宋体"/>
          <w:b/>
          <w:color w:val="auto"/>
          <w:sz w:val="32"/>
          <w:szCs w:val="32"/>
          <w:highlight w:val="none"/>
        </w:rPr>
        <w:t xml:space="preserve">分项报价表（服务类）</w:t>
      </w:r>
      <w:r/>
    </w:p>
    <w:tbl>
      <w:tblPr>
        <w:tblStyle w:val="921"/>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709"/>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1"/>
          <w:highlight w:val="none"/>
          <w:lang w:eastAsia="zh-CN"/>
        </w:rPr>
        <w:t xml:space="preserve">磋商报价</w:t>
      </w:r>
      <w:r>
        <w:rPr>
          <w:rFonts w:hint="eastAsia" w:ascii="宋体" w:hAnsi="宋体" w:eastAsia="宋体" w:cs="宋体"/>
          <w:color w:val="auto"/>
          <w:sz w:val="24"/>
          <w:szCs w:val="21"/>
          <w:highlight w:val="none"/>
        </w:rPr>
        <w:t xml:space="preserve">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完成本项目服务工作期间所需的人工、材料、使用软件费、机械、车辆、会务、论证、评审、验收、差旅、保险、利润、税金、通讯、办公设备、政策性文件规定及合同包含的所有风险、责任等各项应有费用。采购人不再支付报价以外的任何费用。</w:t>
      </w:r>
      <w:r/>
    </w:p>
    <w:p>
      <w:pPr>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2.“投标分项报价表”中“投标总报价”数额应当与“报价一览表”中“投标总报价”数额一致。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99" w:name="_Toc27948"/>
      <w:r>
        <w:rPr>
          <w:rFonts w:hint="eastAsia" w:ascii="宋体" w:hAnsi="宋体" w:eastAsia="宋体" w:cs="宋体"/>
          <w:b/>
          <w:bCs/>
          <w:color w:val="auto"/>
          <w:sz w:val="32"/>
          <w:szCs w:val="32"/>
          <w:lang w:eastAsia="zh-CN"/>
        </w:rPr>
        <w:t xml:space="preserve">八</w:t>
      </w:r>
      <w:r>
        <w:rPr>
          <w:rFonts w:hint="eastAsia" w:ascii="宋体" w:hAnsi="宋体" w:eastAsia="宋体" w:cs="宋体"/>
          <w:b/>
          <w:bCs/>
          <w:color w:val="auto"/>
          <w:sz w:val="32"/>
          <w:szCs w:val="32"/>
        </w:rPr>
        <w:t xml:space="preserve">、</w:t>
      </w:r>
      <w:r>
        <w:rPr>
          <w:rFonts w:hint="eastAsia" w:ascii="宋体" w:hAnsi="宋体" w:eastAsia="宋体" w:cs="宋体"/>
          <w:b/>
          <w:bCs/>
          <w:color w:val="auto"/>
          <w:sz w:val="32"/>
          <w:szCs w:val="32"/>
          <w:lang w:eastAsia="zh-CN"/>
        </w:rPr>
        <w:t xml:space="preserve">项目实施方案</w:t>
      </w:r>
      <w:bookmarkEnd w:id="98"/>
      <w:r/>
      <w:bookmarkEnd w:id="99"/>
      <w:r/>
      <w:r/>
    </w:p>
    <w:p>
      <w:pPr>
        <w:jc w:val="center"/>
        <w:widowControl w:val="off"/>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格式自拟</w:t>
      </w:r>
      <w:r/>
    </w:p>
    <w:p>
      <w:pPr>
        <w:rPr>
          <w:rFonts w:ascii="宋体" w:hAnsi="宋体" w:eastAsia="宋体" w:cs="宋体"/>
          <w:b/>
          <w:bCs/>
          <w:color w:val="auto"/>
          <w:sz w:val="28"/>
          <w:szCs w:val="28"/>
          <w:lang w:eastAsia="zh-CN"/>
        </w:rPr>
      </w:pPr>
      <w:r/>
      <w:bookmarkStart w:id="100" w:name="_Toc6503"/>
      <w:r>
        <w:rPr>
          <w:rFonts w:hint="eastAsia" w:ascii="宋体" w:hAnsi="宋体" w:eastAsia="宋体" w:cs="宋体"/>
          <w:b/>
          <w:bCs/>
          <w:color w:val="auto"/>
          <w:sz w:val="28"/>
          <w:szCs w:val="28"/>
          <w:lang w:eastAsia="zh-CN"/>
        </w:rPr>
        <w:br w:type="page" w:clear="all"/>
      </w:r>
      <w:r/>
    </w:p>
    <w:p>
      <w:pPr>
        <w:jc w:val="both"/>
        <w:spacing w:line="560" w:lineRule="exact"/>
        <w:rPr>
          <w:rFonts w:ascii="宋体" w:hAnsi="宋体" w:eastAsia="宋体" w:cs="宋体"/>
          <w:b/>
          <w:color w:val="auto"/>
          <w:sz w:val="28"/>
          <w:szCs w:val="28"/>
        </w:rPr>
        <w:outlineLvl w:val="1"/>
      </w:pPr>
      <w:r/>
      <w:bookmarkStart w:id="101" w:name="_Toc23817"/>
      <w:r>
        <w:rPr>
          <w:rFonts w:hint="eastAsia" w:ascii="宋体" w:hAnsi="宋体" w:eastAsia="宋体" w:cs="宋体"/>
          <w:b/>
          <w:bCs/>
          <w:color w:val="auto"/>
          <w:sz w:val="28"/>
          <w:szCs w:val="28"/>
          <w:lang w:eastAsia="zh-CN"/>
        </w:rPr>
        <w:t xml:space="preserve">九、响应及偏离表</w:t>
      </w:r>
      <w:bookmarkEnd w:id="101"/>
      <w:r/>
      <w:r/>
    </w:p>
    <w:p>
      <w:pPr>
        <w:jc w:val="center"/>
        <w:spacing w:before="146" w:after="146" w:line="560" w:lineRule="exact"/>
        <w:widowControl w:val="off"/>
        <w:rPr>
          <w:rFonts w:ascii="宋体" w:hAnsi="宋体" w:eastAsia="宋体" w:cs="宋体"/>
          <w:b/>
          <w:color w:val="auto"/>
          <w:sz w:val="28"/>
          <w:szCs w:val="28"/>
        </w:rPr>
      </w:pPr>
      <w:r>
        <w:rPr>
          <w:rFonts w:hint="eastAsia" w:ascii="宋体" w:hAnsi="宋体" w:eastAsia="宋体" w:cs="宋体"/>
          <w:b/>
          <w:color w:val="auto"/>
          <w:sz w:val="28"/>
          <w:szCs w:val="28"/>
        </w:rPr>
        <w:t xml:space="preserve">响应及偏离表</w:t>
      </w:r>
      <w:r/>
    </w:p>
    <w:tbl>
      <w:tblPr>
        <w:tblStyle w:val="9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序号</w:t>
            </w:r>
            <w:r/>
          </w:p>
        </w:tc>
        <w:tc>
          <w:tcPr>
            <w:tcW w:w="2403" w:type="dxa"/>
            <w:vAlign w:val="center"/>
            <w:textDirection w:val="lrTb"/>
            <w:noWrap w:val="false"/>
          </w:tcPr>
          <w:p>
            <w:pPr>
              <w:pStyle w:val="1118"/>
              <w:jc w:val="center"/>
              <w:spacing w:before="0" w:beforeAutospacing="0" w:after="0" w:afterAutospacing="0"/>
              <w:rPr>
                <w:color w:val="auto"/>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8"/>
                <w:szCs w:val="28"/>
              </w:rPr>
              <w:t xml:space="preserve">技术要求和商务要求</w:t>
            </w:r>
            <w:r/>
          </w:p>
        </w:tc>
        <w:tc>
          <w:tcPr>
            <w:tcW w:w="2468" w:type="dxa"/>
            <w:vAlign w:val="center"/>
            <w:textDirection w:val="lrTb"/>
            <w:noWrap w:val="false"/>
          </w:tcPr>
          <w:p>
            <w:pPr>
              <w:pStyle w:val="1118"/>
              <w:jc w:val="center"/>
              <w:spacing w:before="0" w:beforeAutospacing="0" w:after="0" w:afterAutospacing="0"/>
              <w:rPr>
                <w:color w:val="auto"/>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8"/>
                <w:szCs w:val="28"/>
              </w:rPr>
              <w:t xml:space="preserve">响应情况</w:t>
            </w:r>
            <w:r>
              <w:rPr>
                <w:rFonts w:hint="eastAsia"/>
                <w:color w:val="auto"/>
                <w:sz w:val="28"/>
                <w:szCs w:val="28"/>
                <w:lang w:eastAsia="zh-CN"/>
              </w:rPr>
              <w:t xml:space="preserve">（填报“响应或完全响应”）</w:t>
            </w:r>
            <w:r/>
          </w:p>
        </w:tc>
        <w:tc>
          <w:tcPr>
            <w:tcW w:w="2580" w:type="dxa"/>
            <w:vAlign w:val="center"/>
            <w:textDirection w:val="lrTb"/>
            <w:noWrap w:val="false"/>
          </w:tcPr>
          <w:p>
            <w:pPr>
              <w:pStyle w:val="1118"/>
              <w:jc w:val="center"/>
              <w:spacing w:before="0" w:beforeAutospacing="0" w:after="0" w:afterAutospacing="0"/>
              <w:rPr>
                <w:color w:val="auto"/>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8"/>
                <w:szCs w:val="28"/>
                <w:lang w:eastAsia="zh-CN"/>
              </w:rPr>
              <w:t xml:space="preserve">偏离（填报“正偏离、符合或负偏离”）</w:t>
            </w:r>
            <w:r/>
          </w:p>
        </w:tc>
        <w:tc>
          <w:tcPr>
            <w:tcW w:w="1173" w:type="dxa"/>
            <w:vAlign w:val="center"/>
            <w:textDirection w:val="lrTb"/>
            <w:noWrap w:val="false"/>
          </w:tcPr>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证明</w:t>
            </w:r>
            <w:r/>
          </w:p>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材料</w:t>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w:t>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bl>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1.供应商必须对技术要求和商务要求中的实质性要求（打“★”内容）做出明确响应，否则作无效响应处理。</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2.如果采购文件要求提供证明材料，供应商必须将证明材料列于该表之下。</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3.供应商未对实质性要求作出明确响应的，该分包作无效响应处理。</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4.非实质性要求供应商未在表中列出的，视为完全响应采购要求。</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5.行数不够，可自行添加。</w:t>
      </w:r>
      <w:r/>
    </w:p>
    <w:p>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102" w:name="_Toc24291"/>
      <w:r>
        <w:rPr>
          <w:rFonts w:hint="eastAsia" w:ascii="宋体" w:hAnsi="宋体" w:eastAsia="宋体" w:cs="宋体"/>
          <w:b/>
          <w:bCs/>
          <w:color w:val="auto"/>
          <w:sz w:val="32"/>
          <w:szCs w:val="32"/>
          <w:lang w:eastAsia="zh-CN"/>
        </w:rPr>
        <w:t xml:space="preserve">十、</w:t>
      </w:r>
      <w:r>
        <w:rPr>
          <w:rFonts w:hint="eastAsia" w:ascii="宋体" w:hAnsi="宋体" w:eastAsia="宋体" w:cs="宋体"/>
          <w:b/>
          <w:bCs/>
          <w:color w:val="auto"/>
          <w:sz w:val="32"/>
          <w:szCs w:val="32"/>
        </w:rPr>
        <w:t xml:space="preserve">项目组人员</w:t>
      </w:r>
      <w:bookmarkEnd w:id="100"/>
      <w:r/>
      <w:bookmarkEnd w:id="102"/>
      <w:r/>
      <w:r/>
    </w:p>
    <w:p>
      <w:pPr>
        <w:pStyle w:val="1118"/>
        <w:jc w:val="center"/>
        <w:spacing w:line="600" w:lineRule="exact"/>
        <w:widowControl w:val="off"/>
        <w:rPr>
          <w:b/>
          <w:bCs/>
          <w:color w:val="auto"/>
          <w:sz w:val="32"/>
          <w:szCs w:val="32"/>
        </w:rPr>
      </w:pPr>
      <w:r>
        <w:rPr>
          <w:rFonts w:hint="eastAsia"/>
          <w:b/>
          <w:bCs/>
          <w:color w:val="auto"/>
          <w:sz w:val="32"/>
          <w:szCs w:val="32"/>
          <w:lang w:bidi="ar"/>
        </w:rPr>
        <w:t xml:space="preserve">项目组成员</w:t>
      </w:r>
      <w:r/>
    </w:p>
    <w:tbl>
      <w:tblPr>
        <w:tblStyle w:val="92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技术负责人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质量负责人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成员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8"/>
              <w:jc w:val="center"/>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tc>
      </w:tr>
    </w:tbl>
    <w:p>
      <w:pPr>
        <w:pStyle w:val="1118"/>
        <w:ind w:firstLine="398"/>
        <w:spacing w:line="460" w:lineRule="exact"/>
        <w:widowControl w:val="off"/>
        <w:rPr>
          <w:color w:val="auto"/>
        </w:rPr>
      </w:pPr>
      <w:r>
        <w:rPr>
          <w:rFonts w:hint="eastAsia"/>
          <w:b/>
          <w:color w:val="auto"/>
          <w:lang w:bidi="ar"/>
        </w:rPr>
        <w:t xml:space="preserve">注：如供应商成交，项目组成员必须按本表承诺人员操作，不得随意更换。按磋商文件要求附相关人员证书。</w:t>
      </w:r>
      <w:r/>
    </w:p>
    <w:p>
      <w:pPr>
        <w:pStyle w:val="1118"/>
        <w:ind w:firstLine="280"/>
        <w:spacing w:line="500" w:lineRule="exact"/>
        <w:widowControl w:val="off"/>
        <w:rPr>
          <w:color w:val="auto"/>
        </w:rPr>
      </w:pPr>
      <w:r>
        <w:rPr>
          <w:color w:val="auto"/>
        </w:rPr>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color w:val="auto"/>
        </w:rPr>
        <w:br w:type="page" w:clear="all"/>
      </w:r>
      <w:bookmarkStart w:id="103" w:name="_Toc11176"/>
      <w:r/>
      <w:bookmarkStart w:id="104" w:name="_Toc6249"/>
      <w:r/>
      <w:bookmarkStart w:id="105" w:name="_Toc15536"/>
      <w:r>
        <w:rPr>
          <w:rFonts w:hint="eastAsia" w:ascii="宋体" w:hAnsi="宋体" w:eastAsia="宋体" w:cs="宋体"/>
          <w:b/>
          <w:bCs/>
          <w:color w:val="auto"/>
          <w:sz w:val="32"/>
          <w:szCs w:val="32"/>
          <w:lang w:eastAsia="zh-CN"/>
        </w:rPr>
        <w:t xml:space="preserve">十一</w:t>
      </w:r>
      <w:r>
        <w:rPr>
          <w:rFonts w:hint="eastAsia" w:ascii="宋体" w:hAnsi="宋体" w:eastAsia="宋体" w:cs="宋体"/>
          <w:b/>
          <w:bCs/>
          <w:color w:val="auto"/>
          <w:sz w:val="32"/>
          <w:szCs w:val="32"/>
        </w:rPr>
        <w:t xml:space="preserve">、</w:t>
      </w:r>
      <w:bookmarkEnd w:id="103"/>
      <w:r>
        <w:rPr>
          <w:rFonts w:hint="eastAsia" w:ascii="宋体" w:hAnsi="宋体" w:eastAsia="宋体" w:cs="宋体"/>
          <w:b/>
          <w:bCs/>
          <w:color w:val="auto"/>
          <w:sz w:val="32"/>
          <w:szCs w:val="32"/>
        </w:rPr>
        <w:t xml:space="preserve">企业业绩</w:t>
      </w:r>
      <w:bookmarkEnd w:id="104"/>
      <w:r/>
      <w:bookmarkEnd w:id="105"/>
      <w:r/>
      <w:r/>
    </w:p>
    <w:p>
      <w:pPr>
        <w:pStyle w:val="1120"/>
        <w:jc w:val="center"/>
        <w:rPr>
          <w:rFonts w:ascii="宋体" w:hAnsi="宋体" w:cs="宋体"/>
          <w:b/>
          <w:sz w:val="32"/>
          <w:szCs w:val="32"/>
        </w:rPr>
      </w:pPr>
      <w:r>
        <w:rPr>
          <w:rFonts w:hint="eastAsia" w:ascii="宋体" w:hAnsi="宋体" w:cs="宋体"/>
          <w:b/>
          <w:sz w:val="32"/>
          <w:szCs w:val="32"/>
        </w:rPr>
        <w:t xml:space="preserve">供应商承担类似项目业绩一览表</w:t>
      </w:r>
      <w:r/>
    </w:p>
    <w:tbl>
      <w:tblPr>
        <w:tblStyle w:val="92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1"/>
              <w:jc w:val="center"/>
              <w:spacing w:line="560" w:lineRule="exact"/>
              <w:rPr>
                <w:rFonts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121"/>
              <w:jc w:val="center"/>
              <w:spacing w:line="560" w:lineRule="exact"/>
              <w:rPr>
                <w:rFonts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121"/>
              <w:jc w:val="center"/>
              <w:spacing w:line="560" w:lineRule="exact"/>
              <w:rPr>
                <w:rFonts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121"/>
              <w:jc w:val="center"/>
              <w:spacing w:line="560" w:lineRule="exact"/>
              <w:rPr>
                <w:rFonts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r>
      <w:tr>
        <w:trPr>
          <w:jc w:val="center"/>
          <w:trHeight w:val="1510"/>
        </w:trPr>
        <w:tc>
          <w:tcPr>
            <w:tcW w:w="1229" w:type="dxa"/>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r>
      <w:tr>
        <w:trPr>
          <w:jc w:val="center"/>
          <w:trHeight w:val="1510"/>
        </w:trPr>
        <w:tc>
          <w:tcPr>
            <w:tcW w:w="1229" w:type="dxa"/>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r>
      <w:tr>
        <w:trPr>
          <w:jc w:val="center"/>
          <w:trHeight w:val="1525"/>
        </w:trPr>
        <w:tc>
          <w:tcPr>
            <w:tcW w:w="1229" w:type="dxa"/>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21"/>
              <w:jc w:val="center"/>
              <w:spacing w:line="560" w:lineRule="exact"/>
              <w:rPr>
                <w:rFonts w:ascii="宋体" w:hAnsi="宋体" w:cs="宋体"/>
                <w:sz w:val="28"/>
              </w:rPr>
            </w:pPr>
            <w:r>
              <w:rPr>
                <w:rFonts w:ascii="宋体" w:hAnsi="宋体" w:cs="宋体"/>
                <w:sz w:val="28"/>
              </w:rPr>
            </w:r>
            <w:r/>
          </w:p>
        </w:tc>
      </w:tr>
    </w:tbl>
    <w:p>
      <w:pPr>
        <w:pStyle w:val="1120"/>
        <w:rPr>
          <w:rFonts w:ascii="宋体" w:hAnsi="宋体" w:cs="宋体"/>
        </w:rPr>
      </w:pPr>
      <w:r>
        <w:rPr>
          <w:rFonts w:hint="eastAsia" w:ascii="宋体" w:hAnsi="宋体" w:cs="宋体"/>
          <w:b/>
          <w:sz w:val="24"/>
        </w:rPr>
        <w:t xml:space="preserve">注：请填写此表，并按要求上传业绩资料电子件。</w:t>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b/>
          <w:color w:val="auto"/>
          <w:sz w:val="32"/>
          <w:szCs w:val="32"/>
        </w:rPr>
        <w:br w:type="page" w:clear="all"/>
      </w:r>
      <w:bookmarkStart w:id="106" w:name="_Toc12846"/>
      <w:r/>
      <w:bookmarkStart w:id="107" w:name="_Toc28140"/>
      <w:r/>
      <w:bookmarkStart w:id="108" w:name="_Toc79"/>
      <w:r>
        <w:rPr>
          <w:rFonts w:hint="eastAsia" w:ascii="宋体" w:hAnsi="宋体" w:eastAsia="宋体" w:cs="宋体"/>
          <w:b/>
          <w:bCs/>
          <w:color w:val="auto"/>
          <w:sz w:val="32"/>
          <w:szCs w:val="32"/>
          <w:lang w:eastAsia="zh-CN"/>
        </w:rPr>
        <w:t xml:space="preserve">十二</w:t>
      </w:r>
      <w:r>
        <w:rPr>
          <w:rFonts w:hint="eastAsia" w:ascii="宋体" w:hAnsi="宋体" w:eastAsia="宋体" w:cs="宋体"/>
          <w:b/>
          <w:bCs/>
          <w:color w:val="auto"/>
          <w:sz w:val="32"/>
          <w:szCs w:val="32"/>
        </w:rPr>
        <w:t xml:space="preserve">、磋商所需其他材料</w:t>
      </w:r>
      <w:bookmarkEnd w:id="106"/>
      <w:r/>
      <w:bookmarkEnd w:id="107"/>
      <w:r/>
      <w:bookmarkEnd w:id="108"/>
      <w:r/>
      <w:r/>
    </w:p>
    <w:p>
      <w:pPr>
        <w:pStyle w:val="1122"/>
        <w:ind w:firstLine="560"/>
        <w:spacing w:line="360" w:lineRule="auto"/>
        <w:rPr>
          <w:rFonts w:ascii="宋体" w:hAnsi="宋体" w:cs="宋体"/>
          <w:sz w:val="28"/>
          <w:szCs w:val="28"/>
        </w:rPr>
      </w:pPr>
      <w:r>
        <w:rPr>
          <w:rFonts w:hint="eastAsia" w:ascii="宋体" w:hAnsi="宋体" w:cs="宋体"/>
          <w:sz w:val="28"/>
          <w:szCs w:val="28"/>
        </w:rPr>
        <w:t xml:space="preserve">请在此文档中增加磋商所需其他相关内容（包括资格要求、评分办法、采购需求中涉及的证件证明及其它供应商认为有必要提供的资料），如没有请将此空文档上传。</w:t>
      </w:r>
      <w:r/>
    </w:p>
    <w:p>
      <w:pPr>
        <w:jc w:val="center"/>
        <w:widowControl w:val="off"/>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质疑函范本</w:t>
      </w:r>
      <w:r/>
    </w:p>
    <w:p>
      <w:pPr>
        <w:spacing w:before="290"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签字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签章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公章：                      </w:t>
      </w:r>
      <w:r/>
    </w:p>
    <w:p>
      <w:pPr>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40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219" w:lineRule="auto"/>
        <w:widowControl w:val="off"/>
        <w:rPr>
          <w:rFonts w:ascii="宋体" w:hAnsi="宋体" w:eastAsia="宋体" w:cs="宋体"/>
          <w:color w:val="auto"/>
          <w:spacing w:val="-3"/>
          <w:sz w:val="24"/>
          <w:szCs w:val="24"/>
        </w:rPr>
      </w:pPr>
      <w:r>
        <w:rPr>
          <w:rFonts w:ascii="宋体" w:hAnsi="宋体" w:eastAsia="宋体" w:cs="宋体"/>
          <w:color w:val="auto"/>
          <w:spacing w:val="-3"/>
          <w:sz w:val="24"/>
          <w:szCs w:val="24"/>
        </w:rPr>
      </w:r>
      <w:r/>
    </w:p>
    <w:sectPr>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2312">
    <w:panose1 w:val="020B0503020202020204"/>
  </w:font>
  <w:font w:name="仿宋">
    <w:panose1 w:val="02010609060101010101"/>
  </w:font>
  <w:font w:name="Tahom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172"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1"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2717800</wp:posOffset>
              </wp:positionH>
              <wp:positionV relativeFrom="paragraph">
                <wp:posOffset>-95250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4.0pt;mso-position-horizontal:absolute;mso-position-vertical-relative:text;margin-top:-7.5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68</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68</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74</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74</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75</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75</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76</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76</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93</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93</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920"/>
    <w:link w:val="911"/>
    <w:uiPriority w:val="9"/>
    <w:rPr>
      <w:rFonts w:ascii="Arial" w:hAnsi="Arial" w:eastAsia="Arial" w:cs="Arial"/>
      <w:sz w:val="40"/>
      <w:szCs w:val="40"/>
    </w:rPr>
  </w:style>
  <w:style w:type="character" w:styleId="877">
    <w:name w:val="Heading 2 Char"/>
    <w:basedOn w:val="920"/>
    <w:link w:val="912"/>
    <w:uiPriority w:val="9"/>
    <w:rPr>
      <w:rFonts w:ascii="Arial" w:hAnsi="Arial" w:eastAsia="Arial" w:cs="Arial"/>
      <w:sz w:val="34"/>
    </w:rPr>
  </w:style>
  <w:style w:type="character" w:styleId="878">
    <w:name w:val="Heading 3 Char"/>
    <w:basedOn w:val="920"/>
    <w:link w:val="913"/>
    <w:uiPriority w:val="9"/>
    <w:rPr>
      <w:rFonts w:ascii="Arial" w:hAnsi="Arial" w:eastAsia="Arial" w:cs="Arial"/>
      <w:sz w:val="30"/>
      <w:szCs w:val="30"/>
    </w:rPr>
  </w:style>
  <w:style w:type="character" w:styleId="879">
    <w:name w:val="Heading 4 Char"/>
    <w:basedOn w:val="920"/>
    <w:link w:val="914"/>
    <w:uiPriority w:val="9"/>
    <w:rPr>
      <w:rFonts w:ascii="Arial" w:hAnsi="Arial" w:eastAsia="Arial" w:cs="Arial"/>
      <w:b/>
      <w:bCs/>
      <w:sz w:val="26"/>
      <w:szCs w:val="26"/>
    </w:rPr>
  </w:style>
  <w:style w:type="character" w:styleId="880">
    <w:name w:val="Heading 5 Char"/>
    <w:basedOn w:val="920"/>
    <w:link w:val="915"/>
    <w:uiPriority w:val="9"/>
    <w:rPr>
      <w:rFonts w:ascii="Arial" w:hAnsi="Arial" w:eastAsia="Arial" w:cs="Arial"/>
      <w:b/>
      <w:bCs/>
      <w:sz w:val="24"/>
      <w:szCs w:val="24"/>
    </w:rPr>
  </w:style>
  <w:style w:type="character" w:styleId="881">
    <w:name w:val="Heading 6 Char"/>
    <w:basedOn w:val="920"/>
    <w:link w:val="916"/>
    <w:uiPriority w:val="9"/>
    <w:rPr>
      <w:rFonts w:ascii="Arial" w:hAnsi="Arial" w:eastAsia="Arial" w:cs="Arial"/>
      <w:b/>
      <w:bCs/>
      <w:sz w:val="22"/>
      <w:szCs w:val="22"/>
    </w:rPr>
  </w:style>
  <w:style w:type="character" w:styleId="882">
    <w:name w:val="Heading 7 Char"/>
    <w:basedOn w:val="920"/>
    <w:link w:val="917"/>
    <w:uiPriority w:val="9"/>
    <w:rPr>
      <w:rFonts w:ascii="Arial" w:hAnsi="Arial" w:eastAsia="Arial" w:cs="Arial"/>
      <w:b/>
      <w:bCs/>
      <w:i/>
      <w:iCs/>
      <w:sz w:val="22"/>
      <w:szCs w:val="22"/>
    </w:rPr>
  </w:style>
  <w:style w:type="character" w:styleId="883">
    <w:name w:val="Heading 8 Char"/>
    <w:basedOn w:val="920"/>
    <w:link w:val="918"/>
    <w:uiPriority w:val="9"/>
    <w:rPr>
      <w:rFonts w:ascii="Arial" w:hAnsi="Arial" w:eastAsia="Arial" w:cs="Arial"/>
      <w:i/>
      <w:iCs/>
      <w:sz w:val="22"/>
      <w:szCs w:val="22"/>
    </w:rPr>
  </w:style>
  <w:style w:type="character" w:styleId="884">
    <w:name w:val="Heading 9 Char"/>
    <w:basedOn w:val="920"/>
    <w:link w:val="919"/>
    <w:uiPriority w:val="9"/>
    <w:rPr>
      <w:rFonts w:ascii="Arial" w:hAnsi="Arial" w:eastAsia="Arial" w:cs="Arial"/>
      <w:i/>
      <w:iCs/>
      <w:sz w:val="21"/>
      <w:szCs w:val="21"/>
    </w:rPr>
  </w:style>
  <w:style w:type="character" w:styleId="885">
    <w:name w:val="Subtitle Char"/>
    <w:basedOn w:val="920"/>
    <w:link w:val="938"/>
    <w:uiPriority w:val="11"/>
    <w:rPr>
      <w:sz w:val="24"/>
      <w:szCs w:val="24"/>
    </w:rPr>
  </w:style>
  <w:style w:type="character" w:styleId="886">
    <w:name w:val="Quote Char"/>
    <w:link w:val="977"/>
    <w:uiPriority w:val="29"/>
    <w:rPr>
      <w:i/>
    </w:rPr>
  </w:style>
  <w:style w:type="character" w:styleId="887">
    <w:name w:val="Intense Quote Char"/>
    <w:link w:val="979"/>
    <w:uiPriority w:val="30"/>
    <w:rPr>
      <w:i/>
    </w:rPr>
  </w:style>
  <w:style w:type="table" w:styleId="88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Footnote Text Char"/>
    <w:link w:val="939"/>
    <w:uiPriority w:val="99"/>
    <w:rPr>
      <w:sz w:val="18"/>
    </w:rPr>
  </w:style>
  <w:style w:type="character" w:styleId="908">
    <w:name w:val="Endnote Text Char"/>
    <w:link w:val="933"/>
    <w:uiPriority w:val="99"/>
    <w:rPr>
      <w:sz w:val="20"/>
    </w:rPr>
  </w:style>
  <w:style w:type="paragraph" w:styleId="909">
    <w:name w:val="TOC Heading"/>
    <w:uiPriority w:val="39"/>
    <w:unhideWhenUsed/>
  </w:style>
  <w:style w:type="paragraph" w:styleId="910" w:default="1">
    <w:name w:val="Normal"/>
    <w:uiPriority w:val="0"/>
    <w:qFormat/>
    <w:rPr>
      <w:rFonts w:ascii="Arial" w:hAnsi="Arial" w:eastAsia="Arial" w:cs="Arial"/>
      <w:color w:val="000000"/>
      <w:sz w:val="21"/>
      <w:szCs w:val="21"/>
      <w:lang w:val="en-US" w:eastAsia="en-US" w:bidi="ar-SA"/>
    </w:rPr>
  </w:style>
  <w:style w:type="paragraph" w:styleId="911">
    <w:name w:val="Heading 1"/>
    <w:basedOn w:val="910"/>
    <w:next w:val="910"/>
    <w:link w:val="965"/>
    <w:uiPriority w:val="9"/>
    <w:qFormat/>
    <w:pPr>
      <w:keepLines/>
      <w:keepNext/>
      <w:spacing w:before="480" w:after="200"/>
      <w:outlineLvl w:val="0"/>
    </w:pPr>
    <w:rPr>
      <w:sz w:val="40"/>
      <w:szCs w:val="40"/>
    </w:rPr>
  </w:style>
  <w:style w:type="paragraph" w:styleId="912">
    <w:name w:val="Heading 2"/>
    <w:basedOn w:val="922"/>
    <w:next w:val="910"/>
    <w:link w:val="966"/>
    <w:uiPriority w:val="9"/>
    <w:unhideWhenUsed/>
    <w:qFormat/>
    <w:pPr>
      <w:keepLines/>
      <w:keepNext/>
      <w:spacing w:before="360" w:after="200"/>
      <w:outlineLvl w:val="1"/>
    </w:pPr>
    <w:rPr>
      <w:sz w:val="34"/>
    </w:rPr>
  </w:style>
  <w:style w:type="paragraph" w:styleId="913">
    <w:name w:val="Heading 3"/>
    <w:basedOn w:val="910"/>
    <w:next w:val="910"/>
    <w:link w:val="967"/>
    <w:uiPriority w:val="9"/>
    <w:unhideWhenUsed/>
    <w:qFormat/>
    <w:pPr>
      <w:keepLines/>
      <w:keepNext/>
      <w:spacing w:before="320" w:after="200"/>
      <w:outlineLvl w:val="2"/>
    </w:pPr>
    <w:rPr>
      <w:sz w:val="30"/>
      <w:szCs w:val="30"/>
    </w:rPr>
  </w:style>
  <w:style w:type="paragraph" w:styleId="914">
    <w:name w:val="Heading 4"/>
    <w:basedOn w:val="910"/>
    <w:next w:val="910"/>
    <w:link w:val="968"/>
    <w:uiPriority w:val="9"/>
    <w:unhideWhenUsed/>
    <w:qFormat/>
    <w:pPr>
      <w:keepLines/>
      <w:keepNext/>
      <w:spacing w:before="320" w:after="200"/>
      <w:outlineLvl w:val="3"/>
    </w:pPr>
    <w:rPr>
      <w:b/>
      <w:bCs/>
      <w:sz w:val="26"/>
      <w:szCs w:val="26"/>
    </w:rPr>
  </w:style>
  <w:style w:type="paragraph" w:styleId="915">
    <w:name w:val="Heading 5"/>
    <w:basedOn w:val="910"/>
    <w:next w:val="910"/>
    <w:link w:val="969"/>
    <w:uiPriority w:val="9"/>
    <w:unhideWhenUsed/>
    <w:qFormat/>
    <w:pPr>
      <w:keepLines/>
      <w:keepNext/>
      <w:spacing w:before="320" w:after="200"/>
      <w:outlineLvl w:val="4"/>
    </w:pPr>
    <w:rPr>
      <w:b/>
      <w:bCs/>
      <w:sz w:val="24"/>
      <w:szCs w:val="24"/>
    </w:rPr>
  </w:style>
  <w:style w:type="paragraph" w:styleId="916">
    <w:name w:val="Heading 6"/>
    <w:basedOn w:val="910"/>
    <w:next w:val="910"/>
    <w:link w:val="970"/>
    <w:uiPriority w:val="9"/>
    <w:unhideWhenUsed/>
    <w:qFormat/>
    <w:pPr>
      <w:keepLines/>
      <w:keepNext/>
      <w:spacing w:before="320" w:after="200"/>
      <w:outlineLvl w:val="5"/>
    </w:pPr>
    <w:rPr>
      <w:b/>
      <w:bCs/>
      <w:sz w:val="22"/>
      <w:szCs w:val="22"/>
    </w:rPr>
  </w:style>
  <w:style w:type="paragraph" w:styleId="917">
    <w:name w:val="Heading 7"/>
    <w:basedOn w:val="910"/>
    <w:next w:val="910"/>
    <w:link w:val="971"/>
    <w:uiPriority w:val="9"/>
    <w:unhideWhenUsed/>
    <w:qFormat/>
    <w:pPr>
      <w:keepLines/>
      <w:keepNext/>
      <w:spacing w:before="320" w:after="200"/>
      <w:outlineLvl w:val="6"/>
    </w:pPr>
    <w:rPr>
      <w:b/>
      <w:bCs/>
      <w:i/>
      <w:iCs/>
      <w:sz w:val="22"/>
      <w:szCs w:val="22"/>
    </w:rPr>
  </w:style>
  <w:style w:type="paragraph" w:styleId="918">
    <w:name w:val="Heading 8"/>
    <w:basedOn w:val="910"/>
    <w:next w:val="910"/>
    <w:link w:val="972"/>
    <w:uiPriority w:val="9"/>
    <w:unhideWhenUsed/>
    <w:qFormat/>
    <w:pPr>
      <w:keepLines/>
      <w:keepNext/>
      <w:spacing w:before="320" w:after="200"/>
      <w:outlineLvl w:val="7"/>
    </w:pPr>
    <w:rPr>
      <w:i/>
      <w:iCs/>
      <w:sz w:val="22"/>
      <w:szCs w:val="22"/>
    </w:rPr>
  </w:style>
  <w:style w:type="paragraph" w:styleId="919">
    <w:name w:val="Heading 9"/>
    <w:basedOn w:val="910"/>
    <w:next w:val="910"/>
    <w:link w:val="973"/>
    <w:uiPriority w:val="9"/>
    <w:unhideWhenUsed/>
    <w:qFormat/>
    <w:pPr>
      <w:keepLines/>
      <w:keepNext/>
      <w:spacing w:before="320" w:after="200"/>
      <w:outlineLvl w:val="8"/>
    </w:pPr>
    <w:rPr>
      <w:i/>
      <w:iCs/>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List Paragraph"/>
    <w:basedOn w:val="910"/>
    <w:uiPriority w:val="34"/>
    <w:qFormat/>
    <w:pPr>
      <w:contextualSpacing/>
      <w:ind w:left="720"/>
    </w:pPr>
  </w:style>
  <w:style w:type="paragraph" w:styleId="923">
    <w:name w:val="toc 7"/>
    <w:basedOn w:val="910"/>
    <w:next w:val="910"/>
    <w:uiPriority w:val="39"/>
    <w:unhideWhenUsed/>
    <w:qFormat/>
    <w:pPr>
      <w:ind w:left="1701"/>
      <w:spacing w:after="57"/>
    </w:pPr>
  </w:style>
  <w:style w:type="paragraph" w:styleId="924">
    <w:name w:val="Note Heading"/>
    <w:basedOn w:val="910"/>
    <w:next w:val="910"/>
    <w:uiPriority w:val="0"/>
    <w:qFormat/>
    <w:pPr>
      <w:jc w:val="center"/>
    </w:pPr>
    <w:rPr>
      <w:rFonts w:ascii="Calibri" w:hAnsi="Calibri"/>
      <w:szCs w:val="22"/>
    </w:rPr>
  </w:style>
  <w:style w:type="paragraph" w:styleId="925">
    <w:name w:val="Caption"/>
    <w:basedOn w:val="910"/>
    <w:next w:val="9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annotation text"/>
    <w:basedOn w:val="910"/>
    <w:uiPriority w:val="99"/>
    <w:semiHidden/>
    <w:unhideWhenUsed/>
    <w:qFormat/>
    <w:pPr>
      <w:jc w:val="left"/>
    </w:pPr>
  </w:style>
  <w:style w:type="paragraph" w:styleId="927">
    <w:name w:val="Body Text"/>
    <w:basedOn w:val="910"/>
    <w:uiPriority w:val="0"/>
    <w:semiHidden/>
    <w:qFormat/>
  </w:style>
  <w:style w:type="paragraph" w:styleId="928">
    <w:name w:val="Body Text Indent"/>
    <w:basedOn w:val="910"/>
    <w:uiPriority w:val="0"/>
    <w:unhideWhenUsed/>
    <w:qFormat/>
    <w:pPr>
      <w:ind w:left="420"/>
      <w:spacing w:after="120"/>
    </w:pPr>
  </w:style>
  <w:style w:type="paragraph" w:styleId="929">
    <w:name w:val="index 4"/>
    <w:basedOn w:val="910"/>
    <w:next w:val="910"/>
    <w:uiPriority w:val="0"/>
    <w:qFormat/>
    <w:pPr>
      <w:ind w:left="600"/>
    </w:pPr>
    <w:rPr>
      <w:rFonts w:ascii="Times New Roman" w:hAnsi="Times New Roman" w:cs="宋体"/>
      <w:sz w:val="24"/>
      <w:szCs w:val="24"/>
    </w:rPr>
  </w:style>
  <w:style w:type="paragraph" w:styleId="930">
    <w:name w:val="toc 5"/>
    <w:basedOn w:val="910"/>
    <w:next w:val="910"/>
    <w:uiPriority w:val="39"/>
    <w:unhideWhenUsed/>
    <w:qFormat/>
    <w:pPr>
      <w:ind w:left="1134"/>
      <w:spacing w:after="57"/>
    </w:pPr>
  </w:style>
  <w:style w:type="paragraph" w:styleId="931">
    <w:name w:val="toc 3"/>
    <w:basedOn w:val="910"/>
    <w:next w:val="910"/>
    <w:uiPriority w:val="39"/>
    <w:unhideWhenUsed/>
    <w:qFormat/>
    <w:pPr>
      <w:ind w:left="567"/>
      <w:spacing w:after="57"/>
    </w:pPr>
  </w:style>
  <w:style w:type="paragraph" w:styleId="932">
    <w:name w:val="toc 8"/>
    <w:basedOn w:val="910"/>
    <w:next w:val="910"/>
    <w:uiPriority w:val="39"/>
    <w:unhideWhenUsed/>
    <w:qFormat/>
    <w:pPr>
      <w:ind w:left="1984"/>
      <w:spacing w:after="57"/>
    </w:pPr>
  </w:style>
  <w:style w:type="paragraph" w:styleId="933">
    <w:name w:val="endnote text"/>
    <w:basedOn w:val="910"/>
    <w:link w:val="1110"/>
    <w:uiPriority w:val="99"/>
    <w:semiHidden/>
    <w:unhideWhenUsed/>
    <w:qFormat/>
    <w:rPr>
      <w:sz w:val="20"/>
    </w:rPr>
  </w:style>
  <w:style w:type="paragraph" w:styleId="934">
    <w:name w:val="Footer"/>
    <w:basedOn w:val="910"/>
    <w:uiPriority w:val="0"/>
    <w:qFormat/>
    <w:pPr>
      <w:tabs>
        <w:tab w:val="center" w:pos="4153" w:leader="none"/>
        <w:tab w:val="right" w:pos="8306" w:leader="none"/>
      </w:tabs>
    </w:pPr>
    <w:rPr>
      <w:sz w:val="18"/>
    </w:rPr>
  </w:style>
  <w:style w:type="paragraph" w:styleId="935">
    <w:name w:val="Header"/>
    <w:basedOn w:val="910"/>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6">
    <w:name w:val="toc 1"/>
    <w:basedOn w:val="910"/>
    <w:next w:val="910"/>
    <w:uiPriority w:val="0"/>
    <w:qFormat/>
  </w:style>
  <w:style w:type="paragraph" w:styleId="937">
    <w:name w:val="toc 4"/>
    <w:basedOn w:val="910"/>
    <w:next w:val="910"/>
    <w:uiPriority w:val="39"/>
    <w:unhideWhenUsed/>
    <w:qFormat/>
    <w:pPr>
      <w:ind w:left="850"/>
      <w:spacing w:after="57"/>
    </w:pPr>
  </w:style>
  <w:style w:type="paragraph" w:styleId="938">
    <w:name w:val="Subtitle"/>
    <w:basedOn w:val="910"/>
    <w:next w:val="910"/>
    <w:link w:val="976"/>
    <w:uiPriority w:val="11"/>
    <w:qFormat/>
    <w:pPr>
      <w:spacing w:before="200" w:after="200"/>
    </w:pPr>
    <w:rPr>
      <w:sz w:val="24"/>
      <w:szCs w:val="24"/>
    </w:rPr>
  </w:style>
  <w:style w:type="paragraph" w:styleId="939">
    <w:name w:val="footnote text"/>
    <w:basedOn w:val="910"/>
    <w:link w:val="1109"/>
    <w:uiPriority w:val="99"/>
    <w:semiHidden/>
    <w:unhideWhenUsed/>
    <w:qFormat/>
    <w:pPr>
      <w:spacing w:after="40"/>
    </w:pPr>
    <w:rPr>
      <w:sz w:val="18"/>
    </w:rPr>
  </w:style>
  <w:style w:type="paragraph" w:styleId="940">
    <w:name w:val="toc 6"/>
    <w:basedOn w:val="910"/>
    <w:next w:val="910"/>
    <w:uiPriority w:val="39"/>
    <w:unhideWhenUsed/>
    <w:qFormat/>
    <w:pPr>
      <w:ind w:left="1417"/>
      <w:spacing w:after="57"/>
    </w:pPr>
  </w:style>
  <w:style w:type="paragraph" w:styleId="941">
    <w:name w:val="table of figures"/>
    <w:basedOn w:val="910"/>
    <w:next w:val="910"/>
    <w:uiPriority w:val="99"/>
    <w:unhideWhenUsed/>
    <w:qFormat/>
  </w:style>
  <w:style w:type="paragraph" w:styleId="942">
    <w:name w:val="toc 2"/>
    <w:basedOn w:val="910"/>
    <w:next w:val="910"/>
    <w:uiPriority w:val="0"/>
    <w:qFormat/>
    <w:pPr>
      <w:ind w:left="420"/>
    </w:pPr>
  </w:style>
  <w:style w:type="paragraph" w:styleId="943">
    <w:name w:val="toc 9"/>
    <w:basedOn w:val="910"/>
    <w:next w:val="910"/>
    <w:uiPriority w:val="39"/>
    <w:unhideWhenUsed/>
    <w:qFormat/>
    <w:pPr>
      <w:ind w:left="2268"/>
      <w:spacing w:after="57"/>
    </w:pPr>
  </w:style>
  <w:style w:type="paragraph" w:styleId="944">
    <w:name w:val="Body Text 2"/>
    <w:basedOn w:val="910"/>
    <w:uiPriority w:val="0"/>
    <w:qFormat/>
    <w:pPr>
      <w:spacing w:after="120" w:line="480" w:lineRule="auto"/>
    </w:pPr>
  </w:style>
  <w:style w:type="paragraph" w:styleId="945">
    <w:name w:val="Normal (Web)"/>
    <w:basedOn w:val="91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46">
    <w:name w:val="Title"/>
    <w:basedOn w:val="910"/>
    <w:next w:val="928"/>
    <w:uiPriority w:val="10"/>
    <w:qFormat/>
    <w:pPr>
      <w:contextualSpacing/>
      <w:spacing w:before="300" w:after="200"/>
    </w:pPr>
    <w:rPr>
      <w:sz w:val="48"/>
      <w:szCs w:val="48"/>
    </w:rPr>
  </w:style>
  <w:style w:type="paragraph" w:styleId="947">
    <w:name w:val="Body Text First Indent"/>
    <w:basedOn w:val="927"/>
    <w:next w:val="910"/>
    <w:uiPriority w:val="0"/>
    <w:qFormat/>
    <w:pPr>
      <w:ind w:firstLine="100"/>
      <w:spacing w:after="120"/>
    </w:pPr>
    <w:rPr>
      <w:rFonts w:ascii="Times New Roman" w:hAnsi="Times New Roman"/>
    </w:rPr>
  </w:style>
  <w:style w:type="table" w:styleId="948">
    <w:name w:val="Table Grid"/>
    <w:basedOn w:val="9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basedOn w:val="920"/>
    <w:uiPriority w:val="22"/>
    <w:qFormat/>
  </w:style>
  <w:style w:type="character" w:styleId="950">
    <w:name w:val="endnote reference"/>
    <w:basedOn w:val="920"/>
    <w:uiPriority w:val="99"/>
    <w:semiHidden/>
    <w:unhideWhenUsed/>
    <w:qFormat/>
    <w:rPr>
      <w:vertAlign w:val="superscript"/>
    </w:rPr>
  </w:style>
  <w:style w:type="character" w:styleId="951">
    <w:name w:val="FollowedHyperlink"/>
    <w:basedOn w:val="920"/>
    <w:uiPriority w:val="99"/>
    <w:semiHidden/>
    <w:unhideWhenUsed/>
    <w:qFormat/>
    <w:rPr>
      <w:color w:val="800080"/>
      <w:u w:val="none"/>
    </w:rPr>
  </w:style>
  <w:style w:type="character" w:styleId="952">
    <w:name w:val="Emphasis"/>
    <w:basedOn w:val="920"/>
    <w:uiPriority w:val="20"/>
    <w:qFormat/>
  </w:style>
  <w:style w:type="character" w:styleId="953">
    <w:name w:val="HTML Definition"/>
    <w:basedOn w:val="920"/>
    <w:uiPriority w:val="99"/>
    <w:semiHidden/>
    <w:unhideWhenUsed/>
    <w:qFormat/>
  </w:style>
  <w:style w:type="character" w:styleId="954">
    <w:name w:val="HTML Typewriter"/>
    <w:basedOn w:val="920"/>
    <w:uiPriority w:val="99"/>
    <w:semiHidden/>
    <w:unhideWhenUsed/>
    <w:qFormat/>
    <w:rPr>
      <w:rFonts w:ascii="monospace" w:hAnsi="monospace" w:eastAsia="monospace" w:cs="monospace"/>
      <w:sz w:val="20"/>
    </w:rPr>
  </w:style>
  <w:style w:type="character" w:styleId="955">
    <w:name w:val="HTML Acronym"/>
    <w:basedOn w:val="920"/>
    <w:uiPriority w:val="99"/>
    <w:semiHidden/>
    <w:unhideWhenUsed/>
    <w:qFormat/>
  </w:style>
  <w:style w:type="character" w:styleId="956">
    <w:name w:val="HTML Variable"/>
    <w:basedOn w:val="920"/>
    <w:uiPriority w:val="99"/>
    <w:semiHidden/>
    <w:unhideWhenUsed/>
    <w:qFormat/>
  </w:style>
  <w:style w:type="character" w:styleId="957">
    <w:name w:val="Hyperlink"/>
    <w:uiPriority w:val="99"/>
    <w:unhideWhenUsed/>
    <w:qFormat/>
    <w:rPr>
      <w:color w:val="0000ff" w:themeColor="hyperlink"/>
      <w:u w:val="single"/>
      <w14:textFill>
        <w14:solidFill>
          <w14:schemeClr w14:val="hlink"/>
        </w14:solidFill>
      </w14:textFill>
    </w:rPr>
  </w:style>
  <w:style w:type="character" w:styleId="958">
    <w:name w:val="HTML Code"/>
    <w:basedOn w:val="920"/>
    <w:uiPriority w:val="99"/>
    <w:semiHidden/>
    <w:unhideWhenUsed/>
    <w:qFormat/>
    <w:rPr>
      <w:rFonts w:hint="default" w:ascii="monospace" w:hAnsi="monospace" w:eastAsia="monospace" w:cs="monospace"/>
      <w:sz w:val="20"/>
    </w:rPr>
  </w:style>
  <w:style w:type="character" w:styleId="959">
    <w:name w:val="HTML Cite"/>
    <w:basedOn w:val="920"/>
    <w:uiPriority w:val="99"/>
    <w:semiHidden/>
    <w:unhideWhenUsed/>
    <w:qFormat/>
  </w:style>
  <w:style w:type="character" w:styleId="960">
    <w:name w:val="footnote reference"/>
    <w:basedOn w:val="920"/>
    <w:uiPriority w:val="99"/>
    <w:unhideWhenUsed/>
    <w:qFormat/>
    <w:rPr>
      <w:vertAlign w:val="superscript"/>
    </w:rPr>
  </w:style>
  <w:style w:type="character" w:styleId="961">
    <w:name w:val="HTML Keyboard"/>
    <w:basedOn w:val="920"/>
    <w:uiPriority w:val="99"/>
    <w:semiHidden/>
    <w:unhideWhenUsed/>
    <w:qFormat/>
    <w:rPr>
      <w:rFonts w:hint="default" w:ascii="monospace" w:hAnsi="monospace" w:eastAsia="monospace" w:cs="monospace"/>
      <w:sz w:val="20"/>
    </w:rPr>
  </w:style>
  <w:style w:type="character" w:styleId="962">
    <w:name w:val="HTML Sample"/>
    <w:basedOn w:val="920"/>
    <w:uiPriority w:val="99"/>
    <w:semiHidden/>
    <w:unhideWhenUsed/>
    <w:qFormat/>
    <w:rPr>
      <w:rFonts w:hint="default" w:ascii="monospace" w:hAnsi="monospace" w:eastAsia="monospace" w:cs="monospace"/>
    </w:rPr>
  </w:style>
  <w:style w:type="paragraph" w:styleId="96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64" w:customStyle="1">
    <w:name w:val="正文首行缩进1"/>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character" w:styleId="965" w:customStyle="1">
    <w:name w:val="标题 1 字符"/>
    <w:basedOn w:val="920"/>
    <w:link w:val="911"/>
    <w:uiPriority w:val="9"/>
    <w:qFormat/>
    <w:rPr>
      <w:rFonts w:ascii="Arial" w:hAnsi="Arial" w:eastAsia="Arial" w:cs="Arial"/>
      <w:sz w:val="40"/>
      <w:szCs w:val="40"/>
    </w:rPr>
  </w:style>
  <w:style w:type="character" w:styleId="966" w:customStyle="1">
    <w:name w:val="标题 2 字符"/>
    <w:basedOn w:val="920"/>
    <w:link w:val="912"/>
    <w:uiPriority w:val="9"/>
    <w:qFormat/>
    <w:rPr>
      <w:rFonts w:ascii="Arial" w:hAnsi="Arial" w:eastAsia="Arial" w:cs="Arial"/>
      <w:sz w:val="34"/>
    </w:rPr>
  </w:style>
  <w:style w:type="character" w:styleId="967" w:customStyle="1">
    <w:name w:val="标题 3 字符"/>
    <w:basedOn w:val="920"/>
    <w:link w:val="913"/>
    <w:uiPriority w:val="9"/>
    <w:qFormat/>
    <w:rPr>
      <w:rFonts w:ascii="Arial" w:hAnsi="Arial" w:eastAsia="Arial" w:cs="Arial"/>
      <w:sz w:val="30"/>
      <w:szCs w:val="30"/>
    </w:rPr>
  </w:style>
  <w:style w:type="character" w:styleId="968" w:customStyle="1">
    <w:name w:val="标题 4 字符"/>
    <w:basedOn w:val="920"/>
    <w:link w:val="914"/>
    <w:uiPriority w:val="9"/>
    <w:qFormat/>
    <w:rPr>
      <w:rFonts w:ascii="Arial" w:hAnsi="Arial" w:eastAsia="Arial" w:cs="Arial"/>
      <w:b/>
      <w:bCs/>
      <w:sz w:val="26"/>
      <w:szCs w:val="26"/>
    </w:rPr>
  </w:style>
  <w:style w:type="character" w:styleId="969" w:customStyle="1">
    <w:name w:val="标题 5 字符"/>
    <w:basedOn w:val="920"/>
    <w:link w:val="915"/>
    <w:uiPriority w:val="9"/>
    <w:qFormat/>
    <w:rPr>
      <w:rFonts w:ascii="Arial" w:hAnsi="Arial" w:eastAsia="Arial" w:cs="Arial"/>
      <w:b/>
      <w:bCs/>
      <w:sz w:val="24"/>
      <w:szCs w:val="24"/>
    </w:rPr>
  </w:style>
  <w:style w:type="character" w:styleId="970" w:customStyle="1">
    <w:name w:val="标题 6 字符"/>
    <w:basedOn w:val="920"/>
    <w:link w:val="916"/>
    <w:uiPriority w:val="9"/>
    <w:qFormat/>
    <w:rPr>
      <w:rFonts w:ascii="Arial" w:hAnsi="Arial" w:eastAsia="Arial" w:cs="Arial"/>
      <w:b/>
      <w:bCs/>
      <w:sz w:val="22"/>
      <w:szCs w:val="22"/>
    </w:rPr>
  </w:style>
  <w:style w:type="character" w:styleId="971" w:customStyle="1">
    <w:name w:val="标题 7 字符"/>
    <w:basedOn w:val="920"/>
    <w:link w:val="917"/>
    <w:uiPriority w:val="9"/>
    <w:qFormat/>
    <w:rPr>
      <w:rFonts w:ascii="Arial" w:hAnsi="Arial" w:eastAsia="Arial" w:cs="Arial"/>
      <w:b/>
      <w:bCs/>
      <w:i/>
      <w:iCs/>
      <w:sz w:val="22"/>
      <w:szCs w:val="22"/>
    </w:rPr>
  </w:style>
  <w:style w:type="character" w:styleId="972" w:customStyle="1">
    <w:name w:val="标题 8 字符"/>
    <w:basedOn w:val="920"/>
    <w:link w:val="918"/>
    <w:uiPriority w:val="9"/>
    <w:qFormat/>
    <w:rPr>
      <w:rFonts w:ascii="Arial" w:hAnsi="Arial" w:eastAsia="Arial" w:cs="Arial"/>
      <w:i/>
      <w:iCs/>
      <w:sz w:val="22"/>
      <w:szCs w:val="22"/>
    </w:rPr>
  </w:style>
  <w:style w:type="character" w:styleId="973" w:customStyle="1">
    <w:name w:val="标题 9 字符"/>
    <w:basedOn w:val="920"/>
    <w:link w:val="919"/>
    <w:uiPriority w:val="9"/>
    <w:qFormat/>
    <w:rPr>
      <w:rFonts w:ascii="Arial" w:hAnsi="Arial" w:eastAsia="Arial" w:cs="Arial"/>
      <w:i/>
      <w:iCs/>
      <w:sz w:val="21"/>
      <w:szCs w:val="21"/>
    </w:rPr>
  </w:style>
  <w:style w:type="paragraph" w:styleId="974">
    <w:name w:val="No Spacing"/>
    <w:uiPriority w:val="1"/>
    <w:qFormat/>
    <w:rPr>
      <w:rFonts w:ascii="Times New Roman" w:hAnsi="Times New Roman" w:eastAsia="宋体" w:cs="Times New Roman"/>
      <w:lang w:val="en-US" w:eastAsia="zh-CN" w:bidi="ar-SA"/>
    </w:rPr>
  </w:style>
  <w:style w:type="character" w:styleId="975" w:customStyle="1">
    <w:name w:val="Title Char"/>
    <w:basedOn w:val="920"/>
    <w:uiPriority w:val="10"/>
    <w:qFormat/>
    <w:rPr>
      <w:sz w:val="48"/>
      <w:szCs w:val="48"/>
    </w:rPr>
  </w:style>
  <w:style w:type="character" w:styleId="976" w:customStyle="1">
    <w:name w:val="副标题 字符"/>
    <w:basedOn w:val="920"/>
    <w:link w:val="938"/>
    <w:uiPriority w:val="11"/>
    <w:qFormat/>
    <w:rPr>
      <w:sz w:val="24"/>
      <w:szCs w:val="24"/>
    </w:rPr>
  </w:style>
  <w:style w:type="paragraph" w:styleId="977">
    <w:name w:val="Quote"/>
    <w:basedOn w:val="910"/>
    <w:next w:val="910"/>
    <w:link w:val="978"/>
    <w:uiPriority w:val="29"/>
    <w:qFormat/>
    <w:pPr>
      <w:ind w:left="720" w:right="720"/>
    </w:pPr>
    <w:rPr>
      <w:i/>
    </w:rPr>
  </w:style>
  <w:style w:type="character" w:styleId="978" w:customStyle="1">
    <w:name w:val="引用 字符"/>
    <w:link w:val="977"/>
    <w:uiPriority w:val="29"/>
    <w:qFormat/>
    <w:rPr>
      <w:i/>
    </w:rPr>
  </w:style>
  <w:style w:type="paragraph" w:styleId="979">
    <w:name w:val="Intense Quote"/>
    <w:basedOn w:val="910"/>
    <w:next w:val="910"/>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link w:val="979"/>
    <w:uiPriority w:val="30"/>
    <w:qFormat/>
    <w:rPr>
      <w:i/>
    </w:rPr>
  </w:style>
  <w:style w:type="character" w:styleId="981" w:customStyle="1">
    <w:name w:val="Header Char"/>
    <w:basedOn w:val="920"/>
    <w:uiPriority w:val="99"/>
    <w:qFormat/>
  </w:style>
  <w:style w:type="character" w:styleId="982" w:customStyle="1">
    <w:name w:val="Footer Char"/>
    <w:basedOn w:val="920"/>
    <w:uiPriority w:val="99"/>
    <w:qFormat/>
  </w:style>
  <w:style w:type="character" w:styleId="983" w:customStyle="1">
    <w:name w:val="Caption Char"/>
    <w:uiPriority w:val="99"/>
    <w:qFormat/>
  </w:style>
  <w:style w:type="table" w:styleId="984" w:customStyle="1">
    <w:name w:val="Table Grid Light"/>
    <w:basedOn w:val="9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5" w:customStyle="1">
    <w:name w:val="无格式表格 11"/>
    <w:basedOn w:val="9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basedOn w:val="9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basedOn w:val="9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basedOn w:val="9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basedOn w:val="9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basedOn w:val="9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9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9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9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9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9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9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网格表 21"/>
    <w:basedOn w:val="9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9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9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9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9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9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9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网格表 31"/>
    <w:basedOn w:val="9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9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9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9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9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9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9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网格表 41"/>
    <w:basedOn w:val="9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9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basedOn w:val="9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basedOn w:val="9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basedOn w:val="9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basedOn w:val="9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basedOn w:val="9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网格表 5 深色1"/>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网格表 6 彩色1"/>
    <w:basedOn w:val="9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9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9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9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9" w:customStyle="1">
    <w:name w:val="Grid Table 6 Colorful - Accent 4"/>
    <w:basedOn w:val="9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9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basedOn w:val="9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网格表 7 彩色1"/>
    <w:basedOn w:val="9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9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9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9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9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9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9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清单表 1 浅色1"/>
    <w:basedOn w:val="9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9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92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92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9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9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92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清单表 21"/>
    <w:basedOn w:val="9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9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basedOn w:val="9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basedOn w:val="9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basedOn w:val="9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basedOn w:val="9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basedOn w:val="9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清单表 31"/>
    <w:basedOn w:val="9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9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basedOn w:val="9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9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9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9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9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清单表 41"/>
    <w:basedOn w:val="9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9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basedOn w:val="9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basedOn w:val="9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basedOn w:val="9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basedOn w:val="9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basedOn w:val="9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清单表 5 深色1"/>
    <w:basedOn w:val="9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9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9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9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9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9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9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清单表 6 彩色1"/>
    <w:basedOn w:val="9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92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basedOn w:val="92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basedOn w:val="92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basedOn w:val="9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basedOn w:val="9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basedOn w:val="9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清单表 7 彩色1"/>
    <w:basedOn w:val="9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92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92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92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92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92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92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basedOn w:val="9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9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basedOn w:val="9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basedOn w:val="9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basedOn w:val="9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basedOn w:val="9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basedOn w:val="9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basedOn w:val="9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9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basedOn w:val="9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basedOn w:val="9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basedOn w:val="9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basedOn w:val="9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basedOn w:val="9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脚注文本 字符"/>
    <w:link w:val="939"/>
    <w:uiPriority w:val="99"/>
    <w:qFormat/>
    <w:rPr>
      <w:sz w:val="18"/>
    </w:rPr>
  </w:style>
  <w:style w:type="character" w:styleId="1110" w:customStyle="1">
    <w:name w:val="尾注文本 字符"/>
    <w:link w:val="933"/>
    <w:uiPriority w:val="99"/>
    <w:qFormat/>
    <w:rPr>
      <w:sz w:val="20"/>
    </w:rPr>
  </w:style>
  <w:style w:type="paragraph" w:styleId="1111" w:customStyle="1">
    <w:name w:val="TOC 标题1"/>
    <w:uiPriority w:val="39"/>
    <w:unhideWhenUsed/>
    <w:qFormat/>
    <w:rPr>
      <w:rFonts w:ascii="Times New Roman" w:hAnsi="Times New Roman" w:eastAsia="宋体" w:cs="Times New Roman"/>
      <w:lang w:val="en-US" w:eastAsia="zh-CN" w:bidi="ar-SA"/>
    </w:rPr>
  </w:style>
  <w:style w:type="table" w:styleId="1112" w:customStyle="1">
    <w:name w:val="Table Normal"/>
    <w:uiPriority w:val="0"/>
    <w:semiHidden/>
    <w:unhideWhenUsed/>
    <w:qFormat/>
    <w:tblPr>
      <w:tblCellMar>
        <w:left w:w="0" w:type="dxa"/>
        <w:top w:w="0" w:type="dxa"/>
        <w:right w:w="0" w:type="dxa"/>
        <w:bottom w:w="0" w:type="dxa"/>
      </w:tblCellMar>
    </w:tblPr>
  </w:style>
  <w:style w:type="paragraph" w:styleId="1113" w:customStyle="1">
    <w:name w:val="Table Text"/>
    <w:basedOn w:val="910"/>
    <w:uiPriority w:val="0"/>
    <w:semiHidden/>
    <w:qFormat/>
    <w:rPr>
      <w:rFonts w:ascii="宋体" w:hAnsi="宋体" w:eastAsia="宋体" w:cs="宋体"/>
      <w:sz w:val="24"/>
      <w:szCs w:val="24"/>
    </w:rPr>
  </w:style>
  <w:style w:type="paragraph" w:styleId="111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1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118" w:customStyle="1">
    <w:name w:val="普通(网站)1"/>
    <w:basedOn w:val="910"/>
    <w:uiPriority w:val="0"/>
    <w:qFormat/>
    <w:pPr>
      <w:spacing w:before="100" w:beforeAutospacing="1" w:after="100" w:afterAutospacing="1"/>
    </w:pPr>
    <w:rPr>
      <w:rFonts w:ascii="宋体" w:hAnsi="宋体" w:eastAsia="宋体" w:cs="宋体"/>
      <w:sz w:val="24"/>
      <w:szCs w:val="24"/>
    </w:rPr>
  </w:style>
  <w:style w:type="paragraph" w:styleId="1119" w:customStyle="1">
    <w:name w:val="正文_12_0_0_0_0"/>
    <w:basedOn w:val="910"/>
    <w:uiPriority w:val="0"/>
    <w:qFormat/>
    <w:rPr>
      <w:rFonts w:ascii="Times New Roman" w:hAnsi="Times New Roman"/>
      <w:szCs w:val="24"/>
    </w:rPr>
  </w:style>
  <w:style w:type="paragraph" w:styleId="112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3" w:customStyle="1">
    <w:name w:val="Normal_16_0"/>
    <w:uiPriority w:val="0"/>
    <w:qFormat/>
    <w:rPr>
      <w:rFonts w:ascii="黑体" w:hAnsi="黑体" w:eastAsia="黑体" w:cs="黑体"/>
      <w:b/>
      <w:sz w:val="32"/>
      <w:szCs w:val="24"/>
      <w:lang w:val="en-US" w:eastAsia="zh-CN" w:bidi="ar-SA"/>
    </w:rPr>
  </w:style>
  <w:style w:type="paragraph" w:styleId="1124" w:customStyle="1">
    <w:name w:val="Char Char Char Char Char Char Char Char Char Char"/>
    <w:basedOn w:val="910"/>
    <w:uiPriority w:val="0"/>
    <w:qFormat/>
    <w:rPr>
      <w:rFonts w:ascii="Tahoma" w:hAnsi="Tahoma"/>
      <w:sz w:val="24"/>
      <w:szCs w:val="20"/>
    </w:rPr>
  </w:style>
  <w:style w:type="paragraph" w:styleId="1125" w:customStyle="1">
    <w:name w:val="Normal_17"/>
    <w:uiPriority w:val="0"/>
    <w:qFormat/>
    <w:rPr>
      <w:rFonts w:ascii="Times New Roman" w:hAnsi="Times New Roman" w:eastAsia="Times New Roman" w:cs="Times New Roman"/>
      <w:sz w:val="24"/>
      <w:szCs w:val="24"/>
      <w:lang w:val="en-US" w:eastAsia="zh-CN" w:bidi="ar-SA"/>
    </w:rPr>
  </w:style>
  <w:style w:type="paragraph" w:styleId="1126" w:customStyle="1">
    <w:name w:val="WPSOffice手动目录 1"/>
    <w:uiPriority w:val="0"/>
    <w:qFormat/>
    <w:rPr>
      <w:rFonts w:ascii="Times New Roman" w:hAnsi="Times New Roman" w:eastAsia="宋体" w:cs="Times New Roman"/>
      <w:lang w:val="en-US" w:eastAsia="zh-CN" w:bidi="ar-SA"/>
    </w:rPr>
  </w:style>
  <w:style w:type="paragraph" w:styleId="1127" w:customStyle="1">
    <w:name w:val="WPSOffice手动目录 2"/>
    <w:uiPriority w:val="0"/>
    <w:qFormat/>
    <w:rPr>
      <w:rFonts w:ascii="Times New Roman" w:hAnsi="Times New Roman" w:eastAsia="宋体" w:cs="Times New Roman"/>
      <w:lang w:val="en-US" w:eastAsia="zh-CN" w:bidi="ar-SA"/>
    </w:rPr>
  </w:style>
  <w:style w:type="paragraph" w:styleId="1128" w:customStyle="1">
    <w:name w:val="正文_21"/>
    <w:basedOn w:val="1129"/>
    <w:uiPriority w:val="0"/>
    <w:qFormat/>
    <w:rPr>
      <w:rFonts w:ascii="Times New Roman" w:hAnsi="Times New Roman"/>
      <w:szCs w:val="21"/>
    </w:rPr>
  </w:style>
  <w:style w:type="paragraph" w:styleId="1129" w:customStyle="1">
    <w:name w:val="正文_22"/>
    <w:uiPriority w:val="0"/>
    <w:qFormat/>
    <w:pPr>
      <w:jc w:val="both"/>
      <w:widowControl w:val="off"/>
    </w:pPr>
    <w:rPr>
      <w:rFonts w:ascii="Calibri" w:hAnsi="Calibri" w:eastAsia="宋体" w:cs="Times New Roman"/>
      <w:sz w:val="21"/>
      <w:szCs w:val="24"/>
      <w:lang w:val="en-US" w:eastAsia="zh-CN" w:bidi="ar-SA"/>
    </w:rPr>
  </w:style>
  <w:style w:type="character" w:styleId="1130" w:customStyle="1">
    <w:name w:val="默认段落字体1"/>
    <w:uiPriority w:val="1"/>
    <w:unhideWhenUsed/>
    <w:qFormat/>
    <w:rPr>
      <w:rFonts w:ascii="Arial" w:hAnsi="Arial" w:eastAsia="Arial" w:cs="Arial"/>
      <w:color w:val="000000"/>
      <w:sz w:val="21"/>
      <w:szCs w:val="21"/>
      <w:lang w:val="en-US" w:eastAsia="en-US" w:bidi="ar-SA"/>
    </w:rPr>
  </w:style>
  <w:style w:type="paragraph" w:styleId="1131" w:customStyle="1">
    <w:name w:val="Normal_16"/>
    <w:uiPriority w:val="0"/>
    <w:qFormat/>
    <w:pPr>
      <w:jc w:val="both"/>
      <w:widowControl w:val="off"/>
    </w:pPr>
    <w:rPr>
      <w:rFonts w:ascii="Calibri" w:hAnsi="Calibri" w:eastAsia="宋体" w:cs="Times New Roman"/>
      <w:sz w:val="21"/>
      <w:szCs w:val="24"/>
      <w:lang w:val="en-US" w:eastAsia="zh-CN" w:bidi="ar-SA"/>
    </w:rPr>
  </w:style>
  <w:style w:type="paragraph" w:styleId="1132" w:customStyle="1">
    <w:name w:val="正文_3_0_0"/>
    <w:basedOn w:val="1131"/>
    <w:uiPriority w:val="0"/>
    <w:qFormat/>
    <w:rPr>
      <w:rFonts w:ascii="Times New Roman" w:hAnsi="Times New Roman"/>
      <w:szCs w:val="21"/>
    </w:rPr>
  </w:style>
  <w:style w:type="paragraph" w:styleId="1133" w:customStyle="1">
    <w:name w:val="正文_21_1"/>
    <w:basedOn w:val="1131"/>
    <w:uiPriority w:val="0"/>
    <w:qFormat/>
    <w:rPr>
      <w:rFonts w:ascii="Times New Roman" w:hAnsi="Times New Roman"/>
      <w:szCs w:val="21"/>
    </w:rPr>
  </w:style>
  <w:style w:type="paragraph" w:styleId="1134" w:customStyle="1">
    <w:name w:val="普通正文"/>
    <w:basedOn w:val="910"/>
    <w:uiPriority w:val="0"/>
    <w:qFormat/>
    <w:pPr>
      <w:ind w:firstLine="480"/>
      <w:spacing w:before="120" w:after="120" w:line="360" w:lineRule="auto"/>
    </w:pPr>
    <w:rPr>
      <w:sz w:val="24"/>
      <w:szCs w:val="24"/>
    </w:rPr>
  </w:style>
  <w:style w:type="paragraph" w:styleId="1135" w:customStyle="1">
    <w:name w:val="正文_21_0_0"/>
    <w:uiPriority w:val="0"/>
    <w:qFormat/>
    <w:pPr>
      <w:jc w:val="both"/>
      <w:widowControl w:val="off"/>
    </w:pPr>
    <w:rPr>
      <w:rFonts w:ascii="Calibri" w:hAnsi="Calibri" w:eastAsia="Times New Roman" w:cs="Times New Roman"/>
      <w:sz w:val="24"/>
      <w:szCs w:val="24"/>
      <w:lang w:val="en-US" w:eastAsia="zh-CN" w:bidi="ar-SA"/>
    </w:rPr>
  </w:style>
  <w:style w:type="character" w:styleId="1136" w:customStyle="1">
    <w:name w:val="NormalCharacter"/>
    <w:uiPriority w:val="0"/>
    <w:qFormat/>
    <w:rPr>
      <w:rFonts w:hint="default" w:ascii="Times New Roman" w:hAnsi="Times New Roman" w:eastAsia="宋体" w:cs="Times New Roman"/>
      <w:sz w:val="21"/>
      <w:szCs w:val="22"/>
      <w:lang w:val="en-US" w:eastAsia="zh-CN" w:bidi="ar-SA"/>
    </w:rPr>
  </w:style>
  <w:style w:type="paragraph" w:styleId="1137"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正文_0_2_0"/>
    <w:uiPriority w:val="0"/>
    <w:qFormat/>
    <w:pPr>
      <w:jc w:val="both"/>
      <w:widowControl w:val="off"/>
    </w:pPr>
    <w:rPr>
      <w:rFonts w:ascii="Times New Roman" w:hAnsi="Times New Roman" w:eastAsia="宋体" w:cs="Times New Roman"/>
      <w:sz w:val="21"/>
      <w:szCs w:val="24"/>
      <w:lang w:val="en-US" w:eastAsia="zh-CN" w:bidi="ar-SA"/>
    </w:rPr>
  </w:style>
  <w:style w:type="character" w:styleId="1141" w:customStyle="1">
    <w:name w:val="layui-layer-tabnow"/>
    <w:basedOn w:val="920"/>
    <w:uiPriority w:val="0"/>
    <w:qFormat/>
    <w:rPr>
      <w:shd w:val="clear" w:color="auto" w:fill="ffffff"/>
    </w:rPr>
  </w:style>
  <w:style w:type="character" w:styleId="1142" w:customStyle="1">
    <w:name w:val="first-child"/>
    <w:basedOn w:val="920"/>
    <w:uiPriority w:val="0"/>
    <w:qFormat/>
  </w:style>
  <w:style w:type="character" w:styleId="1143" w:customStyle="1">
    <w:name w:val="hour_am"/>
    <w:basedOn w:val="920"/>
    <w:uiPriority w:val="0"/>
    <w:qFormat/>
  </w:style>
  <w:style w:type="character" w:styleId="1144" w:customStyle="1">
    <w:name w:val="hover2"/>
    <w:basedOn w:val="920"/>
    <w:uiPriority w:val="0"/>
    <w:qFormat/>
    <w:rPr>
      <w:shd w:val="clear" w:color="auto" w:fill="eeeeee"/>
    </w:rPr>
  </w:style>
  <w:style w:type="character" w:styleId="1145" w:customStyle="1">
    <w:name w:val="hour_pm"/>
    <w:basedOn w:val="920"/>
    <w:uiPriority w:val="0"/>
    <w:qFormat/>
  </w:style>
  <w:style w:type="character" w:styleId="1146" w:customStyle="1">
    <w:name w:val="glyphicon"/>
    <w:basedOn w:val="920"/>
    <w:uiPriority w:val="0"/>
    <w:qFormat/>
  </w:style>
  <w:style w:type="character" w:styleId="1147" w:customStyle="1">
    <w:name w:val="old"/>
    <w:basedOn w:val="920"/>
    <w:uiPriority w:val="0"/>
    <w:qFormat/>
    <w:rPr>
      <w:color w:val="999999"/>
    </w:rPr>
  </w:style>
  <w:style w:type="character" w:styleId="1148" w:customStyle="1">
    <w:name w:val="hover5"/>
    <w:basedOn w:val="920"/>
    <w:uiPriority w:val="0"/>
    <w:qFormat/>
    <w:rPr>
      <w:shd w:val="clear" w:color="auto" w:fill="eeeeee"/>
    </w:rPr>
  </w:style>
  <w:style w:type="paragraph" w:styleId="1149" w:customStyle="1">
    <w:name w:val="UserStyle_224"/>
    <w:uiPriority w:val="0"/>
    <w:qFormat/>
    <w:pPr>
      <w:jc w:val="both"/>
    </w:pPr>
    <w:rPr>
      <w:rFonts w:ascii="Times New Roman" w:hAnsi="Times New Roman" w:eastAsia="宋体" w:cs="Times New Roman"/>
      <w:sz w:val="21"/>
      <w:szCs w:val="24"/>
      <w:lang w:val="en-US" w:eastAsia="zh-CN" w:bidi="ar-SA"/>
    </w:r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赵飞飞</cp:lastModifiedBy>
  <cp:revision>8</cp:revision>
  <dcterms:created xsi:type="dcterms:W3CDTF">2024-04-26T07:54:00Z</dcterms:created>
  <dcterms:modified xsi:type="dcterms:W3CDTF">2026-10-16T03:30:53Z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2052-12.1.0.28505</vt:lpwstr>
  </property>
  <property fmtid="{D5CDD505-2E9C-101B-9397-08002B2CF9AE}" pid="5" name="ICV">
    <vt:lpwstr>ABEC640C08A1415097D7EB09198427E4_13</vt:lpwstr>
  </property>
  <property fmtid="{D5CDD505-2E9C-101B-9397-08002B2CF9AE}" pid="6" name="KSOTemplateDocerSaveRecord">
    <vt:lpwstr>eyJoZGlkIjoiZDRkODI5YzYzOGQzYmE5OWJjMzk0N2FlZTk5NjYwMjYiLCJ1c2VySWQiOiI0MzA0NjYwNDcifQ==</vt:lpwstr>
  </property>
</Properties>
</file>