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1008"/>
        <w:ind w:firstLine="0"/>
        <w:jc w:val="center"/>
        <w:rPr>
          <w:rFonts w:eastAsia="黑体"/>
          <w:b/>
          <w:bCs/>
          <w:color w:val="000000"/>
          <w:sz w:val="84"/>
        </w:rPr>
      </w:pPr>
      <w:r>
        <w:rPr>
          <w:rFonts w:hint="eastAsia" w:eastAsia="黑体"/>
          <w:b/>
          <w:bCs/>
          <w:color w:val="000000"/>
          <w:sz w:val="84"/>
        </w:rPr>
        <w:t xml:space="preserve">竞争性磋商文件</w:t>
      </w:r>
      <w:r/>
    </w:p>
    <w:p>
      <w:pPr>
        <w:ind w:firstLine="1606"/>
        <w:rPr>
          <w:rFonts w:ascii="Arial" w:hAnsi="Arial"/>
          <w:b/>
          <w:bCs/>
          <w:color w:val="000000"/>
          <w:sz w:val="32"/>
          <w:szCs w:val="24"/>
          <w:u w:val="single"/>
        </w:rPr>
      </w:pPr>
      <w:r>
        <w:rPr>
          <w:rFonts w:hint="eastAsia" w:ascii="Arial" w:hAnsi="Arial"/>
          <w:b/>
          <w:bCs/>
          <w:color w:val="000000"/>
          <w:sz w:val="32"/>
          <w:szCs w:val="24"/>
        </w:rPr>
        <w:t xml:space="preserve">项目名称：</w:t>
      </w:r>
      <w:r>
        <w:rPr>
          <w:rFonts w:hint="eastAsia"/>
          <w:b/>
          <w:color w:val="000000"/>
          <w:sz w:val="32"/>
          <w:szCs w:val="32"/>
        </w:rPr>
        <w:t xml:space="preserve">南京鼓楼医院研究型智慧病房终端及配套软件 </w:t>
      </w:r>
      <w:r/>
    </w:p>
    <w:p>
      <w:pPr>
        <w:ind w:firstLine="1606"/>
        <w:jc w:val="left"/>
        <w:spacing w:before="120" w:after="120" w:line="360" w:lineRule="auto"/>
        <w:rPr>
          <w:color w:val="000000"/>
        </w:rPr>
      </w:pPr>
      <w:r>
        <w:rPr>
          <w:rFonts w:hint="eastAsia" w:ascii="Arial" w:hAnsi="Arial"/>
          <w:b/>
          <w:bCs/>
          <w:color w:val="000000"/>
          <w:sz w:val="32"/>
          <w:szCs w:val="24"/>
        </w:rPr>
        <w:t xml:space="preserve">项目编号：</w:t>
      </w:r>
      <w:r>
        <w:rPr>
          <w:rFonts w:hint="eastAsia"/>
          <w:b/>
          <w:color w:val="000000"/>
          <w:sz w:val="32"/>
          <w:szCs w:val="32"/>
        </w:rPr>
        <w:t xml:space="preserve">JSZC-320100-JZCG-C2026-0343</w:t>
      </w:r>
      <w:r/>
    </w:p>
    <w:p>
      <w:pPr>
        <w:jc w:val="center"/>
        <w:rPr>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929"/>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1008"/>
        <w:ind w:firstLine="0"/>
        <w:jc w:val="center"/>
        <w:rPr>
          <w:b/>
          <w:bCs/>
          <w:sz w:val="32"/>
        </w:rPr>
      </w:pPr>
      <w:r>
        <w:rPr>
          <w:rFonts w:hint="eastAsia"/>
          <w:b/>
          <w:bCs/>
          <w:sz w:val="32"/>
        </w:rPr>
        <w:t xml:space="preserve">南京市公共资源交易中心</w:t>
      </w:r>
      <w:r/>
    </w:p>
    <w:p>
      <w:pPr>
        <w:jc w:val="center"/>
        <w:rPr>
          <w:b/>
          <w:color w:val="000000"/>
          <w:sz w:val="32"/>
          <w:szCs w:val="32"/>
        </w:rPr>
      </w:pPr>
      <w:r>
        <w:rPr>
          <w:rFonts w:hint="eastAsia"/>
          <w:b/>
          <w:color w:val="000000"/>
          <w:sz w:val="32"/>
          <w:szCs w:val="32"/>
        </w:rPr>
        <w:t xml:space="preserve">2026年10月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hint="eastAsia" w:ascii="宋体" w:hAnsi="宋体" w:cs="宋体"/>
          <w:b/>
          <w:bCs/>
          <w:color w:val="0000ff"/>
          <w:sz w:val="24"/>
          <w:szCs w:val="24"/>
        </w:rPr>
      </w:pPr>
      <w:r>
        <w:rPr>
          <w:rFonts w:hint="eastAsia" w:ascii="宋体" w:hAnsi="宋体" w:cs="宋体"/>
          <w:b/>
          <w:bCs/>
          <w:color w:val="0000ff"/>
          <w:sz w:val="24"/>
          <w:szCs w:val="24"/>
        </w:rPr>
      </w:r>
      <w:r/>
    </w:p>
    <w:p>
      <w:pPr>
        <w:jc w:val="center"/>
        <w:spacing w:line="480" w:lineRule="auto"/>
        <w:rPr>
          <w:rFonts w:ascii="黑体" w:hAnsi="Arial" w:eastAsia="黑体"/>
          <w:b/>
          <w:sz w:val="44"/>
          <w:szCs w:val="21"/>
        </w:rPr>
        <w:outlineLvl w:val="0"/>
      </w:pPr>
      <w:r>
        <w:rPr>
          <w:szCs w:val="21"/>
        </w:rPr>
        <w:br w:type="page" w:clear="all"/>
      </w:r>
      <w:r>
        <w:rPr>
          <w:rFonts w:hint="eastAsia" w:ascii="黑体" w:hAnsi="Arial" w:eastAsia="黑体"/>
          <w:b/>
          <w:color w:val="000000"/>
          <w:sz w:val="44"/>
          <w:szCs w:val="21"/>
        </w:rPr>
        <w:t xml:space="preserve">总  目  录</w:t>
      </w:r>
      <w:r/>
    </w:p>
    <w:p>
      <w:pPr>
        <w:spacing w:line="480" w:lineRule="auto"/>
        <w:rPr>
          <w:rFonts w:ascii="仿宋_GB2312" w:hAnsi="Arial" w:eastAsia="仿宋_GB2312"/>
          <w:b/>
          <w:sz w:val="28"/>
          <w:szCs w:val="21"/>
        </w:rPr>
      </w:pPr>
      <w:r/>
      <w:bookmarkStart w:id="0" w:name="_Toc479757206"/>
      <w:r/>
      <w:bookmarkStart w:id="1" w:name="_Toc120614210"/>
      <w:r/>
      <w:bookmarkStart w:id="2" w:name="_Toc523127445"/>
      <w:r/>
      <w:bookmarkStart w:id="3" w:name="_Toc16938516"/>
      <w:r/>
      <w:bookmarkStart w:id="4" w:name="_Toc20823272"/>
      <w:r/>
      <w:bookmarkStart w:id="5" w:name="_Toc513029200"/>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磋商邀请…………………………………… 2</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供应商须知………………………………… 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合同文本……………………………………14</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采购需求……………………………………17</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评审方法与评审标准………………………42</w:t>
      </w:r>
      <w:r/>
    </w:p>
    <w:p>
      <w:pPr>
        <w:numPr>
          <w:ilvl w:val="0"/>
          <w:numId w:val="4"/>
        </w:numPr>
        <w:jc w:val="center"/>
        <w:spacing w:line="960" w:lineRule="auto"/>
        <w:rPr>
          <w:rFonts w:hint="eastAsia" w:ascii="黑体" w:hAnsi="宋体" w:eastAsia="黑体"/>
          <w:color w:val="000000"/>
          <w:sz w:val="36"/>
          <w:szCs w:val="21"/>
        </w:rPr>
        <w:outlineLvl w:val="1"/>
      </w:pPr>
      <w:r>
        <w:rPr>
          <w:rFonts w:hint="eastAsia" w:ascii="黑体" w:hAnsi="宋体" w:eastAsia="黑体"/>
          <w:color w:val="000000"/>
          <w:sz w:val="36"/>
          <w:szCs w:val="21"/>
        </w:rPr>
        <w:t xml:space="preserve">响应文件格式………………………………46</w:t>
      </w:r>
      <w:r/>
    </w:p>
    <w:p>
      <w:pPr>
        <w:rPr>
          <w:szCs w:val="21"/>
        </w:rPr>
      </w:pPr>
      <w:r>
        <w:rPr>
          <w:szCs w:val="21"/>
        </w:rPr>
      </w:r>
      <w:r/>
    </w:p>
    <w:p>
      <w:pPr>
        <w:rPr>
          <w:szCs w:val="21"/>
        </w:rPr>
      </w:pPr>
      <w:r>
        <w:rPr>
          <w:szCs w:val="21"/>
        </w:rPr>
      </w:r>
      <w:r/>
    </w:p>
    <w:p>
      <w:pPr>
        <w:rPr>
          <w:szCs w:val="21"/>
        </w:rPr>
      </w:pPr>
      <w:r>
        <w:rPr>
          <w:szCs w:val="21"/>
        </w:rPr>
      </w:r>
      <w:r/>
    </w:p>
    <w:p>
      <w:pPr>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磋商邀请</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rPr>
          <w:rFonts w:hint="eastAsia" w:ascii="宋体" w:hAnsi="宋体"/>
          <w:color w:val="000000"/>
          <w:sz w:val="24"/>
          <w:szCs w:val="24"/>
        </w:rPr>
      </w:pPr>
      <w:r>
        <w:rPr>
          <w:rFonts w:hint="eastAsia" w:ascii="宋体" w:hAnsi="宋体"/>
          <w:color w:val="000000"/>
          <w:sz w:val="24"/>
          <w:szCs w:val="24"/>
        </w:rPr>
        <w:t xml:space="preserve">1.项目编号：JSZC-320100-JZCG-C2026-0343</w:t>
      </w:r>
      <w:r/>
    </w:p>
    <w:p>
      <w:pPr>
        <w:ind w:firstLine="480"/>
        <w:rPr>
          <w:rFonts w:hint="eastAsia" w:ascii="宋体" w:hAnsi="宋体"/>
          <w:color w:val="000000"/>
          <w:sz w:val="24"/>
          <w:szCs w:val="24"/>
        </w:rPr>
      </w:pPr>
      <w:r>
        <w:rPr>
          <w:rFonts w:hint="eastAsia" w:ascii="宋体" w:hAnsi="宋体"/>
          <w:color w:val="000000"/>
          <w:sz w:val="24"/>
          <w:szCs w:val="24"/>
        </w:rPr>
        <w:t xml:space="preserve">2.项目名称：南京鼓楼医院研究型智慧病房终端及配套软件</w:t>
      </w:r>
      <w:r/>
    </w:p>
    <w:p>
      <w:pPr>
        <w:ind w:firstLine="480"/>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s="宋体"/>
          <w:color w:val="000000"/>
          <w:sz w:val="24"/>
          <w:szCs w:val="24"/>
        </w:rPr>
        <w:t xml:space="preserve">94.31万元</w:t>
      </w:r>
      <w:r/>
    </w:p>
    <w:p>
      <w:pPr>
        <w:ind w:firstLine="480"/>
        <w:rPr>
          <w:rFonts w:hint="eastAsia" w:ascii="宋体" w:hAnsi="宋体" w:cs="宋体"/>
          <w:color w:val="000000"/>
          <w:sz w:val="24"/>
          <w:szCs w:val="24"/>
        </w:rPr>
      </w:pPr>
      <w:r>
        <w:rPr>
          <w:rFonts w:hint="eastAsia" w:ascii="宋体" w:hAnsi="宋体"/>
          <w:color w:val="000000"/>
          <w:sz w:val="24"/>
          <w:szCs w:val="24"/>
        </w:rPr>
        <w:t xml:space="preserve">4.最高限价：</w:t>
      </w:r>
      <w:r>
        <w:rPr>
          <w:rFonts w:hint="eastAsia" w:ascii="宋体" w:hAnsi="宋体" w:cs="宋体"/>
          <w:color w:val="000000"/>
          <w:sz w:val="24"/>
          <w:szCs w:val="24"/>
        </w:rPr>
        <w:t xml:space="preserve">94.31万元</w:t>
      </w:r>
      <w:r/>
    </w:p>
    <w:p>
      <w:pPr>
        <w:ind w:firstLine="480"/>
        <w:rPr>
          <w:rFonts w:hint="eastAsia" w:ascii="宋体" w:hAnsi="宋体"/>
          <w:color w:val="000000"/>
          <w:sz w:val="24"/>
          <w:szCs w:val="24"/>
          <w:u w:val="single"/>
        </w:rPr>
      </w:pPr>
      <w:r>
        <w:rPr>
          <w:rFonts w:hint="eastAsia" w:ascii="宋体" w:hAnsi="宋体"/>
          <w:color w:val="000000"/>
          <w:sz w:val="24"/>
          <w:szCs w:val="24"/>
        </w:rPr>
        <w:t xml:space="preserve">5.采购需求（简介）：本项目以研究型病房场景为核心，依托物联网感知、大数据分析与边缘计算技术，打通患者生命体征监测、医护服务调度、病房环境管控、医疗物资管理等多个分散的业务环节，构建全链路智能化的病房服务体系。在降低医护人员非必要工作负荷、减少人为疏漏风险的同时，大幅提升患者住院期间的服务响应效率与就医体验，最终实现病房临床服务的精细化、高效化与人性化升级。</w:t>
      </w:r>
      <w:r>
        <w:rPr>
          <w:rFonts w:hint="eastAsia" w:ascii="宋体" w:hAnsi="宋体" w:cs="宋体"/>
          <w:color w:val="000000"/>
          <w:sz w:val="24"/>
          <w:szCs w:val="24"/>
        </w:rPr>
        <w:t xml:space="preserve">（详细内容见本磋商文件第四章） </w:t>
      </w:r>
      <w:r/>
    </w:p>
    <w:p>
      <w:pPr>
        <w:ind w:firstLine="480"/>
        <w:rPr>
          <w:rFonts w:hint="eastAsia" w:ascii="宋体" w:hAnsi="宋体" w:cs="宋体"/>
          <w:color w:val="000000"/>
          <w:sz w:val="24"/>
          <w:szCs w:val="24"/>
        </w:rPr>
      </w:pPr>
      <w:r>
        <w:rPr>
          <w:rFonts w:hint="eastAsia" w:ascii="宋体" w:hAnsi="宋体"/>
          <w:color w:val="000000"/>
          <w:sz w:val="24"/>
          <w:szCs w:val="24"/>
        </w:rPr>
        <w:t xml:space="preserve">6.合同履行期限：30天</w:t>
      </w:r>
      <w:r/>
    </w:p>
    <w:p>
      <w:pPr>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本项目不接受联合体参加磋商。</w:t>
      </w:r>
      <w:r/>
    </w:p>
    <w:p>
      <w:pPr>
        <w:ind w:firstLine="480"/>
        <w:widowControl/>
        <w:rPr>
          <w:rFonts w:hint="eastAsia" w:ascii="宋体" w:hAnsi="宋体" w:cs="宋体"/>
          <w:color w:val="000000"/>
          <w:sz w:val="24"/>
          <w:szCs w:val="24"/>
        </w:rPr>
      </w:pPr>
      <w:r>
        <w:rPr>
          <w:rFonts w:hint="eastAsia" w:ascii="宋体" w:hAnsi="宋体" w:cs="宋体"/>
          <w:color w:val="000000"/>
          <w:sz w:val="24"/>
          <w:szCs w:val="24"/>
        </w:rPr>
        <w:t xml:space="preserve">8.本项目不接受进口产品。</w:t>
      </w:r>
      <w:r/>
    </w:p>
    <w:p>
      <w:pPr>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p>
    <w:p>
      <w:pPr>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2.未被“信用中国”网站列入失信被执行人、重大税收违法失信主体名单、政府采购严重违法失信行为记录名单。（资格审查环节查询，响应文件中无需提供证明材料）</w:t>
      </w:r>
      <w:r/>
    </w:p>
    <w:p>
      <w:pPr>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落实政府采购政策需满足的资格要求：无。</w:t>
      </w:r>
      <w:r/>
    </w:p>
    <w:p>
      <w:pPr>
        <w:ind w:firstLine="480"/>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p>
    <w:p>
      <w:pPr>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p>
    <w:p>
      <w:pPr>
        <w:rPr>
          <w:rFonts w:hint="eastAsia" w:ascii="宋体" w:hAnsi="宋体"/>
          <w:sz w:val="24"/>
          <w:szCs w:val="24"/>
        </w:rPr>
      </w:pPr>
      <w:r>
        <w:rPr>
          <w:rFonts w:hint="eastAsia" w:ascii="宋体" w:hAnsi="宋体" w:cs="宋体"/>
          <w:color w:val="0000ff"/>
          <w:sz w:val="24"/>
          <w:szCs w:val="24"/>
        </w:rPr>
        <w:t xml:space="preserve">    </w:t>
      </w:r>
      <w:r>
        <w:rPr>
          <w:rFonts w:hint="eastAsia" w:ascii="宋体" w:hAnsi="宋体" w:cs="宋体"/>
          <w:color w:val="000000" w:themeColor="text1"/>
          <w:sz w:val="24"/>
          <w:szCs w:val="24"/>
          <w14:textFill>
            <w14:solidFill>
              <w14:schemeClr w14:val="tx1"/>
            </w14:solidFill>
          </w14:textFill>
        </w:rPr>
        <w:t xml:space="preserve">2026</w:t>
      </w:r>
      <w:r>
        <w:rPr>
          <w:rFonts w:hint="eastAsia" w:ascii="宋体" w:hAnsi="宋体"/>
          <w:color w:val="000000" w:themeColor="text1"/>
          <w:sz w:val="24"/>
          <w:szCs w:val="24"/>
          <w14:textFill>
            <w14:solidFill>
              <w14:schemeClr w14:val="tx1"/>
            </w14:solidFill>
          </w14:textFill>
        </w:rPr>
        <w:t xml:space="preserve">年11</w:t>
      </w:r>
      <w:r>
        <w:rPr>
          <w:rFonts w:hint="eastAsia" w:ascii="宋体" w:hAnsi="宋体"/>
          <w:color w:val="000000" w:themeColor="text1"/>
          <w:sz w:val="24"/>
          <w:szCs w:val="24"/>
          <w14:textFill>
            <w14:solidFill>
              <w14:schemeClr w14:val="tx1"/>
            </w14:solidFill>
          </w14:textFill>
        </w:rPr>
        <w:t xml:space="preserve">月3</w:t>
      </w:r>
      <w:r>
        <w:rPr>
          <w:rFonts w:hint="eastAsia" w:ascii="宋体" w:hAnsi="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14:textFill>
            <w14:solidFill>
              <w14:schemeClr w14:val="tx1"/>
            </w14:solidFill>
          </w14:textFill>
        </w:rPr>
        <w:t xml:space="preserve">14</w:t>
      </w:r>
      <w:r>
        <w:rPr>
          <w:rFonts w:hint="eastAsia"/>
          <w:color w:val="000000" w:themeColor="text1"/>
          <w:sz w:val="24"/>
          <w:szCs w:val="24"/>
          <w14:textFill>
            <w14:solidFill>
              <w14:schemeClr w14:val="tx1"/>
            </w14:solidFill>
          </w14:textFill>
        </w:rPr>
        <w:t xml:space="preserve">时00</w:t>
      </w:r>
      <w:r>
        <w:rPr>
          <w:rFonts w:hint="eastAsia" w:ascii="宋体" w:hAnsi="宋体"/>
          <w:color w:val="000000" w:themeColor="text1"/>
          <w:sz w:val="24"/>
          <w:szCs w:val="24"/>
          <w14:textFill>
            <w14:solidFill>
              <w14:schemeClr w14:val="tx1"/>
            </w14:solidFill>
          </w14:textFill>
        </w:rPr>
        <w:t xml:space="preserve">分</w:t>
      </w:r>
      <w:r>
        <w:rPr>
          <w:rFonts w:hint="eastAsia" w:ascii="宋体" w:hAnsi="宋体"/>
          <w:sz w:val="24"/>
          <w:szCs w:val="24"/>
        </w:rPr>
        <w:t xml:space="preserve">（北京时间）。</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p>
    <w:p>
      <w:pPr>
        <w:ind w:firstLine="480"/>
        <w:rPr>
          <w:rFonts w:hint="eastAsia" w:ascii="宋体" w:hAnsi="宋体" w:cs="宋体"/>
          <w:sz w:val="24"/>
          <w:szCs w:val="24"/>
        </w:rPr>
      </w:pPr>
      <w:r>
        <w:rPr>
          <w:rFonts w:hint="eastAsia" w:ascii="宋体" w:hAnsi="宋体" w:cs="宋体"/>
          <w:sz w:val="24"/>
          <w:szCs w:val="24"/>
        </w:rPr>
        <w:t xml:space="preserve">公告期限为自本公告发布之日起3个工作日。</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p>
    <w:p>
      <w:pPr>
        <w:ind w:firstLine="480"/>
        <w:rPr>
          <w:rFonts w:hint="eastAsia" w:ascii="宋体" w:hAnsi="宋体" w:cs="宋体"/>
          <w:sz w:val="24"/>
          <w:szCs w:val="24"/>
        </w:rPr>
      </w:pPr>
      <w:r>
        <w:rPr>
          <w:rFonts w:hint="eastAsia" w:ascii="宋体" w:hAnsi="宋体" w:cs="宋体"/>
          <w:sz w:val="24"/>
          <w:szCs w:val="24"/>
        </w:rPr>
        <w:t xml:space="preserve">1.本次磋商不收取磋商保证金。</w:t>
      </w:r>
      <w:r/>
    </w:p>
    <w:p>
      <w:pPr>
        <w:ind w:firstLine="480"/>
        <w:rPr>
          <w:rFonts w:hint="eastAsia" w:ascii="宋体" w:hAnsi="宋体"/>
          <w:color w:val="000000"/>
          <w:sz w:val="24"/>
          <w:szCs w:val="24"/>
        </w:rPr>
      </w:pPr>
      <w:r>
        <w:rPr>
          <w:rFonts w:hint="eastAsia" w:ascii="宋体" w:hAnsi="宋体"/>
          <w:color w:val="000000"/>
          <w:sz w:val="24"/>
          <w:szCs w:val="24"/>
        </w:rPr>
        <w:t xml:space="preserve">2.本项目不组织勘察及答疑，供应商如对采购需求有疑问，请咨询采购人。 </w:t>
      </w:r>
      <w:r/>
    </w:p>
    <w:p>
      <w:pPr>
        <w:ind w:firstLine="480"/>
        <w:rPr>
          <w:color w:val="000000"/>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4.有关本次采购的事项若存在变动或修改，请及时关注“江苏政府采购网”（www.ccgp-jiangsu.gov.cn）更正公告。</w:t>
      </w:r>
      <w:r/>
    </w:p>
    <w:p>
      <w:pPr>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对采购方式、采购需求、供应商资格</w:t>
      </w:r>
      <w:r>
        <w:rPr>
          <w:rFonts w:hint="eastAsia" w:ascii="宋体" w:hAnsi="宋体"/>
          <w:b/>
          <w:bCs/>
          <w:color w:val="000000"/>
          <w:sz w:val="24"/>
        </w:rPr>
        <w:t xml:space="preserve">要求</w:t>
      </w:r>
      <w:r>
        <w:rPr>
          <w:rFonts w:hint="eastAsia" w:ascii="宋体" w:hAnsi="宋体"/>
          <w:b/>
          <w:bCs/>
          <w:color w:val="000000"/>
          <w:sz w:val="24"/>
          <w:lang w:val="zh-CN"/>
        </w:rPr>
        <w:t xml:space="preserve">、评</w:t>
      </w:r>
      <w:r>
        <w:rPr>
          <w:rFonts w:hint="eastAsia" w:ascii="宋体" w:hAnsi="宋体"/>
          <w:b/>
          <w:bCs/>
          <w:color w:val="000000"/>
          <w:sz w:val="24"/>
        </w:rPr>
        <w:t xml:space="preserve">审</w:t>
      </w:r>
      <w:r>
        <w:rPr>
          <w:rFonts w:hint="eastAsia" w:ascii="宋体" w:hAnsi="宋体"/>
          <w:b/>
          <w:bCs/>
          <w:color w:val="000000"/>
          <w:sz w:val="24"/>
          <w:lang w:val="zh-CN"/>
        </w:rPr>
        <w:t xml:space="preserve">方法和评</w:t>
      </w:r>
      <w:r>
        <w:rPr>
          <w:rFonts w:hint="eastAsia" w:ascii="宋体" w:hAnsi="宋体"/>
          <w:b/>
          <w:bCs/>
          <w:color w:val="000000"/>
          <w:sz w:val="24"/>
        </w:rPr>
        <w:t xml:space="preserve">审</w:t>
      </w:r>
      <w:r>
        <w:rPr>
          <w:rFonts w:hint="eastAsia" w:ascii="宋体" w:hAnsi="宋体"/>
          <w:b/>
          <w:bCs/>
          <w:color w:val="000000"/>
          <w:sz w:val="24"/>
          <w:lang w:val="zh-CN"/>
        </w:rPr>
        <w:t xml:space="preserve">标准、合同文本的询问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ind w:firstLine="480"/>
        <w:rPr>
          <w:rFonts w:hint="eastAsia" w:ascii="宋体" w:hAnsi="宋体"/>
          <w:color w:val="000000"/>
          <w:sz w:val="24"/>
        </w:rPr>
      </w:pPr>
      <w:r>
        <w:rPr>
          <w:rFonts w:hint="eastAsia" w:ascii="宋体" w:hAnsi="宋体"/>
          <w:color w:val="000000"/>
          <w:sz w:val="24"/>
        </w:rPr>
        <w:t xml:space="preserve">采购人《质疑函》收件人：张老师，收件地址：</w:t>
      </w:r>
      <w:r>
        <w:rPr>
          <w:rFonts w:hint="eastAsia" w:ascii="宋体" w:hAnsi="宋体" w:cs="宋体"/>
          <w:color w:val="000000"/>
          <w:sz w:val="24"/>
          <w:szCs w:val="24"/>
        </w:rPr>
        <w:t xml:space="preserve">南京市玄武区双龙巷5号4楼410，</w:t>
      </w:r>
      <w:r>
        <w:rPr>
          <w:rFonts w:hint="eastAsia" w:ascii="宋体" w:hAnsi="宋体"/>
          <w:color w:val="000000"/>
          <w:sz w:val="24"/>
        </w:rPr>
        <w:t xml:space="preserve">联系电话：025-83105006。</w:t>
      </w:r>
      <w:r/>
    </w:p>
    <w:p>
      <w:pPr>
        <w:ind w:firstLine="480"/>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w:t>
      </w:r>
      <w:r>
        <w:rPr>
          <w:rFonts w:hint="eastAsia" w:ascii="宋体" w:hAnsi="宋体"/>
          <w:color w:val="000000"/>
          <w:sz w:val="24"/>
        </w:rPr>
        <w:t xml:space="preserve">建邺区</w:t>
      </w:r>
      <w:r>
        <w:rPr>
          <w:rFonts w:hint="eastAsia" w:ascii="宋体" w:hAnsi="宋体"/>
          <w:color w:val="000000"/>
          <w:sz w:val="24"/>
          <w:lang w:val="zh-CN"/>
        </w:rPr>
        <w:t xml:space="preserve">江东中路265号南京市公共资源交易中心北门，联系电话：025-68505926。</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p>
    <w:p>
      <w:pPr>
        <w:ind w:firstLine="480"/>
        <w:rPr>
          <w:rFonts w:hint="eastAsia" w:ascii="宋体" w:hAnsi="宋体"/>
          <w:color w:val="000000"/>
          <w:sz w:val="24"/>
          <w:szCs w:val="24"/>
        </w:rPr>
      </w:pPr>
      <w:r>
        <w:rPr>
          <w:rFonts w:hint="eastAsia" w:ascii="宋体" w:hAnsi="宋体"/>
          <w:color w:val="000000"/>
          <w:sz w:val="24"/>
          <w:szCs w:val="24"/>
        </w:rPr>
        <w:t xml:space="preserve">1.采购人</w:t>
      </w:r>
      <w:r/>
    </w:p>
    <w:p>
      <w:pPr>
        <w:ind w:firstLine="480"/>
        <w:rPr>
          <w:rFonts w:hint="eastAsia" w:ascii="宋体" w:hAnsi="宋体"/>
          <w:color w:val="000000"/>
          <w:sz w:val="24"/>
          <w:szCs w:val="24"/>
        </w:rPr>
      </w:pPr>
      <w:r>
        <w:rPr>
          <w:rFonts w:hint="eastAsia" w:ascii="宋体" w:hAnsi="宋体"/>
          <w:color w:val="000000"/>
          <w:sz w:val="24"/>
          <w:szCs w:val="24"/>
        </w:rPr>
        <w:t xml:space="preserve">名  称：南京鼓楼医院          </w:t>
      </w:r>
      <w:r/>
    </w:p>
    <w:p>
      <w:pPr>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南京市鼓楼区中山路321号</w:t>
      </w:r>
      <w:r>
        <w:rPr>
          <w:rFonts w:hint="eastAsia" w:ascii="宋体" w:hAnsi="宋体"/>
          <w:color w:val="000000"/>
          <w:sz w:val="24"/>
          <w:szCs w:val="24"/>
        </w:rPr>
        <w:t xml:space="preserve">    </w:t>
      </w:r>
      <w:r/>
    </w:p>
    <w:p>
      <w:pPr>
        <w:ind w:firstLine="480"/>
        <w:rPr>
          <w:rFonts w:hint="eastAsia" w:ascii="宋体" w:hAnsi="宋体"/>
          <w:color w:val="000000"/>
          <w:sz w:val="24"/>
          <w:szCs w:val="24"/>
        </w:rPr>
      </w:pPr>
      <w:r>
        <w:rPr>
          <w:rFonts w:hint="eastAsia" w:ascii="宋体" w:hAnsi="宋体"/>
          <w:color w:val="000000"/>
          <w:sz w:val="24"/>
          <w:szCs w:val="24"/>
        </w:rPr>
        <w:t xml:space="preserve">联系人：张老师 </w:t>
      </w:r>
      <w:r/>
    </w:p>
    <w:p>
      <w:pPr>
        <w:ind w:firstLine="480"/>
        <w:rPr>
          <w:rFonts w:hint="eastAsia" w:ascii="宋体" w:hAnsi="宋体"/>
          <w:color w:val="000000"/>
          <w:sz w:val="24"/>
          <w:szCs w:val="24"/>
        </w:rPr>
      </w:pPr>
      <w:r>
        <w:rPr>
          <w:rFonts w:hint="eastAsia" w:ascii="宋体" w:hAnsi="宋体"/>
          <w:color w:val="000000"/>
          <w:sz w:val="24"/>
          <w:szCs w:val="24"/>
        </w:rPr>
        <w:t xml:space="preserve">联系电话：025-83105006 </w:t>
      </w:r>
      <w:bookmarkStart w:id="6" w:name="_Toc28359009"/>
      <w:r/>
      <w:bookmarkStart w:id="7" w:name="_Toc28359086"/>
      <w:r/>
      <w:r/>
    </w:p>
    <w:p>
      <w:pPr>
        <w:ind w:firstLine="480"/>
        <w:rPr>
          <w:rFonts w:hint="eastAsia" w:ascii="宋体" w:hAnsi="宋体"/>
          <w:color w:val="000000"/>
          <w:sz w:val="24"/>
          <w:szCs w:val="24"/>
        </w:rPr>
      </w:pPr>
      <w:r>
        <w:rPr>
          <w:rFonts w:hint="eastAsia" w:ascii="宋体" w:hAnsi="宋体"/>
          <w:color w:val="000000"/>
          <w:sz w:val="24"/>
          <w:szCs w:val="24"/>
        </w:rPr>
        <w:t xml:space="preserve">2.交易中心</w:t>
      </w:r>
      <w:bookmarkEnd w:id="6"/>
      <w:r/>
      <w:bookmarkEnd w:id="7"/>
      <w:r/>
      <w:r/>
    </w:p>
    <w:p>
      <w:pPr>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南京市建邺区江东中路265号</w:t>
      </w:r>
      <w:r>
        <w:rPr>
          <w:rFonts w:hint="eastAsia" w:ascii="宋体" w:hAnsi="宋体"/>
          <w:color w:val="000000"/>
          <w:sz w:val="24"/>
          <w:szCs w:val="24"/>
        </w:rPr>
        <w:t xml:space="preserve">    </w:t>
      </w:r>
      <w:r/>
    </w:p>
    <w:p>
      <w:pPr>
        <w:ind w:firstLine="480"/>
        <w:rPr>
          <w:rFonts w:hint="eastAsia" w:ascii="宋体" w:hAnsi="宋体"/>
          <w:color w:val="000000"/>
          <w:sz w:val="24"/>
          <w:szCs w:val="24"/>
        </w:rPr>
      </w:pPr>
      <w:r>
        <w:rPr>
          <w:rFonts w:hint="eastAsia" w:ascii="宋体" w:hAnsi="宋体"/>
          <w:color w:val="000000"/>
          <w:sz w:val="24"/>
          <w:szCs w:val="24"/>
        </w:rPr>
        <w:t xml:space="preserve">联系人：陈先生 </w:t>
      </w:r>
      <w:r/>
    </w:p>
    <w:p>
      <w:pPr>
        <w:ind w:firstLine="480"/>
        <w:rPr>
          <w:rFonts w:hint="eastAsia" w:ascii="宋体" w:hAnsi="宋体"/>
          <w:color w:val="000000"/>
          <w:sz w:val="24"/>
          <w:szCs w:val="24"/>
        </w:rPr>
      </w:pPr>
      <w:r>
        <w:rPr>
          <w:rFonts w:hint="eastAsia" w:ascii="宋体" w:hAnsi="宋体"/>
          <w:color w:val="000000"/>
          <w:sz w:val="24"/>
          <w:szCs w:val="24"/>
        </w:rPr>
        <w:t xml:space="preserve">联系电话：025-68505719 </w:t>
      </w:r>
      <w:r/>
    </w:p>
    <w:p>
      <w:pPr>
        <w:ind w:firstLine="480"/>
        <w:rPr>
          <w:rFonts w:hint="eastAsia" w:ascii="宋体" w:hAnsi="宋体"/>
          <w:color w:val="000000"/>
          <w:sz w:val="24"/>
          <w:szCs w:val="24"/>
        </w:rPr>
      </w:pPr>
      <w:r>
        <w:rPr>
          <w:rFonts w:hint="eastAsia" w:ascii="宋体" w:hAnsi="宋体"/>
          <w:color w:val="000000"/>
          <w:sz w:val="24"/>
          <w:szCs w:val="24"/>
        </w:rPr>
      </w:r>
      <w:r/>
    </w:p>
    <w:p>
      <w:pPr>
        <w:ind w:firstLine="720"/>
        <w:jc w:val="center"/>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第二章  供应商须知</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一、总则</w:t>
      </w:r>
      <w:r/>
    </w:p>
    <w:p>
      <w:pPr>
        <w:pStyle w:val="921"/>
        <w:ind w:firstLine="422"/>
        <w:spacing w:before="0" w:after="0" w:line="240" w:lineRule="auto"/>
        <w:rPr>
          <w:rFonts w:hint="eastAsia" w:ascii="方正楷体_GBK" w:hAnsi="方正楷体_GBK" w:eastAsia="方正楷体_GBK" w:cs="方正楷体_GBK"/>
        </w:rPr>
      </w:pPr>
      <w:r/>
      <w:bookmarkStart w:id="8" w:name="_Hlt16619475"/>
      <w:r/>
      <w:bookmarkEnd w:id="8"/>
      <w:r/>
      <w:bookmarkStart w:id="9" w:name="_Toc458694821"/>
      <w:r/>
      <w:bookmarkStart w:id="10" w:name="_Toc513029204"/>
      <w:r/>
      <w:bookmarkStart w:id="11" w:name="_Toc20823276"/>
      <w:r/>
      <w:bookmarkStart w:id="12" w:name="_Toc16938520"/>
      <w:r>
        <w:rPr>
          <w:rFonts w:hint="eastAsia" w:ascii="方正楷体_GBK" w:hAnsi="方正楷体_GBK" w:eastAsia="方正楷体_GBK" w:cs="方正楷体_GBK"/>
        </w:rPr>
        <w:t xml:space="preserve">1</w:t>
      </w:r>
      <w:bookmarkEnd w:id="9"/>
      <w:r>
        <w:rPr>
          <w:rFonts w:hint="eastAsia" w:ascii="方正楷体_GBK" w:hAnsi="方正楷体_GBK" w:eastAsia="方正楷体_GBK" w:cs="方正楷体_GBK"/>
        </w:rPr>
        <w:t xml:space="preserve">.采购方式</w:t>
      </w:r>
      <w:bookmarkEnd w:id="10"/>
      <w:r/>
      <w:bookmarkEnd w:id="11"/>
      <w:r/>
      <w:bookmarkEnd w:id="12"/>
      <w:r/>
      <w:r/>
    </w:p>
    <w:p>
      <w:pPr>
        <w:ind w:firstLine="420"/>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本次政府采购活动采取竞争性磋商（以下简称“磋商”）方式，本文件仅适用于采购公告中所述项目。</w:t>
      </w:r>
      <w:r/>
    </w:p>
    <w:p>
      <w:pPr>
        <w:pStyle w:val="921"/>
        <w:ind w:firstLine="422"/>
        <w:spacing w:before="0" w:after="0" w:line="240" w:lineRule="auto"/>
        <w:rPr>
          <w:rFonts w:hint="eastAsia" w:ascii="方正楷体_GBK" w:hAnsi="方正楷体_GBK" w:eastAsia="方正楷体_GBK" w:cs="方正楷体_GBK"/>
        </w:rPr>
      </w:pPr>
      <w:r/>
      <w:bookmarkStart w:id="13" w:name="_Toc513029205"/>
      <w:r/>
      <w:bookmarkStart w:id="14" w:name="_Toc16938521"/>
      <w:r/>
      <w:bookmarkStart w:id="15" w:name="_Toc20823277"/>
      <w:r>
        <w:rPr>
          <w:rFonts w:hint="eastAsia" w:ascii="方正楷体_GBK" w:hAnsi="方正楷体_GBK" w:eastAsia="方正楷体_GBK" w:cs="方正楷体_GBK"/>
        </w:rPr>
        <w:t xml:space="preserve">2.合格的</w:t>
      </w:r>
      <w:bookmarkEnd w:id="13"/>
      <w:r/>
      <w:bookmarkEnd w:id="14"/>
      <w:r/>
      <w:bookmarkEnd w:id="15"/>
      <w:r>
        <w:rPr>
          <w:rFonts w:hint="eastAsia" w:ascii="方正楷体_GBK" w:hAnsi="方正楷体_GBK" w:eastAsia="方正楷体_GBK" w:cs="方正楷体_GBK"/>
        </w:rPr>
        <w:t xml:space="preserve">供应商</w:t>
      </w:r>
      <w:r/>
    </w:p>
    <w:p>
      <w:pPr>
        <w:ind w:firstLine="420"/>
        <w:rPr>
          <w:rFonts w:hint="eastAsia" w:ascii="宋体" w:hAnsi="宋体"/>
          <w:color w:val="000000"/>
          <w:sz w:val="24"/>
          <w:szCs w:val="21"/>
        </w:rPr>
      </w:pPr>
      <w:r>
        <w:rPr>
          <w:rFonts w:hint="eastAsia" w:ascii="宋体" w:hAnsi="宋体"/>
          <w:color w:val="000000"/>
          <w:sz w:val="24"/>
          <w:szCs w:val="21"/>
        </w:rPr>
        <w:t xml:space="preserve">2.1 满足采购公告对供应商资格要求。</w:t>
      </w:r>
      <w:r/>
    </w:p>
    <w:p>
      <w:pPr>
        <w:ind w:firstLine="420"/>
        <w:rPr>
          <w:rFonts w:hint="eastAsia" w:ascii="宋体" w:hAnsi="宋体"/>
          <w:color w:val="000000"/>
          <w:sz w:val="24"/>
          <w:szCs w:val="21"/>
        </w:rPr>
      </w:pPr>
      <w:r>
        <w:rPr>
          <w:rFonts w:hint="eastAsia" w:ascii="宋体" w:hAnsi="宋体"/>
          <w:color w:val="000000"/>
          <w:sz w:val="24"/>
          <w:szCs w:val="21"/>
        </w:rPr>
        <w:t xml:space="preserve">2.2 满足磋商文件规定的实质性要求。</w:t>
      </w:r>
      <w:r/>
    </w:p>
    <w:p>
      <w:pPr>
        <w:pStyle w:val="921"/>
        <w:ind w:firstLine="422"/>
        <w:spacing w:before="0" w:after="0" w:line="240" w:lineRule="auto"/>
        <w:rPr>
          <w:rFonts w:hint="eastAsia" w:ascii="方正楷体_GBK" w:hAnsi="方正楷体_GBK" w:eastAsia="方正楷体_GBK" w:cs="方正楷体_GBK"/>
        </w:rPr>
      </w:pPr>
      <w:r/>
      <w:bookmarkStart w:id="16" w:name="_Toc16938522"/>
      <w:r/>
      <w:bookmarkStart w:id="17" w:name="_Toc513029206"/>
      <w:r/>
      <w:bookmarkStart w:id="18" w:name="_Toc20823278"/>
      <w:r>
        <w:rPr>
          <w:rFonts w:hint="eastAsia" w:ascii="方正楷体_GBK" w:hAnsi="方正楷体_GBK" w:eastAsia="方正楷体_GBK" w:cs="方正楷体_GBK"/>
        </w:rPr>
        <w:t xml:space="preserve">3.适用法律</w:t>
      </w:r>
      <w:bookmarkEnd w:id="16"/>
      <w:r/>
      <w:bookmarkEnd w:id="17"/>
      <w:r/>
      <w:bookmarkEnd w:id="18"/>
      <w:r/>
      <w:r/>
    </w:p>
    <w:p>
      <w:pPr>
        <w:ind w:firstLine="420"/>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p>
    <w:p>
      <w:pPr>
        <w:pStyle w:val="921"/>
        <w:ind w:firstLine="422"/>
        <w:spacing w:before="0" w:after="0" w:line="240" w:lineRule="auto"/>
        <w:rPr>
          <w:rFonts w:hint="eastAsia" w:ascii="方正楷体_GBK" w:hAnsi="方正楷体_GBK" w:eastAsia="方正楷体_GBK" w:cs="方正楷体_GBK"/>
        </w:rPr>
      </w:pPr>
      <w:r/>
      <w:bookmarkStart w:id="19" w:name="_Toc513029207"/>
      <w:r/>
      <w:bookmarkStart w:id="20" w:name="_Toc20823279"/>
      <w:r/>
      <w:bookmarkStart w:id="21" w:name="_Toc16938523"/>
      <w:r/>
      <w:bookmarkStart w:id="22" w:name="_Toc462564067"/>
      <w:r>
        <w:rPr>
          <w:rFonts w:hint="eastAsia" w:ascii="方正楷体_GBK" w:hAnsi="方正楷体_GBK" w:eastAsia="方正楷体_GBK" w:cs="方正楷体_GBK"/>
        </w:rPr>
        <w:t xml:space="preserve">4.磋商费用</w:t>
      </w:r>
      <w:bookmarkEnd w:id="19"/>
      <w:r/>
      <w:bookmarkEnd w:id="20"/>
      <w:r/>
      <w:bookmarkEnd w:id="21"/>
      <w:r/>
      <w:bookmarkEnd w:id="22"/>
      <w:r/>
      <w:r/>
    </w:p>
    <w:p>
      <w:pPr>
        <w:ind w:firstLine="420"/>
        <w:rPr>
          <w:rFonts w:hint="eastAsia" w:ascii="宋体" w:hAnsi="宋体"/>
          <w:color w:val="000000"/>
          <w:sz w:val="24"/>
          <w:szCs w:val="21"/>
        </w:rPr>
      </w:pPr>
      <w:r>
        <w:rPr>
          <w:rFonts w:hint="eastAsia" w:ascii="宋体" w:hAnsi="宋体"/>
          <w:color w:val="000000"/>
          <w:sz w:val="24"/>
          <w:szCs w:val="21"/>
        </w:rPr>
        <w:t xml:space="preserve">4.1 供应商应自行承担所有与参加采购有关的费用，</w:t>
      </w:r>
      <w:r>
        <w:rPr>
          <w:rFonts w:hint="eastAsia" w:ascii="宋体" w:hAnsi="宋体"/>
          <w:color w:val="000000"/>
          <w:sz w:val="24"/>
        </w:rPr>
        <w:t xml:space="preserve">交易中心</w:t>
      </w:r>
      <w:r>
        <w:rPr>
          <w:rFonts w:hint="eastAsia" w:ascii="宋体" w:hAnsi="宋体"/>
          <w:color w:val="000000"/>
          <w:sz w:val="24"/>
          <w:szCs w:val="21"/>
        </w:rPr>
        <w:t xml:space="preserve">在任何情况下均无义务和责任承担这些费用。</w:t>
      </w:r>
      <w:r/>
    </w:p>
    <w:p>
      <w:pPr>
        <w:ind w:firstLine="420"/>
        <w:rPr>
          <w:rFonts w:hint="eastAsia" w:ascii="宋体" w:hAnsi="宋体"/>
          <w:color w:val="000000"/>
          <w:sz w:val="24"/>
          <w:szCs w:val="21"/>
        </w:rPr>
      </w:pPr>
      <w:r>
        <w:rPr>
          <w:rFonts w:hint="eastAsia" w:ascii="宋体" w:hAnsi="宋体"/>
          <w:color w:val="000000"/>
          <w:sz w:val="24"/>
          <w:szCs w:val="21"/>
        </w:rPr>
        <w:t xml:space="preserve">4.2 本次采购交易中心和采购人不收取磋商文件工本费与成交服务费。</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ind w:firstLine="420"/>
        <w:rPr>
          <w:rFonts w:hint="eastAsia" w:ascii="宋体" w:hAnsi="宋体"/>
          <w:color w:val="000000"/>
          <w:sz w:val="24"/>
          <w:szCs w:val="21"/>
        </w:rPr>
      </w:pPr>
      <w:r>
        <w:rPr>
          <w:rFonts w:hint="eastAsia" w:ascii="宋体" w:hAnsi="宋体"/>
          <w:color w:val="000000"/>
          <w:sz w:val="24"/>
          <w:szCs w:val="21"/>
        </w:rPr>
        <w:t xml:space="preserve">5.1 供应商一旦参加本项目采购活动，即被认为接受了本文件的规定和约束。</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23" w:name="_Toc16938525"/>
      <w:r/>
      <w:bookmarkStart w:id="24" w:name="_Toc513029209"/>
      <w:r/>
      <w:bookmarkStart w:id="25" w:name="_Toc20823281"/>
      <w:r/>
      <w:bookmarkStart w:id="26" w:name="_Toc120614215"/>
      <w:r>
        <w:rPr>
          <w:rFonts w:hint="eastAsia" w:ascii="方正黑体_GBK" w:hAnsi="方正黑体_GBK" w:eastAsia="方正黑体_GBK" w:cs="方正黑体_GBK"/>
          <w:b w:val="0"/>
          <w:bCs w:val="0"/>
          <w:color w:val="000000"/>
          <w:sz w:val="30"/>
          <w:szCs w:val="30"/>
        </w:rPr>
        <w:t xml:space="preserve">二、</w:t>
      </w:r>
      <w:bookmarkEnd w:id="23"/>
      <w:r/>
      <w:bookmarkEnd w:id="24"/>
      <w:r/>
      <w:bookmarkEnd w:id="25"/>
      <w:r/>
      <w:bookmarkEnd w:id="26"/>
      <w:r>
        <w:rPr>
          <w:rFonts w:hint="eastAsia" w:ascii="方正黑体_GBK" w:hAnsi="方正黑体_GBK" w:eastAsia="方正黑体_GBK" w:cs="方正黑体_GBK"/>
          <w:b w:val="0"/>
          <w:bCs w:val="0"/>
          <w:color w:val="000000"/>
          <w:sz w:val="30"/>
          <w:szCs w:val="30"/>
        </w:rPr>
        <w:t xml:space="preserve">磋商文件</w:t>
      </w:r>
      <w:r/>
    </w:p>
    <w:p>
      <w:pPr>
        <w:pStyle w:val="921"/>
        <w:ind w:firstLine="422"/>
        <w:spacing w:before="0" w:after="0" w:line="240" w:lineRule="auto"/>
        <w:rPr>
          <w:rFonts w:hint="eastAsia" w:ascii="方正楷体_GBK" w:hAnsi="方正楷体_GBK" w:eastAsia="方正楷体_GBK" w:cs="方正楷体_GBK"/>
        </w:rPr>
      </w:pPr>
      <w:r/>
      <w:bookmarkStart w:id="27" w:name="_Toc513029210"/>
      <w:r/>
      <w:bookmarkStart w:id="28" w:name="_Toc20823282"/>
      <w:r/>
      <w:bookmarkStart w:id="29" w:name="_Toc16938526"/>
      <w:r>
        <w:rPr>
          <w:rFonts w:hint="eastAsia" w:ascii="方正楷体_GBK" w:hAnsi="方正楷体_GBK" w:eastAsia="方正楷体_GBK" w:cs="方正楷体_GBK"/>
        </w:rPr>
        <w:t xml:space="preserve">6.磋商文件构成</w:t>
      </w:r>
      <w:bookmarkEnd w:id="27"/>
      <w:r/>
      <w:bookmarkEnd w:id="28"/>
      <w:r/>
      <w:bookmarkEnd w:id="29"/>
      <w:r/>
      <w:r/>
    </w:p>
    <w:p>
      <w:pPr>
        <w:ind w:firstLine="420"/>
        <w:rPr>
          <w:rFonts w:hint="eastAsia" w:ascii="宋体" w:hAnsi="宋体"/>
          <w:color w:val="000000"/>
          <w:sz w:val="24"/>
          <w:szCs w:val="21"/>
        </w:rPr>
      </w:pPr>
      <w:r>
        <w:rPr>
          <w:rFonts w:hint="eastAsia" w:ascii="宋体" w:hAnsi="宋体"/>
          <w:color w:val="000000"/>
          <w:sz w:val="24"/>
          <w:szCs w:val="21"/>
        </w:rPr>
        <w:t xml:space="preserve">6.1 磋商文件由以下部分组成：</w:t>
      </w:r>
      <w:r/>
    </w:p>
    <w:p>
      <w:pPr>
        <w:ind w:firstLine="420"/>
        <w:rPr>
          <w:rFonts w:hint="eastAsia" w:ascii="宋体" w:hAnsi="宋体"/>
          <w:color w:val="000000"/>
          <w:sz w:val="24"/>
          <w:szCs w:val="21"/>
        </w:rPr>
      </w:pPr>
      <w:r>
        <w:rPr>
          <w:rFonts w:hint="eastAsia" w:ascii="宋体" w:hAnsi="宋体"/>
          <w:color w:val="000000"/>
          <w:sz w:val="24"/>
          <w:szCs w:val="21"/>
        </w:rPr>
        <w:t xml:space="preserve">（1）磋商邀请</w:t>
      </w:r>
      <w:r/>
    </w:p>
    <w:p>
      <w:pPr>
        <w:ind w:firstLine="420"/>
        <w:rPr>
          <w:rFonts w:hint="eastAsia" w:ascii="宋体" w:hAnsi="宋体"/>
          <w:color w:val="000000"/>
          <w:sz w:val="24"/>
          <w:szCs w:val="21"/>
        </w:rPr>
      </w:pPr>
      <w:r>
        <w:rPr>
          <w:rFonts w:hint="eastAsia" w:ascii="宋体" w:hAnsi="宋体"/>
          <w:color w:val="000000"/>
          <w:sz w:val="24"/>
          <w:szCs w:val="21"/>
        </w:rPr>
        <w:t xml:space="preserve">（2）供应商须知</w:t>
      </w:r>
      <w:r/>
    </w:p>
    <w:p>
      <w:pPr>
        <w:ind w:firstLine="420"/>
        <w:rPr>
          <w:rFonts w:hint="eastAsia" w:ascii="宋体" w:hAnsi="宋体"/>
          <w:color w:val="000000"/>
          <w:sz w:val="24"/>
          <w:szCs w:val="21"/>
        </w:rPr>
      </w:pPr>
      <w:r>
        <w:rPr>
          <w:rFonts w:hint="eastAsia" w:ascii="宋体" w:hAnsi="宋体"/>
          <w:color w:val="000000"/>
          <w:sz w:val="24"/>
          <w:szCs w:val="21"/>
        </w:rPr>
        <w:t xml:space="preserve">（3）合同文本</w:t>
      </w:r>
      <w:r/>
    </w:p>
    <w:p>
      <w:pPr>
        <w:ind w:firstLine="420"/>
        <w:rPr>
          <w:rFonts w:hint="eastAsia" w:ascii="宋体" w:hAnsi="宋体"/>
          <w:color w:val="000000"/>
          <w:sz w:val="24"/>
          <w:szCs w:val="21"/>
        </w:rPr>
      </w:pPr>
      <w:r>
        <w:rPr>
          <w:rFonts w:hint="eastAsia" w:ascii="宋体" w:hAnsi="宋体"/>
          <w:color w:val="000000"/>
          <w:sz w:val="24"/>
          <w:szCs w:val="21"/>
        </w:rPr>
        <w:t xml:space="preserve">（4）采购需求</w:t>
      </w:r>
      <w:r/>
    </w:p>
    <w:p>
      <w:pPr>
        <w:ind w:firstLine="420"/>
        <w:rPr>
          <w:rFonts w:hint="eastAsia" w:ascii="宋体" w:hAnsi="宋体"/>
          <w:color w:val="000000"/>
          <w:sz w:val="24"/>
          <w:szCs w:val="21"/>
        </w:rPr>
      </w:pPr>
      <w:r>
        <w:rPr>
          <w:rFonts w:hint="eastAsia" w:ascii="宋体" w:hAnsi="宋体"/>
          <w:color w:val="000000"/>
          <w:sz w:val="24"/>
          <w:szCs w:val="21"/>
        </w:rPr>
        <w:t xml:space="preserve">（5）评审方法与评审标准</w:t>
      </w:r>
      <w:r/>
    </w:p>
    <w:p>
      <w:pPr>
        <w:ind w:firstLine="420"/>
        <w:rPr>
          <w:rFonts w:hint="eastAsia" w:ascii="宋体" w:hAnsi="宋体"/>
          <w:color w:val="000000"/>
          <w:sz w:val="24"/>
          <w:szCs w:val="21"/>
        </w:rPr>
      </w:pPr>
      <w:r>
        <w:rPr>
          <w:rFonts w:hint="eastAsia" w:ascii="宋体" w:hAnsi="宋体"/>
          <w:color w:val="000000"/>
          <w:sz w:val="24"/>
          <w:szCs w:val="21"/>
        </w:rPr>
        <w:t xml:space="preserve">（6）响应文件格式</w:t>
      </w:r>
      <w:r/>
    </w:p>
    <w:p>
      <w:pPr>
        <w:ind w:firstLine="420"/>
        <w:rPr>
          <w:rFonts w:hint="eastAsia" w:ascii="宋体" w:hAnsi="宋体"/>
          <w:color w:val="000000"/>
          <w:sz w:val="24"/>
          <w:szCs w:val="21"/>
        </w:rPr>
      </w:pPr>
      <w:r>
        <w:rPr>
          <w:rFonts w:hint="eastAsia" w:ascii="宋体" w:hAnsi="宋体"/>
          <w:color w:val="000000"/>
          <w:sz w:val="24"/>
          <w:szCs w:val="21"/>
        </w:rPr>
        <w:t xml:space="preserve">供应商应仔细检查磋商文件是否齐全，如有缺漏请立即与交易中心联系。</w:t>
      </w:r>
      <w:r/>
    </w:p>
    <w:p>
      <w:pPr>
        <w:ind w:firstLine="420"/>
        <w:rPr>
          <w:rFonts w:hint="eastAsia" w:ascii="宋体" w:hAnsi="宋体"/>
          <w:color w:val="000000"/>
          <w:sz w:val="24"/>
          <w:szCs w:val="21"/>
        </w:rPr>
      </w:pPr>
      <w:r>
        <w:rPr>
          <w:rFonts w:hint="eastAsia" w:ascii="宋体" w:hAnsi="宋体"/>
          <w:color w:val="000000"/>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921"/>
        <w:ind w:firstLine="422"/>
        <w:spacing w:before="0" w:after="0" w:line="240" w:lineRule="auto"/>
        <w:rPr>
          <w:rFonts w:hint="eastAsia" w:ascii="方正楷体_GBK" w:hAnsi="方正楷体_GBK" w:eastAsia="方正楷体_GBK" w:cs="方正楷体_GBK"/>
        </w:rPr>
      </w:pPr>
      <w:r/>
      <w:bookmarkStart w:id="30" w:name="_Toc513029211"/>
      <w:r/>
      <w:bookmarkStart w:id="31" w:name="_Toc462564070"/>
      <w:r/>
      <w:bookmarkStart w:id="32" w:name="_Toc20823283"/>
      <w:r/>
      <w:bookmarkStart w:id="33" w:name="_Toc16938527"/>
      <w:r>
        <w:rPr>
          <w:rFonts w:hint="eastAsia" w:ascii="方正楷体_GBK" w:hAnsi="方正楷体_GBK" w:eastAsia="方正楷体_GBK" w:cs="方正楷体_GBK"/>
        </w:rPr>
        <w:t xml:space="preserve">7.磋商文件的澄清</w:t>
      </w:r>
      <w:bookmarkEnd w:id="30"/>
      <w:r/>
      <w:bookmarkEnd w:id="31"/>
      <w:r/>
      <w:bookmarkEnd w:id="32"/>
      <w:r/>
      <w:bookmarkEnd w:id="33"/>
      <w:r>
        <w:rPr>
          <w:rFonts w:hint="eastAsia" w:ascii="方正楷体_GBK" w:hAnsi="方正楷体_GBK" w:eastAsia="方正楷体_GBK" w:cs="方正楷体_GBK"/>
        </w:rPr>
        <w:t xml:space="preserve">或修改</w:t>
      </w:r>
      <w:r/>
    </w:p>
    <w:p>
      <w:pPr>
        <w:ind w:firstLine="420"/>
        <w:rPr>
          <w:rFonts w:hint="eastAsia" w:ascii="宋体" w:hAnsi="宋体"/>
          <w:color w:val="000000"/>
          <w:sz w:val="24"/>
          <w:szCs w:val="21"/>
        </w:rPr>
      </w:pPr>
      <w:r>
        <w:rPr>
          <w:rFonts w:hint="eastAsia" w:ascii="宋体" w:hAnsi="宋体"/>
          <w:color w:val="000000"/>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ind w:firstLine="420"/>
        <w:rPr>
          <w:rFonts w:hint="eastAsia" w:ascii="宋体" w:hAnsi="宋体"/>
          <w:color w:val="000000"/>
          <w:sz w:val="24"/>
          <w:szCs w:val="21"/>
        </w:rPr>
      </w:pPr>
      <w:r>
        <w:rPr>
          <w:rFonts w:hint="eastAsia" w:ascii="宋体" w:hAnsi="宋体"/>
          <w:color w:val="000000"/>
          <w:sz w:val="24"/>
          <w:szCs w:val="21"/>
        </w:rPr>
        <w:t xml:space="preserve">7.2 供应商应在提交响应文件截止时间前，关注原公告发布媒体有关本项目的更正公告，根据更正公告内容自行决定是否需要重新制作和提交响应文件，并承担由此产生的相应责任。</w:t>
      </w:r>
      <w:r/>
    </w:p>
    <w:p>
      <w:pPr>
        <w:ind w:firstLine="420"/>
        <w:rPr>
          <w:rFonts w:hint="eastAsia" w:ascii="宋体" w:hAnsi="宋体"/>
          <w:color w:val="000000"/>
          <w:sz w:val="24"/>
          <w:szCs w:val="21"/>
        </w:rPr>
      </w:pPr>
      <w:r>
        <w:rPr>
          <w:rFonts w:hint="eastAsia" w:ascii="宋体" w:hAnsi="宋体"/>
          <w:color w:val="000000"/>
          <w:sz w:val="24"/>
          <w:szCs w:val="21"/>
        </w:rPr>
        <w:t xml:space="preserve">7.3 交易中心有权按照法定的要求推迟提交响应文件截止时间，并在原公告发布媒体发布更正公告。</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ind w:firstLine="420"/>
        <w:rPr>
          <w:rFonts w:hint="eastAsia" w:ascii="宋体" w:hAnsi="宋体"/>
          <w:color w:val="000000"/>
          <w:sz w:val="24"/>
          <w:szCs w:val="21"/>
        </w:rPr>
      </w:pPr>
      <w:r>
        <w:rPr>
          <w:rFonts w:hint="eastAsia" w:ascii="宋体" w:hAnsi="宋体"/>
          <w:color w:val="000000"/>
          <w:sz w:val="24"/>
          <w:szCs w:val="21"/>
        </w:rPr>
        <w:t xml:space="preserve">8.1 供应商提交的响应文件以及供应商与交易中心就有关磋商的所有来往通知、函件和文件均应使用简体中文。</w:t>
      </w:r>
      <w:r/>
    </w:p>
    <w:p>
      <w:pPr>
        <w:ind w:firstLine="420"/>
        <w:rPr>
          <w:rFonts w:hint="eastAsia" w:ascii="宋体" w:hAnsi="宋体"/>
          <w:color w:val="000000"/>
          <w:sz w:val="24"/>
          <w:szCs w:val="21"/>
        </w:rPr>
      </w:pPr>
      <w:r>
        <w:rPr>
          <w:rFonts w:hint="eastAsia" w:ascii="宋体" w:hAnsi="宋体"/>
          <w:color w:val="000000"/>
          <w:sz w:val="24"/>
          <w:szCs w:val="21"/>
        </w:rPr>
        <w:t xml:space="preserve">8.2 除技术性能另有规定外，响应文件所使用的度量衡单位，均须采用国家法定计量单位。</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ind w:firstLine="420"/>
        <w:rPr>
          <w:rFonts w:hint="eastAsia" w:ascii="宋体" w:hAnsi="宋体"/>
          <w:color w:val="000000"/>
          <w:sz w:val="24"/>
          <w:szCs w:val="21"/>
        </w:rPr>
      </w:pPr>
      <w:r>
        <w:rPr>
          <w:rFonts w:hint="eastAsia" w:ascii="宋体" w:hAnsi="宋体"/>
          <w:color w:val="000000"/>
          <w:sz w:val="24"/>
          <w:szCs w:val="21"/>
        </w:rPr>
        <w:t xml:space="preserve">9.1 供应商编写的响应文件应包括资格证明文件、符合性证明文件、磋商报价表、分项报价表、响应及偏离表、磋商响应函、法定代表人授权委托书。</w:t>
      </w:r>
      <w:r/>
    </w:p>
    <w:p>
      <w:pPr>
        <w:ind w:firstLine="420"/>
        <w:rPr>
          <w:rFonts w:hint="eastAsia" w:ascii="宋体" w:hAnsi="宋体"/>
          <w:color w:val="000000"/>
          <w:sz w:val="24"/>
          <w:szCs w:val="21"/>
        </w:rPr>
      </w:pPr>
      <w:r>
        <w:rPr>
          <w:rFonts w:hint="eastAsia" w:ascii="宋体" w:hAnsi="宋体"/>
          <w:color w:val="000000"/>
          <w:sz w:val="24"/>
          <w:szCs w:val="21"/>
        </w:rPr>
        <w:t xml:space="preserve">9.2 </w:t>
      </w:r>
      <w:r>
        <w:rPr>
          <w:rFonts w:hint="eastAsia" w:ascii="宋体" w:hAnsi="宋体"/>
          <w:b/>
          <w:bCs/>
          <w:color w:val="000000"/>
          <w:sz w:val="24"/>
          <w:szCs w:val="21"/>
        </w:rPr>
        <w:t xml:space="preserve">如标书制作工具与“江苏政府采购网”发布的磋商文件内容不一致，以“江苏政府采购网”发布的磋商文件为准。</w:t>
      </w:r>
      <w:r/>
    </w:p>
    <w:p>
      <w:pPr>
        <w:pStyle w:val="921"/>
        <w:ind w:firstLine="422"/>
        <w:spacing w:before="0" w:after="0" w:line="240" w:lineRule="auto"/>
        <w:rPr>
          <w:rFonts w:hint="eastAsia" w:ascii="方正楷体_GBK" w:hAnsi="方正楷体_GBK" w:eastAsia="方正楷体_GBK" w:cs="方正楷体_GBK"/>
        </w:rPr>
      </w:pPr>
      <w:r/>
      <w:bookmarkStart w:id="34" w:name="_Hlt26668975"/>
      <w:r/>
      <w:bookmarkEnd w:id="34"/>
      <w:r/>
      <w:bookmarkStart w:id="35" w:name="_Hlt26670360"/>
      <w:r/>
      <w:bookmarkEnd w:id="35"/>
      <w:r/>
      <w:bookmarkStart w:id="36" w:name="_Hlt26954838"/>
      <w:r/>
      <w:bookmarkEnd w:id="36"/>
      <w:r>
        <w:rPr>
          <w:rFonts w:hint="eastAsia" w:ascii="方正楷体_GBK" w:hAnsi="方正楷体_GBK" w:eastAsia="方正楷体_GBK" w:cs="方正楷体_GBK"/>
        </w:rPr>
        <w:t xml:space="preserve">10.磋商报价</w:t>
      </w:r>
      <w:r/>
    </w:p>
    <w:p>
      <w:pPr>
        <w:ind w:firstLine="420"/>
        <w:rPr>
          <w:rFonts w:hint="eastAsia" w:ascii="宋体" w:hAnsi="宋体"/>
          <w:color w:val="000000"/>
          <w:sz w:val="24"/>
          <w:szCs w:val="21"/>
        </w:rPr>
      </w:pPr>
      <w:r>
        <w:rPr>
          <w:rFonts w:hint="eastAsia" w:ascii="宋体" w:hAnsi="宋体"/>
          <w:color w:val="000000"/>
          <w:sz w:val="24"/>
          <w:szCs w:val="21"/>
        </w:rPr>
        <w:t xml:space="preserve">10.1 响应文件中的单价和总价无特殊规定的采用人民币报价，以元为单位标注。磋商文件另有规定的按规定执行。</w:t>
      </w:r>
      <w:r/>
    </w:p>
    <w:p>
      <w:pPr>
        <w:rPr>
          <w:rFonts w:hint="eastAsia" w:ascii="宋体" w:hAnsi="宋体"/>
          <w:b/>
          <w:bCs/>
          <w:color w:val="000000"/>
          <w:sz w:val="24"/>
          <w:szCs w:val="21"/>
        </w:rPr>
      </w:pPr>
      <w:r>
        <w:rPr>
          <w:rFonts w:hint="eastAsia" w:ascii="宋体" w:hAnsi="宋体"/>
          <w:color w:val="000000"/>
          <w:sz w:val="24"/>
          <w:szCs w:val="21"/>
        </w:rPr>
        <w:t xml:space="preserve">10.2</w:t>
      </w:r>
      <w:r>
        <w:rPr>
          <w:rFonts w:hint="eastAsia" w:ascii="宋体" w:hAnsi="宋体"/>
          <w:b/>
          <w:bCs/>
          <w:color w:val="000000"/>
          <w:sz w:val="24"/>
          <w:szCs w:val="21"/>
        </w:rPr>
        <w:t xml:space="preserve"> 供应商应按照磋商文件规定完整、准确填报磋商报价表和分项报价表，否则作为无效响应。</w:t>
      </w:r>
      <w:r/>
    </w:p>
    <w:p>
      <w:pPr>
        <w:pStyle w:val="921"/>
        <w:ind w:firstLine="422"/>
        <w:spacing w:before="0" w:after="0" w:line="240" w:lineRule="auto"/>
        <w:rPr>
          <w:rFonts w:hint="eastAsia" w:ascii="方正楷体_GBK" w:hAnsi="方正楷体_GBK" w:eastAsia="方正楷体_GBK" w:cs="方正楷体_GBK"/>
        </w:rPr>
      </w:pPr>
      <w:r/>
      <w:bookmarkStart w:id="37" w:name="_Hlt26954846"/>
      <w:r/>
      <w:bookmarkEnd w:id="37"/>
      <w:r/>
      <w:bookmarkStart w:id="38" w:name="_Hlt26670482"/>
      <w:r/>
      <w:bookmarkEnd w:id="38"/>
      <w:r/>
      <w:bookmarkStart w:id="39" w:name="_Hlt26954731"/>
      <w:r/>
      <w:bookmarkEnd w:id="39"/>
      <w:r/>
      <w:bookmarkStart w:id="40" w:name="_Hlt26954848"/>
      <w:r/>
      <w:bookmarkEnd w:id="40"/>
      <w:r/>
      <w:bookmarkStart w:id="41" w:name="_Hlt26670486"/>
      <w:r/>
      <w:bookmarkEnd w:id="41"/>
      <w:r>
        <w:rPr>
          <w:rFonts w:hint="eastAsia" w:ascii="方正楷体_GBK" w:hAnsi="方正楷体_GBK" w:eastAsia="方正楷体_GBK" w:cs="方正楷体_GBK"/>
        </w:rPr>
        <w:t xml:space="preserve">11.响应及偏离表</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1</w:t>
      </w:r>
      <w:r>
        <w:rPr>
          <w:rFonts w:hint="eastAsia" w:ascii="宋体" w:hAnsi="宋体"/>
          <w:color w:val="000000"/>
          <w:sz w:val="24"/>
          <w:szCs w:val="21"/>
          <w:lang w:val="zh-CN"/>
        </w:rPr>
        <w:t xml:space="preserve">.1</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供应商需对磋商文件中的技术要求与商务要求逐项作出响应或偏离说明。</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1</w:t>
      </w:r>
      <w:r>
        <w:rPr>
          <w:rFonts w:hint="eastAsia" w:ascii="宋体" w:hAnsi="宋体"/>
          <w:color w:val="000000"/>
          <w:sz w:val="24"/>
          <w:szCs w:val="21"/>
          <w:lang w:val="zh-CN"/>
        </w:rPr>
        <w:t xml:space="preserve">.2</w:t>
      </w:r>
      <w:r>
        <w:rPr>
          <w:rFonts w:hint="eastAsia" w:ascii="宋体" w:hAnsi="宋体"/>
          <w:color w:val="000000"/>
          <w:sz w:val="24"/>
          <w:szCs w:val="21"/>
        </w:rPr>
        <w:t xml:space="preserve"> </w:t>
      </w:r>
      <w:r>
        <w:rPr>
          <w:rFonts w:hint="eastAsia" w:ascii="宋体" w:hAnsi="宋体"/>
          <w:color w:val="000000"/>
          <w:sz w:val="24"/>
          <w:szCs w:val="21"/>
          <w:lang w:val="zh-CN"/>
        </w:rPr>
        <w:t xml:space="preserve">供应商可在响应文件中提供认为需要的其他技术文件或说明。</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12.1 </w:t>
      </w:r>
      <w:r>
        <w:rPr>
          <w:rFonts w:hint="eastAsia" w:ascii="宋体" w:hAnsi="宋体"/>
          <w:b/>
          <w:bCs/>
          <w:color w:val="000000"/>
          <w:sz w:val="24"/>
          <w:szCs w:val="21"/>
        </w:rPr>
        <w:t xml:space="preserve">供应商</w:t>
      </w:r>
      <w:r>
        <w:rPr>
          <w:rFonts w:hint="eastAsia" w:ascii="宋体" w:hAnsi="宋体"/>
          <w:b/>
          <w:bCs/>
          <w:color w:val="000000"/>
          <w:sz w:val="24"/>
          <w:szCs w:val="21"/>
          <w:lang w:val="zh-CN"/>
        </w:rPr>
        <w:t xml:space="preserve">应按照</w:t>
      </w:r>
      <w:r>
        <w:rPr>
          <w:rFonts w:hint="eastAsia" w:ascii="宋体" w:hAnsi="宋体"/>
          <w:b/>
          <w:bCs/>
          <w:color w:val="000000"/>
          <w:sz w:val="24"/>
          <w:szCs w:val="21"/>
        </w:rPr>
        <w:t xml:space="preserve">磋商</w:t>
      </w:r>
      <w:r>
        <w:rPr>
          <w:rFonts w:hint="eastAsia" w:ascii="宋体" w:hAnsi="宋体"/>
          <w:b/>
          <w:bCs/>
          <w:color w:val="000000"/>
          <w:sz w:val="24"/>
          <w:szCs w:val="21"/>
          <w:lang w:val="zh-CN"/>
        </w:rPr>
        <w:t xml:space="preserve">文件规定完整、正确填报</w:t>
      </w:r>
      <w:r>
        <w:rPr>
          <w:rFonts w:hint="eastAsia" w:ascii="宋体" w:hAnsi="宋体"/>
          <w:b/>
          <w:bCs/>
          <w:color w:val="000000"/>
          <w:sz w:val="24"/>
          <w:szCs w:val="21"/>
        </w:rPr>
        <w:t xml:space="preserve">磋商响应</w:t>
      </w:r>
      <w:r>
        <w:rPr>
          <w:rFonts w:hint="eastAsia" w:ascii="宋体" w:hAnsi="宋体"/>
          <w:b/>
          <w:bCs/>
          <w:color w:val="000000"/>
          <w:sz w:val="24"/>
          <w:szCs w:val="21"/>
          <w:lang w:val="zh-CN"/>
        </w:rPr>
        <w:t xml:space="preserve">函和法定代表人授权委托书，否则作为无效</w:t>
      </w:r>
      <w:r>
        <w:rPr>
          <w:rFonts w:hint="eastAsia" w:ascii="宋体" w:hAnsi="宋体"/>
          <w:b/>
          <w:bCs/>
          <w:color w:val="000000"/>
          <w:sz w:val="24"/>
          <w:szCs w:val="21"/>
        </w:rPr>
        <w:t xml:space="preserve">响应</w:t>
      </w:r>
      <w:r>
        <w:rPr>
          <w:rFonts w:hint="eastAsia" w:ascii="宋体" w:hAnsi="宋体"/>
          <w:b/>
          <w:bCs/>
          <w:color w:val="000000"/>
          <w:sz w:val="24"/>
          <w:szCs w:val="21"/>
          <w:lang w:val="zh-CN"/>
        </w:rPr>
        <w:t xml:space="preserve">。</w:t>
      </w:r>
      <w:r/>
    </w:p>
    <w:p>
      <w:pPr>
        <w:pStyle w:val="921"/>
        <w:ind w:firstLine="422"/>
        <w:spacing w:before="0" w:after="0" w:line="240" w:lineRule="auto"/>
        <w:rPr>
          <w:rFonts w:hint="eastAsia" w:ascii="方正楷体_GBK" w:hAnsi="方正楷体_GBK" w:eastAsia="方正楷体_GBK" w:cs="方正楷体_GBK"/>
        </w:rPr>
      </w:pPr>
      <w:r/>
      <w:bookmarkStart w:id="42" w:name="_Toc14577360"/>
      <w:r/>
      <w:bookmarkStart w:id="43" w:name="_Toc49090511"/>
      <w:r>
        <w:rPr>
          <w:rFonts w:hint="eastAsia" w:ascii="方正楷体_GBK" w:hAnsi="方正楷体_GBK" w:eastAsia="方正楷体_GBK" w:cs="方正楷体_GBK"/>
        </w:rPr>
        <w:t xml:space="preserve">13.磋商有效期</w:t>
      </w:r>
      <w:bookmarkEnd w:id="42"/>
      <w:r/>
      <w:bookmarkEnd w:id="43"/>
      <w:r/>
      <w:r/>
    </w:p>
    <w:p>
      <w:pPr>
        <w:ind w:firstLine="420"/>
        <w:rPr>
          <w:rFonts w:hint="eastAsia" w:ascii="宋体" w:hAnsi="宋体"/>
          <w:color w:val="000000"/>
          <w:sz w:val="24"/>
          <w:szCs w:val="21"/>
        </w:rPr>
      </w:pPr>
      <w:r>
        <w:rPr>
          <w:rFonts w:hint="eastAsia" w:ascii="宋体" w:hAnsi="宋体"/>
          <w:color w:val="000000"/>
          <w:sz w:val="24"/>
          <w:szCs w:val="21"/>
        </w:rPr>
        <w:t xml:space="preserve">13.1 磋商有效期为采购公告规定的提交响应文件截止之日起</w:t>
      </w:r>
      <w:r>
        <w:rPr>
          <w:rFonts w:hint="eastAsia" w:ascii="宋体" w:hAnsi="宋体"/>
          <w:color w:val="000000"/>
          <w:sz w:val="24"/>
          <w:szCs w:val="21"/>
          <w:lang w:val="zh-CN"/>
        </w:rPr>
        <w:t xml:space="preserve">六十天</w:t>
      </w:r>
      <w:r>
        <w:rPr>
          <w:rFonts w:hint="eastAsia" w:ascii="宋体" w:hAnsi="宋体"/>
          <w:color w:val="000000"/>
          <w:sz w:val="24"/>
          <w:szCs w:val="21"/>
        </w:rPr>
        <w:t xml:space="preserve">。磋商有效期比规定短的将被视为非实质性响应磋商文件，其磋商响应将被拒绝。</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ind w:firstLine="420"/>
        <w:rPr>
          <w:rFonts w:hint="eastAsia" w:ascii="宋体" w:hAnsi="宋体"/>
          <w:color w:val="000000"/>
          <w:sz w:val="24"/>
          <w:szCs w:val="21"/>
        </w:rPr>
      </w:pPr>
      <w:r>
        <w:rPr>
          <w:rFonts w:hint="eastAsia" w:ascii="宋体" w:hAnsi="宋体"/>
          <w:color w:val="000000"/>
          <w:sz w:val="24"/>
          <w:szCs w:val="21"/>
        </w:rPr>
        <w:t xml:space="preserve">14.1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44" w:name="_Hlt26954739"/>
      <w:r/>
      <w:bookmarkEnd w:id="44"/>
      <w:r/>
      <w:bookmarkStart w:id="45" w:name="_Hlt26954852"/>
      <w:r/>
      <w:bookmarkEnd w:id="45"/>
      <w:r/>
      <w:bookmarkStart w:id="46" w:name="_Toc16938540"/>
      <w:r/>
      <w:bookmarkStart w:id="47" w:name="_Toc120614217"/>
      <w:r/>
      <w:bookmarkStart w:id="48" w:name="_Toc513029224"/>
      <w:r/>
      <w:bookmarkStart w:id="49" w:name="_Toc20823296"/>
      <w:r>
        <w:rPr>
          <w:rFonts w:hint="eastAsia" w:ascii="方正黑体_GBK" w:hAnsi="方正黑体_GBK" w:eastAsia="方正黑体_GBK" w:cs="方正黑体_GBK"/>
          <w:b w:val="0"/>
          <w:bCs w:val="0"/>
          <w:color w:val="000000"/>
          <w:sz w:val="30"/>
          <w:szCs w:val="30"/>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color w:val="000000"/>
          <w:sz w:val="30"/>
          <w:szCs w:val="30"/>
        </w:rPr>
        <w:t xml:space="preserve">、撤回和修改</w:t>
      </w:r>
      <w:bookmarkStart w:id="104" w:name="_GoBack"/>
      <w:r/>
      <w:bookmarkEnd w:id="104"/>
      <w:r/>
      <w:r/>
    </w:p>
    <w:p>
      <w:pPr>
        <w:pStyle w:val="921"/>
        <w:ind w:firstLine="422"/>
        <w:spacing w:before="0" w:after="0" w:line="240" w:lineRule="auto"/>
        <w:rPr>
          <w:rFonts w:hint="eastAsia" w:ascii="方正楷体_GBK" w:hAnsi="方正楷体_GBK" w:eastAsia="方正楷体_GBK" w:cs="方正楷体_GBK"/>
        </w:rPr>
      </w:pPr>
      <w:r/>
      <w:bookmarkStart w:id="50" w:name="_Toc20823297"/>
      <w:r/>
      <w:bookmarkStart w:id="51" w:name="_Toc462564084"/>
      <w:r/>
      <w:bookmarkStart w:id="52" w:name="_Toc513029225"/>
      <w:r/>
      <w:bookmarkStart w:id="53" w:name="_Toc16938541"/>
      <w:r>
        <w:rPr>
          <w:rFonts w:hint="eastAsia" w:ascii="方正楷体_GBK" w:hAnsi="方正楷体_GBK" w:eastAsia="方正楷体_GBK" w:cs="方正楷体_GBK"/>
        </w:rPr>
        <w:t xml:space="preserve">15.</w:t>
      </w:r>
      <w:bookmarkEnd w:id="50"/>
      <w:r/>
      <w:bookmarkEnd w:id="51"/>
      <w:r/>
      <w:bookmarkEnd w:id="52"/>
      <w:r/>
      <w:bookmarkEnd w:id="53"/>
      <w:r>
        <w:rPr>
          <w:rFonts w:hint="eastAsia" w:ascii="方正楷体_GBK" w:hAnsi="方正楷体_GBK" w:eastAsia="方正楷体_GBK" w:cs="方正楷体_GBK"/>
        </w:rPr>
        <w:t xml:space="preserve">响应文件的递交</w:t>
      </w:r>
      <w:r/>
    </w:p>
    <w:p>
      <w:pPr>
        <w:ind w:firstLine="420"/>
        <w:rPr>
          <w:rFonts w:hint="eastAsia" w:ascii="宋体" w:hAnsi="宋体"/>
          <w:color w:val="000000"/>
          <w:sz w:val="24"/>
          <w:szCs w:val="21"/>
        </w:rPr>
      </w:pPr>
      <w:r>
        <w:rPr>
          <w:rFonts w:hint="eastAsia" w:ascii="宋体" w:hAnsi="宋体"/>
          <w:color w:val="000000"/>
          <w:sz w:val="24"/>
          <w:szCs w:val="21"/>
        </w:rPr>
        <w:t xml:space="preserve">15.1 供应商应在采购公告规定的提交响应文件截止时间前制作并上传电子响应文件。</w:t>
      </w:r>
      <w:bookmarkStart w:id="54" w:name="_Toc16938542"/>
      <w:r/>
      <w:bookmarkStart w:id="55" w:name="_Toc513029226"/>
      <w:r/>
      <w:bookmarkStart w:id="56" w:name="_Toc20823298"/>
      <w:r>
        <w:rPr>
          <w:rFonts w:hint="eastAsia" w:ascii="宋体" w:hAnsi="宋体"/>
          <w:color w:val="000000"/>
          <w:sz w:val="24"/>
          <w:szCs w:val="21"/>
        </w:rPr>
        <w:t xml:space="preserve">提交响应文件截止时间后上传的响应文件将被拒绝。</w:t>
      </w:r>
      <w:bookmarkEnd w:id="54"/>
      <w:r/>
      <w:bookmarkEnd w:id="55"/>
      <w:r/>
      <w:bookmarkEnd w:id="56"/>
      <w:r/>
      <w:r/>
    </w:p>
    <w:p>
      <w:pPr>
        <w:ind w:firstLine="420"/>
        <w:rPr>
          <w:rFonts w:hint="eastAsia" w:ascii="宋体" w:hAnsi="宋体"/>
          <w:color w:val="000000"/>
          <w:sz w:val="24"/>
          <w:szCs w:val="21"/>
        </w:rPr>
      </w:pPr>
      <w:r>
        <w:rPr>
          <w:rFonts w:hint="eastAsia" w:ascii="宋体" w:hAnsi="宋体"/>
          <w:color w:val="000000"/>
          <w:sz w:val="24"/>
          <w:szCs w:val="21"/>
        </w:rPr>
        <w:t xml:space="preserve">15.2 供应商应充分考虑网络环境、网络带宽等因素</w:t>
      </w:r>
      <w:r>
        <w:rPr>
          <w:rFonts w:hint="eastAsia" w:ascii="宋体" w:hAnsi="宋体"/>
          <w:color w:val="000000"/>
          <w:sz w:val="24"/>
        </w:rPr>
        <w:t xml:space="preserve">可能产生的影响</w:t>
      </w:r>
      <w:r>
        <w:rPr>
          <w:rFonts w:hint="eastAsia" w:ascii="宋体" w:hAnsi="宋体"/>
          <w:color w:val="000000"/>
          <w:sz w:val="24"/>
          <w:szCs w:val="21"/>
        </w:rPr>
        <w:t xml:space="preserve">，如因供应商自身原因造成的电子响应文件上传不成功的，按照本磋商文件第二章第22.1条规定做无效响应处理。</w:t>
      </w:r>
      <w:r/>
    </w:p>
    <w:p>
      <w:pPr>
        <w:ind w:firstLine="420"/>
        <w:rPr>
          <w:rFonts w:hint="eastAsia" w:ascii="宋体" w:hAnsi="宋体"/>
          <w:color w:val="000000"/>
          <w:sz w:val="24"/>
          <w:szCs w:val="21"/>
        </w:rPr>
      </w:pPr>
      <w:r>
        <w:rPr>
          <w:rFonts w:hint="eastAsia" w:ascii="宋体" w:hAnsi="宋体"/>
          <w:color w:val="000000"/>
          <w:sz w:val="24"/>
          <w:szCs w:val="21"/>
        </w:rPr>
        <w:t xml:space="preserve">15.3 交易中心可以按照规定，通过修改磋商文件酌情延长提交响应文件截止日期，在此情况下，供应商的所有权利和义务均以延长后新的截止日期为准。</w:t>
      </w:r>
      <w:r/>
    </w:p>
    <w:p>
      <w:pPr>
        <w:pStyle w:val="921"/>
        <w:ind w:firstLine="422"/>
        <w:spacing w:before="0" w:after="0" w:line="240" w:lineRule="auto"/>
        <w:rPr>
          <w:rFonts w:hint="eastAsia" w:ascii="方正楷体_GBK" w:hAnsi="方正楷体_GBK" w:eastAsia="方正楷体_GBK" w:cs="方正楷体_GBK"/>
        </w:rPr>
      </w:pPr>
      <w:r/>
      <w:bookmarkStart w:id="57" w:name="_Toc16938544"/>
      <w:r/>
      <w:bookmarkStart w:id="58" w:name="_Toc513029228"/>
      <w:r/>
      <w:bookmarkStart w:id="59" w:name="_Toc20823300"/>
      <w:r>
        <w:rPr>
          <w:rFonts w:hint="eastAsia" w:ascii="方正楷体_GBK" w:hAnsi="方正楷体_GBK" w:eastAsia="方正楷体_GBK" w:cs="方正楷体_GBK"/>
        </w:rPr>
        <w:t xml:space="preserve">16.响应文件的撤回和修改</w:t>
      </w:r>
      <w:bookmarkEnd w:id="57"/>
      <w:r/>
      <w:bookmarkEnd w:id="58"/>
      <w:r/>
      <w:bookmarkEnd w:id="59"/>
      <w:r/>
      <w:r/>
    </w:p>
    <w:p>
      <w:pPr>
        <w:ind w:firstLine="420"/>
        <w:rPr>
          <w:rFonts w:hint="eastAsia" w:ascii="宋体" w:hAnsi="宋体"/>
          <w:color w:val="000000"/>
          <w:sz w:val="24"/>
          <w:szCs w:val="21"/>
        </w:rPr>
      </w:pPr>
      <w:r>
        <w:rPr>
          <w:rFonts w:hint="eastAsia" w:ascii="宋体" w:hAnsi="宋体"/>
          <w:color w:val="000000"/>
          <w:sz w:val="24"/>
          <w:szCs w:val="21"/>
        </w:rPr>
        <w:t xml:space="preserve">16.1 响应文件的撤回</w:t>
      </w:r>
      <w:r/>
    </w:p>
    <w:p>
      <w:pPr>
        <w:ind w:firstLine="420"/>
        <w:rPr>
          <w:rFonts w:hint="eastAsia" w:ascii="宋体" w:hAnsi="宋体"/>
          <w:color w:val="000000"/>
          <w:sz w:val="24"/>
          <w:szCs w:val="21"/>
        </w:rPr>
      </w:pPr>
      <w:r>
        <w:rPr>
          <w:rFonts w:hint="eastAsia" w:ascii="宋体" w:hAnsi="宋体"/>
          <w:color w:val="000000"/>
          <w:sz w:val="24"/>
          <w:szCs w:val="21"/>
        </w:rPr>
        <w:t xml:space="preserve">16.1.1 供应商可在提交响应文件截止时间前，撤回其电子响应文件。</w:t>
      </w:r>
      <w:r/>
    </w:p>
    <w:p>
      <w:pPr>
        <w:ind w:firstLine="420"/>
        <w:rPr>
          <w:rFonts w:hint="eastAsia" w:ascii="宋体" w:hAnsi="宋体"/>
          <w:color w:val="000000"/>
          <w:sz w:val="24"/>
          <w:szCs w:val="21"/>
        </w:rPr>
      </w:pPr>
      <w:r>
        <w:rPr>
          <w:rFonts w:hint="eastAsia" w:ascii="宋体" w:hAnsi="宋体"/>
          <w:color w:val="000000"/>
          <w:sz w:val="24"/>
          <w:szCs w:val="21"/>
        </w:rPr>
        <w:t xml:space="preserve">16.1.2 供应商撤回电子响应文件，则认为其不再参与本项目磋商活动。</w:t>
      </w:r>
      <w:r/>
    </w:p>
    <w:p>
      <w:pPr>
        <w:ind w:firstLine="420"/>
        <w:rPr>
          <w:rFonts w:hint="eastAsia" w:ascii="宋体" w:hAnsi="宋体"/>
          <w:color w:val="000000"/>
          <w:sz w:val="24"/>
          <w:szCs w:val="21"/>
        </w:rPr>
      </w:pPr>
      <w:r>
        <w:rPr>
          <w:rFonts w:hint="eastAsia" w:ascii="宋体" w:hAnsi="宋体"/>
          <w:color w:val="000000"/>
          <w:sz w:val="24"/>
          <w:szCs w:val="21"/>
        </w:rPr>
        <w:t xml:space="preserve">16.1.3 在提交响应文件截止时间至磋商文件中规定的磋商有效期满之间的这段时间内，供应商不得撤回其响应文件。</w:t>
      </w:r>
      <w:r/>
    </w:p>
    <w:p>
      <w:pPr>
        <w:ind w:firstLine="420"/>
        <w:rPr>
          <w:rFonts w:hint="eastAsia" w:ascii="宋体" w:hAnsi="宋体"/>
          <w:color w:val="000000"/>
          <w:sz w:val="24"/>
          <w:szCs w:val="21"/>
        </w:rPr>
      </w:pPr>
      <w:r>
        <w:rPr>
          <w:rFonts w:hint="eastAsia" w:ascii="宋体" w:hAnsi="宋体"/>
          <w:color w:val="000000"/>
          <w:sz w:val="24"/>
          <w:szCs w:val="21"/>
        </w:rPr>
        <w:t xml:space="preserve">16.2 响应文件的修改</w:t>
      </w:r>
      <w:r/>
    </w:p>
    <w:p>
      <w:pPr>
        <w:ind w:firstLine="420"/>
        <w:rPr>
          <w:rFonts w:hint="eastAsia" w:ascii="宋体" w:hAnsi="宋体"/>
          <w:color w:val="000000"/>
          <w:sz w:val="24"/>
          <w:szCs w:val="21"/>
        </w:rPr>
      </w:pPr>
      <w:r>
        <w:rPr>
          <w:rFonts w:hint="eastAsia" w:ascii="宋体" w:hAnsi="宋体"/>
          <w:color w:val="000000"/>
          <w:sz w:val="24"/>
          <w:szCs w:val="21"/>
        </w:rPr>
        <w:t xml:space="preserve">16.2.1 供应商可在提交响应文件截止时间前，对其电子响应文件进行修改。</w:t>
      </w:r>
      <w:r/>
    </w:p>
    <w:p>
      <w:pPr>
        <w:ind w:firstLine="420"/>
        <w:rPr>
          <w:rFonts w:hint="eastAsia" w:ascii="宋体" w:hAnsi="宋体"/>
          <w:color w:val="000000"/>
          <w:sz w:val="24"/>
          <w:szCs w:val="21"/>
        </w:rPr>
      </w:pPr>
      <w:r>
        <w:rPr>
          <w:rFonts w:hint="eastAsia" w:ascii="宋体" w:hAnsi="宋体"/>
          <w:color w:val="000000"/>
          <w:sz w:val="24"/>
          <w:szCs w:val="21"/>
        </w:rPr>
        <w:t xml:space="preserve">16.2.2 提交响应文件截止时间之后，供应商不得对其电子响应文件作任何修改。</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60" w:name="_Toc513029229"/>
      <w:r/>
      <w:bookmarkStart w:id="61" w:name="_Toc16938545"/>
      <w:r/>
      <w:bookmarkStart w:id="62" w:name="_Toc20823301"/>
      <w:r/>
      <w:bookmarkStart w:id="63" w:name="_Toc120614218"/>
      <w:r>
        <w:rPr>
          <w:rFonts w:hint="eastAsia" w:ascii="方正黑体_GBK" w:hAnsi="方正黑体_GBK" w:eastAsia="方正黑体_GBK" w:cs="方正黑体_GBK"/>
          <w:b w:val="0"/>
          <w:bCs w:val="0"/>
          <w:color w:val="000000"/>
          <w:sz w:val="30"/>
          <w:szCs w:val="30"/>
        </w:rPr>
        <w:t xml:space="preserve">五、响应文件的解密与评审</w:t>
      </w:r>
      <w:bookmarkEnd w:id="60"/>
      <w:r/>
      <w:bookmarkEnd w:id="61"/>
      <w:r/>
      <w:bookmarkEnd w:id="62"/>
      <w:r/>
      <w:bookmarkEnd w:id="63"/>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ind w:firstLine="420"/>
        <w:rPr>
          <w:rFonts w:hint="eastAsia" w:ascii="宋体" w:hAnsi="宋体"/>
          <w:color w:val="000000"/>
          <w:sz w:val="24"/>
          <w:szCs w:val="21"/>
        </w:rPr>
      </w:pPr>
      <w:r>
        <w:rPr>
          <w:rFonts w:hint="eastAsia" w:ascii="宋体" w:hAnsi="宋体"/>
          <w:color w:val="000000"/>
          <w:sz w:val="24"/>
          <w:szCs w:val="21"/>
        </w:rPr>
        <w:t xml:space="preserve">17.1 供应商应当在苏采云系统规定的时间内对响应文件进行解密。</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ind w:firstLine="420"/>
        <w:rPr>
          <w:rFonts w:hint="eastAsia" w:ascii="宋体" w:hAnsi="宋体"/>
          <w:color w:val="000000"/>
          <w:sz w:val="24"/>
          <w:szCs w:val="21"/>
        </w:rPr>
      </w:pPr>
      <w:r>
        <w:rPr>
          <w:rFonts w:hint="eastAsia" w:ascii="宋体" w:hAnsi="宋体"/>
          <w:color w:val="000000"/>
          <w:sz w:val="24"/>
          <w:szCs w:val="21"/>
        </w:rPr>
        <w:t xml:space="preserve">18.1 依法组建的磋商小组对响应文件进行评审。</w:t>
      </w:r>
      <w:r/>
    </w:p>
    <w:p>
      <w:pPr>
        <w:ind w:firstLine="420"/>
        <w:rPr>
          <w:rFonts w:hint="eastAsia" w:ascii="宋体" w:hAnsi="宋体"/>
          <w:color w:val="000000"/>
          <w:sz w:val="24"/>
          <w:szCs w:val="21"/>
        </w:rPr>
      </w:pPr>
      <w:r>
        <w:rPr>
          <w:rFonts w:hint="eastAsia" w:ascii="宋体" w:hAnsi="宋体"/>
          <w:color w:val="000000"/>
          <w:sz w:val="24"/>
          <w:szCs w:val="21"/>
        </w:rPr>
        <w:t xml:space="preserve">18.2 磋商小组由采购人代表和有关方面的专家组成，人员构成符合政府采购有关规定。</w:t>
      </w:r>
      <w:r/>
    </w:p>
    <w:p>
      <w:pPr>
        <w:ind w:firstLine="420"/>
        <w:rPr>
          <w:rFonts w:hint="eastAsia" w:ascii="宋体" w:hAnsi="宋体"/>
          <w:color w:val="000000"/>
          <w:sz w:val="24"/>
          <w:szCs w:val="21"/>
        </w:rPr>
      </w:pPr>
      <w:r>
        <w:rPr>
          <w:rFonts w:hint="eastAsia" w:ascii="宋体" w:hAnsi="宋体"/>
          <w:color w:val="000000"/>
          <w:sz w:val="24"/>
          <w:szCs w:val="21"/>
        </w:rPr>
        <w:t xml:space="preserve">18.3 磋商小组独立工作，负责评审所有响应文件并推荐成交候选人，或根据采购人授权直接确定成交供应商。</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ind w:firstLine="420"/>
        <w:rPr>
          <w:rFonts w:hint="eastAsia" w:ascii="宋体" w:hAnsi="宋体"/>
          <w:color w:val="000000"/>
          <w:sz w:val="24"/>
          <w:szCs w:val="21"/>
        </w:rPr>
      </w:pPr>
      <w:r>
        <w:rPr>
          <w:rFonts w:hint="eastAsia" w:ascii="宋体" w:hAnsi="宋体"/>
          <w:color w:val="000000"/>
          <w:sz w:val="24"/>
          <w:szCs w:val="21"/>
        </w:rPr>
        <w:t xml:space="preserve">19.1 磋商小组、采购人和交易中心工作人员、相关监督人员等与评审工作有关的人员，对评审情况以及在评审过程中获悉的国家秘密、商业秘密负有保密责任。</w:t>
      </w:r>
      <w:r/>
    </w:p>
    <w:p>
      <w:pPr>
        <w:ind w:firstLine="420"/>
        <w:rPr>
          <w:rFonts w:hint="eastAsia" w:ascii="宋体" w:hAnsi="宋体"/>
          <w:color w:val="000000"/>
          <w:sz w:val="24"/>
          <w:szCs w:val="21"/>
        </w:rPr>
      </w:pPr>
      <w:r>
        <w:rPr>
          <w:rFonts w:hint="eastAsia" w:ascii="宋体" w:hAnsi="宋体"/>
          <w:color w:val="000000"/>
          <w:sz w:val="24"/>
          <w:szCs w:val="21"/>
        </w:rPr>
        <w:t xml:space="preserve">19.2 供应商不得以任何方式影响评审过程。</w:t>
      </w:r>
      <w:r/>
    </w:p>
    <w:p>
      <w:pPr>
        <w:ind w:firstLine="420"/>
        <w:rPr>
          <w:rFonts w:hint="eastAsia" w:ascii="宋体" w:hAnsi="宋体"/>
          <w:color w:val="000000"/>
          <w:sz w:val="24"/>
          <w:szCs w:val="21"/>
        </w:rPr>
      </w:pPr>
      <w:r>
        <w:rPr>
          <w:rFonts w:hint="eastAsia" w:ascii="宋体" w:hAnsi="宋体"/>
          <w:color w:val="000000"/>
          <w:sz w:val="24"/>
          <w:szCs w:val="21"/>
        </w:rPr>
        <w:t xml:space="preserve">19.3 交易中心和磋商小组不向未成交的供应商解释未成交原因，也不公布评审过程中的相关细节。</w:t>
      </w:r>
      <w:r/>
    </w:p>
    <w:p>
      <w:pPr>
        <w:pStyle w:val="921"/>
        <w:ind w:firstLine="422"/>
        <w:spacing w:before="0" w:after="0" w:line="240" w:lineRule="auto"/>
        <w:rPr>
          <w:rFonts w:hint="eastAsia" w:ascii="方正楷体_GBK" w:hAnsi="方正楷体_GBK" w:eastAsia="方正楷体_GBK" w:cs="方正楷体_GBK"/>
        </w:rPr>
      </w:pPr>
      <w:r/>
      <w:bookmarkStart w:id="64" w:name="_Toc20823304"/>
      <w:r/>
      <w:bookmarkStart w:id="65" w:name="_Toc16938548"/>
      <w:r/>
      <w:bookmarkStart w:id="66" w:name="_Toc513029232"/>
      <w:r>
        <w:rPr>
          <w:rFonts w:hint="eastAsia" w:ascii="方正楷体_GBK" w:hAnsi="方正楷体_GBK" w:eastAsia="方正楷体_GBK" w:cs="方正楷体_GBK"/>
        </w:rPr>
        <w:t xml:space="preserve">20.评审过程中的澄清</w:t>
      </w:r>
      <w:bookmarkEnd w:id="64"/>
      <w:r/>
      <w:bookmarkEnd w:id="65"/>
      <w:r/>
      <w:bookmarkEnd w:id="66"/>
      <w:r/>
      <w:r/>
    </w:p>
    <w:p>
      <w:pPr>
        <w:ind w:firstLine="420"/>
        <w:rPr>
          <w:rFonts w:hint="eastAsia" w:ascii="宋体" w:hAnsi="宋体"/>
          <w:color w:val="000000"/>
          <w:sz w:val="24"/>
          <w:szCs w:val="21"/>
        </w:rPr>
      </w:pPr>
      <w:r>
        <w:rPr>
          <w:rFonts w:hint="eastAsia" w:ascii="宋体" w:hAnsi="宋体"/>
          <w:color w:val="000000"/>
          <w:sz w:val="24"/>
          <w:szCs w:val="21"/>
        </w:rPr>
        <w:t xml:space="preserve">20.1 项目评审期间，磋商小组有权要求供应商对响应文件中含义不明确、同类问题表述不一致或者有明显文字和计算错误的内容等作出必要的澄清、说明或者补正。</w:t>
      </w:r>
      <w:r/>
    </w:p>
    <w:p>
      <w:pPr>
        <w:ind w:firstLine="420"/>
        <w:rPr>
          <w:rFonts w:hint="eastAsia" w:ascii="宋体" w:hAnsi="宋体"/>
          <w:color w:val="000000"/>
          <w:sz w:val="24"/>
          <w:szCs w:val="21"/>
        </w:rPr>
      </w:pPr>
      <w:r>
        <w:rPr>
          <w:rFonts w:hint="eastAsia" w:ascii="宋体" w:hAnsi="宋体"/>
          <w:color w:val="000000"/>
          <w:sz w:val="24"/>
          <w:szCs w:val="21"/>
        </w:rPr>
        <w:t xml:space="preserve">供应商的澄清、说明或者补正不得超出响应文件的范围或者改变响应文件的实质性内容。</w:t>
      </w:r>
      <w:r/>
    </w:p>
    <w:p>
      <w:pPr>
        <w:ind w:firstLine="420"/>
        <w:rPr>
          <w:rFonts w:hint="eastAsia" w:ascii="宋体" w:hAnsi="宋体"/>
          <w:color w:val="000000"/>
          <w:sz w:val="24"/>
          <w:szCs w:val="21"/>
        </w:rPr>
      </w:pPr>
      <w:r>
        <w:rPr>
          <w:rFonts w:hint="eastAsia" w:ascii="宋体" w:hAnsi="宋体"/>
          <w:color w:val="000000"/>
          <w:sz w:val="24"/>
          <w:szCs w:val="21"/>
        </w:rPr>
        <w:t xml:space="preserve">磋商小组并非对每个供应商都做澄清要求。</w:t>
      </w:r>
      <w:r/>
    </w:p>
    <w:p>
      <w:pPr>
        <w:ind w:firstLine="420"/>
        <w:rPr>
          <w:rFonts w:hint="eastAsia" w:ascii="宋体" w:hAnsi="宋体"/>
          <w:color w:val="000000"/>
          <w:sz w:val="24"/>
          <w:szCs w:val="21"/>
        </w:rPr>
      </w:pPr>
      <w:r>
        <w:rPr>
          <w:rFonts w:hint="eastAsia" w:ascii="宋体" w:hAnsi="宋体"/>
          <w:color w:val="000000"/>
          <w:sz w:val="24"/>
          <w:szCs w:val="21"/>
        </w:rPr>
        <w:t xml:space="preserve">20.2 需要供应商进行澄清、说明和补正的，磋商小组将通过苏采云系统向供应商发出</w:t>
      </w:r>
      <w:r>
        <w:rPr>
          <w:rFonts w:hint="eastAsia" w:ascii="宋体" w:hAnsi="宋体"/>
          <w:color w:val="000000"/>
          <w:sz w:val="24"/>
          <w:lang w:val="zh-CN"/>
        </w:rPr>
        <w:t xml:space="preserve">《澄清要求函》</w:t>
      </w:r>
      <w:r>
        <w:rPr>
          <w:rFonts w:hint="eastAsia" w:ascii="宋体" w:hAnsi="宋体"/>
          <w:color w:val="000000"/>
          <w:sz w:val="24"/>
          <w:szCs w:val="21"/>
        </w:rPr>
        <w:t xml:space="preserve">，接到</w:t>
      </w:r>
      <w:r>
        <w:rPr>
          <w:rFonts w:hint="eastAsia" w:ascii="宋体" w:hAnsi="宋体"/>
          <w:color w:val="000000"/>
          <w:sz w:val="24"/>
          <w:lang w:val="zh-CN"/>
        </w:rPr>
        <w:t xml:space="preserve">《澄清要求函》</w:t>
      </w:r>
      <w:r>
        <w:rPr>
          <w:rFonts w:hint="eastAsia" w:ascii="宋体" w:hAnsi="宋体"/>
          <w:color w:val="000000"/>
          <w:sz w:val="24"/>
          <w:szCs w:val="21"/>
        </w:rPr>
        <w:t xml:space="preserve">的供应商应当按照要求在苏采云系统中提交</w:t>
      </w:r>
      <w:r>
        <w:rPr>
          <w:rFonts w:hint="eastAsia" w:ascii="宋体" w:hAnsi="宋体"/>
          <w:color w:val="000000"/>
          <w:sz w:val="24"/>
          <w:lang w:val="zh-CN"/>
        </w:rPr>
        <w:t xml:space="preserve">《澄清响应函》</w:t>
      </w:r>
      <w:r>
        <w:rPr>
          <w:rFonts w:hint="eastAsia" w:ascii="宋体" w:hAnsi="宋体"/>
          <w:color w:val="000000"/>
          <w:sz w:val="24"/>
          <w:szCs w:val="21"/>
        </w:rPr>
        <w:t xml:space="preserve">并加盖电子公章。澄清、说明和补正的内容作为响应文件的补充部分。</w:t>
      </w:r>
      <w:r/>
    </w:p>
    <w:p>
      <w:pPr>
        <w:ind w:firstLine="420"/>
        <w:rPr>
          <w:rFonts w:hint="eastAsia" w:ascii="宋体" w:hAnsi="宋体"/>
          <w:color w:val="000000"/>
          <w:sz w:val="24"/>
          <w:szCs w:val="21"/>
        </w:rPr>
      </w:pPr>
      <w:r>
        <w:rPr>
          <w:rFonts w:hint="eastAsia" w:ascii="宋体" w:hAnsi="宋体"/>
          <w:color w:val="000000"/>
          <w:sz w:val="24"/>
          <w:szCs w:val="21"/>
        </w:rPr>
        <w:t xml:space="preserve">20.3 接到磋商小组澄清、说明和补正要求的供应商如未按规定做出澄清、说明和补正，其风险由供应商自行承担。</w:t>
      </w:r>
      <w:r/>
    </w:p>
    <w:p>
      <w:pPr>
        <w:pStyle w:val="921"/>
        <w:ind w:firstLine="422"/>
        <w:spacing w:before="0" w:after="0" w:line="240" w:lineRule="auto"/>
        <w:rPr>
          <w:rFonts w:hint="eastAsia" w:ascii="方正楷体_GBK" w:hAnsi="方正楷体_GBK" w:eastAsia="方正楷体_GBK" w:cs="方正楷体_GBK"/>
        </w:rPr>
      </w:pPr>
      <w:r/>
      <w:bookmarkStart w:id="67" w:name="_Toc16938549"/>
      <w:r/>
      <w:bookmarkStart w:id="68" w:name="_Toc513029233"/>
      <w:r/>
      <w:bookmarkStart w:id="69" w:name="_Toc20823305"/>
      <w:r>
        <w:rPr>
          <w:rFonts w:hint="eastAsia" w:ascii="方正楷体_GBK" w:hAnsi="方正楷体_GBK" w:eastAsia="方正楷体_GBK" w:cs="方正楷体_GBK"/>
        </w:rPr>
        <w:t xml:space="preserve">21.响应文件的审</w:t>
      </w:r>
      <w:bookmarkEnd w:id="67"/>
      <w:r/>
      <w:bookmarkEnd w:id="68"/>
      <w:r/>
      <w:bookmarkEnd w:id="69"/>
      <w:r>
        <w:rPr>
          <w:rFonts w:hint="eastAsia" w:ascii="方正楷体_GBK" w:hAnsi="方正楷体_GBK" w:eastAsia="方正楷体_GBK" w:cs="方正楷体_GBK"/>
        </w:rPr>
        <w:t xml:space="preserve">查</w:t>
      </w:r>
      <w:r/>
    </w:p>
    <w:p>
      <w:pPr>
        <w:ind w:firstLine="420"/>
        <w:rPr>
          <w:rFonts w:hint="eastAsia" w:ascii="宋体" w:hAnsi="宋体"/>
          <w:color w:val="000000"/>
          <w:sz w:val="24"/>
          <w:szCs w:val="21"/>
        </w:rPr>
      </w:pPr>
      <w:r>
        <w:rPr>
          <w:rFonts w:hint="eastAsia" w:ascii="宋体" w:hAnsi="宋体"/>
          <w:color w:val="000000"/>
          <w:sz w:val="24"/>
          <w:szCs w:val="21"/>
        </w:rPr>
        <w:t xml:space="preserve">21.1 响应文件审查分为资格审查和符合性审查。</w:t>
      </w:r>
      <w:r/>
    </w:p>
    <w:p>
      <w:pPr>
        <w:ind w:firstLine="420"/>
        <w:rPr>
          <w:rFonts w:hint="eastAsia" w:ascii="宋体" w:hAnsi="宋体"/>
          <w:color w:val="000000"/>
          <w:sz w:val="24"/>
          <w:szCs w:val="21"/>
        </w:rPr>
      </w:pPr>
      <w:r>
        <w:rPr>
          <w:rFonts w:hint="eastAsia" w:ascii="宋体" w:hAnsi="宋体"/>
          <w:color w:val="000000"/>
          <w:sz w:val="24"/>
          <w:szCs w:val="21"/>
        </w:rPr>
        <w:t xml:space="preserve">21.1.1 资格审查。依据法律法规和磋商文件的规定，磋商小组对响应文件中的资格证明文件进行审查，以确定供应商是否具备参加磋商的资格。</w:t>
      </w:r>
      <w:r/>
    </w:p>
    <w:p>
      <w:pPr>
        <w:ind w:firstLine="420"/>
        <w:rPr>
          <w:rFonts w:hint="eastAsia" w:ascii="宋体" w:hAnsi="宋体"/>
          <w:color w:val="000000"/>
          <w:sz w:val="24"/>
          <w:szCs w:val="21"/>
        </w:rPr>
      </w:pPr>
      <w:r>
        <w:rPr>
          <w:rFonts w:hint="eastAsia" w:ascii="宋体" w:hAnsi="宋体"/>
          <w:color w:val="000000"/>
          <w:sz w:val="24"/>
          <w:szCs w:val="21"/>
        </w:rPr>
        <w:t xml:space="preserve">磋商小组进行资格审查时，将在“信用中国”网站查询供应商的信用记录，以确定供应商是否具备磋商资格,查询结果留存并归档。</w:t>
      </w:r>
      <w:r/>
    </w:p>
    <w:p>
      <w:pPr>
        <w:ind w:firstLine="420"/>
        <w:rPr>
          <w:rFonts w:hint="eastAsia" w:ascii="宋体" w:hAnsi="宋体"/>
          <w:color w:val="000000"/>
          <w:sz w:val="24"/>
          <w:szCs w:val="21"/>
        </w:rPr>
      </w:pPr>
      <w:r>
        <w:rPr>
          <w:rFonts w:hint="eastAsia" w:ascii="宋体" w:hAnsi="宋体"/>
          <w:color w:val="000000"/>
          <w:sz w:val="24"/>
          <w:szCs w:val="21"/>
        </w:rPr>
        <w:t xml:space="preserve">21.1.2 符合性审查。磋商小组</w:t>
      </w:r>
      <w:r>
        <w:rPr>
          <w:rFonts w:hint="eastAsia" w:ascii="宋体" w:hAnsi="宋体"/>
          <w:color w:val="000000"/>
          <w:sz w:val="24"/>
          <w:szCs w:val="21"/>
          <w:lang w:val="zh-CN"/>
        </w:rPr>
        <w:t xml:space="preserve">对</w:t>
      </w:r>
      <w:r>
        <w:rPr>
          <w:rFonts w:hint="eastAsia" w:ascii="宋体" w:hAnsi="宋体"/>
          <w:color w:val="000000"/>
          <w:sz w:val="24"/>
          <w:szCs w:val="21"/>
        </w:rPr>
        <w:t xml:space="preserve">通过</w:t>
      </w:r>
      <w:r>
        <w:rPr>
          <w:rFonts w:hint="eastAsia" w:ascii="宋体" w:hAnsi="宋体"/>
          <w:color w:val="000000"/>
          <w:sz w:val="24"/>
          <w:szCs w:val="21"/>
          <w:lang w:val="zh-CN"/>
        </w:rPr>
        <w:t xml:space="preserve">资格</w:t>
      </w:r>
      <w:r>
        <w:rPr>
          <w:rFonts w:hint="eastAsia" w:ascii="宋体" w:hAnsi="宋体"/>
          <w:color w:val="000000"/>
          <w:sz w:val="24"/>
          <w:szCs w:val="21"/>
        </w:rPr>
        <w:t xml:space="preserve">审查</w:t>
      </w:r>
      <w:r>
        <w:rPr>
          <w:rFonts w:hint="eastAsia" w:ascii="宋体" w:hAnsi="宋体"/>
          <w:color w:val="000000"/>
          <w:sz w:val="24"/>
          <w:szCs w:val="21"/>
          <w:lang w:val="zh-CN"/>
        </w:rPr>
        <w:t xml:space="preserve">的</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的</w:t>
      </w:r>
      <w:r>
        <w:rPr>
          <w:rFonts w:hint="eastAsia" w:ascii="宋体" w:hAnsi="宋体"/>
          <w:color w:val="000000"/>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p>
    <w:p>
      <w:pPr>
        <w:ind w:firstLine="420"/>
        <w:rPr>
          <w:rFonts w:hint="eastAsia" w:ascii="宋体" w:hAnsi="宋体"/>
          <w:color w:val="000000"/>
          <w:sz w:val="24"/>
          <w:szCs w:val="21"/>
        </w:rPr>
      </w:pPr>
      <w:r>
        <w:rPr>
          <w:rFonts w:hint="eastAsia" w:ascii="宋体" w:hAnsi="宋体"/>
          <w:color w:val="000000"/>
          <w:sz w:val="24"/>
          <w:szCs w:val="21"/>
        </w:rPr>
        <w:t xml:space="preserve">21.1.3 未通过资格审查或符合性审查的供应商，磋商小组将通过苏采云系统告知具体原因，评审结束后将不再接受有关询问。</w:t>
      </w:r>
      <w:r/>
    </w:p>
    <w:p>
      <w:pPr>
        <w:ind w:firstLine="420"/>
        <w:rPr>
          <w:rFonts w:hint="eastAsia" w:ascii="宋体" w:hAnsi="宋体"/>
          <w:color w:val="000000"/>
          <w:sz w:val="24"/>
          <w:lang w:val="zh-CN"/>
        </w:rPr>
      </w:pPr>
      <w:r>
        <w:rPr>
          <w:rFonts w:hint="eastAsia" w:ascii="宋体" w:hAnsi="宋体"/>
          <w:color w:val="000000"/>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的权利或供应商的义务，纠正这些偏离或保留将会对其他实质性响应的供应商产生不公正的影响。重大偏离的认定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磋商小组</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w:t>
      </w:r>
      <w:r>
        <w:rPr>
          <w:rFonts w:hint="eastAsia" w:ascii="宋体" w:hAnsi="宋体"/>
          <w:color w:val="000000"/>
          <w:sz w:val="24"/>
          <w:szCs w:val="21"/>
        </w:rPr>
        <w:t xml:space="preserve">磋商小组</w:t>
      </w:r>
      <w:r>
        <w:rPr>
          <w:rFonts w:hint="eastAsia" w:ascii="宋体" w:hAnsi="宋体"/>
          <w:color w:val="000000"/>
          <w:sz w:val="24"/>
        </w:rPr>
        <w:t xml:space="preserve">认</w:t>
      </w:r>
      <w:r>
        <w:rPr>
          <w:rFonts w:hint="eastAsia" w:ascii="宋体" w:hAnsi="宋体"/>
          <w:color w:val="000000"/>
          <w:sz w:val="24"/>
          <w:lang w:val="zh-CN"/>
        </w:rPr>
        <w:t xml:space="preserve">定响应文件的响应性只根据响应文件本身的内容，而不寻求外部的证据。</w:t>
      </w:r>
      <w:r/>
    </w:p>
    <w:p>
      <w:pPr>
        <w:ind w:firstLine="420"/>
        <w:rPr>
          <w:rFonts w:hint="eastAsia" w:ascii="宋体" w:hAnsi="宋体"/>
          <w:color w:val="000000"/>
          <w:sz w:val="24"/>
          <w:szCs w:val="21"/>
        </w:rPr>
      </w:pPr>
      <w:r>
        <w:rPr>
          <w:rFonts w:hint="eastAsia" w:ascii="宋体" w:hAnsi="宋体"/>
          <w:color w:val="000000"/>
          <w:sz w:val="24"/>
          <w:szCs w:val="21"/>
        </w:rPr>
        <w:t xml:space="preserve">21.3 如果响应文件实质上没有响应磋商文件的要求，磋商小组将予以拒绝，供应商不得通过修改或撤销不符合要求的偏离或保留而使其成为实质性响应的文件。</w:t>
      </w:r>
      <w:r/>
    </w:p>
    <w:p>
      <w:pPr>
        <w:ind w:firstLine="420"/>
        <w:rPr>
          <w:rFonts w:hint="eastAsia" w:ascii="宋体" w:hAnsi="宋体"/>
          <w:color w:val="000000"/>
          <w:sz w:val="24"/>
          <w:szCs w:val="21"/>
        </w:rPr>
      </w:pPr>
      <w:r>
        <w:rPr>
          <w:rFonts w:hint="eastAsia" w:ascii="宋体" w:hAnsi="宋体"/>
          <w:color w:val="000000"/>
          <w:sz w:val="24"/>
          <w:szCs w:val="21"/>
        </w:rPr>
        <w:t xml:space="preserve">21.4 供应商在项目评审全过程中应保持通讯畅通，</w:t>
      </w:r>
      <w:r>
        <w:rPr>
          <w:rFonts w:hint="eastAsia" w:ascii="宋体" w:hAnsi="宋体"/>
          <w:color w:val="000000"/>
          <w:sz w:val="24"/>
          <w:lang w:val="zh-CN"/>
        </w:rPr>
        <w:t xml:space="preserve">及时登录苏采云系统查阅、答复相关信息。</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 </w:t>
      </w:r>
      <w:r>
        <w:rPr>
          <w:rFonts w:hint="eastAsia" w:ascii="宋体" w:hAnsi="宋体"/>
          <w:color w:val="000000"/>
          <w:sz w:val="24"/>
          <w:lang w:val="zh-CN"/>
        </w:rPr>
        <w:t xml:space="preserve">异常低价审查</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w:t>
      </w:r>
      <w:r>
        <w:rPr>
          <w:rFonts w:hint="eastAsia" w:ascii="宋体" w:hAnsi="宋体"/>
          <w:color w:val="000000"/>
          <w:sz w:val="24"/>
        </w:rPr>
        <w:t xml:space="preserve">审</w:t>
      </w:r>
      <w:r>
        <w:rPr>
          <w:rFonts w:hint="eastAsia" w:ascii="宋体" w:hAnsi="宋体"/>
          <w:color w:val="000000"/>
          <w:sz w:val="24"/>
          <w:lang w:val="zh-CN"/>
        </w:rPr>
        <w:t xml:space="preserve">过程中出现下列情形之一的，</w:t>
      </w:r>
      <w:r>
        <w:rPr>
          <w:rFonts w:hint="eastAsia" w:ascii="宋体" w:hAnsi="宋体"/>
          <w:color w:val="000000"/>
          <w:sz w:val="24"/>
          <w:szCs w:val="21"/>
        </w:rPr>
        <w:t xml:space="preserve">磋商小组</w:t>
      </w:r>
      <w:r>
        <w:rPr>
          <w:rFonts w:hint="eastAsia" w:ascii="宋体" w:hAnsi="宋体"/>
          <w:color w:val="000000"/>
          <w:sz w:val="24"/>
          <w:lang w:val="zh-CN"/>
        </w:rPr>
        <w:t xml:space="preserve">应当启动异常低价审查程序：</w:t>
      </w:r>
      <w:r/>
    </w:p>
    <w:p>
      <w:pPr>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szCs w:val="21"/>
        </w:rPr>
        <w:t xml:space="preserve">报价</w:t>
      </w:r>
      <w:r>
        <w:rPr>
          <w:rFonts w:hint="eastAsia" w:ascii="宋体" w:hAnsi="宋体"/>
          <w:color w:val="000000"/>
          <w:sz w:val="24"/>
          <w:lang w:val="zh-CN"/>
        </w:rPr>
        <w:t xml:space="preserve">低于全部通过符合性审查供应商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&lt;全部通过符合性审查供应商</w:t>
      </w:r>
      <w:r>
        <w:rPr>
          <w:rFonts w:hint="eastAsia" w:ascii="宋体" w:hAnsi="宋体"/>
          <w:color w:val="000000"/>
          <w:sz w:val="24"/>
          <w:szCs w:val="21"/>
        </w:rPr>
        <w:t xml:space="preserve">报价</w:t>
      </w:r>
      <w:r>
        <w:rPr>
          <w:rFonts w:hint="eastAsia" w:ascii="宋体" w:hAnsi="宋体"/>
          <w:color w:val="000000"/>
          <w:sz w:val="24"/>
          <w:lang w:val="zh-CN"/>
        </w:rPr>
        <w:t xml:space="preserve">平均值×</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szCs w:val="21"/>
        </w:rPr>
        <w:t xml:space="preserve">报价</w:t>
      </w:r>
      <w:r>
        <w:rPr>
          <w:rFonts w:hint="eastAsia" w:ascii="宋体" w:hAnsi="宋体"/>
          <w:color w:val="000000"/>
          <w:sz w:val="24"/>
          <w:lang w:val="zh-CN"/>
        </w:rPr>
        <w:t xml:space="preserve">低于通过符合性审查的次低报价供应商</w:t>
      </w:r>
      <w:r>
        <w:rPr>
          <w:rFonts w:hint="eastAsia" w:ascii="宋体" w:hAnsi="宋体"/>
          <w:color w:val="000000"/>
          <w:sz w:val="24"/>
          <w:szCs w:val="21"/>
        </w:rPr>
        <w:t xml:space="preserve">报价</w:t>
      </w:r>
      <w:r>
        <w:rPr>
          <w:rFonts w:hint="eastAsia" w:ascii="宋体" w:hAnsi="宋体"/>
          <w:color w:val="000000"/>
          <w:sz w:val="24"/>
          <w:u w:val="single"/>
          <w:lang w:val="zh-CN"/>
        </w:rPr>
        <w:t xml:space="preserve">50%</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&lt;通过符合性审查的次低报价供应商</w:t>
      </w:r>
      <w:r>
        <w:rPr>
          <w:rFonts w:hint="eastAsia" w:ascii="宋体" w:hAnsi="宋体"/>
          <w:color w:val="000000"/>
          <w:sz w:val="24"/>
          <w:szCs w:val="21"/>
        </w:rPr>
        <w:t xml:space="preserve">报价</w:t>
      </w:r>
      <w:r>
        <w:rPr>
          <w:rFonts w:hint="eastAsia" w:ascii="宋体" w:hAnsi="宋体"/>
          <w:color w:val="000000"/>
          <w:sz w:val="24"/>
          <w:lang w:val="zh-CN"/>
        </w:rPr>
        <w:t xml:space="preserve">×</w:t>
      </w:r>
      <w:r>
        <w:rPr>
          <w:rFonts w:hint="eastAsia" w:ascii="宋体" w:hAnsi="宋体"/>
          <w:color w:val="000000"/>
          <w:sz w:val="24"/>
          <w:u w:val="single"/>
          <w:lang w:val="zh-CN"/>
        </w:rPr>
        <w:t xml:space="preserve">50%</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szCs w:val="21"/>
        </w:rPr>
        <w:t xml:space="preserve">报价</w:t>
      </w:r>
      <w:r>
        <w:rPr>
          <w:rFonts w:hint="eastAsia" w:ascii="宋体" w:hAnsi="宋体"/>
          <w:color w:val="000000"/>
          <w:sz w:val="24"/>
          <w:lang w:val="zh-CN"/>
        </w:rPr>
        <w:t xml:space="preserve">低于采购项目最高限价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w:t>
      </w:r>
      <w:r>
        <w:rPr>
          <w:rFonts w:hint="eastAsia" w:ascii="宋体" w:hAnsi="宋体"/>
          <w:color w:val="000000"/>
          <w:sz w:val="24"/>
          <w:szCs w:val="21"/>
        </w:rPr>
        <w:t xml:space="preserve">报价</w:t>
      </w:r>
      <w:r>
        <w:rPr>
          <w:rFonts w:hint="eastAsia" w:ascii="宋体" w:hAnsi="宋体"/>
          <w:color w:val="000000"/>
          <w:sz w:val="24"/>
          <w:lang w:val="zh-CN"/>
        </w:rPr>
        <w:t xml:space="preserve">&lt;采购项目最高限价×</w:t>
      </w:r>
      <w:r>
        <w:rPr>
          <w:rFonts w:hint="eastAsia" w:ascii="宋体" w:hAnsi="宋体"/>
          <w:color w:val="000000"/>
          <w:sz w:val="24"/>
          <w:u w:val="single"/>
        </w:rPr>
        <w:t xml:space="preserve">50</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ind w:firstLine="420"/>
        <w:rPr>
          <w:rFonts w:hint="eastAsia" w:ascii="宋体" w:hAnsi="宋体"/>
          <w:color w:val="0000ff"/>
          <w:sz w:val="24"/>
          <w:szCs w:val="24"/>
        </w:rPr>
      </w:pPr>
      <w:r>
        <w:rPr>
          <w:rFonts w:hint="eastAsia" w:ascii="宋体" w:hAnsi="宋体"/>
          <w:color w:val="000000"/>
          <w:sz w:val="24"/>
          <w:lang w:val="zh-CN"/>
        </w:rPr>
        <w:t xml:space="preserve">（4）</w:t>
      </w:r>
      <w:r>
        <w:rPr>
          <w:rFonts w:hint="eastAsia" w:ascii="宋体" w:hAnsi="宋体"/>
          <w:color w:val="000000"/>
          <w:sz w:val="24"/>
          <w:szCs w:val="21"/>
        </w:rPr>
        <w:t xml:space="preserve">磋商小组</w:t>
      </w:r>
      <w:r>
        <w:rPr>
          <w:rFonts w:hint="eastAsia" w:ascii="宋体" w:hAnsi="宋体"/>
          <w:color w:val="000000"/>
          <w:sz w:val="24"/>
          <w:lang w:val="zh-CN"/>
        </w:rPr>
        <w:t xml:space="preserve">基于专业判断，认为供应商</w:t>
      </w:r>
      <w:r>
        <w:rPr>
          <w:rFonts w:hint="eastAsia" w:ascii="宋体" w:hAnsi="宋体"/>
          <w:color w:val="000000"/>
          <w:sz w:val="24"/>
        </w:rPr>
        <w:t xml:space="preserve">报价</w:t>
      </w:r>
      <w:r>
        <w:rPr>
          <w:rFonts w:hint="eastAsia" w:ascii="宋体" w:hAnsi="宋体"/>
          <w:color w:val="000000"/>
          <w:sz w:val="24"/>
          <w:lang w:val="zh-CN"/>
        </w:rPr>
        <w:t xml:space="preserve">过低，有可能影响产品质量或者不能诚信履约的其他情形。</w:t>
      </w:r>
      <w:r/>
    </w:p>
    <w:p>
      <w:pPr>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szCs w:val="21"/>
        </w:rPr>
        <w:t xml:space="preserve">磋商小组</w:t>
      </w:r>
      <w:r>
        <w:rPr>
          <w:rFonts w:hint="eastAsia" w:ascii="宋体" w:hAnsi="宋体"/>
          <w:color w:val="000000"/>
          <w:sz w:val="24"/>
          <w:lang w:val="zh-CN"/>
        </w:rPr>
        <w:t xml:space="preserve">启动异常低价审查后，属于前述第（1）项至第（4）项情形的，应当要求相关供应商在评审现场合理的时间内对</w:t>
      </w:r>
      <w:r>
        <w:rPr>
          <w:rFonts w:hint="eastAsia" w:ascii="宋体" w:hAnsi="宋体"/>
          <w:color w:val="000000"/>
          <w:sz w:val="24"/>
          <w:szCs w:val="21"/>
        </w:rPr>
        <w:t xml:space="preserve">报价</w:t>
      </w:r>
      <w:r>
        <w:rPr>
          <w:rFonts w:hint="eastAsia" w:ascii="宋体" w:hAnsi="宋体"/>
          <w:color w:val="000000"/>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color w:val="000000"/>
          <w:sz w:val="24"/>
        </w:rPr>
        <w:t xml:space="preserve">响应</w:t>
      </w:r>
      <w:r>
        <w:rPr>
          <w:rFonts w:hint="eastAsia" w:ascii="宋体" w:hAnsi="宋体"/>
          <w:color w:val="000000"/>
          <w:sz w:val="24"/>
          <w:lang w:val="zh-CN"/>
        </w:rPr>
        <w:t xml:space="preserve">文件一并提交相关书面说明及必要的证明材料的，在评</w:t>
      </w:r>
      <w:r>
        <w:rPr>
          <w:rFonts w:hint="eastAsia" w:ascii="宋体" w:hAnsi="宋体"/>
          <w:color w:val="000000"/>
          <w:sz w:val="24"/>
        </w:rPr>
        <w:t xml:space="preserve">审</w:t>
      </w:r>
      <w:r>
        <w:rPr>
          <w:rFonts w:hint="eastAsia" w:ascii="宋体" w:hAnsi="宋体"/>
          <w:color w:val="000000"/>
          <w:sz w:val="24"/>
          <w:lang w:val="zh-CN"/>
        </w:rPr>
        <w:t xml:space="preserve">现场可不再重复提交。</w:t>
      </w:r>
      <w:r/>
    </w:p>
    <w:p>
      <w:pPr>
        <w:ind w:firstLine="420"/>
        <w:rPr>
          <w:rFonts w:hint="eastAsia" w:ascii="宋体" w:hAnsi="宋体"/>
          <w:color w:val="000000"/>
          <w:sz w:val="24"/>
          <w:lang w:val="zh-CN"/>
        </w:rPr>
      </w:pPr>
      <w:r>
        <w:rPr>
          <w:rFonts w:hint="eastAsia" w:ascii="宋体" w:hAnsi="宋体"/>
          <w:color w:val="000000"/>
          <w:sz w:val="24"/>
          <w:szCs w:val="21"/>
        </w:rPr>
        <w:t xml:space="preserve">磋商小组</w:t>
      </w:r>
      <w:r>
        <w:rPr>
          <w:rFonts w:hint="eastAsia" w:ascii="宋体" w:hAnsi="宋体"/>
          <w:color w:val="000000"/>
          <w:sz w:val="24"/>
          <w:lang w:val="zh-CN"/>
        </w:rPr>
        <w:t xml:space="preserve">依据专业经验，参考同类项目</w:t>
      </w:r>
      <w:r>
        <w:rPr>
          <w:rFonts w:hint="eastAsia" w:ascii="宋体" w:hAnsi="宋体"/>
          <w:color w:val="000000"/>
          <w:sz w:val="24"/>
        </w:rPr>
        <w:t xml:space="preserve">成交</w:t>
      </w:r>
      <w:r>
        <w:rPr>
          <w:rFonts w:hint="eastAsia" w:ascii="宋体" w:hAnsi="宋体"/>
          <w:color w:val="000000"/>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rPr>
        <w:t xml:space="preserve">磋商小组</w:t>
      </w:r>
      <w:r>
        <w:rPr>
          <w:rFonts w:hint="eastAsia" w:ascii="宋体" w:hAnsi="宋体"/>
          <w:color w:val="000000"/>
          <w:sz w:val="24"/>
          <w:lang w:val="zh-CN"/>
        </w:rPr>
        <w:t xml:space="preserve">应当将其作为</w:t>
      </w:r>
      <w:r>
        <w:rPr>
          <w:rFonts w:hint="eastAsia" w:ascii="宋体" w:hAnsi="宋体"/>
          <w:color w:val="000000"/>
          <w:sz w:val="24"/>
        </w:rPr>
        <w:t xml:space="preserve">未实质性响应磋商文件</w:t>
      </w:r>
      <w:r>
        <w:rPr>
          <w:rFonts w:hint="eastAsia" w:ascii="宋体" w:hAnsi="宋体"/>
          <w:color w:val="000000"/>
          <w:sz w:val="24"/>
          <w:lang w:val="zh-CN"/>
        </w:rPr>
        <w:t xml:space="preserve">处理。</w:t>
      </w:r>
      <w:r/>
    </w:p>
    <w:p>
      <w:pPr>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ind w:firstLine="422"/>
        <w:rPr>
          <w:rFonts w:hint="eastAsia" w:ascii="宋体" w:hAnsi="宋体"/>
          <w:color w:val="000000"/>
          <w:sz w:val="24"/>
          <w:szCs w:val="21"/>
        </w:rPr>
      </w:pPr>
      <w:r>
        <w:rPr>
          <w:rFonts w:hint="eastAsia" w:ascii="宋体" w:hAnsi="宋体"/>
          <w:b/>
          <w:bCs/>
          <w:color w:val="000000"/>
          <w:sz w:val="24"/>
          <w:lang w:val="zh-CN"/>
        </w:rPr>
        <w:t xml:space="preserve">2</w:t>
      </w:r>
      <w:r>
        <w:rPr>
          <w:rFonts w:hint="eastAsia" w:ascii="宋体" w:hAnsi="宋体"/>
          <w:b/>
          <w:bCs/>
          <w:color w:val="000000"/>
          <w:sz w:val="24"/>
        </w:rPr>
        <w:t xml:space="preserve">2</w:t>
      </w:r>
      <w:r>
        <w:rPr>
          <w:rFonts w:hint="eastAsia" w:ascii="宋体" w:hAnsi="宋体"/>
          <w:b/>
          <w:bCs/>
          <w:color w:val="000000"/>
          <w:sz w:val="24"/>
          <w:lang w:val="zh-CN"/>
        </w:rPr>
        <w:t xml:space="preserve">.1</w:t>
      </w:r>
      <w:r>
        <w:rPr>
          <w:rFonts w:hint="eastAsia" w:ascii="宋体" w:hAnsi="宋体"/>
          <w:b/>
          <w:bCs/>
          <w:color w:val="000000"/>
          <w:sz w:val="24"/>
        </w:rPr>
        <w:t xml:space="preserve"> </w:t>
      </w:r>
      <w:r>
        <w:rPr>
          <w:rFonts w:hint="eastAsia" w:ascii="宋体" w:hAnsi="宋体"/>
          <w:b/>
          <w:bCs/>
          <w:color w:val="000000"/>
          <w:sz w:val="24"/>
          <w:lang w:val="zh-CN"/>
        </w:rPr>
        <w:t xml:space="preserve">无效</w:t>
      </w:r>
      <w:r>
        <w:rPr>
          <w:rFonts w:hint="eastAsia" w:ascii="宋体" w:hAnsi="宋体"/>
          <w:b/>
          <w:bCs/>
          <w:color w:val="000000"/>
          <w:sz w:val="24"/>
        </w:rPr>
        <w:t xml:space="preserve">响应</w:t>
      </w:r>
      <w:r>
        <w:rPr>
          <w:rFonts w:hint="eastAsia" w:ascii="宋体" w:hAnsi="宋体"/>
          <w:b/>
          <w:bCs/>
          <w:color w:val="000000"/>
          <w:sz w:val="24"/>
          <w:lang w:val="zh-CN"/>
        </w:rPr>
        <w:t xml:space="preserve">情形</w:t>
      </w:r>
      <w:r/>
    </w:p>
    <w:p>
      <w:pPr>
        <w:ind w:firstLine="420"/>
        <w:rPr>
          <w:rFonts w:hint="eastAsia" w:ascii="宋体" w:hAnsi="宋体"/>
          <w:sz w:val="24"/>
          <w:lang w:val="zh-CN"/>
        </w:rPr>
      </w:pPr>
      <w:r>
        <w:rPr>
          <w:rFonts w:hint="eastAsia" w:ascii="宋体" w:hAnsi="宋体"/>
          <w:color w:val="000000"/>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p>
    <w:p>
      <w:pPr>
        <w:ind w:firstLine="420"/>
        <w:rPr>
          <w:rFonts w:hint="eastAsia" w:ascii="宋体" w:hAnsi="宋体"/>
          <w:color w:val="000000"/>
          <w:sz w:val="24"/>
          <w:szCs w:val="21"/>
        </w:rPr>
      </w:pPr>
      <w:r>
        <w:rPr>
          <w:rFonts w:hint="eastAsia" w:ascii="宋体" w:hAnsi="宋体"/>
          <w:color w:val="000000"/>
          <w:sz w:val="24"/>
          <w:szCs w:val="21"/>
        </w:rPr>
        <w:t xml:space="preserve">22.1.2 未在苏采云系统规定的时间内成功解密电子响应文件。</w:t>
      </w:r>
      <w:r/>
    </w:p>
    <w:p>
      <w:pPr>
        <w:ind w:firstLine="420"/>
        <w:rPr>
          <w:rFonts w:hint="eastAsia" w:ascii="宋体" w:hAnsi="宋体"/>
          <w:color w:val="000000"/>
          <w:sz w:val="24"/>
          <w:szCs w:val="21"/>
        </w:rPr>
      </w:pPr>
      <w:r>
        <w:rPr>
          <w:rFonts w:hint="eastAsia" w:ascii="宋体" w:hAnsi="宋体"/>
          <w:color w:val="000000"/>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color w:val="000000"/>
          <w:sz w:val="24"/>
          <w:szCs w:val="21"/>
        </w:rPr>
        <w:t xml:space="preserve">。</w:t>
      </w:r>
      <w:r/>
    </w:p>
    <w:p>
      <w:pPr>
        <w:ind w:firstLine="420"/>
        <w:rPr>
          <w:rFonts w:hint="eastAsia" w:ascii="宋体" w:hAnsi="宋体"/>
          <w:color w:val="000000"/>
          <w:sz w:val="24"/>
          <w:szCs w:val="21"/>
        </w:rPr>
      </w:pPr>
      <w:r>
        <w:rPr>
          <w:rFonts w:hint="eastAsia" w:ascii="宋体" w:hAnsi="宋体"/>
          <w:color w:val="000000"/>
          <w:sz w:val="24"/>
          <w:szCs w:val="21"/>
        </w:rPr>
        <w:t xml:space="preserve">22.1.4 供应商不具备磋商文件中规定的资格要求。</w:t>
      </w:r>
      <w:r/>
    </w:p>
    <w:p>
      <w:pPr>
        <w:ind w:firstLine="420"/>
        <w:rPr>
          <w:rFonts w:hint="eastAsia" w:ascii="宋体" w:hAnsi="宋体"/>
          <w:color w:val="000000"/>
          <w:sz w:val="24"/>
          <w:szCs w:val="21"/>
        </w:rPr>
      </w:pPr>
      <w:r>
        <w:rPr>
          <w:rFonts w:hint="eastAsia" w:ascii="宋体" w:hAnsi="宋体"/>
          <w:color w:val="000000"/>
          <w:sz w:val="24"/>
          <w:szCs w:val="21"/>
        </w:rPr>
        <w:t xml:space="preserve">22.1.5 供应商的报价超过了采购预算或最高限价或单价上限。</w:t>
      </w:r>
      <w:r/>
    </w:p>
    <w:p>
      <w:pPr>
        <w:ind w:firstLine="420"/>
        <w:rPr>
          <w:rFonts w:hint="eastAsia" w:ascii="宋体" w:hAnsi="宋体"/>
          <w:color w:val="000000"/>
          <w:sz w:val="24"/>
          <w:szCs w:val="21"/>
        </w:rPr>
      </w:pPr>
      <w:r>
        <w:rPr>
          <w:rFonts w:hint="eastAsia" w:ascii="宋体" w:hAnsi="宋体"/>
          <w:color w:val="000000"/>
          <w:sz w:val="24"/>
          <w:szCs w:val="21"/>
        </w:rPr>
        <w:t xml:space="preserve">22.1.6 未通过符合性审查。</w:t>
      </w:r>
      <w:r/>
    </w:p>
    <w:p>
      <w:pPr>
        <w:ind w:firstLine="420"/>
        <w:rPr>
          <w:rFonts w:hint="eastAsia" w:ascii="宋体" w:hAnsi="宋体"/>
          <w:color w:val="000000"/>
          <w:sz w:val="24"/>
          <w:szCs w:val="21"/>
        </w:rPr>
      </w:pPr>
      <w:r>
        <w:rPr>
          <w:rFonts w:hint="eastAsia" w:ascii="宋体" w:hAnsi="宋体"/>
          <w:color w:val="000000"/>
          <w:sz w:val="24"/>
          <w:szCs w:val="21"/>
        </w:rPr>
        <w:t xml:space="preserve">22.1.7 响应文件含有采购人不能接受的附加条件。</w:t>
      </w:r>
      <w:r/>
    </w:p>
    <w:p>
      <w:pPr>
        <w:ind w:firstLine="420"/>
        <w:rPr>
          <w:rFonts w:hint="eastAsia" w:ascii="宋体" w:hAnsi="宋体"/>
          <w:color w:val="000000"/>
          <w:sz w:val="24"/>
          <w:szCs w:val="21"/>
        </w:rPr>
      </w:pPr>
      <w:r>
        <w:rPr>
          <w:rFonts w:hint="eastAsia" w:ascii="宋体" w:hAnsi="宋体"/>
          <w:color w:val="000000"/>
          <w:sz w:val="24"/>
          <w:szCs w:val="21"/>
        </w:rPr>
        <w:t xml:space="preserve">22.1.8 </w:t>
      </w:r>
      <w:r>
        <w:rPr>
          <w:rFonts w:hint="eastAsia" w:ascii="宋体" w:hAnsi="宋体"/>
          <w:sz w:val="24"/>
          <w:szCs w:val="21"/>
        </w:rPr>
        <w:t xml:space="preserve">磋商小组按照本磋商文件规定对供应商进行异常低价审查后，认为供应商不能证明其报价合理性的。</w:t>
      </w:r>
      <w:r/>
    </w:p>
    <w:p>
      <w:pPr>
        <w:ind w:firstLine="420"/>
        <w:rPr>
          <w:rFonts w:hint="eastAsia" w:ascii="宋体" w:hAnsi="宋体"/>
          <w:color w:val="000000"/>
          <w:sz w:val="24"/>
          <w:szCs w:val="21"/>
        </w:rPr>
      </w:pPr>
      <w:r>
        <w:rPr>
          <w:rFonts w:hint="eastAsia" w:ascii="宋体" w:hAnsi="宋体"/>
          <w:color w:val="000000"/>
          <w:sz w:val="24"/>
          <w:szCs w:val="21"/>
        </w:rPr>
        <w:t xml:space="preserve">22.1.9 响应文件未按照磋商文件要求加盖电子公章。</w:t>
      </w:r>
      <w:r/>
    </w:p>
    <w:p>
      <w:pPr>
        <w:ind w:firstLine="420"/>
        <w:rPr>
          <w:rFonts w:hint="eastAsia" w:ascii="宋体" w:hAnsi="宋体"/>
          <w:color w:val="000000"/>
          <w:sz w:val="24"/>
          <w:szCs w:val="21"/>
        </w:rPr>
      </w:pPr>
      <w:r>
        <w:rPr>
          <w:rFonts w:hint="eastAsia" w:ascii="宋体" w:hAnsi="宋体"/>
          <w:color w:val="000000"/>
          <w:sz w:val="24"/>
          <w:szCs w:val="21"/>
        </w:rPr>
        <w:t xml:space="preserve">22.1.10 供应商串通响应。</w:t>
      </w:r>
      <w:r/>
    </w:p>
    <w:p>
      <w:pPr>
        <w:ind w:firstLine="420"/>
        <w:rPr>
          <w:rFonts w:hint="eastAsia" w:ascii="宋体" w:hAnsi="宋体"/>
          <w:color w:val="000000"/>
          <w:sz w:val="24"/>
          <w:szCs w:val="21"/>
        </w:rPr>
      </w:pPr>
      <w:r>
        <w:rPr>
          <w:rFonts w:hint="eastAsia" w:ascii="宋体" w:hAnsi="宋体"/>
          <w:color w:val="000000"/>
          <w:sz w:val="24"/>
          <w:szCs w:val="21"/>
        </w:rPr>
        <w:t xml:space="preserve">22.1.11 法律法规及本磋商文件规定的其他无效响应的情形。</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color w:val="000000"/>
          <w:sz w:val="24"/>
          <w:szCs w:val="21"/>
        </w:rPr>
        <w:t xml:space="preserve">响应</w:t>
      </w:r>
      <w:r>
        <w:rPr>
          <w:rFonts w:hint="eastAsia" w:ascii="宋体" w:hAnsi="宋体"/>
          <w:sz w:val="24"/>
          <w:lang w:val="zh-CN"/>
        </w:rPr>
        <w:t xml:space="preserve">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color w:val="000000"/>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ind w:firstLine="420"/>
        <w:rPr>
          <w:rFonts w:hint="eastAsia" w:ascii="宋体" w:hAnsi="宋体"/>
          <w:color w:val="000000"/>
          <w:sz w:val="24"/>
          <w:szCs w:val="21"/>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.5</w:t>
      </w:r>
      <w:r>
        <w:rPr>
          <w:rFonts w:hint="eastAsia" w:ascii="宋体" w:hAnsi="宋体"/>
          <w:color w:val="000000"/>
          <w:sz w:val="24"/>
          <w:szCs w:val="21"/>
          <w:lang w:val="zh-CN"/>
        </w:rPr>
        <w:t xml:space="preserve"> 不同</w:t>
      </w:r>
      <w:r>
        <w:rPr>
          <w:rFonts w:hint="eastAsia" w:ascii="宋体" w:hAnsi="宋体"/>
          <w:sz w:val="24"/>
        </w:rPr>
        <w:t xml:space="preserve">供应商</w:t>
      </w:r>
      <w:r>
        <w:rPr>
          <w:rFonts w:hint="eastAsia" w:ascii="宋体" w:hAnsi="宋体"/>
          <w:color w:val="000000"/>
          <w:sz w:val="24"/>
          <w:szCs w:val="21"/>
          <w:lang w:val="zh-CN"/>
        </w:rPr>
        <w:t xml:space="preserve">的</w:t>
      </w:r>
      <w:r>
        <w:rPr>
          <w:rFonts w:hint="eastAsia" w:ascii="宋体" w:hAnsi="宋体"/>
          <w:color w:val="000000"/>
          <w:sz w:val="24"/>
          <w:szCs w:val="21"/>
        </w:rPr>
        <w:t xml:space="preserve">响应</w:t>
      </w:r>
      <w:r>
        <w:rPr>
          <w:rFonts w:hint="eastAsia" w:ascii="宋体" w:hAnsi="宋体"/>
          <w:color w:val="000000"/>
          <w:sz w:val="24"/>
          <w:szCs w:val="21"/>
          <w:lang w:val="zh-CN"/>
        </w:rPr>
        <w:t xml:space="preserve">文件相互混装。</w:t>
      </w:r>
      <w:r/>
    </w:p>
    <w:p>
      <w:pPr>
        <w:ind w:firstLine="420"/>
        <w:widowControl/>
        <w:rPr>
          <w:rFonts w:hint="eastAsia" w:ascii="宋体" w:hAnsi="宋体"/>
          <w:color w:val="000000"/>
          <w:sz w:val="24"/>
          <w:szCs w:val="21"/>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.6 不同</w:t>
      </w:r>
      <w:r>
        <w:rPr>
          <w:rFonts w:hint="eastAsia" w:ascii="宋体" w:hAnsi="宋体"/>
          <w:sz w:val="24"/>
        </w:rPr>
        <w:t xml:space="preserve">供应商</w:t>
      </w:r>
      <w:r>
        <w:rPr>
          <w:rFonts w:hint="eastAsia" w:ascii="宋体" w:hAnsi="宋体"/>
          <w:color w:val="000000"/>
          <w:sz w:val="24"/>
          <w:lang w:val="zh-CN"/>
        </w:rPr>
        <w:t xml:space="preserve">的MAC地址</w:t>
      </w:r>
      <w:r>
        <w:rPr>
          <w:rFonts w:hint="eastAsia" w:ascii="宋体" w:hAnsi="宋体"/>
          <w:color w:val="000000"/>
          <w:sz w:val="24"/>
        </w:rPr>
        <w:t xml:space="preserve">或</w:t>
      </w:r>
      <w:r>
        <w:rPr>
          <w:rFonts w:hint="eastAsia" w:ascii="宋体" w:hAnsi="宋体"/>
          <w:color w:val="000000"/>
          <w:sz w:val="24"/>
          <w:lang w:val="zh-CN"/>
        </w:rPr>
        <w:t xml:space="preserve">标书制作工具客户端标识码一致。</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p>
    <w:p>
      <w:pPr>
        <w:ind w:firstLine="420"/>
        <w:rPr>
          <w:rFonts w:hint="eastAsia" w:ascii="宋体" w:hAnsi="宋体"/>
          <w:color w:val="000000"/>
          <w:sz w:val="24"/>
          <w:szCs w:val="21"/>
        </w:rPr>
      </w:pPr>
      <w:r/>
      <w:bookmarkStart w:id="70" w:name="_Toc20823307"/>
      <w:r/>
      <w:bookmarkStart w:id="71" w:name="_Toc120614219"/>
      <w:r/>
      <w:bookmarkStart w:id="72" w:name="_Toc16938551"/>
      <w:r/>
      <w:bookmarkStart w:id="73" w:name="_Toc513029235"/>
      <w:r>
        <w:rPr>
          <w:rFonts w:hint="eastAsia" w:ascii="宋体" w:hAnsi="宋体"/>
          <w:color w:val="000000"/>
          <w:sz w:val="24"/>
          <w:szCs w:val="21"/>
        </w:rPr>
        <w:t xml:space="preserve">23.1 磋商程序</w:t>
      </w:r>
      <w:r/>
    </w:p>
    <w:p>
      <w:pPr>
        <w:ind w:firstLine="420"/>
        <w:rPr>
          <w:rFonts w:hint="eastAsia" w:ascii="宋体" w:hAnsi="宋体"/>
          <w:color w:val="000000"/>
          <w:sz w:val="24"/>
          <w:szCs w:val="21"/>
        </w:rPr>
      </w:pPr>
      <w:r>
        <w:rPr>
          <w:rFonts w:hint="eastAsia" w:ascii="宋体" w:hAnsi="宋体"/>
          <w:color w:val="000000"/>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hint="eastAsia" w:ascii="宋体" w:hAnsi="宋体"/>
          <w:color w:val="000000"/>
          <w:sz w:val="24"/>
          <w:szCs w:val="21"/>
        </w:rPr>
      </w:pPr>
      <w:r>
        <w:rPr>
          <w:rFonts w:hint="eastAsia" w:ascii="宋体" w:hAnsi="宋体"/>
          <w:color w:val="000000"/>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rPr>
          <w:rFonts w:hint="eastAsia" w:ascii="宋体" w:hAnsi="宋体"/>
          <w:color w:val="000000"/>
          <w:sz w:val="24"/>
          <w:szCs w:val="21"/>
        </w:rPr>
      </w:pPr>
      <w:r>
        <w:rPr>
          <w:rFonts w:hint="eastAsia" w:ascii="宋体" w:hAnsi="宋体"/>
          <w:color w:val="000000"/>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rPr>
          <w:rFonts w:hint="eastAsia" w:ascii="宋体" w:hAnsi="宋体"/>
          <w:color w:val="000000"/>
          <w:sz w:val="24"/>
          <w:szCs w:val="21"/>
        </w:rPr>
      </w:pPr>
      <w:r>
        <w:rPr>
          <w:rFonts w:hint="eastAsia" w:ascii="宋体" w:hAnsi="宋体"/>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rPr>
          <w:rFonts w:hint="eastAsia" w:ascii="宋体" w:hAnsi="宋体"/>
          <w:color w:val="000000"/>
          <w:sz w:val="24"/>
          <w:szCs w:val="21"/>
        </w:rPr>
      </w:pPr>
      <w:r>
        <w:rPr>
          <w:rFonts w:hint="eastAsia" w:ascii="宋体" w:hAnsi="宋体"/>
          <w:color w:val="000000"/>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rPr>
          <w:rFonts w:hint="eastAsia" w:ascii="宋体" w:hAnsi="宋体"/>
          <w:color w:val="000000"/>
          <w:sz w:val="24"/>
          <w:szCs w:val="21"/>
        </w:rPr>
      </w:pPr>
      <w:r>
        <w:rPr>
          <w:rFonts w:hint="eastAsia" w:ascii="宋体" w:hAnsi="宋体"/>
          <w:color w:val="000000"/>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rPr>
          <w:rFonts w:hint="eastAsia" w:ascii="宋体" w:hAnsi="宋体"/>
          <w:b/>
          <w:bCs/>
          <w:color w:val="000000"/>
          <w:sz w:val="24"/>
          <w:szCs w:val="21"/>
        </w:rPr>
      </w:pPr>
      <w:r>
        <w:rPr>
          <w:rFonts w:hint="eastAsia" w:ascii="宋体" w:hAnsi="宋体"/>
          <w:b/>
          <w:bCs/>
          <w:color w:val="000000"/>
          <w:sz w:val="24"/>
          <w:szCs w:val="21"/>
        </w:rPr>
        <w:t xml:space="preserve">23.2 采购活动终止情形</w:t>
      </w:r>
      <w:r/>
    </w:p>
    <w:p>
      <w:pPr>
        <w:ind w:firstLine="420"/>
        <w:rPr>
          <w:rFonts w:hint="eastAsia" w:ascii="宋体" w:hAnsi="宋体"/>
          <w:color w:val="000000"/>
          <w:sz w:val="24"/>
          <w:szCs w:val="21"/>
        </w:rPr>
      </w:pPr>
      <w:r>
        <w:rPr>
          <w:rFonts w:hint="eastAsia" w:ascii="宋体" w:hAnsi="宋体"/>
          <w:color w:val="000000"/>
          <w:sz w:val="24"/>
          <w:szCs w:val="21"/>
        </w:rPr>
        <w:t xml:space="preserve">23.2.1 因情况变化，不再符合竞争性磋商采购方式适用情形。</w:t>
      </w:r>
      <w:r/>
    </w:p>
    <w:p>
      <w:pPr>
        <w:ind w:firstLine="420"/>
        <w:rPr>
          <w:rFonts w:hint="eastAsia" w:ascii="宋体" w:hAnsi="宋体"/>
          <w:color w:val="000000"/>
          <w:sz w:val="24"/>
          <w:szCs w:val="21"/>
        </w:rPr>
      </w:pPr>
      <w:r>
        <w:rPr>
          <w:rFonts w:hint="eastAsia" w:ascii="宋体" w:hAnsi="宋体"/>
          <w:color w:val="000000"/>
          <w:sz w:val="24"/>
          <w:szCs w:val="21"/>
        </w:rPr>
        <w:t xml:space="preserve">23.2.2 出现影响采购公正的违法、违规行为。</w:t>
      </w:r>
      <w:r/>
    </w:p>
    <w:p>
      <w:pPr>
        <w:ind w:firstLine="420"/>
        <w:rPr>
          <w:rFonts w:hint="eastAsia" w:ascii="宋体" w:hAnsi="宋体"/>
          <w:color w:val="000000"/>
          <w:sz w:val="24"/>
          <w:szCs w:val="21"/>
        </w:rPr>
      </w:pPr>
      <w:r>
        <w:rPr>
          <w:rFonts w:hint="eastAsia" w:ascii="宋体" w:hAnsi="宋体"/>
          <w:color w:val="000000"/>
          <w:sz w:val="24"/>
          <w:szCs w:val="21"/>
        </w:rPr>
        <w:t xml:space="preserve">23.2.3 在苏采云系统规定时间内成功解密电子响应文件的供应商不足三家。</w:t>
      </w:r>
      <w:r/>
    </w:p>
    <w:p>
      <w:pPr>
        <w:ind w:firstLine="420"/>
        <w:rPr>
          <w:rFonts w:hint="eastAsia" w:ascii="宋体" w:hAnsi="宋体"/>
          <w:color w:val="000000"/>
          <w:sz w:val="24"/>
          <w:szCs w:val="21"/>
        </w:rPr>
      </w:pPr>
      <w:r>
        <w:rPr>
          <w:rFonts w:hint="eastAsia" w:ascii="宋体" w:hAnsi="宋体"/>
          <w:color w:val="000000"/>
          <w:sz w:val="24"/>
          <w:szCs w:val="21"/>
        </w:rPr>
        <w:t xml:space="preserve">23.2.4 除本磋商文件第二章第23.1.2条第三款规定的情形外，磋商过程中符合要求的供应商或者提交最后报价且未超过采购预算或最高限价的供应商不足三家。</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2</w:t>
      </w:r>
      <w:r>
        <w:rPr>
          <w:rFonts w:hint="eastAsia" w:ascii="宋体" w:hAnsi="宋体"/>
          <w:color w:val="000000"/>
          <w:sz w:val="24"/>
          <w:szCs w:val="21"/>
        </w:rPr>
        <w:t xml:space="preserve">3</w:t>
      </w:r>
      <w:r>
        <w:rPr>
          <w:rFonts w:hint="eastAsia" w:ascii="宋体" w:hAnsi="宋体"/>
          <w:color w:val="000000"/>
          <w:sz w:val="24"/>
          <w:szCs w:val="21"/>
          <w:lang w:val="zh-CN"/>
        </w:rPr>
        <w:t xml:space="preserve">.</w:t>
      </w:r>
      <w:r>
        <w:rPr>
          <w:rFonts w:hint="eastAsia" w:ascii="宋体" w:hAnsi="宋体"/>
          <w:color w:val="000000"/>
          <w:sz w:val="24"/>
          <w:szCs w:val="21"/>
        </w:rPr>
        <w:t xml:space="preserve">2</w:t>
      </w:r>
      <w:r>
        <w:rPr>
          <w:rFonts w:hint="eastAsia" w:ascii="宋体" w:hAnsi="宋体"/>
          <w:color w:val="000000"/>
          <w:sz w:val="24"/>
          <w:szCs w:val="21"/>
          <w:lang w:val="zh-CN"/>
        </w:rPr>
        <w:t xml:space="preserve">.5</w:t>
      </w:r>
      <w:r>
        <w:rPr>
          <w:rFonts w:hint="eastAsia" w:ascii="宋体" w:hAnsi="宋体"/>
          <w:color w:val="000000"/>
          <w:sz w:val="24"/>
          <w:szCs w:val="21"/>
        </w:rPr>
        <w:t xml:space="preserve"> </w:t>
      </w:r>
      <w:r>
        <w:rPr>
          <w:rFonts w:hint="eastAsia" w:ascii="宋体" w:hAnsi="宋体"/>
          <w:color w:val="000000"/>
          <w:sz w:val="24"/>
          <w:szCs w:val="21"/>
          <w:lang w:val="zh-CN"/>
        </w:rPr>
        <w:t xml:space="preserve">法律法规规定的其他应当终止情形。</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70"/>
      <w:r/>
      <w:bookmarkEnd w:id="71"/>
      <w:r/>
      <w:bookmarkEnd w:id="72"/>
      <w:r/>
      <w:bookmarkEnd w:id="73"/>
      <w:r>
        <w:rPr>
          <w:rFonts w:hint="eastAsia" w:ascii="方正黑体_GBK" w:hAnsi="方正黑体_GBK" w:eastAsia="方正黑体_GBK" w:cs="方正黑体_GBK"/>
          <w:b w:val="0"/>
          <w:bCs w:val="0"/>
          <w:color w:val="000000"/>
          <w:sz w:val="30"/>
          <w:szCs w:val="30"/>
        </w:rPr>
        <w:t xml:space="preserve">成交</w:t>
      </w:r>
      <w:r/>
    </w:p>
    <w:p>
      <w:pPr>
        <w:pStyle w:val="921"/>
        <w:ind w:firstLine="422"/>
        <w:spacing w:before="0" w:after="0" w:line="240" w:lineRule="auto"/>
        <w:rPr>
          <w:rFonts w:hint="eastAsia" w:ascii="方正楷体_GBK" w:hAnsi="方正楷体_GBK" w:eastAsia="方正楷体_GBK" w:cs="方正楷体_GBK"/>
        </w:rPr>
      </w:pPr>
      <w:r/>
      <w:bookmarkStart w:id="74" w:name="_Toc513029238"/>
      <w:r/>
      <w:bookmarkStart w:id="75" w:name="_Toc16938554"/>
      <w:r/>
      <w:bookmarkStart w:id="76" w:name="_Toc20823310"/>
      <w:r>
        <w:rPr>
          <w:rFonts w:hint="eastAsia" w:ascii="方正楷体_GBK" w:hAnsi="方正楷体_GBK" w:eastAsia="方正楷体_GBK" w:cs="方正楷体_GBK"/>
        </w:rPr>
        <w:t xml:space="preserve">2</w:t>
      </w:r>
      <w:bookmarkEnd w:id="74"/>
      <w:r>
        <w:rPr>
          <w:rFonts w:hint="eastAsia" w:ascii="方正楷体_GBK" w:hAnsi="方正楷体_GBK" w:eastAsia="方正楷体_GBK" w:cs="方正楷体_GBK"/>
        </w:rPr>
        <w:t xml:space="preserve">4.确定</w:t>
      </w:r>
      <w:bookmarkEnd w:id="75"/>
      <w:r/>
      <w:bookmarkEnd w:id="76"/>
      <w:r>
        <w:rPr>
          <w:rFonts w:hint="eastAsia" w:ascii="方正楷体_GBK" w:hAnsi="方正楷体_GBK" w:eastAsia="方正楷体_GBK" w:cs="方正楷体_GBK"/>
        </w:rPr>
        <w:t xml:space="preserve">成交单位</w:t>
      </w:r>
      <w:r/>
    </w:p>
    <w:p>
      <w:pPr>
        <w:ind w:firstLine="420"/>
        <w:rPr>
          <w:rFonts w:hint="eastAsia" w:ascii="宋体" w:hAnsi="宋体"/>
          <w:color w:val="000000"/>
          <w:sz w:val="24"/>
          <w:szCs w:val="21"/>
        </w:rPr>
      </w:pPr>
      <w:r>
        <w:rPr>
          <w:rFonts w:hint="eastAsia" w:ascii="宋体" w:hAnsi="宋体"/>
          <w:color w:val="000000"/>
          <w:sz w:val="24"/>
          <w:szCs w:val="21"/>
        </w:rPr>
        <w:t xml:space="preserve">24.1 成交候选供应商的确定原则和数量见磋商文件第五章。</w:t>
      </w:r>
      <w:r/>
    </w:p>
    <w:p>
      <w:pPr>
        <w:ind w:firstLine="420"/>
        <w:rPr>
          <w:rFonts w:hint="eastAsia" w:ascii="宋体" w:hAnsi="宋体"/>
          <w:color w:val="000000"/>
          <w:sz w:val="24"/>
          <w:szCs w:val="24"/>
        </w:rPr>
      </w:pPr>
      <w:r>
        <w:rPr>
          <w:rFonts w:hint="eastAsia" w:ascii="宋体" w:hAnsi="宋体"/>
          <w:color w:val="000000"/>
          <w:sz w:val="24"/>
          <w:szCs w:val="21"/>
        </w:rPr>
        <w:t xml:space="preserve">24.2 </w:t>
      </w:r>
      <w:r>
        <w:rPr>
          <w:rFonts w:hint="eastAsia" w:ascii="宋体" w:hAnsi="宋体"/>
          <w:color w:val="000000"/>
          <w:sz w:val="24"/>
          <w:szCs w:val="21"/>
          <w:lang w:val="zh-CN"/>
        </w:rPr>
        <w:t xml:space="preserve">按以下第（</w:t>
      </w:r>
      <w:r>
        <w:rPr>
          <w:rFonts w:hint="eastAsia" w:ascii="宋体" w:hAnsi="宋体"/>
          <w:color w:val="000000"/>
          <w:sz w:val="24"/>
          <w:szCs w:val="21"/>
        </w:rPr>
        <w:t xml:space="preserve">2</w:t>
      </w:r>
      <w:r>
        <w:rPr>
          <w:rFonts w:hint="eastAsia" w:ascii="宋体" w:hAnsi="宋体"/>
          <w:color w:val="000000"/>
          <w:sz w:val="24"/>
          <w:szCs w:val="21"/>
          <w:lang w:val="zh-CN"/>
        </w:rPr>
        <w:t xml:space="preserve">）种方式确定</w:t>
      </w:r>
      <w:r>
        <w:rPr>
          <w:rFonts w:hint="eastAsia" w:ascii="宋体" w:hAnsi="宋体"/>
          <w:color w:val="000000"/>
          <w:sz w:val="24"/>
          <w:szCs w:val="21"/>
        </w:rPr>
        <w:t xml:space="preserve">成交供应商</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（1）</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直接确定排名第一的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为</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（2）采购人在</w:t>
      </w:r>
      <w:r>
        <w:rPr>
          <w:rFonts w:hint="eastAsia" w:ascii="宋体" w:hAnsi="宋体"/>
          <w:color w:val="000000"/>
          <w:sz w:val="24"/>
          <w:szCs w:val="21"/>
        </w:rPr>
        <w:t xml:space="preserve">磋商小组</w:t>
      </w:r>
      <w:r>
        <w:rPr>
          <w:rFonts w:hint="eastAsia" w:ascii="宋体" w:hAnsi="宋体"/>
          <w:color w:val="000000"/>
          <w:sz w:val="24"/>
          <w:szCs w:val="21"/>
          <w:lang w:val="zh-CN"/>
        </w:rPr>
        <w:t xml:space="preserve">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rPr>
          <w:rFonts w:hint="eastAsia" w:ascii="宋体" w:hAnsi="宋体"/>
          <w:color w:val="000000"/>
          <w:sz w:val="24"/>
          <w:szCs w:val="21"/>
          <w:lang w:val="zh-CN"/>
        </w:rPr>
      </w:pPr>
      <w:r>
        <w:rPr>
          <w:rFonts w:hint="eastAsia" w:ascii="宋体" w:hAnsi="宋体"/>
          <w:color w:val="000000"/>
          <w:sz w:val="24"/>
          <w:szCs w:val="21"/>
          <w:lang w:val="zh-CN"/>
        </w:rPr>
        <w:t xml:space="preserve">按第二种方式确定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color w:val="000000"/>
          <w:sz w:val="24"/>
          <w:szCs w:val="21"/>
        </w:rPr>
        <w:t xml:space="preserve">成交候选供应商</w:t>
      </w:r>
      <w:r>
        <w:rPr>
          <w:rFonts w:hint="eastAsia" w:ascii="宋体" w:hAnsi="宋体"/>
          <w:color w:val="000000"/>
          <w:sz w:val="24"/>
          <w:szCs w:val="21"/>
          <w:lang w:val="zh-CN"/>
        </w:rPr>
        <w:t xml:space="preserve">中按顺序确定</w:t>
      </w:r>
      <w:r>
        <w:rPr>
          <w:rFonts w:hint="eastAsia" w:ascii="宋体" w:hAnsi="宋体"/>
          <w:color w:val="000000"/>
          <w:sz w:val="24"/>
          <w:szCs w:val="21"/>
        </w:rPr>
        <w:t xml:space="preserve">成交供应商</w:t>
      </w:r>
      <w:r>
        <w:rPr>
          <w:rFonts w:hint="eastAsia" w:ascii="宋体" w:hAnsi="宋体"/>
          <w:color w:val="000000"/>
          <w:sz w:val="24"/>
          <w:szCs w:val="21"/>
          <w:lang w:val="zh-CN"/>
        </w:rPr>
        <w:t xml:space="preserve">。</w:t>
      </w:r>
      <w:r/>
    </w:p>
    <w:p>
      <w:pPr>
        <w:ind w:firstLine="420"/>
        <w:rPr>
          <w:rFonts w:hint="eastAsia" w:ascii="宋体" w:hAnsi="宋体"/>
          <w:color w:val="000000"/>
          <w:sz w:val="24"/>
          <w:szCs w:val="21"/>
        </w:rPr>
      </w:pPr>
      <w:r>
        <w:rPr>
          <w:rFonts w:hint="eastAsia" w:ascii="宋体" w:hAnsi="宋体"/>
          <w:color w:val="000000"/>
          <w:sz w:val="24"/>
          <w:szCs w:val="21"/>
        </w:rPr>
        <w:t xml:space="preserve">24.3 交易中心将在“江苏政府采购网”发布成交结果公告，公告期限为1个工作日。</w:t>
      </w:r>
      <w:r/>
    </w:p>
    <w:p>
      <w:pPr>
        <w:ind w:firstLine="420"/>
        <w:rPr>
          <w:rFonts w:hint="eastAsia" w:ascii="宋体" w:hAnsi="宋体"/>
          <w:color w:val="000000"/>
          <w:sz w:val="24"/>
          <w:szCs w:val="21"/>
        </w:rPr>
      </w:pPr>
      <w:r>
        <w:rPr>
          <w:rFonts w:hint="eastAsia" w:ascii="宋体" w:hAnsi="宋体"/>
          <w:color w:val="000000"/>
          <w:sz w:val="24"/>
          <w:szCs w:val="21"/>
        </w:rPr>
        <w:t xml:space="preserve">24.4 </w:t>
      </w:r>
      <w:r>
        <w:rPr>
          <w:rFonts w:hint="eastAsia" w:ascii="宋体" w:hAnsi="宋体"/>
          <w:b/>
          <w:bCs/>
          <w:color w:val="000000"/>
          <w:sz w:val="24"/>
          <w:szCs w:val="21"/>
        </w:rPr>
        <w:t xml:space="preserve">若有充分证据证明成交供应商有下列情况之一的，一经查实将被取消成交资格：</w:t>
      </w:r>
      <w:r/>
    </w:p>
    <w:p>
      <w:pPr>
        <w:ind w:firstLine="420"/>
        <w:rPr>
          <w:rFonts w:hint="eastAsia" w:ascii="宋体" w:hAnsi="宋体"/>
          <w:color w:val="000000"/>
          <w:sz w:val="24"/>
          <w:szCs w:val="21"/>
        </w:rPr>
      </w:pPr>
      <w:r>
        <w:rPr>
          <w:rFonts w:hint="eastAsia" w:ascii="宋体" w:hAnsi="宋体"/>
          <w:color w:val="000000"/>
          <w:sz w:val="24"/>
          <w:szCs w:val="21"/>
        </w:rPr>
        <w:t xml:space="preserve">24.4.1 提供虚假材料谋取成交。</w:t>
      </w:r>
      <w:r/>
    </w:p>
    <w:p>
      <w:pPr>
        <w:ind w:firstLine="420"/>
        <w:rPr>
          <w:rFonts w:hint="eastAsia" w:ascii="宋体" w:hAnsi="宋体"/>
          <w:color w:val="000000"/>
          <w:sz w:val="24"/>
          <w:szCs w:val="21"/>
        </w:rPr>
      </w:pPr>
      <w:r>
        <w:rPr>
          <w:rFonts w:hint="eastAsia" w:ascii="宋体" w:hAnsi="宋体"/>
          <w:color w:val="000000"/>
          <w:sz w:val="24"/>
          <w:szCs w:val="21"/>
        </w:rPr>
        <w:t xml:space="preserve">24.4.2 向评审专家、采购人或交易中心工作人员行贿或者提供其他不正当利益。</w:t>
      </w:r>
      <w:r/>
    </w:p>
    <w:p>
      <w:pPr>
        <w:ind w:firstLine="420"/>
        <w:rPr>
          <w:rFonts w:hint="eastAsia" w:ascii="宋体" w:hAnsi="宋体"/>
          <w:color w:val="000000"/>
          <w:sz w:val="24"/>
          <w:szCs w:val="21"/>
        </w:rPr>
      </w:pPr>
      <w:r>
        <w:rPr>
          <w:rFonts w:hint="eastAsia" w:ascii="宋体" w:hAnsi="宋体"/>
          <w:color w:val="000000"/>
          <w:sz w:val="24"/>
          <w:szCs w:val="21"/>
        </w:rPr>
        <w:t xml:space="preserve">24.4.3 与其他供应商、评审专家、采购人或交易中心工作人员恶意串通。</w:t>
      </w:r>
      <w:r/>
    </w:p>
    <w:p>
      <w:pPr>
        <w:ind w:firstLine="420"/>
        <w:rPr>
          <w:rFonts w:hint="eastAsia" w:ascii="宋体" w:hAnsi="宋体"/>
          <w:color w:val="000000"/>
          <w:sz w:val="24"/>
          <w:szCs w:val="21"/>
        </w:rPr>
      </w:pPr>
      <w:r>
        <w:rPr>
          <w:rFonts w:hint="eastAsia" w:ascii="宋体" w:hAnsi="宋体"/>
          <w:color w:val="000000"/>
          <w:sz w:val="24"/>
          <w:szCs w:val="21"/>
        </w:rPr>
        <w:t xml:space="preserve">24.4.4 不满足本磋商文件规定的实质性要求，但在评审过程中未被磋商小组发现。</w:t>
      </w:r>
      <w:r/>
    </w:p>
    <w:p>
      <w:pPr>
        <w:ind w:firstLine="420"/>
        <w:rPr>
          <w:rFonts w:hint="eastAsia" w:ascii="宋体" w:hAnsi="宋体"/>
          <w:color w:val="000000"/>
          <w:sz w:val="24"/>
          <w:szCs w:val="21"/>
        </w:rPr>
      </w:pPr>
      <w:r>
        <w:rPr>
          <w:rFonts w:hint="eastAsia" w:ascii="宋体" w:hAnsi="宋体"/>
          <w:color w:val="000000"/>
          <w:sz w:val="24"/>
          <w:szCs w:val="21"/>
        </w:rPr>
        <w:t xml:space="preserve">24.4.5 采取不正当手段诋毁、排挤其他供应商。</w:t>
      </w:r>
      <w:r/>
    </w:p>
    <w:p>
      <w:pPr>
        <w:pStyle w:val="921"/>
        <w:ind w:firstLine="422"/>
        <w:spacing w:before="0" w:after="0" w:line="240" w:lineRule="auto"/>
        <w:rPr>
          <w:rFonts w:hint="eastAsia" w:ascii="方正楷体_GBK" w:hAnsi="方正楷体_GBK" w:eastAsia="方正楷体_GBK" w:cs="方正楷体_GBK"/>
        </w:rPr>
      </w:pPr>
      <w:r/>
      <w:bookmarkStart w:id="77" w:name="_Toc200451960"/>
      <w:r>
        <w:rPr>
          <w:rFonts w:hint="eastAsia" w:ascii="方正楷体_GBK" w:hAnsi="方正楷体_GBK" w:eastAsia="方正楷体_GBK" w:cs="方正楷体_GBK"/>
        </w:rPr>
        <w:t xml:space="preserve">25.成交通知书</w:t>
      </w:r>
      <w:r/>
    </w:p>
    <w:p>
      <w:pPr>
        <w:ind w:firstLine="420"/>
        <w:rPr>
          <w:rFonts w:hint="eastAsia" w:ascii="宋体" w:hAnsi="宋体"/>
          <w:color w:val="000000"/>
          <w:sz w:val="24"/>
          <w:szCs w:val="21"/>
        </w:rPr>
      </w:pPr>
      <w:r>
        <w:rPr>
          <w:rFonts w:hint="eastAsia" w:ascii="宋体" w:hAnsi="宋体"/>
          <w:color w:val="000000"/>
          <w:sz w:val="24"/>
          <w:szCs w:val="21"/>
        </w:rPr>
        <w:t xml:space="preserve">25.1 成交结果确定后，交易中心将向成交供应商发出《成交通知书》。成交供应商可在成交结果公告届满之日起三十日内，登录苏采云系统下载。    </w:t>
      </w:r>
      <w:r/>
    </w:p>
    <w:p>
      <w:pPr>
        <w:ind w:firstLine="420"/>
        <w:rPr>
          <w:rFonts w:hint="eastAsia" w:ascii="宋体" w:hAnsi="宋体"/>
          <w:color w:val="000000"/>
          <w:sz w:val="24"/>
          <w:szCs w:val="21"/>
        </w:rPr>
      </w:pPr>
      <w:r>
        <w:rPr>
          <w:rFonts w:hint="eastAsia" w:ascii="宋体" w:hAnsi="宋体"/>
          <w:color w:val="000000"/>
          <w:sz w:val="24"/>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rPr>
          <w:rFonts w:hint="eastAsia" w:ascii="宋体" w:hAnsi="宋体"/>
          <w:color w:val="000000"/>
          <w:sz w:val="24"/>
          <w:szCs w:val="21"/>
        </w:rPr>
      </w:pPr>
      <w:r>
        <w:rPr>
          <w:rFonts w:hint="eastAsia" w:ascii="宋体" w:hAnsi="宋体"/>
          <w:color w:val="000000"/>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ind w:firstLine="420"/>
        <w:rPr>
          <w:rFonts w:hint="eastAsia" w:ascii="宋体" w:hAnsi="宋体"/>
          <w:color w:val="000000"/>
          <w:sz w:val="24"/>
        </w:rPr>
      </w:pPr>
      <w:r>
        <w:rPr>
          <w:rFonts w:hint="eastAsia" w:ascii="宋体" w:hAnsi="宋体"/>
          <w:color w:val="000000"/>
          <w:sz w:val="24"/>
          <w:szCs w:val="21"/>
        </w:rPr>
        <w:t xml:space="preserve">26.1 成交供应商应当在《成交通知书》发出之日起三十日内，按照磋商文件确定的事项与采购人签订政府采购合同。</w:t>
      </w:r>
      <w:r>
        <w:rPr>
          <w:rFonts w:hint="eastAsia" w:ascii="宋体" w:hAnsi="宋体"/>
          <w:color w:val="000000"/>
          <w:sz w:val="24"/>
        </w:rPr>
        <w:t xml:space="preserve">采购人于合同签订后2个工作日内通过苏采云系统进行公示。</w:t>
      </w:r>
      <w:r/>
    </w:p>
    <w:p>
      <w:pPr>
        <w:ind w:firstLine="420"/>
        <w:rPr>
          <w:rFonts w:hint="eastAsia" w:ascii="宋体" w:hAnsi="宋体"/>
          <w:color w:val="000000"/>
          <w:sz w:val="24"/>
          <w:szCs w:val="21"/>
        </w:rPr>
      </w:pPr>
      <w:r>
        <w:rPr>
          <w:rFonts w:hint="eastAsia" w:ascii="宋体" w:hAnsi="宋体"/>
          <w:color w:val="000000"/>
          <w:sz w:val="24"/>
          <w:szCs w:val="21"/>
        </w:rPr>
        <w:t xml:space="preserve">26.2 磋商文件、成交供应商的响应文件及磋商过程中有关澄清、承诺文件均作为合同附件。</w:t>
      </w:r>
      <w:r/>
    </w:p>
    <w:p>
      <w:pPr>
        <w:ind w:firstLine="420"/>
        <w:rPr>
          <w:rFonts w:hint="eastAsia" w:ascii="宋体" w:hAnsi="宋体"/>
          <w:color w:val="000000"/>
          <w:sz w:val="24"/>
          <w:szCs w:val="21"/>
        </w:rPr>
      </w:pPr>
      <w:r>
        <w:rPr>
          <w:rFonts w:hint="eastAsia" w:ascii="宋体" w:hAnsi="宋体"/>
          <w:color w:val="000000"/>
          <w:sz w:val="24"/>
          <w:szCs w:val="21"/>
        </w:rPr>
        <w:t xml:space="preserve">26.3 </w:t>
      </w:r>
      <w:r>
        <w:rPr>
          <w:rFonts w:hint="eastAsia" w:ascii="宋体" w:hAnsi="宋体"/>
          <w:color w:val="000000"/>
          <w:sz w:val="24"/>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rPr>
          <w:rFonts w:hint="eastAsia" w:ascii="宋体" w:hAnsi="宋体"/>
          <w:color w:val="000000"/>
          <w:sz w:val="24"/>
        </w:rPr>
      </w:pPr>
      <w:r>
        <w:rPr>
          <w:rFonts w:hint="eastAsia" w:ascii="宋体" w:hAnsi="宋体"/>
          <w:color w:val="000000"/>
          <w:sz w:val="24"/>
        </w:rPr>
        <w:t xml:space="preserve">26.4成交供应商不得将合同标的进行转包，否则采购人有权取消其成交资格或终止合同。转包造成采购人损失的，成交供应商应承担相应赔偿责任。</w:t>
      </w:r>
      <w:r/>
    </w:p>
    <w:p>
      <w:pPr>
        <w:ind w:firstLine="420"/>
        <w:rPr>
          <w:rFonts w:hint="eastAsia" w:ascii="宋体" w:hAnsi="宋体"/>
          <w:color w:val="000000"/>
          <w:sz w:val="24"/>
          <w:szCs w:val="21"/>
        </w:rPr>
      </w:pPr>
      <w:r>
        <w:rPr>
          <w:rFonts w:hint="eastAsia" w:ascii="宋体" w:hAnsi="宋体"/>
          <w:color w:val="000000"/>
          <w:sz w:val="24"/>
          <w:szCs w:val="21"/>
        </w:rPr>
        <w:t xml:space="preserve">26.5 成交供应商因自身原因拒绝与采购人签订合同的，</w:t>
      </w:r>
      <w:r>
        <w:rPr>
          <w:rFonts w:hint="eastAsia" w:ascii="宋体" w:hAnsi="宋体"/>
          <w:color w:val="000000"/>
          <w:sz w:val="24"/>
          <w:lang w:val="zh-CN"/>
        </w:rPr>
        <w:t xml:space="preserve">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ind w:firstLine="420"/>
        <w:rPr>
          <w:rFonts w:hint="eastAsia" w:ascii="宋体" w:hAnsi="宋体"/>
          <w:color w:val="000000"/>
          <w:sz w:val="24"/>
          <w:szCs w:val="21"/>
        </w:rPr>
      </w:pPr>
      <w:r>
        <w:rPr>
          <w:rFonts w:hint="eastAsia" w:ascii="宋体" w:hAnsi="宋体"/>
          <w:color w:val="000000"/>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ind w:firstLine="420"/>
        <w:rPr>
          <w:rFonts w:hint="eastAsia" w:ascii="宋体" w:hAnsi="宋体"/>
          <w:color w:val="000000"/>
          <w:sz w:val="24"/>
          <w:lang w:val="zh-CN"/>
        </w:rPr>
      </w:pPr>
      <w:r>
        <w:rPr>
          <w:rFonts w:hint="eastAsia" w:ascii="宋体" w:hAnsi="宋体"/>
          <w:color w:val="000000"/>
          <w:sz w:val="24"/>
          <w:szCs w:val="21"/>
        </w:rPr>
        <w:t xml:space="preserve">28.1 成交供应商</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ind w:firstLine="420"/>
        <w:rPr>
          <w:lang w:val="zh-CN"/>
        </w:rPr>
      </w:pPr>
      <w:r>
        <w:rPr>
          <w:rFonts w:hint="eastAsia" w:ascii="宋体" w:hAnsi="宋体"/>
          <w:color w:val="000000"/>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color w:val="000000"/>
          <w:sz w:val="24"/>
        </w:rPr>
        <w:t xml:space="preserve">150号），需要缴纳履约保证金的，成交供应商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bookmarkEnd w:id="77"/>
      <w:r/>
      <w:r/>
    </w:p>
    <w:p>
      <w:pPr>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.提出质疑的供应商应当是参与所质疑项目采购活动的供应商，潜在供应商依法获取其可质疑的磋商文件的，可以对磋商文件提出质疑。</w:t>
      </w:r>
      <w:r/>
    </w:p>
    <w:p>
      <w:pPr>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.供应商认为磋商文件、采购过程和采购结果使自己的权益受到损害的，可以在知道或应知其权益受到损害之日起七个工作日内，</w:t>
      </w:r>
      <w:r>
        <w:rPr>
          <w:rFonts w:hint="eastAsia" w:ascii="宋体" w:hAnsi="宋体"/>
          <w:color w:val="000000"/>
          <w:sz w:val="24"/>
        </w:rPr>
        <w:t xml:space="preserve">按照第32条</w:t>
      </w:r>
      <w:r>
        <w:rPr>
          <w:rFonts w:hint="eastAsia" w:ascii="宋体" w:hAnsi="宋体"/>
          <w:color w:val="000000"/>
          <w:sz w:val="24"/>
          <w:lang w:val="zh-CN"/>
        </w:rPr>
        <w:t xml:space="preserve">、</w:t>
      </w:r>
      <w:r>
        <w:rPr>
          <w:rFonts w:hint="eastAsia" w:ascii="宋体" w:hAnsi="宋体"/>
          <w:color w:val="000000"/>
          <w:sz w:val="24"/>
        </w:rPr>
        <w:t xml:space="preserve">第33</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p>
    <w:p>
      <w:pPr>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对磋商文件提出质疑的，为收到磋商文件之日或者磋商文件公告期限届满之日。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对采购过程提出质疑的，为各采购程序环节结束之日。</w:t>
      </w:r>
      <w:r/>
    </w:p>
    <w:p>
      <w:pPr>
        <w:ind w:firstLine="420"/>
        <w:rPr>
          <w:rFonts w:hint="eastAsia" w:ascii="宋体" w:hAnsi="宋体"/>
          <w:color w:val="000000"/>
          <w:sz w:val="24"/>
          <w:lang w:val="zh-CN"/>
        </w:rPr>
      </w:pPr>
      <w:r>
        <w:rPr>
          <w:rFonts w:hint="eastAsia" w:ascii="宋体" w:hAnsi="宋体"/>
          <w:color w:val="000000"/>
          <w:sz w:val="24"/>
        </w:rPr>
        <w:t xml:space="preserve">30</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对成交结果提出质疑的，为成交结果公告期限届满之日。</w:t>
      </w:r>
      <w:r/>
    </w:p>
    <w:p>
      <w:pPr>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color w:val="000000"/>
          <w:sz w:val="24"/>
        </w:rPr>
        <w:t xml:space="preserve">或</w:t>
      </w:r>
      <w:r>
        <w:rPr>
          <w:rFonts w:hint="eastAsia" w:ascii="宋体" w:hAnsi="宋体"/>
          <w:color w:val="000000"/>
          <w:sz w:val="24"/>
          <w:lang w:val="zh-CN"/>
        </w:rPr>
        <w:t xml:space="preserve">采购人将只对供应商第一次质疑作出答复。</w:t>
      </w:r>
      <w:r/>
    </w:p>
    <w:p>
      <w:pPr>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00"/>
          <w:sz w:val="24"/>
          <w:lang w:val="zh-CN"/>
        </w:rPr>
      </w:pPr>
      <w:r>
        <w:rPr>
          <w:rFonts w:hint="eastAsia" w:ascii="宋体" w:hAnsi="宋体"/>
          <w:color w:val="000000"/>
          <w:sz w:val="24"/>
        </w:rPr>
        <w:t xml:space="preserve">33.</w:t>
      </w:r>
      <w:r>
        <w:rPr>
          <w:rFonts w:hint="eastAsia" w:ascii="宋体" w:hAnsi="宋体"/>
          <w:b/>
          <w:bCs/>
          <w:color w:val="000000"/>
          <w:sz w:val="24"/>
        </w:rPr>
        <w:t xml:space="preserve">供应商根据质疑事项向相应的质疑答复主体提出质疑，具体详见磋商文件第一章。由采购人负责答复的质疑，采购人将《质疑函》《质疑答复函》抄送交易中心。</w:t>
      </w:r>
      <w:r/>
    </w:p>
    <w:p>
      <w:pPr>
        <w:rPr>
          <w:rFonts w:hint="eastAsia" w:ascii="宋体" w:hAnsi="宋体"/>
          <w:b/>
          <w:bCs/>
          <w:color w:val="000000"/>
          <w:sz w:val="24"/>
        </w:rPr>
      </w:pPr>
      <w:r>
        <w:rPr>
          <w:rFonts w:hint="eastAsia" w:ascii="宋体" w:hAnsi="宋体"/>
          <w:b/>
          <w:bCs/>
          <w:color w:val="000000"/>
          <w:sz w:val="24"/>
          <w:szCs w:val="21"/>
        </w:rPr>
        <w:t xml:space="preserve">供应商对采购人、交易中心的质疑答复不满意，或者采购人、交易中心未在规定时间内作出质疑答复的，可以在答复期满后15个工作日内向</w:t>
      </w:r>
      <w:r>
        <w:rPr>
          <w:rFonts w:hint="eastAsia" w:ascii="宋体" w:hAnsi="宋体"/>
          <w:b/>
          <w:bCs/>
          <w:color w:val="000000" w:themeColor="text1"/>
          <w:sz w:val="24"/>
          <w:szCs w:val="21"/>
          <w14:textFill>
            <w14:solidFill>
              <w14:schemeClr w14:val="tx1"/>
            </w14:solidFill>
          </w14:textFill>
        </w:rPr>
        <w:t xml:space="preserve">南京市财政局</w:t>
      </w:r>
      <w:r>
        <w:rPr>
          <w:rFonts w:hint="eastAsia" w:ascii="宋体" w:hAnsi="宋体"/>
          <w:b/>
          <w:bCs/>
          <w:color w:val="000000"/>
          <w:sz w:val="24"/>
          <w:szCs w:val="21"/>
        </w:rPr>
        <w:t xml:space="preserve">提起投诉。</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以下情形的质疑不予受理：</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.1 超出政府采购法定期限的质疑；</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.2 </w:t>
      </w:r>
      <w:r>
        <w:rPr>
          <w:rFonts w:hint="eastAsia" w:ascii="宋体" w:hAnsi="宋体"/>
          <w:color w:val="000000"/>
          <w:sz w:val="24"/>
        </w:rPr>
        <w:t xml:space="preserve">属于第31条规定的对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p>
    <w:p>
      <w:pPr>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ind w:firstLine="420"/>
        <w:rPr>
          <w:rFonts w:hint="eastAsia" w:ascii="宋体" w:hAnsi="宋体"/>
          <w:color w:val="000000"/>
          <w:sz w:val="24"/>
          <w:lang w:val="zh-CN"/>
        </w:rPr>
      </w:pPr>
      <w:r>
        <w:rPr>
          <w:rFonts w:hint="eastAsia" w:ascii="宋体" w:hAnsi="宋体"/>
          <w:color w:val="000000"/>
          <w:sz w:val="24"/>
        </w:rPr>
        <w:t xml:space="preserve">35</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0"/>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921"/>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zh-CN"/>
        </w:rPr>
        <w:t xml:space="preserve">.促进中小企业发展</w:t>
      </w:r>
      <w:r/>
    </w:p>
    <w:p>
      <w:pPr>
        <w:ind w:firstLine="420"/>
        <w:rPr>
          <w:rFonts w:hint="eastAsia" w:ascii="宋体" w:hAnsi="宋体"/>
          <w:color w:val="000000"/>
          <w:sz w:val="24"/>
          <w:lang w:val="zh-CN"/>
        </w:rPr>
      </w:pPr>
      <w:r>
        <w:rPr>
          <w:rFonts w:hint="eastAsia" w:ascii="宋体" w:hAnsi="宋体"/>
          <w:color w:val="000000"/>
          <w:sz w:val="24"/>
        </w:rPr>
        <w:t xml:space="preserve">36.1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olor w:val="000000"/>
          <w:sz w:val="24"/>
        </w:rPr>
        <w:t xml:space="preserve">&lt;</w:t>
      </w:r>
      <w:r>
        <w:rPr>
          <w:rFonts w:hint="eastAsia" w:ascii="宋体" w:hAnsi="宋体"/>
          <w:color w:val="000000"/>
          <w:sz w:val="24"/>
          <w:lang w:val="zh-CN"/>
        </w:rPr>
        <w:t xml:space="preserve">统计上大中小微型企业划分办法（2017）</w:t>
      </w:r>
      <w:r>
        <w:rPr>
          <w:rFonts w:hint="eastAsia" w:ascii="宋体" w:hAnsi="宋体"/>
          <w:color w:val="000000"/>
          <w:sz w:val="24"/>
        </w:rPr>
        <w:t xml:space="preserve">&gt;</w:t>
      </w:r>
      <w:r>
        <w:rPr>
          <w:rFonts w:hint="eastAsia" w:ascii="宋体" w:hAnsi="宋体"/>
          <w:color w:val="000000"/>
          <w:sz w:val="24"/>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sz w:val="24"/>
          <w:lang w:val="zh-CN"/>
        </w:rPr>
      </w:pPr>
      <w:r>
        <w:rPr>
          <w:rFonts w:hint="eastAsia" w:ascii="宋体" w:hAnsi="宋体"/>
          <w:color w:val="000000"/>
          <w:sz w:val="24"/>
        </w:rPr>
        <w:t xml:space="preserve">36.2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p>
    <w:p>
      <w:pPr>
        <w:ind w:firstLine="420"/>
        <w:rPr>
          <w:rFonts w:hint="eastAsia" w:ascii="宋体" w:hAnsi="宋体" w:cs="宋体"/>
          <w:b/>
          <w:bCs/>
          <w:color w:val="000000"/>
          <w:sz w:val="24"/>
          <w:szCs w:val="24"/>
        </w:rPr>
      </w:pPr>
      <w:r>
        <w:rPr>
          <w:rFonts w:hint="eastAsia" w:ascii="宋体" w:hAnsi="宋体"/>
          <w:color w:val="000000"/>
          <w:sz w:val="24"/>
        </w:rPr>
        <w:t xml:space="preserve">36.3 </w:t>
      </w:r>
      <w:r>
        <w:rPr>
          <w:rFonts w:hint="eastAsia" w:ascii="宋体" w:hAnsi="宋体" w:cs="宋体"/>
          <w:b/>
          <w:bCs/>
          <w:color w:val="000000"/>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widowControl/>
        <w:rPr>
          <w:rFonts w:hint="eastAsia" w:ascii="宋体" w:hAnsi="宋体"/>
          <w:color w:val="000000"/>
          <w:sz w:val="24"/>
        </w:rPr>
      </w:pPr>
      <w:r>
        <w:rPr>
          <w:rFonts w:hint="eastAsia" w:ascii="宋体" w:hAnsi="宋体" w:cs="宋体"/>
          <w:color w:val="000000"/>
          <w:sz w:val="24"/>
          <w:szCs w:val="24"/>
        </w:rPr>
        <w:t xml:space="preserve">36.4 </w:t>
      </w:r>
      <w:r>
        <w:rPr>
          <w:rFonts w:hint="eastAsia" w:ascii="宋体" w:hAnsi="宋体"/>
          <w:b/>
          <w:bCs/>
          <w:color w:val="000000"/>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rPr>
        <w:t xml:space="preserve">36.5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6</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sz w:val="24"/>
          <w:szCs w:val="24"/>
        </w:rPr>
        <w:t xml:space="preserve">残疾人福利性单位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p>
    <w:p>
      <w:pPr>
        <w:ind w:firstLine="420"/>
        <w:rPr>
          <w:rFonts w:hint="eastAsia" w:ascii="宋体" w:hAnsi="宋体"/>
          <w:color w:val="000000"/>
          <w:sz w:val="24"/>
          <w:lang w:val="zh-CN"/>
        </w:rPr>
      </w:pPr>
      <w:r>
        <w:rPr>
          <w:rFonts w:hint="eastAsia" w:ascii="宋体" w:hAnsi="宋体"/>
          <w:color w:val="000000"/>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color w:val="000000"/>
          <w:sz w:val="24"/>
          <w:lang w:val="zh-CN"/>
        </w:rPr>
      </w:pPr>
      <w:r>
        <w:rPr>
          <w:rFonts w:hint="eastAsia" w:ascii="宋体" w:hAnsi="宋体"/>
          <w:color w:val="000000"/>
          <w:sz w:val="24"/>
        </w:rPr>
        <w:t xml:space="preserve">37.2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color w:val="000000"/>
          <w:sz w:val="24"/>
          <w:lang w:val="zh-CN"/>
        </w:rPr>
      </w:pPr>
      <w:r>
        <w:rPr>
          <w:rFonts w:hint="eastAsia" w:ascii="宋体" w:hAnsi="宋体"/>
          <w:color w:val="000000"/>
          <w:sz w:val="24"/>
        </w:rPr>
        <w:t xml:space="preserve">37.3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w:t>
      </w:r>
      <w:r>
        <w:rPr>
          <w:rFonts w:hint="eastAsia" w:ascii="宋体" w:hAnsi="宋体"/>
          <w:color w:val="000000"/>
          <w:sz w:val="24"/>
          <w:lang w:val="zh-CN"/>
        </w:rPr>
        <w:t xml:space="preserve">）。</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color w:val="000000"/>
          <w:sz w:val="24"/>
        </w:rPr>
      </w:pPr>
      <w:r>
        <w:rPr>
          <w:rFonts w:hint="eastAsia" w:ascii="宋体" w:hAnsi="宋体"/>
          <w:color w:val="000000"/>
          <w:sz w:val="24"/>
        </w:rPr>
        <w:t xml:space="preserve">38.1 采购产品</w:t>
      </w:r>
      <w:r>
        <w:rPr>
          <w:rFonts w:hint="eastAsia" w:ascii="宋体"/>
          <w:bCs/>
          <w:sz w:val="24"/>
          <w:szCs w:val="24"/>
        </w:rPr>
        <w:t xml:space="preserve">中涉及商品包装、快递包装要求的，应按照</w:t>
      </w:r>
      <w:r>
        <w:rPr>
          <w:rFonts w:hint="eastAsia" w:ascii="宋体" w:hAnsi="宋体"/>
          <w:color w:val="000000"/>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color w:val="000000"/>
          <w:sz w:val="24"/>
        </w:rPr>
      </w:pPr>
      <w:r>
        <w:rPr>
          <w:rFonts w:hint="eastAsia" w:ascii="宋体" w:hAnsi="宋体"/>
          <w:color w:val="000000"/>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color w:val="000000"/>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color w:val="000000"/>
          <w:sz w:val="24"/>
        </w:rPr>
      </w:pPr>
      <w:r>
        <w:rPr>
          <w:rFonts w:hint="eastAsia" w:ascii="宋体" w:hAnsi="宋体"/>
          <w:color w:val="000000"/>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color w:val="000000"/>
          <w:sz w:val="24"/>
        </w:rPr>
      </w:pPr>
      <w:r>
        <w:rPr>
          <w:rFonts w:hint="eastAsia" w:ascii="宋体" w:hAnsi="宋体"/>
          <w:color w:val="000000"/>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color w:val="000000"/>
          <w:sz w:val="24"/>
        </w:rPr>
      </w:pPr>
      <w:r>
        <w:rPr>
          <w:rFonts w:hint="eastAsia" w:ascii="宋体" w:hAnsi="宋体"/>
          <w:color w:val="000000"/>
          <w:sz w:val="24"/>
        </w:rPr>
        <w:t xml:space="preserve">39.1 优先采购各级政府部门公开发布的有效期内的创新产品、首台套等《目录》内的创新产品。创新产品自进入《目录》起2年内视同具备相应销售业绩。</w:t>
      </w:r>
      <w:r/>
    </w:p>
    <w:p>
      <w:pPr>
        <w:pStyle w:val="921"/>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color w:val="000000"/>
          <w:sz w:val="24"/>
          <w:lang w:val="zh-CN"/>
        </w:rPr>
      </w:pPr>
      <w:r>
        <w:rPr>
          <w:rFonts w:hint="eastAsia" w:ascii="宋体" w:hAnsi="宋体"/>
          <w:color w:val="000000"/>
          <w:sz w:val="24"/>
        </w:rPr>
        <w:t xml:space="preserve">40.1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rPr>
          <w:rFonts w:hint="eastAsia" w:ascii="宋体" w:hAnsi="宋体"/>
          <w:color w:val="000000"/>
          <w:sz w:val="24"/>
          <w:lang w:val="zh-CN"/>
        </w:rPr>
      </w:pPr>
      <w:r>
        <w:rPr>
          <w:rFonts w:hint="eastAsia" w:ascii="宋体" w:hAnsi="宋体"/>
          <w:color w:val="000000"/>
          <w:sz w:val="24"/>
        </w:rPr>
        <w:t xml:space="preserve">40.2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21"/>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color w:val="000000"/>
          <w:sz w:val="24"/>
          <w:lang w:val="zh-CN"/>
        </w:rPr>
      </w:pPr>
      <w:r>
        <w:rPr>
          <w:rFonts w:hint="eastAsia" w:ascii="宋体" w:hAnsi="宋体"/>
          <w:color w:val="000000"/>
          <w:sz w:val="24"/>
        </w:rPr>
        <w:t xml:space="preserve">41.</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1</w:t>
      </w:r>
      <w:r>
        <w:rPr>
          <w:rFonts w:hint="eastAsia" w:ascii="宋体" w:hAnsi="宋体"/>
          <w:color w:val="000000"/>
          <w:sz w:val="24"/>
          <w:lang w:val="zh-CN"/>
        </w:rPr>
        <w:t xml:space="preserve">.2本国产品应当符合以下条件：</w:t>
      </w:r>
      <w:r/>
    </w:p>
    <w:p>
      <w:pPr>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color w:val="000000"/>
          <w:sz w:val="24"/>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color w:val="000000"/>
          <w:sz w:val="24"/>
          <w:lang w:val="zh-CN"/>
        </w:rPr>
      </w:pPr>
      <w:r>
        <w:rPr>
          <w:rFonts w:hint="eastAsia" w:ascii="宋体" w:hAnsi="宋体"/>
          <w:color w:val="000000"/>
          <w:sz w:val="24"/>
          <w:lang w:val="zh-CN"/>
        </w:rPr>
        <w:t xml:space="preserve">4</w:t>
      </w:r>
      <w:r>
        <w:rPr>
          <w:rFonts w:hint="eastAsia" w:ascii="宋体" w:hAnsi="宋体"/>
          <w:color w:val="000000"/>
          <w:sz w:val="24"/>
        </w:rPr>
        <w:t xml:space="preserve">1</w:t>
      </w:r>
      <w:r>
        <w:rPr>
          <w:rFonts w:hint="eastAsia" w:ascii="宋体" w:hAnsi="宋体"/>
          <w:color w:val="000000"/>
          <w:sz w:val="24"/>
          <w:lang w:val="zh-CN"/>
        </w:rPr>
        <w:t xml:space="preserve">.3本国产品标准的适用范围</w:t>
      </w:r>
      <w:r/>
    </w:p>
    <w:p>
      <w:pPr>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olor w:val="000000"/>
          <w:sz w:val="24"/>
        </w:rPr>
      </w:pPr>
      <w:r>
        <w:rPr>
          <w:rFonts w:hint="eastAsia" w:ascii="宋体" w:hAnsi="宋体"/>
          <w:color w:val="000000"/>
          <w:sz w:val="24"/>
        </w:rPr>
        <w:t xml:space="preserve">41.4对本国产品的支持政策</w:t>
      </w:r>
      <w:r/>
    </w:p>
    <w:p>
      <w:pPr>
        <w:ind w:firstLine="422"/>
        <w:rPr>
          <w:rFonts w:hint="eastAsia"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ind w:firstLine="420"/>
        <w:rPr>
          <w:rFonts w:hint="eastAsia" w:ascii="宋体" w:hAnsi="宋体"/>
          <w:color w:val="000000"/>
          <w:sz w:val="24"/>
        </w:rPr>
      </w:pPr>
      <w:r>
        <w:rPr>
          <w:rFonts w:hint="eastAsia" w:ascii="宋体" w:hAnsi="宋体"/>
          <w:color w:val="000000"/>
          <w:sz w:val="24"/>
        </w:rPr>
        <w:t xml:space="preserve">41.5政策执行要求</w:t>
      </w:r>
      <w:r/>
    </w:p>
    <w:p>
      <w:pPr>
        <w:ind w:firstLine="420"/>
        <w:rPr>
          <w:rFonts w:hint="eastAsia" w:ascii="宋体" w:hAnsi="宋体" w:cs="宋体"/>
          <w:color w:val="333333"/>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921"/>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w:t>
      </w:r>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val="zh-CN"/>
        </w:rPr>
        <w:t xml:space="preserve">.数据交易说明</w:t>
      </w:r>
      <w:r/>
    </w:p>
    <w:p>
      <w:pPr>
        <w:ind w:firstLine="420"/>
        <w:widowControl/>
        <w:rPr>
          <w:rFonts w:hint="eastAsia" w:ascii="宋体" w:hAnsi="宋体"/>
          <w:color w:val="000000"/>
          <w:sz w:val="24"/>
        </w:rPr>
      </w:pPr>
      <w:r>
        <w:rPr>
          <w:rFonts w:hint="eastAsia" w:ascii="宋体" w:hAnsi="宋体"/>
          <w:color w:val="000000"/>
          <w:sz w:val="24"/>
        </w:rPr>
        <w:t xml:space="preserve">数据交易标的包括数据产品、数据服务、数据工具。</w:t>
      </w:r>
      <w:r/>
    </w:p>
    <w:p>
      <w:pPr>
        <w:ind w:firstLine="420"/>
        <w:widowControl/>
        <w:rPr>
          <w:rFonts w:hint="eastAsia" w:ascii="宋体" w:hAnsi="宋体"/>
          <w:color w:val="000000"/>
          <w:sz w:val="24"/>
        </w:rPr>
      </w:pPr>
      <w:r>
        <w:rPr>
          <w:rFonts w:hint="eastAsia" w:ascii="宋体" w:hAnsi="宋体"/>
          <w:color w:val="000000"/>
          <w:sz w:val="24"/>
        </w:rPr>
        <w:t xml:space="preserve">数据产品是指用于交易的数据和数据衍生产品，包括但不限于数据集、数据分析报告、数据可视化产品、数据指数、API 数据、加密数据等。</w:t>
      </w:r>
      <w:r/>
    </w:p>
    <w:p>
      <w:pPr>
        <w:ind w:firstLine="420"/>
        <w:widowControl/>
        <w:rPr>
          <w:rFonts w:hint="eastAsia" w:ascii="宋体" w:hAnsi="宋体"/>
          <w:color w:val="000000"/>
          <w:sz w:val="24"/>
        </w:rPr>
      </w:pPr>
      <w:r>
        <w:rPr>
          <w:rFonts w:hint="eastAsia" w:ascii="宋体" w:hAnsi="宋体"/>
          <w:color w:val="000000"/>
          <w:sz w:val="24"/>
        </w:rPr>
        <w:t xml:space="preserve">数据服务是指提供数据收集、存储、使用、加工、传输等服务，包括但不限于数据采集和预处理服务、数据建模、分析处理服务、数据可视化服务、数据安全服务等。</w:t>
      </w:r>
      <w:r/>
    </w:p>
    <w:p>
      <w:pPr>
        <w:ind w:firstLine="420"/>
        <w:widowControl/>
        <w:rPr>
          <w:rFonts w:hint="eastAsia" w:ascii="宋体" w:hAnsi="宋体"/>
          <w:color w:val="000000"/>
          <w:sz w:val="24"/>
        </w:rPr>
      </w:pPr>
      <w:r>
        <w:rPr>
          <w:rFonts w:hint="eastAsia" w:ascii="宋体" w:hAnsi="宋体"/>
          <w:color w:val="000000"/>
          <w:sz w:val="24"/>
        </w:rPr>
        <w:t xml:space="preserve">数据工具是指可实现数据服务的软硬件工具，包括但不限于数据存储和管理工具、数据采集工具、数据清洗工具、数据分析工具、数据可视化工具、数据安全工具等。</w:t>
      </w:r>
      <w:r/>
    </w:p>
    <w:p>
      <w:pPr>
        <w:rPr>
          <w:rFonts w:hint="eastAsia" w:ascii="宋体" w:hAnsi="宋体"/>
          <w:color w:val="000000"/>
          <w:sz w:val="24"/>
          <w:lang w:val="zh-CN"/>
        </w:rPr>
      </w:pPr>
      <w:r>
        <w:rPr>
          <w:rFonts w:hint="eastAsia" w:ascii="宋体" w:hAnsi="宋体"/>
          <w:color w:val="000000"/>
          <w:sz w:val="24"/>
          <w:lang w:val="zh-CN"/>
        </w:rPr>
      </w:r>
      <w:r/>
    </w:p>
    <w:p>
      <w:pPr>
        <w:pStyle w:val="929"/>
        <w:rPr>
          <w:rFonts w:hint="eastAsia"/>
          <w:color w:val="000000"/>
          <w:sz w:val="24"/>
          <w:lang w:val="zh-CN"/>
        </w:rPr>
      </w:pPr>
      <w:r>
        <w:rPr>
          <w:rFonts w:hint="eastAsia"/>
          <w:color w:val="000000"/>
          <w:sz w:val="24"/>
          <w:lang w:val="zh-CN"/>
        </w:rPr>
      </w:r>
      <w:r/>
    </w:p>
    <w:p>
      <w:pPr>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第三章  合同文本</w:t>
      </w:r>
      <w:r/>
    </w:p>
    <w:p>
      <w:pPr>
        <w:jc w:val="center"/>
        <w:spacing w:before="145" w:after="145"/>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96"/>
        <w:ind w:left="0"/>
      </w:pPr>
      <w:r/>
      <w:r/>
    </w:p>
    <w:p>
      <w:pPr>
        <w:jc w:val="center"/>
        <w:spacing w:before="145" w:after="145"/>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rPr>
          <w:rFonts w:hint="eastAsia" w:ascii="宋体" w:hAnsi="宋体" w:cs="Courier New"/>
          <w:color w:val="000000"/>
          <w:sz w:val="24"/>
          <w:szCs w:val="24"/>
        </w:rPr>
      </w:pPr>
      <w:r>
        <w:rPr>
          <w:rFonts w:hint="eastAsia" w:ascii="宋体" w:hAnsi="宋体" w:cs="Courier New"/>
          <w:color w:val="000000"/>
          <w:sz w:val="24"/>
          <w:szCs w:val="24"/>
        </w:rPr>
        <w:t xml:space="preserve">1.2 标的质量：按磋商文件及响应文件执行。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履行方式：按磋商文件及响应文件执行。</w:t>
      </w:r>
      <w:r/>
    </w:p>
    <w:p>
      <w:pPr>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包装方式：按磋商文件及响应文件执行。</w:t>
      </w:r>
      <w:r/>
    </w:p>
    <w:p>
      <w:pPr>
        <w:rPr>
          <w:rFonts w:hint="eastAsia"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w:t>
      </w:r>
      <w:r>
        <w:rPr>
          <w:rFonts w:hint="eastAsia" w:ascii="宋体" w:hAnsi="宋体" w:cs="宋体"/>
          <w:color w:val="000000"/>
          <w:sz w:val="24"/>
          <w:szCs w:val="24"/>
        </w:rPr>
        <w:t xml:space="preserve">磋商</w:t>
      </w:r>
      <w:r>
        <w:rPr>
          <w:rFonts w:ascii="宋体" w:hAnsi="宋体" w:cs="宋体"/>
          <w:color w:val="000000"/>
          <w:sz w:val="24"/>
          <w:szCs w:val="24"/>
        </w:rPr>
        <w:t xml:space="preserve">文件、</w:t>
      </w:r>
      <w:r>
        <w:rPr>
          <w:rFonts w:hint="eastAsia" w:ascii="宋体" w:hAnsi="宋体" w:cs="宋体"/>
          <w:color w:val="000000"/>
          <w:sz w:val="24"/>
          <w:szCs w:val="24"/>
        </w:rPr>
        <w:t xml:space="preserve">响应</w:t>
      </w:r>
      <w:r>
        <w:rPr>
          <w:rFonts w:ascii="宋体" w:hAnsi="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959"/>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%缴纳履约保证金。合同履行结束后，甲方按以下约定退还：</w:t>
      </w:r>
      <w:r/>
    </w:p>
    <w:p>
      <w:pPr>
        <w:rPr>
          <w:rFonts w:hint="eastAsia"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rPr>
          <w:rFonts w:hint="eastAsia"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jc w:val="left"/>
        <w:rPr>
          <w:rFonts w:hint="eastAsia"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rPr>
          <w:rFonts w:hint="eastAsia"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p>
    <w:p>
      <w:pPr>
        <w:rPr>
          <w:rFonts w:hint="eastAsia" w:ascii="方正黑体_GBK" w:hAnsi="方正黑体_GBK" w:eastAsia="方正黑体_GBK" w:cs="方正黑体_GBK"/>
          <w:bCs/>
          <w:color w:val="000000"/>
          <w:sz w:val="24"/>
          <w:szCs w:val="24"/>
        </w:rPr>
      </w:pPr>
      <w:r>
        <w:rPr>
          <w:rFonts w:hint="eastAsia" w:ascii="宋体" w:hAnsi="宋体" w:cs="Courier New"/>
          <w:color w:val="000000"/>
          <w:sz w:val="24"/>
          <w:szCs w:val="24"/>
        </w:rPr>
        <w:t xml:space="preserve">7.2 除磋商文件允许的分包情况外，乙方不得将合同标的分包给他人履行，否则甲方有权终止合同。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959"/>
        <w:rPr>
          <w:rFonts w:hint="eastAsia" w:hAnsi="宋体"/>
          <w:color w:val="000000"/>
          <w:sz w:val="24"/>
          <w:szCs w:val="24"/>
        </w:rPr>
        <w:outlineLvl w:val="2"/>
      </w:pPr>
      <w:r>
        <w:rPr>
          <w:rFonts w:hint="eastAsia" w:hAnsi="宋体"/>
          <w:color w:val="000000"/>
          <w:sz w:val="24"/>
          <w:szCs w:val="24"/>
        </w:rPr>
        <w:t xml:space="preserve">8.1 合同款项的支付方式及时间</w:t>
      </w:r>
      <w:r/>
    </w:p>
    <w:p>
      <w:pPr>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合同签订且服务团队人员到位后，甲方支付合同总价款的30%作为预付款。</w:t>
      </w:r>
      <w:r/>
    </w:p>
    <w:p>
      <w:pPr>
        <w:pStyle w:val="959"/>
        <w:spacing w:line="264" w:lineRule="auto"/>
        <w:rPr>
          <w:color w:val="000000"/>
        </w:rPr>
      </w:pPr>
      <w:r>
        <w:rPr>
          <w:rFonts w:hint="eastAsia" w:hAnsi="宋体"/>
          <w:color w:val="000000"/>
          <w:sz w:val="24"/>
          <w:szCs w:val="24"/>
        </w:rPr>
        <w:t xml:space="preserve">8.1.2 系统开发完成并验收合格后，甲方支付合同总价款的70%。</w:t>
      </w:r>
      <w:r/>
    </w:p>
    <w:p>
      <w:pPr>
        <w:pStyle w:val="959"/>
        <w:rPr>
          <w:rFonts w:hint="eastAsia" w:hAnsi="宋体"/>
          <w:color w:val="000000"/>
          <w:sz w:val="24"/>
          <w:szCs w:val="24"/>
        </w:rPr>
      </w:pPr>
      <w:r>
        <w:rPr>
          <w:rFonts w:hint="eastAsia" w:hAnsi="宋体"/>
          <w:color w:val="000000"/>
          <w:sz w:val="24"/>
          <w:szCs w:val="24"/>
        </w:rPr>
        <w:t xml:space="preserve">8.1.3 </w:t>
      </w:r>
      <w:r>
        <w:rPr>
          <w:rFonts w:hint="eastAsia" w:hAnsi="宋体"/>
          <w:color w:val="000000"/>
          <w:sz w:val="24"/>
          <w:szCs w:val="24"/>
        </w:rPr>
        <w:t xml:space="preserve">满足合同约定支付条件且预算资金下达后，甲方收到乙方发票10个工作日内，将资金支付到合同约定的乙方账户。</w:t>
      </w:r>
      <w:r>
        <w:rPr>
          <w:rFonts w:hint="eastAsia" w:hAnsi="宋体"/>
          <w:color w:val="000000"/>
          <w:sz w:val="24"/>
          <w:szCs w:val="24"/>
        </w:rPr>
        <w:t xml:space="preserve"> </w:t>
      </w:r>
      <w:r/>
    </w:p>
    <w:p>
      <w:pPr>
        <w:pStyle w:val="959"/>
        <w:rPr>
          <w:rFonts w:hint="eastAsia" w:hAnsi="宋体"/>
          <w:sz w:val="24"/>
          <w:szCs w:val="24"/>
        </w:rPr>
      </w:pPr>
      <w:r>
        <w:rPr>
          <w:rFonts w:hint="eastAsia" w:hAnsi="宋体"/>
          <w:color w:val="000000"/>
          <w:sz w:val="24"/>
          <w:szCs w:val="24"/>
        </w:rPr>
        <w:t xml:space="preserve">8.2 根据《保障中小企业款项支付条例》规定，甲方未按合同约定支付款项的，乙方可以向有</w:t>
      </w:r>
      <w:r>
        <w:rPr>
          <w:rFonts w:hint="eastAsia" w:hAnsi="宋体"/>
          <w:sz w:val="24"/>
          <w:szCs w:val="24"/>
        </w:rPr>
        <w:t xml:space="preserve">关部门投诉。</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jc w:val="left"/>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Courier New"/>
          <w:color w:val="0000ff"/>
          <w:sz w:val="24"/>
          <w:szCs w:val="24"/>
        </w:rPr>
      </w:pPr>
      <w:r>
        <w:rPr>
          <w:rFonts w:hint="eastAsia" w:ascii="宋体" w:hAnsi="宋体" w:cs="Courier New"/>
          <w:color w:val="000000"/>
          <w:sz w:val="24"/>
          <w:szCs w:val="24"/>
          <w:lang w:val="zh-CN"/>
        </w:rPr>
        <w:t xml:space="preserve">10.7 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rPr>
          <w:rFonts w:hint="eastAsia" w:ascii="宋体" w:hAnsi="宋体" w:cs="Courier New"/>
          <w:color w:val="000000"/>
          <w:sz w:val="24"/>
          <w:szCs w:val="24"/>
        </w:rPr>
      </w:pPr>
      <w:r>
        <w:rPr>
          <w:rFonts w:hint="eastAsia" w:ascii="宋体" w:hAnsi="宋体" w:cs="Courier New"/>
          <w:color w:val="000000"/>
          <w:sz w:val="24"/>
          <w:szCs w:val="24"/>
          <w:u w:val="single"/>
        </w:rPr>
        <w:t xml:space="preserve"> 0.01%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0.01% </w:t>
      </w:r>
      <w:r>
        <w:rPr>
          <w:rFonts w:hint="eastAsia" w:ascii="宋体" w:hAnsi="宋体" w:cs="Courier New"/>
          <w:color w:val="000000"/>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color w:val="000000"/>
          <w:sz w:val="24"/>
          <w:szCs w:val="24"/>
          <w:u w:val="single"/>
        </w:rPr>
        <w:t xml:space="preserve"> 0.1 </w:t>
      </w:r>
      <w:r>
        <w:rPr>
          <w:rFonts w:ascii="宋体" w:hAnsi="宋体" w:cs="宋体"/>
          <w:sz w:val="24"/>
          <w:szCs w:val="24"/>
        </w:rPr>
        <w:t xml:space="preserve">%。</w:t>
      </w:r>
      <w:r/>
    </w:p>
    <w:p>
      <w:pPr>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0.1% </w:t>
      </w:r>
      <w:r>
        <w:rPr>
          <w:rFonts w:hint="eastAsia" w:ascii="宋体" w:hAnsi="宋体" w:cs="Courier New"/>
          <w:color w:val="000000"/>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959"/>
        <w:spacing w:before="120" w:after="120"/>
        <w:rPr>
          <w:rFonts w:hint="eastAsia" w:hAnsi="宋体"/>
          <w:sz w:val="24"/>
          <w:szCs w:val="24"/>
        </w:rPr>
      </w:pPr>
      <w:r>
        <w:rPr>
          <w:rFonts w:hint="eastAsia" w:hAnsi="宋体"/>
          <w:sz w:val="24"/>
          <w:szCs w:val="24"/>
        </w:rPr>
        <w:t xml:space="preserve">  </w:t>
      </w:r>
      <w:r/>
    </w:p>
    <w:p>
      <w:pPr>
        <w:pStyle w:val="959"/>
        <w:ind w:firstLine="240"/>
        <w:spacing w:before="120" w:after="120"/>
        <w:rPr>
          <w:rFonts w:hint="eastAsia" w:hAnsi="宋体"/>
          <w:sz w:val="24"/>
          <w:szCs w:val="24"/>
        </w:rPr>
      </w:pPr>
      <w:r>
        <w:rPr>
          <w:rFonts w:hint="eastAsia" w:hAnsi="宋体"/>
          <w:sz w:val="24"/>
          <w:szCs w:val="24"/>
        </w:rPr>
        <w:t xml:space="preserve">甲方：（公章）                       乙方：（公章） </w:t>
      </w:r>
      <w:r/>
    </w:p>
    <w:p>
      <w:pPr>
        <w:pStyle w:val="959"/>
        <w:spacing w:before="120" w:after="120"/>
        <w:rPr>
          <w:rFonts w:hint="eastAsia" w:hAnsi="宋体"/>
          <w:sz w:val="24"/>
          <w:szCs w:val="24"/>
        </w:rPr>
      </w:pPr>
      <w:r>
        <w:rPr>
          <w:rFonts w:hint="eastAsia" w:hAnsi="宋体"/>
          <w:sz w:val="24"/>
          <w:szCs w:val="24"/>
        </w:rPr>
        <w:t xml:space="preserve">  地址：                               地址： </w:t>
      </w:r>
      <w:r/>
    </w:p>
    <w:p>
      <w:pPr>
        <w:pStyle w:val="959"/>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59"/>
        <w:ind w:firstLine="240"/>
        <w:spacing w:before="120" w:after="120"/>
        <w:rPr>
          <w:rFonts w:hint="eastAsia" w:hAnsi="宋体"/>
          <w:sz w:val="24"/>
          <w:szCs w:val="24"/>
        </w:rPr>
      </w:pPr>
      <w:r>
        <w:rPr>
          <w:rFonts w:hint="eastAsia" w:hAnsi="宋体"/>
          <w:sz w:val="24"/>
          <w:szCs w:val="24"/>
        </w:rPr>
        <w:t xml:space="preserve">联系电话：                           联系电话：          </w:t>
      </w:r>
      <w:r/>
    </w:p>
    <w:p>
      <w:pPr>
        <w:pStyle w:val="959"/>
        <w:spacing w:before="120" w:after="120"/>
        <w:rPr>
          <w:rFonts w:hint="eastAsia" w:hAnsi="宋体"/>
          <w:sz w:val="24"/>
          <w:szCs w:val="24"/>
        </w:rPr>
      </w:pPr>
      <w:r>
        <w:rPr>
          <w:rFonts w:hint="eastAsia" w:hAnsi="宋体"/>
          <w:sz w:val="24"/>
          <w:szCs w:val="24"/>
        </w:rPr>
        <w:t xml:space="preserve">                                          </w:t>
      </w:r>
      <w:r/>
    </w:p>
    <w:p>
      <w:pPr>
        <w:pStyle w:val="959"/>
        <w:ind w:firstLine="5280"/>
        <w:spacing w:before="120" w:after="120"/>
        <w:rPr>
          <w:rFonts w:hint="eastAsia" w:hAnsi="宋体"/>
          <w:sz w:val="24"/>
          <w:szCs w:val="24"/>
        </w:rPr>
      </w:pPr>
      <w:r>
        <w:rPr>
          <w:rFonts w:hint="eastAsia" w:hAnsi="宋体"/>
          <w:sz w:val="24"/>
          <w:szCs w:val="24"/>
        </w:rPr>
        <w:t xml:space="preserve">签订日期：      年    月   日</w:t>
      </w:r>
      <w:r/>
    </w:p>
    <w:p>
      <w:pPr>
        <w:pStyle w:val="959"/>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59"/>
        <w:jc w:val="left"/>
        <w:spacing w:before="120" w:after="120"/>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bookmarkEnd w:id="0"/>
      <w:r/>
      <w:bookmarkEnd w:id="1"/>
      <w:r/>
      <w:bookmarkEnd w:id="2"/>
      <w:r/>
      <w:bookmarkEnd w:id="3"/>
      <w:r/>
      <w:bookmarkEnd w:id="4"/>
      <w:r/>
      <w:bookmarkEnd w:id="5"/>
      <w:r/>
      <w:r/>
    </w:p>
    <w:p>
      <w:pPr>
        <w:pStyle w:val="1038"/>
        <w:jc w:val="center"/>
        <w:spacing w:before="120" w:after="120" w:line="0" w:lineRule="atLeast"/>
        <w:rPr>
          <w:rFonts w:hint="eastAsia" w:ascii="Arial Unicode MS" w:hAnsi="Arial Unicode MS" w:eastAsia="Arial Unicode MS" w:cs="Arial Unicode MS"/>
          <w:color w:val="000000"/>
          <w:sz w:val="36"/>
          <w:szCs w:val="36"/>
        </w:rPr>
        <w:outlineLvl w:val="0"/>
      </w:pPr>
      <w:r/>
      <w:bookmarkStart w:id="78" w:name="_Hlt16619350"/>
      <w:r/>
      <w:bookmarkStart w:id="79" w:name="_Toc20823346"/>
      <w:r/>
      <w:bookmarkStart w:id="80" w:name="_Toc120614244"/>
      <w:r/>
      <w:bookmarkStart w:id="81" w:name="_Toc16938590"/>
      <w:r/>
      <w:bookmarkStart w:id="82" w:name="_Toc479757211"/>
      <w:r/>
      <w:bookmarkStart w:id="83" w:name="_Toc462564139"/>
      <w:r>
        <w:rPr>
          <w:rFonts w:hint="eastAsia" w:hAnsi="宋体"/>
          <w:color w:val="000000"/>
          <w:sz w:val="24"/>
          <w:szCs w:val="24"/>
        </w:rPr>
        <w:br w:type="page" w:clear="all"/>
      </w:r>
      <w:bookmarkEnd w:id="78"/>
      <w:r/>
      <w:bookmarkEnd w:id="79"/>
      <w:r/>
      <w:bookmarkEnd w:id="80"/>
      <w:r/>
      <w:bookmarkEnd w:id="81"/>
      <w:r/>
      <w:bookmarkStart w:id="84" w:name="_Toc49090575"/>
      <w:r/>
      <w:bookmarkStart w:id="85" w:name="_Toc26554093"/>
      <w:r>
        <w:rPr>
          <w:rFonts w:hint="eastAsia" w:ascii="Arial Unicode MS" w:hAnsi="Arial Unicode MS" w:eastAsia="Arial Unicode MS" w:cs="Arial Unicode MS"/>
          <w:color w:val="000000"/>
          <w:sz w:val="36"/>
          <w:szCs w:val="36"/>
        </w:rPr>
        <w:t xml:space="preserve">第四章  采购需求</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olor w:val="000000"/>
          <w:sz w:val="24"/>
          <w:szCs w:val="24"/>
        </w:rPr>
        <w:t xml:space="preserve">服务类项目。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以研究型病房场景为核心，依托物联网感知、大数据分析与边缘计算技术，打通患者生命体征监测、医护服务调度、病房环境管控、医疗物资管理等多个分散的业务环节，构建全链路智能化的病房服务体系。在降低医护人员非必要工作负荷、减少人为疏漏风险、保障患者隐私、数据安全、信息安全的同时，大幅提升患者住院期间的服务响应效率与就医体验，最终实现病房临床服务的精细化、高效化与人性化升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p>
    <w:p>
      <w:pPr>
        <w:numPr>
          <w:ilvl w:val="0"/>
          <w:numId w:val="5"/>
        </w:numPr>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项目清单</w:t>
      </w:r>
      <w:r/>
    </w:p>
    <w:p>
      <w:pPr>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    </w:t>
      </w:r>
      <w:r/>
    </w:p>
    <w:tbl>
      <w:tblPr>
        <w:tblStyle w:val="740"/>
        <w:tblW w:w="5325"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6"/>
        <w:gridCol w:w="1882"/>
        <w:gridCol w:w="595"/>
        <w:gridCol w:w="653"/>
        <w:gridCol w:w="1149"/>
        <w:gridCol w:w="1921"/>
        <w:gridCol w:w="1583"/>
        <w:gridCol w:w="1133"/>
        <w:gridCol w:w="893"/>
      </w:tblGrid>
      <w:tr>
        <w:trPr>
          <w:trHeight w:val="470"/>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序号</w:t>
            </w:r>
            <w:r/>
          </w:p>
        </w:tc>
        <w:tc>
          <w:tcPr>
            <w:tcBorders>
              <w:top w:val="single" w:color="000000" w:sz="2" w:space="0"/>
              <w:bottom w:val="single" w:color="000000" w:sz="2" w:space="0"/>
            </w:tcBorders>
            <w:tcW w:w="90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分项名称</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数量</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w:t>
            </w:r>
            <w:r/>
          </w:p>
        </w:tc>
        <w:tc>
          <w:tcPr>
            <w:tcBorders>
              <w:top w:val="single" w:color="000000" w:sz="2" w:space="0"/>
              <w:bottom w:val="single" w:color="000000" w:sz="2" w:space="0"/>
            </w:tcBorders>
            <w:tcW w:w="554"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产品类型</w:t>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单价上限</w:t>
            </w:r>
            <w:r/>
          </w:p>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（元）</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中小企业划分标准</w:t>
            </w:r>
            <w:r/>
          </w:p>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所属行业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属性</w:t>
            </w:r>
            <w:r/>
          </w:p>
        </w:tc>
        <w:tc>
          <w:tcPr>
            <w:tcBorders>
              <w:top w:val="single" w:color="000000" w:sz="2" w:space="0"/>
              <w:bottom w:val="single" w:color="000000" w:sz="2" w:space="0"/>
            </w:tcBorders>
            <w:tcW w:w="430"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政府强制采购节能产品（如有）</w:t>
            </w:r>
            <w:r/>
          </w:p>
        </w:tc>
      </w:tr>
      <w:tr>
        <w:trPr>
          <w:trHeight w:val="90"/>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智慧病房综合管理平台</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套</w:t>
            </w:r>
            <w:r/>
          </w:p>
        </w:tc>
        <w:tc>
          <w:tcPr>
            <w:tcBorders>
              <w:top w:val="single" w:color="000000" w:sz="2" w:space="0"/>
              <w:bottom w:val="single" w:color="000000" w:sz="2" w:space="0"/>
            </w:tcBorders>
            <w:tcW w:w="554"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主要产品</w:t>
            </w:r>
            <w:r/>
          </w:p>
        </w:tc>
        <w:tc>
          <w:tcPr>
            <w:tcBorders>
              <w:top w:val="single" w:color="000000" w:sz="2" w:space="0"/>
              <w:bottom w:val="single" w:color="000000" w:sz="2" w:space="0"/>
            </w:tcBorders>
            <w:tcW w:w="926" w:type="pct"/>
            <w:vAlign w:val="center"/>
            <w:textDirection w:val="lrTb"/>
            <w:noWrap w:val="false"/>
          </w:tcPr>
          <w:p>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软件和信息技术服务业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床旁交互终端软件</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套</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软件和信息技术服务业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护理白板子系统</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套</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软件和信息技术服务业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护理电子白板</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20000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护士站管理机</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8500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液晶走廊双面显示屏</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2</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12000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7</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病房门口机</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15</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4500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床旁交互终端</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30</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5400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9</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悬臂支架</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30</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1800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10</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床头屏（标准版）</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26</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1800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11</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输液监控</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10</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3500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12</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毫米波雷达边缘计算节点</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55000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13</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无线AP</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15</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4200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14</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毫米波雷达</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30</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2700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15</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智能手表</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5</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2000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16</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bookmarkStart w:id="86" w:name="OLE_LINK7"/>
            <w:r>
              <w:rPr>
                <w:rFonts w:hint="eastAsia" w:ascii="宋体" w:hAnsi="宋体" w:cs="Arial"/>
                <w:color w:val="000000" w:themeColor="text1"/>
                <w:sz w:val="22"/>
                <w14:textFill>
                  <w14:solidFill>
                    <w14:schemeClr w14:val="tx1"/>
                  </w14:solidFill>
                </w14:textFill>
              </w:rPr>
              <w:t xml:space="preserve">SAAS（病区智能健康监护系统） </w:t>
            </w:r>
            <w:bookmarkEnd w:id="86"/>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1</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套</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软件和信息技术服务业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430" w:type="pct"/>
            <w:vAlign w:val="center"/>
            <w:textDirection w:val="lrTb"/>
            <w:noWrap w:val="false"/>
          </w:tcPr>
          <w:p>
            <w:r/>
            <w:r/>
          </w:p>
        </w:tc>
      </w:tr>
      <w:tr>
        <w:trPr>
          <w:trHeight w:val="597"/>
        </w:trPr>
        <w:tc>
          <w:tcPr>
            <w:tcBorders>
              <w:top w:val="single" w:color="000000" w:sz="2" w:space="0"/>
              <w:bottom w:val="single" w:color="000000" w:sz="2" w:space="0"/>
            </w:tcBorders>
            <w:tcW w:w="268"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17</w:t>
            </w:r>
            <w:r/>
          </w:p>
        </w:tc>
        <w:tc>
          <w:tcPr>
            <w:tcBorders>
              <w:top w:val="single" w:color="000000" w:sz="2" w:space="0"/>
              <w:bottom w:val="single" w:color="000000" w:sz="2" w:space="0"/>
            </w:tcBorders>
            <w:tcW w:w="907" w:type="pct"/>
            <w:vAlign w:val="center"/>
            <w:textDirection w:val="lrTb"/>
            <w:noWrap w:val="false"/>
          </w:tcPr>
          <w:p>
            <w:pP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床头屏（多参数监护仪）</w:t>
            </w:r>
            <w:r/>
          </w:p>
        </w:tc>
        <w:tc>
          <w:tcPr>
            <w:tcBorders>
              <w:top w:val="single" w:color="000000" w:sz="2" w:space="0"/>
              <w:bottom w:val="single" w:color="000000" w:sz="2" w:space="0"/>
            </w:tcBorders>
            <w:tcW w:w="287"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4</w:t>
            </w:r>
            <w:r/>
          </w:p>
        </w:tc>
        <w:tc>
          <w:tcPr>
            <w:tcBorders>
              <w:top w:val="single" w:color="000000" w:sz="2" w:space="0"/>
              <w:bottom w:val="single" w:color="000000" w:sz="2" w:space="0"/>
            </w:tcBorders>
            <w:tcW w:w="315"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Arial"/>
                <w:color w:val="000000" w:themeColor="text1"/>
                <w:sz w:val="22"/>
                <w14:textFill>
                  <w14:solidFill>
                    <w14:schemeClr w14:val="tx1"/>
                  </w14:solidFill>
                </w14:textFill>
              </w:rPr>
              <w:t xml:space="preserve">台</w:t>
            </w:r>
            <w:r/>
          </w:p>
        </w:tc>
        <w:tc>
          <w:tcPr>
            <w:tcBorders>
              <w:top w:val="single" w:color="000000" w:sz="2" w:space="0"/>
              <w:bottom w:val="single" w:color="000000" w:sz="2" w:space="0"/>
            </w:tcBorders>
            <w:tcW w:w="554" w:type="pct"/>
            <w:vAlign w:val="center"/>
            <w:textDirection w:val="lrTb"/>
            <w:noWrap w:val="false"/>
          </w:tcPr>
          <w:p>
            <w:r/>
            <w:r/>
          </w:p>
        </w:tc>
        <w:tc>
          <w:tcPr>
            <w:tcBorders>
              <w:top w:val="single" w:color="000000" w:sz="2" w:space="0"/>
              <w:bottom w:val="single" w:color="000000" w:sz="2" w:space="0"/>
            </w:tcBorders>
            <w:tcW w:w="92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8000</w:t>
            </w:r>
            <w:r/>
          </w:p>
        </w:tc>
        <w:tc>
          <w:tcPr>
            <w:tcBorders>
              <w:top w:val="single" w:color="000000" w:sz="2" w:space="0"/>
              <w:bottom w:val="single" w:color="000000" w:sz="2" w:space="0"/>
            </w:tcBorders>
            <w:tcW w:w="763"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工业</w:t>
            </w:r>
            <w:r/>
          </w:p>
        </w:tc>
        <w:tc>
          <w:tcPr>
            <w:tcBorders>
              <w:top w:val="single" w:color="000000" w:sz="2" w:space="0"/>
              <w:bottom w:val="single" w:color="000000" w:sz="2" w:space="0"/>
            </w:tcBorders>
            <w:tcW w:w="546" w:type="pct"/>
            <w:vAlign w:val="center"/>
            <w:textDirection w:val="lrTb"/>
            <w:noWrap w:val="false"/>
          </w:tcPr>
          <w:p>
            <w:pPr>
              <w:jc w:val="center"/>
              <w:spacing w:line="264"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w:t>
            </w:r>
            <w:r/>
          </w:p>
        </w:tc>
        <w:tc>
          <w:tcPr>
            <w:tcBorders>
              <w:top w:val="single" w:color="000000" w:sz="2" w:space="0"/>
              <w:bottom w:val="single" w:color="000000" w:sz="2" w:space="0"/>
            </w:tcBorders>
            <w:tcW w:w="430" w:type="pct"/>
            <w:vAlign w:val="center"/>
            <w:textDirection w:val="lrTb"/>
            <w:noWrap w:val="false"/>
          </w:tcPr>
          <w:p>
            <w:r/>
            <w:r/>
          </w:p>
        </w:tc>
      </w:tr>
    </w:tbl>
    <w:p>
      <w:pPr>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hint="eastAsia" w:ascii="宋体" w:hAnsi="宋体"/>
          <w:color w:val="000000"/>
          <w:sz w:val="24"/>
          <w:szCs w:val="24"/>
        </w:rPr>
        <w:outlineLvl w:val="2"/>
      </w:pPr>
      <w:r/>
      <w:bookmarkStart w:id="87" w:name="_Toc120614281"/>
      <w:r>
        <w:rPr>
          <w:rFonts w:hint="eastAsia" w:ascii="宋体" w:hAnsi="宋体" w:cs="宋体"/>
          <w:bCs/>
          <w:color w:val="000000"/>
          <w:sz w:val="24"/>
          <w:szCs w:val="24"/>
        </w:rPr>
        <w:t xml:space="preserve">（一）技术要求</w:t>
      </w:r>
      <w:r/>
    </w:p>
    <w:p>
      <w:pPr>
        <w:ind w:firstLine="480"/>
        <w:spacing w:line="264" w:lineRule="auto"/>
        <w:rPr>
          <w:rFonts w:hint="eastAsia" w:ascii="宋体" w:hAnsi="宋体"/>
          <w:color w:val="000000"/>
          <w:sz w:val="24"/>
          <w:szCs w:val="24"/>
        </w:rPr>
      </w:pPr>
      <w:r/>
      <w:bookmarkStart w:id="88" w:name="_Hlk242346752"/>
      <w:r>
        <w:rPr>
          <w:rFonts w:hint="eastAsia" w:ascii="宋体" w:hAnsi="宋体"/>
          <w:color w:val="000000"/>
          <w:sz w:val="24"/>
          <w:szCs w:val="24"/>
        </w:rPr>
        <w:t xml:space="preserve">1、智慧病房综合管理平台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综合管理平台：采用B/S模式构建，Web浏览无需安装控件，支持不同账户远程访问系统管理平台；支持多系统集成于同一管理平台，包含医护对讲系统、物联网管理系统、护理大屏系统、床旁交互系统等以及第三方集成平台（如生命体征、输液监测和院内定位等），实现互联互通功能统一管理。支持系统间的互联互通、数据采集融合功能。</w:t>
      </w:r>
      <w:r>
        <w:rPr>
          <w:rFonts w:hint="eastAsia" w:ascii="宋体" w:hAnsi="宋体"/>
          <w:color w:val="000000"/>
          <w:sz w:val="24"/>
          <w:szCs w:val="24"/>
        </w:rPr>
        <w:br/>
      </w:r>
      <w:r>
        <w:rPr>
          <w:rFonts w:hint="eastAsia" w:ascii="宋体" w:hAnsi="宋体"/>
          <w:color w:val="000000"/>
          <w:sz w:val="24"/>
          <w:szCs w:val="24"/>
        </w:rPr>
        <w:t xml:space="preserve">    （2）多种操作系统部署：支持包括但不限于Linux 、Ubuntu、等国产操作系统；多种数据库部署：支持包括但不限于人大金仓等国产数据库。</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双重容错保障机制：一是支持双机热备功能，平台可同时部署在2台或2台以上的服务器上，当一台服务器宕机后，其余服务器可继续运行，保障整个系统继续正常使用；二是支持服务器与前端设备功能流转，系统可主动监测服务器的工作状态，一旦发现服务器宕机、停电和重启等故障，能够迅速做出响应，并将服务处理转移至前端设备，以保障系统的正常呼叫对讲。（需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（4）账户登陆：可通过护士、护士长、医生、管理员等系统角色的形式将功能权限分配给相关用户，登录后自动显示对应权限的功能模块;支持记住账户密码、动态验证码功能。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（5）床位详情：支持对每一个床位详情进行查看和编辑，其中包括患者的基本信息、换床信息、服药提醒计划、手术信息和安排、交接班记录的、护理标签的选择。</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患者信息：可查看患者的基本信息包括“床位名称、所属科室、所属病区、住院号、住院流水号、患者姓名、患者年龄、患者性别、床位代码、诊断结果、二维码编码、VTE评分、责任医生、责任护士、入院时间、出院时间、护理级别、病情症状、过敏类型、隔离类型、饮食状况、安全防范”，可对患者进行“出院”操作；可对患者进行“出院”操作；支持在网页端查看患者医嘱、检验检查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手术信息：可查看患者的手术相关信息，包括“手术室名称、手术间号、手术台号、手术名称、手术医生、麻醉医生、麻醉方式、手术状态、术前诊断、手术计划开始时间、手术实际开始时间、手术实际结束时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（8）房态图：支持全院病房数据查看，可根据登录账号的权限分配不同范围病房数据，显示每个病房内的床位数与患者，可根据病区、科室、病房名称、满床状态进行检索。</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（9）排班管理：支持对医护人员排班进行管理，可以自定义排班周期，支持添加编辑以及删除医生、护士排班信息，方便在医生管理和护士管理设置排班。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护理行为统计：支持以图表形式显示各个病区的呼叫次数；显示所有病区的平均呼叫次数；按每天/每小时显示各个病区的呼叫响应时间；显示所有病区的平均呼叫响应时间；按每天/每小时显示各个病区呼叫处理时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（11）患者体征数据：支持查看患者体征数据、睡眠综合情况、心率呼叫情况、体动情况、呼吸率情况、离床情况等分析报告以及月分析报告，并支持导出数据信息。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（12）医院信息管理：支持上传医院logo、院区名称、组织代码、地址、床位数量、医院介绍等基础信息，为多院区统一管理提供基础信息服务。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（13）科室管理：支持手动添加、一键导入全院科室、同步HIS数据中的科室信息，可根据可科室名称搜索、选择编辑科室相关数据，包括但不限于科室名称、科室地址、科室电话、科室负责人、科室介绍等信息。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（14）病区管理：支持手动添加病区、批量导入病区数据或同步HIS中病区信息，可按照名称搜索病区并选择编辑科室相关数据，包括病区名称、地址、归属/关联科室、病区电话、病区护士长、病区简介等信息。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床位管理：支持手动添加、一键导入全院病床数据，同步HIS数据中的病床数据，可按照床位名称、科室、病区进行搜索和筛选病床，选择编辑病床数据，包括床位名称、所属科室、所属病区、所属病房、管床医生、管床护士、床位类型等信息；支持换床管理，可选择需更换的床位和更换时间，同时可以显示对应的换床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（16）呼叫组管理：可根据不同科室、不同病区的需要设定呼叫的通知对象，支持配置主呼叫组和超时呼叫组，当主呼叫组无法使用和接通时，系统将自动转移到超时呼叫组，可自定义转移策略。</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（17）消息通知：支持选择主动下发和定时下发通知消息，每条消息通知的范围可按病区、科室、病房、患者姓名进行筛选自定义下发。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（18）智能消息下发：支持按照病区、科室设置其多类型智能消息提醒，设置后和根据患者诊断及护理安排智能下发消息，设置包括手术提醒、检查项目提醒、欠费提醒，生日祝福提醒等不同类型。</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（19）生日祝福提醒：支持在患者生日当天进行祝福提醒，可选择提醒时间点、生日图标提醒、祝福文字、祝福视频。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问卷调查：支持管理员统一管理全院的调查问卷题库，自定义创建问卷并选择下发到不同科室、病区，对已经下发的问卷做数据统计分析，并支持展示问卷的各类统计信息；支持在新建或编辑问卷的时候直接引用题库中的题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（21）备忘录：支持选择创建重要信息或普通信息的备忘录，创建后的备忘录将同步在护士站护理大屏展示，同时记录本次备忘录的编辑人员和更新时间。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（22）服药提醒：支持根据设置的“服药时间、周期、提醒方式、频率、药物清单”对患者进行提醒，同时可查看患者的历史服药记录。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宣教通知：支持医护人员选择适当的视频、音频、图片、文章等宣教内容，并将其下发给需要接受宣教的患者，也可以设置定时提醒和推送功能，将宣教内容发送给患者。通过设置完成的时间和频率，确保患者能够及时收到宣教内容的提醒和推送。支持统计为各个患者分发的宣教内容的观看状态、观看次数以及观看时长。</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（24）事件处理查询：支持对各类事件处理情况的信息查询，包括对呼叫、输液、报警（跌倒报警、卫生间报警）等事件的处理情况，可按照科室、病区、时段筛选查询上述各类事件处理信息，支持导出和打印。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（25）门禁信息查询：支持查看门禁的开门记录，包括设备名称、出入状态、用户姓名、卡号、开锁类型（远程开门、刷卡开门、人脸开门、密码开门等）、开门时间、开门人脸记录。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（26）留言留影备份：支持对院内各科室、病区的留言留影定时上传到平台备份，平台端可按照科室、病区进行筛选并查看留言留影内容，可自定义备份空间的容量和备份内容的保留时间。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27）医护站登录记录：支持医护人员通过前端设备人脸识别、密码、刷卡、移动手持终端扫码登入并生成医护站登录记录，同时上传至服务器可以随时查阅，支持根据科室、病区、设备类型、登录方式、开始时间、结束时间、输入用户姓名、输入卡号等进行组合筛选和导出与打印；支持显示设备名称、设备类型、登录方式、用户名称、登录时间、卡号、科室、病区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（28）呼叫报警通知：支持在网页端接收患者的呼叫信息、报警信息，包括普通呼叫、输液报警、卫生间报警等信息提醒。</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（29）支持定位系统对接：通过前端管理机、床头分机、门口机、床旁设备等设备用于物联网定位系统的接入，从而实现展示患者、医护人员实时运行轨迹记录。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30）设备管理：支持对床头智能终端、床旁智能终端、病房智能终端、走廊显示屏、医护管理机、值班室分机、家属探视分机、护理智能看板、手持机、无线网关、探视大屏等终端设备进行对接、管理，具备设备添加、删除、划归病区等功能。支持对单个或多个设备进行在线升级，设备升级过程中除升级设备本身外，其他所有设备均能正常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（31）系统支持不少于100个用户并发登录,系统呼叫响应时间小于0.1秒,登录响应时间小于0.2秒,支持不少于4000个终端的分机负载。（成交后提供第三方专业检测机构出具的的检验报告复印件佐证）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32）自定义UI模板：支持通过平台端对终端显示设备进行模板的界面设计，保存后直接下发修改到终端显示设备，可根据不同病区、科室下发不同的UI模板，同时具备完善的医护人员排班、病区公告信息、护理标识预警颜色等管理功能界面设计。（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33）终端界面模板设计功能：系统支持模板设计功能，并且出厂内置不少于30种以上模板；支持自定义从0到1设计床头卡、门口机、护理白板、护理看板、床旁终端、LCD走廊屏主页界面；支持基础组件、布局组件、高级组件等多种组件方式；支持文本、矩形、图片、普通容器、渐变文本多种组件；支持设置组件的尺寸、位置、背景颜色、圆角、内边距；支持墨水屏设备的模板设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（34）节假日模板：支持根据节假日自动切换不同的节日模板，包括生日、元旦、春 节、建军节、劳动节、端午节、国庆节、中秋节等节日，系统自带不少于8套节日模板。</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（35）宣教视频管理：支持上传宣教视频形成宣教资源库，并按照病区、科室、宣教类型（包括但不限于注意事项宣教、检查宣教、药物宣教、饮食宣教）进行分类，支持按照视频观看率进行筛选。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（36）题库管理：管理员统一管理全院的调查问卷题库，展示答卷的各类统计信息以及问卷的排序等相关操作，方便在新建或编辑问卷的时候直接引用题库中的题目。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（37）音频广播单：支持音频广播单管理，可以查看音频广播节目单名称、所属科室、病区、是否启用、当前广播单播放时段；支持手动下发；支持定时播放。</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（38）护理标签配置：支持自定义配置院区内护理标签，可对标签的图标、字体大小、背景颜色、字体颜色进行编辑。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（39）系统支持信创目录设备、国产数据库产品、国产操作系统（Linux Centos 、Ubuntu）及中间件，兼容医院现有使用的多种浏览器；（成交后提供兼容性认证证书）</w:t>
      </w:r>
      <w:r>
        <w:rPr>
          <w:rFonts w:hint="eastAsia" w:ascii="宋体" w:hAnsi="宋体"/>
          <w:color w:val="000000"/>
          <w:sz w:val="24"/>
          <w:szCs w:val="24"/>
        </w:rPr>
        <w:br/>
      </w:r>
      <w:r>
        <w:rPr>
          <w:rFonts w:hint="eastAsia" w:ascii="宋体" w:hAnsi="宋体"/>
          <w:color w:val="000000"/>
          <w:sz w:val="24"/>
          <w:szCs w:val="24"/>
        </w:rPr>
        <w:t xml:space="preserve">    ▲（40）睡眠报告及查询功能：支持接入人体跌倒报警雷达、呼吸心率雷达、智能床垫等设备，查看患者的睡眠报告，包括呼吸率、心率、深睡时间、浅睡时间、体动次数以及清醒时间等信息；可按照科室、病区患者姓名筛选并查看每位患者的睡眠检测报告。（成交后提供平台功能界面截图证明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2、床旁交互终端软件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（1）护理信息：展示患者信息，信息同步HIS系统，包括饮食事项、过敏事项、防范事项、护理等级、年龄、性别、入院时间、住院编号；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我的消息通知：消息通知可在‘我的信息’中反复查看，点击首页中‘我的信息’进入通知页面。包括消息通知、公告通知，支持检查预约通知、手术安排通知、查房通知、续费提示通知、生日、白天等日程进行推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入院须知：管理机可向床旁终端推送入院须知，下发后床旁终端会进入入院须知界面，引导患者进行查看和确认。可以通过“我已阅读”按键，将自己的阅读情况远程反馈给护士站进行查看。同时阅读记录会上传后台进行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（4）医院介绍：患者可以在床旁终端点击‘医院介绍’功能，查阅医院/科室的介绍。通过了解自己所住科室的强项，历史等信息，解除患者焦虑，入住更加安心；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（5）问卷调查：床旁终端显示当前病区的问卷调查，患者可以方便的进行服务反馈，护理质量反馈，提交后，可以在管理后台查看每份问卷的统计信息；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医嘱查询：护士可以在床旁终端方便快捷的查询长期医嘱/临时医嘱。有助于护士进行三查七对工作，并且表明医嘱状态，可以提升护士的护理质量，和减少医疗事故的发生。同时也让医生的床旁查房时更加方便快捷的核对医嘱，不容易遗漏关键信息，提升医疗质量和护理质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（7）费用清单：患者和陪护人员可以查询每日费用清单，护士可以通过费用清单了解到患者的费别，缴费情况等信息；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报告查询：患者可以在床旁及时查看检查报告和检验报告，减少患者或陪护来回跑动拿取纸质报告的负担；医生和护士在床旁就可以查看患者的相关报告，更加及时，同时也让医生的床旁查房更加方便快捷的核对病情发展，不容易遗漏关键信息，提升医疗质量和护理质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（9）院内服务：支持院方接入第三方的二维码提供费用结算、订餐服务、订餐二维码、护工服务、推车服务等院内服务功能；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（10）音视频对讲：患者可以在床旁终端呼叫护士，和护士通过音频或视频沟通需求，表述更加清楚，需求更加明确，沟通更加通畅；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（11）输液告警：患者可以通过手柄上的功能键提示护士输液完毕，以便快速识别患者需求，提前做到护理准备；</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（12）视频探视：面对隔离病患，家属在医院可以进行视频探视，床旁终端也可以更加清晰的让患者和家属进行探视，大屏幕双方画面展示更好，沟通更加顺畅；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（13）护理记录：支持查阅医护人员对患者执行的护理记录，同时可查阅患者的关键体征数据（体温、心率、脉率、血压、呼吸、血氧饱和度、ADL以及意识等内容），便于医护人员床旁交接班；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巡视记录：支持通过床旁智能终端刷脸、刷卡或密码登入、PDA扫码等多种登陆方式，支持在后台查看医护站登陆记录；支持登陆医护站后同步生成巡视记录；支持查看今天、昨天、近7天以及近30天巡视记录情况，记录内容包含巡视人、巡视时间、巡视间隔时长、上次巡视时间以及上次巡视人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（15）护理任务：支持护理任务包括护理状态、护理类型、项目名称等的信息查询；</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（16）医学计算器：支持医学计算器包括静脉输液滴速、平均动脉压、日胰岛素用量等的工具；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（17）预约检查：支持患者的预约检查计划的信息查询；</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（18）手术安排：支持患者的手术安排的信息查询；</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（19）患者任务：支持按时间顺序展示该床位患者的今日待执行治疗计划，可根据全部、注射、用药、治疗、体征等类别分类筛选；支持在任务执行前15分钟（时间可通过后台配置）弹窗提示患者；</w:t>
      </w:r>
      <w:r>
        <w:rPr>
          <w:rFonts w:hint="eastAsia" w:ascii="宋体" w:hAnsi="宋体"/>
          <w:color w:val="000000"/>
          <w:sz w:val="24"/>
          <w:szCs w:val="24"/>
        </w:rPr>
        <w:br/>
      </w:r>
      <w:r>
        <w:rPr>
          <w:rFonts w:hint="eastAsia" w:ascii="宋体" w:hAnsi="宋体"/>
          <w:color w:val="000000"/>
          <w:sz w:val="24"/>
          <w:szCs w:val="24"/>
        </w:rPr>
        <w:t xml:space="preserve">    ▲（20）血糖感知：支持为测血糖医嘱患者自动生成自主用餐反馈功能，在患者用餐反馈2小时后自动提醒护士进行血糖测量，并在后台生成对应记录；疼痛反馈：集成面部表情疼痛评估法，支持患者在床旁进行疼痛反馈，并在后台生成反馈记录；睡眠分析功能：支持通过毫米波雷达技术对患者的在床、离床，清醒、浅睡、深睡、翻身次数等数据进行统计并输出睡眠统计报告。(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（21）护理定位功能：支持一键开启护理定位功能，当开启护理定位功能时，可接收和处理其他床旁终端、床头终端的呼叫信息；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医护模式切换：支持医护人员通过人脸识别、刷卡或密码登入、PDA扫码登录的方式将床旁智能终端切换至医护模式，可实现护理定位、增援呼叫、护理计时、记录、医嘱查询、巡视记录、护理任务、医学计算器等医护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3.护理白板子系统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（1）病区概况信息：可查看各级患者总数、患者床位号和患者名字（默认脱敏）；支持转床信息自动同步。</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（2）患者总数统计：今日出院人数、今日入院人数、转出人数、转入人数、换床人数及显示相应床位号。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（3）高危患者显示：可查看“高危压疮、高危跌倒、高危拔管、高危压力性损伤”对应的患者总数和患者床位号。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（4）预约检查信息：患者信息、是否完成检查、检查项目、时间点。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（5）支持展示每个病区患者今日检查和明日检查信息；展示内容包含患者姓名、预约时间、检查名称、检查类型、状态等信息，方便医护人员及时了解患者检查情况。</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（6）特殊用药患者列表：支持显示特殊用药患者列表。</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（7）值班人员信息：在护理大屏上显示值班医生，可在护理大屏上选择添加值班医生信息。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（8）备忘录：支持显示备忘录，可查看备忘录的“信息类型（普通信息/重要信息）、过期时间、备忘录内容”。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（9）紧急通知消息：支持平台上发布紧急通知信息，通过护理大屏通知到全院或者指定的病区。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（10）特殊提醒：对患者的特殊用药与派发、护理任务时间针对提醒、术后患者回病房等特殊提醒。</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（11）护士排班显示：显示病区每日护士排班人数、排班时间段以及排班班次等情况。</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（12）患者信息：显示当前病区所有患者的患者信息，包括床位号、护理等级、患者姓名、性别、年龄、入院时间、住院号、诊断、过敏、饮食、责任医生、责任护士。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（13）模式切换功能：支持护理大屏切换普通病区、保健中心、ICU病区模式。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输液一览表：支持实时展示病区内输液进度，包括输液总量、输液余量、输液状态、滴速、输液剩余时间等；持接收输液报警，包括输液结束报警，输液滴速过快/过慢报警，低电量报警，设备离线报警等报警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（15）模板设计：支持模板设计功能，可对护理白板首页展示的信息字段、布局、颜色、字体大小进行任意调整。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（16）患者导管信息查询：患者床位号、姓名（脱敏）、导管风险、导管名称、置管周期、换药时间。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（17）手术信息查询：可查看今日、明日手术情况，查看患者“床位号、患者姓名（脱敏）、手术名称、手术状态”。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（18）今日治疗任务及床位分配：可查看不同职工今日治疗任务以及床位号。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（19）体征信息查询：支持查询体征信息。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（20）检查报告查询：支持查询患者检查报告。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（21）查询患者一览表：显示患者信息，诊断，食物注意事项，过敏，责任医生，责任护士，可支持 60-70 个床位患者信息的同时展示。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（22）护理记录：支持编辑不同床位的护理记录。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（23）接收呼叫信息功能：当床头智能终端、床旁智能终端、病房智能终端呼叫、增援、输液完毕以及卫生间报警等类型的消息，护士站智慧终端将接收相关信息提示，并多个呼叫信息可一键处理。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（24）紧急通知：支持平台发布紧急通知到全院或选择的病区。</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（25）交班记录：显示当前病区全部患者的交接班记录，包括交班记录和患者信息（床位号、患者姓名、性别、年龄、住院号、入院天数、主治医生、责任护士、饮食、过敏、入院时间等。</w:t>
      </w:r>
      <w:r>
        <w:rPr>
          <w:rFonts w:hint="eastAsia" w:ascii="宋体" w:hAnsi="宋体"/>
          <w:color w:val="000000"/>
          <w:sz w:val="24"/>
          <w:szCs w:val="24"/>
        </w:rPr>
        <w:br/>
      </w:r>
      <w:r>
        <w:rPr>
          <w:rFonts w:hint="eastAsia" w:ascii="宋体" w:hAnsi="宋体"/>
          <w:color w:val="000000"/>
          <w:sz w:val="24"/>
          <w:szCs w:val="24"/>
        </w:rPr>
        <w:t xml:space="preserve">    ▲（26）体征监测功能：支持</w:t>
      </w:r>
      <w:r>
        <w:rPr>
          <w:rFonts w:hint="eastAsia" w:ascii="宋体" w:hAnsi="宋体"/>
          <w:color w:val="000000"/>
          <w:sz w:val="24"/>
          <w:szCs w:val="24"/>
        </w:rPr>
        <w:t xml:space="preserve">通过毫米波雷达技术对对患者的体征数据包括心率、呼吸率以及在床、离开床以及睡眠状态进行监测，点击可查看患者的心率波形以及呼吸率波形还有人员在床、体动、深睡等数据，包括床位监测历史；体征监护联动：支持与生命体征智能测量终端、智能监护仪、耳温枪、电子血压计、血氧仪、定位手环、胸牌、人体跌倒报警雷达、呼吸心率雷达等病房患者监护设备联动，展示患者体温、血压、血氧、呼吸、心率、心率波形、呼吸率波形、在床、离床、跌倒状态、驻留时长等信息，针对数据异常情况，进行联动报警。（成交后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4.护理电子白板</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（1）屏幕尺寸≥65英寸，分辨率≥3840 * 2160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（2）整机亮度≥350cd/㎡</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（3）动态对比度≥1200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（4）可视角度(上下/左/右)： 89/89/89/89 (Min.)</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（5）屏幕比例：16:9</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（6）CPU≥八核，主频≥ 1.5GHz</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（7）运行内存≥4GB</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（8）机身存储≥32GB</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（9）无线通信：wifi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（10）操作系统：不低于开源鸿蒙5.0</w:t>
      </w:r>
      <w:r>
        <w:rPr>
          <w:rFonts w:hint="eastAsia"/>
        </w:rPr>
        <w:t xml:space="preserve">或</w:t>
      </w:r>
      <w:r>
        <w:rPr>
          <w:rFonts w:hint="eastAsia" w:ascii="宋体" w:hAnsi="宋体"/>
          <w:color w:val="000000"/>
          <w:sz w:val="24"/>
          <w:szCs w:val="24"/>
        </w:rPr>
        <w:t xml:space="preserve">Android 12</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（11）接口包含但不限于HDMI*1，USB*2，TF卡输入*1，RJ网络输入*1，LINEOUT*1</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红外识别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（12）≥10点触摸，响应时间 ≤5ms</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（13）带钢化玻璃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（14）安装方式：壁挂安装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5.护士站管理机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★（1）显示屏：≥15.6英寸IPS液晶屏，分辨率：1920*1080；运行内存≥4GB，机身存储≥32GB；CPU≥四核64位，主频≥2.0GHz；GPU≥四核，主频最高≥800MHz；NPU≥1T算力；WIFI：支持802.11a/b/g/n/ac/ax协议，WIFI6(802.11 ax协议)，支持2.4GHz频段和5GHz频段；蓝牙：支持蓝牙5.0版本，支持双模蓝牙。（成交后提供产品彩页或检测报告或功能规格书）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（2）操作系统：不低于开源鸿蒙5.0或不低于Android 12（成交后提供第三方专业检测机构出具的检验报告复印件佐证）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（3）触控：电容式触摸屏，支持≥10点触控。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（4）具备刷卡模块，支持识别医护IC身份卡；支持IC卡读卡模块以及NFC识别。</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（5）多媒体：支持4K 60fps H.265/H.264/VP9视频解码，支持1080P 60fps H.265/H.264视频编码，支持8M ISP，支持HDR；</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（6）音频：G.711/G.729编解码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（7）网络：10-100Mbps 自适应</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（8）通信协议：TCP/IP</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（9）通话手柄采用有线连接，信号传输稳定，声音质量良好。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（10）支持多屏异显，支持eDp/HDMI2.0等接口；支持USB3.0等接口；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（11）接口包含但不限于RS485物联网接口*1、4路防区报警接口、电源接口*1、RJ45网口*1、HDMI接口*1</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（12）喇叭正面出声，声音效果好，同时避免环境遮挡。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（13）供电方式:支持电源适配器供电、POE供电、电源箱集中供电三种方式。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（14）静电防护等级：接触放电不小于±15KV，空气放电不小于±20KV。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床位一览表：展示病区内所有显示患者信息以及诊断、食物、防护、过敏等信息，支持分页预览，统计各护理等级人数。每个床位模块显示对应患者的姓名、年龄、性别等患者基本信息、床位信息、住院号信息、入院时间、责任医生信息、责任护士信息、护理等级等内容，支持自动更新信息；支持显示当前病区所有床头/床旁设备在线、离线、护理中等状态；支持在患者生日时显示生日图标；支持点击床位格子后选择下呼到对应床位的床旁终端、床头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（16）病房一览表：支持展示当前病区所有病房的病房格子；展示病房内的床位号；支持通过对接跌倒检测雷达实时展示病房的卫生间状态：卫生间无人、卫生间有人、卫生间长期驻留异常。</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（17）同步HIS数据：实时更新床位关联患者信息数据。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通讯录：系统自动按科室生成内部通讯录，告别记背枯燥的数字，找人更高效，在管理机的通讯录界面上，可以直接点击对应的管理机或者副机名称，就能直接呼叫过去，接听后通话对讲;也可以根据类型来查找要呼叫的目标，比如管理机类型。</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（19）不间断呼叫：支持管理机显示多路分机的呼叫，并记忆保持，不论管理机是在待机、通话、还是广播状态下，分机均能正常呼入。</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（20）呼叫队列可视化：当有多个呼叫的时候，医护管理机上会有呼叫的队列显示，支持选择接听。</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（21）呼叫未处理提醒：按规则生成未处理事件，每次呼叫或者报警未被处理的事件上都会生成一条未处理事件记录。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（22）一键呼叫保安：可通过医护管理机主页一键呼叫指定值班安保室对应终端设备，呼叫安保按钮特殊颜色标记，方便医护人员快速识别定位。</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（23）呼叫语音反馈：接收到床头端输液完毕呼叫请求后，可进行知晓处理，患者床头端会有“护士已知晓，请稍等片刻”的语音反馈。（成交后提供第三方专业检测机构出具的检验报告复印件佐证）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双向对讲：可与其他管理机双向对讲；可与床头智能终端、病房智能终端、病区门禁机对讲；通话页面可进行关闭麦克风、通话保持、通话转移至其它管理机、挂断等操作；对讲方式包括免提、摘机，可自由切换。</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（25）通话转移，接听患者呼叫请求后可将该通话转接至其他医护管理机。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（26）多路通话：支持一病区多管理机模式，当一个正在通话中时，不影响其他管理机等终端处理患者呼叫。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27）呼叫托管：可设置托管管理机，床头、门口等分机的呼叫统一转移到被托管管理机上处理；支持立即托管与定时段托管模式。定时托管模式可设置每天重复、设置重复日期；开启托管后，将按所设定的时间段进入托管，直至手动取消托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（28）呼叫记录：展示病区历史呼叫记录（呼入、呼出、未处理记录），包括呼叫方向、类型、呼叫设备、时间、通话时长等信息；支持在呼叫记录里面通过房间号、床号、呼叫类型来快速查找呼叫记录。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（29）通讯录查询:支持查询医护管理机名称、医护管理机类型、移动终端类型。</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30）接收呼叫：支持对接收的呼叫信息进行汉字语音播报，支持接听、挂断、知晓三种形式的处理呼叫方式，知晓后只会挂断在当前终端的呼叫请求，而不影响其他终端呼叫接收；支持手持端PDA显示所有医护主机接收到的呼叫信息，支持接听、挂断两种形式的处理呼叫方式，支持分组接收呼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（31）支持患者信息管理：采用多点触控电容显示屏，通过触控方式显示整个病区患者的名字、性别、护理等级以及其他详细信息。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32）异常报警：支持开启体征监测雷达和跌倒监测雷达的报警通知；支持的报警类型包括：离床提醒、长时间离床未归、长时间未离床、心率异常、呼吸异常、跌倒报警、长期驻留等报警类型；支持对每一位患者设定不同的报警触发条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（33）同步显示：病床智能终端、分机呼叫，医护管理机、病房智能终端、双面走廊屏可同步显示各个床位患者呼叫信息。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34）支持多种管理模式切换：支持普通病区管理模式、传染病区管理模式、ICU病区管理模式等多种管理模式的灵活配置，不同模式下在界面功能、风格等方面具有不同的显示形式，同时各个模式下均可选择设置免打扰管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35）体征监测功能：支持通过毫米波雷达技术对对患者的体征数据包括心率、呼吸率以及在床、离开床以及睡眠状态进行监测，点击可查看患者的心率波形以及呼吸率波形还有人员在床、体动、深睡等数据，包括床位监测历史；体征监护联动：支持与生命体征智能测量终端、智能监护仪、耳温枪、电子血压计、血氧仪、定位手环、胸牌、人体跌倒报警雷达、呼吸心率雷达等病房患者监护设备联动，展示患者体温、血压、血氧、呼吸、心率、心率波形、呼吸率波形、在床、离床、跌倒状态、驻留时长等信息，针对数据异常情况，进行联动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（36）护士进入及定位功能：配合门口操作、门口分机的护士进入功能，支持查看病区护士所在房间位置及查看哪些房间有护士进。</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（37）留言功能：支持录制、查看、删除音频文件，同时设置有信息已读、未读提示。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38）广播喊话：支持自定义全区、分区广播喊话，进行播报喊话时，发出“叮咚”提示，给予患者提醒，避免突然发声导致患者惊吓，支持外接音源播放。支持远程传输媒体文件并进行广播，广播的同时可以进行通话对讲。</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（39）在线检测：支持对本机和床头智能终端的网络状态实时检测，当网络异常，如网络无法连接服务器、IP地址冲突等均可以直观展示，方便调试、检修和维护。</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（40）消息推送：支持通过患者详情页对该床位的床旁终端、床头机下发消息并在管理平台实时显示消息阅读状态；可发送的消息类型包括：手术提醒、预约检查提醒、欠费提醒、生日祝福、宣教信息。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（41）血糖测量提醒、疼痛处理提醒：支持显示床旁智能终端反馈的疼痛、血糖测量提醒。</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（42）早期预警提示功能：支持根据体征监测数据计算早期预警评分，当预警评分达到预警值时进行报警提示。</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（43）宕机呼叫：服务器重启、宕机、停电等特殊情况均不影响正常患者向医护主机的呼叫功能，可正常接收呼叫、音频对讲、文件广播、录音存储，呼叫记录存储在医护主机上，等恢复后重新上传。</w:t>
      </w:r>
      <w:r>
        <w:rPr>
          <w:rFonts w:hint="eastAsia" w:ascii="宋体" w:hAnsi="宋体"/>
          <w:color w:val="000000"/>
          <w:sz w:val="24"/>
          <w:szCs w:val="24"/>
        </w:rPr>
        <w:br/>
      </w:r>
      <w:r>
        <w:rPr>
          <w:rFonts w:hint="eastAsia" w:ascii="宋体" w:hAnsi="宋体"/>
          <w:color w:val="000000"/>
          <w:sz w:val="24"/>
          <w:szCs w:val="24"/>
        </w:rPr>
        <w:t xml:space="preserve">    6.液晶走廊双面显示屏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（1）显示屏≥28.6英寸</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（2）分辨率≥1920*560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（3）CPU≥四核,主频≥2.0GHz</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（4）操作系统不低于OpenHarmony5.0</w:t>
      </w:r>
      <w:r>
        <w:rPr>
          <w:rFonts w:hint="eastAsia"/>
        </w:rPr>
        <w:t xml:space="preserve">或</w:t>
      </w:r>
      <w:r>
        <w:rPr>
          <w:rFonts w:hint="eastAsia" w:ascii="宋体" w:hAnsi="宋体"/>
          <w:color w:val="000000"/>
          <w:sz w:val="24"/>
          <w:szCs w:val="24"/>
        </w:rPr>
        <w:t xml:space="preserve">Android 12</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（5）运行内存≥4GB</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（6）机身存储≥32GB</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（7）网络≥10-100Mbps自适应</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7.病房门口机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★（1）显示屏≥15.6英寸IPS液晶屏，分辨率≥1920*1080；运行内存≥4GB，机身存储≥32GB；CPU≥四核64位，主频≥2.0GHz；GPU≥四核，主频最高800MHz；NPU:≥1T算力；WIFI：支持802.11a/b/g/n/ac/ax协议，WIFI6(802.11 ax协议)，支持2.4GHz频段和5GHz频段；蓝牙：支持蓝牙5.0版本，支持双模蓝牙。（成交后提供产品彩页或检测报告或功能规格书）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（2）操作系统：不低于开源鸿蒙5.0</w:t>
      </w:r>
      <w:r>
        <w:rPr>
          <w:rFonts w:hint="eastAsia"/>
        </w:rPr>
        <w:t xml:space="preserve">或</w:t>
      </w:r>
      <w:r>
        <w:rPr>
          <w:rFonts w:hint="eastAsia" w:ascii="宋体" w:hAnsi="宋体"/>
          <w:color w:val="000000"/>
          <w:sz w:val="24"/>
          <w:szCs w:val="24"/>
        </w:rPr>
        <w:t xml:space="preserve">Android 12</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（3）触控：电容式触摸屏，支持≥10点触控。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（4）具备刷卡模块，支持识别医护IC身份卡；支持IC卡读卡模块以及NFC识别。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（5）设备自带门灯，一体化设计，门灯颜色7色。</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▲（6）多媒体：支持4K 60fps H.265/H.264/VP9视频解码，支持1080P 60fps H.265/H.264视频编码，支持8M ISP，支持HDR；支持多屏异显，支持eDp/HDMI2.0/MIPI/LVDS/24bit RGB等接口；支持USB3.0/PCIE3.0/PCIE2.1/SATA3.0等接口；（成交后提供相应芯片官方网站详细参数截图佐证）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（7）网络：10-100Mbps 自适应</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（8）通信协议：TCP/IP、RTSP、SIP</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（9）接口包含但不限于RS485物联网接口*1、4路防区报警接口、电源接口*1、RJ45网口*1</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（10）供电方式:支持电源适配器供电、POE供电、电源箱集中供电三种方式。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（11）静电防护等级：接触放电不小于±15KV，空气放电不小于±20KV。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（12）支持显示医院名称、医院LOGO、房间号、床位号，并显示患者姓名、护理等级等以及责任医生、责任护士头像，信息可根据后台设置显示或者隐藏，支持自定义背景设置，支持隐藏姓名中单字以*代替。</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（13）病房类型切换：支持医护人员在刷卡或密码验证后，根据病房情况选择、修改病房类型（如普通病房、隔离病房、感染病房、VIP病房）并同步信息至管理平台。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（14）医生信息显示：支持显示该房间的责任护士姓名、责任医生姓名,点击头像可查看相应职工的简介。</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（15）宣教视频查看：支持图文、音频、视频等形式展示诸如护理区简介等宣教文章，实现走廊宣教等功能。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（16）接收广播播放：可通过网络接收医护管理机的MP3文件广播或喊话。</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支持输液功能：展示病房内患者输液剩余时间、滴速、剩余时间、输液状态，可根据用户自由配置需求；当输液异常情况或者输液完成时，病房门口机联动显示病房输液情况。（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（18）患者状态：支持在门口机查看患者的状态，包括离床、在床、输液中、输液完毕、手术中、治疗中、检查中等。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（19）系统呼叫联动：支持脱机、宕机呼叫。当病区网络与中心服务器平台断开连接时，仍可实现医护管理机、病房智能终端和病床智能终端设备之间呼叫联动功能，同时支持10台设备呼叫联动。</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（20）护理定位：护士按下病房智能终端上的“护理”按键或刷卡触发定位，该病房智能终端信息提示灯常亮绿色，提示护士位置。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（21）隔离场景呼叫：支持呼叫医护管理机或本病房内的特定患者床位，在隔离场景下减少进入房间与护患接触的次数。</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（22）呼叫处理：患者发起呼叫后，门口分机可以处理相应呼叫，包括“接听”“挂断”“知晓”三种处理方式，接听后与患者进行双工对讲。</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（23）节日模板功能：支持根据节假日自动切换不同的节日模板，包括元旦、春节、建军节、劳动节、端午节、国庆节、中秋节等节日，系统自带7套模板。</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（24）呼叫功能：支持同步显示患者求助和医护对讲事件，包括分机呼叫、换药提醒、按钮报警、增援等提示信息，医护人员在走廊可通过就近的门口分机查看到具体的提示信息。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（25）IP组网：采用IP组网方式，基于TCP/IP网络协议传输对讲语音和数据信息。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（26）双向对讲：可呼叫医护管理机，进行双向对讲。</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（27）分时段音量设置：支持单独设置白天、夜晚病房智能终端的呼叫音量、通话音量。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（28）IP地址冲突检测：可实现实时提醒IP地址冲突功能。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（29）屏幕旋转功能：支持一键屏幕旋转功能，包括横屏、竖屏、反向横屏、反向竖屏四种不同的角度设置，适用于不同的安装使用场景。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8.床旁交互终端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（1）显示屏≥15.6英寸IPS液晶屏，分辨率≥1920*1080；运行内存≥4GB，机身存储≥32GB；CPU≥四核64位，主频最高2.0GHz；GPU≥四核，主频最高800MHz；NPU≥1T算力；WIFI：支持802.11a/b/g/n/ac/ax协议，WIFI6(802.11 ax协议)，支持2.4GHz频段和5GHz频段；蓝牙：支持蓝牙5.0版本，支持双模蓝牙。（成交后提供第三方专业检测机构出具的检验报告复印件佐证）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（2）操作系统：不低于开源鸿蒙5.0（成交后提供第三方专业检测机构出具的检验报告复印件佐证）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（3）触控：电容式触摸屏，支持≥10点触控。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（4）具备刷卡模块，支持识别医护IC身份卡；支持IC卡读卡模块以及NFC识别。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（5）多媒体：支持4K 60fps H.265/H.264/VP9视频解码，支持1080P 60fps H.265/H.264视频编码，支持8M ISP，支持HDR；</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（6）音频：G.711/G.729编解码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（7）网络：10-100Mbps 自适应</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（8）通信协议：TCP/IP、RTSP、SIP</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（9）支持多屏异显，支持HDMI2.0等接口；支持USB3.0/等接口；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（10）接口包含但不限于RS485物联网接口*1、4路防区报警接口、电源接口*1、RJ45网口*1、HDMI接口*1</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（11）设备正面带灯，当设备有异常，方便识别。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（12）供电方式:支持电源适配器供电、POE供电、电源箱集中供电三种方式。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（13）静电防护等级：接触放电不小于±15KV，空气放电不小于±20KV。（成交后提供第三方专业检测机构出具的检验报告复印件佐证）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（14）呼叫手柄：磁吸手柄，具有≥2物理按键，其中一个为呼叫键，另一个为自定义键，可根据现场应用场景设置为输液完毕或者亮屏息屏功能。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电子床头卡：床位号、病人姓名、性别、年龄、护理等级、责任医生、责任护士、入院时间、住院编号、医生诊断、时间、饮食注意事项、过敏史、防范事项、费用类别、隔离标识等基本信息以及防跌倒、防压疮、非计划拔管等预警信息；支持当患者生日时显示生日祝福图标；可在后台设计床头卡模板，调整显示字体大小、颜色、各模块布局等；护理等级模块颜色可随护理等级自动变化，护理等级颜色可在管理平台自由配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（16）电子床位牌：支持在没有患者信息时自动切换到电子床位牌模式，展示医院Logo、床位号等信息。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（17）问卷调查：支持填写调查问卷，包括二维码和题目问答两种问卷调查形式，可在管理平台查看问卷调查的结果。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（18）预约检查显示：同步HIS系统数据展示患者今日、昨日、全部预约检查信息，预约检查展示完成状态、项目名称、检查时间等内容。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（19）患者手术安排显示：显示当前患者今日手术、昨日手术、全部手术等内容，手术记录展示手术简称、手术名称、手术医生、手术室、开始时间、手术状态等内容。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宣教二维码：通过平台下发宣教二维码，实现压力性损伤预防、糖尿病预防、管道安全、预防跌倒、静脉血栓预防等健康宣教内容，患者通过手机扫码查看健康宣教内容。（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（21）广播播放：可通过网络接收医护管理机的MP3文件广播或喊话。</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（22）入院须知朗读功能：患者进入院须知页面，可以自动朗读入院须知内容且查看入院须知内容，可在后台查看入院须知的患者阅读记录。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（23）医院介绍朗读功能：患者进入医院介绍，可以自动朗读医院介绍且查看医院介绍文档。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（24）科室介绍朗读功能：患者进入科室介绍，可以自动朗读科室介绍且查看科室介绍内容。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（25）医嘱查询：支持查看长期医嘱、临时医嘱；支持查看医嘱状态、开始时间、医嘱内容、用量、单位、用药方式、频率、开嘱医生、停嘱医生。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（26）宣教视频：可播放医护管理机发送的宣教视频，并自动弹窗播放宣教视频；患者进入宣教视频模块可显示“未观看”和“已观看”状态的宣教视频。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（27）我的报告：支持查看患者的检查报告、检验报告详情，包括报告类型、报告日期、检查时间 、报告时间、检查名称等信息。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（28）我的消息：支持查看包括消息提醒、宣教信息的，可在“我的消息”中重复查看，支持语音朗读消息通知的标题。</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29）患者任务：支持按时间顺序展示该床位患者的今日待执行治疗计划，可根据全部、注射、用药、治疗、体征等类别分类筛选；支持在任务执行前15分钟（时间可通过后台配置）弹窗提示患者。（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30）护理记录：支持查阅医护人员对患者执行的护理记录，同时可查阅患者的关键体征数据（体温、心率、脉率、血压、呼吸、血氧饱和度、ADL以及意识等内容），便于医护人员床旁交接班。（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（31）血糖感知：支持为测血糖医嘱患者自动生成自主用餐反馈功能，在患者用餐反馈2小时后自动提醒护士进行血糖测量，并在后台生成对应记录。（成交后提供第三方专业检测机构出具的检验报告复印件佐证）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（32）疼痛反馈：集成面部表情疼痛评估法，支持患者在床旁进行疼痛反馈，并在后台生成反馈记录。（成交后提供第三方专业检测机构出具的检验报告复印件佐证）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（33）呼叫对讲：支持一键发起/解除呼叫请求，支持普通呼叫、增援呼叫、用药提醒、输液完毕、卫生间报警、定时报警等不同的呼叫类型。</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（34）接收呼叫与广播：支持被管理机一键下呼直接开始通话，支持接收管理机喊话、广播。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（35）护理增援：当医护人员进入病房护理病人时，按下分机上的“增援”键，可呼唤增派医护人员到场，方便护理人员迅速定位所需增援床位，使病人得到及时的护理。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（36）医嘱核对功能：护士在床头服务时，根据医嘱床旁智能终端自动显示该患者的专项检查、服务、当日使用的药品，提醒护士逐一核对。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37）护理倒计时：护士可以在床旁智能终端设备设置计时器，如：吸氧计时，输血计时，输液计时，定时体征采集等。设定后床旁智能终端设备会进入计时，首页与护理信息页会显示倒计时弹窗。当计时完成后，床旁智能终端会主动上报护士站。提醒护士要及时到病房进行相应处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（38）护理定位功能：支持一键开启护理定位功能，当开启护理定位功能时，可接收和处理其他床旁终端、床头终端的呼叫信息。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39）巡视记录：支持通过床旁智能终端刷卡或密码登入、PDA扫码等多种登陆方式，支持在后台查看医护站登陆记录；支持登陆医护站后同步生成巡视记录；支持查看今天、昨天、近7天以及近30天巡视记录情况，记录内容包含巡视人、巡视时间、巡视间隔时长、上次巡视时间以及上次巡视人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（40）白天黑夜模式切换：床旁智能终端支持白天与夜晚模式切换包括音量、亮屏时间、屏幕亮度等的改变，病人可根据需要自行手动进行设置。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（41）医学计算器：支持医学计算器功能，包括计算静脉输液滴速、平均动脉压、日胰岛素用量、粪便渗透压差、血浆渗透压等护理指标，辅助计算，提高护理效率。</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（42）呼叫功能：支持呼叫及增援功能；支持直接发起换药呼叫请求，无需接通。支持呼叫转移功能，护士进入房间后，可使用该房间内床头分机接听其他房间患者床头分机的呼叫，并进行双向对讲。</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43）设备呼叫联动：支持脱机呼叫，当病区网络与中心服务器平台断开连接时，仍可实现医护管理机、病房智能终端和床旁智能终端设备之间呼叫联动功能，同时支持10台设备呼叫联动。（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9.悬臂支架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（1）材质：支架铝合金 底座铁质</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（2）俯仰角：仰角≥20度，俯角≥45度，水平旋转：水平540度限位，承重范围：0.5-2kg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（3）升降结构：机械弹簧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（4）支架长度：≥1200mm支架宽度：≥32mm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（5）升降范围：≥500mm安装方式：壁挂安装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（6）VESA孔距100*100mm兼容75*75mm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10.床头屏（标准版）</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（1）显示屏≥10.1英寸IPS液晶屏，分辨率：1280*800；运行内存≥4GB，机身存储≥32GB；CPU≥四核64位，主频最高≥2.0GHz；GPU≥四核，主频最高800MHz；NPU≥1T算力；WIFI：支持802.11a/b/g/n/ac/ax协议，WIFI6(802.11 ax协议)，支持2.4GHz频段和5GHz频段；蓝牙：支持蓝牙5.0版本，支持双模蓝牙。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（2）操作系统：不低于开源鸿蒙5.0</w:t>
      </w:r>
      <w:r>
        <w:rPr>
          <w:rFonts w:hint="eastAsia"/>
        </w:rPr>
        <w:t xml:space="preserve">或</w:t>
      </w:r>
      <w:r>
        <w:rPr>
          <w:rFonts w:hint="eastAsia" w:ascii="宋体" w:hAnsi="宋体"/>
          <w:color w:val="000000"/>
          <w:sz w:val="24"/>
          <w:szCs w:val="24"/>
        </w:rPr>
        <w:t xml:space="preserve">Android 12</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（3）触控：电容式触摸屏，支持≥10点触控。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（4）具备刷卡模块，支持识别医护IC身份卡；支持IC卡读卡模块以及NFC识别。</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（5）音频：G.711/G.729编解码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（6）网络：10-100Mbps 自适应</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（7）通信协议：TCP/IP</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（8）接口包含但不限于RS485物联网接口*1、4路防区报警接口、电源接口*1、RJ45网口*1</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（9）供电方式:支持电源适配器供电、POE供电、电源箱集中供电三种方式。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（10）静电防护等级：接触放电不小于±15KV，空气放电不小于±20KV。（成交后提供第三方专业检测机构出具的检验报告复印件佐证）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呼叫手柄：磁吸手柄，具有≥2物理按键，其中一个为呼叫键，另一个为自定义键，可根据现场应用场景设置为输液完毕或者亮屏息屏功能。（成交后提供产品功能界面截图佐证，功能界面截图应包括自定义键设置输液完毕或者亮屏息屏功能选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电子床头卡：床位号、病人姓名、性别、年龄、护理等级、责任医生、责任护士、入院时间、住院编号、医生诊断、时间、饮食注意事项、过敏史、防范事项、费用类别、隔离标识等基本信息以及防跌倒、防压疮、非计划拔管等预警信息；支持当患者生日时显示生日祝福图标；可在后台设计床头卡模板，调整显示字体大小、颜色、各模块布局等；护理等级模块颜色可随护理等级自动变化，护理等级颜色可在管理平台自由配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（13）电子床位牌：支持在没有患者信息时自动切换到电子床位牌模式，展示医院Logo、床位号等信息。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（14）问卷调查：支持填写调查问卷，包括二维码和题目问答两种问卷调查形式，可在管理平台查看问卷调查的结果。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（15）预约检查显示：同步HIS系统数据展示患者今日、昨日、全部预约检查信息，预约检查展示完成状态、项目名称、检查时间等内容。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（16）患者手术安排显示：显示当前患者今日手术、昨日手术、全部手术等内容，手术记录展示手术简称、手术名称、手术医生、手术室、开始时间、手术状态等内容。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（17）宣教二维码：通过平台下发宣教二维码，实现压力性损伤预防、糖尿病预防、管道安全、预防跌倒、静脉血栓预防等健康宣教内容，患者通过手机扫码查看健康宣教内容。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今日特检提醒功能：当患者今日有特检时，提醒内容从当日0点至检查结束且在检查前2h语音播报1次特检内容；明日特检提醒功能：当患者明日需要特检时，今日14点语音播报一次明日需要特检内容，提醒内容显示的时间为今日14点到24点；血糖感知：支持为测血糖医嘱患者自动生成自主用餐反馈功能，在患者用餐反馈2小时后自动提醒护士进行血糖测量，并在后台生成对应记录；疼痛反馈：集成面部表情疼痛评估法，支持患者在床旁进行疼痛反馈，并在后台生成反馈记录。（成交后提供第三方专业检测机构出具的检验报告复印件佐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（19）广播播放：可通过网络接收医护管理机的MP3文件广播或喊话。</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（20）入院须知朗读功能：患者进入院须知页面，可以自动朗读入院须知内容且查看入院须知内容，可在后台查看入院须知的患者阅读记录。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（21）医院介绍朗读功能：患者进入医院介绍，可以自动朗读医院介绍且查看医院介绍文档。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（22）科室介绍朗读功能：患者进入科室介绍，可以自动朗读科室介绍且查看科室介绍内容。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（23）医嘱查询：支持查看长期医嘱、临时医嘱；支持查看医嘱状态、开始时间、医嘱内容、用量、单位、用药方式、频率、开嘱医生、停嘱医生。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（24）宣教视频：可播放医护管理机发送的宣教视频，并自动弹窗播放宣教视频；患者进入宣教视频模块可显示“未观看”和“已观看”状态的宣教视频。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（25）我的报告：支持查看患者的检查报告、检验报告详情，包括报告类型、报告日期、检查时间 、报告时间、检查名称等信息。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（26）我的消息：支持查看包括消息提醒、宣教信息的，可在“我的消息”中重复查看5支持语音朗读消息通知的标题。</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（27）患者任务：支持按时间顺序展示该床位患者的今日待执行治疗计划，可根据全部、注射、用药、治疗、体征等类别分类筛选；支持在任务执行前15分钟（时间可通过后台配置）弹窗提示患者。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（28）护理记录：支持查阅医护人员对患者执行的护理记录，同时可查阅患者的关键体征数据（体温、心率、脉率、血压、呼吸、血氧饱和度等内容），便于医护人员床旁交接班。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（29）呼叫对讲：支持一键发起/解除呼叫请求，支持普通呼叫、增援呼叫、用药提醒、输液完毕、卫生间报警、定时报警等不同的呼叫类型。</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（30）接收呼叫与广播：支持被管理机一键下呼直接开始通话，支持接收管理机喊话、广播。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（31）护理增援：当医护人员进入病房护理病人时，按下分机上的“增援”键，可呼唤增派医护人员到场，方便护理人员迅速定位所需增援床位，使病人得到及时的护理。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（32）医嘱核对功能：护士在床头服务时，根据医嘱床旁智能终端自动显示该患者的专项检查、服务、当日使用的药品，提醒护士逐一核对。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11.输液监控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（1）内部电池续航时长：正常工作模式下≥380小时。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（2）规格：≤140mm X120mm X50mm。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（3）重量：≤120g。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（4）输液滴速控制范围：设备能够控制输液速度，输液滴速调节范围等于或大于30ml/h——450ml/h</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（5）状态识别：设备能够识别输液状态，且状态识别功能≥6种，输液状态需包含但不限于输液完成状态、输液堵塞状态、输液速度过快状态、输液速度过慢状态、空气报警状态、低电量报警状态。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（6）医用设备专用标准要求：设备符合《GB 9706.224-2021 医用电气设备第2-24部分：输液泵和输液控制器安全专用要求》中关于输液准确度的要求。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（7）输液完成状态：准确识别出输液完成状态。持在输液完成时自动锁死输液管路并发出声光报警。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（8）输液堵塞状态：准确识别出输液堵塞状态。支持在输液堵塞时发出声光报警。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（9）输液速度异常状态：准确识别出输液速度过快/过慢状态并发出声光报警。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空气报警状态：在输液过程中，能够有效的检测出输液管路中的空气，防止空气输入人体。支持在输液管路进入空气时报出声光报警。成交后提供第三方检验机构出具的检测报告并加盖输液控制设备制造商公章。</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（11）设备状态报警：支持在电池低电压时发出声光报警。支持在滴壶移开时发出声光报警。支持在设备故障时发出声光报警。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（12）提供输液控制设备配套护士站软件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（13）物联网基站：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（14）功耗：支持低功耗，功耗≤30mW传输距离：室内有效传输距离≥10m数据传输：支持接收和转发输液信息信息协议：支持蓝牙、LoRa、Zigbee等主流物联网协议之一，网络安全：符合无线网络安全要求。</w:t>
      </w:r>
      <w:r/>
    </w:p>
    <w:p>
      <w:pPr>
        <w:ind w:firstLine="480"/>
        <w:spacing w:line="264" w:lineRule="auto"/>
        <w:rPr>
          <w:rFonts w:hint="eastAsia" w:ascii="宋体" w:hAnsi="宋体"/>
          <w:color w:val="000000"/>
          <w:sz w:val="24"/>
          <w:szCs w:val="24"/>
        </w:rPr>
      </w:pPr>
      <w:r>
        <w:rPr>
          <w:rFonts w:hint="eastAsia"/>
          <w:color w:val="000000"/>
          <w:sz w:val="24"/>
          <w:szCs w:val="24"/>
        </w:rPr>
        <w:t xml:space="preserve">★（15）</w:t>
      </w:r>
      <w:r>
        <w:rPr>
          <w:rFonts w:hint="eastAsia" w:ascii="宋体" w:hAnsi="宋体"/>
          <w:color w:val="000000"/>
          <w:sz w:val="24"/>
          <w:szCs w:val="24"/>
        </w:rPr>
        <w:t xml:space="preserve">具备二类医疗器械注册证。</w:t>
      </w:r>
      <w:r/>
    </w:p>
    <w:p>
      <w:pPr>
        <w:pStyle w:val="741"/>
        <w:rPr>
          <w:rFonts w:hint="eastAsia"/>
        </w:rPr>
      </w:pPr>
      <w:r>
        <w:rPr>
          <w:rFonts w:hint="eastAsia"/>
        </w:rPr>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12.毫米波雷达边缘计算节点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（1）设备整机吞吐量≥120Gbps；单台最大同时可管理AP数≥4000个；</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（2）单台配置40G光口≥2个，10GE光口≥12个, GE电口≥8个，2个交流电源，配置本次AP的管理授权许可；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▲（3）设备CPU芯片采用国产化芯片（成交后提供含链接官网证明截图或第三方专业检测机构出具的第三方检测报告）；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（4）支持直接转发、 隧道转发、集中认证，分布转发多种转发方式；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▲（5）支持可编程系统(OPS)和故障策略中心 (EVA)功能，可以编写json 脚本，在脚本中定义事件、策略和任务，并记录命令执行结果至文件（成交后提供含链接官网证明截图或第三方专业检测机构出具的第三方检测报告）；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（6）支持802.11k、802.11v协议的智能漫游；</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▲（7）支持容器功能，可安装毫米波智慧监测APP（成交后提供含链接官网证明截图或第三方专业检测机构出具的检测报告）；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（8）支持802.11r协议的快速漫游，漫游时长≤50ms（成交后提供含链接官网证明截图或第三方专业检测机构出具的检测报告）；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（9）支持静态路由，RIP-1/RIP-2，OSPF，BGP，IS-IS，路由策略、策略路由（成交后提供含链接官网证明截图或第三方专业检测机构出具的检测报告）；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（10）支持设备冗余备份功能，可支持1+1或N+1备份，并支持主备AC间配置同步；</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（11）支持基于用户、AP、无线控制器 三个维度的一键式智能诊断，并且针对故障问题提供可行性处理建议。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（12）支持被医院现有网络分析器纳管。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13.无线AP</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（1）支持2.4GHz/5GHz/6GHz三频段，整机8条空间流；整机速率≥12Gbps；≥1个10M/100M/1000M/2.5GE/5GE电口，1个10M/100M/1000M 电口；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（2）全频段(2.4G、5G、6G)支持 IEEE 802.11be 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▲（3）设备CPU和WIFI基带芯片采用国产化芯片（成交后提供含链接官网证明截图或第三方专业检测机构出具的检测报告）；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（4）支持智能天线；</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▲（5）支持MLO 高可靠和高并发模式高可靠模式即冗余传输 (多链路发送相同报文)，可提升可靠性;开启 MLO 后，时延降低（成交后提供含链接官网证明截图或第三方专业检测机构出具的检测报告）；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（6）支持通过USB接口、PCIE拓展插槽、多种IOT拓展方式，实现医疗物联网应用；</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（7）支持空口密盾(基于SSID 和基于 VIP)功能，使能 VIP 用户空口密盾后，无法抓到 VIP用户报文 (即有效信息，如图片和文字)，普通用户可抓到报文；</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▲（8）支持CSI 人员感知功能，可感知到人员存在并将有人或无人状态上报给 网络分析平台。同时支持与第三方应用联动(比如楼宇管理系统等)，检测到无人时自动关闭灯，检测到有人时自动打开，即人来灯亮，人走灯灭（成交后提供含链接官网证明截图或第三方专业检测机构出具的检测报告）；</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（9）支持蓝牙沉底(内置蓝牙，可安装蓝牙沉底容器包支持电子价签 ESL 等物联扩展)功能，无需使用外置插卡；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（10）支持 MACSec 加密功能，开启后AP-交换机的报文被加密，报文显示为 MACSec 协议，无法解析即无法获取报文内空。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（11）支持被医院现有网络分析器纳管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14.毫米波雷达</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（1）非接触式监测：通过发射电磁波并捕获反射信号，实现对人体生命体征的非接触式监测，降低交叉感染风险，提高医疗保健的便捷性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（2）高精度检测：具备毫米级别的精度，能够准确捕捉到人体胸腔的微小变化，为生命体征监测提供精确的数据支持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（3）生命体征参数监测：可监测呼吸频率、心率等生命体征参数，实时反映人体的健康状况和身体机能，为医疗保健人员提供诊断依据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（4）连续监测：对患者的连续监控，实时跟踪生命体征的变化趋势，为病情观察和治疗方案调整提供数据支持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（5）睡眠质量评估：通过监测呼吸频率、心率等参数，结合相关信号处理方法，评估患者的睡眠质量，为睡眠障碍的治疗提供参考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（6）患者活动监测：可实时监测患者的活动情况，为康复护理和日常活动管理提供便利</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（7）数据传输与分析：毫米波雷达将监测到的生命体征数据传输至相关设备，进行实时分析，为医疗保健人员提供便捷的数据处理和诊断工具</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（8）硬件参数：（1）雷达频率：24-30GHz，雷达调制权限：调频连续波雷达，WIFI连接：2.4G/5G，蓝牙参数：BLE5.2（2）供电方式和接口：TYPC DC5V 2A/POE（3）无需任何佩戴设备，即可实现对监测心率、呼吸频率监测功能（4）安装方式：挂壁；工作温湿度：5℃-40℃、0-80%。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★（9）设备具备二类医疗器械注册证。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15.智能手表</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（1）具备ECG监测、心电分析功能，性能指标需满足GB 9706.1-2020、YY 0885-2013、YY 9706.247-2021、GB 9706.225-2021等国家和行业标准，并提供具有国家认可资质的第三方专业检测机构出具的检测认证报告，相关分析算法成交后提供临床验证材料；</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（2）具备心率监测、脉搏波房颤和早搏分析功能，性能指标需满足GB 9706.1-2020、YY/T 1896-2023等国家和行业标准（成交后提供具有国家认可资质的第三方专业检测机构出具的检测认证报告，相关分析算法需提供临床验证材料）</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（3）具备血氧监测、睡眠呼吸暂停分析功能，性能指标需满足GB 9706.1-2020、YY 9706.261-2023等国家和行业标准（成交后提供具有国家认可资质的第三方专业检测机构出具的检测认证报告，相关分析算法需提供临床验证材料）；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（4）腕表主控芯片国产化，具备本地私有化部署功能，具备与第三方数据管理平台的定制化通联融合功能，具备腕表端侧系统软件内核层及应用层的定制化开发能力；</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（5）腕表具备（不限于）下列传感器：加速度传感器、陀螺传感器、地磁传感器、气压传感器、环境光传感器、温度传感器、心电传感器、心率血氧传感器;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（6）腕表电池容量≮500mAh（额定值）；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（7）腕表最高亮度≮2000尼特；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（8）腕表具备定制化国产自主加密数据通信功能；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（9）腕表具备（不限于）下列健康监测功能：跌倒检测、睡眠呼吸暂停筛查、呼吸健康管理、脉搏波房颤和早搏提示、体温监测、风险评估；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（10）定位系统：支持双频GNSS，L1：GPS+GALILEO+北斗+QZSS，L5：GPS+ GALILEO+北斗+QZSS；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（11）充电类型：支持无线充电；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（12）腕表防尘防水性能：≮IP68防护等级要求；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（13）腕表内存容量：≮ROM 32GB+RAM 2GB；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（14）具备eSIM独立通话功能；</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（15）腕表工作环境温度：0℃～40℃；腕表存储环境温度：-20℃～55℃ 16、电池待机时间：重度使用场景（医疗健康监测功能全开）≮3天；</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16.SAAS（病区智能健康监护系统）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（1）系统架构：采用 “前端感知层 - 数据传输层 - 平台应用层” 三层架构，支持设备接入、数据采集、加密传输、分析处理、多端展示全流程闭环。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（2）设备与用户管：支持手环设备批量录入，通过 SN 码管理设备生命周期（入库、绑定、解绑、报废）。支持患者建档管理，可绑定患者信息与手环设备，支持批量绑定 / 解绑操作。支持设备状态实时监控，显示在线 / 离线状态、信号强度等信息。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（3）健康监测与预警：支持患者心率、血氧、步数、睡眠、压力等健康数据的实时监测与历史查询，支持数据趋势分析 。支持健康风险分级预警，心率 / 血氧异常自动报警，可向医生、管理员推送预警信息 。支持电子围栏功能，可配置患者活动区域，超出范围触发越界预警，同时记录患者活动轨迹数据（区域时长、频次、频数等）；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（4）科学锻炼管理：支持多种模式数据记录，可统计时长、卡路里、步数等指标。支持方案制定与推送，可根据患者健康数据定制个性化建议。支持多维度数据统计分析，生成病房/个体情况报表。</w:t>
      </w:r>
      <w:r/>
    </w:p>
    <w:p>
      <w:pPr>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（5）多端管理与展示：Web 管理端：支持医生、患者、病房管理，权限分配，数据导出，系统配置等功能。可视化大屏端：支持区域状态、告警总览、患者列表、健康画像的集中展示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17.床头屏（多参数监护仪）</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（1）CPU：≥四核</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（2）内存：≥4GB</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（3）外部存储：≥32G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（4）系统：Android 12.0及以上，或鸿蒙、linux等具备OTA能力的系统。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（5）尺寸：≥10.3英寸</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（6）液晶屏：亮度≥250cd/㎡，颜色数量16.7M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（7）触摸：电容触摸屏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（8）分辨率：≥1600×720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（9）可视角度：全视角</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（10）显示比例：20:9</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（11）屏幕亮度：要求可以按照不同床位、时间段进行设置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（12）拾音：要求终端设备及手柄分别具有全向拾音麦克风</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13）手柄：为减少患者使用过程中手柄的损坏频率要求为磁吸手柄，手柄与医疗带及床头终端之间均为磁吸方式，便于使用和收纳；要求手柄带有呼叫按键及夜灯设计；（成交后提供第三方专业检测机构出具的检验报告复印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（14）控制：远程控制，支持OTA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（15）满载功率：≤5W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（16）工作电压：DC 12V-24V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（17）屏寿命：＞2万小时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（18）工作时间：可7*24小时不间断工作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（19）复位设计：要求具有看门狗设计，要求具备隐蔽设计的复位按键（成交后提供第三方专业检测机构出具的检验报告复印件）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★（20）安全性要求：设备要求满足安全电压接入；要求终端外壳采用抗菌材料；要求设支持延时启动；（成交后提供第三方专业检测机构出具的检验报告复印件）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（21）传输性要求：要求数据传输采用TLS或SSL安全传输协议；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（22）管控性要求：要求设备支持在线监控；要求可远程重启；要求可远程控制音量、亮度；要求支持设定夜间模式；要求支持离线工作；要求支持文字生成语音播报；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（23）触摸要求：要求钢化玻璃≥1.0mm（成交后提供第三方专业检测机构出具的检验报告复印件）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（24）安装要求：可壁挂至各种规格治疗带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（25）防静电要求：要求接触≥4KV，非接触≥8KV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（26）消毒要求：设备支持医用消毒</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★（27）功能要求：需提供配套软件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▲（28）测量功能：要求至少包含血压计、体温计、脉搏血氧仪、呼吸检测仪、心电图检测仪等体征数据测量功能。</w:t>
      </w:r>
      <w:r/>
    </w:p>
    <w:p>
      <w:pPr>
        <w:ind w:firstLine="480"/>
        <w:spacing w:line="264" w:lineRule="auto"/>
        <w:rPr>
          <w:rFonts w:hint="eastAsia" w:ascii="宋体" w:hAnsi="宋体"/>
          <w:color w:val="000000"/>
          <w:sz w:val="24"/>
          <w:szCs w:val="24"/>
        </w:rPr>
      </w:pPr>
      <w:r/>
      <w:bookmarkStart w:id="89" w:name="OLE_LINK4"/>
      <w:r>
        <w:rPr>
          <w:rFonts w:hint="eastAsia" w:ascii="宋体" w:hAnsi="宋体"/>
          <w:color w:val="000000"/>
          <w:sz w:val="24"/>
          <w:szCs w:val="24"/>
        </w:rPr>
        <w:t xml:space="preserve">★</w:t>
      </w:r>
      <w:bookmarkEnd w:id="89"/>
      <w:r>
        <w:rPr>
          <w:rFonts w:hint="eastAsia" w:ascii="宋体" w:hAnsi="宋体"/>
          <w:color w:val="000000"/>
          <w:sz w:val="24"/>
          <w:szCs w:val="24"/>
        </w:rPr>
        <w:t xml:space="preserve">（29）具备二类医疗器械注册证。</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（30）配套血压模块</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符合标准：YY 9706.230-2023</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工作模式：支持手动测量/自动间隔测量/连续测量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测量模式：支持自动测量/连续测量</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脉率范围：40–240 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测量范围：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成人：收缩压40–260mmHg（5.3–34.6kPa）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平均压26–220mmHg（3.4–29.3kPa）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舒张压20–200mmHg（2.6–26.6kPa）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儿童：收缩压40–230mmHg（5.3–30.7kPa）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平均压26–170mmHg（3.4-22.6kPa）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舒张压20-160mmHg（2.6–21.3kPa）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量程范围：0mmHg～300mmHg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显示分辨率：1mmHg（0.133kPa）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平均误差：±5mmHg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标准误差：±8mmHg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过压保护：</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成人：300 mmHg±3 mmHg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儿童：280 mmHg±3 mmHg。</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（31）配套体温测量模块</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符合标准：YY 9706.256-2023</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通道数：2通道</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测量范围：0℃～50℃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测量精度：25℃～45℃，误差±0.2℃；其他范围测量精度为±0.4℃</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响应时间：＜35s</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（32）配套脉搏血氧模块</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符合标准：YY 9706.261-2023</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血氧饱和度测量范围：0～100%</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血氧饱和度精度：70%～100% 误差为±2%，70%以下不定义精密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脉率测量范围：30bpm～300bpm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脉率精度：3bpm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（33）配套呼吸监测模块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呼吸阻抗检测范围：（0.3～3）Ω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基阻抗范围：（200～4000）Ω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带宽：（0.1～2.5）Hz</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呼吸率范围：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成人：7bpm～120bpm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儿童：7bpm～145bpm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呼吸率分辨率：1 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呼吸率精度：±2 bpm</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窒息报警：10～40秒</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（34）配套心电图监测模块</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符合标准：GB9706.227-2021</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导联配置：</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导联方式：三导联、五导联</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标准三导联电缆：RA、LA、LL</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标准五导联电缆：RA、LA、LL、RL、V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三导联导联方式：Ⅰ、Ⅱ、Ⅲ</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五导联导联方式：Ⅰ、Ⅱ、Ⅲ、aVR、aVL、aVF、V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增益：0.25（2.5mm/mV），0.5（5mm/mV），1（10mm/mV），2（20mm/mV），自动</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误差均小于±5%</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心率测量范围：</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1）成人：15 ～ 300bpm (搏/分)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2）儿童：15 ～ 350 bpm(搏/分)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心率准确度：精度±10%或±5bpm，取大者；分辨率1 bpm(搏/分)。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心电信号范围：0.2～8mV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输入抗阻：﹥5 (兆欧)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带宽：参考模式  0.05Hz～100Hz； 监护模式  0.5Hz～40Hz； 手术模式  1Hz～20Hz</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共模抑制比：参考模式 ﹥90 dB；  监护模式 ﹥100 dB； 手术模式 ﹥100 dB</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电极极化电压范围：±300mV</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起搏脉冲检测：对于符合下面条件的起搏脉冲，可以检测：幅度：±2mV ～ ±700mV；  宽度：0.5ms ～ 2ms；  上升时间：10µs～100µs</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起搏脉冲抑制：在起搏分析开关打开时，可以抑制符合下面条件的起搏脉冲，不影响心率计算；</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幅度：±2 mV ～ ±700mV； 宽度：0.1ms ～ 2ms； 上升时间：10µs ～ 100µs</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基线恢复时间：除颤后﹤5秒钟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校准信号：1mV(峰峰值)，准确度±5%</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导联脱落检测电流：＜0.1μA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系统噪音：＜0.1μA</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心率平均：通过以下方法计算心率平均值：如果最后连续三个RR间隔大于1200 ms，则对4个最近的RR间隔取平均来计算心率;否则，就取12个最近的RR间隔，减去最大值和最小值，然后取平均来计算心率。</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屏幕上显示的心率值每秒钟刷新一次。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心动过速报警时间：＜15s。</w:t>
      </w:r>
      <w:bookmarkEnd w:id="88"/>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★（二）商务要求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1.报价要求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2.实施要求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（1）总体要求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次采购的软件要求不影响现有的业务系统，供应商负责平台的部署；在不涉及大版本升级的情况下，无条件配合医院调整功能、需求，软件功能满足采购人个性化需求定制；供应商提供项目实施团队人员配置情况，并在系统部署工作开始之日起，指派专业的项目负责人负责现场工作的组织、协调和实施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（2）质量要求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①供应商提供的系统能够根据采购人实际需求与医院各院区所有信息系统、集</w:t>
      </w:r>
      <w:r>
        <w:rPr>
          <w:rFonts w:hint="eastAsia" w:ascii="宋体" w:hAnsi="宋体"/>
          <w:color w:val="000000"/>
          <w:sz w:val="24"/>
          <w:szCs w:val="24"/>
        </w:rPr>
        <w:t xml:space="preserve">成平台做对接及集成（对接人：李工；联系电话：025-83106666转60618）：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部署同一法人单位不同院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②本章中所列技术要求为医院项目初步需求，具体需求以国家最新政策标准为准。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（3）验收要求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（4）运维要求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运维期：供应商应确保本次采购所有项目的安全稳定运行，提供软硬件整体3年运维服务（自验收报告签字确认日起，开始进入维保期，相关费用包含在本次报价中）。运维期内，本合同项目所有技术和服务发生任何非人为故障，由供应商负责系统恢复。</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运维期内，对采购人提出的合理服务要求，供应商必须即时进行电话、邮件及远程网络支持，并在2小时内到场服务，小型故障4小时内恢复，严重故障24小时内恢复，并及时有效提供解决方案。如不到场，采购人有权自行处理，相关费用由供应商负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③供应商须提供定期回访服务，对采购人提出的合理优化建议应提供升级服务。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④所有的服务方式均为供应商上门保修，即由供应商派员到系统使用现场进行故障恢复，由此产生的一切费用均由供应商承担。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⑤本采购项目出保后每年的维护费不超过合同总金额的5%。</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⑥运维期内供应商提供的系统软件升级，保证采购人使用最新版本软件。运维期满后软件版本内终身升级。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（5）人员要求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①项目经理：1人。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②技术负责人1人。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③开发实施人员：不少于5人，具有信息化工作经验，项目开发期间须2人驻场服务。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④项目组所有人员必须为供应商正式工作人员，不得兼任其他项目工作，未经采购人同意，人员不得更换。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（6）知识产权及保密要求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（7）建设成果要求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供应商配合采购人，做好系统通过等保测评相关准备工作。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（10）网络安全和数据安全要求，外包网络安全管理要求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符合网络安全和密码应用要求，符合国家安全可靠应用政策规定。</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（11）系统培训要求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应负责对采购人相关人员（包括但不限于信息科室、项目主管科室等至少5人）进行全面培训，使受训者能够独立、熟练地完成各系统操作，实现系统的目标和功能。培训应达到以下目标：操作人员能熟练使用各系统系统每项功能，完成日常工作；接收培训老师能全面了解各系统运行模式，熟知业务流程，能判断一般故障；全面掌握系统安装、设置和使用。三年内每年上门培训不低于二次，提供软件终身升级服务，费用包含在投标报价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3.付款条件</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以合同文本内容为准。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4.交付时间及地点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（1）交付时间：合同签订后30天内完成系统开发及整体交付验收工作。</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（2）交付地点：采购人指定地点。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5.履约保证金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以合同文本内容为准。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6.其他要求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成交，采购人将取消其成交资格。</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招标文件评标方法与评标标准中涉及的相关证明材料，应在投标文件中提供，并由评审委员会在评审现场予以确认，否则无法得到相应分值。供应商在签订合同向采购人提供上述相关证明材料原件核验。</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（三）演示要求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视频文件的格式为*.mp4或*.avi，供应商须将视频文件压缩为*.zip文件上传（单个文件不得大于50M，大于50M的需分段压缩，所有文件合计不得大于300M）。文件上传方式见苏采云系统操作指南，上传的演示视频将作为响应文件的组成部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2.演示内容及演示时长详见“第五章 评审方法与评审标准”。</w:t>
      </w:r>
      <w:r/>
    </w:p>
    <w:p>
      <w:pPr>
        <w:pStyle w:val="741"/>
        <w:rPr>
          <w:rFonts w:hint="eastAsia"/>
        </w:rPr>
      </w:pPr>
      <w:r>
        <w:rPr>
          <w:rFonts w:hint="eastAsia"/>
        </w:rPr>
      </w:r>
      <w:r/>
    </w:p>
    <w:p>
      <w:pPr>
        <w:pStyle w:val="929"/>
        <w:rPr>
          <w:rFonts w:hint="eastAsia"/>
        </w:rPr>
      </w:pPr>
      <w:r>
        <w:rPr>
          <w:rFonts w:hint="eastAsia"/>
        </w:rPr>
      </w:r>
      <w:r/>
    </w:p>
    <w:p>
      <w:r/>
      <w:r/>
    </w:p>
    <w:p>
      <w:pPr>
        <w:pStyle w:val="929"/>
        <w:rPr>
          <w:rFonts w:hint="eastAsia"/>
        </w:rPr>
      </w:pPr>
      <w:r>
        <w:rPr>
          <w:rFonts w:hint="eastAsia"/>
        </w:rPr>
      </w:r>
      <w:r/>
    </w:p>
    <w:p>
      <w:r/>
      <w:r/>
    </w:p>
    <w:p>
      <w:pPr>
        <w:pStyle w:val="929"/>
        <w:rPr>
          <w:rFonts w:hint="eastAsia"/>
        </w:rPr>
      </w:pPr>
      <w:r>
        <w:rPr>
          <w:rFonts w:hint="eastAsia"/>
        </w:rPr>
      </w:r>
      <w:r/>
    </w:p>
    <w:p>
      <w:r/>
      <w:r/>
    </w:p>
    <w:p>
      <w:pPr>
        <w:pStyle w:val="1038"/>
        <w:jc w:val="center"/>
        <w:spacing w:before="120" w:after="120" w:line="0" w:lineRule="atLeast"/>
        <w:rPr>
          <w:rFonts w:hint="eastAsia" w:ascii="Arial Unicode MS" w:hAnsi="Arial Unicode MS" w:eastAsia="Arial Unicode MS" w:cs="Arial Unicode MS"/>
          <w:color w:val="000000"/>
          <w:sz w:val="36"/>
          <w:szCs w:val="36"/>
        </w:rPr>
        <w:outlineLvl w:val="0"/>
      </w:pPr>
      <w:r>
        <w:rPr>
          <w:rFonts w:hint="eastAsia"/>
        </w:rPr>
        <w:br w:type="page" w:clear="all"/>
      </w:r>
      <w:r>
        <w:rPr>
          <w:rFonts w:hint="eastAsia" w:ascii="Arial Unicode MS" w:hAnsi="Arial Unicode MS" w:eastAsia="Arial Unicode MS" w:cs="Arial Unicode MS"/>
          <w:color w:val="000000"/>
          <w:sz w:val="36"/>
          <w:szCs w:val="36"/>
        </w:rPr>
        <w:t xml:space="preserve">第五章  评审方法与评审标准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rPr>
          <w:rFonts w:hint="eastAsia" w:ascii="宋体" w:hAnsi="宋体"/>
          <w:color w:val="000000"/>
          <w:sz w:val="24"/>
          <w:szCs w:val="24"/>
        </w:rPr>
      </w:pPr>
      <w:r>
        <w:rPr>
          <w:rFonts w:hint="eastAsia" w:ascii="宋体" w:hAnsi="宋体" w:cs="宋体"/>
          <w:color w:val="000000"/>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3名成交候选供应商，并编写评审报告。评审得分相同的，按照最后报价由低到高的顺序推荐。评审得分且最后报价相同的，按照</w:t>
      </w:r>
      <w:r>
        <w:rPr>
          <w:rFonts w:hint="eastAsia" w:ascii="宋体" w:hAnsi="宋体" w:cs="宋体"/>
          <w:b/>
          <w:bCs/>
          <w:color w:val="000000"/>
          <w:sz w:val="24"/>
          <w:szCs w:val="24"/>
        </w:rPr>
        <w:t xml:space="preserve">“评审标准2.技术项”</w:t>
      </w:r>
      <w:r>
        <w:rPr>
          <w:rFonts w:hint="eastAsia" w:ascii="宋体" w:hAnsi="宋体" w:cs="宋体"/>
          <w:color w:val="000000"/>
          <w:sz w:val="24"/>
          <w:szCs w:val="24"/>
        </w:rPr>
        <w:t xml:space="preserve">得分由高到低顺序推荐。</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1.本</w:t>
      </w:r>
      <w:r>
        <w:rPr>
          <w:rFonts w:hint="eastAsia" w:ascii="宋体" w:hAnsi="宋体" w:cs="宋体"/>
          <w:color w:val="000000"/>
          <w:sz w:val="24"/>
          <w:szCs w:val="24"/>
        </w:rPr>
        <w:t xml:space="preserve">项目如</w:t>
      </w:r>
      <w:r>
        <w:rPr>
          <w:rFonts w:hint="eastAsia" w:ascii="宋体" w:hAnsi="宋体" w:cs="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cs="宋体"/>
          <w:b/>
          <w:bCs/>
          <w:color w:val="000000"/>
          <w:sz w:val="24"/>
          <w:szCs w:val="24"/>
        </w:rPr>
        <w:t xml:space="preserve">且供应商在响应文件中对此作出承诺的（按照磋商文件要求在《分项报价表》中作出承诺）</w:t>
      </w:r>
      <w:r>
        <w:rPr>
          <w:rFonts w:hint="eastAsia" w:ascii="宋体" w:hAnsi="宋体" w:cs="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cs="宋体"/>
          <w:b/>
          <w:bCs/>
          <w:color w:val="000000"/>
          <w:sz w:val="24"/>
          <w:szCs w:val="24"/>
        </w:rPr>
        <w:t xml:space="preserve">全部产品是指货物或服务采购项目或采购包中包含的全部货物、服务产品。</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3.供应商需按照磋商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本项目服务全部由小微企业承接的，对报价给予10%的扣除，用扣除后的价格参与评审。</w:t>
      </w:r>
      <w:r/>
    </w:p>
    <w:p>
      <w:pPr>
        <w:ind w:firstLine="480"/>
        <w:rPr>
          <w:rFonts w:hint="eastAsia" w:ascii="宋体" w:hAnsi="宋体" w:cs="宋体"/>
          <w:b/>
          <w:bCs/>
          <w:color w:val="0000ff"/>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残疾人福利性单位视同小型、微型企业，给予</w:t>
      </w:r>
      <w:r>
        <w:rPr>
          <w:rFonts w:hint="eastAsia" w:ascii="宋体" w:hAnsi="宋体" w:cs="宋体"/>
          <w:color w:val="000000"/>
          <w:sz w:val="24"/>
          <w:szCs w:val="24"/>
        </w:rPr>
        <w:t xml:space="preserve">与小微企业相同</w:t>
      </w:r>
      <w:r>
        <w:rPr>
          <w:rFonts w:hint="eastAsia" w:ascii="宋体" w:hAnsi="宋体" w:cs="宋体"/>
          <w:color w:val="000000"/>
          <w:sz w:val="24"/>
          <w:szCs w:val="24"/>
          <w:lang w:val="zh-CN"/>
        </w:rPr>
        <w:t xml:space="preserve">的价格扣除，用扣除后的价格参与评审；监狱和戒毒企业视同小型、微型企业，给予</w:t>
      </w:r>
      <w:r>
        <w:rPr>
          <w:rFonts w:hint="eastAsia" w:ascii="宋体" w:hAnsi="宋体" w:cs="宋体"/>
          <w:color w:val="000000"/>
          <w:sz w:val="24"/>
          <w:szCs w:val="24"/>
        </w:rPr>
        <w:t xml:space="preserve">与小微企业相同</w:t>
      </w:r>
      <w:r>
        <w:rPr>
          <w:rFonts w:hint="eastAsia" w:ascii="宋体" w:hAnsi="宋体" w:cs="宋体"/>
          <w:color w:val="000000"/>
          <w:sz w:val="24"/>
          <w:szCs w:val="24"/>
          <w:lang w:val="zh-CN"/>
        </w:rPr>
        <w:t xml:space="preserve">的价格扣除，用扣除后的价格参与评审。残疾人福利性单位、监狱企业属于小型、微型企业的，不重复享受</w:t>
      </w:r>
      <w:r>
        <w:rPr>
          <w:rFonts w:hint="eastAsia" w:ascii="宋体" w:hAnsi="宋体" w:cs="宋体"/>
          <w:color w:val="000000"/>
          <w:sz w:val="24"/>
          <w:szCs w:val="24"/>
        </w:rPr>
        <w:t xml:space="preserve">价格扣除</w:t>
      </w:r>
      <w:r>
        <w:rPr>
          <w:rFonts w:hint="eastAsia" w:ascii="宋体" w:hAnsi="宋体" w:cs="宋体"/>
          <w:color w:val="000000"/>
          <w:sz w:val="24"/>
          <w:szCs w:val="24"/>
          <w:lang w:val="zh-CN"/>
        </w:rPr>
        <w:t xml:space="preserve">。</w:t>
      </w:r>
      <w:r/>
    </w:p>
    <w:p>
      <w:pPr>
        <w:ind w:firstLine="480"/>
        <w:rPr>
          <w:rFonts w:hint="eastAsia" w:ascii="黑体" w:hAnsi="黑体" w:eastAsia="黑体" w:cs="黑体"/>
          <w:color w:val="0000ff"/>
          <w:sz w:val="24"/>
          <w:szCs w:val="24"/>
        </w:rPr>
      </w:pPr>
      <w:r>
        <w:rPr>
          <w:rFonts w:hint="eastAsia" w:ascii="黑体" w:hAnsi="黑体" w:eastAsia="黑体" w:cs="黑体"/>
          <w:color w:val="000000"/>
          <w:sz w:val="24"/>
          <w:szCs w:val="24"/>
        </w:rPr>
        <w:t xml:space="preserve">四、评审标准</w:t>
      </w:r>
      <w:r/>
    </w:p>
    <w:tbl>
      <w:tblPr>
        <w:tblStyle w:val="74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textDirection w:val="lrTb"/>
            <w:noWrap w:val="false"/>
          </w:tcPr>
          <w:p>
            <w:pPr>
              <w:jc w:val="center"/>
              <w:spacing w:before="122" w:line="288" w:lineRule="auto"/>
              <w:rPr>
                <w:rFonts w:hint="eastAsia"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rPr>
            </w:pPr>
            <w:r>
              <w:rPr>
                <w:rFonts w:ascii="宋体" w:hAnsi="宋体" w:cs="宋体"/>
                <w:spacing w:val="-6"/>
              </w:rPr>
              <w:t xml:space="preserve">1</w:t>
            </w:r>
            <w:r>
              <w:rPr>
                <w:rFonts w:ascii="宋体" w:hAnsi="宋体" w:cs="宋体"/>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rPr>
            </w:pPr>
            <w:r>
              <w:rPr>
                <w:rFonts w:ascii="宋体" w:hAnsi="宋体" w:cs="宋体"/>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rPr>
            </w:pPr>
            <w:r>
              <w:rPr>
                <w:rFonts w:hint="eastAsia" w:ascii="宋体" w:hAnsi="宋体" w:cs="宋体"/>
              </w:rPr>
              <w:t xml:space="preserve">采用低价优先法计算，即满足磋商文件要求且最终报价最低的供应商报价为评审基准价，其价格分为满分。其他供应商的价格分统一按照下列公式计算：报价得分=(评审基准价/最终报价)×价格分值（小数点保留两位）</w:t>
            </w:r>
            <w:r/>
          </w:p>
          <w:p>
            <w:pPr>
              <w:jc w:val="left"/>
              <w:spacing w:line="264" w:lineRule="auto"/>
              <w:rPr>
                <w:rFonts w:hint="eastAsia" w:ascii="宋体" w:hAnsi="宋体" w:cs="宋体"/>
                <w:color w:val="0000ff"/>
              </w:rPr>
            </w:pPr>
            <w:r>
              <w:rPr>
                <w:rFonts w:hint="eastAsia" w:ascii="宋体" w:hAnsi="宋体" w:cs="宋体"/>
              </w:rPr>
              <w:t xml:space="preserve">因落实政府采购政策进行价格调整的，以调整后的价格计算评审基准价和最终报价。</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rPr>
            </w:pPr>
            <w:r>
              <w:rPr>
                <w:rFonts w:hint="eastAsia" w:ascii="宋体" w:hAnsi="宋体" w:cs="宋体"/>
                <w:b/>
                <w:bCs/>
                <w:spacing w:val="-3"/>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color w:val="000000"/>
              </w:rPr>
            </w:pPr>
            <w:r>
              <w:rPr>
                <w:rFonts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rPr>
                <w:color w:val="000000"/>
              </w:rPr>
            </w:pPr>
            <w:r>
              <w:rPr>
                <w:rFonts w:hint="eastAsia"/>
                <w:color w:val="000000"/>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pPr>
            <w:r>
              <w:rPr>
                <w:rFonts w:hint="eastAsia" w:ascii="宋体" w:hAnsi="宋体" w:cs="宋体"/>
              </w:rPr>
              <w:t xml:space="preserve">产品</w:t>
            </w:r>
            <w:r>
              <w:rPr>
                <w:rFonts w:ascii="宋体" w:hAnsi="宋体" w:cs="宋体"/>
              </w:rPr>
              <w:t xml:space="preserve">技术参数全部满足</w:t>
            </w:r>
            <w:r>
              <w:rPr>
                <w:rFonts w:hint="eastAsia" w:ascii="宋体" w:hAnsi="宋体" w:cs="宋体"/>
              </w:rPr>
              <w:t xml:space="preserve">磋商文件</w:t>
            </w:r>
            <w:r>
              <w:rPr>
                <w:rFonts w:ascii="宋体" w:hAnsi="宋体" w:cs="宋体"/>
              </w:rPr>
              <w:t xml:space="preserve">要求的得满分</w:t>
            </w:r>
            <w:r>
              <w:rPr>
                <w:rFonts w:hint="eastAsia" w:ascii="宋体" w:hAnsi="宋体" w:cs="宋体"/>
              </w:rPr>
              <w:t xml:space="preserve">，</w:t>
            </w:r>
            <w:r>
              <w:rPr>
                <w:rFonts w:ascii="宋体" w:hAnsi="宋体" w:cs="宋体"/>
              </w:rPr>
              <w:t xml:space="preserve">打★指标为必须满足项，如有负偏离将作为无效</w:t>
            </w:r>
            <w:r>
              <w:rPr>
                <w:rFonts w:hint="eastAsia" w:ascii="宋体" w:hAnsi="宋体" w:cs="宋体"/>
              </w:rPr>
              <w:t xml:space="preserve">响应，</w:t>
            </w:r>
            <w:r>
              <w:rPr>
                <w:rFonts w:ascii="宋体" w:hAnsi="宋体" w:cs="宋体"/>
              </w:rPr>
              <w:t xml:space="preserve">打▲指标</w:t>
            </w:r>
            <w:r>
              <w:rPr>
                <w:rFonts w:hint="eastAsia" w:ascii="宋体" w:hAnsi="宋体" w:cs="宋体"/>
                <w:color w:val="000000" w:themeColor="text1"/>
                <w14:textFill>
                  <w14:solidFill>
                    <w14:schemeClr w14:val="tx1"/>
                  </w14:solidFill>
                </w14:textFill>
              </w:rPr>
              <w:t xml:space="preserve">（共14项）</w:t>
            </w:r>
            <w:r>
              <w:rPr>
                <w:rFonts w:ascii="宋体" w:hAnsi="宋体" w:cs="宋体"/>
                <w:color w:val="000000" w:themeColor="text1"/>
                <w14:textFill>
                  <w14:solidFill>
                    <w14:schemeClr w14:val="tx1"/>
                  </w14:solidFill>
                </w14:textFill>
              </w:rPr>
              <w:t xml:space="preserve">为重要指标，</w:t>
            </w:r>
            <w:r>
              <w:rPr>
                <w:rFonts w:hint="eastAsia" w:ascii="宋体" w:hAnsi="宋体" w:cs="宋体"/>
                <w:color w:val="000000" w:themeColor="text1"/>
                <w:szCs w:val="21"/>
                <w14:textFill>
                  <w14:solidFill>
                    <w14:schemeClr w14:val="tx1"/>
                  </w14:solidFill>
                </w14:textFill>
              </w:rPr>
              <w:t xml:space="preserve">有1项负偏离扣0.5分，其余指标（共340项）有1项</w:t>
            </w:r>
            <w:r>
              <w:rPr>
                <w:rFonts w:hint="eastAsia" w:ascii="宋体" w:hAnsi="宋体" w:cs="宋体"/>
                <w:szCs w:val="21"/>
              </w:rPr>
              <w:t xml:space="preserve">负偏离扣0.05分，扣完为止。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2</w:t>
            </w:r>
            <w:r>
              <w:rPr>
                <w:rFonts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ff"/>
              </w:rPr>
            </w:pPr>
            <w:r>
              <w:rPr>
                <w:rFonts w:hint="eastAsia"/>
                <w:color w:val="000000"/>
                <w:szCs w:val="21"/>
              </w:rPr>
              <w:t xml:space="preserve">需求理解</w:t>
            </w:r>
            <w:r/>
          </w:p>
        </w:tc>
        <w:tc>
          <w:tcPr>
            <w:tcBorders>
              <w:top w:val="single" w:color="000000" w:sz="2" w:space="0"/>
              <w:bottom w:val="single" w:color="000000" w:sz="2" w:space="0"/>
            </w:tcBorders>
            <w:tcW w:w="6330" w:type="dxa"/>
            <w:vAlign w:val="center"/>
            <w:textDirection w:val="lrTb"/>
            <w:noWrap w:val="false"/>
          </w:tcPr>
          <w:p>
            <w:pPr>
              <w:rPr>
                <w:color w:val="000000"/>
              </w:rPr>
            </w:pPr>
            <w:r>
              <w:rPr>
                <w:rFonts w:hint="eastAsia"/>
                <w:color w:val="000000"/>
                <w:szCs w:val="21"/>
              </w:rPr>
              <w:t xml:space="preserve">根据本项目采购需求及相关要求编制方案，内容包含：</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建设依据、必要性</w:t>
            </w:r>
            <w:r>
              <w:rPr>
                <w:rFonts w:hint="eastAsia" w:ascii="宋体" w:hAnsi="宋体" w:cs="宋体"/>
                <w:color w:val="000000"/>
              </w:rPr>
              <w:t xml:space="preserve">分析。</w:t>
            </w:r>
            <w:r>
              <w:rPr>
                <w:rFonts w:hint="eastAsia"/>
                <w:color w:val="000000"/>
                <w:szCs w:val="21"/>
              </w:rPr>
              <w:t xml:space="preserve">以上每项内容逐项评分：</w:t>
            </w:r>
            <w:r/>
          </w:p>
          <w:p>
            <w:pPr>
              <w:rPr>
                <w:color w:val="000000"/>
              </w:rPr>
            </w:pPr>
            <w:r>
              <w:rPr>
                <w:color w:val="000000"/>
              </w:rPr>
              <w:t xml:space="preserve">方案内容完整深刻</w:t>
            </w:r>
            <w:r>
              <w:rPr>
                <w:rFonts w:hint="eastAsia"/>
                <w:color w:val="000000"/>
              </w:rPr>
              <w:t xml:space="preserve">、具有可行性，且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jc w:val="left"/>
              <w:spacing w:line="264" w:lineRule="auto"/>
              <w:rPr>
                <w:szCs w:val="21"/>
              </w:rPr>
            </w:pPr>
            <w:r>
              <w:rPr>
                <w:rFonts w:hint="eastAsia"/>
                <w:color w:val="000000"/>
                <w:szCs w:val="21"/>
              </w:rPr>
              <w:t xml:space="preserve">上述每项内容</w:t>
            </w:r>
            <w:r>
              <w:rPr>
                <w:color w:val="000000"/>
                <w:szCs w:val="21"/>
              </w:rPr>
              <w:t xml:space="preserve">符合得</w:t>
            </w:r>
            <w:r>
              <w:rPr>
                <w:rFonts w:hint="eastAsia"/>
                <w:color w:val="000000"/>
                <w:szCs w:val="21"/>
              </w:rPr>
              <w:t xml:space="preserve">1</w:t>
            </w:r>
            <w:r>
              <w:rPr>
                <w:color w:val="000000"/>
                <w:szCs w:val="21"/>
              </w:rPr>
              <w:t xml:space="preserve">分；部分符合得</w:t>
            </w:r>
            <w:r>
              <w:rPr>
                <w:rFonts w:hint="eastAsia"/>
                <w:color w:val="000000"/>
                <w:szCs w:val="21"/>
              </w:rPr>
              <w:t xml:space="preserve">0.5</w:t>
            </w:r>
            <w:r>
              <w:rPr>
                <w:color w:val="000000"/>
                <w:szCs w:val="21"/>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000000"/>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4"/>
                <w:szCs w:val="21"/>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ff"/>
              </w:rPr>
            </w:pPr>
            <w:r>
              <w:rPr>
                <w:rFonts w:hint="eastAsia"/>
              </w:rPr>
              <w:t xml:space="preserve">总体技术方案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color w:val="000000"/>
              </w:rPr>
            </w:pPr>
            <w:r>
              <w:rPr>
                <w:rFonts w:hint="eastAsia"/>
                <w:color w:val="000000"/>
                <w:szCs w:val="21"/>
              </w:rPr>
              <w:t xml:space="preserve">根据本项目采购需求及相关要求编制方案，内容</w:t>
            </w:r>
            <w:r>
              <w:rPr>
                <w:rFonts w:ascii="宋体" w:hAnsi="宋体" w:cs="宋体"/>
                <w:color w:val="000000"/>
              </w:rPr>
              <w:t xml:space="preserve">包括</w:t>
            </w:r>
            <w:r>
              <w:rPr>
                <w:rFonts w:hint="eastAsia"/>
                <w:color w:val="000000"/>
                <w:szCs w:val="21"/>
              </w:rPr>
              <w:t xml:space="preserve">：</w:t>
            </w:r>
            <w:r>
              <w:rPr>
                <w:rFonts w:hint="eastAsia"/>
              </w:rPr>
              <w:t xml:space="preserve">1.</w:t>
            </w:r>
            <w:r>
              <w:t xml:space="preserve">总体设计</w:t>
            </w:r>
            <w:r>
              <w:rPr>
                <w:rFonts w:hint="eastAsia"/>
              </w:rPr>
              <w:t xml:space="preserve">；2.</w:t>
            </w:r>
            <w:r>
              <w:t xml:space="preserve">架构设计</w:t>
            </w:r>
            <w:r>
              <w:rPr>
                <w:rFonts w:hint="eastAsia"/>
              </w:rPr>
              <w:t xml:space="preserve">；3.</w:t>
            </w:r>
            <w:r>
              <w:t xml:space="preserve">关键技术描述和说明。</w:t>
            </w:r>
            <w:r>
              <w:rPr>
                <w:rFonts w:hint="eastAsia"/>
                <w:color w:val="000000"/>
                <w:szCs w:val="21"/>
              </w:rPr>
              <w:t xml:space="preserve">以上每项内容逐条阐述。</w:t>
            </w:r>
            <w:r>
              <w:rPr>
                <w:color w:val="000000"/>
                <w:szCs w:val="21"/>
              </w:rPr>
              <w:t xml:space="preserve"> </w:t>
            </w:r>
            <w:r/>
          </w:p>
          <w:p>
            <w:pPr>
              <w:rPr>
                <w:color w:val="000000"/>
              </w:rPr>
            </w:pPr>
            <w:r>
              <w:rPr>
                <w:color w:val="000000"/>
              </w:rPr>
              <w:t xml:space="preserve">方案内容</w:t>
            </w:r>
            <w:r>
              <w:rPr>
                <w:rFonts w:hint="eastAsia"/>
                <w:color w:val="000000"/>
              </w:rPr>
              <w:t xml:space="preserve">清晰</w:t>
            </w:r>
            <w:r>
              <w:rPr>
                <w:color w:val="000000"/>
              </w:rPr>
              <w:t xml:space="preserve">完整、</w:t>
            </w:r>
            <w:r>
              <w:rPr>
                <w:rFonts w:hint="eastAsia"/>
                <w:color w:val="000000"/>
              </w:rPr>
              <w:t xml:space="preserve">科学</w:t>
            </w:r>
            <w:r>
              <w:rPr>
                <w:color w:val="000000"/>
              </w:rPr>
              <w:t xml:space="preserve">、</w:t>
            </w:r>
            <w:r>
              <w:rPr>
                <w:rFonts w:hint="eastAsia"/>
              </w:rPr>
              <w:t xml:space="preserve">具有前瞻性</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spacing w:line="264" w:lineRule="auto"/>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color w:val="000000"/>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ff"/>
              </w:rPr>
            </w:pPr>
            <w:r>
              <w:rPr>
                <w:rFonts w:hint="eastAsia"/>
                <w:color w:val="000000"/>
              </w:rPr>
              <w:t xml:space="preserve">实施方案</w:t>
            </w:r>
            <w:r/>
          </w:p>
        </w:tc>
        <w:tc>
          <w:tcPr>
            <w:tcBorders>
              <w:top w:val="single" w:color="000000" w:sz="2" w:space="0"/>
              <w:bottom w:val="single" w:color="000000" w:sz="2" w:space="0"/>
            </w:tcBorders>
            <w:tcW w:w="6330" w:type="dxa"/>
            <w:vAlign w:val="center"/>
            <w:textDirection w:val="lrTb"/>
            <w:noWrap w:val="false"/>
          </w:tcPr>
          <w:p>
            <w:pPr>
              <w:rPr>
                <w:color w:val="000000"/>
              </w:rPr>
            </w:pPr>
            <w:r>
              <w:rPr>
                <w:rFonts w:hint="eastAsia"/>
                <w:color w:val="000000"/>
              </w:rPr>
              <w:t xml:space="preserve">根据本项目采购需求及相关要求编制方案，内容包含：1.对项目时间进度安排；2.调试测试方案；3.项目管理方案。以上每项内容逐条阐述。</w:t>
            </w:r>
            <w:r/>
          </w:p>
          <w:p>
            <w:pPr>
              <w:rPr>
                <w:color w:val="000000"/>
              </w:rPr>
            </w:pPr>
            <w:r>
              <w:rPr>
                <w:color w:val="000000"/>
              </w:rPr>
              <w:t xml:space="preserve">方案内容完整详细</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jc w:val="left"/>
              <w:spacing w:line="264" w:lineRule="auto"/>
            </w:pPr>
            <w:r>
              <w:rPr>
                <w:rFonts w:hint="eastAsia"/>
                <w:color w:val="000000"/>
              </w:rPr>
              <w:t xml:space="preserve">上述每项内容</w:t>
            </w:r>
            <w:r>
              <w:rPr>
                <w:color w:val="000000"/>
              </w:rPr>
              <w:t xml:space="preserve">符合得</w:t>
            </w:r>
            <w:r>
              <w:rPr>
                <w:rFonts w:hint="eastAsia"/>
                <w:color w:val="000000"/>
              </w:rPr>
              <w:t xml:space="preserve">2</w:t>
            </w:r>
            <w:r>
              <w:rPr>
                <w:color w:val="000000"/>
              </w:rPr>
              <w:t xml:space="preserve">分；部分符合得</w:t>
            </w:r>
            <w:r>
              <w:rPr>
                <w:rFonts w:hint="eastAsia"/>
                <w:color w:val="000000"/>
              </w:rPr>
              <w:t xml:space="preserve">1</w:t>
            </w:r>
            <w:r>
              <w:rPr>
                <w:color w:val="000000"/>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000000"/>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4"/>
              </w:rPr>
            </w:pPr>
            <w:r>
              <w:rPr>
                <w:rFonts w:hint="eastAsia" w:ascii="宋体" w:hAnsi="宋体" w:cs="宋体"/>
                <w:spacing w:val="-6"/>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79" w:type="dxa"/>
            <w:vAlign w:val="center"/>
            <w:textDirection w:val="lrTb"/>
            <w:noWrap w:val="false"/>
          </w:tcPr>
          <w:p>
            <w:pPr>
              <w:spacing w:line="264" w:lineRule="auto"/>
            </w:pPr>
            <w:r>
              <w:rPr>
                <w:rFonts w:hint="eastAsia"/>
                <w:color w:val="000000"/>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pPr>
            <w:r>
              <w:rPr>
                <w:rFonts w:hint="eastAsia"/>
              </w:rPr>
              <w:t xml:space="preserve">评委根据供应商提供的演示视频（总演示时间不超</w:t>
            </w:r>
            <w:r>
              <w:rPr>
                <w:rFonts w:hint="eastAsia" w:ascii="宋体" w:hAnsi="宋体" w:cs="宋体"/>
              </w:rPr>
              <w:t xml:space="preserve">过10分</w:t>
            </w:r>
            <w:r>
              <w:rPr>
                <w:rFonts w:hint="eastAsia"/>
              </w:rPr>
              <w:t xml:space="preserve">钟）综合评分。演示视频包括以下内容： </w:t>
            </w:r>
            <w:r/>
          </w:p>
          <w:p>
            <w:pPr>
              <w:jc w:val="left"/>
              <w:spacing w:line="264" w:lineRule="auto"/>
            </w:pPr>
            <w:r>
              <w:rPr>
                <w:rFonts w:hint="eastAsia"/>
              </w:rPr>
              <w:t xml:space="preserve">1、医护管理机：管理机支持勿扰模式功能：支持一键开启勿扰模式，可根据每周不同时间段设置不同接听类型，如管理机呼叫、请求增援、普通呼叫、定时报警、卫生间报警、输液报警。</w:t>
            </w:r>
            <w:r/>
          </w:p>
          <w:p>
            <w:pPr>
              <w:jc w:val="left"/>
              <w:spacing w:line="264" w:lineRule="auto"/>
            </w:pPr>
            <w:r>
              <w:rPr>
                <w:rFonts w:hint="eastAsia"/>
              </w:rPr>
              <w:t xml:space="preserve">2、床旁交互终端：医护模式切换：支持医护人员通过刷卡或密码登入将床旁智能终端切换至医护模式，可实现护理定位、增援呼叫、护理计时、记录、医嘱查询、巡视记录、护理任务、医学计算器等医护功能。</w:t>
            </w:r>
            <w:r/>
          </w:p>
          <w:p>
            <w:pPr>
              <w:jc w:val="left"/>
              <w:spacing w:line="264" w:lineRule="auto"/>
            </w:pPr>
            <w:r>
              <w:rPr>
                <w:rFonts w:hint="eastAsia"/>
              </w:rPr>
              <w:t xml:space="preserve">3、床头屏系统呼叫联动：支持脱机、宕机呼叫。当病区网络与中心服务器平台断开连接时，仍可实现医护管理机、病房智能终端和病床智能终端设备之间呼叫联动功能，同时支持10台设备呼叫联动。</w:t>
            </w:r>
            <w:r/>
          </w:p>
          <w:p>
            <w:pPr>
              <w:jc w:val="left"/>
              <w:spacing w:line="264" w:lineRule="auto"/>
            </w:pPr>
            <w:r>
              <w:rPr>
                <w:rFonts w:hint="eastAsia"/>
              </w:rPr>
              <w:t xml:space="preserve">以上每项采用类似真实系统及实物演示，建设内容理解程度完整、覆盖程度方面准确、界面友好的，每项得2分;建设内容理解程度完整性、覆盖程度方面准确性、界面友好均基本满足要求的，得1分;其他不得分。以上采用非类似真实系统(如DEMO、PPT等方式)演示每项减半得分。</w:t>
            </w:r>
            <w:r/>
          </w:p>
          <w:p>
            <w:pPr>
              <w:jc w:val="left"/>
              <w:spacing w:line="264" w:lineRule="auto"/>
              <w:rPr>
                <w:lang w:val="zh-CN"/>
              </w:rPr>
            </w:pPr>
            <w:r>
              <w:rPr>
                <w:rFonts w:hint="eastAsia"/>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color w:val="000000" w:themeColor="text1"/>
                <w:spacing w:val="-6"/>
                <w14:textFill>
                  <w14:solidFill>
                    <w14:schemeClr w14:val="tx1"/>
                  </w14:solidFill>
                </w14:textFill>
              </w:rPr>
              <w:t xml:space="preserve">主</w:t>
            </w:r>
            <w:r>
              <w:rPr>
                <w:rFonts w:hint="eastAsia" w:ascii="宋体" w:hAnsi="宋体" w:cs="宋体"/>
                <w:spacing w:val="-6"/>
              </w:rPr>
              <w:t xml:space="preserve">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rPr>
            </w:pPr>
            <w:r>
              <w:rPr>
                <w:rFonts w:hint="eastAsia" w:ascii="宋体" w:hAnsi="宋体" w:cs="宋体"/>
                <w:b/>
                <w:bCs/>
                <w:spacing w:val="-3"/>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ff"/>
              </w:rPr>
            </w:pPr>
            <w:r>
              <w:rPr>
                <w:rFonts w:hint="eastAsia"/>
                <w:color w:val="000000"/>
              </w:rPr>
              <w:t xml:space="preserve">运维服务方案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ascii="宋体" w:hAnsi="宋体" w:cs="宋体"/>
                <w:color w:val="000000"/>
                <w:szCs w:val="21"/>
              </w:rPr>
            </w:pPr>
            <w:r>
              <w:rPr>
                <w:rFonts w:ascii="宋体" w:hAnsi="宋体" w:cs="宋体"/>
                <w:color w:val="000000"/>
                <w:szCs w:val="21"/>
              </w:rPr>
              <w:t xml:space="preserve">评委根据</w:t>
            </w:r>
            <w:r>
              <w:rPr>
                <w:rFonts w:hint="eastAsia" w:ascii="宋体" w:hAnsi="宋体" w:cs="宋体"/>
                <w:color w:val="000000"/>
                <w:szCs w:val="21"/>
              </w:rPr>
              <w:t xml:space="preserve">供应商</w:t>
            </w:r>
            <w:r>
              <w:rPr>
                <w:rFonts w:ascii="宋体" w:hAnsi="宋体" w:cs="宋体"/>
                <w:color w:val="000000"/>
                <w:szCs w:val="21"/>
              </w:rPr>
              <w:t xml:space="preserve">提供的运维服务方案综合评分，包括：1.服务措施及服务流程；2.应急举措；3.服务保障体系。以上每项内容逐条阐述。 </w:t>
            </w:r>
            <w:r/>
          </w:p>
          <w:p>
            <w:pPr>
              <w:spacing w:line="264" w:lineRule="auto"/>
              <w:rPr>
                <w:rFonts w:hint="eastAsia" w:ascii="宋体" w:hAnsi="宋体" w:cs="宋体"/>
                <w:color w:val="000000"/>
                <w:szCs w:val="21"/>
              </w:rPr>
            </w:pPr>
            <w:r>
              <w:rPr>
                <w:rFonts w:ascii="宋体" w:hAnsi="宋体" w:cs="宋体"/>
                <w:color w:val="000000"/>
                <w:szCs w:val="21"/>
              </w:rPr>
              <w:t xml:space="preserve">方案内容完整详细，且专门针对本项目，契合采购需求视为符合；方案内容属于通用类，非专门针对本项目，部分契合采购需求视为部分符合；方案内容非专门针对本项目，脱离采购需求视为不符合。</w:t>
            </w:r>
            <w:r/>
          </w:p>
          <w:p>
            <w:pPr>
              <w:spacing w:line="264" w:lineRule="auto"/>
              <w:rPr>
                <w:rFonts w:ascii="Calibri" w:hAnsi="Calibri" w:eastAsia="Calibri" w:cs="宋体"/>
                <w:sz w:val="20"/>
                <w:lang w:val="zh-CN"/>
              </w:rPr>
            </w:pPr>
            <w:r>
              <w:rPr>
                <w:rFonts w:ascii="宋体" w:hAnsi="宋体" w:cs="宋体"/>
                <w:color w:val="000000"/>
                <w:szCs w:val="21"/>
              </w:rPr>
              <w:t xml:space="preserve">上述每项内容符合得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000000"/>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rPr>
            </w:pPr>
            <w:r>
              <w:rPr>
                <w:rFonts w:hint="eastAsia" w:ascii="宋体" w:hAnsi="宋体" w:cs="宋体"/>
                <w:b/>
                <w:bCs/>
                <w:spacing w:val="-3"/>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 xml:space="preserve">供应商</w:t>
            </w:r>
            <w:r>
              <w:rPr>
                <w:rFonts w:ascii="宋体" w:hAnsi="宋体" w:cs="宋体"/>
                <w:color w:val="000000" w:themeColor="text1"/>
                <w:spacing w:val="-1"/>
                <w14:textFill>
                  <w14:solidFill>
                    <w14:schemeClr w14:val="tx1"/>
                  </w14:solidFill>
                </w14:textFill>
              </w:rPr>
              <w:t xml:space="preserve">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eastAsia="方正仿宋_GBK"/>
                <w:color w:val="000000" w:themeColor="text1"/>
                <w:szCs w:val="21"/>
                <w:lang w:bidi="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供应商提供</w:t>
            </w:r>
            <w:r>
              <w:rPr>
                <w:rFonts w:ascii="宋体" w:hAnsi="宋体" w:cs="宋体"/>
                <w:color w:val="000000" w:themeColor="text1"/>
                <w14:textFill>
                  <w14:solidFill>
                    <w14:schemeClr w14:val="tx1"/>
                  </w14:solidFill>
                </w14:textFill>
              </w:rPr>
              <w:t xml:space="preserve">20</w:t>
            </w:r>
            <w:r>
              <w:rPr>
                <w:rFonts w:hint="eastAsia" w:ascii="宋体" w:hAnsi="宋体" w:cs="宋体"/>
                <w:color w:val="000000" w:themeColor="text1"/>
                <w14:textFill>
                  <w14:solidFill>
                    <w14:schemeClr w14:val="tx1"/>
                  </w14:solidFill>
                </w14:textFill>
              </w:rPr>
              <w:t xml:space="preserve">23</w:t>
            </w:r>
            <w:r>
              <w:rPr>
                <w:rFonts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日（含）以来类似项目业绩</w:t>
            </w:r>
            <w:r>
              <w:rPr>
                <w:rFonts w:hint="eastAsia" w:ascii="宋体" w:hAnsi="宋体" w:cs="宋体"/>
                <w:color w:val="000000" w:themeColor="text1"/>
                <w14:textFill>
                  <w14:solidFill>
                    <w14:schemeClr w14:val="tx1"/>
                  </w14:solidFill>
                </w14:textFill>
              </w:rPr>
              <w:t xml:space="preserve">（合同内容至少包含智慧病房或医护管理）</w:t>
            </w:r>
            <w:r>
              <w:rPr>
                <w:rFonts w:ascii="宋体" w:hAnsi="宋体" w:cs="宋体"/>
                <w:color w:val="000000" w:themeColor="text1"/>
                <w14:textFill>
                  <w14:solidFill>
                    <w14:schemeClr w14:val="tx1"/>
                  </w14:solidFill>
                </w14:textFill>
              </w:rPr>
              <w:t xml:space="preserve">，每提供</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个得</w:t>
            </w:r>
            <w:r>
              <w:rPr>
                <w:rFonts w:hint="eastAsia" w:ascii="宋体" w:hAnsi="宋体" w:cs="宋体"/>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分</w:t>
            </w:r>
            <w:r>
              <w:rPr>
                <w:rFonts w:hint="eastAsia" w:ascii="宋体" w:hAnsi="宋体" w:cs="宋体"/>
                <w:color w:val="000000" w:themeColor="text1"/>
                <w14:textFill>
                  <w14:solidFill>
                    <w14:schemeClr w14:val="tx1"/>
                  </w14:solidFill>
                </w14:textFill>
              </w:rPr>
              <w:t xml:space="preserve">，最多得6分</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时间以合同签订时间为准，</w:t>
            </w:r>
            <w:r>
              <w:rPr>
                <w:rFonts w:ascii="宋体" w:hAnsi="宋体" w:cs="宋体"/>
                <w:color w:val="000000" w:themeColor="text1"/>
                <w14:textFill>
                  <w14:solidFill>
                    <w14:schemeClr w14:val="tx1"/>
                  </w14:solidFill>
                </w14:textFill>
              </w:rPr>
              <w:t xml:space="preserve">提供有效合同，合同</w:t>
            </w:r>
            <w:r>
              <w:rPr>
                <w:rFonts w:hint="eastAsia" w:ascii="宋体" w:hAnsi="宋体" w:cs="宋体"/>
                <w:color w:val="000000" w:themeColor="text1"/>
                <w14:textFill>
                  <w14:solidFill>
                    <w14:schemeClr w14:val="tx1"/>
                  </w14:solidFill>
                </w14:textFill>
              </w:rPr>
              <w:t xml:space="preserve">页</w:t>
            </w:r>
            <w:r>
              <w:rPr>
                <w:rFonts w:ascii="宋体" w:hAnsi="宋体" w:cs="宋体"/>
                <w:color w:val="000000" w:themeColor="text1"/>
                <w14:textFill>
                  <w14:solidFill>
                    <w14:schemeClr w14:val="tx1"/>
                  </w14:solidFill>
                </w14:textFill>
              </w:rPr>
              <w:t xml:space="preserve">须清晰可见相应内容）</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szCs w:val="21"/>
              </w:rPr>
            </w:pPr>
            <w:r>
              <w:rPr>
                <w:rFonts w:hint="eastAsia"/>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pacing w:val="-3"/>
                <w14:textFill>
                  <w14:solidFill>
                    <w14:schemeClr w14:val="tx1"/>
                  </w14:solidFill>
                </w14:textFill>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履约能力1</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（1）供应商拟投入本项目的项目经理具有高级工程师（电子信息化类或</w:t>
            </w:r>
            <w:r>
              <w:rPr>
                <w:rFonts w:hint="eastAsia"/>
                <w:color w:val="000000" w:themeColor="text1"/>
                <w14:textFill>
                  <w14:solidFill>
                    <w14:schemeClr w14:val="tx1"/>
                  </w14:solidFill>
                </w14:textFill>
              </w:rPr>
              <w:t xml:space="preserve">数字经济类通信工程专业</w:t>
            </w:r>
            <w:r>
              <w:rPr>
                <w:rFonts w:hint="eastAsia" w:ascii="宋体" w:hAnsi="宋体" w:cs="宋体"/>
                <w:color w:val="000000" w:themeColor="text1"/>
                <w:szCs w:val="21"/>
                <w14:textFill>
                  <w14:solidFill>
                    <w14:schemeClr w14:val="tx1"/>
                  </w14:solidFill>
                </w14:textFill>
              </w:rPr>
              <w:t xml:space="preserve">）证书、注册信息安全专业人员（CISP）证书、信息系统项目管理师证书、ITSS服务项目经理证书，每提供1个证书得2分，最多得6分。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（2）供应商拟投入本项目的技术负责人：</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①具有中级工程师（电子信息化类或</w:t>
            </w:r>
            <w:r>
              <w:rPr>
                <w:rFonts w:hint="eastAsia"/>
                <w:color w:val="000000" w:themeColor="text1"/>
                <w14:textFill>
                  <w14:solidFill>
                    <w14:schemeClr w14:val="tx1"/>
                  </w14:solidFill>
                </w14:textFill>
              </w:rPr>
              <w:t xml:space="preserve">数字经济类通信专业</w:t>
            </w:r>
            <w:r>
              <w:rPr>
                <w:rFonts w:hint="eastAsia" w:ascii="宋体" w:hAnsi="宋体" w:cs="宋体"/>
                <w:color w:val="000000" w:themeColor="text1"/>
                <w:szCs w:val="21"/>
                <w14:textFill>
                  <w14:solidFill>
                    <w14:schemeClr w14:val="tx1"/>
                  </w14:solidFill>
                </w14:textFill>
              </w:rPr>
              <w:t xml:space="preserve">）或以上资格证书得1分；</w:t>
            </w:r>
            <w:r/>
          </w:p>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②具有注册信息安全专业人员（CISP）</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系统规划与管理师（高级）证书、系统架构设计师（高级）证书，每提供1个证书得2分，最多得4分。</w:t>
            </w:r>
            <w:r/>
          </w:p>
          <w:p>
            <w:pPr>
              <w:spacing w:line="264" w:lineRule="auto"/>
              <w:rPr>
                <w:color w:val="000000" w:themeColor="text1"/>
                <w14:textFill>
                  <w14:solidFill>
                    <w14:schemeClr w14:val="tx1"/>
                  </w14:solidFill>
                </w14:textFill>
              </w:rPr>
            </w:pPr>
            <w:r>
              <w:rPr>
                <w:rFonts w:ascii="宋体" w:hAnsi="宋体" w:cs="宋体"/>
                <w:color w:val="000000" w:themeColor="text1"/>
                <w:szCs w:val="21"/>
                <w:lang w:val="zh-CN"/>
                <w14:textFill>
                  <w14:solidFill>
                    <w14:schemeClr w14:val="tx1"/>
                  </w14:solidFill>
                </w14:textFill>
              </w:rPr>
              <w:t xml:space="preserve">（提供上述</w:t>
            </w:r>
            <w:r>
              <w:rPr>
                <w:rFonts w:hint="eastAsia" w:ascii="宋体" w:hAnsi="宋体" w:cs="宋体"/>
                <w:color w:val="000000" w:themeColor="text1"/>
                <w:szCs w:val="21"/>
                <w:lang w:val="zh-CN"/>
                <w14:textFill>
                  <w14:solidFill>
                    <w14:schemeClr w14:val="tx1"/>
                  </w14:solidFill>
                </w14:textFill>
              </w:rPr>
              <w:t xml:space="preserve">人员</w:t>
            </w:r>
            <w:r>
              <w:rPr>
                <w:rFonts w:ascii="宋体" w:hAnsi="宋体" w:cs="宋体"/>
                <w:color w:val="000000" w:themeColor="text1"/>
                <w:szCs w:val="21"/>
                <w:lang w:val="zh-CN"/>
                <w14:textFill>
                  <w14:solidFill>
                    <w14:schemeClr w14:val="tx1"/>
                  </w14:solidFill>
                </w14:textFill>
              </w:rPr>
              <w:t xml:space="preserve">证书</w:t>
            </w:r>
            <w:r>
              <w:rPr>
                <w:rFonts w:hint="eastAsia" w:ascii="宋体" w:hAnsi="宋体" w:cs="宋体"/>
                <w:color w:val="000000" w:themeColor="text1"/>
                <w:szCs w:val="21"/>
                <w14:textFill>
                  <w14:solidFill>
                    <w14:schemeClr w14:val="tx1"/>
                  </w14:solidFill>
                </w14:textFill>
              </w:rPr>
              <w:t xml:space="preserve">及供应商为其缴纳的2026年3月以来任意一个月的社保证明材料，缺一不可）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11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履约能力2</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供应商拟投入本项目的项目实施团队（不含项目经理和技术负责人）：</w:t>
            </w:r>
            <w:r/>
          </w:p>
          <w:p>
            <w:pPr>
              <w:numPr>
                <w:ilvl w:val="0"/>
                <w:numId w:val="6"/>
              </w:numPr>
              <w:jc w:val="left"/>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具有</w:t>
            </w:r>
            <w:r>
              <w:rPr>
                <w:rFonts w:hint="eastAsia" w:ascii="宋体" w:hAnsi="宋体" w:cs="宋体"/>
                <w:color w:val="000000" w:themeColor="text1"/>
                <w:lang w:val="zh-CN"/>
                <w14:textFill>
                  <w14:solidFill>
                    <w14:schemeClr w14:val="tx1"/>
                  </w14:solidFill>
                </w14:textFill>
              </w:rPr>
              <w:t xml:space="preserve">网络</w:t>
            </w:r>
            <w:r>
              <w:rPr>
                <w:rFonts w:ascii="宋体" w:hAnsi="宋体" w:cs="宋体"/>
                <w:color w:val="000000" w:themeColor="text1"/>
                <w:lang w:val="zh-CN"/>
                <w14:textFill>
                  <w14:solidFill>
                    <w14:schemeClr w14:val="tx1"/>
                  </w14:solidFill>
                </w14:textFill>
              </w:rPr>
              <w:t xml:space="preserve">工程</w:t>
            </w:r>
            <w:r>
              <w:rPr>
                <w:rFonts w:hint="eastAsia" w:ascii="宋体" w:hAnsi="宋体" w:cs="宋体"/>
                <w:color w:val="000000" w:themeColor="text1"/>
                <w:lang w:val="zh-CN"/>
                <w14:textFill>
                  <w14:solidFill>
                    <w14:schemeClr w14:val="tx1"/>
                  </w14:solidFill>
                </w14:textFill>
              </w:rPr>
              <w:t xml:space="preserve">师</w:t>
            </w:r>
            <w:r>
              <w:rPr>
                <w:rFonts w:ascii="宋体" w:hAnsi="宋体" w:cs="宋体"/>
                <w:color w:val="000000" w:themeColor="text1"/>
                <w:lang w:val="zh-CN"/>
                <w14:textFill>
                  <w14:solidFill>
                    <w14:schemeClr w14:val="tx1"/>
                  </w14:solidFill>
                </w14:textFill>
              </w:rPr>
              <w:t xml:space="preserve">（中</w:t>
            </w:r>
            <w:r>
              <w:rPr>
                <w:rFonts w:hint="eastAsia" w:ascii="宋体" w:hAnsi="宋体" w:cs="宋体"/>
                <w:color w:val="000000" w:themeColor="text1"/>
                <w:lang w:val="zh-CN"/>
                <w14:textFill>
                  <w14:solidFill>
                    <w14:schemeClr w14:val="tx1"/>
                  </w14:solidFill>
                </w14:textFill>
              </w:rPr>
              <w:t xml:space="preserve">级</w:t>
            </w:r>
            <w:r>
              <w:rPr>
                <w:rFonts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、ITSS IT服务工程师证书，</w:t>
            </w:r>
            <w:r>
              <w:rPr>
                <w:rFonts w:hint="eastAsia" w:ascii="宋体" w:hAnsi="宋体" w:cs="宋体"/>
                <w:color w:val="000000" w:themeColor="text1"/>
                <w:szCs w:val="21"/>
                <w14:textFill>
                  <w14:solidFill>
                    <w14:schemeClr w14:val="tx1"/>
                  </w14:solidFill>
                </w14:textFill>
              </w:rPr>
              <w:t xml:space="preserve">每提供1个证书得1分，最多得2分；</w:t>
            </w:r>
            <w:r/>
          </w:p>
          <w:p>
            <w:pPr>
              <w:numPr>
                <w:ilvl w:val="0"/>
                <w:numId w:val="6"/>
              </w:numPr>
              <w:spacing w:line="264"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w:t>
            </w:r>
            <w:r>
              <w:rPr>
                <w:rFonts w:hint="eastAsia" w:ascii="宋体" w:hAnsi="宋体" w:cs="宋体"/>
                <w:color w:val="000000" w:themeColor="text1"/>
                <w:lang w:val="zh-CN"/>
                <w14:textFill>
                  <w14:solidFill>
                    <w14:schemeClr w14:val="tx1"/>
                  </w14:solidFill>
                </w14:textFill>
              </w:rPr>
              <w:t xml:space="preserve">注册信息安全专业人员（CISP）证书、系统</w:t>
            </w:r>
            <w:r>
              <w:rPr>
                <w:rFonts w:ascii="宋体" w:hAnsi="宋体" w:cs="宋体"/>
                <w:color w:val="000000" w:themeColor="text1"/>
                <w:lang w:val="zh-CN"/>
                <w14:textFill>
                  <w14:solidFill>
                    <w14:schemeClr w14:val="tx1"/>
                  </w14:solidFill>
                </w14:textFill>
              </w:rPr>
              <w:t xml:space="preserve">分析</w:t>
            </w:r>
            <w:r>
              <w:rPr>
                <w:rFonts w:hint="eastAsia" w:ascii="宋体" w:hAnsi="宋体" w:cs="宋体"/>
                <w:color w:val="000000" w:themeColor="text1"/>
                <w:lang w:val="zh-CN"/>
                <w14:textFill>
                  <w14:solidFill>
                    <w14:schemeClr w14:val="tx1"/>
                  </w14:solidFill>
                </w14:textFill>
              </w:rPr>
              <w:t xml:space="preserve">师</w:t>
            </w:r>
            <w:r>
              <w:rPr>
                <w:rFonts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lang w:val="zh-CN"/>
                <w14:textFill>
                  <w14:solidFill>
                    <w14:schemeClr w14:val="tx1"/>
                  </w14:solidFill>
                </w14:textFill>
              </w:rPr>
              <w:t xml:space="preserve">网络规划设计师</w:t>
            </w:r>
            <w:r>
              <w:rPr>
                <w:rFonts w:ascii="宋体" w:hAnsi="宋体" w:cs="宋体"/>
                <w:color w:val="000000" w:themeColor="text1"/>
                <w:lang w:val="zh-CN"/>
                <w14:textFill>
                  <w14:solidFill>
                    <w14:schemeClr w14:val="tx1"/>
                  </w14:solidFill>
                </w14:textFill>
              </w:rPr>
              <w:t xml:space="preserve">（高</w:t>
            </w:r>
            <w:r>
              <w:rPr>
                <w:rFonts w:hint="eastAsia" w:ascii="宋体" w:hAnsi="宋体" w:cs="宋体"/>
                <w:color w:val="000000" w:themeColor="text1"/>
                <w:lang w:val="zh-CN"/>
                <w14:textFill>
                  <w14:solidFill>
                    <w14:schemeClr w14:val="tx1"/>
                  </w14:solidFill>
                </w14:textFill>
              </w:rPr>
              <w:t xml:space="preserve">级</w:t>
            </w:r>
            <w:r>
              <w:rPr>
                <w:rFonts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，每提供一类证书得</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分，最高得</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分。</w:t>
            </w:r>
            <w:r/>
          </w:p>
          <w:p>
            <w:p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（多人一证、一人多证不重复计分，提供</w:t>
            </w:r>
            <w:r>
              <w:rPr>
                <w:rFonts w:ascii="宋体" w:hAnsi="宋体" w:cs="宋体"/>
                <w:color w:val="000000" w:themeColor="text1"/>
                <w:szCs w:val="21"/>
                <w:lang w:val="zh-CN"/>
                <w14:textFill>
                  <w14:solidFill>
                    <w14:schemeClr w14:val="tx1"/>
                  </w14:solidFill>
                </w14:textFill>
              </w:rPr>
              <w:t xml:space="preserve">上述</w:t>
            </w:r>
            <w:r>
              <w:rPr>
                <w:rFonts w:hint="eastAsia" w:ascii="宋体" w:hAnsi="宋体" w:cs="宋体"/>
                <w:color w:val="000000" w:themeColor="text1"/>
                <w:szCs w:val="21"/>
                <w:lang w:val="zh-CN"/>
                <w14:textFill>
                  <w14:solidFill>
                    <w14:schemeClr w14:val="tx1"/>
                  </w14:solidFill>
                </w14:textFill>
              </w:rPr>
              <w:t xml:space="preserve">人员</w:t>
            </w:r>
            <w:r>
              <w:rPr>
                <w:rFonts w:ascii="宋体" w:hAnsi="宋体" w:cs="宋体"/>
                <w:color w:val="000000" w:themeColor="text1"/>
                <w:szCs w:val="21"/>
                <w:lang w:val="zh-CN"/>
                <w14:textFill>
                  <w14:solidFill>
                    <w14:schemeClr w14:val="tx1"/>
                  </w14:solidFill>
                </w14:textFill>
              </w:rPr>
              <w:t xml:space="preserve">证书</w:t>
            </w:r>
            <w:r>
              <w:rPr>
                <w:rFonts w:hint="eastAsia" w:ascii="宋体" w:hAnsi="宋体" w:cs="宋体"/>
                <w:color w:val="000000" w:themeColor="text1"/>
                <w:szCs w:val="21"/>
                <w14:textFill>
                  <w14:solidFill>
                    <w14:schemeClr w14:val="tx1"/>
                  </w14:solidFill>
                </w14:textFill>
              </w:rPr>
              <w:t xml:space="preserve">及供应商为其缴纳的2025年3月以来任意一个月的社保证明材料，缺一不可）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5.3</w:t>
            </w:r>
            <w:r/>
          </w:p>
        </w:tc>
        <w:tc>
          <w:tcPr>
            <w:tcBorders>
              <w:top w:val="single" w:color="000000" w:sz="2" w:space="0"/>
              <w:bottom w:val="single" w:color="000000" w:sz="2" w:space="0"/>
            </w:tcBorders>
            <w:tcW w:w="1179" w:type="dxa"/>
            <w:vAlign w:val="center"/>
            <w:textDirection w:val="lrTb"/>
            <w:noWrap w:val="false"/>
          </w:tcPr>
          <w:p>
            <w:pPr>
              <w:spacing w:line="264"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履约能力3</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供应商具有本项目相关的软件著作权证书，包括</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医疗护理类</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 “医疗大数据类”“医护管理类”“异构数据采集类”等相关内容，每提供1个证书得2分，最多得8分。</w:t>
            </w:r>
            <w:r/>
          </w:p>
          <w:p>
            <w:pPr>
              <w:spacing w:line="264"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（所提供证书</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软件名称</w:t>
            </w:r>
            <w:r>
              <w:rPr>
                <w:rFonts w:ascii="宋体" w:hAnsi="宋体" w:cs="宋体"/>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rPr>
            </w:pPr>
            <w:r>
              <w:rPr>
                <w:rFonts w:hint="eastAsia" w:ascii="宋体" w:hAnsi="宋体" w:cs="宋体"/>
                <w:color w:val="000000" w:themeColor="text1"/>
                <w14:textFill>
                  <w14:solidFill>
                    <w14:schemeClr w14:val="tx1"/>
                  </w14:solidFill>
                </w14:textFill>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color w:val="000000" w:themeColor="text1"/>
                <w:spacing w:val="-6"/>
                <w14:textFill>
                  <w14:solidFill>
                    <w14:schemeClr w14:val="tx1"/>
                  </w14:solidFill>
                </w14:textFill>
              </w:rPr>
            </w:pPr>
            <w:r>
              <w:rPr>
                <w:rFonts w:hint="eastAsia" w:ascii="宋体" w:hAnsi="宋体" w:cs="宋体"/>
                <w:b/>
                <w:bCs/>
                <w:color w:val="000000" w:themeColor="text1"/>
                <w:spacing w:val="-3"/>
                <w14:textFill>
                  <w14:solidFill>
                    <w14:schemeClr w14:val="tx1"/>
                  </w14:solidFill>
                </w14:textFill>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rPr>
            </w:pPr>
            <w:r>
              <w:rPr>
                <w:rFonts w:hint="eastAsia" w:ascii="宋体" w:hAnsi="宋体" w:cs="宋体"/>
                <w:spacing w:val="-2"/>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1"/>
                <w14:textFill>
                  <w14:solidFill>
                    <w14:schemeClr w14:val="tx1"/>
                  </w14:solidFill>
                </w14:textFill>
              </w:rPr>
            </w:pPr>
            <w:r>
              <w:rPr>
                <w:rFonts w:hint="eastAsia"/>
                <w:color w:val="000000" w:themeColor="text1"/>
                <w14:textFill>
                  <w14:solidFill>
                    <w14:schemeClr w14:val="tx1"/>
                  </w14:solidFill>
                </w14:textFill>
              </w:rPr>
              <w:t xml:space="preserve">节能</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响应</w:t>
            </w:r>
            <w:r>
              <w:rPr>
                <w:rFonts w:ascii="宋体" w:hAnsi="宋体" w:cs="宋体"/>
                <w:color w:val="000000" w:themeColor="text1"/>
                <w14:textFill>
                  <w14:solidFill>
                    <w14:schemeClr w14:val="tx1"/>
                  </w14:solidFill>
                </w14:textFill>
              </w:rPr>
              <w:t xml:space="preserve">产品属于财政部、国家发改委公布的《节能产品政府采购品目清单》（财库〔2019〕19号）范围内</w:t>
            </w:r>
            <w:r>
              <w:rPr>
                <w:rFonts w:hint="eastAsia" w:ascii="宋体" w:hAnsi="宋体" w:cs="宋体"/>
                <w:color w:val="000000" w:themeColor="text1"/>
                <w14:textFill>
                  <w14:solidFill>
                    <w14:schemeClr w14:val="tx1"/>
                  </w14:solidFill>
                </w14:textFill>
              </w:rPr>
              <w:t xml:space="preserve">（政府强制采购产品除外）</w:t>
            </w:r>
            <w:r>
              <w:rPr>
                <w:rFonts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14:textFill>
                  <w14:solidFill>
                    <w14:schemeClr w14:val="tx1"/>
                  </w14:solidFill>
                </w14:textFill>
              </w:rPr>
              <w:t xml:space="preserve">供应商</w:t>
            </w:r>
            <w:r>
              <w:rPr>
                <w:rFonts w:ascii="宋体" w:hAnsi="宋体" w:cs="宋体"/>
                <w:color w:val="000000" w:themeColor="text1"/>
                <w14:textFill>
                  <w14:solidFill>
                    <w14:schemeClr w14:val="tx1"/>
                  </w14:solidFill>
                </w14:textFill>
              </w:rPr>
              <w:t xml:space="preserve">提供国家确定的认证机构出具的、处于有效期之内的该节能产品认证证书的，有1个得</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分，最多得</w:t>
            </w:r>
            <w:r>
              <w:rPr>
                <w:rFonts w:hint="eastAsia" w:ascii="宋体" w:hAnsi="宋体" w:cs="宋体"/>
                <w:color w:val="000000" w:themeColor="text1"/>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分。</w:t>
            </w:r>
            <w:r/>
          </w:p>
          <w:p>
            <w:pPr>
              <w:spacing w:line="264" w:lineRule="auto"/>
              <w:rPr>
                <w:rFonts w:ascii="Calibri" w:hAnsi="Calibri" w:cs="宋体"/>
                <w:color w:val="000000" w:themeColor="text1"/>
                <w:sz w:val="20"/>
                <w14:textFill>
                  <w14:solidFill>
                    <w14:schemeClr w14:val="tx1"/>
                  </w14:solidFill>
                </w14:textFill>
              </w:rPr>
            </w:pPr>
            <w:r>
              <w:rPr>
                <w:rFonts w:ascii="Calibri" w:hAnsi="Calibri" w:cs="宋体"/>
                <w:color w:val="000000" w:themeColor="text1"/>
                <w:sz w:val="20"/>
                <w14:textFill>
                  <w14:solidFill>
                    <w14:schemeClr w14:val="tx1"/>
                  </w14:solidFill>
                </w14:textFill>
              </w:rPr>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rPr>
            </w:pPr>
            <w:r>
              <w:rPr>
                <w:rFonts w:hint="eastAsia" w:ascii="宋体" w:hAnsi="宋体" w:cs="宋体"/>
              </w:rPr>
              <w:t xml:space="preserve">1</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pPr>
            <w:r>
              <w:rPr>
                <w:rFonts w:ascii="宋体" w:hAnsi="宋体" w:cs="宋体"/>
                <w:spacing w:val="-11"/>
              </w:rPr>
              <w:t xml:space="preserve">100分</w:t>
            </w:r>
            <w:r/>
          </w:p>
        </w:tc>
      </w:tr>
    </w:tbl>
    <w:p>
      <w:pPr>
        <w:spacing w:line="264" w:lineRule="auto"/>
      </w:pPr>
      <w:r/>
      <w:r/>
    </w:p>
    <w:p>
      <w:pPr>
        <w:spacing w:line="288" w:lineRule="auto"/>
      </w:pPr>
      <w:r/>
      <w:r/>
    </w:p>
    <w:p>
      <w:pPr>
        <w:pStyle w:val="996"/>
        <w:spacing w:line="288" w:lineRule="auto"/>
      </w:pPr>
      <w:r/>
      <w:r/>
    </w:p>
    <w:p>
      <w:pPr>
        <w:ind w:right="840"/>
        <w:jc w:val="center"/>
        <w:rPr>
          <w:rFonts w:hint="eastAsia" w:ascii="Arial Unicode MS" w:hAnsi="Arial Unicode MS" w:eastAsia="Arial Unicode MS" w:cs="Arial Unicode MS"/>
          <w:color w:val="000000"/>
          <w:sz w:val="36"/>
          <w:szCs w:val="36"/>
        </w:rPr>
        <w:outlineLvl w:val="0"/>
      </w:pPr>
      <w:r>
        <w:rPr>
          <w:rFonts w:hint="eastAsia" w:ascii="黑体" w:eastAsia="黑体"/>
          <w:bCs/>
          <w:sz w:val="44"/>
          <w:szCs w:val="28"/>
        </w:rPr>
        <w:br w:type="page" w:clear="all"/>
      </w:r>
      <w:r>
        <w:rPr>
          <w:rFonts w:hint="eastAsia" w:ascii="Arial Unicode MS" w:hAnsi="Arial Unicode MS" w:eastAsia="Arial Unicode MS" w:cs="Arial Unicode MS"/>
          <w:color w:val="000000"/>
          <w:sz w:val="36"/>
          <w:szCs w:val="36"/>
        </w:rPr>
        <w:t xml:space="preserve">第六章  </w:t>
      </w:r>
      <w:bookmarkEnd w:id="84"/>
      <w:r/>
      <w:bookmarkEnd w:id="85"/>
      <w:r/>
      <w:bookmarkEnd w:id="87"/>
      <w:r>
        <w:rPr>
          <w:rFonts w:hint="eastAsia" w:ascii="Arial Unicode MS" w:hAnsi="Arial Unicode MS" w:eastAsia="Arial Unicode MS" w:cs="Arial Unicode MS"/>
          <w:color w:val="000000"/>
          <w:sz w:val="36"/>
          <w:szCs w:val="36"/>
        </w:rPr>
        <w:t xml:space="preserve">响应文件格式 </w:t>
      </w:r>
      <w:r/>
    </w:p>
    <w:p>
      <w:pPr>
        <w:jc w:val="center"/>
        <w:rPr>
          <w:rFonts w:hint="eastAsia" w:ascii="宋体" w:hAnsi="宋体"/>
          <w:b/>
          <w:sz w:val="72"/>
          <w:szCs w:val="21"/>
        </w:rPr>
      </w:pPr>
      <w:r/>
      <w:bookmarkStart w:id="90" w:name="_Hlt26671244"/>
      <w:r/>
      <w:bookmarkEnd w:id="90"/>
      <w:r/>
      <w:bookmarkStart w:id="91" w:name="_Hlt26955039"/>
      <w:r/>
      <w:bookmarkEnd w:id="91"/>
      <w:r/>
      <w:bookmarkStart w:id="92" w:name="_Toc49090576"/>
      <w:r/>
      <w:bookmarkStart w:id="93" w:name="_Toc26554094"/>
      <w:r/>
      <w:bookmarkStart w:id="94"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rPr>
          <w:rFonts w:hint="eastAsia" w:ascii="宋体" w:hAnsi="宋体"/>
          <w:b/>
          <w:bCs/>
          <w:sz w:val="32"/>
          <w:szCs w:val="32"/>
        </w:rPr>
      </w:pPr>
      <w:r>
        <w:rPr>
          <w:rFonts w:ascii="宋体" w:hAnsi="宋体"/>
          <w:b/>
          <w:sz w:val="36"/>
          <w:szCs w:val="21"/>
          <w:u w:val="single"/>
        </w:rPr>
        <w:br w:type="page" w:clear="all"/>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信用承诺函</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35"/>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jc w:val="center"/>
        <w:spacing w:line="420" w:lineRule="exact"/>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法定代表人授权委托书</w:t>
      </w:r>
      <w:r/>
    </w:p>
    <w:p>
      <w:pPr>
        <w:pStyle w:val="1006"/>
        <w:ind w:firstLine="480"/>
        <w:spacing w:line="420" w:lineRule="exact"/>
        <w:rPr>
          <w:sz w:val="24"/>
          <w:szCs w:val="24"/>
        </w:rPr>
      </w:pPr>
      <w:r>
        <w:rPr>
          <w:sz w:val="24"/>
          <w:szCs w:val="24"/>
        </w:rPr>
      </w:r>
      <w:r/>
    </w:p>
    <w:p>
      <w:pPr>
        <w:pStyle w:val="1006"/>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1006"/>
        <w:ind w:firstLine="480"/>
        <w:spacing w:line="480" w:lineRule="exact"/>
        <w:rPr>
          <w:sz w:val="24"/>
          <w:szCs w:val="24"/>
        </w:rPr>
      </w:pPr>
      <w:r>
        <w:rPr>
          <w:rFonts w:hint="eastAsia"/>
          <w:sz w:val="24"/>
          <w:szCs w:val="24"/>
        </w:rPr>
        <w:t xml:space="preserve">委托期限：自本授权委托书签署之日起至磋商有效期届满之日止。</w:t>
      </w:r>
      <w:r/>
    </w:p>
    <w:p>
      <w:pPr>
        <w:pStyle w:val="1006"/>
        <w:ind w:firstLine="480"/>
        <w:spacing w:line="480" w:lineRule="exact"/>
        <w:rPr>
          <w:sz w:val="24"/>
          <w:szCs w:val="24"/>
        </w:rPr>
      </w:pPr>
      <w:r>
        <w:rPr>
          <w:rFonts w:hint="eastAsia"/>
          <w:sz w:val="24"/>
          <w:szCs w:val="24"/>
        </w:rPr>
        <w:t xml:space="preserve">代理人无转委托权。</w:t>
      </w:r>
      <w:r/>
    </w:p>
    <w:p>
      <w:pPr>
        <w:pStyle w:val="1006"/>
        <w:ind w:firstLine="480"/>
        <w:spacing w:line="480" w:lineRule="exact"/>
        <w:rPr>
          <w:sz w:val="24"/>
          <w:szCs w:val="24"/>
        </w:rPr>
      </w:pPr>
      <w:r>
        <w:rPr>
          <w:rFonts w:hint="eastAsia"/>
          <w:sz w:val="24"/>
          <w:szCs w:val="24"/>
        </w:rPr>
        <w:t xml:space="preserve">供应商名称（加盖公章）：________________</w:t>
      </w:r>
      <w:r/>
    </w:p>
    <w:p>
      <w:pPr>
        <w:pStyle w:val="1006"/>
        <w:ind w:firstLine="480"/>
        <w:spacing w:line="480" w:lineRule="exact"/>
        <w:rPr>
          <w:sz w:val="24"/>
          <w:szCs w:val="24"/>
        </w:rPr>
      </w:pPr>
      <w:r>
        <w:rPr>
          <w:rFonts w:hint="eastAsia"/>
          <w:sz w:val="24"/>
          <w:szCs w:val="24"/>
        </w:rPr>
        <w:t xml:space="preserve">法定代表人（单位负责人）（签字或签章）：________________</w:t>
      </w:r>
      <w:r/>
    </w:p>
    <w:p>
      <w:pPr>
        <w:pStyle w:val="1006"/>
        <w:ind w:firstLine="480"/>
        <w:spacing w:line="480" w:lineRule="exact"/>
        <w:rPr>
          <w:sz w:val="24"/>
          <w:szCs w:val="24"/>
        </w:rPr>
      </w:pPr>
      <w:r>
        <w:rPr>
          <w:rFonts w:hint="eastAsia"/>
          <w:sz w:val="24"/>
          <w:szCs w:val="24"/>
        </w:rPr>
        <w:t xml:space="preserve">代理人（签字或签章）：________________ </w:t>
      </w:r>
      <w:r/>
    </w:p>
    <w:p>
      <w:pPr>
        <w:pStyle w:val="1006"/>
        <w:ind w:firstLine="480"/>
        <w:spacing w:line="480" w:lineRule="exact"/>
        <w:rPr>
          <w:sz w:val="24"/>
          <w:szCs w:val="24"/>
        </w:rPr>
      </w:pPr>
      <w:r>
        <w:rPr>
          <w:rFonts w:hint="eastAsia"/>
          <w:sz w:val="24"/>
          <w:szCs w:val="24"/>
        </w:rPr>
        <w:t xml:space="preserve">代理人联系方式（手机号码）：________________</w:t>
      </w:r>
      <w:r/>
    </w:p>
    <w:p>
      <w:pPr>
        <w:pStyle w:val="1006"/>
        <w:ind w:firstLine="480"/>
        <w:spacing w:line="480" w:lineRule="exact"/>
        <w:rPr>
          <w:sz w:val="24"/>
          <w:szCs w:val="24"/>
        </w:rPr>
      </w:pPr>
      <w:r>
        <w:rPr>
          <w:rFonts w:hint="eastAsia"/>
          <w:sz w:val="24"/>
          <w:szCs w:val="24"/>
        </w:rPr>
        <w:t xml:space="preserve">日期：_____年______月______日</w:t>
      </w:r>
      <w:r/>
    </w:p>
    <w:p>
      <w:pPr>
        <w:pStyle w:val="1006"/>
        <w:ind w:firstLine="480"/>
        <w:spacing w:line="480" w:lineRule="exact"/>
        <w:rPr>
          <w:sz w:val="24"/>
          <w:szCs w:val="24"/>
        </w:rPr>
      </w:pPr>
      <w:r>
        <w:rPr>
          <w:rFonts w:hint="eastAsia"/>
          <w:sz w:val="24"/>
          <w:szCs w:val="24"/>
        </w:rPr>
        <w:t xml:space="preserve">附：法定代表人（单位负责人）及代理人有效身份证明文件</w:t>
      </w:r>
      <w:r/>
    </w:p>
    <w:p>
      <w:pPr>
        <w:pStyle w:val="919"/>
        <w:ind w:firstLine="0"/>
      </w:pPr>
      <w:r/>
      <w:r/>
    </w:p>
    <w:p>
      <w:pPr>
        <w:pStyle w:val="1006"/>
        <w:ind w:firstLine="480"/>
        <w:spacing w:line="480" w:lineRule="exact"/>
        <w:rPr>
          <w:sz w:val="24"/>
          <w:szCs w:val="24"/>
        </w:rPr>
      </w:pPr>
      <w:r>
        <w:rPr>
          <w:sz w:val="24"/>
          <w:szCs w:val="24"/>
        </w:rPr>
      </w:r>
      <w:r/>
    </w:p>
    <w:p>
      <w:pPr>
        <w:pStyle w:val="1006"/>
        <w:ind w:firstLine="480"/>
        <w:spacing w:line="480" w:lineRule="exact"/>
        <w:rPr>
          <w:sz w:val="24"/>
          <w:szCs w:val="24"/>
        </w:rPr>
      </w:pPr>
      <w:r>
        <w:rPr>
          <w:rFonts w:hint="eastAsia"/>
          <w:sz w:val="24"/>
          <w:szCs w:val="24"/>
        </w:rPr>
        <w:t xml:space="preserve">说明：</w:t>
      </w:r>
      <w:r/>
    </w:p>
    <w:p>
      <w:pPr>
        <w:pStyle w:val="1006"/>
        <w:ind w:firstLine="480"/>
        <w:spacing w:line="480" w:lineRule="exact"/>
        <w:rPr>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1006"/>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006"/>
        <w:ind w:firstLine="480"/>
        <w:spacing w:line="480" w:lineRule="exact"/>
        <w:rPr>
          <w:sz w:val="24"/>
          <w:szCs w:val="24"/>
        </w:rPr>
      </w:pPr>
      <w:r>
        <w:rPr>
          <w:rFonts w:hint="eastAsia"/>
          <w:sz w:val="24"/>
          <w:szCs w:val="24"/>
        </w:rPr>
        <w:t xml:space="preserve">3.供应商为自然人的，可不提供本《法定代表人授权委托书》。</w:t>
      </w:r>
      <w:r/>
    </w:p>
    <w:p>
      <w:pPr>
        <w:pStyle w:val="1006"/>
        <w:ind w:firstLine="480"/>
        <w:spacing w:line="480" w:lineRule="exact"/>
        <w:rPr>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06"/>
        <w:ind w:firstLine="480"/>
        <w:spacing w:line="480" w:lineRule="exact"/>
        <w:rPr>
          <w:b/>
          <w:bCs/>
          <w:sz w:val="24"/>
          <w:szCs w:val="24"/>
        </w:rPr>
      </w:pPr>
      <w:r>
        <w:rPr>
          <w:rFonts w:hint="eastAsia"/>
          <w:b/>
          <w:bCs/>
          <w:sz w:val="24"/>
          <w:szCs w:val="24"/>
        </w:rPr>
        <w:t xml:space="preserve">5.未按磋商文件要求和格式提供《法定代表人授权委托书》的，将作为无效响应处理。</w:t>
      </w:r>
      <w:r/>
    </w:p>
    <w:p>
      <w:pPr>
        <w:rPr>
          <w:rFonts w:hint="eastAsia" w:ascii="黑体" w:hAnsi="黑体" w:eastAsia="黑体"/>
          <w:color w:val="000000"/>
          <w:sz w:val="32"/>
          <w:szCs w:val="32"/>
        </w:rPr>
      </w:pPr>
      <w:r>
        <w:rPr>
          <w:rFonts w:hint="eastAsia" w:ascii="楷体" w:hAnsi="楷体" w:eastAsia="楷体"/>
          <w:bCs/>
          <w:sz w:val="24"/>
          <w:szCs w:val="24"/>
        </w:rPr>
        <w:br w:type="page" w:clear="all"/>
      </w:r>
      <w:bookmarkEnd w:id="92"/>
      <w:r/>
      <w:bookmarkEnd w:id="93"/>
      <w:r/>
      <w:bookmarkEnd w:id="94"/>
      <w:r/>
      <w:bookmarkStart w:id="95" w:name="_Toc120614284"/>
      <w:r>
        <w:rPr>
          <w:rFonts w:hint="eastAsia" w:ascii="黑体" w:hAnsi="黑体" w:eastAsia="黑体"/>
          <w:color w:val="000000"/>
          <w:sz w:val="32"/>
          <w:szCs w:val="32"/>
        </w:rPr>
        <w:t xml:space="preserve">三、磋商响应函</w:t>
      </w:r>
      <w:r/>
    </w:p>
    <w:p>
      <w:pPr>
        <w:jc w:val="center"/>
        <w:spacing w:line="360" w:lineRule="auto"/>
        <w:rPr>
          <w:rFonts w:hint="eastAsia" w:ascii="Arial Unicode MS" w:hAnsi="Arial Unicode MS" w:eastAsia="Arial Unicode MS" w:cs="Arial Unicode MS"/>
          <w:color w:val="000000"/>
          <w:sz w:val="32"/>
          <w:szCs w:val="32"/>
          <w:lang w:val="zh-CN"/>
        </w:rPr>
        <w:outlineLvl w:val="2"/>
      </w:pPr>
      <w:r>
        <w:rPr>
          <w:rFonts w:hint="eastAsia" w:ascii="Arial Unicode MS" w:hAnsi="Arial Unicode MS" w:eastAsia="Arial Unicode MS" w:cs="Arial Unicode MS"/>
          <w:color w:val="000000"/>
          <w:sz w:val="32"/>
          <w:szCs w:val="32"/>
        </w:rPr>
        <w:t xml:space="preserve">磋商响应函</w:t>
      </w:r>
      <w:r/>
    </w:p>
    <w:p>
      <w:pPr>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p>
    <w:p>
      <w:pPr>
        <w:pStyle w:val="1008"/>
        <w:spacing w:before="0" w:after="0"/>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p>
    <w:p>
      <w:pPr>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9"/>
        <w:rPr>
          <w:rFonts w:hint="eastAsia"/>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1008"/>
        <w:spacing w:before="0" w:after="0"/>
        <w:rPr>
          <w:rFonts w:hint="eastAsia" w:ascii="宋体" w:hAnsi="宋体"/>
          <w:szCs w:val="21"/>
        </w:rPr>
      </w:pPr>
      <w:r>
        <w:rPr>
          <w:rFonts w:hint="eastAsia" w:ascii="宋体" w:hAnsi="宋体"/>
          <w:szCs w:val="21"/>
        </w:rPr>
        <w:t xml:space="preserve">地  址：</w:t>
      </w:r>
      <w:r/>
    </w:p>
    <w:p>
      <w:pPr>
        <w:pStyle w:val="1008"/>
        <w:spacing w:before="0" w:after="0"/>
        <w:rPr>
          <w:rFonts w:hint="eastAsia" w:ascii="宋体" w:hAnsi="宋体"/>
          <w:szCs w:val="21"/>
        </w:rPr>
      </w:pPr>
      <w:r>
        <w:rPr>
          <w:rFonts w:hint="eastAsia" w:ascii="宋体" w:hAnsi="宋体"/>
          <w:szCs w:val="21"/>
        </w:rPr>
        <w:t xml:space="preserve">邮  编：</w:t>
      </w:r>
      <w:r/>
    </w:p>
    <w:p>
      <w:pPr>
        <w:pStyle w:val="1008"/>
        <w:spacing w:before="0" w:after="0"/>
        <w:rPr>
          <w:rFonts w:hint="eastAsia" w:ascii="宋体" w:hAnsi="宋体"/>
          <w:szCs w:val="21"/>
          <w:u w:val="single"/>
        </w:rPr>
      </w:pPr>
      <w:r>
        <w:rPr>
          <w:rFonts w:hint="eastAsia" w:ascii="宋体" w:hAnsi="宋体"/>
          <w:szCs w:val="21"/>
        </w:rPr>
        <w:t xml:space="preserve">电  话：</w:t>
      </w:r>
      <w:r/>
    </w:p>
    <w:p>
      <w:pPr>
        <w:pStyle w:val="1008"/>
        <w:spacing w:before="0" w:after="0"/>
        <w:rPr>
          <w:rFonts w:hint="eastAsia" w:ascii="宋体" w:hAnsi="宋体"/>
          <w:szCs w:val="21"/>
          <w:u w:val="single"/>
        </w:rPr>
      </w:pPr>
      <w:r>
        <w:rPr>
          <w:rFonts w:hint="eastAsia" w:ascii="宋体" w:hAnsi="宋体"/>
          <w:szCs w:val="21"/>
        </w:rPr>
        <w:t xml:space="preserve">传  真：</w:t>
      </w:r>
      <w:r/>
    </w:p>
    <w:p>
      <w:pPr>
        <w:pStyle w:val="1008"/>
        <w:spacing w:before="0" w:after="0"/>
        <w:rPr>
          <w:rFonts w:hint="eastAsia" w:ascii="宋体" w:hAnsi="宋体"/>
          <w:szCs w:val="21"/>
          <w:u w:val="single"/>
        </w:rPr>
      </w:pPr>
      <w:r>
        <w:rPr>
          <w:rFonts w:hint="eastAsia" w:ascii="宋体" w:hAnsi="宋体"/>
          <w:szCs w:val="21"/>
        </w:rPr>
        <w:t xml:space="preserve">开户行：</w:t>
      </w:r>
      <w:r/>
    </w:p>
    <w:p>
      <w:pPr>
        <w:pStyle w:val="1008"/>
        <w:spacing w:before="0" w:after="0"/>
        <w:rPr>
          <w:rFonts w:hint="eastAsia" w:ascii="宋体" w:hAnsi="宋体"/>
          <w:szCs w:val="21"/>
          <w:u w:val="single"/>
        </w:rPr>
      </w:pPr>
      <w:r>
        <w:rPr>
          <w:rFonts w:hint="eastAsia" w:ascii="宋体" w:hAnsi="宋体"/>
          <w:szCs w:val="21"/>
        </w:rPr>
        <w:t xml:space="preserve">账  号：</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1008"/>
        <w:spacing w:before="0" w:after="0"/>
        <w:rPr>
          <w:rFonts w:hint="eastAsia" w:ascii="宋体" w:hAnsi="宋体"/>
          <w:szCs w:val="21"/>
        </w:rPr>
      </w:pPr>
      <w:r>
        <w:rPr>
          <w:rFonts w:hint="eastAsia" w:ascii="宋体" w:hAnsi="宋体"/>
          <w:szCs w:val="21"/>
        </w:rPr>
        <w:t xml:space="preserve">日  期：</w:t>
      </w:r>
      <w:r/>
    </w:p>
    <w:p>
      <w:pPr>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jc w:val="center"/>
        <w:spacing w:line="48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磋商报价表</w:t>
      </w:r>
      <w:r/>
    </w:p>
    <w:p>
      <w:pPr>
        <w:rPr>
          <w:rFonts w:hint="eastAsia" w:ascii="宋体" w:hAnsi="宋体"/>
          <w:sz w:val="24"/>
          <w:szCs w:val="24"/>
        </w:rPr>
      </w:pPr>
      <w:r>
        <w:rPr>
          <w:rFonts w:hint="eastAsia" w:ascii="宋体" w:hAnsi="宋体"/>
          <w:sz w:val="24"/>
          <w:szCs w:val="24"/>
        </w:rPr>
        <w:t xml:space="preserve">供应商名称：（加盖电子公章） </w:t>
      </w:r>
      <w:r/>
    </w:p>
    <w:p>
      <w:pPr>
        <w:widowControl/>
        <w:rPr>
          <w:rFonts w:hint="eastAsia" w:ascii="宋体" w:hAnsi="宋体"/>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                                 </w:t>
      </w:r>
      <w:r/>
    </w:p>
    <w:tbl>
      <w:tblPr>
        <w:tblStyle w:val="740"/>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1008"/>
              <w:ind w:firstLine="0"/>
              <w:spacing w:before="0" w:after="0" w:line="480" w:lineRule="auto"/>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spacing w:line="480" w:lineRule="exact"/>
        <w:rPr>
          <w:rFonts w:hint="eastAsia" w:ascii="宋体" w:hAnsi="宋体"/>
          <w:b/>
          <w:bCs/>
          <w:sz w:val="24"/>
          <w:szCs w:val="24"/>
        </w:rPr>
      </w:pPr>
      <w:r>
        <w:rPr>
          <w:rFonts w:hint="eastAsia" w:ascii="宋体" w:hAnsi="宋体"/>
          <w:b/>
          <w:bCs/>
          <w:sz w:val="24"/>
          <w:szCs w:val="24"/>
        </w:rPr>
      </w:r>
      <w:r/>
    </w:p>
    <w:p>
      <w:pPr>
        <w:pStyle w:val="929"/>
        <w:ind w:firstLine="0"/>
        <w:rPr>
          <w:rFonts w:hint="eastAsia"/>
        </w:rPr>
      </w:pPr>
      <w:r>
        <w:rPr>
          <w:rFonts w:hint="eastAsia"/>
        </w:rPr>
      </w:r>
      <w:r/>
    </w:p>
    <w:p>
      <w:pPr>
        <w:pStyle w:val="996"/>
        <w:rPr>
          <w:rFonts w:hint="eastAsia" w:ascii="黑体" w:hAnsi="黑体" w:eastAsia="黑体"/>
          <w:b/>
          <w:i/>
          <w:sz w:val="32"/>
          <w:szCs w:val="32"/>
          <w:u w:val="single"/>
        </w:rPr>
      </w:pPr>
      <w:r>
        <w:rPr>
          <w:rFonts w:hint="eastAsia" w:ascii="黑体" w:hAnsi="黑体" w:eastAsia="黑体"/>
          <w:b/>
          <w:i/>
          <w:sz w:val="32"/>
          <w:szCs w:val="32"/>
          <w:u w:val="single"/>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9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五、分项报价表</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分项报价表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rPr>
          <w:rFonts w:hint="eastAsia" w:ascii="宋体" w:hAnsi="宋体"/>
          <w:sz w:val="24"/>
          <w:szCs w:val="24"/>
        </w:rPr>
      </w:pPr>
      <w:r>
        <w:rPr>
          <w:rFonts w:hint="eastAsia" w:ascii="宋体" w:hAnsi="宋体"/>
          <w:sz w:val="24"/>
          <w:szCs w:val="24"/>
        </w:rPr>
        <w:t xml:space="preserve">项目编号：                                   采购包号：</w:t>
      </w:r>
      <w:r/>
    </w:p>
    <w:tbl>
      <w:tblPr>
        <w:tblStyle w:val="740"/>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ind w:right="180" w:firstLine="480"/>
              <w:jc w:val="left"/>
              <w:spacing w:line="360" w:lineRule="auto"/>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996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spacing w:line="360" w:lineRule="auto"/>
        <w:rPr>
          <w:rFonts w:hint="eastAsia" w:ascii="宋体" w:hAnsi="宋体"/>
          <w:sz w:val="24"/>
        </w:rPr>
      </w:pPr>
      <w:r>
        <w:rPr>
          <w:rFonts w:hint="eastAsia" w:ascii="宋体" w:hAnsi="宋体"/>
          <w:sz w:val="24"/>
        </w:rPr>
      </w:r>
      <w:r/>
    </w:p>
    <w:p>
      <w:pPr>
        <w:pStyle w:val="762"/>
        <w:ind w:firstLine="480"/>
        <w:jc w:val="both"/>
        <w:spacing w:before="0" w:beforeAutospacing="0" w:after="0" w:afterAutospacing="0" w:line="360" w:lineRule="auto"/>
        <w:rPr>
          <w:rFonts w:hint="eastAsia"/>
          <w:color w:val="000000"/>
        </w:rPr>
      </w:pPr>
      <w:r>
        <w:rPr>
          <w:color w:val="000000"/>
        </w:rPr>
        <w:t xml:space="preserve">备注： </w:t>
      </w:r>
      <w:r/>
    </w:p>
    <w:p>
      <w:pPr>
        <w:pStyle w:val="762"/>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1.“总报价”应包括为完成整个项目所产生的所有费用，磋商文件另有规定的除外。</w:t>
      </w:r>
      <w:r/>
    </w:p>
    <w:p>
      <w:pPr>
        <w:pStyle w:val="762"/>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762"/>
        <w:ind w:firstLine="480"/>
        <w:jc w:val="both"/>
        <w:spacing w:before="0" w:beforeAutospacing="0" w:after="0" w:afterAutospacing="0" w:line="360" w:lineRule="auto"/>
        <w:rPr>
          <w:rFonts w:hint="eastAsia"/>
          <w:color w:val="000000"/>
        </w:rPr>
      </w:pPr>
      <w:r>
        <w:rPr>
          <w:rFonts w:hint="eastAsia"/>
          <w:color w:val="000000"/>
        </w:rPr>
        <w:t xml:space="preserve">3.</w:t>
      </w:r>
      <w:r>
        <w:rPr>
          <w:rFonts w:hint="eastAsia"/>
          <w:b/>
          <w:bCs/>
          <w:color w:val="000000"/>
        </w:rPr>
        <w:t xml:space="preserve">《分项报价表》中的分项名称须与“第四章采购需求-项目清单”中的分项名称一一对应，如有缺项、漏项，视为无效响应。</w:t>
      </w:r>
      <w:r>
        <w:rPr>
          <w:rFonts w:hint="eastAsia"/>
        </w:rPr>
        <w:t xml:space="preserve">“项目清单”中分项仅为一项的，此表无需提供。</w:t>
      </w:r>
      <w:r/>
    </w:p>
    <w:p>
      <w:pPr>
        <w:pStyle w:val="762"/>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762"/>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83"/>
        <w:ind w:firstLine="480"/>
        <w:jc w:val="both"/>
        <w:spacing w:before="0" w:beforeAutospacing="0" w:after="0" w:afterAutospacing="0" w:line="360" w:lineRule="auto"/>
        <w:rPr>
          <w:rFonts w:hint="eastAsia"/>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r>
      <w:r/>
    </w:p>
    <w:p>
      <w:pPr>
        <w:rPr>
          <w:rFonts w:hint="eastAsia" w:ascii="黑体" w:hAnsi="黑体" w:eastAsia="黑体"/>
          <w:iCs/>
          <w:color w:val="000000"/>
          <w:sz w:val="32"/>
          <w:szCs w:val="32"/>
        </w:rPr>
      </w:pPr>
      <w:r>
        <w:rPr>
          <w:rFonts w:hint="eastAsia" w:ascii="黑体" w:hAnsi="黑体" w:eastAsia="黑体"/>
          <w:i/>
          <w:sz w:val="32"/>
          <w:szCs w:val="32"/>
          <w:u w:val="single"/>
        </w:rPr>
        <w:br w:type="page" w:clear="all"/>
      </w:r>
      <w:bookmarkEnd w:id="82"/>
      <w:r/>
      <w:bookmarkEnd w:id="83"/>
      <w:r/>
      <w:bookmarkEnd w:id="95"/>
      <w:r>
        <w:rPr>
          <w:rFonts w:hint="eastAsia" w:ascii="黑体" w:hAnsi="黑体" w:eastAsia="黑体"/>
          <w:iCs/>
          <w:color w:val="000000"/>
          <w:sz w:val="32"/>
          <w:szCs w:val="32"/>
        </w:rPr>
        <w:t xml:space="preserve">六、技术要求响应及偏离表</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技术要求响应及偏离表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92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65" w:type="dxa"/>
            <w:vAlign w:val="center"/>
            <w:textDirection w:val="lrTb"/>
            <w:noWrap w:val="false"/>
          </w:tcPr>
          <w:p>
            <w:pPr>
              <w:jc w:val="center"/>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2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pStyle w:val="983"/>
        <w:ind w:firstLine="480"/>
        <w:jc w:val="both"/>
        <w:spacing w:before="0" w:beforeAutospacing="0" w:after="0" w:afterAutospacing="0" w:line="360" w:lineRule="auto"/>
        <w:rPr>
          <w:rFonts w:hint="eastAsia"/>
          <w:color w:val="000000"/>
        </w:rPr>
      </w:pPr>
      <w:r>
        <w:rPr>
          <w:color w:val="000000"/>
        </w:rPr>
        <w:t xml:space="preserve">备注： </w:t>
      </w:r>
      <w:r/>
    </w:p>
    <w:p>
      <w:pPr>
        <w:pStyle w:val="983"/>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983"/>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2.技术要求中实质性要求及其他要求明确需要提供证明材料的，签订合同时成交供应商应按磋商文件要求和响应文件内容提供相应证明材料供采购人核验，否则采购人将取消其成交资格。</w:t>
      </w:r>
      <w:r/>
    </w:p>
    <w:p>
      <w:pPr>
        <w:pStyle w:val="983"/>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rPr>
          <w:rFonts w:hint="eastAsia" w:ascii="黑体" w:hAnsi="黑体" w:eastAsia="黑体"/>
          <w:iCs/>
          <w:color w:val="000000"/>
          <w:sz w:val="32"/>
          <w:szCs w:val="32"/>
        </w:rPr>
      </w:pPr>
      <w:r>
        <w:rPr>
          <w:rFonts w:hint="eastAsia" w:ascii="黑体" w:hAnsi="Arial" w:eastAsia="黑体"/>
          <w:b/>
          <w:color w:val="0000ff"/>
          <w:sz w:val="36"/>
          <w:szCs w:val="21"/>
        </w:rPr>
        <w:br w:type="page" w:clear="all"/>
      </w:r>
      <w:r>
        <w:rPr>
          <w:rFonts w:hint="eastAsia" w:ascii="黑体" w:hAnsi="黑体" w:eastAsia="黑体"/>
          <w:iCs/>
          <w:color w:val="000000"/>
          <w:sz w:val="32"/>
          <w:szCs w:val="32"/>
        </w:rPr>
        <w:t xml:space="preserve">七、商务要求响应及偏离表</w:t>
      </w:r>
      <w:r/>
    </w:p>
    <w:p>
      <w:pPr>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商务要求响应及偏离表</w:t>
      </w:r>
      <w:r/>
    </w:p>
    <w:p>
      <w:pPr>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ind w:right="180" w:firstLine="480"/>
        <w:spacing w:line="360" w:lineRule="auto"/>
        <w:rPr>
          <w:rFonts w:hint="eastAsia" w:ascii="宋体" w:hAnsi="宋体"/>
          <w:sz w:val="24"/>
          <w:szCs w:val="24"/>
        </w:rPr>
      </w:pPr>
      <w:r>
        <w:rPr>
          <w:rFonts w:hint="eastAsia" w:ascii="宋体" w:hAnsi="宋体"/>
          <w:sz w:val="24"/>
          <w:szCs w:val="24"/>
        </w:rPr>
        <w:t xml:space="preserve">项目名称：</w:t>
      </w:r>
      <w:r/>
    </w:p>
    <w:p>
      <w:pPr>
        <w:ind w:right="180" w:firstLine="480"/>
      </w:pPr>
      <w:r>
        <w:rPr>
          <w:rFonts w:hint="eastAsia" w:ascii="宋体" w:hAnsi="宋体"/>
          <w:sz w:val="24"/>
          <w:szCs w:val="24"/>
        </w:rPr>
        <w:t xml:space="preserve">项目编号：                                   采购包号：</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sz w:val="24"/>
                <w:szCs w:val="24"/>
              </w:rPr>
            </w:pPr>
            <w:r/>
            <w:bookmarkStart w:id="96" w:name="_Hlt26955056"/>
            <w:r/>
            <w:bookmarkEnd w:id="96"/>
            <w:r/>
            <w:bookmarkStart w:id="97" w:name="_Hlt26955064"/>
            <w:r/>
            <w:bookmarkEnd w:id="97"/>
            <w:r/>
            <w:bookmarkStart w:id="98" w:name="_Hlt26782999"/>
            <w:r/>
            <w:bookmarkEnd w:id="98"/>
            <w:r/>
            <w:bookmarkStart w:id="99" w:name="_Hlt26671372"/>
            <w:r/>
            <w:bookmarkEnd w:id="99"/>
            <w:r/>
            <w:bookmarkStart w:id="100" w:name="_Hlt24879081"/>
            <w:r/>
            <w:bookmarkEnd w:id="100"/>
            <w:r/>
            <w:bookmarkStart w:id="101" w:name="_Hlt26609391"/>
            <w:r/>
            <w:bookmarkEnd w:id="101"/>
            <w:r/>
            <w:bookmarkStart w:id="102" w:name="_Hlt26580838"/>
            <w:r/>
            <w:bookmarkEnd w:id="102"/>
            <w:r/>
            <w:bookmarkStart w:id="103" w:name="_Hlt26671343"/>
            <w:r/>
            <w:bookmarkEnd w:id="103"/>
            <w:r>
              <w:rPr>
                <w:rFonts w:hint="eastAsia" w:ascii="宋体" w:hAnsi="宋体"/>
                <w:color w:val="000000"/>
                <w:sz w:val="24"/>
                <w:szCs w:val="24"/>
              </w:rPr>
              <w:t xml:space="preserve">序号</w:t>
            </w:r>
            <w:r/>
          </w:p>
        </w:tc>
        <w:tc>
          <w:tcPr>
            <w:tcW w:w="283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5" w:type="dxa"/>
            <w:vAlign w:val="center"/>
            <w:textDirection w:val="lrTb"/>
            <w:noWrap w:val="false"/>
          </w:tcPr>
          <w:p>
            <w:pPr>
              <w:jc w:val="center"/>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pStyle w:val="983"/>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983"/>
        <w:ind w:firstLine="482"/>
        <w:jc w:val="both"/>
        <w:spacing w:before="0" w:beforeAutospacing="0" w:after="0" w:afterAutospacing="0" w:line="360" w:lineRule="auto"/>
        <w:rPr>
          <w:rFonts w:hint="eastAsia"/>
          <w:b/>
          <w:bCs/>
          <w:color w:val="000000"/>
        </w:rPr>
      </w:pPr>
      <w:r>
        <w:rPr>
          <w:rFonts w:hint="eastAsia"/>
          <w:b/>
          <w:bCs/>
          <w:color w:val="000000"/>
        </w:rPr>
        <w:t xml:space="preserve">1.供应商须对磋商文件商务要求中的实质性要求（打“★”内容）做出明确响应，否则视为无效响应。</w:t>
      </w:r>
      <w:r/>
    </w:p>
    <w:p>
      <w:pPr>
        <w:pStyle w:val="983"/>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r/>
      <w:r/>
    </w:p>
    <w:p>
      <w:pPr>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szCs w:val="24"/>
        </w:rPr>
      </w:pPr>
      <w:r>
        <w:rPr>
          <w:rFonts w:hint="eastAsia" w:ascii="宋体" w:hAnsi="宋体"/>
          <w:sz w:val="24"/>
          <w:szCs w:val="24"/>
        </w:rPr>
        <w:t xml:space="preserve">备注：</w:t>
      </w:r>
      <w:r/>
    </w:p>
    <w:p>
      <w:pPr>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jc w:val="center"/>
        <w:spacing w:line="360" w:lineRule="auto"/>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96"/>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宋体" w:hAnsi="宋体"/>
          <w:sz w:val="24"/>
        </w:rPr>
      </w:pPr>
      <w:r>
        <w:rPr>
          <w:rFonts w:hint="eastAsia" w:ascii="Arial Unicode MS" w:hAnsi="Arial Unicode MS" w:eastAsia="Arial Unicode MS" w:cs="Arial Unicode MS"/>
          <w:sz w:val="32"/>
          <w:szCs w:val="32"/>
        </w:rPr>
        <w:br w:type="page" w:clear="all"/>
      </w:r>
      <w:r>
        <w:rPr>
          <w:rFonts w:hint="eastAsia" w:ascii="黑体" w:hAnsi="黑体" w:eastAsia="黑体"/>
          <w:sz w:val="32"/>
          <w:szCs w:val="32"/>
        </w:rPr>
        <w:t xml:space="preserve">十、关于符合本国产品标准的声明函</w:t>
      </w:r>
      <w:r/>
    </w:p>
    <w:p>
      <w:pPr>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p>
    <w:p>
      <w:pPr>
        <w:pStyle w:val="762"/>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62"/>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67"/>
          <w:rFonts w:hint="eastAsia" w:ascii="Times New Roman" w:hAnsi="Times New Roman" w:cs="Times New Roman"/>
          <w:i w:val="0"/>
          <w:sz w:val="21"/>
          <w:szCs w:val="22"/>
          <w:u w:val="single"/>
          <w:shd w:val="clear" w:color="auto" w:fill="ffffff"/>
        </w:rPr>
        <w:t xml:space="preserve">（产品名称1）</w:t>
      </w:r>
      <w:r>
        <w:rPr>
          <w:rStyle w:val="767"/>
          <w:rFonts w:hint="eastAsia" w:ascii="Times New Roman" w:hAnsi="Times New Roman" w:cs="Times New Roman"/>
          <w:i w:val="0"/>
          <w:sz w:val="21"/>
          <w:szCs w:val="22"/>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67"/>
          <w:rFonts w:hint="eastAsia" w:ascii="Times New Roman" w:hAnsi="Times New Roman" w:cs="Times New Roman"/>
          <w:i w:val="0"/>
          <w:sz w:val="21"/>
          <w:szCs w:val="22"/>
          <w:u w:val="single"/>
          <w:shd w:val="clear" w:color="auto" w:fill="ffffff"/>
        </w:rPr>
        <w:t xml:space="preserve">（厂名）</w:t>
      </w:r>
      <w:r>
        <w:rPr>
          <w:rStyle w:val="767"/>
          <w:rFonts w:hint="eastAsia" w:ascii="Times New Roman" w:hAnsi="Times New Roman" w:cs="Times New Roman"/>
          <w:i w:val="0"/>
          <w:sz w:val="21"/>
          <w:szCs w:val="22"/>
          <w:shd w:val="clear" w:color="auto" w:fill="ffffff"/>
          <w:vertAlign w:val="superscript"/>
        </w:rPr>
        <w:t xml:space="preserve">2</w:t>
      </w:r>
      <w:r>
        <w:rPr>
          <w:rFonts w:hint="eastAsia"/>
          <w:shd w:val="clear" w:color="auto" w:fill="ffffff"/>
        </w:rPr>
        <w:t xml:space="preserve">，厂址为</w:t>
      </w:r>
      <w:r>
        <w:rPr>
          <w:rStyle w:val="767"/>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767"/>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的中国境内生产的组件成本占比≥</w:t>
      </w:r>
      <w:r>
        <w:rPr>
          <w:rStyle w:val="767"/>
          <w:rFonts w:hint="eastAsia" w:ascii="Times New Roman" w:hAnsi="Times New Roman" w:cs="Times New Roman"/>
          <w:sz w:val="21"/>
          <w:szCs w:val="22"/>
          <w:u w:val="single"/>
          <w:shd w:val="clear" w:color="auto" w:fill="ffffff"/>
        </w:rPr>
        <w:t xml:space="preserve">（规定比例）</w:t>
      </w:r>
      <w:r>
        <w:rPr>
          <w:rStyle w:val="767"/>
          <w:rFonts w:hint="eastAsia" w:ascii="Times New Roman" w:hAnsi="Times New Roman" w:cs="Times New Roman"/>
          <w:i w:val="0"/>
          <w:sz w:val="21"/>
          <w:szCs w:val="22"/>
          <w:shd w:val="clear" w:color="auto" w:fill="ffffff"/>
          <w:vertAlign w:val="superscript"/>
        </w:rPr>
        <w:t xml:space="preserve">3</w:t>
      </w:r>
      <w:r>
        <w:rPr>
          <w:rFonts w:hint="eastAsia"/>
          <w:shd w:val="clear" w:color="auto" w:fill="ffffff"/>
        </w:rPr>
        <w:t xml:space="preserve">。</w:t>
      </w:r>
      <w:r>
        <w:rPr>
          <w:rStyle w:val="767"/>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767"/>
          <w:rFonts w:hint="eastAsia" w:ascii="Times New Roman" w:hAnsi="Times New Roman" w:cs="Times New Roman"/>
          <w:sz w:val="21"/>
          <w:szCs w:val="22"/>
          <w:u w:val="single"/>
          <w:shd w:val="clear" w:color="auto" w:fill="ffffff"/>
        </w:rPr>
        <w:t xml:space="preserve">（关键组件）</w:t>
      </w:r>
      <w:r>
        <w:rPr>
          <w:rStyle w:val="767"/>
          <w:rFonts w:hint="eastAsia" w:ascii="Times New Roman" w:hAnsi="Times New Roman" w:cs="Times New Roman"/>
          <w:i w:val="0"/>
          <w:sz w:val="21"/>
          <w:szCs w:val="22"/>
          <w:shd w:val="clear" w:color="auto" w:fill="ffffff"/>
          <w:vertAlign w:val="superscript"/>
        </w:rPr>
        <w:t xml:space="preserve">4</w:t>
      </w:r>
      <w:r>
        <w:rPr>
          <w:rFonts w:hint="eastAsia"/>
          <w:shd w:val="clear" w:color="auto" w:fill="ffffff"/>
        </w:rPr>
        <w:t xml:space="preserve">在中国境内生产。</w:t>
      </w:r>
      <w:r>
        <w:rPr>
          <w:rStyle w:val="767"/>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767"/>
          <w:rFonts w:hint="eastAsia" w:ascii="Times New Roman" w:hAnsi="Times New Roman" w:cs="Times New Roman"/>
          <w:sz w:val="21"/>
          <w:szCs w:val="22"/>
          <w:u w:val="single"/>
          <w:shd w:val="clear" w:color="auto" w:fill="ffffff"/>
        </w:rPr>
        <w:t xml:space="preserve">（关键工序）</w:t>
      </w:r>
      <w:r>
        <w:rPr>
          <w:rStyle w:val="767"/>
          <w:rFonts w:hint="eastAsia" w:ascii="Times New Roman" w:hAnsi="Times New Roman" w:cs="Times New Roman"/>
          <w:i w:val="0"/>
          <w:sz w:val="21"/>
          <w:szCs w:val="22"/>
          <w:shd w:val="clear" w:color="auto" w:fill="ffffff"/>
          <w:vertAlign w:val="superscript"/>
        </w:rPr>
        <w:t xml:space="preserve">5</w:t>
      </w:r>
      <w:r>
        <w:rPr>
          <w:rFonts w:hint="eastAsia"/>
          <w:shd w:val="clear" w:color="auto" w:fill="ffffff"/>
        </w:rPr>
        <w:t xml:space="preserve">在中国境内完成。</w:t>
      </w:r>
      <w:r/>
    </w:p>
    <w:p>
      <w:pPr>
        <w:pStyle w:val="762"/>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67"/>
          <w:rFonts w:hint="eastAsia" w:ascii="Times New Roman" w:hAnsi="Times New Roman" w:cs="Times New Roman"/>
          <w:i w:val="0"/>
          <w:sz w:val="21"/>
          <w:szCs w:val="22"/>
          <w:u w:val="single"/>
          <w:shd w:val="clear" w:color="auto" w:fill="ffffff"/>
        </w:rPr>
        <w:t xml:space="preserve">（产品名称2）</w:t>
      </w:r>
      <w:r>
        <w:rPr>
          <w:rFonts w:hint="eastAsia"/>
          <w:shd w:val="clear" w:color="auto" w:fill="ffffff"/>
        </w:rPr>
        <w:t xml:space="preserve">，生产厂为</w:t>
      </w:r>
      <w:r>
        <w:rPr>
          <w:rStyle w:val="767"/>
          <w:rFonts w:hint="eastAsia" w:ascii="Times New Roman" w:hAnsi="Times New Roman" w:cs="Times New Roman"/>
          <w:i w:val="0"/>
          <w:sz w:val="21"/>
          <w:szCs w:val="22"/>
          <w:u w:val="single"/>
          <w:shd w:val="clear" w:color="auto" w:fill="ffffff"/>
        </w:rPr>
        <w:t xml:space="preserve">（厂名）</w:t>
      </w:r>
      <w:r>
        <w:rPr>
          <w:rFonts w:hint="eastAsia"/>
          <w:shd w:val="clear" w:color="auto" w:fill="ffffff"/>
        </w:rPr>
        <w:t xml:space="preserve">，厂址为</w:t>
      </w:r>
      <w:r>
        <w:rPr>
          <w:rStyle w:val="767"/>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767"/>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的中国境内生产的组件成本占比≥</w:t>
      </w:r>
      <w:r>
        <w:rPr>
          <w:rStyle w:val="767"/>
          <w:rFonts w:hint="eastAsia" w:ascii="Times New Roman" w:hAnsi="Times New Roman" w:cs="Times New Roman"/>
          <w:sz w:val="21"/>
          <w:szCs w:val="22"/>
          <w:u w:val="single"/>
          <w:shd w:val="clear" w:color="auto" w:fill="ffffff"/>
        </w:rPr>
        <w:t xml:space="preserve">（规定比例）</w:t>
      </w:r>
      <w:r>
        <w:rPr>
          <w:rFonts w:hint="eastAsia"/>
          <w:shd w:val="clear" w:color="auto" w:fill="ffffff"/>
        </w:rPr>
        <w:t xml:space="preserve">。</w:t>
      </w:r>
      <w:r>
        <w:rPr>
          <w:rStyle w:val="767"/>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767"/>
          <w:rFonts w:hint="eastAsia" w:ascii="Times New Roman" w:hAnsi="Times New Roman" w:cs="Times New Roman"/>
          <w:sz w:val="21"/>
          <w:szCs w:val="22"/>
          <w:u w:val="single"/>
          <w:shd w:val="clear" w:color="auto" w:fill="ffffff"/>
        </w:rPr>
        <w:t xml:space="preserve">（关键组件）</w:t>
      </w:r>
      <w:r>
        <w:rPr>
          <w:rFonts w:hint="eastAsia"/>
          <w:shd w:val="clear" w:color="auto" w:fill="ffffff"/>
        </w:rPr>
        <w:t xml:space="preserve">在中国境内生产。</w:t>
      </w:r>
      <w:r>
        <w:rPr>
          <w:rStyle w:val="767"/>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767"/>
          <w:rFonts w:hint="eastAsia" w:ascii="Times New Roman" w:hAnsi="Times New Roman" w:cs="Times New Roman"/>
          <w:sz w:val="21"/>
          <w:szCs w:val="22"/>
          <w:u w:val="single"/>
          <w:shd w:val="clear" w:color="auto" w:fill="ffffff"/>
        </w:rPr>
        <w:t xml:space="preserve">（关键工序）</w:t>
      </w:r>
      <w:r>
        <w:rPr>
          <w:rFonts w:hint="eastAsia"/>
          <w:shd w:val="clear" w:color="auto" w:fill="ffffff"/>
        </w:rPr>
        <w:t xml:space="preserve">在中国境内完成。</w:t>
      </w:r>
      <w:r/>
    </w:p>
    <w:p>
      <w:pPr>
        <w:pStyle w:val="76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62"/>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6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6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62"/>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6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6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6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62"/>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62"/>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r>
      <w:r/>
    </w:p>
    <w:p>
      <w:pPr>
        <w:jc w:val="center"/>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1"/>
        <w:rFonts w:hint="eastAsia" w:ascii="宋体" w:hAnsi="宋体"/>
      </w:rPr>
      <w:framePr w:wrap="around" w:vAnchor="text" w:hAnchor="margin" w:xAlign="center" w:y="1"/>
    </w:pPr>
    <w:r>
      <w:rPr>
        <w:rFonts w:ascii="宋体" w:hAnsi="宋体"/>
      </w:rPr>
      <w:fldChar w:fldCharType="begin"/>
    </w:r>
    <w:r>
      <w:rPr>
        <w:rStyle w:val="991"/>
        <w:rFonts w:ascii="宋体" w:hAnsi="宋体"/>
      </w:rPr>
      <w:instrText xml:space="preserve">PAGE  </w:instrText>
    </w:r>
    <w:r>
      <w:rPr>
        <w:rFonts w:ascii="宋体" w:hAnsi="宋体"/>
      </w:rPr>
      <w:fldChar w:fldCharType="separate"/>
    </w:r>
    <w:r>
      <w:rPr>
        <w:rStyle w:val="991"/>
        <w:rFonts w:ascii="宋体" w:hAnsi="宋体"/>
      </w:rPr>
      <w:t xml:space="preserve">３９</w:t>
    </w:r>
    <w:r>
      <w:rPr>
        <w:rFonts w:ascii="宋体" w:hAnsi="宋体"/>
      </w:rPr>
      <w:fldChar w:fldCharType="end"/>
    </w:r>
    <w:r/>
  </w:p>
  <w:p>
    <w:pPr>
      <w:pStyle w:val="96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3"/>
      <w:isLgl w:val="false"/>
      <w:suff w:val="nothing"/>
      <w:lvlText w:val=""/>
      <w:lvlJc w:val="left"/>
      <w:pPr>
        <w:ind w:left="0" w:firstLine="0"/>
      </w:pPr>
      <w:rPr>
        <w:rFonts w:hint="eastAsia"/>
      </w:rPr>
    </w:lvl>
    <w:lvl w:ilvl="6">
      <w:start w:val="1"/>
      <w:numFmt w:val="decimal"/>
      <w:pStyle w:val="924"/>
      <w:isLgl w:val="false"/>
      <w:suff w:val="nothing"/>
      <w:lvlText w:val=""/>
      <w:lvlJc w:val="left"/>
      <w:pPr>
        <w:ind w:left="0" w:firstLine="0"/>
      </w:pPr>
      <w:rPr>
        <w:rFonts w:hint="eastAsia"/>
      </w:rPr>
    </w:lvl>
    <w:lvl w:ilvl="7">
      <w:start w:val="1"/>
      <w:numFmt w:val="decimal"/>
      <w:pStyle w:val="925"/>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739"/>
    <w:link w:val="730"/>
    <w:uiPriority w:val="9"/>
    <w:rPr>
      <w:rFonts w:ascii="Arial" w:hAnsi="Arial" w:eastAsia="Arial" w:cs="Arial"/>
      <w:sz w:val="40"/>
      <w:szCs w:val="40"/>
    </w:rPr>
  </w:style>
  <w:style w:type="character" w:styleId="693">
    <w:name w:val="Heading 2 Char"/>
    <w:basedOn w:val="739"/>
    <w:link w:val="731"/>
    <w:uiPriority w:val="9"/>
    <w:rPr>
      <w:rFonts w:ascii="Arial" w:hAnsi="Arial" w:eastAsia="Arial" w:cs="Arial"/>
      <w:sz w:val="34"/>
    </w:rPr>
  </w:style>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63"/>
    <w:uiPriority w:val="10"/>
    <w:rPr>
      <w:sz w:val="48"/>
      <w:szCs w:val="48"/>
    </w:rPr>
  </w:style>
  <w:style w:type="character" w:styleId="702">
    <w:name w:val="Subtitle Char"/>
    <w:basedOn w:val="739"/>
    <w:link w:val="756"/>
    <w:uiPriority w:val="11"/>
    <w:rPr>
      <w:sz w:val="24"/>
      <w:szCs w:val="24"/>
    </w:rPr>
  </w:style>
  <w:style w:type="character" w:styleId="703">
    <w:name w:val="Quote Char"/>
    <w:link w:val="782"/>
    <w:uiPriority w:val="29"/>
    <w:rPr>
      <w:i/>
    </w:rPr>
  </w:style>
  <w:style w:type="character" w:styleId="704">
    <w:name w:val="Intense Quote Char"/>
    <w:link w:val="784"/>
    <w:uiPriority w:val="30"/>
    <w:rPr>
      <w:i/>
    </w:rPr>
  </w:style>
  <w:style w:type="character" w:styleId="705">
    <w:name w:val="Header Char"/>
    <w:basedOn w:val="739"/>
    <w:link w:val="753"/>
    <w:uiPriority w:val="99"/>
  </w:style>
  <w:style w:type="character" w:styleId="706">
    <w:name w:val="Caption Char"/>
    <w:basedOn w:val="746"/>
    <w:link w:val="752"/>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7"/>
    <w:uiPriority w:val="99"/>
    <w:rPr>
      <w:sz w:val="18"/>
    </w:rPr>
  </w:style>
  <w:style w:type="character" w:styleId="727">
    <w:name w:val="Endnote Text Char"/>
    <w:link w:val="751"/>
    <w:uiPriority w:val="99"/>
    <w:rPr>
      <w:sz w:val="20"/>
    </w:rPr>
  </w:style>
  <w:style w:type="paragraph" w:styleId="728">
    <w:name w:val="TOC Heading"/>
    <w:uiPriority w:val="39"/>
    <w:unhideWhenUsed/>
  </w:style>
  <w:style w:type="paragraph" w:styleId="729" w:default="1">
    <w:name w:val="Normal"/>
    <w:next w:val="741"/>
    <w:uiPriority w:val="0"/>
    <w:qFormat/>
    <w:pPr>
      <w:jc w:val="both"/>
      <w:widowControl w:val="off"/>
    </w:pPr>
    <w:rPr>
      <w:rFonts w:ascii="Times New Roman" w:hAnsi="Times New Roman" w:eastAsia="宋体" w:cs="Times New Roman"/>
      <w:sz w:val="21"/>
      <w:szCs w:val="22"/>
      <w:lang w:val="en-US" w:eastAsia="zh-CN" w:bidi="ar-SA"/>
    </w:rPr>
  </w:style>
  <w:style w:type="paragraph" w:styleId="730">
    <w:name w:val="Heading 1"/>
    <w:basedOn w:val="729"/>
    <w:next w:val="729"/>
    <w:link w:val="771"/>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72"/>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3"/>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4"/>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5"/>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6"/>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777"/>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778"/>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779"/>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Body Text First Indent 2"/>
    <w:basedOn w:val="742"/>
    <w:next w:val="729"/>
    <w:uiPriority w:val="0"/>
    <w:qFormat/>
    <w:pPr>
      <w:ind w:left="0" w:firstLine="420"/>
      <w:spacing w:after="0" w:line="360" w:lineRule="auto"/>
    </w:pPr>
    <w:rPr>
      <w:rFonts w:ascii="宋体" w:hAnsi="宋体"/>
      <w:szCs w:val="20"/>
    </w:rPr>
  </w:style>
  <w:style w:type="paragraph" w:styleId="742">
    <w:name w:val="Body Text Indent"/>
    <w:basedOn w:val="729"/>
    <w:next w:val="743"/>
    <w:uiPriority w:val="0"/>
    <w:unhideWhenUsed/>
    <w:qFormat/>
    <w:pPr>
      <w:ind w:left="420"/>
      <w:spacing w:after="120"/>
    </w:pPr>
  </w:style>
  <w:style w:type="paragraph" w:styleId="743">
    <w:name w:val="envelope return"/>
    <w:basedOn w:val="729"/>
    <w:uiPriority w:val="0"/>
    <w:qFormat/>
    <w:rPr>
      <w:rFonts w:ascii="Arial" w:hAnsi="Arial" w:cs="宋体"/>
    </w:rPr>
  </w:style>
  <w:style w:type="paragraph" w:styleId="744">
    <w:name w:val="toc 7"/>
    <w:basedOn w:val="729"/>
    <w:next w:val="729"/>
    <w:uiPriority w:val="39"/>
    <w:unhideWhenUsed/>
    <w:qFormat/>
    <w:pPr>
      <w:ind w:left="1701"/>
      <w:spacing w:after="57"/>
    </w:pPr>
  </w:style>
  <w:style w:type="paragraph" w:styleId="745">
    <w:name w:val="Normal Indent"/>
    <w:basedOn w:val="729"/>
    <w:uiPriority w:val="99"/>
    <w:qFormat/>
    <w:pPr>
      <w:ind w:firstLine="420"/>
    </w:pPr>
    <w:rPr>
      <w:szCs w:val="21"/>
    </w:rPr>
  </w:style>
  <w:style w:type="paragraph" w:styleId="746">
    <w:name w:val="Caption"/>
    <w:basedOn w:val="729"/>
    <w:next w:val="7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7">
    <w:name w:val="annotation text"/>
    <w:basedOn w:val="729"/>
    <w:link w:val="1051"/>
    <w:uiPriority w:val="99"/>
    <w:semiHidden/>
    <w:unhideWhenUsed/>
    <w:qFormat/>
    <w:pPr>
      <w:jc w:val="left"/>
    </w:pPr>
  </w:style>
  <w:style w:type="paragraph" w:styleId="748">
    <w:name w:val="toc 5"/>
    <w:basedOn w:val="729"/>
    <w:next w:val="729"/>
    <w:uiPriority w:val="39"/>
    <w:unhideWhenUsed/>
    <w:qFormat/>
    <w:pPr>
      <w:ind w:left="1134"/>
      <w:spacing w:after="57"/>
    </w:pPr>
  </w:style>
  <w:style w:type="paragraph" w:styleId="749">
    <w:name w:val="toc 3"/>
    <w:basedOn w:val="729"/>
    <w:next w:val="729"/>
    <w:uiPriority w:val="39"/>
    <w:unhideWhenUsed/>
    <w:qFormat/>
    <w:pPr>
      <w:ind w:left="567"/>
      <w:spacing w:after="57"/>
    </w:pPr>
  </w:style>
  <w:style w:type="paragraph" w:styleId="750">
    <w:name w:val="toc 8"/>
    <w:basedOn w:val="729"/>
    <w:next w:val="729"/>
    <w:uiPriority w:val="39"/>
    <w:unhideWhenUsed/>
    <w:qFormat/>
    <w:pPr>
      <w:ind w:left="1984"/>
      <w:spacing w:after="57"/>
    </w:pPr>
  </w:style>
  <w:style w:type="paragraph" w:styleId="751">
    <w:name w:val="endnote text"/>
    <w:basedOn w:val="729"/>
    <w:link w:val="915"/>
    <w:uiPriority w:val="99"/>
    <w:semiHidden/>
    <w:unhideWhenUsed/>
    <w:qFormat/>
    <w:rPr>
      <w:sz w:val="20"/>
    </w:rPr>
  </w:style>
  <w:style w:type="paragraph" w:styleId="752">
    <w:name w:val="Footer"/>
    <w:basedOn w:val="729"/>
    <w:link w:val="788"/>
    <w:uiPriority w:val="99"/>
    <w:unhideWhenUsed/>
    <w:qFormat/>
    <w:pPr>
      <w:tabs>
        <w:tab w:val="center" w:pos="7143" w:leader="none"/>
        <w:tab w:val="right" w:pos="14287" w:leader="none"/>
      </w:tabs>
    </w:pPr>
  </w:style>
  <w:style w:type="paragraph" w:styleId="753">
    <w:name w:val="Header"/>
    <w:basedOn w:val="729"/>
    <w:link w:val="786"/>
    <w:uiPriority w:val="99"/>
    <w:unhideWhenUsed/>
    <w:qFormat/>
    <w:pPr>
      <w:tabs>
        <w:tab w:val="center" w:pos="7143" w:leader="none"/>
        <w:tab w:val="right" w:pos="14287" w:leader="none"/>
      </w:tabs>
    </w:pPr>
  </w:style>
  <w:style w:type="paragraph" w:styleId="754">
    <w:name w:val="toc 1"/>
    <w:basedOn w:val="729"/>
    <w:next w:val="729"/>
    <w:uiPriority w:val="39"/>
    <w:unhideWhenUsed/>
    <w:qFormat/>
    <w:pPr>
      <w:spacing w:after="57"/>
    </w:pPr>
  </w:style>
  <w:style w:type="paragraph" w:styleId="755">
    <w:name w:val="toc 4"/>
    <w:basedOn w:val="729"/>
    <w:next w:val="729"/>
    <w:uiPriority w:val="39"/>
    <w:unhideWhenUsed/>
    <w:qFormat/>
    <w:pPr>
      <w:ind w:left="850"/>
      <w:spacing w:after="57"/>
    </w:pPr>
  </w:style>
  <w:style w:type="paragraph" w:styleId="756">
    <w:name w:val="Subtitle"/>
    <w:basedOn w:val="729"/>
    <w:next w:val="729"/>
    <w:link w:val="781"/>
    <w:uiPriority w:val="11"/>
    <w:qFormat/>
    <w:pPr>
      <w:spacing w:before="200" w:after="200"/>
    </w:pPr>
    <w:rPr>
      <w:sz w:val="24"/>
      <w:szCs w:val="24"/>
    </w:rPr>
  </w:style>
  <w:style w:type="paragraph" w:styleId="757">
    <w:name w:val="footnote text"/>
    <w:basedOn w:val="729"/>
    <w:link w:val="914"/>
    <w:uiPriority w:val="99"/>
    <w:semiHidden/>
    <w:unhideWhenUsed/>
    <w:qFormat/>
    <w:pPr>
      <w:spacing w:after="40"/>
    </w:pPr>
    <w:rPr>
      <w:sz w:val="18"/>
    </w:rPr>
  </w:style>
  <w:style w:type="paragraph" w:styleId="758">
    <w:name w:val="toc 6"/>
    <w:basedOn w:val="729"/>
    <w:next w:val="729"/>
    <w:uiPriority w:val="39"/>
    <w:unhideWhenUsed/>
    <w:qFormat/>
    <w:pPr>
      <w:ind w:left="1417"/>
      <w:spacing w:after="57"/>
    </w:pPr>
  </w:style>
  <w:style w:type="paragraph" w:styleId="759">
    <w:name w:val="table of figures"/>
    <w:basedOn w:val="729"/>
    <w:next w:val="729"/>
    <w:uiPriority w:val="99"/>
    <w:unhideWhenUsed/>
    <w:qFormat/>
  </w:style>
  <w:style w:type="paragraph" w:styleId="760">
    <w:name w:val="toc 2"/>
    <w:basedOn w:val="729"/>
    <w:next w:val="729"/>
    <w:uiPriority w:val="39"/>
    <w:unhideWhenUsed/>
    <w:qFormat/>
    <w:pPr>
      <w:ind w:left="283"/>
      <w:spacing w:after="57"/>
    </w:pPr>
  </w:style>
  <w:style w:type="paragraph" w:styleId="761">
    <w:name w:val="toc 9"/>
    <w:basedOn w:val="729"/>
    <w:next w:val="729"/>
    <w:uiPriority w:val="39"/>
    <w:unhideWhenUsed/>
    <w:qFormat/>
    <w:pPr>
      <w:ind w:left="2268"/>
      <w:spacing w:after="57"/>
    </w:pPr>
  </w:style>
  <w:style w:type="paragraph" w:styleId="762">
    <w:name w:val="Normal (Web)"/>
    <w:uiPriority w:val="99"/>
    <w:qFormat/>
    <w:pPr>
      <w:spacing w:before="100" w:beforeAutospacing="1" w:after="100" w:afterAutospacing="1"/>
    </w:pPr>
    <w:rPr>
      <w:rFonts w:ascii="宋体" w:hAnsi="宋体" w:eastAsia="宋体" w:cs="宋体"/>
      <w:sz w:val="24"/>
      <w:szCs w:val="24"/>
      <w:lang w:val="en-US" w:eastAsia="zh-CN" w:bidi="ar-SA"/>
    </w:rPr>
  </w:style>
  <w:style w:type="paragraph" w:styleId="763">
    <w:name w:val="Title"/>
    <w:basedOn w:val="729"/>
    <w:next w:val="729"/>
    <w:link w:val="780"/>
    <w:uiPriority w:val="10"/>
    <w:qFormat/>
    <w:pPr>
      <w:contextualSpacing/>
      <w:spacing w:before="300" w:after="200"/>
    </w:pPr>
    <w:rPr>
      <w:sz w:val="48"/>
      <w:szCs w:val="48"/>
    </w:rPr>
  </w:style>
  <w:style w:type="paragraph" w:styleId="764">
    <w:name w:val="annotation subject"/>
    <w:basedOn w:val="747"/>
    <w:next w:val="747"/>
    <w:link w:val="1052"/>
    <w:uiPriority w:val="99"/>
    <w:semiHidden/>
    <w:unhideWhenUsed/>
    <w:qFormat/>
    <w:rPr>
      <w:b/>
      <w:bCs/>
    </w:r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Emphasis"/>
    <w:uiPriority w:val="0"/>
    <w:qFormat/>
    <w:rPr>
      <w:i/>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annotation reference"/>
    <w:basedOn w:val="739"/>
    <w:uiPriority w:val="99"/>
    <w:semiHidden/>
    <w:unhideWhenUsed/>
    <w:qFormat/>
    <w:rPr>
      <w:sz w:val="21"/>
      <w:szCs w:val="21"/>
    </w:rPr>
  </w:style>
  <w:style w:type="character" w:styleId="770">
    <w:name w:val="footnote reference"/>
    <w:uiPriority w:val="99"/>
    <w:unhideWhenUsed/>
    <w:qFormat/>
    <w:rPr>
      <w:vertAlign w:val="superscript"/>
    </w:rPr>
  </w:style>
  <w:style w:type="character" w:styleId="771" w:customStyle="1">
    <w:name w:val="标题 1 字符"/>
    <w:link w:val="730"/>
    <w:uiPriority w:val="9"/>
    <w:qFormat/>
    <w:rPr>
      <w:rFonts w:ascii="Arial" w:hAnsi="Arial" w:eastAsia="Arial" w:cs="Arial"/>
      <w:sz w:val="40"/>
      <w:szCs w:val="40"/>
    </w:rPr>
  </w:style>
  <w:style w:type="character" w:styleId="772" w:customStyle="1">
    <w:name w:val="标题 2 字符"/>
    <w:link w:val="731"/>
    <w:uiPriority w:val="9"/>
    <w:qFormat/>
    <w:rPr>
      <w:rFonts w:ascii="Arial" w:hAnsi="Arial" w:eastAsia="Arial" w:cs="Arial"/>
      <w:sz w:val="34"/>
    </w:rPr>
  </w:style>
  <w:style w:type="character" w:styleId="773" w:customStyle="1">
    <w:name w:val="标题 3 字符"/>
    <w:link w:val="732"/>
    <w:uiPriority w:val="9"/>
    <w:qFormat/>
    <w:rPr>
      <w:rFonts w:ascii="Arial" w:hAnsi="Arial" w:eastAsia="Arial" w:cs="Arial"/>
      <w:sz w:val="30"/>
      <w:szCs w:val="30"/>
    </w:rPr>
  </w:style>
  <w:style w:type="character" w:styleId="774" w:customStyle="1">
    <w:name w:val="标题 4 字符"/>
    <w:link w:val="733"/>
    <w:uiPriority w:val="9"/>
    <w:qFormat/>
    <w:rPr>
      <w:rFonts w:ascii="Arial" w:hAnsi="Arial" w:eastAsia="Arial" w:cs="Arial"/>
      <w:b/>
      <w:bCs/>
      <w:sz w:val="26"/>
      <w:szCs w:val="26"/>
    </w:rPr>
  </w:style>
  <w:style w:type="character" w:styleId="775" w:customStyle="1">
    <w:name w:val="标题 5 字符"/>
    <w:link w:val="734"/>
    <w:uiPriority w:val="9"/>
    <w:qFormat/>
    <w:rPr>
      <w:rFonts w:ascii="Arial" w:hAnsi="Arial" w:eastAsia="Arial" w:cs="Arial"/>
      <w:b/>
      <w:bCs/>
      <w:sz w:val="24"/>
      <w:szCs w:val="24"/>
    </w:rPr>
  </w:style>
  <w:style w:type="character" w:styleId="776" w:customStyle="1">
    <w:name w:val="标题 6 字符"/>
    <w:link w:val="735"/>
    <w:uiPriority w:val="9"/>
    <w:qFormat/>
    <w:rPr>
      <w:rFonts w:ascii="Arial" w:hAnsi="Arial" w:eastAsia="Arial" w:cs="Arial"/>
      <w:b/>
      <w:bCs/>
      <w:sz w:val="22"/>
      <w:szCs w:val="22"/>
    </w:rPr>
  </w:style>
  <w:style w:type="character" w:styleId="777" w:customStyle="1">
    <w:name w:val="标题 7 字符"/>
    <w:link w:val="736"/>
    <w:uiPriority w:val="9"/>
    <w:qFormat/>
    <w:rPr>
      <w:rFonts w:ascii="Arial" w:hAnsi="Arial" w:eastAsia="Arial" w:cs="Arial"/>
      <w:b/>
      <w:bCs/>
      <w:i/>
      <w:iCs/>
      <w:sz w:val="22"/>
      <w:szCs w:val="22"/>
    </w:rPr>
  </w:style>
  <w:style w:type="character" w:styleId="778" w:customStyle="1">
    <w:name w:val="标题 8 字符"/>
    <w:link w:val="737"/>
    <w:uiPriority w:val="9"/>
    <w:qFormat/>
    <w:rPr>
      <w:rFonts w:ascii="Arial" w:hAnsi="Arial" w:eastAsia="Arial" w:cs="Arial"/>
      <w:i/>
      <w:iCs/>
      <w:sz w:val="22"/>
      <w:szCs w:val="22"/>
    </w:rPr>
  </w:style>
  <w:style w:type="character" w:styleId="779" w:customStyle="1">
    <w:name w:val="标题 9 字符"/>
    <w:link w:val="738"/>
    <w:uiPriority w:val="9"/>
    <w:qFormat/>
    <w:rPr>
      <w:rFonts w:ascii="Arial" w:hAnsi="Arial" w:eastAsia="Arial" w:cs="Arial"/>
      <w:i/>
      <w:iCs/>
      <w:sz w:val="21"/>
      <w:szCs w:val="21"/>
    </w:rPr>
  </w:style>
  <w:style w:type="character" w:styleId="780" w:customStyle="1">
    <w:name w:val="标题 字符"/>
    <w:link w:val="763"/>
    <w:uiPriority w:val="10"/>
    <w:qFormat/>
    <w:rPr>
      <w:sz w:val="48"/>
      <w:szCs w:val="48"/>
    </w:rPr>
  </w:style>
  <w:style w:type="character" w:styleId="781" w:customStyle="1">
    <w:name w:val="副标题 字符"/>
    <w:link w:val="756"/>
    <w:uiPriority w:val="11"/>
    <w:qFormat/>
    <w:rPr>
      <w:sz w:val="24"/>
      <w:szCs w:val="24"/>
    </w:rPr>
  </w:style>
  <w:style w:type="paragraph" w:styleId="782">
    <w:name w:val="Quote"/>
    <w:basedOn w:val="729"/>
    <w:next w:val="729"/>
    <w:link w:val="783"/>
    <w:uiPriority w:val="29"/>
    <w:qFormat/>
    <w:pPr>
      <w:ind w:left="720" w:right="720"/>
    </w:pPr>
    <w:rPr>
      <w:i/>
    </w:rPr>
  </w:style>
  <w:style w:type="character" w:styleId="783" w:customStyle="1">
    <w:name w:val="引用 字符"/>
    <w:link w:val="782"/>
    <w:uiPriority w:val="29"/>
    <w:qFormat/>
    <w:rPr>
      <w:i/>
    </w:rPr>
  </w:style>
  <w:style w:type="paragraph" w:styleId="784">
    <w:name w:val="Intense Quote"/>
    <w:basedOn w:val="729"/>
    <w:next w:val="729"/>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customStyle="1">
    <w:name w:val="明显引用 字符"/>
    <w:link w:val="784"/>
    <w:uiPriority w:val="30"/>
    <w:qFormat/>
    <w:rPr>
      <w:i/>
    </w:rPr>
  </w:style>
  <w:style w:type="character" w:styleId="786" w:customStyle="1">
    <w:name w:val="页眉 字符"/>
    <w:link w:val="753"/>
    <w:uiPriority w:val="99"/>
    <w:qFormat/>
  </w:style>
  <w:style w:type="character" w:styleId="787" w:customStyle="1">
    <w:name w:val="Footer Char"/>
    <w:uiPriority w:val="99"/>
    <w:qFormat/>
  </w:style>
  <w:style w:type="character" w:styleId="788" w:customStyle="1">
    <w:name w:val="页脚 字符"/>
    <w:link w:val="752"/>
    <w:uiPriority w:val="99"/>
    <w:qFormat/>
  </w:style>
  <w:style w:type="table" w:styleId="7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4" w:customStyle="1">
    <w:name w:val="脚注文本 字符"/>
    <w:link w:val="757"/>
    <w:uiPriority w:val="99"/>
    <w:qFormat/>
    <w:rPr>
      <w:sz w:val="18"/>
    </w:rPr>
  </w:style>
  <w:style w:type="character" w:styleId="915" w:customStyle="1">
    <w:name w:val="尾注文本 字符"/>
    <w:link w:val="751"/>
    <w:uiPriority w:val="99"/>
    <w:qFormat/>
    <w:rPr>
      <w:sz w:val="20"/>
    </w:rPr>
  </w:style>
  <w:style w:type="paragraph" w:styleId="916" w:customStyle="1">
    <w:name w:val="TOC 标题1"/>
    <w:uiPriority w:val="39"/>
    <w:unhideWhenUsed/>
    <w:qFormat/>
    <w:rPr>
      <w:rFonts w:ascii="Times New Roman" w:hAnsi="Times New Roman" w:eastAsia="宋体" w:cs="Times New Roman"/>
      <w:lang w:val="en-US" w:eastAsia="zh-CN" w:bidi="ar-SA"/>
    </w:rPr>
  </w:style>
  <w:style w:type="paragraph" w:styleId="917" w:customStyle="1">
    <w:name w:val="标题 11"/>
    <w:basedOn w:val="729"/>
    <w:next w:val="729"/>
    <w:link w:val="932"/>
    <w:uiPriority w:val="0"/>
    <w:qFormat/>
    <w:pPr>
      <w:jc w:val="center"/>
      <w:keepNext/>
      <w:outlineLvl w:val="0"/>
    </w:pPr>
    <w:rPr>
      <w:rFonts w:ascii="楷体_GB2312" w:eastAsia="楷体_GB2312"/>
      <w:sz w:val="28"/>
      <w:szCs w:val="28"/>
    </w:rPr>
  </w:style>
  <w:style w:type="paragraph" w:styleId="918" w:customStyle="1">
    <w:name w:val="标题 21"/>
    <w:basedOn w:val="729"/>
    <w:next w:val="919"/>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9" w:customStyle="1">
    <w:name w:val="正文缩进1"/>
    <w:basedOn w:val="729"/>
    <w:link w:val="934"/>
    <w:uiPriority w:val="0"/>
    <w:qFormat/>
    <w:pPr>
      <w:ind w:firstLine="420"/>
    </w:pPr>
    <w:rPr>
      <w:szCs w:val="21"/>
    </w:rPr>
  </w:style>
  <w:style w:type="paragraph" w:styleId="920" w:customStyle="1">
    <w:name w:val="标题 31"/>
    <w:basedOn w:val="729"/>
    <w:next w:val="919"/>
    <w:link w:val="935"/>
    <w:uiPriority w:val="0"/>
    <w:qFormat/>
    <w:pPr>
      <w:keepLines/>
      <w:keepNext/>
      <w:spacing w:before="260" w:after="260" w:line="416" w:lineRule="auto"/>
      <w:outlineLvl w:val="2"/>
    </w:pPr>
    <w:rPr>
      <w:b/>
      <w:bCs/>
      <w:sz w:val="32"/>
      <w:szCs w:val="32"/>
    </w:rPr>
  </w:style>
  <w:style w:type="paragraph" w:styleId="921" w:customStyle="1">
    <w:name w:val="标题 41"/>
    <w:basedOn w:val="729"/>
    <w:next w:val="919"/>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922" w:customStyle="1">
    <w:name w:val="标题 51"/>
    <w:basedOn w:val="729"/>
    <w:next w:val="919"/>
    <w:link w:val="937"/>
    <w:uiPriority w:val="0"/>
    <w:qFormat/>
    <w:pPr>
      <w:keepNext/>
      <w:outlineLvl w:val="4"/>
    </w:pPr>
    <w:rPr>
      <w:rFonts w:ascii="宋体"/>
      <w:color w:val="000000"/>
      <w:sz w:val="28"/>
      <w:szCs w:val="28"/>
    </w:rPr>
  </w:style>
  <w:style w:type="paragraph" w:styleId="923" w:customStyle="1">
    <w:name w:val="标题 61"/>
    <w:basedOn w:val="729"/>
    <w:next w:val="729"/>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customStyle="1">
    <w:name w:val="标题 71"/>
    <w:basedOn w:val="729"/>
    <w:next w:val="729"/>
    <w:link w:val="939"/>
    <w:uiPriority w:val="0"/>
    <w:qFormat/>
    <w:pPr>
      <w:numPr>
        <w:ilvl w:val="6"/>
        <w:numId w:val="1"/>
      </w:numPr>
      <w:keepLines/>
      <w:keepNext/>
      <w:spacing w:before="240" w:after="64" w:line="320" w:lineRule="auto"/>
      <w:outlineLvl w:val="6"/>
    </w:pPr>
    <w:rPr>
      <w:b/>
      <w:bCs/>
      <w:sz w:val="24"/>
      <w:szCs w:val="24"/>
    </w:rPr>
  </w:style>
  <w:style w:type="paragraph" w:styleId="925" w:customStyle="1">
    <w:name w:val="标题 81"/>
    <w:basedOn w:val="729"/>
    <w:next w:val="729"/>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6" w:customStyle="1">
    <w:name w:val="标题 91"/>
    <w:basedOn w:val="729"/>
    <w:next w:val="729"/>
    <w:link w:val="941"/>
    <w:uiPriority w:val="0"/>
    <w:qFormat/>
    <w:pPr>
      <w:numPr>
        <w:ilvl w:val="8"/>
        <w:numId w:val="1"/>
      </w:numPr>
      <w:keepLines/>
      <w:keepNext/>
      <w:spacing w:before="240" w:after="64" w:line="320" w:lineRule="auto"/>
      <w:outlineLvl w:val="8"/>
    </w:pPr>
    <w:rPr>
      <w:rFonts w:ascii="Arial" w:hAnsi="Arial" w:eastAsia="黑体"/>
      <w:szCs w:val="21"/>
    </w:rPr>
  </w:style>
  <w:style w:type="character" w:styleId="927" w:customStyle="1">
    <w:name w:val="默认段落字体1"/>
    <w:uiPriority w:val="1"/>
    <w:unhideWhenUsed/>
    <w:qFormat/>
  </w:style>
  <w:style w:type="table" w:styleId="928" w:customStyle="1">
    <w:name w:val="普通表格11"/>
    <w:uiPriority w:val="99"/>
    <w:unhideWhenUsed/>
    <w:qFormat/>
    <w:tblPr>
      <w:tblCellMar>
        <w:left w:w="0" w:type="dxa"/>
        <w:top w:w="0" w:type="dxa"/>
        <w:right w:w="0" w:type="dxa"/>
        <w:bottom w:w="0" w:type="dxa"/>
      </w:tblCellMar>
    </w:tblPr>
  </w:style>
  <w:style w:type="paragraph" w:styleId="929" w:customStyle="1">
    <w:name w:val="正文首行缩进 212"/>
    <w:basedOn w:val="930"/>
    <w:next w:val="729"/>
    <w:link w:val="931"/>
    <w:uiPriority w:val="0"/>
    <w:qFormat/>
    <w:pPr>
      <w:ind w:left="0" w:firstLine="420"/>
      <w:spacing w:after="0" w:line="360" w:lineRule="auto"/>
    </w:pPr>
    <w:rPr>
      <w:rFonts w:ascii="宋体" w:hAnsi="宋体"/>
      <w:szCs w:val="20"/>
    </w:rPr>
  </w:style>
  <w:style w:type="paragraph" w:styleId="930" w:customStyle="1">
    <w:name w:val="正文文本缩进1"/>
    <w:basedOn w:val="729"/>
    <w:next w:val="929"/>
    <w:uiPriority w:val="0"/>
    <w:unhideWhenUsed/>
    <w:qFormat/>
    <w:pPr>
      <w:ind w:left="420"/>
      <w:spacing w:after="120"/>
    </w:pPr>
  </w:style>
  <w:style w:type="character" w:styleId="931" w:customStyle="1">
    <w:name w:val="正文首行缩进 2 Char"/>
    <w:link w:val="929"/>
    <w:uiPriority w:val="0"/>
    <w:qFormat/>
    <w:rPr>
      <w:rFonts w:ascii="宋体" w:hAnsi="宋体" w:eastAsia="宋体" w:cs="Times New Roman"/>
      <w:szCs w:val="20"/>
    </w:rPr>
  </w:style>
  <w:style w:type="character" w:styleId="932" w:customStyle="1">
    <w:name w:val="标题 1 Char"/>
    <w:link w:val="917"/>
    <w:uiPriority w:val="0"/>
    <w:qFormat/>
    <w:rPr>
      <w:rFonts w:ascii="楷体_GB2312" w:hAnsi="Times New Roman" w:eastAsia="楷体_GB2312" w:cs="Times New Roman"/>
      <w:sz w:val="28"/>
      <w:szCs w:val="28"/>
    </w:rPr>
  </w:style>
  <w:style w:type="character" w:styleId="933" w:customStyle="1">
    <w:name w:val="标题 2 Char"/>
    <w:link w:val="918"/>
    <w:uiPriority w:val="0"/>
    <w:qFormat/>
    <w:rPr>
      <w:rFonts w:ascii="Arial" w:hAnsi="Arial" w:eastAsia="幼圆" w:cs="Arial"/>
      <w:b/>
      <w:bCs/>
      <w:sz w:val="44"/>
      <w:szCs w:val="44"/>
    </w:rPr>
  </w:style>
  <w:style w:type="character" w:styleId="934" w:customStyle="1">
    <w:name w:val="正文缩进 Char"/>
    <w:link w:val="919"/>
    <w:uiPriority w:val="0"/>
    <w:qFormat/>
    <w:rPr>
      <w:szCs w:val="21"/>
    </w:rPr>
  </w:style>
  <w:style w:type="character" w:styleId="935" w:customStyle="1">
    <w:name w:val="标题 3 Char"/>
    <w:link w:val="920"/>
    <w:uiPriority w:val="0"/>
    <w:qFormat/>
    <w:rPr>
      <w:rFonts w:ascii="Times New Roman" w:hAnsi="Times New Roman" w:eastAsia="宋体" w:cs="Times New Roman"/>
      <w:b/>
      <w:bCs/>
      <w:sz w:val="32"/>
      <w:szCs w:val="32"/>
    </w:rPr>
  </w:style>
  <w:style w:type="character" w:styleId="936" w:customStyle="1">
    <w:name w:val="标题 4 Char"/>
    <w:link w:val="921"/>
    <w:uiPriority w:val="0"/>
    <w:qFormat/>
    <w:rPr>
      <w:rFonts w:ascii="Arial" w:hAnsi="Arial" w:eastAsia="黑体" w:cs="Arial"/>
      <w:b/>
      <w:bCs/>
      <w:sz w:val="28"/>
      <w:szCs w:val="28"/>
    </w:rPr>
  </w:style>
  <w:style w:type="character" w:styleId="937" w:customStyle="1">
    <w:name w:val="标题 5 Char"/>
    <w:link w:val="922"/>
    <w:uiPriority w:val="0"/>
    <w:qFormat/>
    <w:rPr>
      <w:rFonts w:ascii="宋体" w:hAnsi="Times New Roman" w:eastAsia="宋体" w:cs="Times New Roman"/>
      <w:color w:val="000000"/>
      <w:sz w:val="28"/>
      <w:szCs w:val="28"/>
    </w:rPr>
  </w:style>
  <w:style w:type="character" w:styleId="938" w:customStyle="1">
    <w:name w:val="标题 6 Char"/>
    <w:link w:val="923"/>
    <w:uiPriority w:val="0"/>
    <w:qFormat/>
    <w:rPr>
      <w:rFonts w:ascii="Arial" w:hAnsi="Arial" w:eastAsia="黑体" w:cs="Times New Roman"/>
      <w:b/>
      <w:bCs/>
      <w:sz w:val="24"/>
      <w:szCs w:val="24"/>
    </w:rPr>
  </w:style>
  <w:style w:type="character" w:styleId="939" w:customStyle="1">
    <w:name w:val="标题 7 Char"/>
    <w:link w:val="924"/>
    <w:uiPriority w:val="0"/>
    <w:qFormat/>
    <w:rPr>
      <w:rFonts w:ascii="Times New Roman" w:hAnsi="Times New Roman" w:eastAsia="宋体" w:cs="Times New Roman"/>
      <w:b/>
      <w:bCs/>
      <w:sz w:val="24"/>
      <w:szCs w:val="24"/>
    </w:rPr>
  </w:style>
  <w:style w:type="character" w:styleId="940" w:customStyle="1">
    <w:name w:val="标题 8 Char"/>
    <w:link w:val="925"/>
    <w:uiPriority w:val="0"/>
    <w:qFormat/>
    <w:rPr>
      <w:rFonts w:ascii="Arial" w:hAnsi="Arial" w:eastAsia="黑体" w:cs="Times New Roman"/>
      <w:sz w:val="24"/>
      <w:szCs w:val="24"/>
    </w:rPr>
  </w:style>
  <w:style w:type="character" w:styleId="941" w:customStyle="1">
    <w:name w:val="标题 9 Char"/>
    <w:link w:val="926"/>
    <w:uiPriority w:val="0"/>
    <w:qFormat/>
    <w:rPr>
      <w:rFonts w:ascii="Arial" w:hAnsi="Arial" w:eastAsia="黑体" w:cs="Times New Roman"/>
      <w:szCs w:val="21"/>
    </w:rPr>
  </w:style>
  <w:style w:type="paragraph" w:styleId="942" w:customStyle="1">
    <w:name w:val="列表 31"/>
    <w:basedOn w:val="729"/>
    <w:uiPriority w:val="0"/>
    <w:qFormat/>
    <w:pPr>
      <w:ind w:left="100" w:hanging="200"/>
    </w:pPr>
    <w:rPr>
      <w:szCs w:val="21"/>
    </w:rPr>
  </w:style>
  <w:style w:type="paragraph" w:styleId="943" w:customStyle="1">
    <w:name w:val="目录 71"/>
    <w:basedOn w:val="729"/>
    <w:next w:val="729"/>
    <w:uiPriority w:val="0"/>
    <w:semiHidden/>
    <w:qFormat/>
    <w:pPr>
      <w:ind w:left="1260"/>
      <w:jc w:val="left"/>
    </w:pPr>
    <w:rPr>
      <w:szCs w:val="21"/>
    </w:rPr>
  </w:style>
  <w:style w:type="paragraph" w:styleId="944" w:customStyle="1">
    <w:name w:val="文档结构图1"/>
    <w:basedOn w:val="729"/>
    <w:link w:val="945"/>
    <w:uiPriority w:val="0"/>
    <w:semiHidden/>
    <w:qFormat/>
    <w:pPr>
      <w:shd w:val="clear" w:color="auto" w:fill="000080"/>
    </w:pPr>
    <w:rPr>
      <w:szCs w:val="21"/>
    </w:rPr>
  </w:style>
  <w:style w:type="character" w:styleId="945" w:customStyle="1">
    <w:name w:val="文档结构图 Char"/>
    <w:link w:val="944"/>
    <w:uiPriority w:val="0"/>
    <w:semiHidden/>
    <w:qFormat/>
    <w:rPr>
      <w:rFonts w:ascii="Times New Roman" w:hAnsi="Times New Roman" w:eastAsia="宋体" w:cs="Times New Roman"/>
      <w:szCs w:val="21"/>
      <w:shd w:val="clear" w:color="auto" w:fill="000080"/>
    </w:rPr>
  </w:style>
  <w:style w:type="paragraph" w:styleId="946" w:customStyle="1">
    <w:name w:val="批注文字1"/>
    <w:basedOn w:val="729"/>
    <w:link w:val="947"/>
    <w:uiPriority w:val="0"/>
    <w:unhideWhenUsed/>
    <w:qFormat/>
    <w:pPr>
      <w:jc w:val="left"/>
    </w:pPr>
    <w:rPr>
      <w:szCs w:val="21"/>
    </w:rPr>
  </w:style>
  <w:style w:type="character" w:styleId="947" w:customStyle="1">
    <w:name w:val="批注文字 Char"/>
    <w:basedOn w:val="927"/>
    <w:link w:val="946"/>
    <w:uiPriority w:val="99"/>
    <w:semiHidden/>
    <w:qFormat/>
  </w:style>
  <w:style w:type="paragraph" w:styleId="948" w:customStyle="1">
    <w:name w:val="正文文本 31"/>
    <w:basedOn w:val="729"/>
    <w:link w:val="949"/>
    <w:uiPriority w:val="0"/>
    <w:qFormat/>
    <w:rPr>
      <w:rFonts w:ascii="仿宋_GB2312" w:hAnsi="Arial" w:eastAsia="仿宋_GB2312"/>
      <w:sz w:val="32"/>
      <w:szCs w:val="32"/>
    </w:rPr>
  </w:style>
  <w:style w:type="character" w:styleId="949" w:customStyle="1">
    <w:name w:val="正文文本 3 Char"/>
    <w:link w:val="948"/>
    <w:uiPriority w:val="0"/>
    <w:qFormat/>
    <w:rPr>
      <w:rFonts w:ascii="仿宋_GB2312" w:hAnsi="Arial" w:eastAsia="仿宋_GB2312" w:cs="Times New Roman"/>
      <w:sz w:val="32"/>
      <w:szCs w:val="32"/>
    </w:rPr>
  </w:style>
  <w:style w:type="paragraph" w:styleId="950" w:customStyle="1">
    <w:name w:val="正文文本11"/>
    <w:basedOn w:val="729"/>
    <w:link w:val="951"/>
    <w:uiPriority w:val="0"/>
    <w:qFormat/>
    <w:rPr>
      <w:rFonts w:ascii="楷体_GB2312" w:hAnsi="Arial" w:eastAsia="楷体_GB2312"/>
      <w:sz w:val="28"/>
      <w:szCs w:val="28"/>
    </w:rPr>
  </w:style>
  <w:style w:type="character" w:styleId="951" w:customStyle="1">
    <w:name w:val="正文文本 Char"/>
    <w:link w:val="950"/>
    <w:uiPriority w:val="0"/>
    <w:qFormat/>
    <w:rPr>
      <w:rFonts w:ascii="楷体_GB2312" w:hAnsi="Arial" w:eastAsia="楷体_GB2312" w:cs="Times New Roman"/>
      <w:sz w:val="28"/>
      <w:szCs w:val="28"/>
    </w:rPr>
  </w:style>
  <w:style w:type="paragraph" w:styleId="952" w:customStyle="1">
    <w:name w:val="正文文本缩进2"/>
    <w:basedOn w:val="729"/>
    <w:next w:val="953"/>
    <w:link w:val="954"/>
    <w:uiPriority w:val="0"/>
    <w:unhideWhenUsed/>
    <w:qFormat/>
    <w:pPr>
      <w:ind w:left="420"/>
      <w:spacing w:after="120"/>
    </w:pPr>
  </w:style>
  <w:style w:type="paragraph" w:styleId="953" w:customStyle="1">
    <w:name w:val="寄信人地址11"/>
    <w:basedOn w:val="729"/>
    <w:uiPriority w:val="0"/>
    <w:qFormat/>
    <w:rPr>
      <w:rFonts w:ascii="Arial" w:hAnsi="Arial" w:cs="宋体"/>
    </w:rPr>
  </w:style>
  <w:style w:type="character" w:styleId="954" w:customStyle="1">
    <w:name w:val="正文文本缩进 Char"/>
    <w:basedOn w:val="927"/>
    <w:link w:val="952"/>
    <w:uiPriority w:val="99"/>
    <w:semiHidden/>
    <w:qFormat/>
  </w:style>
  <w:style w:type="paragraph" w:styleId="955" w:customStyle="1">
    <w:name w:val="列表 21"/>
    <w:basedOn w:val="729"/>
    <w:uiPriority w:val="0"/>
    <w:qFormat/>
    <w:pPr>
      <w:ind w:left="100" w:hanging="200"/>
    </w:pPr>
    <w:rPr>
      <w:szCs w:val="21"/>
    </w:rPr>
  </w:style>
  <w:style w:type="paragraph" w:styleId="956" w:customStyle="1">
    <w:name w:val="索引 411"/>
    <w:basedOn w:val="729"/>
    <w:next w:val="729"/>
    <w:uiPriority w:val="0"/>
    <w:semiHidden/>
    <w:qFormat/>
    <w:pPr>
      <w:ind w:left="1260"/>
    </w:pPr>
    <w:rPr>
      <w:rFonts w:ascii="Calibri" w:hAnsi="Calibri" w:eastAsia="Calibri" w:cs="宋体"/>
      <w:sz w:val="20"/>
      <w:lang w:val="zh-CN"/>
    </w:rPr>
  </w:style>
  <w:style w:type="paragraph" w:styleId="957" w:customStyle="1">
    <w:name w:val="目录 51"/>
    <w:basedOn w:val="729"/>
    <w:next w:val="729"/>
    <w:uiPriority w:val="0"/>
    <w:semiHidden/>
    <w:qFormat/>
    <w:pPr>
      <w:ind w:left="840"/>
      <w:jc w:val="left"/>
    </w:pPr>
    <w:rPr>
      <w:szCs w:val="21"/>
    </w:rPr>
  </w:style>
  <w:style w:type="paragraph" w:styleId="958" w:customStyle="1">
    <w:name w:val="目录 31"/>
    <w:basedOn w:val="729"/>
    <w:next w:val="729"/>
    <w:uiPriority w:val="0"/>
    <w:semiHidden/>
    <w:qFormat/>
    <w:pPr>
      <w:ind w:left="420"/>
      <w:jc w:val="left"/>
    </w:pPr>
    <w:rPr>
      <w:i/>
      <w:iCs/>
      <w:szCs w:val="24"/>
    </w:rPr>
  </w:style>
  <w:style w:type="paragraph" w:styleId="959" w:customStyle="1">
    <w:name w:val="纯文本11"/>
    <w:basedOn w:val="729"/>
    <w:link w:val="960"/>
    <w:uiPriority w:val="0"/>
    <w:qFormat/>
    <w:rPr>
      <w:rFonts w:ascii="宋体" w:hAnsi="Courier New" w:cs="Courier New"/>
      <w:szCs w:val="21"/>
    </w:rPr>
  </w:style>
  <w:style w:type="character" w:styleId="960" w:customStyle="1">
    <w:name w:val="纯文本 Char"/>
    <w:link w:val="959"/>
    <w:uiPriority w:val="0"/>
    <w:qFormat/>
    <w:rPr>
      <w:rFonts w:ascii="宋体" w:hAnsi="Courier New" w:eastAsia="宋体" w:cs="Courier New"/>
      <w:szCs w:val="21"/>
    </w:rPr>
  </w:style>
  <w:style w:type="paragraph" w:styleId="961" w:customStyle="1">
    <w:name w:val="目录 81"/>
    <w:basedOn w:val="729"/>
    <w:next w:val="729"/>
    <w:uiPriority w:val="0"/>
    <w:semiHidden/>
    <w:qFormat/>
    <w:pPr>
      <w:ind w:left="1470"/>
      <w:jc w:val="left"/>
    </w:pPr>
    <w:rPr>
      <w:szCs w:val="21"/>
    </w:rPr>
  </w:style>
  <w:style w:type="paragraph" w:styleId="962" w:customStyle="1">
    <w:name w:val="日期1"/>
    <w:basedOn w:val="729"/>
    <w:next w:val="729"/>
    <w:link w:val="963"/>
    <w:uiPriority w:val="0"/>
    <w:qFormat/>
    <w:rPr>
      <w:sz w:val="24"/>
      <w:szCs w:val="24"/>
    </w:rPr>
  </w:style>
  <w:style w:type="character" w:styleId="963" w:customStyle="1">
    <w:name w:val="日期 Char"/>
    <w:link w:val="962"/>
    <w:uiPriority w:val="0"/>
    <w:qFormat/>
    <w:rPr>
      <w:rFonts w:ascii="Times New Roman" w:hAnsi="Times New Roman" w:eastAsia="宋体" w:cs="Times New Roman"/>
      <w:sz w:val="24"/>
      <w:szCs w:val="24"/>
    </w:rPr>
  </w:style>
  <w:style w:type="paragraph" w:styleId="964" w:customStyle="1">
    <w:name w:val="正文文本缩进 21"/>
    <w:basedOn w:val="729"/>
    <w:link w:val="965"/>
    <w:uiPriority w:val="0"/>
    <w:qFormat/>
    <w:pPr>
      <w:ind w:left="630" w:firstLine="645"/>
    </w:pPr>
    <w:rPr>
      <w:rFonts w:ascii="Arial" w:hAnsi="Arial" w:eastAsia="仿宋_GB2312" w:cs="Arial"/>
      <w:sz w:val="32"/>
      <w:szCs w:val="32"/>
    </w:rPr>
  </w:style>
  <w:style w:type="character" w:styleId="965" w:customStyle="1">
    <w:name w:val="正文文本缩进 2 Char"/>
    <w:link w:val="964"/>
    <w:uiPriority w:val="0"/>
    <w:qFormat/>
    <w:rPr>
      <w:rFonts w:ascii="Arial" w:hAnsi="Arial" w:eastAsia="仿宋_GB2312" w:cs="Arial"/>
      <w:sz w:val="32"/>
      <w:szCs w:val="32"/>
    </w:rPr>
  </w:style>
  <w:style w:type="paragraph" w:styleId="966" w:customStyle="1">
    <w:name w:val="批注框文本1"/>
    <w:basedOn w:val="729"/>
    <w:link w:val="967"/>
    <w:uiPriority w:val="0"/>
    <w:semiHidden/>
    <w:qFormat/>
    <w:rPr>
      <w:sz w:val="18"/>
      <w:szCs w:val="18"/>
    </w:rPr>
  </w:style>
  <w:style w:type="character" w:styleId="967" w:customStyle="1">
    <w:name w:val="批注框文本 Char"/>
    <w:link w:val="966"/>
    <w:uiPriority w:val="0"/>
    <w:semiHidden/>
    <w:qFormat/>
    <w:rPr>
      <w:rFonts w:ascii="Times New Roman" w:hAnsi="Times New Roman" w:eastAsia="宋体" w:cs="Times New Roman"/>
      <w:sz w:val="18"/>
      <w:szCs w:val="18"/>
    </w:rPr>
  </w:style>
  <w:style w:type="paragraph" w:styleId="968" w:customStyle="1">
    <w:name w:val="页脚1"/>
    <w:basedOn w:val="729"/>
    <w:link w:val="969"/>
    <w:uiPriority w:val="0"/>
    <w:qFormat/>
    <w:pPr>
      <w:jc w:val="left"/>
      <w:tabs>
        <w:tab w:val="center" w:pos="4153" w:leader="none"/>
        <w:tab w:val="right" w:pos="8306" w:leader="none"/>
      </w:tabs>
    </w:pPr>
    <w:rPr>
      <w:sz w:val="18"/>
      <w:szCs w:val="18"/>
    </w:rPr>
  </w:style>
  <w:style w:type="character" w:styleId="969" w:customStyle="1">
    <w:name w:val="页脚 Char"/>
    <w:link w:val="968"/>
    <w:uiPriority w:val="0"/>
    <w:qFormat/>
    <w:rPr>
      <w:rFonts w:ascii="Times New Roman" w:hAnsi="Times New Roman" w:eastAsia="宋体" w:cs="Times New Roman"/>
      <w:sz w:val="18"/>
      <w:szCs w:val="18"/>
    </w:rPr>
  </w:style>
  <w:style w:type="paragraph" w:styleId="970" w:customStyle="1">
    <w:name w:val="页眉1"/>
    <w:basedOn w:val="729"/>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眉 Char"/>
    <w:link w:val="970"/>
    <w:uiPriority w:val="0"/>
    <w:qFormat/>
    <w:rPr>
      <w:rFonts w:ascii="Times New Roman" w:hAnsi="Times New Roman" w:eastAsia="宋体" w:cs="Times New Roman"/>
      <w:sz w:val="18"/>
      <w:szCs w:val="18"/>
    </w:rPr>
  </w:style>
  <w:style w:type="paragraph" w:styleId="972" w:customStyle="1">
    <w:name w:val="目录 11"/>
    <w:basedOn w:val="729"/>
    <w:next w:val="729"/>
    <w:uiPriority w:val="0"/>
    <w:semiHidden/>
    <w:qFormat/>
    <w:pPr>
      <w:jc w:val="left"/>
      <w:spacing w:before="120" w:after="120" w:line="400" w:lineRule="exact"/>
      <w:tabs>
        <w:tab w:val="right" w:pos="8720" w:leader="dot"/>
      </w:tabs>
    </w:pPr>
    <w:rPr>
      <w:rFonts w:ascii="宋体" w:hAnsi="宋体"/>
      <w:caps/>
      <w:sz w:val="24"/>
      <w:szCs w:val="24"/>
    </w:rPr>
  </w:style>
  <w:style w:type="paragraph" w:styleId="973" w:customStyle="1">
    <w:name w:val="目录 41"/>
    <w:basedOn w:val="729"/>
    <w:next w:val="729"/>
    <w:uiPriority w:val="0"/>
    <w:semiHidden/>
    <w:qFormat/>
    <w:pPr>
      <w:ind w:left="630"/>
      <w:jc w:val="left"/>
    </w:pPr>
    <w:rPr>
      <w:szCs w:val="21"/>
    </w:rPr>
  </w:style>
  <w:style w:type="paragraph" w:styleId="974" w:customStyle="1">
    <w:name w:val="列表1"/>
    <w:basedOn w:val="729"/>
    <w:uiPriority w:val="0"/>
    <w:qFormat/>
    <w:pPr>
      <w:ind w:left="200" w:hanging="200"/>
    </w:pPr>
    <w:rPr>
      <w:szCs w:val="21"/>
    </w:rPr>
  </w:style>
  <w:style w:type="paragraph" w:styleId="975" w:customStyle="1">
    <w:name w:val="目录 61"/>
    <w:basedOn w:val="729"/>
    <w:next w:val="729"/>
    <w:uiPriority w:val="0"/>
    <w:semiHidden/>
    <w:qFormat/>
    <w:pPr>
      <w:ind w:left="1050"/>
      <w:jc w:val="left"/>
    </w:pPr>
    <w:rPr>
      <w:szCs w:val="21"/>
    </w:rPr>
  </w:style>
  <w:style w:type="paragraph" w:styleId="976" w:customStyle="1">
    <w:name w:val="正文文本缩进 31"/>
    <w:basedOn w:val="729"/>
    <w:link w:val="977"/>
    <w:uiPriority w:val="0"/>
    <w:qFormat/>
    <w:pPr>
      <w:ind w:left="645" w:firstLine="645"/>
    </w:pPr>
    <w:rPr>
      <w:rFonts w:ascii="Arial" w:hAnsi="Arial" w:eastAsia="仿宋_GB2312" w:cs="Arial"/>
      <w:color w:val="ffff00"/>
      <w:sz w:val="32"/>
      <w:szCs w:val="32"/>
    </w:rPr>
  </w:style>
  <w:style w:type="character" w:styleId="977" w:customStyle="1">
    <w:name w:val="正文文本缩进 3 Char"/>
    <w:link w:val="976"/>
    <w:uiPriority w:val="0"/>
    <w:qFormat/>
    <w:rPr>
      <w:rFonts w:ascii="Arial" w:hAnsi="Arial" w:eastAsia="仿宋_GB2312" w:cs="Arial"/>
      <w:color w:val="ffff00"/>
      <w:sz w:val="32"/>
      <w:szCs w:val="32"/>
    </w:rPr>
  </w:style>
  <w:style w:type="paragraph" w:styleId="978" w:customStyle="1">
    <w:name w:val="图表目录1"/>
    <w:basedOn w:val="729"/>
    <w:next w:val="729"/>
    <w:uiPriority w:val="0"/>
    <w:semiHidden/>
    <w:qFormat/>
    <w:pPr>
      <w:ind w:left="840" w:hanging="420"/>
    </w:pPr>
    <w:rPr>
      <w:szCs w:val="21"/>
    </w:rPr>
  </w:style>
  <w:style w:type="paragraph" w:styleId="979" w:customStyle="1">
    <w:name w:val="目录 21"/>
    <w:basedOn w:val="729"/>
    <w:next w:val="729"/>
    <w:uiPriority w:val="0"/>
    <w:semiHidden/>
    <w:qFormat/>
    <w:pPr>
      <w:ind w:left="210"/>
      <w:jc w:val="left"/>
    </w:pPr>
    <w:rPr>
      <w:smallCaps/>
      <w:szCs w:val="24"/>
    </w:rPr>
  </w:style>
  <w:style w:type="paragraph" w:styleId="980" w:customStyle="1">
    <w:name w:val="目录 91"/>
    <w:basedOn w:val="729"/>
    <w:next w:val="729"/>
    <w:uiPriority w:val="0"/>
    <w:semiHidden/>
    <w:qFormat/>
    <w:pPr>
      <w:ind w:left="1680"/>
      <w:jc w:val="left"/>
    </w:pPr>
    <w:rPr>
      <w:szCs w:val="21"/>
    </w:rPr>
  </w:style>
  <w:style w:type="paragraph" w:styleId="981" w:customStyle="1">
    <w:name w:val="正文文本 21"/>
    <w:basedOn w:val="729"/>
    <w:link w:val="982"/>
    <w:uiPriority w:val="0"/>
    <w:qFormat/>
    <w:pPr>
      <w:jc w:val="center"/>
      <w:widowControl/>
    </w:pPr>
    <w:rPr>
      <w:rFonts w:ascii="楷体_GB2312" w:eastAsia="楷体_GB2312"/>
      <w:sz w:val="28"/>
      <w:szCs w:val="28"/>
    </w:rPr>
  </w:style>
  <w:style w:type="character" w:styleId="982" w:customStyle="1">
    <w:name w:val="正文文本 2 Char"/>
    <w:link w:val="981"/>
    <w:uiPriority w:val="0"/>
    <w:qFormat/>
    <w:rPr>
      <w:rFonts w:ascii="楷体_GB2312" w:hAnsi="Times New Roman" w:eastAsia="楷体_GB2312" w:cs="Times New Roman"/>
      <w:sz w:val="28"/>
      <w:szCs w:val="28"/>
    </w:rPr>
  </w:style>
  <w:style w:type="paragraph" w:styleId="983"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984" w:customStyle="1">
    <w:name w:val="索引 11"/>
    <w:basedOn w:val="729"/>
    <w:next w:val="729"/>
    <w:uiPriority w:val="0"/>
    <w:semiHidden/>
    <w:qFormat/>
    <w:pPr>
      <w:spacing w:line="240" w:lineRule="atLeast"/>
    </w:pPr>
    <w:rPr>
      <w:b/>
      <w:bCs/>
      <w:szCs w:val="21"/>
    </w:rPr>
  </w:style>
  <w:style w:type="paragraph" w:styleId="985" w:customStyle="1">
    <w:name w:val="批注主题1"/>
    <w:basedOn w:val="946"/>
    <w:next w:val="946"/>
    <w:link w:val="986"/>
    <w:uiPriority w:val="0"/>
    <w:semiHidden/>
    <w:qFormat/>
    <w:rPr>
      <w:b/>
      <w:bCs/>
    </w:rPr>
  </w:style>
  <w:style w:type="character" w:styleId="986" w:customStyle="1">
    <w:name w:val="批注主题 Char"/>
    <w:link w:val="985"/>
    <w:uiPriority w:val="0"/>
    <w:semiHidden/>
    <w:qFormat/>
    <w:rPr>
      <w:rFonts w:ascii="Times New Roman" w:hAnsi="Times New Roman" w:eastAsia="宋体" w:cs="Times New Roman"/>
      <w:b/>
      <w:bCs/>
      <w:szCs w:val="21"/>
    </w:rPr>
  </w:style>
  <w:style w:type="paragraph" w:styleId="987" w:customStyle="1">
    <w:name w:val="正文首行缩进1"/>
    <w:basedOn w:val="729"/>
    <w:link w:val="988"/>
    <w:uiPriority w:val="0"/>
    <w:qFormat/>
    <w:pPr>
      <w:ind w:firstLine="200"/>
      <w:spacing w:line="360" w:lineRule="auto"/>
    </w:pPr>
    <w:rPr>
      <w:rFonts w:ascii="仿宋_GB2312" w:eastAsia="仿宋_GB2312"/>
      <w:sz w:val="30"/>
      <w:szCs w:val="30"/>
    </w:rPr>
  </w:style>
  <w:style w:type="character" w:styleId="988" w:customStyle="1">
    <w:name w:val="正文首行缩进 Char"/>
    <w:link w:val="987"/>
    <w:uiPriority w:val="0"/>
    <w:qFormat/>
    <w:rPr>
      <w:rFonts w:ascii="仿宋_GB2312" w:hAnsi="Times New Roman" w:eastAsia="仿宋_GB2312" w:cs="Times New Roman"/>
      <w:sz w:val="30"/>
      <w:szCs w:val="30"/>
    </w:rPr>
  </w:style>
  <w:style w:type="table" w:styleId="989" w:customStyle="1">
    <w:name w:val="网格型11"/>
    <w:basedOn w:val="928"/>
    <w:uiPriority w:val="0"/>
    <w:qFormat/>
    <w:pPr>
      <w:jc w:val="both"/>
      <w:widowControl w:val="off"/>
    </w:pPr>
    <w:tblPr/>
  </w:style>
  <w:style w:type="character" w:styleId="990" w:customStyle="1">
    <w:name w:val="要点1"/>
    <w:uiPriority w:val="0"/>
    <w:qFormat/>
    <w:rPr>
      <w:b/>
      <w:bCs/>
    </w:rPr>
  </w:style>
  <w:style w:type="character" w:styleId="991" w:customStyle="1">
    <w:name w:val="页码1"/>
    <w:uiPriority w:val="0"/>
    <w:qFormat/>
  </w:style>
  <w:style w:type="character" w:styleId="992" w:customStyle="1">
    <w:name w:val="已访问的超链接1"/>
    <w:uiPriority w:val="0"/>
    <w:qFormat/>
    <w:rPr>
      <w:color w:val="800080"/>
      <w:u w:val="single"/>
    </w:rPr>
  </w:style>
  <w:style w:type="character" w:styleId="993" w:customStyle="1">
    <w:name w:val="强调1"/>
    <w:uiPriority w:val="0"/>
    <w:qFormat/>
    <w:rPr>
      <w:i/>
    </w:rPr>
  </w:style>
  <w:style w:type="character" w:styleId="994" w:customStyle="1">
    <w:name w:val="超链接1"/>
    <w:uiPriority w:val="0"/>
    <w:qFormat/>
    <w:rPr>
      <w:color w:val="0000ff"/>
      <w:u w:val="single"/>
    </w:rPr>
  </w:style>
  <w:style w:type="character" w:styleId="995" w:customStyle="1">
    <w:name w:val="批注引用1"/>
    <w:uiPriority w:val="0"/>
    <w:semiHidden/>
    <w:qFormat/>
    <w:rPr>
      <w:sz w:val="21"/>
      <w:szCs w:val="21"/>
    </w:rPr>
  </w:style>
  <w:style w:type="paragraph" w:styleId="996" w:customStyle="1">
    <w:name w:val="索引 41"/>
    <w:basedOn w:val="729"/>
    <w:next w:val="729"/>
    <w:uiPriority w:val="0"/>
    <w:semiHidden/>
    <w:qFormat/>
    <w:pPr>
      <w:ind w:left="1260"/>
    </w:pPr>
    <w:rPr>
      <w:rFonts w:ascii="Calibri" w:hAnsi="Calibri" w:eastAsia="Calibri" w:cs="宋体"/>
      <w:sz w:val="20"/>
      <w:lang w:val="zh-CN"/>
    </w:rPr>
  </w:style>
  <w:style w:type="paragraph" w:styleId="997" w:customStyle="1">
    <w:name w:val="正文文本首行缩进 21"/>
    <w:basedOn w:val="930"/>
    <w:uiPriority w:val="0"/>
    <w:qFormat/>
    <w:pPr>
      <w:ind w:left="0" w:firstLine="420"/>
      <w:spacing w:after="0" w:line="360" w:lineRule="auto"/>
    </w:pPr>
    <w:rPr>
      <w:rFonts w:ascii="宋体" w:hAnsi="宋体"/>
      <w:sz w:val="20"/>
      <w:szCs w:val="20"/>
      <w:lang w:eastAsia="en-US"/>
    </w:rPr>
  </w:style>
  <w:style w:type="character" w:styleId="998" w:customStyle="1">
    <w:name w:val="font5 Char"/>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29"/>
    <w:link w:val="99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29"/>
    <w:link w:val="1001"/>
    <w:uiPriority w:val="0"/>
    <w:qFormat/>
    <w:pPr>
      <w:contextualSpacing/>
      <w:ind w:left="720"/>
      <w:jc w:val="left"/>
      <w:widowControl/>
    </w:pPr>
    <w:rPr>
      <w:rFonts w:ascii="Calibri" w:hAnsi="Calibri"/>
      <w:sz w:val="24"/>
      <w:szCs w:val="24"/>
      <w:lang w:eastAsia="en-US" w:bidi="en-US"/>
    </w:rPr>
  </w:style>
  <w:style w:type="paragraph" w:styleId="1003" w:customStyle="1">
    <w:name w:val="Body Text(ch)"/>
    <w:basedOn w:val="729"/>
    <w:next w:val="950"/>
    <w:uiPriority w:val="0"/>
    <w:qFormat/>
    <w:pPr>
      <w:spacing w:after="120"/>
    </w:pPr>
    <w:rPr>
      <w:rFonts w:ascii="宋体" w:hAnsi="Arial"/>
      <w:bCs/>
      <w:iCs/>
      <w:szCs w:val="24"/>
    </w:rPr>
  </w:style>
  <w:style w:type="paragraph" w:styleId="1004"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customStyle="1">
    <w:name w:val="Char"/>
    <w:basedOn w:val="729"/>
    <w:uiPriority w:val="0"/>
    <w:qFormat/>
    <w:pPr>
      <w:ind w:firstLine="200"/>
      <w:tabs>
        <w:tab w:val="left" w:pos="360" w:leader="none"/>
      </w:tabs>
    </w:pPr>
    <w:rPr>
      <w:sz w:val="28"/>
      <w:szCs w:val="30"/>
    </w:rPr>
  </w:style>
  <w:style w:type="paragraph" w:styleId="1007" w:customStyle="1">
    <w:name w:val="Char1"/>
    <w:basedOn w:val="944"/>
    <w:uiPriority w:val="0"/>
    <w:qFormat/>
    <w:rPr>
      <w:rFonts w:ascii="Tahoma" w:hAnsi="Tahoma"/>
      <w:sz w:val="24"/>
      <w:szCs w:val="24"/>
    </w:rPr>
  </w:style>
  <w:style w:type="paragraph" w:styleId="1008"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1009" w:customStyle="1">
    <w:name w:val="table_lines"/>
    <w:basedOn w:val="729"/>
    <w:uiPriority w:val="0"/>
    <w:qFormat/>
    <w:pPr>
      <w:jc w:val="left"/>
      <w:widowControl/>
    </w:pPr>
    <w:rPr>
      <w:sz w:val="20"/>
      <w:szCs w:val="20"/>
      <w:lang w:val="de-DE" w:eastAsia="de-DE"/>
    </w:rPr>
  </w:style>
  <w:style w:type="paragraph" w:styleId="101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1" w:customStyle="1">
    <w:name w:val="font7"/>
    <w:basedOn w:val="729"/>
    <w:uiPriority w:val="0"/>
    <w:qFormat/>
    <w:pPr>
      <w:jc w:val="left"/>
      <w:spacing w:before="100" w:beforeAutospacing="1" w:after="100" w:afterAutospacing="1"/>
      <w:widowControl/>
    </w:pPr>
    <w:rPr>
      <w:rFonts w:hint="eastAsia" w:ascii="宋体" w:hAnsi="宋体"/>
      <w:sz w:val="18"/>
      <w:szCs w:val="18"/>
    </w:rPr>
  </w:style>
  <w:style w:type="paragraph" w:styleId="1012" w:customStyle="1">
    <w:name w:val="Char Char Char Char"/>
    <w:basedOn w:val="944"/>
    <w:uiPriority w:val="0"/>
    <w:qFormat/>
    <w:pPr>
      <w:spacing w:line="360" w:lineRule="auto"/>
    </w:pPr>
    <w:rPr>
      <w:rFonts w:ascii="Tahoma" w:hAnsi="Tahoma"/>
      <w:sz w:val="24"/>
      <w:szCs w:val="24"/>
    </w:rPr>
  </w:style>
  <w:style w:type="paragraph" w:styleId="1013">
    <w:name w:val="List Paragraph"/>
    <w:basedOn w:val="729"/>
    <w:uiPriority w:val="0"/>
    <w:qFormat/>
    <w:pPr>
      <w:contextualSpacing/>
      <w:ind w:left="720"/>
      <w:jc w:val="left"/>
      <w:widowControl/>
    </w:pPr>
    <w:rPr>
      <w:rFonts w:ascii="Calibri" w:hAnsi="Calibri"/>
      <w:sz w:val="24"/>
      <w:szCs w:val="24"/>
      <w:lang w:eastAsia="en-US" w:bidi="en-US"/>
    </w:rPr>
  </w:style>
  <w:style w:type="paragraph" w:styleId="1014" w:customStyle="1">
    <w:name w:val="4"/>
    <w:basedOn w:val="729"/>
    <w:next w:val="976"/>
    <w:uiPriority w:val="0"/>
    <w:qFormat/>
    <w:pPr>
      <w:ind w:firstLine="420"/>
      <w:spacing w:line="360" w:lineRule="auto"/>
    </w:pPr>
    <w:rPr>
      <w:color w:val="ff0000"/>
      <w:sz w:val="24"/>
      <w:szCs w:val="24"/>
    </w:rPr>
  </w:style>
  <w:style w:type="paragraph" w:styleId="1015" w:customStyle="1">
    <w:name w:val="普通 (Web)"/>
    <w:basedOn w:val="729"/>
    <w:uiPriority w:val="0"/>
    <w:qFormat/>
    <w:pPr>
      <w:jc w:val="left"/>
      <w:spacing w:before="100" w:beforeAutospacing="1" w:after="100" w:afterAutospacing="1"/>
      <w:widowControl/>
    </w:pPr>
    <w:rPr>
      <w:rFonts w:ascii="宋体" w:hAnsi="宋体"/>
      <w:sz w:val="24"/>
      <w:szCs w:val="24"/>
    </w:rPr>
  </w:style>
  <w:style w:type="paragraph" w:styleId="1016" w:customStyle="1">
    <w:name w:val="Char Char Char Char Char Char Char Char Char Char"/>
    <w:basedOn w:val="729"/>
    <w:uiPriority w:val="0"/>
    <w:qFormat/>
    <w:pPr>
      <w:spacing w:line="360" w:lineRule="auto"/>
    </w:pPr>
    <w:rPr>
      <w:sz w:val="24"/>
      <w:szCs w:val="20"/>
    </w:rPr>
  </w:style>
  <w:style w:type="paragraph" w:styleId="1017" w:customStyle="1">
    <w:name w:val="样式1"/>
    <w:basedOn w:val="729"/>
    <w:uiPriority w:val="0"/>
    <w:qFormat/>
    <w:pPr>
      <w:numPr>
        <w:ilvl w:val="0"/>
        <w:numId w:val="3"/>
      </w:numPr>
    </w:pPr>
    <w:rPr>
      <w:rFonts w:ascii="宋体" w:hAnsi="宋体"/>
      <w:szCs w:val="21"/>
    </w:rPr>
  </w:style>
  <w:style w:type="paragraph" w:styleId="1018" w:customStyle="1">
    <w:name w:val="font6"/>
    <w:basedOn w:val="729"/>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标题3"/>
    <w:basedOn w:val="729"/>
    <w:next w:val="729"/>
    <w:uiPriority w:val="0"/>
    <w:qFormat/>
    <w:pPr>
      <w:ind w:firstLine="624"/>
      <w:spacing w:line="590" w:lineRule="atLeast"/>
    </w:pPr>
    <w:rPr>
      <w:rFonts w:ascii="方正黑体_GBK" w:eastAsia="方正黑体_GBK"/>
      <w:sz w:val="32"/>
      <w:szCs w:val="32"/>
    </w:rPr>
  </w:style>
  <w:style w:type="paragraph" w:styleId="1022"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25"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customStyle="1">
    <w:name w:val="Char Char Char Char Char Char Char Char1"/>
    <w:basedOn w:val="729"/>
    <w:uiPriority w:val="0"/>
    <w:qFormat/>
    <w:pPr>
      <w:jc w:val="left"/>
      <w:spacing w:after="160" w:line="240" w:lineRule="exact"/>
      <w:widowControl/>
    </w:pPr>
    <w:rPr>
      <w:rFonts w:ascii="Verdana" w:hAnsi="Verdana"/>
      <w:sz w:val="20"/>
      <w:szCs w:val="20"/>
      <w:lang w:eastAsia="en-US"/>
    </w:rPr>
  </w:style>
  <w:style w:type="paragraph" w:styleId="1027" w:customStyle="1">
    <w:name w:val="xl30"/>
    <w:basedOn w:val="729"/>
    <w:uiPriority w:val="0"/>
    <w:qFormat/>
    <w:pPr>
      <w:jc w:val="center"/>
      <w:spacing w:before="100" w:beforeAutospacing="1" w:after="100" w:afterAutospacing="1"/>
      <w:widowControl/>
    </w:pPr>
    <w:rPr>
      <w:rFonts w:ascii="宋体" w:hAnsi="宋体"/>
      <w:b/>
      <w:bCs/>
      <w:sz w:val="36"/>
      <w:szCs w:val="36"/>
    </w:rPr>
  </w:style>
  <w:style w:type="paragraph" w:styleId="1028" w:customStyle="1">
    <w:name w:val="Char Char Char Char1"/>
    <w:basedOn w:val="944"/>
    <w:uiPriority w:val="0"/>
    <w:qFormat/>
    <w:pPr>
      <w:spacing w:line="360" w:lineRule="auto"/>
    </w:pPr>
    <w:rPr>
      <w:rFonts w:ascii="Tahoma" w:hAnsi="Tahoma"/>
      <w:sz w:val="24"/>
      <w:szCs w:val="24"/>
    </w:rPr>
  </w:style>
  <w:style w:type="paragraph" w:styleId="1029" w:customStyle="1">
    <w:name w:val="table_1stline"/>
    <w:basedOn w:val="729"/>
    <w:uiPriority w:val="0"/>
    <w:qFormat/>
    <w:pPr>
      <w:jc w:val="left"/>
      <w:spacing w:before="120"/>
      <w:widowControl/>
    </w:pPr>
    <w:rPr>
      <w:bCs/>
      <w:sz w:val="20"/>
      <w:szCs w:val="20"/>
      <w:lang w:val="de-DE" w:eastAsia="de-DE"/>
    </w:rPr>
  </w:style>
  <w:style w:type="paragraph" w:styleId="1030" w:customStyle="1">
    <w:name w:val="font5"/>
    <w:basedOn w:val="729"/>
    <w:uiPriority w:val="0"/>
    <w:qFormat/>
    <w:pPr>
      <w:jc w:val="left"/>
      <w:spacing w:before="100" w:beforeAutospacing="1" w:after="100" w:afterAutospacing="1"/>
      <w:widowControl/>
    </w:pPr>
    <w:rPr>
      <w:rFonts w:hint="eastAsia" w:ascii="宋体" w:hAnsi="宋体"/>
      <w:sz w:val="28"/>
      <w:szCs w:val="28"/>
    </w:rPr>
  </w:style>
  <w:style w:type="paragraph" w:styleId="1031"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_Style 112"/>
    <w:uiPriority w:val="99"/>
    <w:semiHidden/>
    <w:qFormat/>
    <w:rPr>
      <w:rFonts w:ascii="Times New Roman" w:hAnsi="Times New Roman" w:eastAsia="宋体" w:cs="Times New Roman"/>
      <w:sz w:val="21"/>
      <w:szCs w:val="21"/>
      <w:lang w:val="en-US" w:eastAsia="zh-CN" w:bidi="ar-SA"/>
    </w:rPr>
  </w:style>
  <w:style w:type="paragraph" w:styleId="1033">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34" w:customStyle="1">
    <w:name w:val="Table Normal"/>
    <w:uiPriority w:val="0"/>
    <w:qFormat/>
    <w:tblPr>
      <w:tblCellMar>
        <w:left w:w="0" w:type="dxa"/>
        <w:top w:w="0" w:type="dxa"/>
        <w:right w:w="0" w:type="dxa"/>
        <w:bottom w:w="0" w:type="dxa"/>
      </w:tblCellMar>
    </w:tblPr>
  </w:style>
  <w:style w:type="paragraph" w:styleId="1035" w:customStyle="1">
    <w:name w:val="正文文本 211"/>
    <w:basedOn w:val="729"/>
    <w:uiPriority w:val="99"/>
    <w:qFormat/>
    <w:pPr>
      <w:jc w:val="center"/>
    </w:pPr>
    <w:rPr>
      <w:b/>
      <w:bCs/>
      <w:sz w:val="20"/>
      <w:szCs w:val="20"/>
    </w:rPr>
  </w:style>
  <w:style w:type="paragraph" w:styleId="1036" w:customStyle="1">
    <w:name w:val="正文文本1"/>
    <w:basedOn w:val="729"/>
    <w:next w:val="729"/>
    <w:uiPriority w:val="0"/>
    <w:semiHidden/>
    <w:qFormat/>
    <w:rPr>
      <w:rFonts w:ascii="Arial" w:hAnsi="Arial" w:eastAsia="Arial" w:cs="Arial"/>
      <w:szCs w:val="21"/>
      <w:lang w:eastAsia="en-US"/>
    </w:rPr>
  </w:style>
  <w:style w:type="paragraph" w:styleId="1037" w:customStyle="1">
    <w:name w:val="正文文本12"/>
    <w:basedOn w:val="729"/>
    <w:uiPriority w:val="1"/>
    <w:qFormat/>
    <w:pPr>
      <w:ind w:left="120"/>
    </w:pPr>
    <w:rPr>
      <w:rFonts w:ascii="宋体" w:hAnsi="宋体" w:cs="宋体"/>
      <w:szCs w:val="21"/>
      <w:lang w:val="zh-CN" w:bidi="zh-CN"/>
    </w:rPr>
  </w:style>
  <w:style w:type="paragraph" w:styleId="1038" w:customStyle="1">
    <w:name w:val="纯文本1"/>
    <w:basedOn w:val="729"/>
    <w:uiPriority w:val="0"/>
    <w:qFormat/>
    <w:rPr>
      <w:rFonts w:ascii="宋体" w:hAnsi="Courier New" w:cs="Courier New"/>
    </w:rPr>
  </w:style>
  <w:style w:type="table" w:styleId="1039" w:customStyle="1">
    <w:name w:val="网格型1"/>
    <w:basedOn w:val="1040"/>
    <w:uiPriority w:val="0"/>
    <w:qFormat/>
    <w:pPr>
      <w:jc w:val="both"/>
      <w:widowControl w:val="off"/>
    </w:pPr>
    <w:tblPr/>
  </w:style>
  <w:style w:type="table" w:styleId="1040" w:customStyle="1">
    <w:name w:val="普通表格1"/>
    <w:uiPriority w:val="99"/>
    <w:unhideWhenUsed/>
    <w:qFormat/>
    <w:tblPr>
      <w:tblCellMar>
        <w:left w:w="0" w:type="dxa"/>
        <w:top w:w="0" w:type="dxa"/>
        <w:right w:w="0" w:type="dxa"/>
        <w:bottom w:w="0" w:type="dxa"/>
      </w:tblCellMar>
    </w:tblPr>
  </w:style>
  <w:style w:type="character" w:styleId="1041" w:customStyle="1">
    <w:name w:val="15"/>
    <w:basedOn w:val="927"/>
    <w:uiPriority w:val="0"/>
    <w:qFormat/>
    <w:rPr>
      <w:rFonts w:ascii="Times New Roman" w:hAnsi="Times New Roman" w:cs="Times New Roman"/>
    </w:rPr>
  </w:style>
  <w:style w:type="paragraph" w:styleId="1042" w:customStyle="1">
    <w:name w:val="正文首行缩进 211"/>
    <w:basedOn w:val="1043"/>
    <w:next w:val="729"/>
    <w:uiPriority w:val="0"/>
    <w:qFormat/>
    <w:pPr>
      <w:ind w:left="0" w:firstLine="420"/>
      <w:spacing w:after="0" w:line="360" w:lineRule="auto"/>
    </w:pPr>
    <w:rPr>
      <w:rFonts w:ascii="宋体" w:hAnsi="宋体"/>
      <w:szCs w:val="20"/>
    </w:rPr>
  </w:style>
  <w:style w:type="paragraph" w:styleId="1043" w:customStyle="1">
    <w:name w:val="正文文本缩进11"/>
    <w:basedOn w:val="729"/>
    <w:next w:val="1044"/>
    <w:uiPriority w:val="0"/>
    <w:unhideWhenUsed/>
    <w:qFormat/>
    <w:pPr>
      <w:ind w:left="420"/>
      <w:spacing w:after="120"/>
    </w:pPr>
  </w:style>
  <w:style w:type="paragraph" w:styleId="1044" w:customStyle="1">
    <w:name w:val="寄信人地址1"/>
    <w:basedOn w:val="729"/>
    <w:uiPriority w:val="0"/>
    <w:qFormat/>
    <w:rPr>
      <w:rFonts w:ascii="Arial" w:hAnsi="Arial" w:cs="宋体"/>
    </w:rPr>
  </w:style>
  <w:style w:type="paragraph" w:styleId="1045" w:customStyle="1">
    <w:name w:val="Table Paragraph"/>
    <w:basedOn w:val="729"/>
    <w:uiPriority w:val="1"/>
    <w:qFormat/>
    <w:pPr>
      <w:jc w:val="left"/>
    </w:pPr>
    <w:rPr>
      <w:rFonts w:ascii="宋体" w:hAnsi="宋体" w:cs="宋体"/>
      <w:sz w:val="22"/>
      <w:lang w:val="zh-CN" w:bidi="zh-CN"/>
    </w:rPr>
  </w:style>
  <w:style w:type="paragraph" w:styleId="1046" w:customStyle="1">
    <w:name w:val="正文首行缩进 21"/>
    <w:basedOn w:val="930"/>
    <w:next w:val="729"/>
    <w:uiPriority w:val="0"/>
    <w:qFormat/>
    <w:pPr>
      <w:ind w:firstLine="420"/>
      <w:spacing w:line="360" w:lineRule="auto"/>
    </w:pPr>
    <w:rPr>
      <w:rFonts w:ascii="宋体" w:hAnsi="宋体"/>
      <w:szCs w:val="20"/>
    </w:rPr>
  </w:style>
  <w:style w:type="paragraph" w:styleId="1047" w:customStyle="1">
    <w:name w:val="正文1"/>
    <w:basedOn w:val="729"/>
    <w:uiPriority w:val="0"/>
    <w:qFormat/>
    <w:pPr>
      <w:ind w:left="350"/>
    </w:pPr>
    <w:rPr>
      <w:sz w:val="20"/>
      <w:szCs w:val="24"/>
    </w:rPr>
  </w:style>
  <w:style w:type="paragraph" w:styleId="1048" w:customStyle="1">
    <w:name w:val="修订1"/>
    <w:hidden/>
    <w:uiPriority w:val="99"/>
    <w:unhideWhenUsed/>
    <w:qFormat/>
    <w:rPr>
      <w:rFonts w:ascii="Times New Roman" w:hAnsi="Times New Roman" w:eastAsia="宋体" w:cs="Times New Roman"/>
      <w:sz w:val="21"/>
      <w:szCs w:val="22"/>
      <w:lang w:val="en-US" w:eastAsia="zh-CN" w:bidi="ar-SA"/>
    </w:rPr>
  </w:style>
  <w:style w:type="paragraph" w:styleId="1049" w:customStyle="1">
    <w:name w:val="修订2"/>
    <w:hidden/>
    <w:uiPriority w:val="99"/>
    <w:unhideWhenUsed/>
    <w:qFormat/>
    <w:rPr>
      <w:rFonts w:ascii="Times New Roman" w:hAnsi="Times New Roman" w:eastAsia="宋体" w:cs="Times New Roman"/>
      <w:sz w:val="21"/>
      <w:szCs w:val="22"/>
      <w:lang w:val="en-US" w:eastAsia="zh-CN" w:bidi="ar-SA"/>
    </w:rPr>
  </w:style>
  <w:style w:type="paragraph" w:styleId="1050" w:customStyle="1">
    <w:name w:val="Revision"/>
    <w:hidden/>
    <w:uiPriority w:val="99"/>
    <w:unhideWhenUsed/>
    <w:qFormat/>
    <w:rPr>
      <w:rFonts w:ascii="Times New Roman" w:hAnsi="Times New Roman" w:eastAsia="宋体" w:cs="Times New Roman"/>
      <w:sz w:val="21"/>
      <w:szCs w:val="22"/>
      <w:lang w:val="en-US" w:eastAsia="zh-CN" w:bidi="ar-SA"/>
    </w:rPr>
  </w:style>
  <w:style w:type="character" w:styleId="1051" w:customStyle="1">
    <w:name w:val="批注文字 字符"/>
    <w:basedOn w:val="739"/>
    <w:link w:val="747"/>
    <w:uiPriority w:val="99"/>
    <w:semiHidden/>
    <w:qFormat/>
    <w:rPr>
      <w:sz w:val="21"/>
      <w:szCs w:val="22"/>
    </w:rPr>
  </w:style>
  <w:style w:type="character" w:styleId="1052" w:customStyle="1">
    <w:name w:val="批注主题 字符"/>
    <w:basedOn w:val="1051"/>
    <w:link w:val="764"/>
    <w:uiPriority w:val="99"/>
    <w:semiHidden/>
    <w:qFormat/>
    <w:rPr>
      <w:b/>
      <w:bCs/>
      <w:sz w:val="21"/>
      <w:szCs w:val="22"/>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陈勇</cp:lastModifiedBy>
  <cp:revision>5</cp:revision>
  <dcterms:created xsi:type="dcterms:W3CDTF">2026-10-14T09:34:00Z</dcterms:created>
  <dcterms:modified xsi:type="dcterms:W3CDTF">2026-10-20T06:50:41Z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eyJoZGlkIjoiMDgzNzQ4MDMyZjM3MWUxZWIzN2E4YWJlZjJlNDkzMTUiLCJ1c2VySWQiOiI4Mjk0ODg1NjYifQ==</vt:lpwstr>
  </property>
  <property fmtid="{D5CDD505-2E9C-101B-9397-08002B2CF9AE}" pid="3" name="KSOProductBuildVer">
    <vt:lpwstr>2052-12.1.0.28599</vt:lpwstr>
  </property>
  <property fmtid="{D5CDD505-2E9C-101B-9397-08002B2CF9AE}" pid="4" name="ICV">
    <vt:lpwstr>B4F10EDC378A4CA1A5A3B2B2566DC7F2_13</vt:lpwstr>
  </property>
</Properties>
</file>