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3"/>
        <w:ind w:firstLine="0"/>
        <w:rPr>
          <w:rFonts w:hint="eastAsia" w:eastAsia="黑体"/>
          <w:b/>
          <w:bCs/>
          <w:color w:val="000000"/>
          <w:sz w:val="84"/>
          <w:highlight w:val="none"/>
        </w:rPr>
      </w:pPr>
      <w:r>
        <w:rPr>
          <w:rFonts w:hint="eastAsia" w:eastAsia="黑体"/>
          <w:b/>
          <w:bCs/>
          <w:color w:val="000000"/>
          <w:sz w:val="84"/>
          <w:highlight w:val="none"/>
        </w:rPr>
      </w:r>
      <w:r/>
    </w:p>
    <w:p>
      <w:pPr>
        <w:pStyle w:val="1073"/>
        <w:ind w:firstLine="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1073"/>
        <w:rPr>
          <w:rFonts w:hint="eastAsia"/>
          <w:b/>
          <w:bCs/>
          <w:color w:val="000000"/>
          <w:sz w:val="32"/>
          <w:highlight w:val="none"/>
        </w:rPr>
      </w:pPr>
      <w:r>
        <w:rPr>
          <w:rFonts w:hint="eastAsia"/>
          <w:b/>
          <w:bCs/>
          <w:color w:val="000000"/>
          <w:sz w:val="32"/>
          <w:highlight w:val="none"/>
        </w:rPr>
      </w:r>
      <w:r/>
    </w:p>
    <w:p>
      <w:pPr>
        <w:pStyle w:val="1073"/>
        <w:jc w:val="center"/>
        <w:rPr>
          <w:rFonts w:hint="eastAsia"/>
          <w:b/>
          <w:bCs/>
          <w:color w:val="000000"/>
          <w:sz w:val="32"/>
          <w:highlight w:val="none"/>
        </w:rPr>
      </w:pPr>
      <w:r>
        <w:rPr>
          <w:rFonts w:hint="eastAsia"/>
          <w:b/>
          <w:bCs/>
          <w:color w:val="000000"/>
          <w:sz w:val="32"/>
          <w:highlight w:val="none"/>
        </w:rPr>
      </w:r>
      <w:r/>
    </w:p>
    <w:p>
      <w:pPr>
        <w:pStyle w:val="1073"/>
        <w:jc w:val="center"/>
        <w:rPr>
          <w:rFonts w:hint="eastAsia"/>
          <w:b/>
          <w:bCs/>
          <w:color w:val="000000"/>
          <w:sz w:val="32"/>
          <w:highlight w:val="none"/>
        </w:rPr>
      </w:pPr>
      <w:r>
        <w:rPr>
          <w:rFonts w:hint="eastAsia"/>
          <w:b/>
          <w:bCs/>
          <w:color w:val="000000"/>
          <w:sz w:val="32"/>
          <w:highlight w:val="none"/>
        </w:rPr>
      </w:r>
      <w:r/>
    </w:p>
    <w:p>
      <w:pPr>
        <w:pStyle w:val="1073"/>
        <w:jc w:val="center"/>
        <w:rPr>
          <w:rFonts w:hint="eastAsia" w:eastAsia="宋体"/>
          <w:b/>
          <w:bCs/>
          <w:color w:val="000000"/>
          <w:sz w:val="32"/>
          <w:highlight w:val="none"/>
          <w:lang w:eastAsia="zh-CN"/>
        </w:rPr>
      </w:pPr>
      <w:r>
        <w:rPr>
          <w:rFonts w:hint="eastAsia"/>
          <w:b/>
          <w:bCs/>
          <w:color w:val="000000"/>
          <w:sz w:val="32"/>
          <w:highlight w:val="none"/>
        </w:rPr>
        <w:t xml:space="preserve">项目名称：</w:t>
      </w:r>
      <w:r>
        <w:rPr>
          <w:rFonts w:hint="eastAsia"/>
          <w:b/>
          <w:bCs/>
          <w:color w:val="000000"/>
          <w:sz w:val="32"/>
          <w:highlight w:val="none"/>
          <w:lang w:eastAsia="zh-CN"/>
        </w:rPr>
        <w:t xml:space="preserve">扬中市行政中心建筑综合能源服务项目</w:t>
      </w:r>
      <w:r>
        <w:rPr>
          <w:rFonts w:hint="eastAsia" w:eastAsia="宋体"/>
          <w:b/>
          <w:bCs/>
          <w:color w:val="000000"/>
          <w:sz w:val="32"/>
          <w:highlight w:val="none"/>
          <w:lang w:eastAsia="zh-CN"/>
        </w:rPr>
      </w:r>
      <w:r/>
    </w:p>
    <w:p>
      <w:pPr>
        <w:pStyle w:val="985"/>
        <w:jc w:val="center"/>
        <w:rPr>
          <w:b/>
          <w:color w:val="000000"/>
          <w:sz w:val="30"/>
          <w:szCs w:val="30"/>
          <w:highlight w:val="none"/>
        </w:rPr>
      </w:pPr>
      <w:r>
        <w:rPr>
          <w:rFonts w:hint="eastAsia"/>
          <w:b/>
          <w:bCs/>
          <w:color w:val="000000"/>
          <w:sz w:val="32"/>
          <w:highlight w:val="none"/>
        </w:rPr>
        <w:t xml:space="preserve">项目编号：</w:t>
      </w:r>
      <w:r>
        <w:rPr>
          <w:rFonts w:hint="eastAsia"/>
          <w:b/>
          <w:bCs/>
          <w:color w:val="000000"/>
          <w:sz w:val="32"/>
          <w:szCs w:val="32"/>
          <w:highlight w:val="none"/>
          <w:lang w:eastAsia="zh-CN"/>
        </w:rPr>
        <w:t xml:space="preserve">JSZC-321182-JJGS-G2026-0019</w:t>
      </w:r>
      <w:r>
        <w:rPr>
          <w:b/>
          <w:color w:val="000000"/>
          <w:sz w:val="30"/>
          <w:szCs w:val="30"/>
          <w:highlight w:val="none"/>
        </w:rPr>
      </w:r>
      <w:r/>
    </w:p>
    <w:p>
      <w:pPr>
        <w:pStyle w:val="985"/>
        <w:jc w:val="center"/>
        <w:rPr>
          <w:rFonts w:hint="eastAsia"/>
          <w:b/>
          <w:color w:val="000000"/>
          <w:sz w:val="30"/>
          <w:szCs w:val="30"/>
          <w:highlight w:val="none"/>
        </w:rPr>
      </w:pPr>
      <w:r>
        <w:rPr>
          <w:rFonts w:hint="eastAsia"/>
          <w:b/>
          <w:color w:val="000000"/>
          <w:sz w:val="30"/>
          <w:szCs w:val="30"/>
          <w:highlight w:val="none"/>
        </w:rPr>
        <w:t xml:space="preserve">（全流程电子化</w:t>
      </w:r>
      <w:r>
        <w:rPr>
          <w:b/>
          <w:color w:val="000000"/>
          <w:sz w:val="30"/>
          <w:szCs w:val="30"/>
          <w:highlight w:val="none"/>
        </w:rPr>
        <w:t xml:space="preserve">-</w:t>
      </w:r>
      <w:r>
        <w:rPr>
          <w:rFonts w:hint="eastAsia"/>
          <w:b/>
          <w:color w:val="000000"/>
          <w:sz w:val="30"/>
          <w:szCs w:val="30"/>
          <w:highlight w:val="none"/>
        </w:rPr>
        <w:t xml:space="preserve">服务类项目，适用苏采云系统）</w:t>
      </w:r>
      <w:r>
        <w:rPr>
          <w:rFonts w:hint="eastAsia"/>
          <w:b/>
          <w:color w:val="000000"/>
          <w:sz w:val="30"/>
          <w:szCs w:val="30"/>
          <w:highlight w:val="none"/>
        </w:rPr>
      </w:r>
      <w:r/>
    </w:p>
    <w:p>
      <w:pPr>
        <w:pStyle w:val="1073"/>
        <w:ind w:firstLine="0"/>
        <w:spacing w:before="0" w:after="0"/>
        <w:rPr>
          <w:rFonts w:hint="eastAsia" w:ascii="宋体" w:hAnsi="宋体"/>
          <w:color w:val="000000"/>
          <w:highlight w:val="none"/>
        </w:rPr>
      </w:pPr>
      <w:r>
        <w:rPr>
          <w:rFonts w:hint="eastAsia" w:ascii="宋体" w:hAnsi="宋体"/>
          <w:color w:val="000000"/>
          <w:highlight w:val="none"/>
        </w:rPr>
      </w:r>
      <w:r/>
    </w:p>
    <w:p>
      <w:pPr>
        <w:pStyle w:val="1073"/>
        <w:ind w:firstLine="0"/>
        <w:spacing w:before="0" w:after="0"/>
        <w:rPr>
          <w:rFonts w:hint="eastAsia" w:ascii="宋体" w:hAnsi="宋体"/>
          <w:color w:val="000000"/>
          <w:highlight w:val="none"/>
        </w:rPr>
      </w:pPr>
      <w:r>
        <w:rPr>
          <w:rFonts w:hint="eastAsia" w:ascii="宋体" w:hAnsi="宋体"/>
          <w:color w:val="000000"/>
          <w:highlight w:val="none"/>
        </w:rPr>
      </w:r>
      <w:r/>
    </w:p>
    <w:p>
      <w:pPr>
        <w:pStyle w:val="1073"/>
        <w:ind w:firstLine="0"/>
        <w:spacing w:before="0" w:after="0"/>
        <w:rPr>
          <w:rFonts w:hint="eastAsia" w:ascii="宋体" w:hAnsi="宋体"/>
          <w:color w:val="000000"/>
          <w:highlight w:val="none"/>
        </w:rPr>
      </w:pPr>
      <w:r>
        <w:rPr>
          <w:rFonts w:hint="eastAsia" w:ascii="宋体" w:hAnsi="宋体"/>
          <w:color w:val="000000"/>
          <w:highlight w:val="none"/>
        </w:rPr>
      </w:r>
      <w:r/>
    </w:p>
    <w:p>
      <w:pPr>
        <w:pStyle w:val="1073"/>
        <w:ind w:firstLine="0"/>
        <w:spacing w:before="0" w:after="0"/>
        <w:rPr>
          <w:rFonts w:hint="eastAsia" w:ascii="宋体" w:hAnsi="宋体"/>
          <w:color w:val="000000"/>
          <w:highlight w:val="none"/>
        </w:rPr>
      </w:pPr>
      <w:r>
        <w:rPr>
          <w:rFonts w:hint="eastAsia" w:ascii="宋体" w:hAnsi="宋体"/>
          <w:color w:val="000000"/>
          <w:highlight w:val="none"/>
        </w:rPr>
      </w:r>
      <w:r/>
    </w:p>
    <w:p>
      <w:pPr>
        <w:pStyle w:val="1073"/>
        <w:ind w:firstLine="0"/>
        <w:spacing w:before="0" w:after="0"/>
        <w:rPr>
          <w:rFonts w:hint="eastAsia" w:ascii="宋体" w:hAnsi="宋体"/>
          <w:color w:val="000000"/>
          <w:highlight w:val="none"/>
        </w:rPr>
      </w:pPr>
      <w:r>
        <w:rPr>
          <w:rFonts w:hint="eastAsia" w:ascii="宋体" w:hAnsi="宋体"/>
          <w:color w:val="000000"/>
          <w:highlight w:val="none"/>
        </w:rPr>
      </w:r>
      <w:r/>
    </w:p>
    <w:p>
      <w:pPr>
        <w:pStyle w:val="1073"/>
        <w:ind w:firstLine="0"/>
        <w:spacing w:before="0" w:after="0"/>
        <w:rPr>
          <w:rFonts w:hint="eastAsia" w:ascii="宋体" w:hAnsi="宋体"/>
          <w:color w:val="000000"/>
          <w:highlight w:val="none"/>
        </w:rPr>
      </w:pPr>
      <w:r>
        <w:rPr>
          <w:rFonts w:hint="eastAsia" w:ascii="宋体" w:hAnsi="宋体"/>
          <w:color w:val="000000"/>
          <w:highlight w:val="none"/>
        </w:rPr>
      </w:r>
      <w:r/>
    </w:p>
    <w:p>
      <w:pPr>
        <w:pStyle w:val="985"/>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rPr>
        <w:t xml:space="preserve">江苏金居工程项目管理有限公司</w:t>
      </w:r>
      <w:r>
        <w:rPr>
          <w:rFonts w:hint="eastAsia" w:ascii="Arial" w:hAnsi="Arial"/>
          <w:b/>
          <w:bCs/>
          <w:color w:val="000000"/>
          <w:sz w:val="32"/>
          <w:szCs w:val="32"/>
          <w:highlight w:val="none"/>
        </w:rPr>
      </w:r>
      <w:r/>
    </w:p>
    <w:p>
      <w:pPr>
        <w:pStyle w:val="985"/>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lang w:eastAsia="zh-CN"/>
        </w:rPr>
        <w:t xml:space="preserve">2026</w:t>
      </w:r>
      <w:r>
        <w:rPr>
          <w:rFonts w:hint="eastAsia" w:ascii="Arial" w:hAnsi="Arial"/>
          <w:b/>
          <w:bCs/>
          <w:color w:val="000000"/>
          <w:sz w:val="32"/>
          <w:szCs w:val="32"/>
          <w:highlight w:val="none"/>
        </w:rPr>
        <w:t xml:space="preserve">年</w:t>
      </w:r>
      <w:r>
        <w:rPr>
          <w:rFonts w:hint="eastAsia" w:ascii="Arial" w:hAnsi="Arial"/>
          <w:b/>
          <w:bCs/>
          <w:color w:val="000000"/>
          <w:sz w:val="32"/>
          <w:szCs w:val="32"/>
          <w:highlight w:val="none"/>
          <w:lang w:val="en-US" w:eastAsia="zh-CN"/>
        </w:rPr>
        <w:t xml:space="preserve">10</w:t>
      </w:r>
      <w:r>
        <w:rPr>
          <w:rFonts w:hint="eastAsia" w:ascii="Arial" w:hAnsi="Arial"/>
          <w:b/>
          <w:bCs/>
          <w:color w:val="000000"/>
          <w:sz w:val="32"/>
          <w:szCs w:val="32"/>
          <w:highlight w:val="none"/>
        </w:rPr>
        <w:t xml:space="preserve">月</w:t>
      </w:r>
      <w:r>
        <w:rPr>
          <w:rFonts w:hint="eastAsia" w:ascii="Arial" w:hAnsi="Arial"/>
          <w:b/>
          <w:bCs/>
          <w:color w:val="000000"/>
          <w:sz w:val="32"/>
          <w:szCs w:val="32"/>
          <w:highlight w:val="none"/>
          <w:lang w:val="en-US" w:eastAsia="zh-CN"/>
        </w:rPr>
        <w:t xml:space="preserve">10</w:t>
      </w:r>
      <w:r>
        <w:rPr>
          <w:rFonts w:hint="eastAsia" w:ascii="Arial" w:hAnsi="Arial"/>
          <w:b/>
          <w:bCs/>
          <w:color w:val="000000"/>
          <w:sz w:val="32"/>
          <w:szCs w:val="32"/>
          <w:highlight w:val="none"/>
        </w:rPr>
        <w:t xml:space="preserve">日</w:t>
      </w:r>
      <w:r>
        <w:rPr>
          <w:rFonts w:hint="eastAsia" w:ascii="Arial" w:hAnsi="Arial"/>
          <w:b/>
          <w:bCs/>
          <w:color w:val="000000"/>
          <w:sz w:val="32"/>
          <w:szCs w:val="32"/>
          <w:highlight w:val="none"/>
        </w:rPr>
      </w:r>
      <w:r/>
    </w:p>
    <w:p>
      <w:pPr>
        <w:pStyle w:val="1073"/>
        <w:ind w:firstLine="0"/>
        <w:jc w:val="center"/>
        <w:rPr>
          <w:rFonts w:hint="eastAsia"/>
          <w:color w:val="000000"/>
          <w:highlight w:val="none"/>
        </w:rPr>
      </w:pPr>
      <w:r>
        <w:rPr>
          <w:rFonts w:hint="eastAsia"/>
          <w:color w:val="000000"/>
          <w:highlight w:val="none"/>
        </w:rPr>
      </w:r>
      <w:r/>
    </w:p>
    <w:p>
      <w:pPr>
        <w:pStyle w:val="985"/>
        <w:jc w:val="center"/>
        <w:spacing w:line="480" w:lineRule="auto"/>
        <w:rPr>
          <w:rFonts w:hint="eastAsia" w:ascii="黑体" w:hAnsi="Arial" w:eastAsia="黑体"/>
          <w:b/>
          <w:color w:val="000000"/>
          <w:sz w:val="44"/>
          <w:highlight w:val="none"/>
        </w:rPr>
        <w:outlineLvl w:val="0"/>
      </w:pPr>
      <w:r>
        <w:rPr>
          <w:color w:val="000000"/>
          <w:highlight w:val="none"/>
        </w:rPr>
        <w:br w:type="page" w:clear="all"/>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985"/>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985"/>
        <w:numPr>
          <w:ilvl w:val="0"/>
          <w:numId w:val="4"/>
        </w:numPr>
        <w:spacing w:line="480" w:lineRule="auto"/>
        <w:tabs>
          <w:tab w:val="left" w:pos="1440" w:leader="none"/>
        </w:tabs>
        <w:rPr>
          <w:rFonts w:hint="eastAsia" w:ascii="黑体" w:hAnsi="Showcard Gothic" w:eastAsia="黑体"/>
          <w:color w:val="000000"/>
          <w:sz w:val="32"/>
          <w:highlight w:val="none"/>
        </w:rPr>
        <w:outlineLvl w:val="0"/>
      </w:pPr>
      <w:r>
        <w:rPr>
          <w:rFonts w:hint="eastAsia" w:ascii="黑体" w:hAnsi="宋体" w:eastAsia="黑体"/>
          <w:color w:val="000000"/>
          <w:sz w:val="36"/>
          <w:highlight w:val="none"/>
        </w:rPr>
        <w:t xml:space="preserve">投标邀请</w:t>
      </w:r>
      <w:r>
        <w:rPr>
          <w:rFonts w:hint="eastAsia" w:ascii="黑体" w:hAnsi="Showcard Gothic" w:eastAsia="黑体"/>
          <w:color w:val="000000"/>
          <w:sz w:val="36"/>
          <w:highlight w:val="none"/>
        </w:rPr>
        <w:t xml:space="preserve">…………………………………… </w:t>
      </w:r>
      <w:r>
        <w:rPr>
          <w:rFonts w:hint="eastAsia" w:ascii="黑体" w:hAnsi="Showcard Gothic" w:eastAsia="黑体"/>
          <w:color w:val="000000"/>
          <w:sz w:val="32"/>
          <w:highlight w:val="none"/>
        </w:rPr>
      </w:r>
      <w:r/>
    </w:p>
    <w:p>
      <w:pPr>
        <w:pStyle w:val="98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  </w:t>
      </w:r>
      <w:r>
        <w:rPr>
          <w:rFonts w:hint="eastAsia" w:ascii="黑体" w:hAnsi="Showcard Gothic" w:eastAsia="黑体"/>
          <w:color w:val="000000"/>
          <w:sz w:val="36"/>
          <w:highlight w:val="none"/>
        </w:rPr>
      </w:r>
      <w:r/>
    </w:p>
    <w:p>
      <w:pPr>
        <w:pStyle w:val="98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rPr>
      </w:r>
      <w:r/>
    </w:p>
    <w:p>
      <w:pPr>
        <w:pStyle w:val="98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采购需求</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rPr>
      </w:r>
      <w:r/>
    </w:p>
    <w:p>
      <w:pPr>
        <w:pStyle w:val="98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rPr>
      </w:r>
      <w:r/>
    </w:p>
    <w:p>
      <w:pPr>
        <w:pStyle w:val="98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投标文件格式</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5"/>
        <w:rPr>
          <w:rFonts w:hint="eastAsia"/>
          <w:color w:val="000000"/>
          <w:highlight w:val="none"/>
        </w:rPr>
      </w:pPr>
      <w:r>
        <w:rPr>
          <w:rFonts w:hint="eastAsia"/>
          <w:color w:val="000000"/>
          <w:highlight w:val="none"/>
        </w:rPr>
      </w:r>
      <w:r/>
    </w:p>
    <w:p>
      <w:pPr>
        <w:pStyle w:val="986"/>
        <w:jc w:val="center"/>
        <w:spacing w:before="145" w:after="145" w:line="440" w:lineRule="exact"/>
        <w:rPr>
          <w:rFonts w:hint="eastAsia" w:ascii="黑体" w:eastAsia="黑体"/>
          <w:bCs/>
          <w:color w:val="000000"/>
          <w:sz w:val="32"/>
          <w:szCs w:val="32"/>
          <w:highlight w:val="none"/>
        </w:rPr>
      </w:pPr>
      <w:r>
        <w:rPr>
          <w:rFonts w:hint="eastAsia" w:ascii="黑体" w:eastAsia="黑体"/>
          <w:color w:val="000000"/>
          <w:sz w:val="32"/>
          <w:szCs w:val="32"/>
          <w:highlight w:val="none"/>
        </w:rPr>
        <w:br w:type="page" w:clear="all"/>
      </w:r>
      <w:r>
        <w:rPr>
          <w:rFonts w:hint="eastAsia" w:ascii="黑体" w:eastAsia="黑体"/>
          <w:color w:val="000000"/>
          <w:sz w:val="32"/>
          <w:szCs w:val="32"/>
          <w:highlight w:val="none"/>
        </w:rPr>
        <w:t xml:space="preserve">第一章  </w:t>
      </w:r>
      <w:bookmarkEnd w:id="0"/>
      <w:r>
        <w:rPr>
          <w:rFonts w:hint="eastAsia" w:ascii="黑体" w:eastAsia="黑体"/>
          <w:color w:val="000000"/>
          <w:sz w:val="32"/>
          <w:szCs w:val="32"/>
          <w:highlight w:val="none"/>
        </w:rPr>
        <w:t xml:space="preserve">投标邀请</w:t>
      </w:r>
      <w:r>
        <w:rPr>
          <w:rFonts w:hint="eastAsia" w:ascii="黑体" w:eastAsia="黑体"/>
          <w:bCs/>
          <w:color w:val="000000"/>
          <w:sz w:val="32"/>
          <w:szCs w:val="32"/>
          <w:highlight w:val="none"/>
        </w:rPr>
      </w:r>
      <w:r/>
    </w:p>
    <w:p>
      <w:pPr>
        <w:pStyle w:val="98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受[扬中市机关事务管理中心]的委托，就[</w:t>
      </w:r>
      <w:r>
        <w:rPr>
          <w:rFonts w:hint="eastAsia" w:ascii="宋体" w:hAnsi="宋体"/>
          <w:color w:val="000000"/>
          <w:sz w:val="24"/>
          <w:szCs w:val="24"/>
          <w:highlight w:val="none"/>
          <w:lang w:eastAsia="zh-CN"/>
        </w:rPr>
        <w:t xml:space="preserve">扬中市行政中心建筑综合能源服务项目</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JSZC-321182-JJGS-G2026-0019</w:t>
      </w:r>
      <w:r>
        <w:rPr>
          <w:rFonts w:hint="eastAsia" w:ascii="宋体" w:hAnsi="宋体"/>
          <w:color w:val="000000"/>
          <w:sz w:val="24"/>
          <w:szCs w:val="24"/>
          <w:highlight w:val="none"/>
        </w:rPr>
        <w:t xml:space="preserve">])项目进行公开招标采购，欢迎符合条件的供应商投标。</w:t>
      </w:r>
      <w:r>
        <w:rPr>
          <w:rFonts w:ascii="宋体" w:hAnsi="宋体"/>
          <w:color w:val="000000"/>
          <w:sz w:val="24"/>
          <w:szCs w:val="24"/>
          <w:highlight w:val="none"/>
        </w:rPr>
      </w:r>
      <w:r/>
    </w:p>
    <w:p>
      <w:pPr>
        <w:pStyle w:val="985"/>
        <w:ind w:firstLine="480"/>
        <w:spacing w:line="44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985"/>
        <w:ind w:firstLine="480"/>
        <w:spacing w:line="440" w:lineRule="exact"/>
        <w:rPr>
          <w:rFonts w:ascii="宋体" w:hAnsi="宋体"/>
          <w:color w:val="000000"/>
          <w:sz w:val="24"/>
          <w:szCs w:val="24"/>
          <w:highlight w:val="yellow"/>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扬中市行政中心建筑综合能源服务项目</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 招标项目的潜在投标人可在</w:t>
      </w:r>
      <w:r>
        <w:rPr>
          <w:rFonts w:hint="eastAsia" w:ascii="宋体" w:hAnsi="宋体"/>
          <w:color w:val="000000"/>
          <w:sz w:val="24"/>
          <w:szCs w:val="24"/>
          <w:highlight w:val="none"/>
          <w:u w:val="single"/>
        </w:rPr>
        <w:t xml:space="preserve">“江苏政府采购网”http://jszfcg.jscz.gov.cn/jszc/login自行免费下载</w:t>
      </w:r>
      <w:r>
        <w:rPr>
          <w:rFonts w:hint="eastAsia" w:ascii="宋体" w:hAnsi="宋体"/>
          <w:color w:val="000000"/>
          <w:sz w:val="24"/>
          <w:szCs w:val="24"/>
          <w:highlight w:val="none"/>
        </w:rPr>
        <w:t xml:space="preserve">招标文件，</w:t>
      </w:r>
      <w:r>
        <w:rPr>
          <w:rFonts w:hint="eastAsia" w:ascii="宋体" w:hAnsi="宋体"/>
          <w:b/>
          <w:bCs/>
          <w:color w:val="0000ff"/>
          <w:sz w:val="24"/>
          <w:szCs w:val="24"/>
          <w:highlight w:val="yellow"/>
        </w:rPr>
        <w:t xml:space="preserve">并于</w:t>
      </w:r>
      <w:r>
        <w:rPr>
          <w:rFonts w:hint="eastAsia" w:ascii="宋体" w:hAnsi="宋体"/>
          <w:b/>
          <w:bCs/>
          <w:color w:val="0000ff"/>
          <w:sz w:val="24"/>
          <w:szCs w:val="24"/>
          <w:highlight w:val="yellow"/>
          <w:u w:val="single"/>
          <w:lang w:eastAsia="zh-CN"/>
        </w:rPr>
        <w:t xml:space="preserve">2026</w:t>
      </w:r>
      <w:r>
        <w:rPr>
          <w:rFonts w:hint="eastAsia" w:ascii="宋体" w:hAnsi="宋体"/>
          <w:b/>
          <w:bCs/>
          <w:color w:val="0000ff"/>
          <w:sz w:val="24"/>
          <w:szCs w:val="24"/>
          <w:highlight w:val="yellow"/>
          <w:u w:val="single"/>
        </w:rPr>
        <w:t xml:space="preserve">年</w:t>
      </w:r>
      <w:r>
        <w:rPr>
          <w:rFonts w:hint="eastAsia" w:ascii="宋体" w:hAnsi="宋体"/>
          <w:b/>
          <w:bCs/>
          <w:color w:val="0000ff"/>
          <w:sz w:val="24"/>
          <w:szCs w:val="24"/>
          <w:highlight w:val="yellow"/>
          <w:u w:val="single"/>
          <w:lang w:val="en-US" w:eastAsia="zh-CN"/>
        </w:rPr>
        <w:t xml:space="preserve">11</w:t>
      </w:r>
      <w:r>
        <w:rPr>
          <w:rFonts w:hint="eastAsia" w:ascii="宋体" w:hAnsi="宋体"/>
          <w:b/>
          <w:bCs/>
          <w:color w:val="0000ff"/>
          <w:sz w:val="24"/>
          <w:szCs w:val="24"/>
          <w:highlight w:val="yellow"/>
          <w:u w:val="single"/>
        </w:rPr>
        <w:t xml:space="preserve">月</w:t>
      </w:r>
      <w:r>
        <w:rPr>
          <w:rFonts w:hint="eastAsia" w:ascii="宋体" w:hAnsi="宋体"/>
          <w:b/>
          <w:bCs/>
          <w:color w:val="0000ff"/>
          <w:sz w:val="24"/>
          <w:szCs w:val="24"/>
          <w:highlight w:val="yellow"/>
          <w:u w:val="single"/>
          <w:lang w:val="en-US" w:eastAsia="zh-CN"/>
        </w:rPr>
        <w:t xml:space="preserve">2</w:t>
      </w:r>
      <w:r>
        <w:rPr>
          <w:rFonts w:hint="eastAsia" w:ascii="宋体" w:hAnsi="宋体"/>
          <w:b/>
          <w:bCs/>
          <w:color w:val="0000ff"/>
          <w:sz w:val="24"/>
          <w:szCs w:val="24"/>
          <w:highlight w:val="yellow"/>
          <w:u w:val="single"/>
        </w:rPr>
        <w:t xml:space="preserve">日</w:t>
      </w:r>
      <w:r>
        <w:rPr>
          <w:rFonts w:hint="eastAsia" w:ascii="宋体" w:hAnsi="宋体"/>
          <w:b/>
          <w:bCs/>
          <w:color w:val="0000ff"/>
          <w:sz w:val="24"/>
          <w:szCs w:val="24"/>
          <w:highlight w:val="yellow"/>
          <w:u w:val="single"/>
          <w:lang w:val="en-US" w:eastAsia="zh-CN"/>
        </w:rPr>
        <w:t xml:space="preserve">14</w:t>
      </w:r>
      <w:r>
        <w:rPr>
          <w:rFonts w:hint="eastAsia" w:ascii="宋体" w:hAnsi="宋体"/>
          <w:b/>
          <w:bCs/>
          <w:color w:val="0000ff"/>
          <w:sz w:val="24"/>
          <w:szCs w:val="24"/>
          <w:highlight w:val="yellow"/>
          <w:u w:val="single"/>
        </w:rPr>
        <w:t xml:space="preserve">点</w:t>
      </w:r>
      <w:r>
        <w:rPr>
          <w:rFonts w:hint="eastAsia" w:ascii="宋体" w:hAnsi="宋体"/>
          <w:b/>
          <w:bCs/>
          <w:color w:val="0000ff"/>
          <w:sz w:val="24"/>
          <w:szCs w:val="24"/>
          <w:highlight w:val="yellow"/>
          <w:u w:val="single"/>
          <w:lang w:val="en-US" w:eastAsia="zh-CN"/>
        </w:rPr>
        <w:t xml:space="preserve">30</w:t>
      </w:r>
      <w:r>
        <w:rPr>
          <w:rFonts w:hint="eastAsia" w:ascii="宋体" w:hAnsi="宋体"/>
          <w:b/>
          <w:bCs/>
          <w:color w:val="0000ff"/>
          <w:sz w:val="24"/>
          <w:szCs w:val="24"/>
          <w:highlight w:val="yellow"/>
          <w:u w:val="single"/>
        </w:rPr>
        <w:t xml:space="preserve">分（</w:t>
      </w:r>
      <w:r>
        <w:rPr>
          <w:rFonts w:hint="eastAsia" w:ascii="宋体" w:hAnsi="宋体"/>
          <w:b/>
          <w:bCs/>
          <w:color w:val="0000ff"/>
          <w:sz w:val="24"/>
          <w:szCs w:val="24"/>
          <w:highlight w:val="yellow"/>
        </w:rPr>
        <w:t xml:space="preserve">北京时间）前递交投标</w:t>
      </w:r>
      <w:r>
        <w:rPr>
          <w:rFonts w:ascii="宋体" w:hAnsi="宋体"/>
          <w:b/>
          <w:bCs/>
          <w:color w:val="0000ff"/>
          <w:sz w:val="24"/>
          <w:szCs w:val="24"/>
          <w:highlight w:val="yellow"/>
        </w:rPr>
        <w:t xml:space="preserve">文件</w:t>
      </w:r>
      <w:r>
        <w:rPr>
          <w:rFonts w:hint="eastAsia" w:ascii="宋体" w:hAnsi="宋体"/>
          <w:b/>
          <w:bCs/>
          <w:color w:val="0000ff"/>
          <w:sz w:val="24"/>
          <w:szCs w:val="24"/>
          <w:highlight w:val="yellow"/>
        </w:rPr>
        <w:t xml:space="preserve">。</w:t>
      </w:r>
      <w:r>
        <w:rPr>
          <w:highlight w:val="yellow"/>
        </w:rPr>
      </w:r>
      <w:r/>
    </w:p>
    <w:p>
      <w:pPr>
        <w:pStyle w:val="988"/>
        <w:ind w:firstLine="373"/>
        <w:spacing w:before="145" w:after="145" w:line="440" w:lineRule="exact"/>
        <w:rPr>
          <w:color w:val="000000"/>
          <w:sz w:val="24"/>
          <w:szCs w:val="24"/>
          <w:highlight w:val="none"/>
        </w:rPr>
      </w:pPr>
      <w:r/>
      <w:bookmarkStart w:id="6" w:name="_Toc35393790"/>
      <w:r/>
      <w:bookmarkStart w:id="7" w:name="_Toc28359002"/>
      <w:r/>
      <w:bookmarkStart w:id="8" w:name="_Toc28359079"/>
      <w:r/>
      <w:bookmarkStart w:id="9" w:name="_Toc35393621"/>
      <w:r/>
      <w:bookmarkStart w:id="10" w:name="_Toc38985263"/>
      <w:r/>
      <w:bookmarkStart w:id="11" w:name="_Hlk24379207"/>
      <w:r>
        <w:rPr>
          <w:rFonts w:hint="eastAsia"/>
          <w:color w:val="000000"/>
          <w:sz w:val="24"/>
          <w:szCs w:val="24"/>
          <w:highlight w:val="none"/>
        </w:rPr>
        <w:t xml:space="preserve">一、项目基本情况</w:t>
      </w:r>
      <w:bookmarkEnd w:id="6"/>
      <w:r/>
      <w:bookmarkEnd w:id="7"/>
      <w:r/>
      <w:bookmarkEnd w:id="8"/>
      <w:r/>
      <w:bookmarkEnd w:id="9"/>
      <w:r/>
      <w:bookmarkEnd w:id="10"/>
      <w:r>
        <w:rPr>
          <w:color w:val="000000"/>
          <w:sz w:val="24"/>
          <w:szCs w:val="24"/>
          <w:highlight w:val="none"/>
        </w:rPr>
      </w:r>
      <w:r/>
    </w:p>
    <w:p>
      <w:pPr>
        <w:pStyle w:val="985"/>
        <w:ind w:firstLine="480"/>
        <w:spacing w:line="440" w:lineRule="exact"/>
        <w:rPr>
          <w:rFonts w:ascii="宋体" w:hAnsi="宋体"/>
          <w:color w:val="000000"/>
          <w:sz w:val="24"/>
          <w:szCs w:val="24"/>
          <w:highlight w:val="none"/>
        </w:rPr>
      </w:pPr>
      <w:r/>
      <w:bookmarkEnd w:id="11"/>
      <w:r/>
      <w:bookmarkStart w:id="12" w:name="_Toc38985264"/>
      <w:r/>
      <w:bookmarkStart w:id="13" w:name="_Toc35393791"/>
      <w:r/>
      <w:bookmarkStart w:id="14" w:name="_Toc28359003"/>
      <w:r/>
      <w:bookmarkStart w:id="15" w:name="_Toc35393622"/>
      <w:r/>
      <w:bookmarkStart w:id="16" w:name="_Toc28359080"/>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JSZC-321182-JJGS-G2026-0019；</w:t>
      </w:r>
      <w:r>
        <w:rPr>
          <w:rFonts w:ascii="宋体" w:hAnsi="宋体"/>
          <w:color w:val="000000"/>
          <w:sz w:val="24"/>
          <w:szCs w:val="24"/>
          <w:highlight w:val="none"/>
        </w:rPr>
      </w:r>
      <w:r/>
    </w:p>
    <w:p>
      <w:pPr>
        <w:pStyle w:val="985"/>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扬中市行政中心建筑综合能源服务项目；</w:t>
      </w:r>
      <w:r>
        <w:rPr>
          <w:rFonts w:hint="eastAsia" w:ascii="宋体" w:hAnsi="宋体" w:eastAsia="宋体"/>
          <w:color w:val="000000"/>
          <w:sz w:val="24"/>
          <w:szCs w:val="24"/>
          <w:highlight w:val="none"/>
          <w:lang w:eastAsia="zh-CN"/>
        </w:rPr>
      </w:r>
      <w:r/>
    </w:p>
    <w:p>
      <w:pPr>
        <w:pStyle w:val="985"/>
        <w:ind w:firstLine="482"/>
        <w:spacing w:line="440" w:lineRule="exact"/>
        <w:rPr>
          <w:rFonts w:hint="eastAsia" w:ascii="宋体" w:hAnsi="宋体" w:eastAsia="宋体"/>
          <w:b/>
          <w:bCs/>
          <w:color w:val="000000"/>
          <w:sz w:val="24"/>
          <w:szCs w:val="24"/>
          <w:highlight w:val="none"/>
          <w:lang w:val="en-US" w:eastAsia="zh-CN"/>
        </w:rPr>
      </w:pPr>
      <w:r>
        <w:rPr>
          <w:rFonts w:hint="eastAsia" w:ascii="宋体" w:hAnsi="宋体"/>
          <w:b/>
          <w:bCs/>
          <w:color w:val="000000"/>
          <w:sz w:val="24"/>
          <w:szCs w:val="24"/>
          <w:highlight w:val="none"/>
        </w:rPr>
        <w:t xml:space="preserve">3.预算金额：</w:t>
      </w:r>
      <w:r>
        <w:rPr>
          <w:rFonts w:hint="eastAsia" w:ascii="宋体" w:hAnsi="宋体"/>
          <w:b/>
          <w:bCs/>
          <w:color w:val="000000"/>
          <w:sz w:val="24"/>
          <w:szCs w:val="24"/>
          <w:highlight w:val="none"/>
          <w:lang w:val="en-US" w:eastAsia="zh-CN"/>
        </w:rPr>
        <w:t xml:space="preserve">315.2万元/年，10年共计3152万元；</w:t>
      </w:r>
      <w:r>
        <w:rPr>
          <w:rFonts w:hint="eastAsia" w:ascii="宋体" w:hAnsi="宋体" w:eastAsia="宋体"/>
          <w:b/>
          <w:bCs/>
          <w:color w:val="000000"/>
          <w:sz w:val="24"/>
          <w:szCs w:val="24"/>
          <w:highlight w:val="none"/>
          <w:lang w:val="en-US" w:eastAsia="zh-CN"/>
        </w:rPr>
      </w:r>
      <w:r/>
    </w:p>
    <w:p>
      <w:pPr>
        <w:pStyle w:val="985"/>
        <w:ind w:firstLine="482"/>
        <w:spacing w:line="440" w:lineRule="exact"/>
        <w:rPr>
          <w:rFonts w:hint="eastAsia" w:ascii="宋体" w:hAnsi="宋体"/>
          <w:b/>
          <w:bCs/>
          <w:color w:val="000000"/>
          <w:sz w:val="24"/>
          <w:szCs w:val="24"/>
          <w:highlight w:val="none"/>
          <w:u w:val="single"/>
        </w:rPr>
      </w:pPr>
      <w:r>
        <w:rPr>
          <w:rFonts w:hint="eastAsia" w:ascii="宋体" w:hAnsi="宋体"/>
          <w:b/>
          <w:bCs/>
          <w:color w:val="000000"/>
          <w:sz w:val="24"/>
          <w:szCs w:val="24"/>
          <w:highlight w:val="none"/>
        </w:rPr>
        <w:t xml:space="preserve">4.本项目（设定）最高限价，最高限价为</w:t>
      </w:r>
      <w:r>
        <w:rPr>
          <w:rFonts w:hint="eastAsia" w:ascii="宋体" w:hAnsi="宋体"/>
          <w:b/>
          <w:bCs/>
          <w:color w:val="000000"/>
          <w:sz w:val="24"/>
          <w:szCs w:val="24"/>
          <w:highlight w:val="none"/>
          <w:u w:val="single"/>
        </w:rPr>
        <w:t xml:space="preserve"> 3</w:t>
      </w:r>
      <w:r>
        <w:rPr>
          <w:rFonts w:hint="eastAsia" w:ascii="宋体" w:hAnsi="宋体"/>
          <w:b/>
          <w:bCs/>
          <w:color w:val="000000"/>
          <w:sz w:val="24"/>
          <w:szCs w:val="24"/>
          <w:highlight w:val="none"/>
          <w:u w:val="single"/>
          <w:lang w:val="en-US" w:eastAsia="zh-CN"/>
        </w:rPr>
        <w:t xml:space="preserve">15</w:t>
      </w:r>
      <w:r>
        <w:rPr>
          <w:rFonts w:hint="eastAsia" w:ascii="宋体" w:hAnsi="宋体"/>
          <w:b/>
          <w:bCs/>
          <w:color w:val="000000"/>
          <w:sz w:val="24"/>
          <w:szCs w:val="24"/>
          <w:highlight w:val="none"/>
          <w:u w:val="single"/>
        </w:rPr>
        <w:t xml:space="preserve">万元/年，10年共计</w:t>
      </w:r>
      <w:r>
        <w:rPr>
          <w:rFonts w:hint="eastAsia" w:ascii="宋体" w:hAnsi="宋体"/>
          <w:b/>
          <w:bCs/>
          <w:color w:val="000000"/>
          <w:sz w:val="24"/>
          <w:szCs w:val="24"/>
          <w:highlight w:val="none"/>
          <w:u w:val="single"/>
          <w:lang w:val="en-US" w:eastAsia="zh-CN"/>
        </w:rPr>
        <w:t xml:space="preserve">315</w:t>
      </w:r>
      <w:r>
        <w:rPr>
          <w:rFonts w:hint="eastAsia" w:ascii="宋体" w:hAnsi="宋体"/>
          <w:b/>
          <w:bCs/>
          <w:color w:val="000000"/>
          <w:sz w:val="24"/>
          <w:szCs w:val="24"/>
          <w:highlight w:val="none"/>
          <w:u w:val="single"/>
        </w:rPr>
        <w:t xml:space="preserve">0万元；</w:t>
      </w:r>
      <w:r>
        <w:rPr>
          <w:rFonts w:hint="eastAsia" w:ascii="宋体" w:hAnsi="宋体"/>
          <w:b/>
          <w:bCs/>
          <w:color w:val="000000"/>
          <w:sz w:val="24"/>
          <w:szCs w:val="24"/>
          <w:highlight w:val="none"/>
          <w:u w:val="single"/>
        </w:rPr>
      </w:r>
      <w:r/>
    </w:p>
    <w:p>
      <w:pPr>
        <w:pStyle w:val="985"/>
        <w:ind w:firstLine="480"/>
        <w:spacing w:line="440" w:lineRule="exact"/>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5.采购需求(简介)：扬中市政府位于江苏省镇江市扬中市中电大道8号，为扬中市核心政务办公枢纽，2008年正式投入使用。园区总占地面积248亩，包含主楼、会议中心、档案馆、审批中心等共9栋办公楼。总建筑面积67291m，其中地上63431m2、地下3860m2，中央空调供冷(暖)面积约6.2万m，是典型的大型公共建筑用能单位。建筑功能覆盖行政办公、会议接待、政务服务、档案管理等。本项目旨在通过实施技术、专业化能源管理解决方案，采用能源费用托管型管理方式。</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按照协议约定向供应商支付能源费用托管服务费。供应商负责实施能源系统改造及相关设备运维，同时缴纳本项目能源托管期内的相关费用（电费、水费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天然气费</w:t>
      </w:r>
      <w:r>
        <w:rPr>
          <w:rFonts w:hint="eastAsia" w:ascii="宋体" w:hAnsi="宋体"/>
          <w:color w:val="000000"/>
          <w:sz w:val="24"/>
          <w:szCs w:val="24"/>
          <w:highlight w:val="none"/>
        </w:rPr>
        <w:t xml:space="preserve">）。项目由节能技改、运维及相关服务、能耗监控平台建设三大部分组成，包括与之相关的设计、采购、施工、能耗监控平台开发建设等。</w:t>
      </w:r>
      <w:r>
        <w:rPr>
          <w:rFonts w:hint="eastAsia" w:ascii="宋体" w:hAnsi="宋体" w:cs="宋体"/>
          <w:color w:val="000000"/>
          <w:sz w:val="24"/>
          <w:highlight w:val="none"/>
        </w:rPr>
        <w:t xml:space="preserve">改造项目的投资规模由投标人自行控制，托管期内的经济效益风险由投标人自行承担。</w:t>
      </w:r>
      <w:r>
        <w:rPr>
          <w:rFonts w:hint="eastAsia" w:ascii="宋体" w:hAnsi="宋体" w:cs="宋体"/>
          <w:color w:val="000000"/>
          <w:sz w:val="24"/>
          <w:szCs w:val="24"/>
          <w:highlight w:val="none"/>
        </w:rPr>
        <w:t xml:space="preserve">详细内容见本招标文件第四章</w:t>
      </w:r>
      <w:r>
        <w:rPr>
          <w:rFonts w:hint="eastAsia" w:ascii="宋体" w:hAnsi="宋体" w:cs="宋体"/>
          <w:color w:val="000000"/>
          <w:sz w:val="24"/>
          <w:szCs w:val="24"/>
          <w:highlight w:val="none"/>
          <w:lang w:eastAsia="zh-CN"/>
        </w:rPr>
        <w:t xml:space="preserve">；</w:t>
      </w:r>
      <w:r>
        <w:rPr>
          <w:rFonts w:hint="eastAsia" w:ascii="宋体" w:hAnsi="宋体" w:eastAsia="宋体"/>
          <w:color w:val="000000"/>
          <w:sz w:val="24"/>
          <w:szCs w:val="24"/>
          <w:highlight w:val="none"/>
          <w:u w:val="single"/>
          <w:lang w:eastAsia="zh-CN"/>
        </w:rPr>
      </w:r>
      <w:r/>
    </w:p>
    <w:p>
      <w:pPr>
        <w:pStyle w:val="98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合同履行期限：</w:t>
      </w:r>
      <w:r>
        <w:rPr>
          <w:rFonts w:hint="eastAsia" w:ascii="宋体" w:hAnsi="宋体"/>
          <w:color w:val="000000"/>
          <w:sz w:val="24"/>
          <w:szCs w:val="24"/>
          <w:highlight w:val="none"/>
          <w:lang w:val="en-US" w:eastAsia="zh-CN"/>
        </w:rPr>
        <w:t xml:space="preserve">合作期限10</w:t>
      </w:r>
      <w:r>
        <w:rPr>
          <w:rFonts w:hint="eastAsia" w:ascii="宋体" w:hAnsi="宋体"/>
          <w:color w:val="000000"/>
          <w:sz w:val="24"/>
          <w:szCs w:val="24"/>
          <w:highlight w:val="none"/>
        </w:rPr>
        <w:t xml:space="preserve">年；</w:t>
      </w:r>
      <w:r>
        <w:rPr>
          <w:rFonts w:ascii="宋体" w:hAnsi="宋体"/>
          <w:color w:val="000000"/>
          <w:sz w:val="24"/>
          <w:szCs w:val="24"/>
          <w:highlight w:val="none"/>
        </w:rPr>
      </w:r>
      <w:r/>
    </w:p>
    <w:p>
      <w:pPr>
        <w:pStyle w:val="985"/>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7. 本项目是否仅面向中小微企业采购：是□  否</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88"/>
        <w:ind w:firstLine="373"/>
        <w:spacing w:before="145" w:after="145" w:line="440" w:lineRule="exact"/>
        <w:rPr>
          <w:color w:val="000000"/>
          <w:sz w:val="24"/>
          <w:szCs w:val="24"/>
          <w:highlight w:val="none"/>
        </w:rPr>
      </w:pPr>
      <w:r>
        <w:rPr>
          <w:rFonts w:hint="eastAsia"/>
          <w:color w:val="000000"/>
          <w:sz w:val="24"/>
          <w:szCs w:val="24"/>
          <w:highlight w:val="none"/>
        </w:rPr>
        <w:t xml:space="preserve">二、申请人的资格要求</w:t>
      </w:r>
      <w:bookmarkEnd w:id="12"/>
      <w:r/>
      <w:bookmarkEnd w:id="13"/>
      <w:r/>
      <w:bookmarkEnd w:id="14"/>
      <w:r/>
      <w:bookmarkEnd w:id="15"/>
      <w:r/>
      <w:bookmarkEnd w:id="16"/>
      <w:r>
        <w:rPr>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bookmarkStart w:id="17" w:name="_Toc38985265"/>
      <w:r/>
      <w:bookmarkStart w:id="18" w:name="_Toc35393792"/>
      <w:r/>
      <w:bookmarkStart w:id="19" w:name="_Toc35393623"/>
      <w:r/>
      <w:bookmarkStart w:id="20" w:name="_Toc28359004"/>
      <w:r/>
      <w:bookmarkStart w:id="21"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8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98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A.具有独立承担民事责任的能力（</w:t>
      </w:r>
      <w:r>
        <w:rPr>
          <w:rFonts w:ascii="宋体" w:hAnsi="宋体"/>
          <w:color w:val="000000"/>
          <w:sz w:val="24"/>
          <w:szCs w:val="24"/>
          <w:highlight w:val="none"/>
        </w:rPr>
        <w:t xml:space="preserve">提供法人或者其他组织的营业执照等证明文件，自然人的身份证明；如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为事业单位，请提供事业单位法人证书</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【注：组成联合体</w:t>
      </w:r>
      <w:r>
        <w:rPr>
          <w:rFonts w:hint="eastAsia" w:ascii="宋体" w:hAnsi="宋体"/>
          <w:b/>
          <w:bCs/>
          <w:color w:val="000000"/>
          <w:sz w:val="24"/>
          <w:szCs w:val="24"/>
          <w:highlight w:val="none"/>
          <w:lang w:eastAsia="zh-CN"/>
        </w:rPr>
        <w:t xml:space="preserve">投标</w:t>
      </w:r>
      <w:r>
        <w:rPr>
          <w:rFonts w:hint="eastAsia" w:ascii="宋体" w:hAnsi="宋体"/>
          <w:b/>
          <w:bCs/>
          <w:color w:val="000000"/>
          <w:sz w:val="24"/>
          <w:szCs w:val="24"/>
          <w:highlight w:val="none"/>
        </w:rPr>
        <w:t xml:space="preserve">的，本项证明材料联合体双方均应提供】</w:t>
      </w:r>
      <w:r>
        <w:rPr>
          <w:rFonts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B.具有良好的商业信誉和健全的财务会计制度</w:t>
      </w:r>
      <w:r>
        <w:rPr>
          <w:rFonts w:hint="eastAsia" w:ascii="宋体" w:hAnsi="宋体"/>
          <w:color w:val="000000"/>
          <w:sz w:val="24"/>
          <w:szCs w:val="28"/>
          <w:highlight w:val="none"/>
        </w:rPr>
        <w:t xml:space="preserve">【提供202</w:t>
      </w:r>
      <w:r>
        <w:rPr>
          <w:rFonts w:hint="eastAsia" w:ascii="宋体" w:hAnsi="宋体"/>
          <w:color w:val="000000"/>
          <w:sz w:val="24"/>
          <w:szCs w:val="28"/>
          <w:highlight w:val="none"/>
          <w:lang w:val="en-US" w:eastAsia="zh-CN"/>
        </w:rPr>
        <w:t xml:space="preserve">5</w:t>
      </w:r>
      <w:r>
        <w:rPr>
          <w:rFonts w:hint="eastAsia" w:ascii="宋体" w:hAnsi="宋体"/>
          <w:color w:val="000000"/>
          <w:sz w:val="24"/>
          <w:szCs w:val="28"/>
          <w:highlight w:val="none"/>
        </w:rPr>
        <w:t xml:space="preserve">年度财务报告（成立不满一年的提供至少一个月财务报告），或银行出具的资信证明，或财政部门认可的政府专业担保机构出具的投标担保函】</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【注：组成联合体</w:t>
      </w:r>
      <w:r>
        <w:rPr>
          <w:rFonts w:hint="eastAsia" w:ascii="宋体" w:hAnsi="宋体"/>
          <w:b/>
          <w:bCs/>
          <w:color w:val="000000"/>
          <w:sz w:val="24"/>
          <w:szCs w:val="24"/>
          <w:highlight w:val="none"/>
          <w:lang w:eastAsia="zh-CN"/>
        </w:rPr>
        <w:t xml:space="preserve">投标</w:t>
      </w:r>
      <w:r>
        <w:rPr>
          <w:rFonts w:hint="eastAsia" w:ascii="宋体" w:hAnsi="宋体"/>
          <w:b/>
          <w:bCs/>
          <w:color w:val="000000"/>
          <w:sz w:val="24"/>
          <w:szCs w:val="24"/>
          <w:highlight w:val="none"/>
        </w:rPr>
        <w:t xml:space="preserve">的，本项证明材料联合体双方均应提供】</w:t>
      </w:r>
      <w:r>
        <w:rPr>
          <w:rFonts w:hint="eastAsia" w:ascii="宋体" w:hAnsi="宋体"/>
          <w:color w:val="000000"/>
          <w:sz w:val="24"/>
          <w:szCs w:val="24"/>
          <w:highlight w:val="none"/>
        </w:rPr>
      </w:r>
      <w:r/>
    </w:p>
    <w:p>
      <w:pPr>
        <w:pStyle w:val="98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C.具有履行合同所必需的设备和专业技术能力{提供投标单位相关信息一览表（见投标文件格式）；</w:t>
      </w:r>
      <w:r>
        <w:rPr>
          <w:rFonts w:hint="eastAsia" w:ascii="宋体" w:hAnsi="宋体"/>
          <w:b/>
          <w:bCs/>
          <w:color w:val="000000"/>
          <w:sz w:val="24"/>
          <w:szCs w:val="24"/>
          <w:highlight w:val="none"/>
        </w:rPr>
        <w:t xml:space="preserve">【注：组成联合体</w:t>
      </w:r>
      <w:r>
        <w:rPr>
          <w:rFonts w:hint="eastAsia" w:ascii="宋体" w:hAnsi="宋体"/>
          <w:b/>
          <w:bCs/>
          <w:color w:val="000000"/>
          <w:sz w:val="24"/>
          <w:szCs w:val="24"/>
          <w:highlight w:val="none"/>
          <w:lang w:eastAsia="zh-CN"/>
        </w:rPr>
        <w:t xml:space="preserve">投标</w:t>
      </w:r>
      <w:r>
        <w:rPr>
          <w:rFonts w:hint="eastAsia" w:ascii="宋体" w:hAnsi="宋体"/>
          <w:b/>
          <w:bCs/>
          <w:color w:val="000000"/>
          <w:sz w:val="24"/>
          <w:szCs w:val="24"/>
          <w:highlight w:val="none"/>
        </w:rPr>
        <w:t xml:space="preserve">的，本项证明材料联合体双方均应提供】</w:t>
      </w:r>
      <w:r>
        <w:rPr>
          <w:rFonts w:ascii="宋体" w:hAnsi="宋体"/>
          <w:color w:val="000000"/>
          <w:sz w:val="24"/>
          <w:szCs w:val="24"/>
          <w:highlight w:val="none"/>
        </w:rPr>
      </w:r>
      <w:r/>
    </w:p>
    <w:p>
      <w:pPr>
        <w:pStyle w:val="98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D.提供参加本次政府活动前三年内，在经营活动中没有重大违法记录的承诺函（见投标函第7条）；</w:t>
      </w:r>
      <w:r>
        <w:rPr>
          <w:rFonts w:hint="eastAsia" w:ascii="宋体" w:hAnsi="宋体"/>
          <w:b/>
          <w:bCs/>
          <w:color w:val="000000"/>
          <w:sz w:val="24"/>
          <w:szCs w:val="24"/>
          <w:highlight w:val="none"/>
        </w:rPr>
        <w:t xml:space="preserve">【注：组成联合体</w:t>
      </w:r>
      <w:r>
        <w:rPr>
          <w:rFonts w:hint="eastAsia" w:ascii="宋体" w:hAnsi="宋体"/>
          <w:b/>
          <w:bCs/>
          <w:color w:val="000000"/>
          <w:sz w:val="24"/>
          <w:szCs w:val="24"/>
          <w:highlight w:val="none"/>
          <w:lang w:eastAsia="zh-CN"/>
        </w:rPr>
        <w:t xml:space="preserve">投标</w:t>
      </w:r>
      <w:r>
        <w:rPr>
          <w:rFonts w:hint="eastAsia" w:ascii="宋体" w:hAnsi="宋体"/>
          <w:b/>
          <w:bCs/>
          <w:color w:val="000000"/>
          <w:sz w:val="24"/>
          <w:szCs w:val="24"/>
          <w:highlight w:val="none"/>
        </w:rPr>
        <w:t xml:space="preserve">的，本项证明材料联合体双方均应提供】</w:t>
      </w:r>
      <w:r>
        <w:rPr>
          <w:rFonts w:ascii="宋体" w:hAnsi="宋体"/>
          <w:color w:val="000000"/>
          <w:sz w:val="24"/>
          <w:szCs w:val="24"/>
          <w:highlight w:val="none"/>
        </w:rPr>
      </w:r>
      <w:r/>
    </w:p>
    <w:p>
      <w:pPr>
        <w:pStyle w:val="985"/>
        <w:ind w:firstLine="560"/>
        <w:spacing w:line="440" w:lineRule="exact"/>
        <w:rPr>
          <w:rFonts w:hint="eastAsia" w:ascii="宋体" w:hAnsi="宋体"/>
          <w:b/>
          <w:bCs/>
          <w:color w:val="000000"/>
          <w:sz w:val="24"/>
          <w:szCs w:val="24"/>
          <w:highlight w:val="none"/>
        </w:rPr>
      </w:pPr>
      <w:r>
        <w:rPr>
          <w:rFonts w:hint="eastAsia" w:ascii="宋体" w:hAnsi="宋体"/>
          <w:color w:val="000000"/>
          <w:sz w:val="24"/>
          <w:szCs w:val="24"/>
          <w:highlight w:val="none"/>
        </w:rPr>
        <w:t xml:space="preserve">E.依法缴纳税收和社会保障资金的相关材料（提供提交投标文件截止时间前一年内至少一个月依法缴纳税收及缴纳社会保障资金的证明材料。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依法享受缓缴、免缴税收、社会保障资金的提供证明材料）；</w:t>
      </w:r>
      <w:r>
        <w:rPr>
          <w:rFonts w:hint="eastAsia" w:ascii="宋体" w:hAnsi="宋体"/>
          <w:b/>
          <w:bCs/>
          <w:color w:val="000000"/>
          <w:sz w:val="24"/>
          <w:szCs w:val="24"/>
          <w:highlight w:val="none"/>
        </w:rPr>
        <w:t xml:space="preserve">【注：组成联合体</w:t>
      </w:r>
      <w:r>
        <w:rPr>
          <w:rFonts w:hint="eastAsia" w:ascii="宋体" w:hAnsi="宋体"/>
          <w:b/>
          <w:bCs/>
          <w:color w:val="000000"/>
          <w:sz w:val="24"/>
          <w:szCs w:val="24"/>
          <w:highlight w:val="none"/>
          <w:lang w:eastAsia="zh-CN"/>
        </w:rPr>
        <w:t xml:space="preserve">投标</w:t>
      </w:r>
      <w:r>
        <w:rPr>
          <w:rFonts w:hint="eastAsia" w:ascii="宋体" w:hAnsi="宋体"/>
          <w:b/>
          <w:bCs/>
          <w:color w:val="000000"/>
          <w:sz w:val="24"/>
          <w:szCs w:val="24"/>
          <w:highlight w:val="none"/>
        </w:rPr>
        <w:t xml:space="preserve">的，本项证明材料联合体双方均应提供】</w:t>
      </w:r>
      <w:r>
        <w:rPr>
          <w:rFonts w:hint="eastAsia" w:ascii="宋体" w:hAnsi="宋体"/>
          <w:b/>
          <w:bCs/>
          <w:color w:val="000000"/>
          <w:sz w:val="24"/>
          <w:szCs w:val="24"/>
          <w:highlight w:val="none"/>
        </w:rPr>
      </w:r>
      <w:r/>
    </w:p>
    <w:p>
      <w:pPr>
        <w:pStyle w:val="985"/>
        <w:ind w:firstLine="560"/>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注：①按</w:t>
      </w:r>
      <w:r>
        <w:rPr>
          <w:rFonts w:ascii="宋体" w:hAnsi="宋体"/>
          <w:b/>
          <w:bCs/>
          <w:color w:val="000000"/>
          <w:sz w:val="24"/>
          <w:szCs w:val="24"/>
          <w:highlight w:val="none"/>
        </w:rPr>
        <w:t xml:space="preserve">扬财购〔</w:t>
      </w:r>
      <w:r>
        <w:rPr>
          <w:rFonts w:hint="eastAsia" w:ascii="宋体" w:hAnsi="宋体"/>
          <w:b/>
          <w:bCs/>
          <w:color w:val="000000"/>
          <w:sz w:val="24"/>
          <w:szCs w:val="24"/>
          <w:highlight w:val="none"/>
        </w:rPr>
        <w:t xml:space="preserve">2022</w:t>
      </w:r>
      <w:r>
        <w:rPr>
          <w:rFonts w:ascii="宋体" w:hAnsi="宋体"/>
          <w:b/>
          <w:bCs/>
          <w:color w:val="000000"/>
          <w:sz w:val="24"/>
          <w:szCs w:val="24"/>
          <w:highlight w:val="none"/>
        </w:rPr>
        <w:t xml:space="preserve">〕1</w:t>
      </w:r>
      <w:r>
        <w:rPr>
          <w:rFonts w:hint="eastAsia" w:ascii="宋体" w:hAnsi="宋体"/>
          <w:b/>
          <w:bCs/>
          <w:color w:val="000000"/>
          <w:sz w:val="24"/>
          <w:szCs w:val="24"/>
          <w:highlight w:val="none"/>
        </w:rPr>
        <w:t xml:space="preserve">7</w:t>
      </w:r>
      <w:r>
        <w:rPr>
          <w:rFonts w:ascii="宋体" w:hAnsi="宋体"/>
          <w:b/>
          <w:bCs/>
          <w:color w:val="000000"/>
          <w:sz w:val="24"/>
          <w:szCs w:val="24"/>
          <w:highlight w:val="none"/>
        </w:rPr>
        <w:t xml:space="preserve">号《关于进一步降低政府活动成本减轻政府</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负担的通知》</w:t>
      </w:r>
      <w:r>
        <w:rPr>
          <w:rFonts w:hint="eastAsia" w:ascii="宋体" w:hAnsi="宋体"/>
          <w:b/>
          <w:bCs/>
          <w:color w:val="000000"/>
          <w:sz w:val="24"/>
          <w:szCs w:val="24"/>
          <w:highlight w:val="none"/>
        </w:rPr>
        <w:t xml:space="preserve">本项目</w:t>
      </w:r>
      <w:r>
        <w:rPr>
          <w:rFonts w:ascii="宋体" w:hAnsi="宋体"/>
          <w:b/>
          <w:bCs/>
          <w:color w:val="000000"/>
          <w:sz w:val="24"/>
          <w:szCs w:val="24"/>
          <w:highlight w:val="none"/>
        </w:rPr>
        <w:t xml:space="preserve">申请人的资格条件采取</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信用承诺制</w:t>
      </w:r>
      <w:r>
        <w:rPr>
          <w:rFonts w:hint="eastAsia" w:ascii="宋体" w:hAnsi="宋体"/>
          <w:b/>
          <w:bCs/>
          <w:color w:val="000000"/>
          <w:sz w:val="24"/>
          <w:szCs w:val="24"/>
          <w:highlight w:val="none"/>
        </w:rPr>
        <w:t xml:space="preserve">”，资格要求</w:t>
      </w:r>
      <w:r>
        <w:rPr>
          <w:rFonts w:ascii="宋体" w:hAnsi="宋体"/>
          <w:b/>
          <w:bCs/>
          <w:color w:val="000000"/>
          <w:sz w:val="24"/>
          <w:szCs w:val="24"/>
          <w:highlight w:val="none"/>
        </w:rPr>
        <w:t xml:space="preserve">第</w:t>
      </w:r>
      <w:r>
        <w:rPr>
          <w:rFonts w:hint="eastAsia" w:ascii="宋体" w:hAnsi="宋体"/>
          <w:b/>
          <w:bCs/>
          <w:color w:val="000000"/>
          <w:sz w:val="24"/>
          <w:szCs w:val="24"/>
          <w:highlight w:val="none"/>
        </w:rPr>
        <w:t xml:space="preserve">B</w:t>
      </w:r>
      <w:r>
        <w:rPr>
          <w:rFonts w:ascii="宋体" w:hAnsi="宋体"/>
          <w:b/>
          <w:bCs/>
          <w:color w:val="000000"/>
          <w:sz w:val="24"/>
          <w:szCs w:val="24"/>
          <w:highlight w:val="none"/>
        </w:rPr>
        <w:t xml:space="preserve">至第</w:t>
      </w:r>
      <w:r>
        <w:rPr>
          <w:rFonts w:hint="eastAsia" w:ascii="宋体" w:hAnsi="宋体"/>
          <w:b/>
          <w:bCs/>
          <w:color w:val="000000"/>
          <w:sz w:val="24"/>
          <w:szCs w:val="24"/>
          <w:highlight w:val="none"/>
        </w:rPr>
        <w:t xml:space="preserve">E</w:t>
      </w:r>
      <w:r>
        <w:rPr>
          <w:rFonts w:ascii="宋体" w:hAnsi="宋体"/>
          <w:b/>
          <w:bCs/>
          <w:color w:val="000000"/>
          <w:sz w:val="24"/>
          <w:szCs w:val="24"/>
          <w:highlight w:val="none"/>
        </w:rPr>
        <w:t xml:space="preserve">项，</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可选择提供资格承诺函</w:t>
      </w:r>
      <w:r>
        <w:rPr>
          <w:rFonts w:hint="eastAsia" w:ascii="宋体" w:hAnsi="宋体"/>
          <w:b/>
          <w:bCs/>
          <w:color w:val="000000"/>
          <w:sz w:val="24"/>
          <w:szCs w:val="24"/>
          <w:highlight w:val="none"/>
        </w:rPr>
        <w:t xml:space="preserve">（见投标文件格式）</w:t>
      </w:r>
      <w:r>
        <w:rPr>
          <w:rFonts w:ascii="宋体" w:hAnsi="宋体"/>
          <w:b/>
          <w:bCs/>
          <w:color w:val="000000"/>
          <w:sz w:val="24"/>
          <w:szCs w:val="24"/>
          <w:highlight w:val="none"/>
        </w:rPr>
        <w:t xml:space="preserve">，在</w:t>
      </w:r>
      <w:r>
        <w:rPr>
          <w:rFonts w:hint="eastAsia" w:ascii="宋体" w:hAnsi="宋体"/>
          <w:b/>
          <w:bCs/>
          <w:color w:val="000000"/>
          <w:sz w:val="24"/>
          <w:szCs w:val="24"/>
          <w:highlight w:val="none"/>
        </w:rPr>
        <w:t xml:space="preserve">投标</w:t>
      </w:r>
      <w:r>
        <w:rPr>
          <w:rFonts w:ascii="宋体" w:hAnsi="宋体"/>
          <w:b/>
          <w:bCs/>
          <w:color w:val="000000"/>
          <w:sz w:val="24"/>
          <w:szCs w:val="24"/>
          <w:highlight w:val="none"/>
        </w:rPr>
        <w:t xml:space="preserve">文件中无需再提供与</w:t>
      </w:r>
      <w:r>
        <w:rPr>
          <w:rFonts w:hint="eastAsia" w:ascii="宋体" w:hAnsi="宋体"/>
          <w:b/>
          <w:bCs/>
          <w:color w:val="000000"/>
          <w:sz w:val="24"/>
          <w:szCs w:val="24"/>
          <w:highlight w:val="none"/>
        </w:rPr>
        <w:t xml:space="preserve">第B至第E项</w:t>
      </w:r>
      <w:r>
        <w:rPr>
          <w:rFonts w:ascii="宋体" w:hAnsi="宋体"/>
          <w:b/>
          <w:bCs/>
          <w:color w:val="000000"/>
          <w:sz w:val="24"/>
          <w:szCs w:val="24"/>
          <w:highlight w:val="none"/>
        </w:rPr>
        <w:t xml:space="preserve">相关的证明材料即可参加活动。</w:t>
      </w:r>
      <w:r>
        <w:rPr>
          <w:rFonts w:ascii="宋体" w:hAnsi="宋体"/>
          <w:b/>
          <w:bCs/>
          <w:color w:val="000000"/>
          <w:sz w:val="24"/>
          <w:szCs w:val="24"/>
          <w:highlight w:val="none"/>
        </w:rPr>
      </w:r>
      <w:r/>
    </w:p>
    <w:p>
      <w:pPr>
        <w:pStyle w:val="985"/>
        <w:ind w:firstLine="56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②</w:t>
      </w: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可自行选择是否提供承诺函，若不提供承诺函的，应按招标文件要求提供相应的证明材料。</w:t>
      </w:r>
      <w:r>
        <w:rPr>
          <w:rFonts w:hint="eastAsia" w:ascii="宋体" w:hAnsi="宋体"/>
          <w:b/>
          <w:bCs/>
          <w:color w:val="000000"/>
          <w:sz w:val="24"/>
          <w:szCs w:val="24"/>
          <w:highlight w:val="none"/>
        </w:rPr>
      </w:r>
      <w:r/>
    </w:p>
    <w:p>
      <w:pPr>
        <w:pStyle w:val="985"/>
        <w:ind w:firstLine="562"/>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③</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应当</w:t>
      </w:r>
      <w:r>
        <w:rPr>
          <w:rFonts w:hint="eastAsia" w:ascii="宋体" w:hAnsi="宋体"/>
          <w:b/>
          <w:bCs/>
          <w:color w:val="000000"/>
          <w:sz w:val="24"/>
          <w:szCs w:val="24"/>
          <w:highlight w:val="none"/>
        </w:rPr>
        <w:t xml:space="preserve">遵循诚实</w:t>
      </w:r>
      <w:r>
        <w:rPr>
          <w:rFonts w:ascii="宋体" w:hAnsi="宋体"/>
          <w:b/>
          <w:bCs/>
          <w:color w:val="000000"/>
          <w:sz w:val="24"/>
          <w:szCs w:val="24"/>
          <w:highlight w:val="none"/>
        </w:rPr>
        <w:t xml:space="preserve">信用原则，不得作虚假承诺。</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承诺不实的，属于提供虚假材料谋取中标、</w:t>
      </w:r>
      <w:r>
        <w:rPr>
          <w:rFonts w:hint="eastAsia" w:ascii="宋体" w:hAnsi="宋体"/>
          <w:b/>
          <w:bCs/>
          <w:color w:val="000000"/>
          <w:sz w:val="24"/>
          <w:szCs w:val="24"/>
          <w:highlight w:val="none"/>
          <w:lang w:eastAsia="zh-CN"/>
        </w:rPr>
        <w:t xml:space="preserve">中标</w:t>
      </w:r>
      <w:r>
        <w:rPr>
          <w:rFonts w:ascii="宋体" w:hAnsi="宋体"/>
          <w:b/>
          <w:bCs/>
          <w:color w:val="000000"/>
          <w:sz w:val="24"/>
          <w:szCs w:val="24"/>
          <w:highlight w:val="none"/>
        </w:rPr>
        <w:t xml:space="preserve">，应承担相应的法律责任。</w:t>
      </w:r>
      <w:r>
        <w:rPr>
          <w:rFonts w:ascii="宋体" w:hAnsi="宋体"/>
          <w:b/>
          <w:bCs/>
          <w:color w:val="000000"/>
          <w:sz w:val="24"/>
          <w:szCs w:val="24"/>
          <w:highlight w:val="none"/>
        </w:rPr>
      </w:r>
      <w:r/>
    </w:p>
    <w:p>
      <w:pPr>
        <w:pStyle w:val="985"/>
        <w:ind w:firstLine="480"/>
        <w:spacing w:line="44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严重失信行为记录名单及其他不符合《中华人民共和国政府法》第二十二条规定条件的信用记录。（投标文件中无需提供证明材料）。</w:t>
      </w:r>
      <w:r>
        <w:rPr>
          <w:rFonts w:hint="eastAsia" w:ascii="华文新魏" w:hAnsi="宋体" w:eastAsia="华文新魏"/>
          <w:color w:val="000000"/>
          <w:sz w:val="36"/>
          <w:szCs w:val="36"/>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3.落实政府采购政策需满足的资格要求：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①无；</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②依据工业和信息化部等四部委制定的《中小企业划型标准规定》，本项目对应的中小企业划分标准所属行业为</w:t>
      </w:r>
      <w:r>
        <w:rPr>
          <w:rFonts w:hint="eastAsia" w:ascii="宋体" w:hAnsi="宋体"/>
          <w:color w:val="000000"/>
          <w:sz w:val="24"/>
          <w:szCs w:val="24"/>
          <w:highlight w:val="none"/>
          <w:lang w:val="en-US" w:eastAsia="zh-CN"/>
        </w:rPr>
        <w:t xml:space="preserve">其他未列明行业</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接受 </w:t>
      </w:r>
      <w:r>
        <w:rPr>
          <w:rFonts w:hint="eastAsia" w:ascii="宋体" w:hAnsi="宋体"/>
          <w:color w:val="000000"/>
          <w:sz w:val="24"/>
          <w:szCs w:val="24"/>
          <w:highlight w:val="none"/>
        </w:rPr>
        <w:t xml:space="preserve">联合体投标。组成联合体</w:t>
      </w:r>
      <w:r>
        <w:rPr>
          <w:rFonts w:hint="eastAsia" w:ascii="宋体" w:hAnsi="宋体"/>
          <w:color w:val="000000"/>
          <w:sz w:val="24"/>
          <w:szCs w:val="24"/>
          <w:highlight w:val="none"/>
          <w:lang w:eastAsia="zh-CN"/>
        </w:rPr>
        <w:t xml:space="preserve">投标</w:t>
      </w:r>
      <w:r>
        <w:rPr>
          <w:rFonts w:hint="eastAsia" w:ascii="宋体" w:hAnsi="宋体"/>
          <w:color w:val="000000"/>
          <w:sz w:val="24"/>
          <w:szCs w:val="24"/>
          <w:highlight w:val="none"/>
        </w:rPr>
        <w:t xml:space="preserve">的，联合体成员不得超过2家。</w:t>
      </w:r>
      <w:r>
        <w:rPr>
          <w:rFonts w:hint="eastAsia" w:ascii="宋体" w:hAnsi="宋体"/>
          <w:color w:val="000000"/>
          <w:sz w:val="24"/>
          <w:szCs w:val="24"/>
          <w:highlight w:val="none"/>
        </w:rPr>
      </w:r>
      <w:r/>
    </w:p>
    <w:p>
      <w:pPr>
        <w:pStyle w:val="985"/>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由负责</w:t>
      </w:r>
      <w:r>
        <w:rPr>
          <w:rFonts w:hint="eastAsia" w:ascii="宋体" w:hAnsi="宋体"/>
          <w:b/>
          <w:bCs/>
          <w:color w:val="000000"/>
          <w:sz w:val="24"/>
          <w:szCs w:val="24"/>
          <w:highlight w:val="none"/>
          <w:lang w:eastAsia="zh-CN"/>
        </w:rPr>
        <w:t xml:space="preserve">提供</w:t>
      </w:r>
      <w:r>
        <w:rPr>
          <w:rFonts w:hint="eastAsia" w:ascii="宋体" w:hAnsi="宋体"/>
          <w:b/>
          <w:bCs/>
          <w:color w:val="000000"/>
          <w:sz w:val="24"/>
          <w:szCs w:val="24"/>
          <w:highlight w:val="none"/>
        </w:rPr>
        <w:t xml:space="preserve">本项目</w:t>
      </w:r>
      <w:r>
        <w:rPr>
          <w:rFonts w:hint="eastAsia" w:ascii="宋体" w:hAnsi="宋体"/>
          <w:b/>
          <w:bCs/>
          <w:color w:val="000000"/>
          <w:sz w:val="24"/>
          <w:szCs w:val="24"/>
          <w:highlight w:val="none"/>
          <w:lang w:eastAsia="zh-CN"/>
        </w:rPr>
        <w:t xml:space="preserve">能源托管服务的投标单位</w:t>
      </w:r>
      <w:r>
        <w:rPr>
          <w:rFonts w:hint="eastAsia" w:ascii="宋体" w:hAnsi="宋体"/>
          <w:b/>
          <w:bCs/>
          <w:color w:val="000000"/>
          <w:sz w:val="24"/>
          <w:szCs w:val="24"/>
          <w:highlight w:val="none"/>
        </w:rPr>
        <w:t xml:space="preserve">作为联合体牵头单位，双方必须签订联合体协议(协议中应规定所有联合体成员在合同中共同的和各自的责任，牵头人应被授权代表所有联合体成员接受指令，并且由牵头人负责整个合同的全面实施，联合体协议详见投标文件格式)。</w:t>
      </w:r>
      <w:r>
        <w:rPr>
          <w:rFonts w:hint="eastAsia" w:ascii="宋体" w:hAnsi="宋体"/>
          <w:b/>
          <w:bCs/>
          <w:color w:val="000000"/>
          <w:sz w:val="24"/>
          <w:szCs w:val="24"/>
          <w:highlight w:val="none"/>
        </w:rPr>
      </w:r>
      <w:r/>
    </w:p>
    <w:p>
      <w:pPr>
        <w:pStyle w:val="985"/>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（2）组成联合体</w:t>
      </w:r>
      <w:r>
        <w:rPr>
          <w:rFonts w:hint="eastAsia" w:ascii="宋体" w:hAnsi="宋体"/>
          <w:b/>
          <w:bCs/>
          <w:color w:val="000000"/>
          <w:sz w:val="24"/>
          <w:szCs w:val="24"/>
          <w:highlight w:val="none"/>
          <w:lang w:eastAsia="zh-CN"/>
        </w:rPr>
        <w:t xml:space="preserve">投标</w:t>
      </w:r>
      <w:r>
        <w:rPr>
          <w:rFonts w:hint="eastAsia" w:ascii="宋体" w:hAnsi="宋体"/>
          <w:b/>
          <w:bCs/>
          <w:color w:val="000000"/>
          <w:sz w:val="24"/>
          <w:szCs w:val="24"/>
          <w:highlight w:val="none"/>
        </w:rPr>
        <w:t xml:space="preserve">的，由联合体牵头单位负责网上报名、递交投标响应文件等流程。</w:t>
      </w:r>
      <w:r>
        <w:rPr>
          <w:rFonts w:hint="eastAsia" w:ascii="宋体" w:hAnsi="宋体"/>
          <w:b/>
          <w:bCs/>
          <w:color w:val="000000"/>
          <w:sz w:val="24"/>
          <w:szCs w:val="24"/>
          <w:highlight w:val="none"/>
        </w:rPr>
      </w:r>
      <w:r/>
    </w:p>
    <w:p>
      <w:pPr>
        <w:pStyle w:val="985"/>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（3）联合体各方签订联合体协议后，不得再以自己名义单独报名参与本项目，也不得组成新的联合体参加报名。</w:t>
      </w:r>
      <w:r>
        <w:rPr>
          <w:rFonts w:hint="eastAsia" w:ascii="宋体" w:hAnsi="宋体"/>
          <w:b/>
          <w:bCs/>
          <w:color w:val="000000"/>
          <w:sz w:val="24"/>
          <w:szCs w:val="24"/>
          <w:highlight w:val="none"/>
        </w:rPr>
      </w:r>
      <w:r/>
    </w:p>
    <w:p>
      <w:pPr>
        <w:pStyle w:val="985"/>
        <w:ind w:firstLine="480"/>
        <w:spacing w:line="440" w:lineRule="exact"/>
        <w:rPr>
          <w:rFonts w:hint="eastAsia" w:ascii="宋体" w:hAnsi="宋体" w:eastAsia="宋体" w:cs="Times New Roman"/>
          <w:b/>
          <w:bCs/>
          <w:color w:val="000000"/>
          <w:sz w:val="24"/>
          <w:szCs w:val="24"/>
          <w:highlight w:val="none"/>
          <w:lang w:eastAsia="zh-CN"/>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t xml:space="preserve">无。</w:t>
      </w:r>
      <w:r>
        <w:rPr>
          <w:rFonts w:hint="eastAsia" w:ascii="宋体" w:hAnsi="宋体" w:eastAsia="宋体" w:cs="Times New Roman"/>
          <w:b/>
          <w:bCs/>
          <w:color w:val="000000"/>
          <w:sz w:val="24"/>
          <w:szCs w:val="24"/>
          <w:highlight w:val="none"/>
          <w:lang w:eastAsia="zh-CN"/>
        </w:rPr>
      </w:r>
      <w:r/>
    </w:p>
    <w:p>
      <w:pPr>
        <w:pStyle w:val="988"/>
        <w:ind w:firstLine="373"/>
        <w:spacing w:before="145" w:after="145" w:line="440" w:lineRule="exact"/>
        <w:rPr>
          <w:color w:val="000000"/>
          <w:sz w:val="24"/>
          <w:szCs w:val="24"/>
          <w:highlight w:val="none"/>
        </w:rPr>
      </w:pPr>
      <w:r>
        <w:rPr>
          <w:rFonts w:hint="eastAsia"/>
          <w:color w:val="000000"/>
          <w:sz w:val="24"/>
          <w:szCs w:val="24"/>
          <w:highlight w:val="none"/>
        </w:rPr>
        <w:t xml:space="preserve">三、获取招标文件</w:t>
      </w:r>
      <w:bookmarkEnd w:id="17"/>
      <w:r/>
      <w:bookmarkEnd w:id="18"/>
      <w:r/>
      <w:bookmarkEnd w:id="19"/>
      <w:r/>
      <w:bookmarkEnd w:id="20"/>
      <w:r/>
      <w:bookmarkEnd w:id="21"/>
      <w:r>
        <w:rPr>
          <w:color w:val="000000"/>
          <w:sz w:val="24"/>
          <w:szCs w:val="24"/>
          <w:highlight w:val="none"/>
        </w:rPr>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w:t>
      </w:r>
      <w:r>
        <w:rPr>
          <w:rFonts w:ascii="宋体" w:hAnsi="宋体" w:cs="宋体"/>
          <w:color w:val="000000"/>
          <w:sz w:val="24"/>
          <w:szCs w:val="24"/>
          <w:highlight w:val="none"/>
        </w:rPr>
      </w:r>
      <w:r>
        <w:rPr>
          <w:rFonts w:ascii="SimSun" w:hAnsi="SimSun" w:eastAsia="SimSun" w:cs="SimSun"/>
          <w:color w:val="000000"/>
          <w:sz w:val="24"/>
        </w:rPr>
        <w:t xml:space="preserve">自招标文件公告发布之日起至提交投标文件截止时间之日止。</w:t>
      </w:r>
      <w:r/>
      <w:r>
        <w:rPr>
          <w:rFonts w:hint="eastAsia" w:ascii="宋体" w:hAnsi="宋体" w:cs="宋体"/>
          <w:color w:val="000000"/>
          <w:sz w:val="24"/>
          <w:szCs w:val="24"/>
          <w:highlight w:val="none"/>
        </w:rPr>
      </w:r>
      <w:r/>
      <w:r/>
      <w:r>
        <w:rPr>
          <w:sz w:val="21"/>
        </w:rPr>
      </w:r>
    </w:p>
    <w:p>
      <w:pPr>
        <w:pStyle w:val="985"/>
        <w:ind w:firstLine="540"/>
        <w:spacing w:line="44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rPr>
          <w:rFonts w:ascii="宋体" w:hAnsi="宋体" w:cs="宋体"/>
          <w:color w:val="000000"/>
          <w:sz w:val="24"/>
          <w:szCs w:val="24"/>
          <w:highlight w:val="none"/>
          <w:u w:val="single"/>
        </w:rPr>
      </w:r>
      <w:r/>
    </w:p>
    <w:p>
      <w:pPr>
        <w:pStyle w:val="98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（1）登录http://jszfcg.jscz.gov.cn/jszc/login;或进入扬中政府采购网（http://www.yzzfcg.cn/）首页点击“苏采云”进入系统。</w:t>
      </w:r>
      <w:r>
        <w:rPr>
          <w:rFonts w:hint="eastAsia" w:ascii="宋体" w:hAnsi="宋体" w:cs="宋体"/>
          <w:color w:val="000000"/>
          <w:sz w:val="24"/>
          <w:szCs w:val="24"/>
          <w:highlight w:val="none"/>
        </w:rPr>
      </w:r>
      <w:r/>
    </w:p>
    <w:p>
      <w:pPr>
        <w:pStyle w:val="98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（2）“苏采云”系统用户注册--获取“CA数字证书”--CA绑定与登录--网上报名--下载招标文件(后缀名为.kedt”)。</w:t>
      </w:r>
      <w:r>
        <w:rPr>
          <w:rFonts w:hint="eastAsia" w:ascii="宋体" w:hAnsi="宋体" w:cs="宋体"/>
          <w:color w:val="000000"/>
          <w:sz w:val="24"/>
          <w:szCs w:val="24"/>
          <w:highlight w:val="none"/>
        </w:rPr>
      </w:r>
      <w:r/>
    </w:p>
    <w:p>
      <w:pPr>
        <w:pStyle w:val="985"/>
        <w:ind w:firstLine="560"/>
        <w:spacing w:line="44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3.“CA数字证书”的获取</w:t>
      </w:r>
      <w:r>
        <w:rPr>
          <w:rFonts w:ascii="宋体" w:hAnsi="宋体" w:cs="宋体"/>
          <w:color w:val="000000"/>
          <w:sz w:val="24"/>
          <w:szCs w:val="24"/>
          <w:highlight w:val="none"/>
        </w:rPr>
      </w:r>
      <w:r/>
    </w:p>
    <w:p>
      <w:pPr>
        <w:pStyle w:val="98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rPr>
          <w:rFonts w:ascii="宋体" w:hAnsi="宋体" w:cs="宋体"/>
          <w:color w:val="000000"/>
          <w:sz w:val="24"/>
          <w:szCs w:val="24"/>
          <w:highlight w:val="none"/>
        </w:rPr>
      </w:r>
      <w:r/>
    </w:p>
    <w:p>
      <w:pPr>
        <w:pStyle w:val="98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4.招标文件(后缀名为“.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rPr>
          <w:rFonts w:ascii="宋体" w:hAnsi="宋体" w:cs="宋体"/>
          <w:color w:val="000000"/>
          <w:sz w:val="24"/>
          <w:szCs w:val="24"/>
          <w:highlight w:val="none"/>
        </w:rPr>
      </w:r>
      <w:r/>
    </w:p>
    <w:p>
      <w:pPr>
        <w:pStyle w:val="98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采购代理机构将数据电文形式的招标文件加载至电子招标投标交易平台，供潜在供应商下载或者查阅，各供应商应在规定的时间内完成招标文件的下载，逾期可能会造成招标文件无法下载以及投标文件无法上传的情形，由此导致的后果由各供应商自行承担。</w:t>
      </w:r>
      <w:r>
        <w:rPr>
          <w:rFonts w:ascii="宋体" w:hAnsi="宋体" w:cs="宋体"/>
          <w:color w:val="000000"/>
          <w:sz w:val="24"/>
          <w:szCs w:val="24"/>
          <w:highlight w:val="none"/>
        </w:rPr>
      </w:r>
      <w:r/>
    </w:p>
    <w:p>
      <w:pPr>
        <w:pStyle w:val="98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6.苏采云系统使用谷歌浏览器参与不见面开标。</w:t>
      </w:r>
      <w:r>
        <w:rPr>
          <w:rFonts w:ascii="宋体" w:hAnsi="宋体" w:cs="宋体"/>
          <w:color w:val="000000"/>
          <w:sz w:val="24"/>
          <w:szCs w:val="24"/>
          <w:highlight w:val="none"/>
        </w:rPr>
      </w:r>
      <w:r/>
    </w:p>
    <w:p>
      <w:pPr>
        <w:pStyle w:val="988"/>
        <w:ind w:firstLine="373"/>
        <w:spacing w:before="145" w:after="145" w:line="440" w:lineRule="exact"/>
        <w:rPr>
          <w:color w:val="000000"/>
          <w:sz w:val="24"/>
          <w:szCs w:val="24"/>
          <w:highlight w:val="none"/>
        </w:rPr>
      </w:pPr>
      <w:r>
        <w:rPr>
          <w:rFonts w:hint="eastAsia"/>
          <w:color w:val="000000"/>
          <w:sz w:val="24"/>
          <w:szCs w:val="24"/>
          <w:highlight w:val="none"/>
        </w:rPr>
        <w:t xml:space="preserve">四、提交投标文件</w:t>
      </w:r>
      <w:bookmarkEnd w:id="22"/>
      <w:r/>
      <w:bookmarkEnd w:id="23"/>
      <w:r>
        <w:rPr>
          <w:rFonts w:hint="eastAsia"/>
          <w:color w:val="000000"/>
          <w:sz w:val="24"/>
          <w:szCs w:val="24"/>
          <w:highlight w:val="none"/>
        </w:rPr>
        <w:t xml:space="preserve">截止时间、开标时间和地点</w:t>
      </w:r>
      <w:bookmarkEnd w:id="24"/>
      <w:r/>
      <w:bookmarkEnd w:id="25"/>
      <w:r/>
      <w:bookmarkEnd w:id="26"/>
      <w:r>
        <w:rPr>
          <w:color w:val="000000"/>
          <w:sz w:val="24"/>
          <w:szCs w:val="24"/>
          <w:highlight w:val="none"/>
        </w:rPr>
      </w:r>
      <w:r/>
    </w:p>
    <w:p>
      <w:pPr>
        <w:pStyle w:val="985"/>
        <w:ind w:firstLine="480"/>
        <w:spacing w:line="440" w:lineRule="exact"/>
        <w:rPr>
          <w:rFonts w:ascii="宋体" w:hAnsi="宋体"/>
          <w:bCs/>
          <w:color w:val="ff0000"/>
          <w:sz w:val="24"/>
          <w:szCs w:val="24"/>
          <w:highlight w:val="yellow"/>
          <w:u w:val="single"/>
        </w:rPr>
      </w:pPr>
      <w:r>
        <w:rPr>
          <w:rFonts w:hint="eastAsia" w:ascii="宋体" w:hAnsi="宋体"/>
          <w:bCs/>
          <w:color w:val="ff0000"/>
          <w:sz w:val="24"/>
          <w:szCs w:val="24"/>
          <w:highlight w:val="yellow"/>
          <w:u w:val="single"/>
        </w:rPr>
        <w:t xml:space="preserve">1. </w:t>
      </w:r>
      <w:r>
        <w:rPr>
          <w:rFonts w:hint="eastAsia" w:ascii="宋体" w:hAnsi="宋体"/>
          <w:b/>
          <w:color w:val="ff0000"/>
          <w:sz w:val="24"/>
          <w:szCs w:val="24"/>
          <w:highlight w:val="yellow"/>
          <w:u w:val="single"/>
          <w:lang w:eastAsia="zh-CN"/>
        </w:rPr>
        <w:t xml:space="preserve">2026</w:t>
      </w:r>
      <w:r>
        <w:rPr>
          <w:rFonts w:hint="eastAsia" w:ascii="宋体" w:hAnsi="宋体"/>
          <w:b/>
          <w:color w:val="ff0000"/>
          <w:sz w:val="24"/>
          <w:szCs w:val="24"/>
          <w:highlight w:val="yellow"/>
          <w:u w:val="single"/>
        </w:rPr>
        <w:t xml:space="preserve">年</w:t>
      </w:r>
      <w:r>
        <w:rPr>
          <w:rFonts w:hint="eastAsia" w:ascii="宋体" w:hAnsi="宋体"/>
          <w:b/>
          <w:color w:val="ff0000"/>
          <w:sz w:val="24"/>
          <w:szCs w:val="24"/>
          <w:highlight w:val="yellow"/>
          <w:u w:val="single"/>
          <w:lang w:val="en-US" w:eastAsia="zh-CN"/>
        </w:rPr>
        <w:t xml:space="preserve">11</w:t>
      </w:r>
      <w:r>
        <w:rPr>
          <w:rFonts w:hint="eastAsia" w:ascii="宋体" w:hAnsi="宋体"/>
          <w:b/>
          <w:color w:val="ff0000"/>
          <w:sz w:val="24"/>
          <w:szCs w:val="24"/>
          <w:highlight w:val="yellow"/>
          <w:u w:val="single"/>
        </w:rPr>
        <w:t xml:space="preserve">月</w:t>
      </w:r>
      <w:r>
        <w:rPr>
          <w:rFonts w:hint="eastAsia" w:ascii="宋体" w:hAnsi="宋体"/>
          <w:b/>
          <w:color w:val="ff0000"/>
          <w:sz w:val="24"/>
          <w:szCs w:val="24"/>
          <w:highlight w:val="yellow"/>
          <w:u w:val="single"/>
          <w:lang w:val="en-US" w:eastAsia="zh-CN"/>
        </w:rPr>
        <w:t xml:space="preserve">2</w:t>
      </w:r>
      <w:r>
        <w:rPr>
          <w:rFonts w:hint="eastAsia" w:ascii="宋体" w:hAnsi="宋体"/>
          <w:b/>
          <w:color w:val="ff0000"/>
          <w:sz w:val="24"/>
          <w:szCs w:val="24"/>
          <w:highlight w:val="yellow"/>
          <w:u w:val="single"/>
        </w:rPr>
        <w:t xml:space="preserve">日 </w:t>
      </w:r>
      <w:r>
        <w:rPr>
          <w:rFonts w:hint="eastAsia" w:ascii="宋体" w:hAnsi="宋体"/>
          <w:b/>
          <w:color w:val="ff0000"/>
          <w:sz w:val="24"/>
          <w:szCs w:val="24"/>
          <w:highlight w:val="yellow"/>
          <w:u w:val="single"/>
          <w:lang w:val="en-US" w:eastAsia="zh-CN"/>
        </w:rPr>
        <w:t xml:space="preserve">14</w:t>
      </w:r>
      <w:r>
        <w:rPr>
          <w:rFonts w:hint="eastAsia" w:ascii="宋体" w:hAnsi="宋体"/>
          <w:b/>
          <w:color w:val="ff0000"/>
          <w:sz w:val="24"/>
          <w:szCs w:val="24"/>
          <w:highlight w:val="yellow"/>
          <w:u w:val="single"/>
        </w:rPr>
        <w:t xml:space="preserve">点</w:t>
      </w:r>
      <w:r>
        <w:rPr>
          <w:rFonts w:hint="eastAsia" w:ascii="宋体" w:hAnsi="宋体"/>
          <w:b/>
          <w:color w:val="ff0000"/>
          <w:sz w:val="24"/>
          <w:szCs w:val="24"/>
          <w:highlight w:val="yellow"/>
          <w:u w:val="single"/>
          <w:lang w:val="en-US" w:eastAsia="zh-CN"/>
        </w:rPr>
        <w:t xml:space="preserve">30</w:t>
      </w:r>
      <w:r>
        <w:rPr>
          <w:rFonts w:hint="eastAsia" w:ascii="宋体" w:hAnsi="宋体"/>
          <w:b/>
          <w:color w:val="ff0000"/>
          <w:sz w:val="24"/>
          <w:szCs w:val="24"/>
          <w:highlight w:val="yellow"/>
          <w:u w:val="single"/>
        </w:rPr>
        <w:t xml:space="preserve">分</w:t>
      </w:r>
      <w:r>
        <w:rPr>
          <w:rFonts w:hint="eastAsia" w:ascii="宋体" w:hAnsi="宋体"/>
          <w:b/>
          <w:color w:val="ff0000"/>
          <w:sz w:val="24"/>
          <w:szCs w:val="24"/>
          <w:highlight w:val="yellow"/>
        </w:rPr>
        <w:t xml:space="preserve">（北京时间）。</w:t>
      </w:r>
      <w:r>
        <w:rPr>
          <w:highlight w:val="yellow"/>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2.地点：“苏采云”政府采购交易系统网上开标大厅。</w:t>
      </w:r>
      <w:r>
        <w:rPr>
          <w:rFonts w:hint="eastAsia" w:ascii="宋体" w:hAnsi="宋体"/>
          <w:color w:val="000000"/>
          <w:sz w:val="24"/>
          <w:szCs w:val="24"/>
          <w:highlight w:val="none"/>
        </w:rPr>
      </w:r>
      <w:r/>
    </w:p>
    <w:p>
      <w:pPr>
        <w:pStyle w:val="985"/>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highlight w:val="none"/>
        </w:rPr>
      </w:r>
      <w:r/>
    </w:p>
    <w:p>
      <w:pPr>
        <w:pStyle w:val="985"/>
        <w:ind w:firstLine="560"/>
        <w:spacing w:line="44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4.不见面交易相关要求和说明如下：</w:t>
      </w:r>
      <w:r>
        <w:rPr>
          <w:rFonts w:ascii="宋体" w:hAnsi="宋体" w:cs="宋体"/>
          <w:color w:val="000000"/>
          <w:sz w:val="24"/>
          <w:szCs w:val="24"/>
          <w:highlight w:val="none"/>
        </w:rPr>
      </w:r>
      <w:r/>
    </w:p>
    <w:p>
      <w:pPr>
        <w:pStyle w:val="98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（1）不见面开标项目的时间均以国家授时中心发布的时间为准；</w:t>
      </w:r>
      <w:r>
        <w:rPr>
          <w:rFonts w:ascii="宋体" w:hAnsi="宋体" w:cs="宋体"/>
          <w:color w:val="000000"/>
          <w:sz w:val="24"/>
          <w:szCs w:val="24"/>
          <w:highlight w:val="none"/>
        </w:rPr>
      </w:r>
      <w:r/>
    </w:p>
    <w:p>
      <w:pPr>
        <w:pStyle w:val="98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（2）开标当日，投标人不必抵达开标现场，仅需在任意地点通过“苏采云”系统（网址：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http://jszfcg.jsczt.cn/）“开标大厅”或扬中政府采购网（http://www.yzzfcg.cn/）首页点击“苏采云”进入系统“开标大厅”参与开标过程；</w:t>
      </w:r>
      <w:r>
        <w:rPr>
          <w:rFonts w:hint="eastAsia" w:ascii="宋体" w:hAnsi="宋体" w:cs="宋体"/>
          <w:color w:val="000000"/>
          <w:sz w:val="24"/>
          <w:szCs w:val="24"/>
          <w:highlight w:val="none"/>
        </w:rPr>
        <w:fldChar w:fldCharType="end"/>
      </w:r>
      <w:r>
        <w:rPr>
          <w:rFonts w:ascii="宋体" w:hAnsi="宋体" w:cs="宋体"/>
          <w:color w:val="000000"/>
          <w:sz w:val="24"/>
          <w:szCs w:val="24"/>
          <w:highlight w:val="none"/>
        </w:rPr>
      </w:r>
      <w:r/>
    </w:p>
    <w:p>
      <w:pPr>
        <w:pStyle w:val="98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ascii="宋体" w:hAnsi="宋体" w:cs="宋体"/>
          <w:color w:val="000000"/>
          <w:sz w:val="24"/>
          <w:szCs w:val="24"/>
          <w:highlight w:val="none"/>
        </w:rPr>
      </w:r>
      <w:r/>
    </w:p>
    <w:p>
      <w:pPr>
        <w:pStyle w:val="98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（4）投标文件递交截止时间后，</w:t>
      </w:r>
      <w:r>
        <w:rPr>
          <w:rFonts w:hint="eastAsia" w:ascii="宋体" w:hAnsi="宋体" w:cs="宋体"/>
          <w:color w:val="000000"/>
          <w:sz w:val="24"/>
          <w:szCs w:val="24"/>
          <w:highlight w:val="none"/>
          <w:lang w:eastAsia="zh-CN"/>
        </w:rPr>
        <w:t xml:space="preserve">招标人</w:t>
      </w:r>
      <w:r>
        <w:rPr>
          <w:rFonts w:hint="eastAsia" w:ascii="宋体" w:hAnsi="宋体" w:cs="宋体"/>
          <w:color w:val="000000"/>
          <w:sz w:val="24"/>
          <w:szCs w:val="24"/>
          <w:highlight w:val="none"/>
        </w:rPr>
        <w:t xml:space="preserve">或采购代理机构将在系统内公布投标人名单然后通过开标会议区发出投标文件解密的指令，投标人在各自地点按规定时间自行实施远程解密，投标人</w:t>
      </w:r>
      <w:r>
        <w:rPr>
          <w:rFonts w:hint="eastAsia" w:ascii="宋体" w:hAnsi="宋体" w:cs="宋体"/>
          <w:color w:val="000000"/>
          <w:sz w:val="24"/>
          <w:szCs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投标人解密成功，即视为网上招投标平台运行无故障。</w:t>
      </w:r>
      <w:r>
        <w:rPr>
          <w:rFonts w:ascii="宋体" w:hAnsi="宋体" w:cs="宋体"/>
          <w:color w:val="000000"/>
          <w:sz w:val="24"/>
          <w:szCs w:val="24"/>
          <w:highlight w:val="none"/>
        </w:rPr>
      </w:r>
      <w:r/>
    </w:p>
    <w:p>
      <w:pPr>
        <w:pStyle w:val="98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（5）因投标人自身软硬件配备不齐全或发生故障等问题而导致在交互过程中出现不稳定或中断等情况的，由投标人自身承担一切后果。</w:t>
      </w:r>
      <w:r>
        <w:rPr>
          <w:rFonts w:hint="eastAsia" w:ascii="宋体" w:hAnsi="宋体" w:cs="宋体"/>
          <w:color w:val="000000"/>
          <w:sz w:val="24"/>
          <w:szCs w:val="24"/>
          <w:highlight w:val="none"/>
        </w:rPr>
      </w:r>
      <w:r/>
    </w:p>
    <w:p>
      <w:pPr>
        <w:pStyle w:val="988"/>
        <w:ind w:firstLine="373"/>
        <w:spacing w:before="145" w:after="145" w:line="440" w:lineRule="exact"/>
        <w:rPr>
          <w:color w:val="000000"/>
          <w:sz w:val="24"/>
          <w:szCs w:val="24"/>
          <w:highlight w:val="none"/>
        </w:rPr>
      </w:pPr>
      <w:r/>
      <w:bookmarkStart w:id="27" w:name="_Toc38985267"/>
      <w:r/>
      <w:bookmarkStart w:id="28" w:name="_Toc35393794"/>
      <w:r/>
      <w:bookmarkStart w:id="29" w:name="_Toc28359084"/>
      <w:r/>
      <w:bookmarkStart w:id="30" w:name="_Toc35393625"/>
      <w:r/>
      <w:bookmarkStart w:id="31" w:name="_Toc28359007"/>
      <w:r>
        <w:rPr>
          <w:rFonts w:hint="eastAsia"/>
          <w:color w:val="000000"/>
          <w:sz w:val="24"/>
          <w:szCs w:val="24"/>
          <w:highlight w:val="none"/>
        </w:rPr>
        <w:t xml:space="preserve">五、公告期限</w:t>
      </w:r>
      <w:bookmarkEnd w:id="27"/>
      <w:r/>
      <w:bookmarkEnd w:id="28"/>
      <w:r/>
      <w:bookmarkEnd w:id="29"/>
      <w:r/>
      <w:bookmarkEnd w:id="30"/>
      <w:r/>
      <w:bookmarkEnd w:id="31"/>
      <w:r>
        <w:rPr>
          <w:color w:val="000000"/>
          <w:sz w:val="24"/>
          <w:szCs w:val="24"/>
          <w:highlight w:val="none"/>
        </w:rPr>
      </w:r>
      <w:r/>
    </w:p>
    <w:p>
      <w:pPr>
        <w:pStyle w:val="985"/>
        <w:ind w:firstLine="480"/>
        <w:spacing w:line="440" w:lineRule="exact"/>
        <w:rPr>
          <w:rFonts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招标公告及招标文件公告期限为自本公告发布之日起5个工作日。</w:t>
      </w:r>
      <w:r>
        <w:rPr>
          <w:rFonts w:ascii="宋体" w:hAnsi="宋体" w:cs="宋体"/>
          <w:color w:val="000000"/>
          <w:sz w:val="24"/>
          <w:szCs w:val="24"/>
          <w:highlight w:val="none"/>
        </w:rPr>
      </w:r>
      <w:r/>
    </w:p>
    <w:p>
      <w:pPr>
        <w:pStyle w:val="988"/>
        <w:ind w:firstLine="373"/>
        <w:spacing w:before="145" w:after="145" w:line="440" w:lineRule="exact"/>
        <w:rPr>
          <w:color w:val="000000"/>
          <w:sz w:val="24"/>
          <w:szCs w:val="24"/>
          <w:highlight w:val="none"/>
        </w:rPr>
      </w:pPr>
      <w:r>
        <w:rPr>
          <w:rFonts w:hint="eastAsia"/>
          <w:color w:val="000000"/>
          <w:sz w:val="24"/>
          <w:szCs w:val="24"/>
          <w:highlight w:val="none"/>
        </w:rPr>
        <w:t xml:space="preserve">六、其他补充事宜</w:t>
      </w:r>
      <w:bookmarkEnd w:id="32"/>
      <w:r/>
      <w:bookmarkEnd w:id="33"/>
      <w:r/>
      <w:bookmarkEnd w:id="34"/>
      <w:r>
        <w:rPr>
          <w:color w:val="000000"/>
          <w:sz w:val="24"/>
          <w:szCs w:val="24"/>
          <w:highlight w:val="none"/>
        </w:rPr>
      </w:r>
      <w:r/>
    </w:p>
    <w:p>
      <w:pPr>
        <w:pStyle w:val="985"/>
        <w:ind w:firstLine="480"/>
        <w:spacing w:line="440" w:lineRule="exact"/>
        <w:rPr>
          <w:rFonts w:hint="eastAsia" w:ascii="宋体" w:hAnsi="宋体" w:cs="宋体"/>
          <w:color w:val="000000"/>
          <w:sz w:val="24"/>
          <w:szCs w:val="24"/>
          <w:highlight w:val="none"/>
        </w:rPr>
      </w:pPr>
      <w:r/>
      <w:bookmarkStart w:id="35" w:name="_Toc35393796"/>
      <w:r/>
      <w:bookmarkStart w:id="36" w:name="_Toc35393627"/>
      <w:r/>
      <w:bookmarkStart w:id="37" w:name="_Toc38985269"/>
      <w:r/>
      <w:bookmarkStart w:id="38" w:name="_Toc28359008"/>
      <w:r/>
      <w:bookmarkStart w:id="39" w:name="_Toc28359085"/>
      <w:r>
        <w:rPr>
          <w:rFonts w:hint="eastAsia" w:ascii="宋体" w:hAnsi="宋体" w:cs="宋体"/>
          <w:color w:val="000000"/>
          <w:sz w:val="24"/>
          <w:szCs w:val="24"/>
          <w:highlight w:val="none"/>
        </w:rPr>
        <w:t xml:space="preserve">1.现场勘察：</w:t>
      </w:r>
      <w:r>
        <w:rPr>
          <w:rFonts w:hint="eastAsia" w:ascii="宋体" w:hAnsi="宋体" w:cs="宋体"/>
          <w:color w:val="000000"/>
          <w:sz w:val="24"/>
          <w:szCs w:val="24"/>
          <w:highlight w:val="none"/>
        </w:rPr>
      </w:r>
      <w:r/>
    </w:p>
    <w:p>
      <w:pPr>
        <w:pStyle w:val="98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人不组织现场踏勘，</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可自行组织对现场及其周围环境进行踏勘，以便</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自行查明或核实有关编制响应文件和签订合同所必需的资料。</w:t>
      </w:r>
      <w:r>
        <w:rPr>
          <w:rFonts w:hint="eastAsia" w:ascii="宋体" w:hAnsi="宋体" w:cs="宋体"/>
          <w:color w:val="000000"/>
          <w:sz w:val="24"/>
          <w:szCs w:val="24"/>
          <w:highlight w:val="none"/>
        </w:rPr>
      </w:r>
      <w:r/>
    </w:p>
    <w:p>
      <w:pPr>
        <w:pStyle w:val="98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（2）现场踏勘期间，</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承担自身的费用、责任和风险。如果发生人身伤亡、财物或其他损失，除国家法律法规有规定的之外，</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人均不负责。</w:t>
      </w:r>
      <w:r>
        <w:rPr>
          <w:rFonts w:hint="eastAsia" w:ascii="宋体" w:hAnsi="宋体" w:cs="宋体"/>
          <w:color w:val="000000"/>
          <w:sz w:val="24"/>
          <w:szCs w:val="24"/>
          <w:highlight w:val="none"/>
        </w:rPr>
      </w:r>
      <w:r/>
    </w:p>
    <w:p>
      <w:pPr>
        <w:pStyle w:val="98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2.本项目需要落实的政府政策：</w:t>
      </w:r>
      <w:r>
        <w:rPr>
          <w:rFonts w:hint="eastAsia" w:ascii="宋体" w:hAnsi="宋体" w:cs="宋体"/>
          <w:color w:val="000000"/>
          <w:sz w:val="24"/>
          <w:szCs w:val="24"/>
          <w:highlight w:val="none"/>
          <w:lang w:val="zh-CN"/>
        </w:rPr>
        <w:t xml:space="preserve">财政部、工业和信息化部关于印发《政府促进中小企业发展管理办法》的通知（财库〔2020〕46号</w:t>
      </w:r>
      <w:r>
        <w:rPr>
          <w:rFonts w:hint="eastAsia" w:ascii="宋体" w:hAnsi="宋体" w:cs="宋体"/>
          <w:color w:val="000000"/>
          <w:sz w:val="24"/>
          <w:szCs w:val="24"/>
          <w:highlight w:val="none"/>
        </w:rPr>
        <w:t xml:space="preserve">)、《关于进一步加大政府支持中小企业力度的通知》（</w:t>
      </w:r>
      <w:r>
        <w:rPr>
          <w:rFonts w:hint="eastAsia" w:ascii="宋体" w:hAnsi="宋体" w:cs="宋体"/>
          <w:color w:val="000000"/>
          <w:sz w:val="24"/>
          <w:szCs w:val="24"/>
          <w:highlight w:val="none"/>
          <w:lang w:val="zh-CN"/>
        </w:rPr>
        <w:t xml:space="preserve">财库【</w:t>
      </w:r>
      <w:r>
        <w:rPr>
          <w:rFonts w:hint="eastAsia" w:ascii="宋体" w:hAnsi="宋体" w:cs="宋体"/>
          <w:color w:val="000000"/>
          <w:sz w:val="24"/>
          <w:szCs w:val="24"/>
          <w:highlight w:val="none"/>
        </w:rPr>
        <w:t xml:space="preserve">2023</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19号）、残疾人福利性单位政策、监狱企业发展政策（具体表述详见文件）。</w:t>
      </w:r>
      <w:r>
        <w:rPr>
          <w:rFonts w:hint="eastAsia" w:ascii="宋体" w:hAnsi="宋体" w:cs="宋体"/>
          <w:color w:val="000000"/>
          <w:sz w:val="24"/>
          <w:szCs w:val="24"/>
          <w:highlight w:val="none"/>
        </w:rPr>
      </w:r>
      <w:r/>
    </w:p>
    <w:p>
      <w:pPr>
        <w:pStyle w:val="988"/>
        <w:numPr>
          <w:ilvl w:val="0"/>
          <w:numId w:val="5"/>
        </w:numPr>
        <w:ind w:firstLine="373"/>
        <w:spacing w:before="145" w:after="145" w:line="440" w:lineRule="exact"/>
        <w:rPr>
          <w:rFonts w:hint="eastAsia"/>
          <w:color w:val="000000"/>
          <w:sz w:val="24"/>
          <w:szCs w:val="24"/>
          <w:highlight w:val="none"/>
        </w:rPr>
      </w:pPr>
      <w:r>
        <w:rPr>
          <w:rFonts w:hint="eastAsia"/>
          <w:color w:val="000000"/>
          <w:sz w:val="24"/>
          <w:szCs w:val="24"/>
          <w:highlight w:val="none"/>
        </w:rPr>
        <w:t xml:space="preserve">本次招标联系方式</w:t>
      </w:r>
      <w:bookmarkEnd w:id="35"/>
      <w:r/>
      <w:bookmarkEnd w:id="36"/>
      <w:r/>
      <w:bookmarkEnd w:id="37"/>
      <w:r/>
      <w:bookmarkEnd w:id="38"/>
      <w:r/>
      <w:bookmarkEnd w:id="39"/>
      <w:r>
        <w:rPr>
          <w:rFonts w:hint="eastAsia"/>
          <w:color w:val="000000"/>
          <w:sz w:val="24"/>
          <w:szCs w:val="24"/>
          <w:highlight w:val="none"/>
        </w:rPr>
      </w:r>
      <w:r/>
    </w:p>
    <w:p>
      <w:pPr>
        <w:pStyle w:val="98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招标人</w:t>
      </w:r>
      <w:r>
        <w:rPr>
          <w:rFonts w:hint="eastAsia" w:ascii="宋体" w:hAnsi="宋体" w:cs="宋体"/>
          <w:color w:val="000000"/>
          <w:sz w:val="24"/>
          <w:szCs w:val="24"/>
          <w:highlight w:val="none"/>
        </w:rPr>
        <w:t xml:space="preserve">信息</w:t>
      </w:r>
      <w:r>
        <w:rPr>
          <w:rFonts w:hint="eastAsia" w:ascii="宋体" w:hAnsi="宋体" w:cs="宋体"/>
          <w:color w:val="000000"/>
          <w:sz w:val="24"/>
          <w:szCs w:val="24"/>
          <w:highlight w:val="none"/>
        </w:rPr>
      </w:r>
      <w:r/>
    </w:p>
    <w:p>
      <w:pPr>
        <w:pStyle w:val="985"/>
        <w:ind w:firstLine="480"/>
        <w:jc w:val="left"/>
        <w:spacing w:line="440" w:lineRule="exact"/>
        <w:rPr>
          <w:rFonts w:hint="eastAsia" w:ascii="宋体" w:hAnsi="宋体" w:cs="宋体"/>
          <w:color w:val="000000"/>
          <w:sz w:val="24"/>
          <w:szCs w:val="24"/>
          <w:highlight w:val="none"/>
          <w:u w:val="single"/>
        </w:rPr>
      </w:pPr>
      <w:r/>
      <w:bookmarkStart w:id="40" w:name="_Toc28359009"/>
      <w:r/>
      <w:bookmarkStart w:id="41" w:name="_Toc28359086"/>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t xml:space="preserve">扬中市机关事务管理中心</w:t>
      </w:r>
      <w:r>
        <w:rPr>
          <w:rFonts w:hint="eastAsia" w:ascii="宋体" w:hAnsi="宋体" w:cs="宋体"/>
          <w:color w:val="000000"/>
          <w:sz w:val="24"/>
          <w:szCs w:val="24"/>
          <w:highlight w:val="none"/>
          <w:u w:val="single"/>
        </w:rPr>
      </w:r>
      <w:r/>
    </w:p>
    <w:p>
      <w:pPr>
        <w:pStyle w:val="985"/>
        <w:ind w:firstLine="480"/>
        <w:jc w:val="left"/>
        <w:spacing w:line="44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江苏省镇江市扬中市中电大道8号</w:t>
      </w:r>
      <w:r>
        <w:rPr>
          <w:rFonts w:hint="eastAsia" w:ascii="宋体" w:hAnsi="宋体" w:cs="宋体"/>
          <w:color w:val="000000"/>
          <w:sz w:val="24"/>
          <w:szCs w:val="24"/>
          <w:highlight w:val="none"/>
          <w:u w:val="single"/>
        </w:rPr>
      </w:r>
      <w:r/>
    </w:p>
    <w:p>
      <w:pPr>
        <w:pStyle w:val="985"/>
        <w:ind w:firstLine="480"/>
        <w:jc w:val="left"/>
        <w:spacing w:line="440" w:lineRule="exact"/>
        <w:rPr>
          <w:rFonts w:ascii="宋体" w:hAnsi="宋体" w:eastAsia="宋体" w:cs="宋体"/>
          <w:color w:val="000000"/>
          <w:sz w:val="24"/>
          <w:szCs w:val="24"/>
          <w:highlight w:val="none"/>
          <w:u w:val="single"/>
          <w:lang w:val="en-US" w:eastAsia="zh-CN"/>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u w:val="single"/>
        </w:rPr>
        <w:t xml:space="preserve">0511-</w:t>
      </w:r>
      <w:r>
        <w:rPr>
          <w:rFonts w:hint="eastAsia" w:ascii="宋体" w:hAnsi="宋体" w:cs="宋体"/>
          <w:color w:val="000000"/>
          <w:sz w:val="24"/>
          <w:szCs w:val="24"/>
          <w:highlight w:val="none"/>
          <w:u w:val="single"/>
          <w:lang w:val="en-US" w:eastAsia="zh-CN"/>
        </w:rPr>
        <w:t xml:space="preserve">88356926</w:t>
      </w:r>
      <w:r>
        <w:rPr>
          <w:rFonts w:ascii="宋体" w:hAnsi="宋体" w:eastAsia="宋体" w:cs="宋体"/>
          <w:color w:val="000000"/>
          <w:sz w:val="24"/>
          <w:szCs w:val="24"/>
          <w:highlight w:val="none"/>
          <w:u w:val="single"/>
          <w:lang w:val="en-US" w:eastAsia="zh-CN"/>
        </w:rPr>
      </w:r>
      <w:r/>
    </w:p>
    <w:p>
      <w:pPr>
        <w:pStyle w:val="985"/>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985"/>
        <w:ind w:firstLine="480"/>
        <w:spacing w:line="440" w:lineRule="exact"/>
        <w:rPr>
          <w:rFonts w:hint="eastAsia" w:ascii="宋体" w:hAnsi="宋体" w:cs="宋体"/>
          <w:color w:val="000000"/>
          <w:sz w:val="24"/>
          <w:szCs w:val="24"/>
          <w:highlight w:val="none"/>
          <w:u w:val="single"/>
        </w:rPr>
        <w:outlineLvl w:val="2"/>
      </w:pPr>
      <w:r/>
      <w:bookmarkEnd w:id="40"/>
      <w:r/>
      <w:bookmarkEnd w:id="41"/>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t xml:space="preserve">江苏金居工程项目管理有限公司</w:t>
      </w:r>
      <w:r>
        <w:rPr>
          <w:rFonts w:hint="eastAsia" w:ascii="宋体" w:hAnsi="宋体" w:cs="宋体"/>
          <w:color w:val="000000"/>
          <w:sz w:val="24"/>
          <w:szCs w:val="24"/>
          <w:highlight w:val="none"/>
          <w:u w:val="single"/>
        </w:rPr>
      </w:r>
      <w:r/>
    </w:p>
    <w:p>
      <w:pPr>
        <w:pStyle w:val="985"/>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扬中市中电大道688号浩云湾27幢04室</w:t>
      </w:r>
      <w:r>
        <w:rPr>
          <w:rFonts w:hint="eastAsia" w:ascii="宋体" w:hAnsi="宋体"/>
          <w:color w:val="000000"/>
          <w:sz w:val="24"/>
          <w:szCs w:val="24"/>
          <w:highlight w:val="none"/>
          <w:u w:val="single"/>
        </w:rPr>
      </w:r>
      <w:r/>
    </w:p>
    <w:p>
      <w:pPr>
        <w:pStyle w:val="98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张梦雅</w:t>
      </w:r>
      <w:r>
        <w:rPr>
          <w:rFonts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联系方式：</w:t>
      </w:r>
      <w:bookmarkStart w:id="42" w:name="_Toc28359087"/>
      <w:r/>
      <w:bookmarkStart w:id="43" w:name="_Toc28359010"/>
      <w:r>
        <w:rPr>
          <w:rFonts w:hint="eastAsia" w:ascii="宋体" w:hAnsi="宋体"/>
          <w:color w:val="000000"/>
          <w:sz w:val="24"/>
          <w:szCs w:val="24"/>
          <w:highlight w:val="none"/>
          <w:u w:val="single"/>
        </w:rPr>
        <w:t xml:space="preserve">19814712528</w:t>
      </w:r>
      <w:r>
        <w:rPr>
          <w:rFonts w:hint="eastAsia" w:ascii="宋体" w:hAnsi="宋体"/>
          <w:color w:val="000000"/>
          <w:sz w:val="24"/>
          <w:szCs w:val="24"/>
          <w:highlight w:val="none"/>
        </w:rPr>
      </w:r>
      <w:r/>
    </w:p>
    <w:p>
      <w:pPr>
        <w:pStyle w:val="988"/>
        <w:ind w:firstLine="373"/>
        <w:spacing w:before="145" w:after="145" w:line="440" w:lineRule="exact"/>
        <w:rPr>
          <w:color w:val="000000"/>
          <w:sz w:val="24"/>
          <w:szCs w:val="24"/>
          <w:highlight w:val="none"/>
        </w:rPr>
      </w:pPr>
      <w:r/>
      <w:bookmarkEnd w:id="42"/>
      <w:r/>
      <w:bookmarkEnd w:id="43"/>
      <w:r>
        <w:rPr>
          <w:rFonts w:hint="eastAsia"/>
          <w:color w:val="000000"/>
          <w:sz w:val="24"/>
          <w:szCs w:val="24"/>
          <w:highlight w:val="none"/>
        </w:rPr>
        <w:t xml:space="preserve">八、其他</w:t>
      </w:r>
      <w:r>
        <w:rPr>
          <w:color w:val="000000"/>
          <w:sz w:val="24"/>
          <w:szCs w:val="24"/>
          <w:highlight w:val="none"/>
        </w:rPr>
      </w:r>
      <w:r/>
    </w:p>
    <w:p>
      <w:pPr>
        <w:pStyle w:val="985"/>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 有关本次招标的事项若存在变动或修改，敬请及时关注“江苏政府采购网”、“扬中政府采购网”发布的更正公告。</w:t>
      </w:r>
      <w:r>
        <w:rPr>
          <w:rFonts w:hint="eastAsia" w:ascii="宋体" w:hAnsi="宋体"/>
          <w:bCs/>
          <w:color w:val="000000"/>
          <w:sz w:val="24"/>
          <w:szCs w:val="24"/>
          <w:highlight w:val="none"/>
        </w:rPr>
      </w:r>
      <w:r/>
    </w:p>
    <w:p>
      <w:pPr>
        <w:pStyle w:val="985"/>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本次招标不收取投标保证金。</w:t>
      </w:r>
      <w:r>
        <w:rPr>
          <w:rFonts w:hint="eastAsia" w:ascii="宋体" w:hAnsi="宋体"/>
          <w:bCs/>
          <w:color w:val="000000"/>
          <w:sz w:val="24"/>
          <w:szCs w:val="24"/>
          <w:highlight w:val="none"/>
        </w:rPr>
      </w:r>
      <w:r/>
    </w:p>
    <w:p>
      <w:pPr>
        <w:pStyle w:val="985"/>
        <w:ind w:right="839"/>
        <w:jc w:val="center"/>
        <w:spacing w:before="145" w:after="145" w:line="440" w:lineRule="exact"/>
        <w:rPr>
          <w:rFonts w:hint="eastAsia" w:ascii="黑体" w:eastAsia="黑体"/>
          <w:b/>
          <w:bCs/>
          <w:color w:val="000000"/>
          <w:highlight w:val="none"/>
        </w:rPr>
      </w:pPr>
      <w:r>
        <w:rPr>
          <w:rFonts w:ascii="宋体" w:hAnsi="宋体"/>
          <w:color w:val="000000"/>
          <w:sz w:val="24"/>
          <w:szCs w:val="24"/>
          <w:highlight w:val="none"/>
        </w:rPr>
        <w:br w:type="page" w:clear="all"/>
      </w:r>
      <w:bookmarkStart w:id="44" w:name="_Toc120614211"/>
      <w:r>
        <w:rPr>
          <w:rFonts w:hint="eastAsia" w:ascii="黑体" w:eastAsia="黑体"/>
          <w:color w:val="000000"/>
          <w:sz w:val="32"/>
          <w:szCs w:val="32"/>
          <w:highlight w:val="none"/>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120614213"/>
      <w:r/>
      <w:bookmarkStart w:id="48" w:name="_Toc20823274"/>
      <w:r>
        <w:rPr>
          <w:rFonts w:hint="eastAsia" w:ascii="黑体" w:eastAsia="黑体"/>
          <w:color w:val="000000"/>
          <w:sz w:val="32"/>
          <w:szCs w:val="32"/>
          <w:highlight w:val="none"/>
        </w:rPr>
        <w:t xml:space="preserve">投标人须知</w:t>
      </w:r>
      <w:bookmarkEnd w:id="45"/>
      <w:r/>
      <w:bookmarkEnd w:id="46"/>
      <w:r/>
      <w:bookmarkEnd w:id="47"/>
      <w:r/>
      <w:bookmarkEnd w:id="48"/>
      <w:r>
        <w:rPr>
          <w:rFonts w:hint="eastAsia" w:ascii="黑体" w:eastAsia="黑体"/>
          <w:b/>
          <w:bCs/>
          <w:color w:val="000000"/>
          <w:highlight w:val="none"/>
        </w:rPr>
      </w:r>
      <w:r/>
    </w:p>
    <w:p>
      <w:pPr>
        <w:pStyle w:val="988"/>
        <w:ind w:firstLine="373"/>
        <w:spacing w:before="145" w:after="145" w:line="440" w:lineRule="exact"/>
        <w:rPr>
          <w:rFonts w:hint="eastAsia"/>
          <w:color w:val="000000"/>
          <w:sz w:val="24"/>
          <w:szCs w:val="24"/>
          <w:highlight w:val="none"/>
        </w:rPr>
      </w:pPr>
      <w:r/>
      <w:bookmarkStart w:id="49" w:name="_Toc513029203"/>
      <w:r/>
      <w:bookmarkStart w:id="50" w:name="_Toc16938519"/>
      <w:r/>
      <w:bookmarkStart w:id="51" w:name="_Toc120614214"/>
      <w:r/>
      <w:bookmarkStart w:id="52" w:name="_Toc20823275"/>
      <w:r>
        <w:rPr>
          <w:rFonts w:hint="eastAsia"/>
          <w:color w:val="000000"/>
          <w:sz w:val="24"/>
          <w:szCs w:val="24"/>
          <w:highlight w:val="none"/>
        </w:rPr>
        <w:t xml:space="preserve">一、总则</w:t>
      </w:r>
      <w:bookmarkEnd w:id="49"/>
      <w:r/>
      <w:bookmarkEnd w:id="50"/>
      <w:r/>
      <w:bookmarkEnd w:id="51"/>
      <w:r/>
      <w:bookmarkEnd w:id="52"/>
      <w:r>
        <w:rPr>
          <w:rFonts w:hint="eastAsia"/>
          <w:color w:val="000000"/>
          <w:sz w:val="24"/>
          <w:szCs w:val="24"/>
          <w:highlight w:val="none"/>
        </w:rPr>
      </w:r>
      <w:r/>
    </w:p>
    <w:p>
      <w:pPr>
        <w:pStyle w:val="989"/>
        <w:ind w:firstLine="360"/>
        <w:spacing w:before="0" w:after="0" w:line="440" w:lineRule="exact"/>
        <w:rPr>
          <w:rFonts w:hint="eastAsia"/>
          <w:b w:val="0"/>
          <w:bCs w:val="0"/>
          <w:color w:val="000000"/>
          <w:sz w:val="24"/>
          <w:szCs w:val="24"/>
          <w:highlight w:val="none"/>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color w:val="000000"/>
          <w:sz w:val="24"/>
          <w:szCs w:val="24"/>
          <w:highlight w:val="none"/>
        </w:rPr>
        <w:t xml:space="preserve">1</w:t>
      </w:r>
      <w:bookmarkEnd w:id="54"/>
      <w:r>
        <w:rPr>
          <w:rFonts w:hint="eastAsia"/>
          <w:b w:val="0"/>
          <w:bCs w:val="0"/>
          <w:color w:val="000000"/>
          <w:sz w:val="24"/>
          <w:szCs w:val="24"/>
          <w:highlight w:val="none"/>
        </w:rPr>
        <w:t xml:space="preserve">、招标方式</w:t>
      </w:r>
      <w:bookmarkEnd w:id="55"/>
      <w:r/>
      <w:bookmarkEnd w:id="56"/>
      <w:r/>
      <w:bookmarkEnd w:id="57"/>
      <w:r>
        <w:rPr>
          <w:rFonts w:hint="eastAsia"/>
          <w:b w:val="0"/>
          <w:bCs w:val="0"/>
          <w:color w:val="000000"/>
          <w:sz w:val="24"/>
          <w:szCs w:val="24"/>
          <w:highlight w:val="none"/>
        </w:rPr>
      </w:r>
      <w:r/>
    </w:p>
    <w:p>
      <w:pPr>
        <w:pStyle w:val="98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hint="eastAsia" w:ascii="宋体" w:hAnsi="宋体"/>
          <w:color w:val="000000"/>
          <w:sz w:val="24"/>
          <w:highlight w:val="none"/>
        </w:rPr>
      </w:r>
      <w:r/>
    </w:p>
    <w:p>
      <w:pPr>
        <w:pStyle w:val="989"/>
        <w:ind w:firstLine="360"/>
        <w:spacing w:before="0" w:after="0" w:line="440" w:lineRule="exact"/>
        <w:rPr>
          <w:rFonts w:hint="eastAsia"/>
          <w:b w:val="0"/>
          <w:bCs w:val="0"/>
          <w:color w:val="000000"/>
          <w:sz w:val="24"/>
          <w:szCs w:val="24"/>
          <w:highlight w:val="none"/>
        </w:rPr>
      </w:pPr>
      <w:r/>
      <w:bookmarkStart w:id="58" w:name="_Toc513029205"/>
      <w:r/>
      <w:bookmarkStart w:id="59" w:name="_Toc20823277"/>
      <w:r/>
      <w:bookmarkStart w:id="60" w:name="_Toc16938521"/>
      <w:r>
        <w:rPr>
          <w:rFonts w:hint="eastAsia"/>
          <w:b w:val="0"/>
          <w:bCs w:val="0"/>
          <w:color w:val="000000"/>
          <w:sz w:val="24"/>
          <w:szCs w:val="24"/>
          <w:highlight w:val="none"/>
        </w:rPr>
        <w:t xml:space="preserve">2、合格的投标人</w:t>
      </w:r>
      <w:bookmarkEnd w:id="58"/>
      <w:r/>
      <w:bookmarkEnd w:id="59"/>
      <w:r/>
      <w:bookmarkEnd w:id="60"/>
      <w:r>
        <w:rPr>
          <w:rFonts w:hint="eastAsia"/>
          <w:b w:val="0"/>
          <w:bCs w:val="0"/>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rPr>
          <w:rFonts w:hint="eastAsia" w:ascii="宋体" w:hAnsi="宋体"/>
          <w:color w:val="000000"/>
          <w:sz w:val="24"/>
          <w:szCs w:val="24"/>
          <w:highlight w:val="none"/>
        </w:rPr>
      </w:r>
      <w:r/>
    </w:p>
    <w:p>
      <w:pPr>
        <w:pStyle w:val="989"/>
        <w:ind w:firstLine="360"/>
        <w:spacing w:before="0" w:after="0" w:line="440" w:lineRule="exact"/>
        <w:rPr>
          <w:b w:val="0"/>
          <w:bCs w:val="0"/>
          <w:color w:val="000000"/>
          <w:sz w:val="24"/>
          <w:szCs w:val="24"/>
          <w:highlight w:val="none"/>
        </w:rPr>
      </w:pPr>
      <w:r/>
      <w:bookmarkStart w:id="61" w:name="_Toc16938522"/>
      <w:r/>
      <w:bookmarkStart w:id="62" w:name="_Toc513029206"/>
      <w:r/>
      <w:bookmarkStart w:id="63" w:name="_Toc20823278"/>
      <w:r>
        <w:rPr>
          <w:rFonts w:hint="eastAsia"/>
          <w:b w:val="0"/>
          <w:bCs w:val="0"/>
          <w:color w:val="000000"/>
          <w:sz w:val="24"/>
          <w:szCs w:val="24"/>
          <w:highlight w:val="none"/>
        </w:rPr>
        <w:t xml:space="preserve">3、适用法律</w:t>
      </w:r>
      <w:bookmarkEnd w:id="61"/>
      <w:r/>
      <w:bookmarkEnd w:id="62"/>
      <w:r/>
      <w:bookmarkEnd w:id="63"/>
      <w:r>
        <w:rPr>
          <w:rFonts w:hint="eastAsia"/>
          <w:b w:val="0"/>
          <w:bCs w:val="0"/>
          <w:color w:val="000000"/>
          <w:sz w:val="24"/>
          <w:szCs w:val="24"/>
          <w:highlight w:val="none"/>
        </w:rPr>
        <w:t xml:space="preserve">及政策功能</w:t>
      </w:r>
      <w:r>
        <w:rPr>
          <w:b w:val="0"/>
          <w:bCs w:val="0"/>
          <w:color w:val="000000"/>
          <w:sz w:val="24"/>
          <w:szCs w:val="24"/>
          <w:highlight w:val="none"/>
        </w:rPr>
      </w:r>
      <w:r/>
    </w:p>
    <w:p>
      <w:pPr>
        <w:pStyle w:val="985"/>
        <w:ind w:firstLine="420"/>
        <w:spacing w:line="440" w:lineRule="exact"/>
        <w:rPr>
          <w:rFonts w:ascii="宋体" w:hAnsi="宋体"/>
          <w:color w:val="000000"/>
          <w:sz w:val="24"/>
          <w:highlight w:val="none"/>
        </w:rPr>
      </w:pPr>
      <w:r>
        <w:rPr>
          <w:rFonts w:hint="eastAsia" w:ascii="宋体" w:hAnsi="宋体"/>
          <w:color w:val="000000"/>
          <w:sz w:val="24"/>
          <w:highlight w:val="none"/>
        </w:rPr>
        <w:t xml:space="preserve">本次招标及由此产生的合同受中华人民共和国有关的法律法规制约和保护</w:t>
      </w:r>
      <w:r>
        <w:rPr>
          <w:rFonts w:ascii="宋体" w:hAnsi="宋体"/>
          <w:color w:val="000000"/>
          <w:sz w:val="24"/>
          <w:highlight w:val="none"/>
        </w:rPr>
        <w:t xml:space="preserve">。</w:t>
      </w:r>
      <w:r>
        <w:rPr>
          <w:rFonts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3.1支持中小企业发展</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符合中小企业划分标准的个体工商户，在政府采购活动中视同中小企业。</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3.1.2在政府采购活动中，投标人提供的货物、工程或者服务符合下列情形的，享受中小企业扶持政策：</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3.1.2.1在货物采购项目中，货物由中小企业制造，即货物由中小企业生产且使用该中小企业商号或者注册商标；</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3.1.2.2在工程采购项目中，工程由中小企业承建，即工程施工单位为中小企业；</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3.1.2.3在服务采购项目中，服务由中小企业承接，即提供服务的人员为中小企业依照《中华人民共和国劳动合同法》订立劳动合同的从业人员。</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在货物采购项目中，投标人提供的货物既有中小企业制造货物，也有大型企业制造货物的，不享受中小企业扶持政策。</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4" w:name="_Hlk132637972"/>
      <w:r>
        <w:rPr>
          <w:rFonts w:hint="eastAsia" w:ascii="宋体" w:hAnsi="宋体"/>
          <w:color w:val="000000"/>
          <w:sz w:val="24"/>
          <w:highlight w:val="none"/>
        </w:rPr>
        <w:t xml:space="preserve">10%-20%</w:t>
      </w:r>
      <w:bookmarkEnd w:id="64"/>
      <w:r>
        <w:rPr>
          <w:rFonts w:hint="eastAsia" w:ascii="宋体" w:hAnsi="宋体"/>
          <w:color w:val="000000"/>
          <w:sz w:val="24"/>
          <w:highlight w:val="none"/>
        </w:rPr>
        <w:t xml:space="preserve">的扣除，</w:t>
      </w:r>
      <w:bookmarkStart w:id="65" w:name="_Hlk132637893"/>
      <w:r>
        <w:rPr>
          <w:rFonts w:hint="eastAsia" w:ascii="宋体" w:hAnsi="宋体"/>
          <w:color w:val="000000"/>
          <w:sz w:val="24"/>
          <w:highlight w:val="none"/>
        </w:rPr>
        <w:t xml:space="preserve">用扣除后的价格参与评审</w:t>
      </w:r>
      <w:bookmarkEnd w:id="65"/>
      <w:r>
        <w:rPr>
          <w:rFonts w:hint="eastAsia" w:ascii="宋体" w:hAnsi="宋体"/>
          <w:color w:val="000000"/>
          <w:sz w:val="24"/>
          <w:highlight w:val="none"/>
        </w:rPr>
        <w:t xml:space="preserve">。接受大中型</w:t>
      </w:r>
      <w:r>
        <w:rPr>
          <w:rFonts w:hint="eastAsia" w:ascii="宋体" w:hAnsi="宋体"/>
          <w:color w:val="000000"/>
          <w:sz w:val="24"/>
          <w:highlight w:val="none"/>
        </w:rPr>
        <w:t xml:space="preserve">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w:t>
      </w:r>
      <w:r>
        <w:rPr>
          <w:rFonts w:hint="eastAsia" w:ascii="宋体" w:hAnsi="宋体"/>
          <w:color w:val="000000"/>
          <w:sz w:val="24"/>
          <w:highlight w:val="none"/>
          <w:lang w:eastAsia="zh-CN"/>
        </w:rPr>
        <w:t xml:space="preserve">中标</w:t>
      </w:r>
      <w:r>
        <w:rPr>
          <w:rFonts w:hint="eastAsia" w:ascii="宋体" w:hAnsi="宋体"/>
          <w:color w:val="000000"/>
          <w:sz w:val="24"/>
          <w:highlight w:val="none"/>
        </w:rPr>
        <w:t xml:space="preserve">的，依法承担法律责任。中小企业划型标准见《关于印发中小企业划型标准规定的通知》（工信部联企业[2011]300号）。</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3.1.6中小企业享受扶持政策获得政府采购合同的，小微企业不得将合同分包给大中型企业，中型企业不得将合同分包给大型企业。</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3.2强制采购信息安全产品</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3.3支持绿色发展</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3.3.2本项目中涉及商品包装和快递包装的，参考《财政部办公厅关于印发《商品包装政府采购需求标准（试行）》、 《快递包装政府采购需求标准（试行）》的通知》</w:t>
      </w:r>
      <w:bookmarkStart w:id="66" w:name="_Hlk132634610"/>
      <w:r>
        <w:rPr>
          <w:rFonts w:hint="eastAsia" w:ascii="宋体" w:hAnsi="宋体"/>
          <w:color w:val="000000"/>
          <w:sz w:val="24"/>
          <w:highlight w:val="none"/>
        </w:rPr>
        <w:t xml:space="preserve">（财办库〔2020〕123号）</w:t>
      </w:r>
      <w:bookmarkEnd w:id="66"/>
      <w:r>
        <w:rPr>
          <w:rFonts w:hint="eastAsia" w:ascii="宋体" w:hAnsi="宋体"/>
          <w:color w:val="000000"/>
          <w:sz w:val="24"/>
          <w:highlight w:val="none"/>
        </w:rPr>
        <w:t xml:space="preserve">规定的包装需求标准。</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3.3.4</w:t>
      </w:r>
      <w:r>
        <w:rPr>
          <w:rFonts w:hint="eastAsia" w:ascii="宋体" w:hAnsi="宋体"/>
          <w:color w:val="000000"/>
          <w:sz w:val="24"/>
          <w:highlight w:val="none"/>
          <w:lang w:eastAsia="zh-CN"/>
        </w:rPr>
        <w:t xml:space="preserve">招标人</w:t>
      </w:r>
      <w:r>
        <w:rPr>
          <w:rFonts w:hint="eastAsia" w:ascii="宋体" w:hAnsi="宋体"/>
          <w:color w:val="000000"/>
          <w:sz w:val="24"/>
          <w:highlight w:val="none"/>
        </w:rPr>
        <w:t xml:space="preserve">采购数据中心相关设备、运维服务，按照《绿色数据中心政府采购需求标准（试行）》实施相关采购活动。</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3.4 根据国家扶持中小企业的有关政策，采购项目中标人在履约过程中如遇到资金困难，凭政府采购合同在相关金融机构办理授信申请，相关事宜请查阅“镇江市公共资源交易服务平台---政府采购”网站。</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3.5支持创新发展</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3.5.1</w:t>
      </w:r>
      <w:r>
        <w:rPr>
          <w:rFonts w:hint="eastAsia" w:ascii="宋体" w:hAnsi="宋体"/>
          <w:color w:val="000000"/>
          <w:sz w:val="24"/>
          <w:highlight w:val="none"/>
          <w:lang w:eastAsia="zh-CN"/>
        </w:rPr>
        <w:t xml:space="preserve">招标人</w:t>
      </w:r>
      <w:r>
        <w:rPr>
          <w:rFonts w:hint="eastAsia" w:ascii="宋体" w:hAnsi="宋体"/>
          <w:color w:val="000000"/>
          <w:sz w:val="24"/>
          <w:highlight w:val="none"/>
        </w:rPr>
        <w:t xml:space="preserve">优先采购被认定为重点推广应用、首台（套）重大装备、重点领域首版次软件的自主创新产品。</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3.6平等对待内外资企业和符合条件的破产重整企业</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3.6.1平等对待内外资企业和符合条件的破产重整企业，切实保障企业公平竞争，平等维护企业的合法利益。</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bookmarkStart w:id="67" w:name="_Toc513029207"/>
      <w:r/>
      <w:bookmarkStart w:id="68" w:name="_Toc20823279"/>
      <w:r/>
      <w:bookmarkStart w:id="69" w:name="_Toc462564067"/>
      <w:r/>
      <w:bookmarkStart w:id="70" w:name="_Toc16938523"/>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招标人数据中心相关设备、运维服务，按照《绿色数据中心政府需求标准（试行）》实施相关活动。</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3.</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根据国家扶持中小企业的有关政策，组织方负责代理的项目中标（</w:t>
      </w:r>
      <w:r>
        <w:rPr>
          <w:rFonts w:hint="eastAsia" w:ascii="宋体" w:hAnsi="宋体"/>
          <w:color w:val="000000"/>
          <w:sz w:val="24"/>
          <w:highlight w:val="none"/>
          <w:lang w:eastAsia="zh-CN"/>
        </w:rPr>
        <w:t xml:space="preserve">中标</w:t>
      </w:r>
      <w:r>
        <w:rPr>
          <w:rFonts w:hint="eastAsia" w:ascii="宋体" w:hAnsi="宋体"/>
          <w:color w:val="000000"/>
          <w:sz w:val="24"/>
          <w:highlight w:val="none"/>
        </w:rPr>
        <w:t xml:space="preserve">）企业，在履约过程中如遇到资金困难，凭中标（</w:t>
      </w:r>
      <w:r>
        <w:rPr>
          <w:rFonts w:hint="eastAsia" w:ascii="宋体" w:hAnsi="宋体"/>
          <w:color w:val="000000"/>
          <w:sz w:val="24"/>
          <w:highlight w:val="none"/>
          <w:lang w:eastAsia="zh-CN"/>
        </w:rPr>
        <w:t xml:space="preserve">中标</w:t>
      </w:r>
      <w:r>
        <w:rPr>
          <w:rFonts w:hint="eastAsia" w:ascii="宋体" w:hAnsi="宋体"/>
          <w:color w:val="000000"/>
          <w:sz w:val="24"/>
          <w:highlight w:val="none"/>
        </w:rPr>
        <w:t xml:space="preserve">）通知书在相关金融机构办理授信申请，相关事宜请查阅“镇江市公共资源交易服务平台---政府”网站。</w:t>
      </w:r>
      <w:r>
        <w:rPr>
          <w:rFonts w:hint="eastAsia" w:ascii="宋体" w:hAnsi="宋体"/>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实施本国产品标准及相关政策</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.1认定标准</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本国产品应当符合以下条件：</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（一）在中国境内生产</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产品应当在中国境内生产，即在中华人民共和国关境内实现从原材料、组件到产品的属性改变。</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1.为确保产品在运输或者储存期间保持某种状态而进行的操作；</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2.为产品运输或者销售进行的包装或者展示；</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3.在产品或者其包装上粘贴或者印刷品牌、标志、标识以及其他用于区别的标记；</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4.简单的上漆、磨光和分装；</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5.其他不属于属性改变的情形。</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（二）在中国境内生产的组件成本占比达到规定比例</w:t>
      </w:r>
      <w:r>
        <w:rPr>
          <w:rFonts w:hint="eastAsia" w:ascii="宋体" w:hAnsi="宋体" w:eastAsia="宋体" w:cs="Times New Roman"/>
          <w:color w:val="000000"/>
          <w:sz w:val="24"/>
          <w:highlight w:val="none"/>
        </w:rPr>
      </w:r>
      <w:r/>
    </w:p>
    <w:p>
      <w:pPr>
        <w:pStyle w:val="985"/>
        <w:ind w:firstLine="490"/>
        <w:pageBreakBefore w:val="0"/>
        <w:spacing w:line="440" w:lineRule="exact"/>
        <w:rPr>
          <w:rFonts w:hint="eastAsia" w:ascii="宋体" w:hAnsi="宋体" w:eastAsia="宋体" w:cs="Times New Roman"/>
          <w:color w:val="000000"/>
          <w:sz w:val="24"/>
          <w:highlight w:val="none"/>
          <w:lang w:eastAsia="zh-CN"/>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188595</wp:posOffset>
                </wp:positionH>
                <wp:positionV relativeFrom="paragraph">
                  <wp:posOffset>225425</wp:posOffset>
                </wp:positionV>
                <wp:extent cx="4829175" cy="76200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4.8pt;mso-position-horizontal:absolute;mso-position-vertical-relative:text;margin-top:17.8pt;mso-position-vertical:absolute;width:380.2pt;height:60.0pt;mso-wrap-distance-left:9.0pt;mso-wrap-distance-top:0.0pt;mso-wrap-distance-right:9.0pt;mso-wrap-distance-bottom:0.0pt;" stroked="f">
                <v:path textboxrect="0,0,0,0"/>
                <v:imagedata r:id="rId15" o:title=""/>
              </v:shape>
            </w:pict>
          </mc:Fallback>
        </mc:AlternateContent>
      </w:r>
      <w:r>
        <w:rPr>
          <w:rFonts w:hint="eastAsia" w:ascii="宋体" w:hAnsi="宋体" w:eastAsia="宋体" w:cs="Times New Roman"/>
          <w:color w:val="000000"/>
          <w:sz w:val="24"/>
          <w:highlight w:val="none"/>
        </w:rPr>
        <w:t xml:space="preserve">产品在中国境内生产的组件成本占比应当达到规定比例，计算公式为：</w:t>
      </w:r>
      <w:r>
        <w:rPr>
          <w:rFonts w:hint="eastAsia" w:ascii="宋体" w:hAnsi="宋体" w:eastAsia="宋体" w:cs="Times New Roman"/>
          <w:color w:val="000000"/>
          <w:sz w:val="24"/>
          <w:highlight w:val="none"/>
          <w:lang w:eastAsia="zh-CN"/>
        </w:rPr>
      </w:r>
      <w:r/>
    </w:p>
    <w:p>
      <w:pPr>
        <w:pStyle w:val="985"/>
        <w:ind w:firstLine="360"/>
        <w:keepLines/>
        <w:keepNext/>
        <w:pageBreakBefore w:val="0"/>
        <w:spacing w:line="440" w:lineRule="exact"/>
        <w:rPr>
          <w:rFonts w:hint="eastAsia" w:ascii="Arial" w:hAnsi="Arial" w:eastAsia="黑体" w:cs="Arial"/>
          <w:color w:val="000000"/>
          <w:sz w:val="24"/>
          <w:szCs w:val="24"/>
          <w:highlight w:val="none"/>
          <w:lang w:val="en-US" w:eastAsia="zh-CN"/>
        </w:rPr>
        <w:outlineLvl w:val="3"/>
      </w:pPr>
      <w:r>
        <w:rPr>
          <w:rFonts w:hint="eastAsia" w:ascii="Arial" w:hAnsi="Arial" w:eastAsia="黑体" w:cs="Arial"/>
          <w:color w:val="000000"/>
          <w:sz w:val="24"/>
          <w:szCs w:val="24"/>
          <w:highlight w:val="none"/>
          <w:lang w:val="en-US" w:eastAsia="zh-CN"/>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（三）特定产品的关键组件、关键工序符合相关要求</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.2适用范围</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.3对本国产品的支持政策</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.4书面澄清、说明或者补正</w:t>
      </w:r>
      <w:r>
        <w:rPr>
          <w:rFonts w:hint="eastAsia" w:ascii="宋体" w:hAnsi="宋体" w:eastAsia="宋体" w:cs="Times New Roman"/>
          <w:color w:val="000000"/>
          <w:sz w:val="24"/>
          <w:highlight w:val="none"/>
        </w:rPr>
      </w:r>
      <w:r/>
    </w:p>
    <w:p>
      <w:pPr>
        <w:pStyle w:val="985"/>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eastAsia="宋体" w:cs="Times New Roman"/>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3.10</w:t>
      </w:r>
      <w:r>
        <w:rPr>
          <w:rFonts w:hint="eastAsia" w:ascii="宋体" w:hAnsi="宋体"/>
          <w:color w:val="000000"/>
          <w:sz w:val="24"/>
          <w:highlight w:val="none"/>
        </w:rPr>
        <w:t xml:space="preserve">本次招标及由本次产生的合同受中华人民共和国法律制约和保护。</w:t>
      </w:r>
      <w:r>
        <w:rPr>
          <w:rFonts w:hint="eastAsia" w:ascii="宋体" w:hAnsi="宋体"/>
          <w:color w:val="000000"/>
          <w:sz w:val="24"/>
          <w:highlight w:val="none"/>
        </w:rPr>
      </w:r>
      <w:r/>
    </w:p>
    <w:p>
      <w:pPr>
        <w:pStyle w:val="98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一旦领取了本招标文件并参加投标，即被认为接受了本招标文件的规定和约束。</w:t>
      </w:r>
      <w:r>
        <w:rPr>
          <w:rFonts w:hint="eastAsia" w:ascii="宋体" w:hAnsi="宋体"/>
          <w:color w:val="000000"/>
          <w:sz w:val="24"/>
          <w:highlight w:val="none"/>
        </w:rPr>
      </w:r>
      <w:r/>
    </w:p>
    <w:p>
      <w:pPr>
        <w:pStyle w:val="989"/>
        <w:ind w:firstLine="48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4、投标费用</w:t>
      </w:r>
      <w:bookmarkEnd w:id="67"/>
      <w:r/>
      <w:bookmarkEnd w:id="68"/>
      <w:r/>
      <w:bookmarkEnd w:id="69"/>
      <w:r/>
      <w:bookmarkEnd w:id="70"/>
      <w:r>
        <w:rPr>
          <w:rFonts w:hint="eastAsia"/>
          <w:b w:val="0"/>
          <w:bCs w:val="0"/>
          <w:color w:val="000000"/>
          <w:sz w:val="24"/>
          <w:szCs w:val="24"/>
          <w:highlight w:val="none"/>
        </w:rPr>
      </w:r>
      <w:r/>
    </w:p>
    <w:p>
      <w:pPr>
        <w:pStyle w:val="98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color w:val="000000"/>
          <w:sz w:val="24"/>
          <w:szCs w:val="24"/>
          <w:highlight w:val="none"/>
        </w:rPr>
        <w:t xml:space="preserve">江苏金居工程项目管理有限公司</w:t>
      </w:r>
      <w:r>
        <w:rPr>
          <w:rFonts w:hint="eastAsia" w:ascii="宋体" w:hAnsi="宋体"/>
          <w:color w:val="000000"/>
          <w:sz w:val="24"/>
          <w:highlight w:val="none"/>
        </w:rPr>
        <w:t xml:space="preserve">在任何情况下均无义务和责任承担这些费用。</w:t>
      </w:r>
      <w:r>
        <w:rPr>
          <w:rFonts w:hint="eastAsia" w:ascii="宋体" w:hAnsi="宋体"/>
          <w:color w:val="000000"/>
          <w:sz w:val="24"/>
          <w:highlight w:val="none"/>
        </w:rPr>
      </w:r>
      <w:r/>
    </w:p>
    <w:p>
      <w:pPr>
        <w:pStyle w:val="98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4.2本次招标不收取标书工本费。</w:t>
      </w:r>
      <w:r>
        <w:rPr>
          <w:rFonts w:hint="eastAsia" w:ascii="宋体" w:hAnsi="宋体"/>
          <w:color w:val="000000"/>
          <w:sz w:val="24"/>
          <w:highlight w:val="none"/>
        </w:rPr>
      </w:r>
      <w:r/>
    </w:p>
    <w:p>
      <w:pPr>
        <w:pStyle w:val="985"/>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4.3招标代理费收费标准：</w:t>
      </w:r>
      <w:r>
        <w:rPr>
          <w:rFonts w:hint="eastAsia" w:ascii="宋体" w:hAnsi="宋体"/>
          <w:color w:val="000000"/>
          <w:sz w:val="24"/>
          <w:szCs w:val="24"/>
          <w:highlight w:val="none"/>
          <w:u w:val="single"/>
        </w:rPr>
        <w:t xml:space="preserve">招标代理费</w:t>
      </w:r>
      <w:r>
        <w:rPr>
          <w:rFonts w:hint="eastAsia" w:ascii="宋体" w:hAnsi="宋体"/>
          <w:color w:val="000000"/>
          <w:sz w:val="24"/>
          <w:szCs w:val="24"/>
          <w:highlight w:val="none"/>
          <w:u w:val="single"/>
          <w:lang w:eastAsia="zh-CN"/>
        </w:rPr>
        <w:t xml:space="preserve">根据比价结果，最终按玖万贰仟元整（￥</w:t>
      </w:r>
      <w:r>
        <w:rPr>
          <w:rFonts w:hint="eastAsia" w:ascii="宋体" w:hAnsi="宋体"/>
          <w:color w:val="000000"/>
          <w:sz w:val="24"/>
          <w:szCs w:val="24"/>
          <w:highlight w:val="none"/>
          <w:u w:val="single"/>
          <w:lang w:val="en-US" w:eastAsia="zh-CN"/>
        </w:rPr>
        <w:t xml:space="preserve">92000.00</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收取</w:t>
      </w:r>
      <w:r>
        <w:rPr>
          <w:rFonts w:hint="eastAsia" w:ascii="宋体" w:hAnsi="宋体"/>
          <w:color w:val="000000"/>
          <w:sz w:val="24"/>
          <w:szCs w:val="24"/>
          <w:highlight w:val="none"/>
          <w:u w:val="single"/>
          <w:lang w:eastAsia="zh-CN"/>
        </w:rPr>
        <w:t xml:space="preserve">。</w:t>
      </w:r>
      <w:r>
        <w:rPr>
          <w:rFonts w:hint="eastAsia" w:ascii="宋体" w:hAnsi="宋体" w:eastAsia="宋体"/>
          <w:color w:val="000000"/>
          <w:sz w:val="24"/>
          <w:szCs w:val="24"/>
          <w:highlight w:val="none"/>
          <w:lang w:eastAsia="zh-CN"/>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4.4招标代理费收取方式：</w:t>
      </w:r>
      <w:r>
        <w:rPr>
          <w:rFonts w:hint="eastAsia" w:ascii="宋体" w:hAnsi="宋体"/>
          <w:color w:val="000000"/>
          <w:sz w:val="24"/>
          <w:szCs w:val="24"/>
          <w:highlight w:val="none"/>
          <w:lang w:eastAsia="zh-CN"/>
        </w:rPr>
        <w:t xml:space="preserve">由中标人支付。本项目代理服务费已纳入项目成本测算，中标人投标报价时应综合考虑，招标人不再另行承担</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由中标人领取中标通知书时一次性付清；中标人如果未按规定缴纳上述费用，招标人或代理机构保留诉讼的权利。中标人需要开代理费发票的，需由中标人缴纳费用后，代理机构将发票开具给中标人。</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5 </w:t>
      </w:r>
      <w:r>
        <w:rPr>
          <w:rFonts w:hint="eastAsia" w:ascii="宋体" w:hAnsi="宋体"/>
          <w:color w:val="000000"/>
          <w:sz w:val="24"/>
          <w:szCs w:val="24"/>
          <w:highlight w:val="none"/>
        </w:rPr>
        <w:t xml:space="preserve">本次采购代理服务费在</w:t>
      </w:r>
      <w:r>
        <w:rPr>
          <w:rFonts w:hint="eastAsia" w:ascii="宋体" w:hAnsi="宋体"/>
          <w:color w:val="000000"/>
          <w:sz w:val="24"/>
          <w:szCs w:val="24"/>
          <w:highlight w:val="none"/>
          <w:lang w:eastAsia="zh-CN"/>
        </w:rPr>
        <w:t xml:space="preserve">中标</w:t>
      </w:r>
      <w:r>
        <w:rPr>
          <w:rFonts w:hint="eastAsia" w:ascii="宋体" w:hAnsi="宋体"/>
          <w:color w:val="000000"/>
          <w:sz w:val="24"/>
          <w:szCs w:val="24"/>
          <w:highlight w:val="none"/>
        </w:rPr>
        <w:t xml:space="preserve">供应商领取</w:t>
      </w:r>
      <w:r>
        <w:rPr>
          <w:rFonts w:hint="eastAsia" w:ascii="宋体" w:hAnsi="宋体"/>
          <w:color w:val="000000"/>
          <w:sz w:val="24"/>
          <w:szCs w:val="24"/>
          <w:highlight w:val="none"/>
          <w:lang w:eastAsia="zh-CN"/>
        </w:rPr>
        <w:t xml:space="preserve">中标</w:t>
      </w:r>
      <w:r>
        <w:rPr>
          <w:rFonts w:hint="eastAsia" w:ascii="宋体" w:hAnsi="宋体"/>
          <w:color w:val="000000"/>
          <w:sz w:val="24"/>
          <w:szCs w:val="24"/>
          <w:highlight w:val="none"/>
        </w:rPr>
        <w:t xml:space="preserve">通知书时结算。</w:t>
      </w:r>
      <w:r>
        <w:rPr>
          <w:rFonts w:hint="eastAsia" w:ascii="宋体" w:hAnsi="宋体"/>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付款</w:t>
      </w:r>
      <w:r>
        <w:rPr>
          <w:rFonts w:hint="eastAsia" w:ascii="宋体" w:hAnsi="宋体" w:eastAsia="宋体" w:cs="Times New Roman"/>
          <w:color w:val="000000"/>
          <w:sz w:val="24"/>
          <w:szCs w:val="24"/>
          <w:highlight w:val="none"/>
        </w:rPr>
        <w:t xml:space="preserve">账户如下：</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单位名称：江苏金居工程项目管理有限公司</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统一代码：91321182567838330L</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营业地址：扬中市三茅街道浩云湾27幢04室</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账号：10333001040629988</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开户银行：中国农业银行扬中市支行</w:t>
      </w:r>
      <w:r>
        <w:rPr>
          <w:rFonts w:hint="eastAsia" w:ascii="宋体" w:hAnsi="宋体" w:eastAsia="宋体" w:cs="Times New Roman"/>
          <w:color w:val="000000"/>
          <w:sz w:val="24"/>
          <w:szCs w:val="24"/>
          <w:highlight w:val="none"/>
        </w:rPr>
      </w:r>
      <w:r/>
    </w:p>
    <w:p>
      <w:pPr>
        <w:pStyle w:val="989"/>
        <w:ind w:firstLine="562"/>
        <w:spacing w:before="0" w:after="0" w:line="440" w:lineRule="exact"/>
        <w:rPr>
          <w:rFonts w:hint="eastAsia" w:ascii="黑体" w:hAnsi="宋体"/>
          <w:b w:val="0"/>
          <w:bCs w:val="0"/>
          <w:color w:val="000000"/>
          <w:sz w:val="24"/>
          <w:szCs w:val="24"/>
          <w:highlight w:val="none"/>
        </w:rPr>
      </w:pPr>
      <w:r>
        <w:rPr>
          <w:rFonts w:hint="eastAsia" w:ascii="宋体" w:hAnsi="宋体"/>
          <w:color w:val="000000"/>
          <w:szCs w:val="24"/>
          <w:highlight w:val="none"/>
        </w:rPr>
        <w:t xml:space="preserve">5、</w:t>
      </w:r>
      <w:r>
        <w:rPr>
          <w:rFonts w:hint="eastAsia" w:ascii="黑体" w:hAnsi="宋体"/>
          <w:b w:val="0"/>
          <w:bCs w:val="0"/>
          <w:color w:val="000000"/>
          <w:sz w:val="24"/>
          <w:szCs w:val="24"/>
          <w:highlight w:val="none"/>
        </w:rPr>
        <w:t xml:space="preserve">招标文件的约束力</w:t>
      </w:r>
      <w:r>
        <w:rPr>
          <w:rFonts w:hint="eastAsia" w:ascii="黑体" w:hAnsi="宋体"/>
          <w:b w:val="0"/>
          <w:bCs w:val="0"/>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988"/>
        <w:ind w:firstLine="281"/>
        <w:spacing w:before="145" w:after="145" w:line="440" w:lineRule="exact"/>
        <w:rPr>
          <w:rFonts w:hint="eastAsia"/>
          <w:color w:val="000000"/>
          <w:sz w:val="28"/>
          <w:szCs w:val="28"/>
          <w:highlight w:val="none"/>
        </w:rPr>
      </w:pPr>
      <w:r/>
      <w:bookmarkStart w:id="71" w:name="_Toc513029209"/>
      <w:r/>
      <w:bookmarkStart w:id="72" w:name="_Toc120614215"/>
      <w:r/>
      <w:bookmarkStart w:id="73" w:name="_Toc16938525"/>
      <w:r/>
      <w:bookmarkStart w:id="74" w:name="_Toc20823281"/>
      <w:r>
        <w:rPr>
          <w:rFonts w:hint="eastAsia"/>
          <w:color w:val="000000"/>
          <w:sz w:val="28"/>
          <w:szCs w:val="28"/>
          <w:highlight w:val="none"/>
        </w:rPr>
        <w:t xml:space="preserve">二、招标文件</w:t>
      </w:r>
      <w:bookmarkEnd w:id="71"/>
      <w:r/>
      <w:bookmarkEnd w:id="72"/>
      <w:r/>
      <w:bookmarkEnd w:id="73"/>
      <w:r/>
      <w:bookmarkEnd w:id="74"/>
      <w:r>
        <w:rPr>
          <w:rFonts w:hint="eastAsia"/>
          <w:color w:val="000000"/>
          <w:sz w:val="28"/>
          <w:szCs w:val="28"/>
          <w:highlight w:val="none"/>
        </w:rPr>
      </w:r>
      <w:r/>
    </w:p>
    <w:p>
      <w:pPr>
        <w:pStyle w:val="989"/>
        <w:ind w:firstLine="360"/>
        <w:spacing w:before="0" w:after="0" w:line="440" w:lineRule="exact"/>
        <w:rPr>
          <w:rFonts w:hint="eastAsia"/>
          <w:b w:val="0"/>
          <w:bCs w:val="0"/>
          <w:color w:val="000000"/>
          <w:sz w:val="24"/>
          <w:szCs w:val="24"/>
          <w:highlight w:val="none"/>
        </w:rPr>
      </w:pPr>
      <w:r/>
      <w:bookmarkStart w:id="75" w:name="_Toc513029210"/>
      <w:r/>
      <w:bookmarkStart w:id="76" w:name="_Toc16938526"/>
      <w:r/>
      <w:bookmarkStart w:id="77" w:name="_Toc20823282"/>
      <w:r>
        <w:rPr>
          <w:rFonts w:hint="eastAsia"/>
          <w:b w:val="0"/>
          <w:bCs w:val="0"/>
          <w:color w:val="000000"/>
          <w:sz w:val="24"/>
          <w:szCs w:val="24"/>
          <w:highlight w:val="none"/>
        </w:rPr>
        <w:t xml:space="preserve">6、招标文件构成</w:t>
      </w:r>
      <w:bookmarkEnd w:id="75"/>
      <w:r/>
      <w:bookmarkEnd w:id="76"/>
      <w:r/>
      <w:bookmarkEnd w:id="77"/>
      <w:r>
        <w:rPr>
          <w:rFonts w:hint="eastAsia"/>
          <w:b w:val="0"/>
          <w:bCs w:val="0"/>
          <w:color w:val="000000"/>
          <w:sz w:val="24"/>
          <w:szCs w:val="24"/>
          <w:highlight w:val="none"/>
        </w:rPr>
      </w:r>
      <w:r/>
    </w:p>
    <w:p>
      <w:pPr>
        <w:pStyle w:val="98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rPr>
          <w:rFonts w:hint="eastAsia" w:ascii="宋体" w:hAnsi="宋体"/>
          <w:color w:val="000000"/>
          <w:sz w:val="24"/>
          <w:highlight w:val="none"/>
        </w:rPr>
      </w:r>
      <w:r/>
    </w:p>
    <w:p>
      <w:pPr>
        <w:pStyle w:val="98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98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98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98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985"/>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98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请仔细检查招标文件是否齐全，如有缺漏请立即与采购代理机构联系解决。</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989"/>
        <w:ind w:firstLine="480"/>
        <w:spacing w:before="0" w:after="0" w:line="440" w:lineRule="exact"/>
        <w:rPr>
          <w:b w:val="0"/>
          <w:bCs w:val="0"/>
          <w:color w:val="000000"/>
          <w:sz w:val="24"/>
          <w:szCs w:val="24"/>
          <w:highlight w:val="none"/>
        </w:rPr>
      </w:pPr>
      <w:r/>
      <w:bookmarkStart w:id="78" w:name="_Toc462564070"/>
      <w:r/>
      <w:bookmarkStart w:id="79" w:name="_Toc16938527"/>
      <w:r/>
      <w:bookmarkStart w:id="80" w:name="_Toc513029211"/>
      <w:r/>
      <w:bookmarkStart w:id="81" w:name="_Toc20823283"/>
      <w:r>
        <w:rPr>
          <w:rFonts w:hint="eastAsia"/>
          <w:b w:val="0"/>
          <w:bCs w:val="0"/>
          <w:color w:val="000000"/>
          <w:sz w:val="24"/>
          <w:szCs w:val="24"/>
          <w:highlight w:val="none"/>
        </w:rPr>
        <w:t xml:space="preserve">7、招标文件的澄清</w:t>
      </w:r>
      <w:bookmarkEnd w:id="78"/>
      <w:r/>
      <w:bookmarkEnd w:id="79"/>
      <w:r/>
      <w:bookmarkEnd w:id="80"/>
      <w:r/>
      <w:bookmarkEnd w:id="81"/>
      <w:r>
        <w:rPr>
          <w:b w:val="0"/>
          <w:bCs w:val="0"/>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highlight w:val="none"/>
        </w:rPr>
        <w:t xml:space="preserve">按招标公告中的通讯地址，以书面形式通知</w:t>
      </w:r>
      <w:r>
        <w:rPr>
          <w:rFonts w:hint="eastAsia" w:ascii="宋体" w:hAnsi="宋体"/>
          <w:color w:val="000000"/>
          <w:sz w:val="24"/>
          <w:highlight w:val="none"/>
          <w:lang w:eastAsia="zh-CN"/>
        </w:rPr>
        <w:t xml:space="preserve">招标人</w:t>
      </w:r>
      <w:r>
        <w:rPr>
          <w:rFonts w:hint="eastAsia" w:ascii="宋体" w:hAnsi="宋体"/>
          <w:color w:val="000000"/>
          <w:sz w:val="24"/>
          <w:highlight w:val="none"/>
        </w:rPr>
        <w:t xml:space="preserve">或采购代理机构。</w:t>
      </w:r>
      <w:r>
        <w:rPr>
          <w:rFonts w:hint="eastAsia" w:ascii="宋体" w:hAnsi="宋体"/>
          <w:color w:val="000000"/>
          <w:sz w:val="24"/>
          <w:szCs w:val="24"/>
          <w:highlight w:val="none"/>
        </w:rPr>
      </w:r>
      <w:r/>
    </w:p>
    <w:p>
      <w:pPr>
        <w:pStyle w:val="989"/>
        <w:ind w:firstLine="480"/>
        <w:spacing w:before="0" w:after="0" w:line="440" w:lineRule="exact"/>
        <w:rPr>
          <w:rFonts w:hint="eastAsia"/>
          <w:b w:val="0"/>
          <w:bCs w:val="0"/>
          <w:color w:val="000000"/>
          <w:sz w:val="24"/>
          <w:szCs w:val="24"/>
          <w:highlight w:val="none"/>
        </w:rPr>
      </w:pPr>
      <w:r/>
      <w:bookmarkStart w:id="82" w:name="_Toc462564071"/>
      <w:r/>
      <w:bookmarkStart w:id="83" w:name="_Toc20823284"/>
      <w:r/>
      <w:bookmarkStart w:id="84" w:name="_Toc16938528"/>
      <w:r/>
      <w:bookmarkStart w:id="85" w:name="_Toc513029212"/>
      <w:r>
        <w:rPr>
          <w:rFonts w:hint="eastAsia"/>
          <w:b w:val="0"/>
          <w:bCs w:val="0"/>
          <w:color w:val="000000"/>
          <w:sz w:val="24"/>
          <w:szCs w:val="24"/>
          <w:highlight w:val="none"/>
        </w:rPr>
        <w:t xml:space="preserve">8、招标文件的澄清和修改</w:t>
      </w:r>
      <w:bookmarkEnd w:id="82"/>
      <w:r/>
      <w:bookmarkEnd w:id="83"/>
      <w:r/>
      <w:bookmarkEnd w:id="84"/>
      <w:r/>
      <w:bookmarkEnd w:id="85"/>
      <w:r>
        <w:rPr>
          <w:rFonts w:hint="eastAsia"/>
          <w:b w:val="0"/>
          <w:bCs w:val="0"/>
          <w:color w:val="000000"/>
          <w:sz w:val="24"/>
          <w:szCs w:val="24"/>
          <w:highlight w:val="none"/>
        </w:rPr>
      </w:r>
      <w:r/>
    </w:p>
    <w:p>
      <w:pPr>
        <w:pStyle w:val="985"/>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8.1 任何要求对招标文件进行澄清的潜在投标人，应及时联系项目联系人。</w:t>
      </w:r>
      <w:r>
        <w:rPr>
          <w:rFonts w:ascii="宋体" w:hAnsi="宋体"/>
          <w:bCs/>
          <w:color w:val="000000"/>
          <w:sz w:val="24"/>
          <w:highlight w:val="none"/>
        </w:rPr>
      </w:r>
      <w:r/>
    </w:p>
    <w:p>
      <w:pPr>
        <w:pStyle w:val="985"/>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8.2 按照权责相一致原则，投标人提出的对于招标文件主要商务、技术指标的相关澄清、修改要求，由</w:t>
      </w:r>
      <w:r>
        <w:rPr>
          <w:rFonts w:hint="eastAsia" w:ascii="宋体" w:hAnsi="宋体"/>
          <w:bCs/>
          <w:color w:val="000000"/>
          <w:sz w:val="24"/>
          <w:highlight w:val="none"/>
          <w:lang w:eastAsia="zh-CN"/>
        </w:rPr>
        <w:t xml:space="preserve">招标人</w:t>
      </w:r>
      <w:r>
        <w:rPr>
          <w:rFonts w:hint="eastAsia" w:ascii="宋体" w:hAnsi="宋体"/>
          <w:bCs/>
          <w:color w:val="000000"/>
          <w:sz w:val="24"/>
          <w:highlight w:val="none"/>
        </w:rPr>
        <w:t xml:space="preserve">负责答复并视情况作出澄清或修改的决定。</w:t>
      </w:r>
      <w:r>
        <w:rPr>
          <w:rFonts w:ascii="宋体" w:hAnsi="宋体"/>
          <w:bCs/>
          <w:color w:val="000000"/>
          <w:sz w:val="24"/>
          <w:highlight w:val="none"/>
        </w:rPr>
      </w:r>
      <w:r/>
    </w:p>
    <w:p>
      <w:pPr>
        <w:pStyle w:val="985"/>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8.3 </w:t>
      </w:r>
      <w:r>
        <w:rPr>
          <w:rFonts w:hint="eastAsia" w:ascii="宋体" w:hAnsi="宋体"/>
          <w:bCs/>
          <w:color w:val="000000"/>
          <w:sz w:val="24"/>
          <w:highlight w:val="none"/>
          <w:lang w:eastAsia="zh-CN"/>
        </w:rPr>
        <w:t xml:space="preserve">招标人</w:t>
      </w:r>
      <w:r>
        <w:rPr>
          <w:rFonts w:hint="eastAsia" w:ascii="宋体" w:hAnsi="宋体"/>
          <w:bCs/>
          <w:color w:val="000000"/>
          <w:sz w:val="24"/>
          <w:highlight w:val="none"/>
        </w:rPr>
        <w:t xml:space="preserve">或者采购代理机构可以对已发出的招标文件、资格预审文件、投标邀请书进行必要的澄清或者修改，但不改变采购标的和资格要求。澄清或者修改将在“江苏政府采购网”、“扬中政府采购网”上发布澄清公告，澄清或者修改的内容为招标文件、资格预审文件、投标邀请书的组成部分。</w:t>
      </w:r>
      <w:r>
        <w:rPr>
          <w:rFonts w:ascii="宋体" w:hAnsi="宋体"/>
          <w:bCs/>
          <w:color w:val="000000"/>
          <w:sz w:val="24"/>
          <w:highlight w:val="none"/>
        </w:rPr>
      </w:r>
      <w:r/>
    </w:p>
    <w:p>
      <w:pPr>
        <w:pStyle w:val="985"/>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8.4 澄清或者修改的内容可能影响投标文件编制的，</w:t>
      </w:r>
      <w:r>
        <w:rPr>
          <w:rFonts w:hint="eastAsia" w:ascii="宋体" w:hAnsi="宋体"/>
          <w:bCs/>
          <w:color w:val="000000"/>
          <w:sz w:val="24"/>
          <w:highlight w:val="none"/>
          <w:lang w:eastAsia="zh-CN"/>
        </w:rPr>
        <w:t xml:space="preserve">招标人</w:t>
      </w:r>
      <w:r>
        <w:rPr>
          <w:rFonts w:hint="eastAsia" w:ascii="宋体" w:hAnsi="宋体"/>
          <w:bCs/>
          <w:color w:val="000000"/>
          <w:sz w:val="24"/>
          <w:highlight w:val="none"/>
        </w:rPr>
        <w:t xml:space="preserve">或者采购代理机构将在提交截止时间至少15日前，在系统中以书面形式通知所有已获取招标文件的潜在投标人；不足15日的，</w:t>
      </w:r>
      <w:r>
        <w:rPr>
          <w:rFonts w:hint="eastAsia" w:ascii="宋体" w:hAnsi="宋体"/>
          <w:bCs/>
          <w:color w:val="000000"/>
          <w:sz w:val="24"/>
          <w:highlight w:val="none"/>
          <w:lang w:eastAsia="zh-CN"/>
        </w:rPr>
        <w:t xml:space="preserve">招标人</w:t>
      </w:r>
      <w:r>
        <w:rPr>
          <w:rFonts w:hint="eastAsia" w:ascii="宋体" w:hAnsi="宋体"/>
          <w:bCs/>
          <w:color w:val="000000"/>
          <w:sz w:val="24"/>
          <w:highlight w:val="none"/>
        </w:rPr>
        <w:t xml:space="preserve">或者采购代理机构将顺延提交投标文件的截止时间。投标人应及时自行登录系统查看相应内容。</w:t>
      </w:r>
      <w:r>
        <w:rPr>
          <w:rFonts w:ascii="宋体" w:hAnsi="宋体"/>
          <w:bCs/>
          <w:color w:val="000000"/>
          <w:sz w:val="24"/>
          <w:highlight w:val="none"/>
        </w:rPr>
      </w:r>
      <w:r/>
    </w:p>
    <w:p>
      <w:pPr>
        <w:pStyle w:val="985"/>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8.5 如澄清或修改公告有重新发布招标文件的，投标人应下载最新发布的招标文件制作投标文件。</w:t>
      </w:r>
      <w:r>
        <w:rPr>
          <w:rFonts w:ascii="宋体" w:hAnsi="宋体"/>
          <w:bCs/>
          <w:color w:val="000000"/>
          <w:sz w:val="24"/>
          <w:highlight w:val="none"/>
        </w:rPr>
        <w:t xml:space="preserve">因投标人自身原因未能及时获取的</w:t>
      </w:r>
      <w:r>
        <w:rPr>
          <w:rFonts w:hint="eastAsia" w:ascii="宋体" w:hAnsi="宋体"/>
          <w:bCs/>
          <w:color w:val="000000"/>
          <w:sz w:val="24"/>
          <w:highlight w:val="none"/>
        </w:rPr>
        <w:t xml:space="preserve">，一切后果由投标人自行承担。</w:t>
      </w:r>
      <w:r>
        <w:rPr>
          <w:rFonts w:hint="eastAsia" w:ascii="宋体" w:hAnsi="宋体"/>
          <w:bCs/>
          <w:color w:val="000000"/>
          <w:sz w:val="24"/>
          <w:highlight w:val="none"/>
        </w:rPr>
      </w:r>
      <w:r/>
    </w:p>
    <w:p>
      <w:pPr>
        <w:pStyle w:val="988"/>
        <w:ind w:firstLine="361"/>
        <w:spacing w:before="145" w:after="145" w:line="440" w:lineRule="exact"/>
        <w:rPr>
          <w:rFonts w:hint="eastAsia"/>
          <w:color w:val="000000"/>
          <w:sz w:val="24"/>
          <w:szCs w:val="24"/>
          <w:highlight w:val="none"/>
        </w:rPr>
      </w:pPr>
      <w:r/>
      <w:bookmarkStart w:id="86" w:name="_Toc20823285"/>
      <w:r/>
      <w:bookmarkStart w:id="87" w:name="_Toc513029213"/>
      <w:r/>
      <w:bookmarkStart w:id="88" w:name="_Toc16938529"/>
      <w:r/>
      <w:bookmarkStart w:id="89" w:name="_Toc120614216"/>
      <w:r/>
      <w:bookmarkStart w:id="90" w:name="_Toc462564072"/>
      <w:r>
        <w:rPr>
          <w:rFonts w:hint="eastAsia"/>
          <w:color w:val="000000"/>
          <w:sz w:val="24"/>
          <w:szCs w:val="24"/>
          <w:highlight w:val="none"/>
        </w:rPr>
        <w:t xml:space="preserve">三、投标文件的编制</w:t>
      </w:r>
      <w:bookmarkEnd w:id="86"/>
      <w:r/>
      <w:bookmarkEnd w:id="87"/>
      <w:r/>
      <w:bookmarkEnd w:id="88"/>
      <w:r/>
      <w:bookmarkEnd w:id="89"/>
      <w:r/>
      <w:bookmarkEnd w:id="90"/>
      <w:r>
        <w:rPr>
          <w:rFonts w:hint="eastAsia"/>
          <w:color w:val="000000"/>
          <w:sz w:val="24"/>
          <w:szCs w:val="24"/>
          <w:highlight w:val="none"/>
        </w:rPr>
      </w:r>
      <w:r/>
    </w:p>
    <w:p>
      <w:pPr>
        <w:pStyle w:val="989"/>
        <w:ind w:firstLine="480"/>
        <w:spacing w:before="0" w:after="0" w:line="440" w:lineRule="exact"/>
        <w:rPr>
          <w:rFonts w:hint="eastAsia"/>
          <w:bCs w:val="0"/>
          <w:color w:val="000000"/>
          <w:sz w:val="24"/>
          <w:szCs w:val="24"/>
          <w:highlight w:val="none"/>
        </w:rPr>
      </w:pPr>
      <w:r/>
      <w:bookmarkStart w:id="91" w:name="_Toc20823286"/>
      <w:r/>
      <w:bookmarkStart w:id="92" w:name="_Toc462564073"/>
      <w:r/>
      <w:bookmarkStart w:id="93" w:name="_Toc16938530"/>
      <w:r/>
      <w:bookmarkStart w:id="94" w:name="_Toc513029214"/>
      <w:r>
        <w:rPr>
          <w:rFonts w:hint="eastAsia"/>
          <w:b w:val="0"/>
          <w:bCs w:val="0"/>
          <w:color w:val="000000"/>
          <w:sz w:val="24"/>
          <w:szCs w:val="24"/>
          <w:highlight w:val="none"/>
        </w:rPr>
        <w:t xml:space="preserve">9、投标文件的语言及度量衡单位</w:t>
      </w:r>
      <w:bookmarkEnd w:id="91"/>
      <w:r/>
      <w:bookmarkEnd w:id="92"/>
      <w:r/>
      <w:bookmarkEnd w:id="93"/>
      <w:r/>
      <w:bookmarkEnd w:id="94"/>
      <w:r>
        <w:rPr>
          <w:rFonts w:hint="eastAsia"/>
          <w:bCs w:val="0"/>
          <w:color w:val="000000"/>
          <w:sz w:val="24"/>
          <w:szCs w:val="24"/>
          <w:highlight w:val="none"/>
        </w:rPr>
      </w:r>
      <w:r/>
    </w:p>
    <w:p>
      <w:pPr>
        <w:pStyle w:val="98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投标人提交的投标文件以及投标人与</w:t>
      </w:r>
      <w:r>
        <w:rPr>
          <w:rFonts w:hint="eastAsia" w:ascii="宋体" w:hAnsi="宋体"/>
          <w:color w:val="000000"/>
          <w:sz w:val="24"/>
          <w:highlight w:val="none"/>
          <w:lang w:eastAsia="zh-CN"/>
        </w:rPr>
        <w:t xml:space="preserve">招标人</w:t>
      </w:r>
      <w:r>
        <w:rPr>
          <w:rFonts w:hint="eastAsia" w:ascii="宋体" w:hAnsi="宋体"/>
          <w:color w:val="000000"/>
          <w:sz w:val="24"/>
          <w:highlight w:val="none"/>
        </w:rPr>
        <w:t xml:space="preserve">或采购代理机构就有关投标的所有来往通知、函件和文件均应使用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8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 除技术性能另有规定外，投标文件所使用的度量衡单位，均须采用国家法定计量单位。</w:t>
      </w:r>
      <w:r>
        <w:rPr>
          <w:rFonts w:hint="eastAsia" w:ascii="宋体" w:hAnsi="宋体"/>
          <w:color w:val="000000"/>
          <w:sz w:val="24"/>
          <w:highlight w:val="none"/>
        </w:rPr>
      </w:r>
      <w:r/>
    </w:p>
    <w:p>
      <w:pPr>
        <w:pStyle w:val="989"/>
        <w:ind w:firstLine="360"/>
        <w:spacing w:before="0" w:after="0" w:line="440" w:lineRule="exact"/>
        <w:rPr>
          <w:rFonts w:hint="eastAsia"/>
          <w:b w:val="0"/>
          <w:bCs w:val="0"/>
          <w:color w:val="000000"/>
          <w:sz w:val="24"/>
          <w:szCs w:val="24"/>
          <w:highlight w:val="none"/>
        </w:rPr>
      </w:pPr>
      <w:r/>
      <w:bookmarkStart w:id="95" w:name="_Toc20823287"/>
      <w:r/>
      <w:bookmarkStart w:id="96" w:name="_Toc462564074"/>
      <w:r/>
      <w:bookmarkStart w:id="97" w:name="_Toc16938531"/>
      <w:r/>
      <w:bookmarkStart w:id="98" w:name="_Toc513029215"/>
      <w:r>
        <w:rPr>
          <w:rFonts w:hint="eastAsia"/>
          <w:b w:val="0"/>
          <w:bCs w:val="0"/>
          <w:color w:val="000000"/>
          <w:sz w:val="24"/>
          <w:szCs w:val="24"/>
          <w:highlight w:val="none"/>
        </w:rPr>
        <w:t xml:space="preserve">10、投标文件构成</w:t>
      </w:r>
      <w:bookmarkEnd w:id="95"/>
      <w:r/>
      <w:bookmarkEnd w:id="96"/>
      <w:r/>
      <w:bookmarkEnd w:id="97"/>
      <w:r/>
      <w:bookmarkEnd w:id="98"/>
      <w:r>
        <w:rPr>
          <w:rFonts w:hint="eastAsia"/>
          <w:b w:val="0"/>
          <w:bCs w:val="0"/>
          <w:color w:val="000000"/>
          <w:sz w:val="24"/>
          <w:szCs w:val="24"/>
          <w:highlight w:val="none"/>
        </w:rPr>
      </w:r>
      <w:r/>
    </w:p>
    <w:p>
      <w:pPr>
        <w:pStyle w:val="98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highlight w:val="none"/>
        </w:rPr>
      </w:r>
      <w:r/>
    </w:p>
    <w:p>
      <w:pPr>
        <w:pStyle w:val="98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w:t>
      </w:r>
      <w:r>
        <w:rPr>
          <w:rFonts w:hint="eastAsia" w:ascii="宋体" w:hAnsi="宋体"/>
          <w:bCs/>
          <w:color w:val="000000"/>
          <w:sz w:val="24"/>
          <w:szCs w:val="24"/>
          <w:highlight w:val="none"/>
        </w:rPr>
        <w:t xml:space="preserve">“江苏政府采购网”、“扬中政府采购网”</w:t>
      </w:r>
      <w:r>
        <w:rPr>
          <w:rFonts w:hint="eastAsia" w:ascii="宋体" w:hAnsi="宋体"/>
          <w:color w:val="000000"/>
          <w:sz w:val="24"/>
          <w:highlight w:val="none"/>
        </w:rPr>
        <w:t xml:space="preserve">上发布的招标文件不一致，请以</w:t>
      </w:r>
      <w:r>
        <w:rPr>
          <w:rFonts w:hint="eastAsia" w:ascii="宋体" w:hAnsi="宋体"/>
          <w:bCs/>
          <w:color w:val="000000"/>
          <w:sz w:val="24"/>
          <w:szCs w:val="24"/>
          <w:highlight w:val="none"/>
        </w:rPr>
        <w:t xml:space="preserve">“江苏政府采购网”、“扬中政府采购网”</w:t>
      </w:r>
      <w:r>
        <w:rPr>
          <w:rFonts w:hint="eastAsia" w:ascii="宋体" w:hAnsi="宋体"/>
          <w:color w:val="000000"/>
          <w:sz w:val="24"/>
          <w:highlight w:val="none"/>
        </w:rPr>
        <w:t xml:space="preserve">上发布的招标文件为准。</w:t>
      </w:r>
      <w:r>
        <w:rPr>
          <w:rFonts w:hint="eastAsia" w:ascii="宋体" w:hAnsi="宋体"/>
          <w:color w:val="000000"/>
          <w:sz w:val="24"/>
          <w:highlight w:val="none"/>
        </w:rPr>
      </w:r>
      <w:r/>
    </w:p>
    <w:p>
      <w:pPr>
        <w:pStyle w:val="989"/>
        <w:ind w:firstLine="360"/>
        <w:spacing w:before="0" w:after="0" w:line="440" w:lineRule="exact"/>
        <w:rPr>
          <w:rFonts w:hint="eastAsia"/>
          <w:b w:val="0"/>
          <w:bCs w:val="0"/>
          <w:color w:val="000000"/>
          <w:sz w:val="24"/>
          <w:szCs w:val="24"/>
          <w:highlight w:val="none"/>
        </w:rPr>
      </w:pPr>
      <w:r/>
      <w:bookmarkStart w:id="99" w:name="_Hlt26954838"/>
      <w:r/>
      <w:bookmarkEnd w:id="99"/>
      <w:r/>
      <w:bookmarkStart w:id="100" w:name="_Hlt26668975"/>
      <w:r/>
      <w:bookmarkEnd w:id="100"/>
      <w:r/>
      <w:bookmarkStart w:id="101" w:name="_Hlt26670360"/>
      <w:r/>
      <w:bookmarkEnd w:id="101"/>
      <w:r/>
      <w:bookmarkStart w:id="102" w:name="_Toc49090509"/>
      <w:r/>
      <w:bookmarkStart w:id="103" w:name="_Toc513029219"/>
      <w:r/>
      <w:bookmarkStart w:id="104" w:name="_Toc14577357"/>
      <w:r/>
      <w:bookmarkStart w:id="105" w:name="_Toc14577354"/>
      <w:r/>
      <w:bookmarkStart w:id="106" w:name="_Toc49090507"/>
      <w:r/>
      <w:bookmarkStart w:id="107" w:name="_Toc513029216"/>
      <w:r>
        <w:rPr>
          <w:rFonts w:hint="eastAsia"/>
          <w:b w:val="0"/>
          <w:bCs w:val="0"/>
          <w:color w:val="000000"/>
          <w:sz w:val="24"/>
          <w:szCs w:val="24"/>
          <w:highlight w:val="none"/>
        </w:rPr>
        <w:t xml:space="preserve">11、证明投标人及投标标的符合招标文件规定的文件</w:t>
      </w:r>
      <w:bookmarkEnd w:id="102"/>
      <w:r/>
      <w:bookmarkEnd w:id="103"/>
      <w:r/>
      <w:bookmarkEnd w:id="104"/>
      <w:r>
        <w:rPr>
          <w:rFonts w:hint="eastAsia"/>
          <w:b w:val="0"/>
          <w:bCs w:val="0"/>
          <w:color w:val="000000"/>
          <w:sz w:val="24"/>
          <w:szCs w:val="24"/>
          <w:highlight w:val="none"/>
        </w:rPr>
      </w:r>
      <w:r/>
    </w:p>
    <w:p>
      <w:pPr>
        <w:pStyle w:val="985"/>
        <w:spacing w:line="440" w:lineRule="exact"/>
        <w:rPr>
          <w:rFonts w:hint="eastAsia" w:ascii="宋体" w:hAnsi="宋体"/>
          <w:color w:val="000000"/>
          <w:sz w:val="24"/>
          <w:szCs w:val="24"/>
          <w:highlight w:val="none"/>
        </w:rPr>
      </w:pPr>
      <w:r/>
      <w:bookmarkEnd w:id="105"/>
      <w:r/>
      <w:bookmarkEnd w:id="106"/>
      <w:r/>
      <w:bookmarkEnd w:id="107"/>
      <w:r/>
      <w:bookmarkStart w:id="108" w:name="_Toc14577355"/>
      <w:r/>
      <w:bookmarkStart w:id="109" w:name="_Toc49090508"/>
      <w:r>
        <w:rPr>
          <w:rFonts w:hint="eastAsia" w:ascii="宋体" w:hAnsi="宋体"/>
          <w:color w:val="000000"/>
          <w:sz w:val="24"/>
          <w:szCs w:val="24"/>
          <w:highlight w:val="none"/>
        </w:rPr>
        <w:t xml:space="preserve">    11.1 投标人应按照招标文件要求提交证明文件，证明其及投标标的符合招标文件规定。</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989"/>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12、投标分项报价</w:t>
      </w:r>
      <w:bookmarkEnd w:id="108"/>
      <w:r/>
      <w:bookmarkStart w:id="110" w:name="_Hlt26670373"/>
      <w:r/>
      <w:bookmarkEnd w:id="110"/>
      <w:r>
        <w:rPr>
          <w:rFonts w:hint="eastAsia"/>
          <w:b w:val="0"/>
          <w:bCs w:val="0"/>
          <w:color w:val="000000"/>
          <w:sz w:val="24"/>
          <w:szCs w:val="24"/>
          <w:highlight w:val="none"/>
        </w:rPr>
        <w:t xml:space="preserve">表</w:t>
      </w:r>
      <w:bookmarkEnd w:id="109"/>
      <w:r>
        <w:rPr>
          <w:rFonts w:hint="eastAsia"/>
          <w:b w:val="0"/>
          <w:bCs w:val="0"/>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12.1</w:t>
      </w:r>
      <w:r>
        <w:rPr>
          <w:rFonts w:hint="eastAsia" w:ascii="宋体" w:hAnsi="宋体"/>
          <w:color w:val="000000"/>
          <w:sz w:val="24"/>
          <w:szCs w:val="24"/>
          <w:highlight w:val="none"/>
        </w:rPr>
        <w:t xml:space="preserve"> 投</w:t>
      </w:r>
      <w:bookmarkStart w:id="111" w:name="_Hlt26954840"/>
      <w:r/>
      <w:bookmarkEnd w:id="111"/>
      <w:r>
        <w:rPr>
          <w:rFonts w:hint="eastAsia" w:ascii="宋体" w:hAnsi="宋体"/>
          <w:color w:val="000000"/>
          <w:sz w:val="24"/>
          <w:szCs w:val="24"/>
          <w:highlight w:val="none"/>
        </w:rPr>
        <w:t xml:space="preserve">标人应按照招标文件规定格式填报投标分项报价表</w:t>
      </w:r>
      <w:bookmarkStart w:id="112" w:name="_Hlt26670399"/>
      <w:r/>
      <w:bookmarkEnd w:id="112"/>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12.2</w:t>
      </w:r>
      <w:r>
        <w:rPr>
          <w:rFonts w:hint="eastAsia" w:ascii="宋体" w:hAnsi="宋体"/>
          <w:bCs/>
          <w:color w:val="000000"/>
          <w:sz w:val="24"/>
          <w:szCs w:val="24"/>
          <w:highlight w:val="none"/>
        </w:rPr>
        <w:t xml:space="preserve">投标货币。投标文件中的单价和总价无特殊规定的采用人民币报价，以元为单位标注。</w:t>
      </w:r>
      <w:r>
        <w:rPr>
          <w:rFonts w:hint="eastAsia" w:ascii="宋体" w:hAnsi="宋体"/>
          <w:color w:val="000000"/>
          <w:sz w:val="24"/>
          <w:szCs w:val="24"/>
          <w:highlight w:val="none"/>
        </w:rPr>
        <w:t xml:space="preserve">招标文件中另有规定的按规定执行。</w:t>
      </w:r>
      <w:r>
        <w:rPr>
          <w:rFonts w:hint="eastAsia" w:ascii="宋体" w:hAnsi="宋体"/>
          <w:bCs/>
          <w:color w:val="000000"/>
          <w:sz w:val="24"/>
          <w:szCs w:val="24"/>
          <w:highlight w:val="none"/>
        </w:rPr>
      </w:r>
      <w:r/>
    </w:p>
    <w:p>
      <w:pPr>
        <w:pStyle w:val="989"/>
        <w:ind w:firstLine="360"/>
        <w:spacing w:before="0" w:after="0" w:line="440" w:lineRule="exact"/>
        <w:rPr>
          <w:rFonts w:hint="eastAsia"/>
          <w:b w:val="0"/>
          <w:bCs w:val="0"/>
          <w:color w:val="000000"/>
          <w:sz w:val="24"/>
          <w:szCs w:val="24"/>
          <w:highlight w:val="none"/>
        </w:rPr>
      </w:pPr>
      <w:r/>
      <w:bookmarkStart w:id="113" w:name="_Hlt26670425"/>
      <w:r/>
      <w:bookmarkEnd w:id="113"/>
      <w:r/>
      <w:bookmarkStart w:id="114" w:name="_Hlt26668983"/>
      <w:r/>
      <w:bookmarkEnd w:id="114"/>
      <w:r/>
      <w:bookmarkStart w:id="115" w:name="_Hlt26954846"/>
      <w:r/>
      <w:bookmarkEnd w:id="115"/>
      <w:r/>
      <w:bookmarkStart w:id="116" w:name="_Hlt26954842"/>
      <w:r/>
      <w:bookmarkEnd w:id="116"/>
      <w:r/>
      <w:bookmarkStart w:id="117" w:name="_Hlt26954844"/>
      <w:r/>
      <w:bookmarkEnd w:id="117"/>
      <w:r/>
      <w:bookmarkStart w:id="118" w:name="_Hlt26954848"/>
      <w:r/>
      <w:bookmarkEnd w:id="118"/>
      <w:r/>
      <w:bookmarkStart w:id="119" w:name="_Hlt26670403"/>
      <w:r/>
      <w:bookmarkEnd w:id="119"/>
      <w:r/>
      <w:bookmarkStart w:id="120" w:name="_Hlt26670486"/>
      <w:r/>
      <w:bookmarkEnd w:id="120"/>
      <w:r/>
      <w:bookmarkStart w:id="121" w:name="_Hlt26954731"/>
      <w:r/>
      <w:bookmarkEnd w:id="121"/>
      <w:r/>
      <w:bookmarkStart w:id="122" w:name="_Hlt26670482"/>
      <w:r/>
      <w:bookmarkEnd w:id="122"/>
      <w:r>
        <w:rPr>
          <w:rFonts w:hint="eastAsia"/>
          <w:b w:val="0"/>
          <w:bCs w:val="0"/>
          <w:color w:val="000000"/>
          <w:sz w:val="24"/>
          <w:szCs w:val="24"/>
          <w:highlight w:val="none"/>
        </w:rPr>
        <w:t xml:space="preserve">13、技术要求响应及偏离表、商务要求响应及偏离表</w:t>
      </w:r>
      <w:r>
        <w:rPr>
          <w:rFonts w:hint="eastAsia"/>
          <w:b w:val="0"/>
          <w:bCs w:val="0"/>
          <w:color w:val="000000"/>
          <w:sz w:val="24"/>
          <w:szCs w:val="24"/>
          <w:highlight w:val="none"/>
        </w:rPr>
      </w:r>
      <w:r/>
    </w:p>
    <w:p>
      <w:pPr>
        <w:pStyle w:val="985"/>
        <w:ind w:firstLine="480"/>
        <w:spacing w:line="440" w:lineRule="exact"/>
        <w:rPr>
          <w:rFonts w:hint="eastAsia" w:ascii="宋体" w:hAnsi="Arial" w:cs="宋体"/>
          <w:color w:val="000000"/>
          <w:sz w:val="24"/>
          <w:szCs w:val="24"/>
          <w:highlight w:val="none"/>
          <w:lang w:val="zh-CN"/>
        </w:rPr>
      </w:pPr>
      <w:r>
        <w:rPr>
          <w:rFonts w:ascii="宋体" w:hAnsi="Arial" w:cs="宋体"/>
          <w:bCs/>
          <w:color w:val="000000"/>
          <w:sz w:val="24"/>
          <w:szCs w:val="24"/>
          <w:highlight w:val="none"/>
          <w:lang w:val="zh-CN"/>
        </w:rPr>
        <w:t xml:space="preserve">1</w:t>
      </w:r>
      <w:r>
        <w:rPr>
          <w:rFonts w:hint="eastAsia" w:ascii="宋体" w:hAnsi="Arial" w:cs="宋体"/>
          <w:bCs/>
          <w:color w:val="000000"/>
          <w:sz w:val="24"/>
          <w:szCs w:val="24"/>
          <w:highlight w:val="none"/>
          <w:lang w:val="zh-CN"/>
        </w:rPr>
        <w:t xml:space="preserve">3</w:t>
      </w:r>
      <w:r>
        <w:rPr>
          <w:rFonts w:ascii="宋体" w:hAnsi="Arial" w:cs="宋体"/>
          <w:bCs/>
          <w:color w:val="000000"/>
          <w:sz w:val="24"/>
          <w:szCs w:val="24"/>
          <w:highlight w:val="none"/>
          <w:lang w:val="zh-CN"/>
        </w:rPr>
        <w:t xml:space="preserve">.1</w:t>
      </w:r>
      <w:r>
        <w:rPr>
          <w:rFonts w:ascii="宋体" w:hAnsi="Arial" w:cs="宋体"/>
          <w:color w:val="000000"/>
          <w:sz w:val="24"/>
          <w:szCs w:val="24"/>
          <w:highlight w:val="none"/>
          <w:lang w:val="zh-CN"/>
        </w:rPr>
        <w:t xml:space="preserve"> </w:t>
      </w:r>
      <w:r>
        <w:rPr>
          <w:rFonts w:hint="eastAsia" w:ascii="宋体" w:hAnsi="Arial" w:cs="宋体"/>
          <w:color w:val="000000"/>
          <w:sz w:val="24"/>
          <w:szCs w:val="24"/>
          <w:highlight w:val="none"/>
          <w:lang w:val="zh-CN"/>
        </w:rPr>
        <w:t xml:space="preserve">投标人需对招标文件中的技术要求与商务要求逐项作出响应或偏离，并说明原因。</w:t>
      </w:r>
      <w:r>
        <w:rPr>
          <w:rFonts w:hint="eastAsia" w:ascii="宋体" w:hAnsi="Arial" w:cs="宋体"/>
          <w:color w:val="000000"/>
          <w:sz w:val="24"/>
          <w:szCs w:val="24"/>
          <w:highlight w:val="none"/>
          <w:lang w:val="zh-CN"/>
        </w:rPr>
      </w:r>
      <w:r/>
    </w:p>
    <w:p>
      <w:pPr>
        <w:pStyle w:val="985"/>
        <w:ind w:firstLine="480"/>
        <w:spacing w:line="440" w:lineRule="exact"/>
        <w:tabs>
          <w:tab w:val="left" w:pos="1035" w:leader="none"/>
        </w:tabs>
        <w:rPr>
          <w:rFonts w:ascii="宋体" w:hAnsi="Arial" w:cs="宋体"/>
          <w:color w:val="000000"/>
          <w:sz w:val="24"/>
          <w:szCs w:val="24"/>
          <w:highlight w:val="none"/>
          <w:lang w:val="zh-CN"/>
        </w:rPr>
      </w:pPr>
      <w:r>
        <w:rPr>
          <w:rFonts w:hint="eastAsia" w:ascii="宋体" w:hAnsi="Arial" w:cs="宋体"/>
          <w:color w:val="000000"/>
          <w:sz w:val="24"/>
          <w:szCs w:val="24"/>
          <w:highlight w:val="none"/>
          <w:lang w:val="zh-CN"/>
        </w:rPr>
        <w:t xml:space="preserve">13.2 投标人可在投标文件中提供认为需要的其他技术文件或说明。</w:t>
      </w:r>
      <w:r>
        <w:rPr>
          <w:rFonts w:ascii="宋体" w:hAnsi="Arial" w:cs="宋体"/>
          <w:color w:val="000000"/>
          <w:sz w:val="24"/>
          <w:szCs w:val="24"/>
          <w:highlight w:val="none"/>
          <w:lang w:val="zh-CN"/>
        </w:rPr>
      </w:r>
      <w:r/>
    </w:p>
    <w:p>
      <w:pPr>
        <w:pStyle w:val="989"/>
        <w:ind w:firstLine="360"/>
        <w:spacing w:before="0" w:after="0" w:line="440" w:lineRule="exact"/>
        <w:rPr>
          <w:rFonts w:hint="eastAsia"/>
          <w:b w:val="0"/>
          <w:bCs w:val="0"/>
          <w:color w:val="000000"/>
          <w:sz w:val="24"/>
          <w:szCs w:val="24"/>
          <w:highlight w:val="none"/>
        </w:rPr>
      </w:pPr>
      <w:r/>
      <w:bookmarkStart w:id="123" w:name="_Toc49090510"/>
      <w:r/>
      <w:bookmarkStart w:id="124" w:name="_Toc14577359"/>
      <w:r>
        <w:rPr>
          <w:rFonts w:hint="eastAsia"/>
          <w:b w:val="0"/>
          <w:bCs w:val="0"/>
          <w:color w:val="000000"/>
          <w:sz w:val="24"/>
          <w:szCs w:val="24"/>
          <w:highlight w:val="none"/>
        </w:rPr>
        <w:t xml:space="preserve">14、投标函和开标一览表</w:t>
      </w:r>
      <w:r>
        <w:rPr>
          <w:rFonts w:hint="eastAsia"/>
          <w:b w:val="0"/>
          <w:bCs w:val="0"/>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 投标人应按照招标文件中提供的格式完整、正确填写投标函、开标一览表。</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14.2</w:t>
      </w:r>
      <w:r>
        <w:rPr>
          <w:rFonts w:hint="eastAsia" w:ascii="宋体" w:hAnsi="宋体"/>
          <w:color w:val="000000"/>
          <w:sz w:val="24"/>
          <w:szCs w:val="24"/>
          <w:highlight w:val="none"/>
        </w:rPr>
        <w:t xml:space="preserve"> 对于采用货币报价的项目，</w:t>
      </w:r>
      <w:r>
        <w:rPr>
          <w:rFonts w:hint="eastAsia" w:ascii="宋体" w:hAnsi="宋体"/>
          <w:bCs/>
          <w:color w:val="000000"/>
          <w:sz w:val="24"/>
          <w:szCs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szCs w:val="24"/>
          <w:highlight w:val="none"/>
        </w:rPr>
        <w:t xml:space="preserve">，但评标时按开标一览表中价格为准</w:t>
      </w:r>
      <w:r>
        <w:rPr>
          <w:rFonts w:hint="eastAsia" w:ascii="宋体" w:hAnsi="宋体"/>
          <w:b/>
          <w:bCs/>
          <w:color w:val="000000"/>
          <w:sz w:val="24"/>
          <w:szCs w:val="24"/>
          <w:highlight w:val="none"/>
        </w:rPr>
        <w:t xml:space="preserve">。</w:t>
      </w:r>
      <w:r>
        <w:rPr>
          <w:rFonts w:hint="eastAsia" w:ascii="宋体" w:hAnsi="宋体"/>
          <w:color w:val="000000"/>
          <w:sz w:val="24"/>
          <w:szCs w:val="24"/>
          <w:highlight w:val="none"/>
        </w:rPr>
      </w:r>
      <w:r/>
    </w:p>
    <w:p>
      <w:pPr>
        <w:pStyle w:val="989"/>
        <w:ind w:firstLine="360"/>
        <w:spacing w:before="0" w:after="0" w:line="440" w:lineRule="exact"/>
        <w:rPr>
          <w:rFonts w:hint="eastAsia"/>
          <w:b w:val="0"/>
          <w:bCs w:val="0"/>
          <w:color w:val="000000"/>
          <w:sz w:val="24"/>
          <w:szCs w:val="24"/>
          <w:highlight w:val="none"/>
        </w:rPr>
      </w:pPr>
      <w:r/>
      <w:bookmarkEnd w:id="123"/>
      <w:r/>
      <w:bookmarkEnd w:id="124"/>
      <w:r/>
      <w:bookmarkStart w:id="125" w:name="_Hlt26670489"/>
      <w:r/>
      <w:bookmarkEnd w:id="125"/>
      <w:r/>
      <w:bookmarkStart w:id="126" w:name="_Hlt26954850"/>
      <w:r/>
      <w:bookmarkEnd w:id="126"/>
      <w:r/>
      <w:bookmarkStart w:id="127" w:name="_Hlt26954734"/>
      <w:r/>
      <w:bookmarkEnd w:id="127"/>
      <w:r/>
      <w:bookmarkStart w:id="128" w:name="_Toc14577360"/>
      <w:r/>
      <w:bookmarkStart w:id="129" w:name="_Toc49090511"/>
      <w:r>
        <w:rPr>
          <w:rFonts w:hint="eastAsia"/>
          <w:b w:val="0"/>
          <w:bCs w:val="0"/>
          <w:color w:val="000000"/>
          <w:sz w:val="24"/>
          <w:szCs w:val="24"/>
          <w:highlight w:val="none"/>
        </w:rPr>
        <w:t xml:space="preserve">15、投标有效期</w:t>
      </w:r>
      <w:bookmarkEnd w:id="128"/>
      <w:r/>
      <w:bookmarkEnd w:id="129"/>
      <w:r>
        <w:rPr>
          <w:rFonts w:hint="eastAsia"/>
          <w:b w:val="0"/>
          <w:bCs w:val="0"/>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15.1</w:t>
      </w:r>
      <w:r>
        <w:rPr>
          <w:rFonts w:hint="eastAsia" w:ascii="宋体" w:hAnsi="宋体"/>
          <w:bCs/>
          <w:color w:val="000000"/>
          <w:sz w:val="24"/>
          <w:szCs w:val="24"/>
          <w:highlight w:val="none"/>
        </w:rPr>
        <w:t xml:space="preserve"> 投标有效期为</w:t>
      </w:r>
      <w:r>
        <w:rPr>
          <w:rFonts w:hint="eastAsia" w:ascii="宋体" w:hAnsi="宋体"/>
          <w:bCs/>
          <w:color w:val="000000"/>
          <w:sz w:val="24"/>
          <w:szCs w:val="24"/>
          <w:highlight w:val="none"/>
          <w:lang w:eastAsia="zh-CN"/>
        </w:rPr>
        <w:t xml:space="preserve">招标人</w:t>
      </w:r>
      <w:r>
        <w:rPr>
          <w:rFonts w:hint="eastAsia" w:ascii="宋体" w:hAnsi="宋体"/>
          <w:bCs/>
          <w:color w:val="000000"/>
          <w:sz w:val="24"/>
          <w:szCs w:val="24"/>
          <w:highlight w:val="none"/>
        </w:rPr>
        <w:t xml:space="preserve">或采购代理机构规定的开标之日后</w:t>
      </w:r>
      <w:r>
        <w:rPr>
          <w:rFonts w:hint="eastAsia" w:ascii="仿宋_GB2312" w:hAnsi="仿宋_GB2312"/>
          <w:bCs/>
          <w:color w:val="000000"/>
          <w:sz w:val="24"/>
          <w:szCs w:val="24"/>
          <w:highlight w:val="none"/>
        </w:rPr>
        <w:t xml:space="preserve">六十（60）天</w:t>
      </w:r>
      <w:r>
        <w:rPr>
          <w:rFonts w:hint="eastAsia" w:ascii="宋体" w:hAnsi="宋体"/>
          <w:bCs/>
          <w:color w:val="000000"/>
          <w:sz w:val="24"/>
          <w:szCs w:val="24"/>
          <w:highlight w:val="none"/>
        </w:rPr>
        <w:t xml:space="preserve">。投标有效期比规定短的将被视为未实质性响应招标</w:t>
      </w:r>
      <w:r>
        <w:rPr>
          <w:rFonts w:ascii="宋体" w:hAnsi="宋体"/>
          <w:bCs/>
          <w:color w:val="000000"/>
          <w:sz w:val="24"/>
          <w:szCs w:val="24"/>
          <w:highlight w:val="none"/>
        </w:rPr>
        <w:t xml:space="preserve">文件</w:t>
      </w:r>
      <w:r>
        <w:rPr>
          <w:rFonts w:hint="eastAsia" w:ascii="宋体" w:hAnsi="宋体"/>
          <w:bCs/>
          <w:color w:val="000000"/>
          <w:sz w:val="24"/>
          <w:szCs w:val="24"/>
          <w:highlight w:val="none"/>
        </w:rPr>
        <w:t xml:space="preserve">而予以拒绝。</w:t>
      </w:r>
      <w:r>
        <w:rPr>
          <w:rFonts w:hint="eastAsia" w:ascii="宋体" w:hAnsi="宋体"/>
          <w:bCs/>
          <w:color w:val="000000"/>
          <w:sz w:val="24"/>
          <w:szCs w:val="24"/>
          <w:highlight w:val="none"/>
        </w:rPr>
      </w:r>
      <w:r/>
    </w:p>
    <w:p>
      <w:pPr>
        <w:pStyle w:val="989"/>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16、投标有效期的延长</w:t>
      </w:r>
      <w:r>
        <w:rPr>
          <w:rFonts w:hint="eastAsia"/>
          <w:b w:val="0"/>
          <w:bCs w:val="0"/>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16.1</w:t>
      </w:r>
      <w:r>
        <w:rPr>
          <w:rFonts w:hint="eastAsia" w:ascii="宋体" w:hAnsi="宋体"/>
          <w:bCs/>
          <w:color w:val="000000"/>
          <w:sz w:val="24"/>
          <w:szCs w:val="24"/>
          <w:highlight w:val="none"/>
        </w:rPr>
        <w:t xml:space="preserve"> 在特殊情况下，</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或采购代理机构</w:t>
      </w:r>
      <w:r>
        <w:rPr>
          <w:rFonts w:hint="eastAsia" w:ascii="宋体" w:hAnsi="宋体"/>
          <w:bCs/>
          <w:color w:val="000000"/>
          <w:sz w:val="24"/>
          <w:szCs w:val="24"/>
          <w:highlight w:val="none"/>
        </w:rPr>
        <w:t xml:space="preserve">于原投标有效期满之前，可向投标人提出延长投标有效期的要求。这种要求与答复均应采用书面形式。投标人可以拒绝采购代理机构的这一要求而放弃投标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988"/>
        <w:ind w:firstLine="361"/>
        <w:spacing w:before="145" w:after="145" w:line="440" w:lineRule="exact"/>
        <w:rPr>
          <w:rFonts w:hint="eastAsia"/>
          <w:color w:val="000000"/>
          <w:sz w:val="24"/>
          <w:szCs w:val="24"/>
          <w:highlight w:val="none"/>
        </w:rPr>
      </w:pPr>
      <w:r/>
      <w:bookmarkStart w:id="130" w:name="_Hlt26954739"/>
      <w:r/>
      <w:bookmarkEnd w:id="130"/>
      <w:r/>
      <w:bookmarkStart w:id="131" w:name="_Hlt26954852"/>
      <w:r/>
      <w:bookmarkEnd w:id="131"/>
      <w:r/>
      <w:bookmarkStart w:id="132" w:name="_Toc513029224"/>
      <w:r/>
      <w:bookmarkStart w:id="133" w:name="_Toc20823296"/>
      <w:r/>
      <w:bookmarkStart w:id="134" w:name="_Toc120614217"/>
      <w:r/>
      <w:bookmarkStart w:id="135" w:name="_Toc16938540"/>
      <w:r>
        <w:rPr>
          <w:rFonts w:hint="eastAsia"/>
          <w:color w:val="000000"/>
          <w:sz w:val="24"/>
          <w:szCs w:val="24"/>
          <w:highlight w:val="none"/>
        </w:rPr>
        <w:t xml:space="preserve">四、投标文件的递交</w:t>
      </w:r>
      <w:bookmarkEnd w:id="132"/>
      <w:r/>
      <w:bookmarkEnd w:id="133"/>
      <w:r/>
      <w:bookmarkEnd w:id="134"/>
      <w:r/>
      <w:bookmarkEnd w:id="135"/>
      <w:r>
        <w:rPr>
          <w:rFonts w:hint="eastAsia"/>
          <w:color w:val="000000"/>
          <w:sz w:val="24"/>
          <w:szCs w:val="24"/>
          <w:highlight w:val="none"/>
        </w:rPr>
      </w:r>
      <w:r/>
    </w:p>
    <w:p>
      <w:pPr>
        <w:pStyle w:val="989"/>
        <w:ind w:firstLine="480"/>
        <w:spacing w:before="0" w:after="0" w:line="440" w:lineRule="exact"/>
        <w:rPr>
          <w:rFonts w:hint="eastAsia" w:ascii="黑体"/>
          <w:b w:val="0"/>
          <w:bCs w:val="0"/>
          <w:color w:val="000000"/>
          <w:sz w:val="24"/>
          <w:szCs w:val="24"/>
          <w:highlight w:val="none"/>
        </w:rPr>
      </w:pPr>
      <w:r/>
      <w:bookmarkStart w:id="136" w:name="_Toc513029225"/>
      <w:r/>
      <w:bookmarkStart w:id="137" w:name="_Toc16938541"/>
      <w:r/>
      <w:bookmarkStart w:id="138" w:name="_Toc462564084"/>
      <w:r/>
      <w:bookmarkStart w:id="139" w:name="_Toc20823297"/>
      <w:r>
        <w:rPr>
          <w:rFonts w:hint="eastAsia"/>
          <w:b w:val="0"/>
          <w:bCs w:val="0"/>
          <w:color w:val="000000"/>
          <w:sz w:val="24"/>
          <w:szCs w:val="24"/>
          <w:highlight w:val="none"/>
        </w:rPr>
        <w:t xml:space="preserve">17、</w:t>
      </w:r>
      <w:r>
        <w:rPr>
          <w:rFonts w:hint="eastAsia" w:ascii="黑体"/>
          <w:b w:val="0"/>
          <w:bCs w:val="0"/>
          <w:color w:val="000000"/>
          <w:sz w:val="24"/>
          <w:szCs w:val="24"/>
          <w:highlight w:val="none"/>
        </w:rPr>
        <w:t xml:space="preserve">投标文件</w:t>
      </w:r>
      <w:bookmarkEnd w:id="136"/>
      <w:r/>
      <w:bookmarkEnd w:id="137"/>
      <w:r/>
      <w:bookmarkEnd w:id="138"/>
      <w:r/>
      <w:bookmarkEnd w:id="139"/>
      <w:r>
        <w:rPr>
          <w:rFonts w:hint="eastAsia" w:ascii="黑体"/>
          <w:b w:val="0"/>
          <w:bCs w:val="0"/>
          <w:color w:val="000000"/>
          <w:sz w:val="24"/>
          <w:szCs w:val="24"/>
          <w:highlight w:val="none"/>
        </w:rPr>
        <w:t xml:space="preserve">的递交</w:t>
      </w:r>
      <w:r>
        <w:rPr>
          <w:rFonts w:hint="eastAsia" w:ascii="黑体"/>
          <w:b w:val="0"/>
          <w:bCs w:val="0"/>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17.1</w:t>
      </w:r>
      <w:r>
        <w:rPr>
          <w:rFonts w:hint="eastAsia" w:ascii="宋体" w:hAnsi="宋体"/>
          <w:bCs/>
          <w:color w:val="000000"/>
          <w:sz w:val="24"/>
          <w:szCs w:val="24"/>
          <w:highlight w:val="none"/>
        </w:rPr>
        <w:t xml:space="preserve"> 电子投标文件的递交</w:t>
      </w:r>
      <w:r>
        <w:rPr>
          <w:rFonts w:hint="eastAsia" w:ascii="宋体" w:hAnsi="宋体"/>
          <w:bCs/>
          <w:color w:val="000000"/>
          <w:sz w:val="24"/>
          <w:szCs w:val="24"/>
          <w:highlight w:val="none"/>
        </w:rPr>
      </w:r>
      <w:r/>
    </w:p>
    <w:p>
      <w:pPr>
        <w:pStyle w:val="1098"/>
        <w:ind w:left="52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投标人应当按照《操作手册》规定，在投标截止时间前</w:t>
      </w:r>
      <w:r>
        <w:rPr>
          <w:rFonts w:ascii="宋体" w:hAnsi="宋体"/>
          <w:bCs/>
          <w:color w:val="000000"/>
          <w:sz w:val="24"/>
          <w:szCs w:val="24"/>
          <w:highlight w:val="none"/>
        </w:rPr>
        <w:t xml:space="preserve">制作</w:t>
      </w:r>
      <w:r>
        <w:rPr>
          <w:rFonts w:hint="eastAsia" w:ascii="宋体" w:hAnsi="宋体"/>
          <w:bCs/>
          <w:color w:val="000000"/>
          <w:sz w:val="24"/>
          <w:szCs w:val="24"/>
          <w:highlight w:val="none"/>
        </w:rPr>
        <w:t xml:space="preserve">并上传电子投标文件。</w:t>
      </w:r>
      <w:bookmarkStart w:id="140" w:name="_Toc20823298"/>
      <w:r/>
      <w:bookmarkStart w:id="141" w:name="_Toc16938542"/>
      <w:r/>
      <w:bookmarkStart w:id="142" w:name="_Toc513029226"/>
      <w:r>
        <w:rPr>
          <w:rFonts w:hint="eastAsia" w:ascii="宋体" w:hAnsi="宋体"/>
          <w:bCs/>
          <w:color w:val="000000"/>
          <w:sz w:val="24"/>
          <w:szCs w:val="24"/>
          <w:highlight w:val="none"/>
        </w:rPr>
      </w:r>
      <w:r/>
    </w:p>
    <w:p>
      <w:pPr>
        <w:pStyle w:val="989"/>
        <w:ind w:firstLine="360"/>
        <w:spacing w:before="0" w:after="0" w:line="440" w:lineRule="exact"/>
        <w:rPr>
          <w:rFonts w:hint="eastAsia"/>
          <w:b w:val="0"/>
          <w:color w:val="000000"/>
          <w:sz w:val="24"/>
          <w:szCs w:val="24"/>
          <w:highlight w:val="none"/>
        </w:rPr>
      </w:pPr>
      <w:r>
        <w:rPr>
          <w:rFonts w:hint="eastAsia"/>
          <w:b w:val="0"/>
          <w:color w:val="000000"/>
          <w:sz w:val="24"/>
          <w:szCs w:val="24"/>
          <w:highlight w:val="none"/>
        </w:rPr>
        <w:t xml:space="preserve">18、投标截止</w:t>
      </w:r>
      <w:bookmarkEnd w:id="140"/>
      <w:r/>
      <w:bookmarkEnd w:id="141"/>
      <w:r/>
      <w:bookmarkEnd w:id="142"/>
      <w:r>
        <w:rPr>
          <w:rFonts w:hint="eastAsia"/>
          <w:b w:val="0"/>
          <w:color w:val="000000"/>
          <w:sz w:val="24"/>
          <w:szCs w:val="24"/>
          <w:highlight w:val="none"/>
        </w:rPr>
        <w:t xml:space="preserve">时间</w:t>
      </w:r>
      <w:r>
        <w:rPr>
          <w:rFonts w:hint="eastAsia"/>
          <w:b w:val="0"/>
          <w:color w:val="000000"/>
          <w:sz w:val="24"/>
          <w:szCs w:val="24"/>
          <w:highlight w:val="none"/>
        </w:rPr>
      </w:r>
      <w:r/>
    </w:p>
    <w:p>
      <w:pPr>
        <w:pStyle w:val="985"/>
        <w:ind w:firstLine="480"/>
        <w:spacing w:line="440" w:lineRule="exact"/>
        <w:rPr>
          <w:rFonts w:hint="eastAsia" w:ascii="宋体" w:hAnsi="宋体"/>
          <w:bCs/>
          <w:i/>
          <w:color w:val="000000"/>
          <w:sz w:val="24"/>
          <w:szCs w:val="24"/>
          <w:highlight w:val="none"/>
          <w:u w:val="single"/>
        </w:rPr>
      </w:pPr>
      <w:r>
        <w:rPr>
          <w:rFonts w:hint="eastAsia" w:ascii="宋体" w:hAnsi="宋体"/>
          <w:i/>
          <w:color w:val="000000"/>
          <w:sz w:val="24"/>
          <w:szCs w:val="24"/>
          <w:highlight w:val="none"/>
          <w:u w:val="single"/>
        </w:rPr>
        <w:t xml:space="preserve">18.1</w:t>
      </w:r>
      <w:r>
        <w:rPr>
          <w:rFonts w:hint="eastAsia" w:ascii="宋体" w:hAnsi="宋体"/>
          <w:bCs/>
          <w:i/>
          <w:color w:val="000000"/>
          <w:sz w:val="24"/>
          <w:szCs w:val="24"/>
          <w:highlight w:val="none"/>
          <w:u w:val="single"/>
        </w:rPr>
        <w:t xml:space="preserve"> 投标人上传电子投标文件的时间不得迟于招标公告中规定的投标截止时间。</w:t>
      </w:r>
      <w:r>
        <w:rPr>
          <w:rFonts w:hint="eastAsia" w:ascii="宋体" w:hAnsi="宋体"/>
          <w:bCs/>
          <w:i/>
          <w:color w:val="000000"/>
          <w:sz w:val="24"/>
          <w:szCs w:val="24"/>
          <w:highlight w:val="none"/>
          <w:u w:val="singl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18.2</w:t>
      </w:r>
      <w:r>
        <w:rPr>
          <w:rFonts w:hint="eastAsia" w:ascii="宋体" w:hAnsi="宋体"/>
          <w:bCs/>
          <w:color w:val="000000"/>
          <w:sz w:val="24"/>
          <w:szCs w:val="24"/>
          <w:highlight w:val="none"/>
        </w:rPr>
        <w:t xml:space="preserve"> </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或采购代理机构</w:t>
      </w:r>
      <w:r>
        <w:rPr>
          <w:rFonts w:hint="eastAsia" w:ascii="宋体" w:hAnsi="宋体"/>
          <w:bCs/>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szCs w:val="24"/>
          <w:highlight w:val="none"/>
        </w:rPr>
      </w:r>
      <w:r/>
    </w:p>
    <w:p>
      <w:pPr>
        <w:pStyle w:val="989"/>
        <w:ind w:firstLine="360"/>
        <w:spacing w:before="0" w:after="0" w:line="440" w:lineRule="exact"/>
        <w:rPr>
          <w:rFonts w:hint="eastAsia"/>
          <w:b w:val="0"/>
          <w:bCs w:val="0"/>
          <w:color w:val="000000"/>
          <w:sz w:val="24"/>
          <w:szCs w:val="24"/>
          <w:highlight w:val="none"/>
        </w:rPr>
      </w:pPr>
      <w:r/>
      <w:bookmarkStart w:id="143" w:name="_Toc513029227"/>
      <w:r/>
      <w:bookmarkStart w:id="144" w:name="_Toc20823299"/>
      <w:r/>
      <w:bookmarkStart w:id="145" w:name="_Toc16938543"/>
      <w:r>
        <w:rPr>
          <w:rFonts w:hint="eastAsia"/>
          <w:b w:val="0"/>
          <w:bCs w:val="0"/>
          <w:color w:val="000000"/>
          <w:sz w:val="24"/>
          <w:szCs w:val="24"/>
          <w:highlight w:val="none"/>
        </w:rPr>
        <w:t xml:space="preserve">19、投标文件</w:t>
      </w:r>
      <w:bookmarkEnd w:id="143"/>
      <w:r/>
      <w:bookmarkEnd w:id="144"/>
      <w:r/>
      <w:bookmarkEnd w:id="145"/>
      <w:r>
        <w:rPr>
          <w:rFonts w:hint="eastAsia"/>
          <w:b w:val="0"/>
          <w:bCs w:val="0"/>
          <w:color w:val="000000"/>
          <w:sz w:val="24"/>
          <w:szCs w:val="24"/>
          <w:highlight w:val="none"/>
        </w:rPr>
        <w:t xml:space="preserve">的拒收</w:t>
      </w:r>
      <w:r>
        <w:rPr>
          <w:rFonts w:hint="eastAsia"/>
          <w:b w:val="0"/>
          <w:bCs w:val="0"/>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19.1</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或采购代理机构</w:t>
      </w:r>
      <w:r>
        <w:rPr>
          <w:rFonts w:hint="eastAsia" w:ascii="宋体" w:hAnsi="宋体"/>
          <w:bCs/>
          <w:color w:val="000000"/>
          <w:sz w:val="24"/>
          <w:szCs w:val="24"/>
          <w:highlight w:val="none"/>
        </w:rPr>
        <w:t xml:space="preserve">拒绝接收在其规定的投标截止时间后上传的任何投标文件。</w:t>
      </w:r>
      <w:r>
        <w:rPr>
          <w:rFonts w:hint="eastAsia" w:ascii="宋体" w:hAnsi="宋体"/>
          <w:bCs/>
          <w:color w:val="000000"/>
          <w:sz w:val="24"/>
          <w:szCs w:val="24"/>
          <w:highlight w:val="none"/>
        </w:rPr>
      </w:r>
      <w:r/>
    </w:p>
    <w:p>
      <w:pPr>
        <w:pStyle w:val="989"/>
        <w:ind w:firstLine="360"/>
        <w:spacing w:before="0" w:after="0" w:line="440" w:lineRule="exact"/>
        <w:rPr>
          <w:rFonts w:hint="eastAsia"/>
          <w:b w:val="0"/>
          <w:bCs w:val="0"/>
          <w:color w:val="000000"/>
          <w:sz w:val="24"/>
          <w:szCs w:val="24"/>
          <w:highlight w:val="none"/>
        </w:rPr>
      </w:pPr>
      <w:r/>
      <w:bookmarkStart w:id="146" w:name="_Toc513029228"/>
      <w:r/>
      <w:bookmarkStart w:id="147" w:name="_Toc16938544"/>
      <w:r/>
      <w:bookmarkStart w:id="148" w:name="_Toc20823300"/>
      <w:r>
        <w:rPr>
          <w:rFonts w:hint="eastAsia"/>
          <w:b w:val="0"/>
          <w:bCs w:val="0"/>
          <w:color w:val="000000"/>
          <w:sz w:val="24"/>
          <w:szCs w:val="24"/>
          <w:highlight w:val="none"/>
        </w:rPr>
        <w:t xml:space="preserve">20、投标文件的撤回和修改</w:t>
      </w:r>
      <w:bookmarkEnd w:id="146"/>
      <w:r/>
      <w:bookmarkEnd w:id="147"/>
      <w:r/>
      <w:bookmarkEnd w:id="148"/>
      <w:r>
        <w:rPr>
          <w:rFonts w:hint="eastAsia"/>
          <w:b w:val="0"/>
          <w:bCs w:val="0"/>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 投标文件的撤回</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.1.1 电子投标文件的撤回</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投标人可在投标截止时间前，撤回其电子投标文件，具体操作方法见《操作手册》。</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 投标文件的修改</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20.2.1投标人可在投标截止时间前，对其电子投标文件进行修改，具体操作方法见《操作手册》。</w:t>
      </w:r>
      <w:r>
        <w:rPr>
          <w:rFonts w:hint="eastAsia" w:ascii="宋体" w:hAnsi="宋体"/>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20.2.2</w:t>
      </w:r>
      <w:r>
        <w:rPr>
          <w:rFonts w:hint="eastAsia" w:ascii="宋体" w:hAnsi="宋体"/>
          <w:bCs/>
          <w:color w:val="000000"/>
          <w:sz w:val="24"/>
          <w:szCs w:val="24"/>
          <w:highlight w:val="none"/>
        </w:rPr>
        <w:t xml:space="preserve"> 在投标截止时间之后，投标人不得对其电子投标文件作任何修改。</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20.3</w:t>
      </w:r>
      <w:r>
        <w:rPr>
          <w:rFonts w:hint="eastAsia" w:ascii="宋体" w:hAnsi="宋体"/>
          <w:bCs/>
          <w:color w:val="000000"/>
          <w:sz w:val="24"/>
          <w:szCs w:val="24"/>
          <w:highlight w:val="none"/>
        </w:rPr>
        <w:t xml:space="preserve"> 在投标截止时间至招标文件中规定的投标有效期满之间的这段时间内，投标人不得撤回其投标。</w:t>
      </w:r>
      <w:r>
        <w:rPr>
          <w:rFonts w:hint="eastAsia" w:ascii="宋体" w:hAnsi="宋体"/>
          <w:bCs/>
          <w:color w:val="000000"/>
          <w:sz w:val="24"/>
          <w:szCs w:val="24"/>
          <w:highlight w:val="none"/>
        </w:rPr>
      </w:r>
      <w:r/>
    </w:p>
    <w:p>
      <w:pPr>
        <w:pStyle w:val="988"/>
        <w:ind w:firstLine="361"/>
        <w:spacing w:before="145" w:after="145" w:line="440" w:lineRule="exact"/>
        <w:rPr>
          <w:rFonts w:hint="eastAsia"/>
          <w:color w:val="000000"/>
          <w:sz w:val="24"/>
          <w:szCs w:val="24"/>
          <w:highlight w:val="none"/>
        </w:rPr>
      </w:pPr>
      <w:r/>
      <w:bookmarkStart w:id="149" w:name="_Toc20823301"/>
      <w:r/>
      <w:bookmarkStart w:id="150" w:name="_Toc513029229"/>
      <w:r/>
      <w:bookmarkStart w:id="151" w:name="_Toc16938545"/>
      <w:r/>
      <w:bookmarkStart w:id="152" w:name="_Toc120614218"/>
      <w:r>
        <w:rPr>
          <w:rFonts w:hint="eastAsia"/>
          <w:color w:val="000000"/>
          <w:sz w:val="24"/>
          <w:szCs w:val="24"/>
          <w:highlight w:val="none"/>
        </w:rPr>
        <w:t xml:space="preserve">五、开标与评标</w:t>
      </w:r>
      <w:bookmarkEnd w:id="149"/>
      <w:r/>
      <w:bookmarkEnd w:id="150"/>
      <w:r/>
      <w:bookmarkEnd w:id="151"/>
      <w:r/>
      <w:bookmarkEnd w:id="152"/>
      <w:r>
        <w:rPr>
          <w:rFonts w:hint="eastAsia"/>
          <w:color w:val="000000"/>
          <w:sz w:val="24"/>
          <w:szCs w:val="24"/>
          <w:highlight w:val="none"/>
        </w:rPr>
      </w:r>
      <w:r/>
    </w:p>
    <w:p>
      <w:pPr>
        <w:pStyle w:val="989"/>
        <w:ind w:firstLine="360"/>
        <w:spacing w:before="0" w:after="0" w:line="440" w:lineRule="exact"/>
        <w:rPr>
          <w:rFonts w:hint="eastAsia"/>
          <w:b w:val="0"/>
          <w:bCs w:val="0"/>
          <w:color w:val="000000"/>
          <w:sz w:val="24"/>
          <w:szCs w:val="24"/>
          <w:highlight w:val="none"/>
        </w:rPr>
      </w:pPr>
      <w:r/>
      <w:bookmarkStart w:id="153" w:name="_Toc513029230"/>
      <w:r/>
      <w:bookmarkStart w:id="154" w:name="_Toc20823302"/>
      <w:r/>
      <w:bookmarkStart w:id="155" w:name="_Toc16938546"/>
      <w:r>
        <w:rPr>
          <w:rFonts w:hint="eastAsia"/>
          <w:b w:val="0"/>
          <w:bCs w:val="0"/>
          <w:color w:val="000000"/>
          <w:sz w:val="24"/>
          <w:szCs w:val="24"/>
          <w:highlight w:val="none"/>
        </w:rPr>
        <w:t xml:space="preserve">21、开标</w:t>
      </w:r>
      <w:bookmarkEnd w:id="153"/>
      <w:r/>
      <w:bookmarkEnd w:id="154"/>
      <w:r/>
      <w:bookmarkEnd w:id="155"/>
      <w:r>
        <w:rPr>
          <w:rFonts w:hint="eastAsia"/>
          <w:b w:val="0"/>
          <w:bCs w:val="0"/>
          <w:color w:val="000000"/>
          <w:sz w:val="24"/>
          <w:szCs w:val="24"/>
          <w:highlight w:val="none"/>
        </w:rPr>
      </w:r>
      <w:r/>
    </w:p>
    <w:p>
      <w:pPr>
        <w:pStyle w:val="985"/>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21.1</w:t>
      </w:r>
      <w:r>
        <w:rPr>
          <w:rFonts w:hint="eastAsia" w:ascii="宋体" w:hAnsi="宋体"/>
          <w:bCs/>
          <w:color w:val="000000"/>
          <w:sz w:val="24"/>
          <w:szCs w:val="24"/>
          <w:highlight w:val="none"/>
        </w:rPr>
        <w:t xml:space="preserve"> </w:t>
      </w:r>
      <w:r>
        <w:rPr>
          <w:rFonts w:hint="eastAsia" w:ascii="宋体" w:hAnsi="宋体"/>
          <w:color w:val="000000"/>
          <w:sz w:val="24"/>
          <w:szCs w:val="24"/>
          <w:highlight w:val="none"/>
        </w:rPr>
        <w:t xml:space="preserve">采购代理机构</w:t>
      </w:r>
      <w:r>
        <w:rPr>
          <w:rFonts w:hint="eastAsia" w:ascii="宋体" w:hAnsi="宋体"/>
          <w:bCs/>
          <w:color w:val="000000"/>
          <w:sz w:val="24"/>
          <w:szCs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21.2</w:t>
      </w:r>
      <w:r>
        <w:rPr>
          <w:rFonts w:hint="eastAsia" w:ascii="宋体" w:hAnsi="宋体"/>
          <w:color w:val="000000"/>
          <w:sz w:val="24"/>
          <w:szCs w:val="24"/>
          <w:highlight w:val="none"/>
        </w:rPr>
        <w:t xml:space="preserve">开标仪式由采购代理机构组织。苏采云系统将自动对</w:t>
      </w:r>
      <w:r>
        <w:rPr>
          <w:rFonts w:ascii="宋体" w:hAnsi="宋体"/>
          <w:color w:val="000000"/>
          <w:sz w:val="24"/>
          <w:szCs w:val="24"/>
          <w:highlight w:val="none"/>
        </w:rPr>
        <w:t xml:space="preserve">项目进行开标，并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21.3投标人在开标过程中涉及到的投标文件解密、开标结果确认等工作，应按照《操作手册》规定执行。</w:t>
      </w:r>
      <w:r>
        <w:rPr>
          <w:rFonts w:hint="eastAsia" w:ascii="宋体" w:hAnsi="宋体"/>
          <w:color w:val="000000"/>
          <w:sz w:val="24"/>
          <w:szCs w:val="24"/>
          <w:highlight w:val="none"/>
        </w:rPr>
      </w:r>
      <w:r/>
    </w:p>
    <w:p>
      <w:pPr>
        <w:pStyle w:val="98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rPr>
          <w:rFonts w:ascii="宋体" w:hAnsi="宋体"/>
          <w:color w:val="000000"/>
          <w:sz w:val="24"/>
          <w:szCs w:val="24"/>
          <w:highlight w:val="none"/>
        </w:rPr>
      </w:r>
      <w:r/>
    </w:p>
    <w:p>
      <w:pPr>
        <w:pStyle w:val="989"/>
        <w:ind w:firstLine="360"/>
        <w:spacing w:before="0" w:after="0" w:line="440" w:lineRule="exact"/>
        <w:rPr>
          <w:rFonts w:hint="eastAsia"/>
          <w:b w:val="0"/>
          <w:bCs w:val="0"/>
          <w:color w:val="000000"/>
          <w:sz w:val="24"/>
          <w:szCs w:val="24"/>
          <w:highlight w:val="none"/>
        </w:rPr>
      </w:pPr>
      <w:r/>
      <w:bookmarkStart w:id="156" w:name="_Toc16938547"/>
      <w:r/>
      <w:bookmarkStart w:id="157" w:name="_Toc513029231"/>
      <w:r/>
      <w:bookmarkStart w:id="158" w:name="_Toc20823303"/>
      <w:r>
        <w:rPr>
          <w:rFonts w:hint="eastAsia"/>
          <w:b w:val="0"/>
          <w:bCs w:val="0"/>
          <w:color w:val="000000"/>
          <w:sz w:val="24"/>
          <w:szCs w:val="24"/>
          <w:highlight w:val="none"/>
        </w:rPr>
        <w:t xml:space="preserve">22、评标委员会</w:t>
      </w:r>
      <w:r>
        <w:rPr>
          <w:rFonts w:hint="eastAsia"/>
          <w:b w:val="0"/>
          <w:bCs w:val="0"/>
          <w:color w:val="000000"/>
          <w:sz w:val="24"/>
          <w:szCs w:val="24"/>
          <w:highlight w:val="none"/>
        </w:rPr>
      </w:r>
      <w:r/>
    </w:p>
    <w:p>
      <w:pPr>
        <w:pStyle w:val="985"/>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开标后，采购代理机构将立即组织评标委员会（以下简称评委会）进行评标。</w:t>
      </w:r>
      <w:r>
        <w:rPr>
          <w:rFonts w:hint="eastAsia" w:ascii="宋体" w:hAnsi="宋体"/>
          <w:b/>
          <w:color w:val="000000"/>
          <w:sz w:val="24"/>
          <w:szCs w:val="24"/>
          <w:highlight w:val="none"/>
        </w:rPr>
      </w:r>
      <w:r/>
    </w:p>
    <w:p>
      <w:pPr>
        <w:pStyle w:val="985"/>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 评委会由</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代表和有关技术、经济等方面的专家组成，且人员构成符合政府采购有关规定。</w:t>
      </w:r>
      <w:r>
        <w:rPr>
          <w:rFonts w:hint="eastAsia" w:ascii="宋体" w:hAnsi="宋体"/>
          <w:color w:val="000000"/>
          <w:sz w:val="24"/>
          <w:szCs w:val="24"/>
          <w:highlight w:val="none"/>
        </w:rPr>
      </w:r>
      <w:r/>
    </w:p>
    <w:p>
      <w:pPr>
        <w:pStyle w:val="985"/>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22.3评委会独立工作，负责评审所有投标文件并确定中标侯选人。</w:t>
      </w:r>
      <w:r>
        <w:rPr>
          <w:rFonts w:hint="eastAsia" w:ascii="宋体" w:hAnsi="宋体"/>
          <w:color w:val="000000"/>
          <w:sz w:val="24"/>
          <w:szCs w:val="24"/>
          <w:highlight w:val="none"/>
        </w:rPr>
      </w:r>
      <w:r/>
    </w:p>
    <w:p>
      <w:pPr>
        <w:pStyle w:val="989"/>
        <w:ind w:firstLine="360"/>
        <w:spacing w:before="0" w:after="0" w:line="440" w:lineRule="exact"/>
        <w:rPr>
          <w:rFonts w:hint="eastAsia" w:ascii="黑体"/>
          <w:b w:val="0"/>
          <w:bCs w:val="0"/>
          <w:color w:val="000000"/>
          <w:sz w:val="24"/>
          <w:szCs w:val="24"/>
          <w:highlight w:val="none"/>
        </w:rPr>
      </w:pPr>
      <w:r>
        <w:rPr>
          <w:rFonts w:hint="eastAsia" w:ascii="黑体"/>
          <w:b w:val="0"/>
          <w:bCs w:val="0"/>
          <w:color w:val="000000"/>
          <w:sz w:val="24"/>
          <w:szCs w:val="24"/>
          <w:highlight w:val="none"/>
        </w:rPr>
        <w:t xml:space="preserve">23、评标过程的保密与公正</w:t>
      </w:r>
      <w:r>
        <w:rPr>
          <w:rFonts w:hint="eastAsia" w:ascii="黑体"/>
          <w:b w:val="0"/>
          <w:bCs w:val="0"/>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bookmarkEnd w:id="156"/>
      <w:r/>
      <w:bookmarkEnd w:id="157"/>
      <w:r/>
      <w:bookmarkEnd w:id="158"/>
      <w:r>
        <w:rPr>
          <w:rFonts w:hint="eastAsia" w:ascii="宋体" w:hAnsi="宋体"/>
          <w:color w:val="000000"/>
          <w:sz w:val="24"/>
          <w:szCs w:val="24"/>
          <w:highlight w:val="none"/>
        </w:rPr>
        <w:t xml:space="preserve">23.1</w:t>
      </w:r>
      <w:r>
        <w:rPr>
          <w:rFonts w:hint="eastAsia" w:ascii="宋体" w:hAnsi="宋体"/>
          <w:bCs/>
          <w:color w:val="000000"/>
          <w:sz w:val="24"/>
          <w:szCs w:val="24"/>
          <w:highlight w:val="none"/>
        </w:rPr>
        <w:t xml:space="preserve">凡是与审查、澄清、评价和比较投标的有关资料以及授标建议等，</w:t>
      </w:r>
      <w:r>
        <w:rPr>
          <w:rFonts w:hint="eastAsia" w:ascii="宋体" w:hAnsi="宋体"/>
          <w:bCs/>
          <w:color w:val="000000"/>
          <w:sz w:val="24"/>
          <w:szCs w:val="24"/>
          <w:highlight w:val="none"/>
          <w:lang w:eastAsia="zh-CN"/>
        </w:rPr>
        <w:t xml:space="preserve">招标人</w:t>
      </w:r>
      <w:r>
        <w:rPr>
          <w:rFonts w:hint="eastAsia" w:ascii="宋体" w:hAnsi="宋体"/>
          <w:bCs/>
          <w:color w:val="000000"/>
          <w:sz w:val="24"/>
          <w:szCs w:val="24"/>
          <w:highlight w:val="none"/>
        </w:rPr>
        <w:t xml:space="preserve">、评委、</w:t>
      </w:r>
      <w:r>
        <w:rPr>
          <w:rFonts w:hint="eastAsia" w:ascii="宋体" w:hAnsi="宋体"/>
          <w:color w:val="000000"/>
          <w:sz w:val="24"/>
          <w:szCs w:val="24"/>
          <w:highlight w:val="none"/>
        </w:rPr>
        <w:t xml:space="preserve">采购代理机构</w:t>
      </w:r>
      <w:r>
        <w:rPr>
          <w:rFonts w:hint="eastAsia" w:ascii="宋体" w:hAnsi="宋体"/>
          <w:bCs/>
          <w:color w:val="000000"/>
          <w:sz w:val="24"/>
          <w:szCs w:val="24"/>
          <w:highlight w:val="none"/>
        </w:rPr>
        <w:t xml:space="preserve">均不得向投标人或与评标无关的其他人员透露。</w:t>
      </w:r>
      <w:r>
        <w:rPr>
          <w:rFonts w:hint="eastAsia" w:ascii="宋体" w:hAnsi="宋体"/>
          <w:bCs/>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23.2在评标过程中，投标人不得以任何行为影响评标过程，否则其投标文件将被作为无效投标文件。</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采购代理机构和评标委员会不向未中标的投标人解释未中标原因，也不公布评标过程中的相关细节。</w:t>
      </w:r>
      <w:r>
        <w:rPr>
          <w:rFonts w:hint="eastAsia" w:ascii="宋体" w:hAnsi="宋体"/>
          <w:color w:val="000000"/>
          <w:sz w:val="24"/>
          <w:szCs w:val="24"/>
          <w:highlight w:val="none"/>
        </w:rPr>
      </w:r>
      <w:r/>
    </w:p>
    <w:p>
      <w:pPr>
        <w:pStyle w:val="98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23.4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989"/>
        <w:ind w:firstLine="360"/>
        <w:spacing w:before="0" w:after="0" w:line="440" w:lineRule="exact"/>
        <w:rPr>
          <w:rFonts w:hint="eastAsia"/>
          <w:b w:val="0"/>
          <w:bCs w:val="0"/>
          <w:color w:val="000000"/>
          <w:sz w:val="24"/>
          <w:szCs w:val="24"/>
          <w:highlight w:val="none"/>
        </w:rPr>
      </w:pPr>
      <w:r/>
      <w:bookmarkStart w:id="159" w:name="_Toc16938548"/>
      <w:r/>
      <w:bookmarkStart w:id="160" w:name="_Toc20823304"/>
      <w:r/>
      <w:bookmarkStart w:id="161" w:name="_Toc513029232"/>
      <w:r>
        <w:rPr>
          <w:rFonts w:hint="eastAsia"/>
          <w:b w:val="0"/>
          <w:bCs w:val="0"/>
          <w:color w:val="000000"/>
          <w:sz w:val="24"/>
          <w:szCs w:val="24"/>
          <w:highlight w:val="none"/>
        </w:rPr>
        <w:t xml:space="preserve">24、投标文件的澄清</w:t>
      </w:r>
      <w:bookmarkEnd w:id="159"/>
      <w:r/>
      <w:bookmarkEnd w:id="160"/>
      <w:r/>
      <w:bookmarkEnd w:id="161"/>
      <w:r>
        <w:rPr>
          <w:rFonts w:hint="eastAsia"/>
          <w:b w:val="0"/>
          <w:bCs w:val="0"/>
          <w:color w:val="000000"/>
          <w:sz w:val="24"/>
          <w:szCs w:val="24"/>
          <w:highlight w:val="none"/>
        </w:rPr>
      </w:r>
      <w:r/>
    </w:p>
    <w:p>
      <w:pPr>
        <w:pStyle w:val="985"/>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98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24.3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989"/>
        <w:ind w:firstLine="360"/>
        <w:spacing w:before="0" w:after="0" w:line="440" w:lineRule="exact"/>
        <w:rPr>
          <w:rFonts w:hint="eastAsia"/>
          <w:b w:val="0"/>
          <w:bCs w:val="0"/>
          <w:color w:val="000000"/>
          <w:sz w:val="24"/>
          <w:szCs w:val="24"/>
          <w:highlight w:val="none"/>
        </w:rPr>
      </w:pPr>
      <w:r/>
      <w:bookmarkStart w:id="162" w:name="_Toc20823305"/>
      <w:r/>
      <w:bookmarkStart w:id="163" w:name="_Toc16938549"/>
      <w:r/>
      <w:bookmarkStart w:id="164" w:name="_Toc513029233"/>
      <w:r>
        <w:rPr>
          <w:rFonts w:hint="eastAsia"/>
          <w:b w:val="0"/>
          <w:bCs w:val="0"/>
          <w:color w:val="000000"/>
          <w:sz w:val="24"/>
          <w:szCs w:val="24"/>
          <w:highlight w:val="none"/>
        </w:rPr>
        <w:t xml:space="preserve">25、对投标文件的初审</w:t>
      </w:r>
      <w:bookmarkEnd w:id="162"/>
      <w:r/>
      <w:bookmarkEnd w:id="163"/>
      <w:r/>
      <w:bookmarkEnd w:id="164"/>
      <w:r>
        <w:rPr>
          <w:rFonts w:hint="eastAsia"/>
          <w:b w:val="0"/>
          <w:bCs w:val="0"/>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25.1</w:t>
      </w:r>
      <w:r>
        <w:rPr>
          <w:rFonts w:hint="eastAsia" w:ascii="宋体" w:hAnsi="宋体"/>
          <w:bCs/>
          <w:color w:val="000000"/>
          <w:sz w:val="24"/>
          <w:szCs w:val="24"/>
          <w:highlight w:val="none"/>
        </w:rPr>
        <w:t xml:space="preserve">投标文件初审分为资格审查和符合性审查。</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25.1.1 资格审查：依据法律法规和招标文件的规定，由</w:t>
      </w:r>
      <w:r>
        <w:rPr>
          <w:rFonts w:hint="eastAsia" w:ascii="宋体" w:hAnsi="宋体"/>
          <w:bCs/>
          <w:color w:val="000000"/>
          <w:sz w:val="24"/>
          <w:szCs w:val="24"/>
          <w:highlight w:val="none"/>
          <w:lang w:eastAsia="zh-CN"/>
        </w:rPr>
        <w:t xml:space="preserve">招标人</w:t>
      </w:r>
      <w:r>
        <w:rPr>
          <w:rFonts w:hint="eastAsia" w:ascii="宋体" w:hAnsi="宋体"/>
          <w:bCs/>
          <w:color w:val="000000"/>
          <w:sz w:val="24"/>
          <w:szCs w:val="24"/>
          <w:highlight w:val="none"/>
        </w:rPr>
        <w:t xml:space="preserve">对投标文件中的资格证明文件进行审查。资格审查的结论，</w:t>
      </w:r>
      <w:r>
        <w:rPr>
          <w:rFonts w:hint="eastAsia" w:ascii="宋体" w:hAnsi="宋体"/>
          <w:bCs/>
          <w:color w:val="000000"/>
          <w:sz w:val="24"/>
          <w:szCs w:val="24"/>
          <w:highlight w:val="none"/>
          <w:lang w:eastAsia="zh-CN"/>
        </w:rPr>
        <w:t xml:space="preserve">招标人</w:t>
      </w:r>
      <w:r>
        <w:rPr>
          <w:rFonts w:hint="eastAsia" w:ascii="宋体" w:hAnsi="宋体"/>
          <w:bCs/>
          <w:color w:val="000000"/>
          <w:sz w:val="24"/>
          <w:szCs w:val="24"/>
          <w:highlight w:val="none"/>
        </w:rPr>
        <w:t xml:space="preserve">以书面形式向评委会进行反馈。</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招标人</w:t>
      </w:r>
      <w:r>
        <w:rPr>
          <w:rFonts w:hint="eastAsia" w:ascii="宋体" w:hAnsi="宋体"/>
          <w:bCs/>
          <w:color w:val="000000"/>
          <w:sz w:val="24"/>
          <w:szCs w:val="24"/>
          <w:highlight w:val="none"/>
        </w:rPr>
        <w:t xml:space="preserve">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3 未通过资格审查或符合性审查的投标人，采购代理机构将在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中告知未通过资格审查或符合性审查的原因，</w:t>
      </w:r>
      <w:r>
        <w:rPr>
          <w:rFonts w:ascii="宋体" w:hAnsi="宋体"/>
          <w:bCs/>
          <w:color w:val="000000"/>
          <w:sz w:val="24"/>
          <w:szCs w:val="24"/>
          <w:highlight w:val="none"/>
        </w:rPr>
        <w:t xml:space="preserve">评标结束后，</w:t>
      </w:r>
      <w:r>
        <w:rPr>
          <w:rFonts w:hint="eastAsia" w:ascii="宋体" w:hAnsi="宋体"/>
          <w:bCs/>
          <w:color w:val="000000"/>
          <w:sz w:val="24"/>
          <w:szCs w:val="24"/>
          <w:highlight w:val="none"/>
        </w:rPr>
        <w:t xml:space="preserve">采购代理机构</w:t>
      </w:r>
      <w:r>
        <w:rPr>
          <w:rFonts w:ascii="宋体" w:hAnsi="宋体"/>
          <w:bCs/>
          <w:color w:val="000000"/>
          <w:sz w:val="24"/>
          <w:szCs w:val="24"/>
          <w:highlight w:val="none"/>
        </w:rPr>
        <w:t xml:space="preserve">将不再告知未通过资格审查和</w:t>
      </w:r>
      <w:r>
        <w:rPr>
          <w:rFonts w:hint="eastAsia" w:ascii="宋体" w:hAnsi="宋体"/>
          <w:bCs/>
          <w:color w:val="000000"/>
          <w:sz w:val="24"/>
          <w:szCs w:val="24"/>
          <w:highlight w:val="none"/>
        </w:rPr>
        <w:t xml:space="preserve">符合性</w:t>
      </w:r>
      <w:r>
        <w:rPr>
          <w:rFonts w:ascii="宋体" w:hAnsi="宋体"/>
          <w:bCs/>
          <w:color w:val="000000"/>
          <w:sz w:val="24"/>
          <w:szCs w:val="24"/>
          <w:highlight w:val="none"/>
        </w:rPr>
        <w:t xml:space="preserve">审查的原因。</w:t>
      </w:r>
      <w:r>
        <w:rPr>
          <w:rFonts w:hint="eastAsia" w:ascii="宋体" w:hAnsi="宋体"/>
          <w:bCs/>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szCs w:val="24"/>
          <w:highlight w:val="none"/>
        </w:rPr>
      </w:r>
      <w:r/>
    </w:p>
    <w:p>
      <w:pPr>
        <w:pStyle w:val="98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4</w:t>
      </w:r>
      <w:r>
        <w:rPr>
          <w:rFonts w:hint="eastAsia" w:ascii="宋体" w:hAnsi="宋体"/>
          <w:bCs/>
          <w:color w:val="000000"/>
          <w:sz w:val="24"/>
          <w:szCs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szCs w:val="24"/>
          <w:highlight w:val="none"/>
        </w:rPr>
      </w:r>
      <w:r/>
    </w:p>
    <w:p>
      <w:pPr>
        <w:pStyle w:val="98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（1）投标文件中开标一览表内容与投标文件中相应内容不一致的，以开标一览表为准。</w:t>
      </w:r>
      <w:r>
        <w:rPr>
          <w:rFonts w:ascii="宋体" w:hAnsi="宋体"/>
          <w:bCs/>
          <w:color w:val="000000"/>
          <w:sz w:val="24"/>
          <w:szCs w:val="24"/>
          <w:highlight w:val="none"/>
        </w:rPr>
      </w:r>
      <w:r/>
    </w:p>
    <w:p>
      <w:pPr>
        <w:pStyle w:val="98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（2）大写金额和小写金额不一致的，以大写金额为准。</w:t>
      </w:r>
      <w:r>
        <w:rPr>
          <w:rFonts w:ascii="宋体" w:hAnsi="宋体"/>
          <w:bCs/>
          <w:color w:val="000000"/>
          <w:sz w:val="24"/>
          <w:szCs w:val="24"/>
          <w:highlight w:val="none"/>
        </w:rPr>
      </w:r>
      <w:r/>
    </w:p>
    <w:p>
      <w:pPr>
        <w:pStyle w:val="98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（3）单价金额小数点或者百分比有明显错位的，以开标一览表的总价为准，并修改单价。</w:t>
      </w:r>
      <w:r>
        <w:rPr>
          <w:rFonts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（4）总价金额与按单价汇总金额不一致的，以单价金额计算结果为准。</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同时出现两种以上错误的，按照前款规定的顺序修正。</w:t>
      </w:r>
      <w:r>
        <w:rPr>
          <w:rFonts w:hint="eastAsia" w:ascii="宋体" w:hAnsi="宋体"/>
          <w:bCs/>
          <w:color w:val="000000"/>
          <w:sz w:val="24"/>
          <w:szCs w:val="24"/>
          <w:highlight w:val="none"/>
        </w:rPr>
      </w:r>
      <w:r/>
    </w:p>
    <w:p>
      <w:pPr>
        <w:pStyle w:val="985"/>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 </w:t>
      </w:r>
      <w:r>
        <w:rPr>
          <w:rFonts w:hint="eastAsia" w:ascii="宋体" w:hAnsi="宋体"/>
          <w:bCs/>
          <w:color w:val="000000"/>
          <w:sz w:val="24"/>
          <w:szCs w:val="24"/>
          <w:highlight w:val="none"/>
        </w:rPr>
        <w:t xml:space="preserve">评委会将按上述修正错误的方法调整投标文件中的投标报价，并</w:t>
      </w:r>
      <w:r>
        <w:rPr>
          <w:rFonts w:ascii="宋体" w:hAnsi="宋体"/>
          <w:bCs/>
          <w:color w:val="000000"/>
          <w:sz w:val="24"/>
          <w:szCs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告知</w:t>
      </w:r>
      <w:r>
        <w:rPr>
          <w:rFonts w:ascii="宋体" w:hAnsi="宋体"/>
          <w:bCs/>
          <w:color w:val="000000"/>
          <w:sz w:val="24"/>
          <w:szCs w:val="24"/>
          <w:highlight w:val="none"/>
        </w:rPr>
        <w:t xml:space="preserve">投标人，</w:t>
      </w:r>
      <w:r>
        <w:rPr>
          <w:rFonts w:hint="eastAsia" w:ascii="宋体" w:hAnsi="宋体"/>
          <w:bCs/>
          <w:color w:val="000000"/>
          <w:sz w:val="24"/>
          <w:szCs w:val="24"/>
          <w:highlight w:val="none"/>
        </w:rPr>
        <w:t xml:space="preserve">调整后的价格应对投标人具有约束力。如果投标人不接受修正后的价格，则其投标将被拒绝。</w:t>
      </w:r>
      <w:r>
        <w:rPr>
          <w:rFonts w:ascii="宋体" w:hAnsi="宋体"/>
          <w:bCs/>
          <w:color w:val="000000"/>
          <w:sz w:val="24"/>
          <w:szCs w:val="24"/>
          <w:highlight w:val="none"/>
        </w:rPr>
      </w:r>
      <w:r/>
    </w:p>
    <w:p>
      <w:pPr>
        <w:pStyle w:val="985"/>
        <w:ind w:firstLine="420"/>
        <w:spacing w:line="440" w:lineRule="exact"/>
        <w:rPr>
          <w:rFonts w:hint="eastAsia" w:ascii="宋体" w:hAnsi="宋体"/>
          <w:b/>
          <w:bCs/>
          <w:color w:val="000000"/>
          <w:sz w:val="24"/>
          <w:szCs w:val="24"/>
          <w:highlight w:val="none"/>
        </w:rPr>
      </w:pPr>
      <w:r/>
      <w:bookmarkStart w:id="165" w:name="_Toc20823306"/>
      <w:r/>
      <w:bookmarkStart w:id="166" w:name="_Toc513029234"/>
      <w:r/>
      <w:bookmarkStart w:id="167" w:name="_Toc16938550"/>
      <w:r>
        <w:rPr>
          <w:rFonts w:hint="eastAsia" w:ascii="宋体" w:hAnsi="宋体"/>
          <w:b/>
          <w:bCs/>
          <w:color w:val="000000"/>
          <w:sz w:val="24"/>
          <w:szCs w:val="24"/>
          <w:highlight w:val="none"/>
        </w:rPr>
        <w:t xml:space="preserve">25.6投标人在开、评标全过程中应保持通讯畅通，及时登录苏采云系统查阅</w:t>
      </w:r>
      <w:r>
        <w:rPr>
          <w:rFonts w:ascii="宋体" w:hAnsi="宋体"/>
          <w:b/>
          <w:bCs/>
          <w:color w:val="000000"/>
          <w:sz w:val="24"/>
          <w:szCs w:val="24"/>
          <w:highlight w:val="none"/>
        </w:rPr>
        <w:t xml:space="preserve">、答复相关</w:t>
      </w:r>
      <w:r>
        <w:rPr>
          <w:rFonts w:hint="eastAsia" w:ascii="宋体" w:hAnsi="宋体"/>
          <w:b/>
          <w:bCs/>
          <w:color w:val="000000"/>
          <w:sz w:val="24"/>
          <w:szCs w:val="24"/>
          <w:highlight w:val="none"/>
        </w:rPr>
        <w:t xml:space="preserve">信息</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并安排专人与采购代理机构及评标委员会联系。</w:t>
      </w:r>
      <w:r>
        <w:rPr>
          <w:rFonts w:hint="eastAsia" w:ascii="宋体" w:hAnsi="宋体"/>
          <w:b/>
          <w:bCs/>
          <w:color w:val="000000"/>
          <w:sz w:val="24"/>
          <w:szCs w:val="24"/>
          <w:highlight w:val="none"/>
        </w:rPr>
      </w:r>
      <w:r/>
    </w:p>
    <w:p>
      <w:pPr>
        <w:pStyle w:val="989"/>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26、</w:t>
      </w:r>
      <w:bookmarkEnd w:id="165"/>
      <w:r/>
      <w:bookmarkEnd w:id="166"/>
      <w:r/>
      <w:bookmarkEnd w:id="167"/>
      <w:r>
        <w:rPr>
          <w:rFonts w:hint="eastAsia"/>
          <w:b w:val="0"/>
          <w:bCs w:val="0"/>
          <w:color w:val="000000"/>
          <w:sz w:val="24"/>
          <w:szCs w:val="24"/>
          <w:highlight w:val="none"/>
        </w:rPr>
        <w:t xml:space="preserve">无效投标条款和废标条款</w:t>
      </w:r>
      <w:r>
        <w:rPr>
          <w:rFonts w:hint="eastAsia"/>
          <w:b w:val="0"/>
          <w:bCs w:val="0"/>
          <w:color w:val="000000"/>
          <w:sz w:val="24"/>
          <w:szCs w:val="24"/>
          <w:highlight w:val="none"/>
        </w:rPr>
      </w:r>
      <w:r/>
    </w:p>
    <w:p>
      <w:pPr>
        <w:pStyle w:val="985"/>
        <w:ind w:left="479"/>
        <w:spacing w:line="440" w:lineRule="exact"/>
        <w:rPr>
          <w:rFonts w:hint="eastAsia" w:ascii="宋体" w:hAnsi="宋体"/>
          <w:bCs/>
          <w:color w:val="000000"/>
          <w:sz w:val="24"/>
          <w:szCs w:val="24"/>
          <w:highlight w:val="none"/>
        </w:rPr>
      </w:pPr>
      <w:r/>
      <w:bookmarkStart w:id="168" w:name="_Toc20823307"/>
      <w:r/>
      <w:bookmarkStart w:id="169" w:name="_Toc16938551"/>
      <w:r/>
      <w:bookmarkStart w:id="170" w:name="_Toc513029235"/>
      <w:r>
        <w:rPr>
          <w:rFonts w:hint="eastAsia" w:ascii="宋体" w:hAnsi="宋体"/>
          <w:bCs/>
          <w:color w:val="000000"/>
          <w:sz w:val="24"/>
          <w:szCs w:val="24"/>
          <w:highlight w:val="none"/>
        </w:rPr>
        <w:t xml:space="preserve">26.1无效投标条款</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 投标人未按照招标文件要求上传电子投标文件的。</w:t>
      </w:r>
      <w:r>
        <w:rPr>
          <w:rFonts w:hint="eastAsia" w:ascii="宋体" w:hAnsi="宋体"/>
          <w:bCs/>
          <w:color w:val="000000"/>
          <w:sz w:val="24"/>
          <w:szCs w:val="24"/>
          <w:highlight w:val="none"/>
        </w:rPr>
      </w:r>
      <w:r/>
    </w:p>
    <w:p>
      <w:pPr>
        <w:pStyle w:val="98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26.1.3同一投标人提交两个（含两个）以上不同的投标报价的。</w:t>
      </w:r>
      <w:r>
        <w:rPr>
          <w:rFonts w:hint="eastAsia" w:ascii="宋体" w:hAnsi="宋体"/>
          <w:bCs/>
          <w:color w:val="000000"/>
          <w:sz w:val="24"/>
          <w:szCs w:val="24"/>
          <w:highlight w:val="none"/>
        </w:rPr>
      </w:r>
      <w:r/>
    </w:p>
    <w:p>
      <w:pPr>
        <w:pStyle w:val="98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26.1.4投标人不具备招标文件中规定资格要求的。</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26.1.5投标人的报价超过了采购预算或最高限价的。</w:t>
      </w:r>
      <w:r>
        <w:rPr>
          <w:rFonts w:hint="eastAsia" w:ascii="宋体" w:hAnsi="宋体"/>
          <w:bCs/>
          <w:color w:val="000000"/>
          <w:sz w:val="24"/>
          <w:szCs w:val="24"/>
          <w:highlight w:val="none"/>
        </w:rPr>
      </w:r>
      <w:r/>
    </w:p>
    <w:p>
      <w:pPr>
        <w:pStyle w:val="985"/>
        <w:ind w:firstLine="480"/>
        <w:spacing w:line="440" w:lineRule="exact"/>
        <w:rPr>
          <w:rFonts w:hint="eastAsia" w:ascii="宋体" w:hAnsi="宋体"/>
          <w:bCs/>
          <w:i/>
          <w:color w:val="000000"/>
          <w:sz w:val="24"/>
          <w:szCs w:val="24"/>
          <w:highlight w:val="none"/>
          <w:u w:val="single"/>
        </w:rPr>
      </w:pPr>
      <w:r>
        <w:rPr>
          <w:rFonts w:hint="eastAsia" w:ascii="宋体" w:hAnsi="宋体"/>
          <w:bCs/>
          <w:color w:val="000000"/>
          <w:sz w:val="24"/>
          <w:szCs w:val="24"/>
          <w:highlight w:val="none"/>
        </w:rPr>
        <w:t xml:space="preserve">26.1.6未通过符合性审查的。</w:t>
      </w:r>
      <w:r>
        <w:rPr>
          <w:rFonts w:hint="eastAsia" w:ascii="宋体" w:hAnsi="宋体"/>
          <w:bCs/>
          <w:i/>
          <w:color w:val="000000"/>
          <w:sz w:val="24"/>
          <w:szCs w:val="24"/>
          <w:highlight w:val="none"/>
          <w:u w:val="single"/>
        </w:rPr>
      </w:r>
      <w:r/>
    </w:p>
    <w:p>
      <w:pPr>
        <w:pStyle w:val="985"/>
        <w:ind w:firstLine="360"/>
        <w:spacing w:line="440" w:lineRule="exact"/>
        <w:rPr>
          <w:rFonts w:hint="eastAsia" w:ascii="宋体" w:hAnsi="宋体"/>
          <w:bCs/>
          <w:i/>
          <w:color w:val="000000"/>
          <w:sz w:val="24"/>
          <w:szCs w:val="24"/>
          <w:highlight w:val="none"/>
          <w:u w:val="single"/>
        </w:rPr>
      </w:pPr>
      <w:r>
        <w:rPr>
          <w:rFonts w:hint="eastAsia" w:ascii="宋体" w:hAnsi="宋体"/>
          <w:bCs/>
          <w:color w:val="000000"/>
          <w:sz w:val="24"/>
          <w:szCs w:val="24"/>
          <w:highlight w:val="none"/>
        </w:rPr>
        <w:t xml:space="preserve"> 26.1.7不符合招标文件中规定的实质性要求和条件的（</w:t>
      </w:r>
      <w:r>
        <w:rPr>
          <w:rFonts w:hint="eastAsia" w:ascii="宋体" w:hAnsi="宋体"/>
          <w:bCs/>
          <w:i/>
          <w:color w:val="000000"/>
          <w:sz w:val="24"/>
          <w:szCs w:val="24"/>
          <w:highlight w:val="none"/>
          <w:u w:val="single"/>
        </w:rPr>
        <w:t xml:space="preserve">本招标文件中斜体且有下划线部分为实质性要求和条件）。</w:t>
      </w:r>
      <w:r>
        <w:rPr>
          <w:rFonts w:hint="eastAsia" w:ascii="宋体" w:hAnsi="宋体"/>
          <w:bCs/>
          <w:i/>
          <w:color w:val="000000"/>
          <w:sz w:val="24"/>
          <w:szCs w:val="24"/>
          <w:highlight w:val="none"/>
          <w:u w:val="singl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 投标文件含有</w:t>
      </w:r>
      <w:r>
        <w:rPr>
          <w:rFonts w:hint="eastAsia" w:ascii="宋体" w:hAnsi="宋体"/>
          <w:bCs/>
          <w:color w:val="000000"/>
          <w:sz w:val="24"/>
          <w:szCs w:val="24"/>
          <w:highlight w:val="none"/>
          <w:lang w:eastAsia="zh-CN"/>
        </w:rPr>
        <w:t xml:space="preserve">招标人</w:t>
      </w:r>
      <w:r>
        <w:rPr>
          <w:rFonts w:hint="eastAsia" w:ascii="宋体" w:hAnsi="宋体"/>
          <w:bCs/>
          <w:color w:val="000000"/>
          <w:sz w:val="24"/>
          <w:szCs w:val="24"/>
          <w:highlight w:val="none"/>
        </w:rPr>
        <w:t xml:space="preserve">不能接受的附加条件的。</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 投标文件未按照招标文件要求加盖CA</w:t>
      </w:r>
      <w:r>
        <w:rPr>
          <w:rFonts w:ascii="宋体" w:hAnsi="宋体"/>
          <w:bCs/>
          <w:color w:val="000000"/>
          <w:sz w:val="24"/>
          <w:szCs w:val="24"/>
          <w:highlight w:val="none"/>
        </w:rPr>
        <w:t xml:space="preserve">电子公章的</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26.1.12其他法律、法规及本招标文件规定的属无效投标的情形。</w:t>
      </w:r>
      <w:r>
        <w:rPr>
          <w:rFonts w:hint="eastAsia" w:ascii="宋体" w:hAnsi="宋体"/>
          <w:bCs/>
          <w:color w:val="000000"/>
          <w:sz w:val="24"/>
          <w:szCs w:val="24"/>
          <w:highlight w:val="none"/>
        </w:rPr>
      </w:r>
      <w:r/>
    </w:p>
    <w:p>
      <w:pPr>
        <w:pStyle w:val="98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26.2废标条款</w:t>
      </w:r>
      <w:r>
        <w:rPr>
          <w:rFonts w:hint="eastAsia" w:ascii="宋体" w:hAnsi="宋体"/>
          <w:bCs/>
          <w:color w:val="000000"/>
          <w:sz w:val="24"/>
          <w:szCs w:val="24"/>
          <w:highlight w:val="none"/>
        </w:rPr>
      </w:r>
      <w:r/>
    </w:p>
    <w:p>
      <w:pPr>
        <w:pStyle w:val="98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sz w:val="24"/>
          <w:szCs w:val="24"/>
          <w:highlight w:val="none"/>
        </w:rPr>
      </w:r>
      <w:r/>
    </w:p>
    <w:p>
      <w:pPr>
        <w:pStyle w:val="98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26.2.3因重大变故，采购任务取消的。</w:t>
      </w:r>
      <w:r>
        <w:rPr>
          <w:rFonts w:hint="eastAsia" w:ascii="宋体" w:hAnsi="宋体"/>
          <w:bCs/>
          <w:color w:val="000000"/>
          <w:sz w:val="24"/>
          <w:szCs w:val="24"/>
          <w:highlight w:val="none"/>
        </w:rPr>
      </w:r>
      <w:r/>
    </w:p>
    <w:p>
      <w:pPr>
        <w:pStyle w:val="985"/>
        <w:ind w:left="479"/>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26.2.4评标委员会认定招标文件存在歧义、重大缺陷导致评审工作无法进行。</w:t>
      </w:r>
      <w:r>
        <w:rPr>
          <w:rFonts w:ascii="宋体" w:hAnsi="宋体"/>
          <w:bCs/>
          <w:color w:val="000000"/>
          <w:sz w:val="24"/>
          <w:szCs w:val="24"/>
          <w:highlight w:val="none"/>
        </w:rPr>
      </w:r>
      <w:r/>
    </w:p>
    <w:p>
      <w:pPr>
        <w:pStyle w:val="98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26.2.5 因</w:t>
      </w:r>
      <w:r>
        <w:rPr>
          <w:rFonts w:hint="eastAsia" w:ascii="宋体" w:hAnsi="宋体"/>
          <w:color w:val="000000"/>
          <w:sz w:val="24"/>
          <w:szCs w:val="24"/>
          <w:highlight w:val="none"/>
        </w:rPr>
        <w:t xml:space="preserve">苏采云系统</w:t>
      </w:r>
      <w:r>
        <w:rPr>
          <w:rFonts w:ascii="宋体" w:hAnsi="宋体"/>
          <w:bCs/>
          <w:color w:val="000000"/>
          <w:sz w:val="24"/>
          <w:szCs w:val="24"/>
          <w:highlight w:val="none"/>
        </w:rPr>
        <w:t xml:space="preserve">系统故障原因造成开标不成功</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98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 投标截止时间结束后参加投标的供应商不足三家的处理：</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4"/>
          <w:highlight w:val="none"/>
        </w:rPr>
      </w:r>
      <w:r/>
    </w:p>
    <w:p>
      <w:pPr>
        <w:pStyle w:val="985"/>
        <w:ind w:firstLine="480"/>
        <w:spacing w:line="440" w:lineRule="exact"/>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26.4评审注意事项</w:t>
      </w:r>
      <w:r>
        <w:rPr>
          <w:rFonts w:hint="eastAsia" w:ascii="宋体" w:hAnsi="宋体" w:eastAsia="宋体" w:cs="Times New Roman"/>
          <w:b w:val="0"/>
          <w:bCs/>
          <w:color w:val="000000"/>
          <w:sz w:val="24"/>
          <w:szCs w:val="24"/>
          <w:highlight w:val="none"/>
          <w:lang w:val="en-US" w:eastAsia="zh-CN"/>
        </w:rPr>
      </w:r>
      <w:r/>
    </w:p>
    <w:p>
      <w:pPr>
        <w:pStyle w:val="985"/>
        <w:ind w:firstLine="480"/>
        <w:spacing w:line="440" w:lineRule="exact"/>
        <w:rPr>
          <w:rFonts w:ascii="宋体" w:hAnsi="宋体" w:eastAsia="宋体" w:cs="Times New Roman"/>
          <w:b w:val="0"/>
          <w:bCs/>
          <w:color w:val="000000"/>
          <w:sz w:val="24"/>
          <w:szCs w:val="24"/>
          <w:highlight w:val="none"/>
          <w:lang w:val="en-US" w:eastAsia="zh-CN"/>
        </w:rPr>
      </w:pPr>
      <w:r>
        <w:rPr>
          <w:rFonts w:ascii="宋体" w:hAnsi="宋体" w:eastAsia="宋体" w:cs="Times New Roman"/>
          <w:b w:val="0"/>
          <w:bCs/>
          <w:color w:val="000000"/>
          <w:sz w:val="24"/>
          <w:szCs w:val="24"/>
          <w:highlight w:val="none"/>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eastAsia="宋体" w:cs="Times New Roman"/>
          <w:b w:val="0"/>
          <w:bCs/>
          <w:color w:val="000000"/>
          <w:sz w:val="24"/>
          <w:szCs w:val="24"/>
          <w:highlight w:val="none"/>
          <w:lang w:val="en-US" w:eastAsia="zh-CN"/>
        </w:rPr>
      </w:r>
      <w:r/>
    </w:p>
    <w:p>
      <w:pPr>
        <w:pStyle w:val="985"/>
        <w:ind w:firstLine="482"/>
        <w:spacing w:line="440" w:lineRule="exact"/>
        <w:rPr>
          <w:rFonts w:ascii="宋体" w:hAnsi="宋体" w:eastAsia="宋体" w:cs="Times New Roman"/>
          <w:b/>
          <w:bCs w:val="0"/>
          <w:color w:val="000000"/>
          <w:sz w:val="24"/>
          <w:szCs w:val="24"/>
          <w:highlight w:val="none"/>
          <w:lang w:val="en-US" w:eastAsia="zh-CN"/>
        </w:rPr>
      </w:pPr>
      <w:r/>
      <w:bookmarkStart w:id="171" w:name="_Toc120614219"/>
      <w:r>
        <w:rPr>
          <w:rFonts w:ascii="宋体" w:hAnsi="宋体" w:eastAsia="宋体" w:cs="Times New Roman"/>
          <w:b/>
          <w:bCs w:val="0"/>
          <w:color w:val="000000"/>
          <w:sz w:val="24"/>
          <w:szCs w:val="24"/>
          <w:highlight w:val="none"/>
          <w:lang w:val="en-US" w:eastAsia="zh-CN"/>
        </w:rPr>
        <w:t xml:space="preserve">评标委员会启动异常低价投标(响应)审查的情形和具体要求:</w:t>
      </w:r>
      <w:r>
        <w:rPr>
          <w:rFonts w:ascii="宋体" w:hAnsi="宋体" w:eastAsia="宋体" w:cs="Times New Roman"/>
          <w:b/>
          <w:bCs w:val="0"/>
          <w:color w:val="000000"/>
          <w:sz w:val="24"/>
          <w:szCs w:val="24"/>
          <w:highlight w:val="none"/>
          <w:lang w:val="en-US" w:eastAsia="zh-CN"/>
        </w:rPr>
      </w:r>
      <w:r/>
    </w:p>
    <w:p>
      <w:pPr>
        <w:pStyle w:val="985"/>
        <w:numPr>
          <w:ilvl w:val="0"/>
          <w:numId w:val="6"/>
        </w:numPr>
        <w:ind w:firstLine="482"/>
        <w:spacing w:line="440" w:lineRule="exact"/>
        <w:tabs>
          <w:tab w:val="left" w:pos="312" w:leader="none"/>
        </w:tabs>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政府采购评审中出现下列情形之一的，评审委员会应当启动异常低价投标（响应）审查程序： </w:t>
      </w:r>
      <w:r>
        <w:rPr>
          <w:rFonts w:ascii="宋体" w:hAnsi="宋体" w:eastAsia="宋体" w:cs="Times New Roman"/>
          <w:b/>
          <w:bCs w:val="0"/>
          <w:color w:val="000000"/>
          <w:sz w:val="24"/>
          <w:szCs w:val="24"/>
          <w:highlight w:val="none"/>
          <w:lang w:val="en-US" w:eastAsia="zh-CN"/>
        </w:rPr>
      </w:r>
      <w:r/>
    </w:p>
    <w:p>
      <w:pPr>
        <w:pStyle w:val="98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（1）投标报价低于全部通过符合性审查供应商投标报价平均值65%的，即投标报价&lt;全部通过符合性审查供应商投标报价平均值×65%；</w:t>
      </w:r>
      <w:r>
        <w:rPr>
          <w:rFonts w:ascii="宋体" w:hAnsi="宋体" w:eastAsia="宋体" w:cs="Times New Roman"/>
          <w:b/>
          <w:bCs w:val="0"/>
          <w:color w:val="000000"/>
          <w:sz w:val="24"/>
          <w:szCs w:val="24"/>
          <w:highlight w:val="none"/>
          <w:lang w:val="en-US" w:eastAsia="zh-CN"/>
        </w:rPr>
      </w:r>
      <w:r/>
    </w:p>
    <w:p>
      <w:pPr>
        <w:pStyle w:val="98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（2）投标报价低于通过符合性审查的次低报价供应商投标报价65%的，即投标报价&lt;通过符合性审查的次低报价供应商投标报价×65%；</w:t>
      </w:r>
      <w:r>
        <w:rPr>
          <w:rFonts w:ascii="宋体" w:hAnsi="宋体" w:eastAsia="宋体" w:cs="Times New Roman"/>
          <w:b/>
          <w:bCs w:val="0"/>
          <w:color w:val="000000"/>
          <w:sz w:val="24"/>
          <w:szCs w:val="24"/>
          <w:highlight w:val="none"/>
          <w:lang w:val="en-US" w:eastAsia="zh-CN"/>
        </w:rPr>
      </w:r>
      <w:r/>
    </w:p>
    <w:p>
      <w:pPr>
        <w:pStyle w:val="98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（3）投标报价低于采购项目最高限价65%的，即投标报价&lt;采购项目最高限价×65%；</w:t>
      </w:r>
      <w:r>
        <w:rPr>
          <w:rFonts w:ascii="宋体" w:hAnsi="宋体" w:eastAsia="宋体" w:cs="Times New Roman"/>
          <w:b/>
          <w:bCs w:val="0"/>
          <w:color w:val="000000"/>
          <w:sz w:val="24"/>
          <w:szCs w:val="24"/>
          <w:highlight w:val="none"/>
          <w:lang w:val="en-US" w:eastAsia="zh-CN"/>
        </w:rPr>
      </w:r>
      <w:r/>
    </w:p>
    <w:p>
      <w:pPr>
        <w:pStyle w:val="98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（4）评委会基于专业判断，认为供应商报价过低，有可能影响产品质量或者不能诚信履约的其他情形。</w:t>
      </w:r>
      <w:r>
        <w:rPr>
          <w:rFonts w:ascii="宋体" w:hAnsi="宋体" w:eastAsia="宋体" w:cs="Times New Roman"/>
          <w:b/>
          <w:bCs w:val="0"/>
          <w:color w:val="000000"/>
          <w:sz w:val="24"/>
          <w:szCs w:val="24"/>
          <w:highlight w:val="none"/>
          <w:lang w:val="en-US" w:eastAsia="zh-CN"/>
        </w:rPr>
      </w:r>
      <w:r/>
    </w:p>
    <w:p>
      <w:pPr>
        <w:pStyle w:val="985"/>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(二)启动异常低价投标(响应)审查后，评标委员会应当要求相关供应商在评标现场合理的时间内，提供项目具体成本测算等与报价合理性相关的书面说明及相关证明材料，对投标(响应)价格作出解释</w:t>
      </w:r>
      <w:r>
        <w:rPr>
          <w:rFonts w:hint="eastAsia" w:ascii="宋体" w:hAnsi="宋体" w:eastAsia="宋体" w:cs="Times New Roman"/>
          <w:b/>
          <w:bCs w:val="0"/>
          <w:color w:val="000000"/>
          <w:sz w:val="24"/>
          <w:szCs w:val="24"/>
          <w:highlight w:val="none"/>
          <w:lang w:val="en-US" w:eastAsia="zh-CN"/>
        </w:rPr>
        <w:t xml:space="preserve">，包括但不限于原材料成本、人工成本、制造费用等，</w:t>
      </w:r>
      <w:r>
        <w:rPr>
          <w:rFonts w:ascii="宋体" w:hAnsi="宋体" w:eastAsia="宋体" w:cs="Times New Roman"/>
          <w:b/>
          <w:bCs w:val="0"/>
          <w:color w:val="000000"/>
          <w:sz w:val="24"/>
          <w:szCs w:val="24"/>
          <w:highlight w:val="none"/>
          <w:lang w:val="en-US" w:eastAsia="zh-CN"/>
        </w:rPr>
        <w:t xml:space="preserve">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ascii="宋体" w:hAnsi="宋体" w:eastAsia="宋体" w:cs="Times New Roman"/>
          <w:b/>
          <w:bCs w:val="0"/>
          <w:color w:val="000000"/>
          <w:sz w:val="24"/>
          <w:szCs w:val="24"/>
          <w:highlight w:val="none"/>
          <w:lang w:val="en-US" w:eastAsia="zh-CN"/>
        </w:rPr>
      </w:r>
      <w:r/>
    </w:p>
    <w:p>
      <w:pPr>
        <w:pStyle w:val="988"/>
        <w:ind w:firstLine="361"/>
        <w:spacing w:before="145" w:after="145" w:line="440" w:lineRule="exact"/>
        <w:rPr>
          <w:rFonts w:hint="eastAsia"/>
          <w:color w:val="000000"/>
          <w:sz w:val="24"/>
          <w:szCs w:val="24"/>
          <w:highlight w:val="none"/>
        </w:rPr>
      </w:pPr>
      <w:r>
        <w:rPr>
          <w:rFonts w:hint="eastAsia"/>
          <w:color w:val="000000"/>
          <w:sz w:val="24"/>
          <w:szCs w:val="24"/>
          <w:highlight w:val="none"/>
        </w:rPr>
        <w:t xml:space="preserve">六、</w:t>
      </w:r>
      <w:bookmarkEnd w:id="168"/>
      <w:r/>
      <w:bookmarkEnd w:id="169"/>
      <w:r/>
      <w:bookmarkEnd w:id="170"/>
      <w:r>
        <w:rPr>
          <w:rFonts w:hint="eastAsia"/>
          <w:color w:val="000000"/>
          <w:sz w:val="24"/>
          <w:szCs w:val="24"/>
          <w:highlight w:val="none"/>
        </w:rPr>
        <w:t xml:space="preserve">定标</w:t>
      </w:r>
      <w:bookmarkEnd w:id="171"/>
      <w:r>
        <w:rPr>
          <w:rFonts w:hint="eastAsia"/>
          <w:color w:val="000000"/>
          <w:sz w:val="24"/>
          <w:szCs w:val="24"/>
          <w:highlight w:val="none"/>
        </w:rPr>
      </w:r>
      <w:r/>
    </w:p>
    <w:p>
      <w:pPr>
        <w:pStyle w:val="989"/>
        <w:ind w:firstLine="480"/>
        <w:spacing w:before="0" w:after="0" w:line="440" w:lineRule="exact"/>
        <w:rPr>
          <w:rFonts w:hint="eastAsia" w:ascii="黑体" w:hAnsi="宋体" w:cs="Times New Roman"/>
          <w:b w:val="0"/>
          <w:color w:val="000000"/>
          <w:sz w:val="24"/>
          <w:szCs w:val="24"/>
          <w:highlight w:val="none"/>
        </w:rPr>
      </w:pPr>
      <w:r/>
      <w:bookmarkStart w:id="172" w:name="_Toc513029238"/>
      <w:r/>
      <w:bookmarkStart w:id="173" w:name="_Toc20823310"/>
      <w:r/>
      <w:bookmarkStart w:id="174" w:name="_Toc16938554"/>
      <w:r>
        <w:rPr>
          <w:rFonts w:hint="eastAsia" w:ascii="黑体" w:hAnsi="宋体" w:cs="Times New Roman"/>
          <w:b w:val="0"/>
          <w:color w:val="000000"/>
          <w:sz w:val="24"/>
          <w:szCs w:val="24"/>
          <w:highlight w:val="none"/>
        </w:rPr>
        <w:t xml:space="preserve">27、</w:t>
      </w:r>
      <w:bookmarkEnd w:id="172"/>
      <w:r>
        <w:rPr>
          <w:rFonts w:hint="eastAsia" w:ascii="黑体" w:hAnsi="宋体" w:cs="Times New Roman"/>
          <w:b w:val="0"/>
          <w:color w:val="000000"/>
          <w:sz w:val="24"/>
          <w:szCs w:val="24"/>
          <w:highlight w:val="none"/>
        </w:rPr>
        <w:t xml:space="preserve">确定</w:t>
      </w:r>
      <w:bookmarkEnd w:id="173"/>
      <w:r/>
      <w:bookmarkEnd w:id="174"/>
      <w:r>
        <w:rPr>
          <w:rFonts w:hint="eastAsia" w:ascii="黑体" w:hAnsi="宋体" w:cs="Times New Roman"/>
          <w:b w:val="0"/>
          <w:color w:val="000000"/>
          <w:sz w:val="24"/>
          <w:szCs w:val="24"/>
          <w:highlight w:val="none"/>
        </w:rPr>
        <w:t xml:space="preserve">中标单位</w:t>
      </w:r>
      <w:r>
        <w:rPr>
          <w:rFonts w:hint="eastAsia" w:ascii="黑体" w:hAnsi="宋体" w:cs="Times New Roman"/>
          <w:b w:val="0"/>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27.1中标候选人的选取原则和数量见招标文件第五章规定。 </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eastAsia="zh-CN"/>
        </w:rPr>
        <w:t xml:space="preserve">招标人</w:t>
      </w:r>
      <w:r>
        <w:rPr>
          <w:rFonts w:hint="eastAsia" w:ascii="宋体" w:hAnsi="宋体"/>
          <w:bCs/>
          <w:color w:val="000000"/>
          <w:sz w:val="24"/>
          <w:szCs w:val="24"/>
          <w:highlight w:val="none"/>
        </w:rPr>
        <w:t xml:space="preserve">应根据评委会推荐的中标候选人确定中标人。</w:t>
      </w:r>
      <w:r>
        <w:rPr>
          <w:rFonts w:hint="eastAsia" w:ascii="宋体" w:hAnsi="宋体"/>
          <w:bCs/>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采购代理机构将在“江苏政府采购网”、“扬中政府采购网”发布中标公告，公告期限为1个工作日。</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若有充分证据证明，中标人出现下列情况之一的，一经查实，将被取消中标资格：</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、采购代理机构行贿或者提供其他不正当利益的。</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或者其他供应商恶意串通的。</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985"/>
        <w:ind w:firstLine="480"/>
        <w:spacing w:line="440" w:lineRule="exact"/>
        <w:rPr>
          <w:rFonts w:ascii="宋体" w:hAnsi="宋体"/>
          <w:color w:val="000000"/>
          <w:sz w:val="24"/>
          <w:szCs w:val="24"/>
          <w:highlight w:val="none"/>
        </w:rPr>
      </w:pPr>
      <w:r/>
      <w:bookmarkStart w:id="175"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98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98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98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98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989"/>
        <w:ind w:firstLine="480"/>
        <w:spacing w:before="0" w:after="0" w:line="440" w:lineRule="exact"/>
        <w:rPr>
          <w:rFonts w:hint="eastAsia" w:ascii="黑体" w:hAnsi="宋体" w:cs="Times New Roman"/>
          <w:b w:val="0"/>
          <w:color w:val="000000"/>
          <w:sz w:val="24"/>
          <w:szCs w:val="24"/>
          <w:highlight w:val="none"/>
        </w:rPr>
      </w:pPr>
      <w:r>
        <w:rPr>
          <w:rFonts w:hint="eastAsia" w:ascii="黑体" w:hAnsi="宋体" w:cs="Times New Roman"/>
          <w:b w:val="0"/>
          <w:color w:val="000000"/>
          <w:sz w:val="24"/>
          <w:szCs w:val="24"/>
          <w:highlight w:val="none"/>
        </w:rPr>
        <w:t xml:space="preserve">28、质疑处理</w:t>
      </w:r>
      <w:bookmarkEnd w:id="175"/>
      <w:r>
        <w:rPr>
          <w:rFonts w:hint="eastAsia" w:ascii="黑体" w:hAnsi="宋体" w:cs="Times New Roman"/>
          <w:b w:val="0"/>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提出质疑。上述应知其权益受到损害之日，是指：</w:t>
      </w:r>
      <w:r>
        <w:rPr>
          <w:rFonts w:hint="eastAsia" w:ascii="宋体" w:hAnsi="宋体"/>
          <w:color w:val="000000"/>
          <w:sz w:val="24"/>
          <w:szCs w:val="24"/>
          <w:highlight w:val="none"/>
        </w:rPr>
      </w:r>
      <w:r/>
    </w:p>
    <w:p>
      <w:pPr>
        <w:pStyle w:val="985"/>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28.2.1</w:t>
      </w:r>
      <w:r>
        <w:rPr>
          <w:rFonts w:hAnsi="宋体" w:cs="宋体"/>
          <w:color w:val="000000"/>
          <w:sz w:val="24"/>
          <w:szCs w:val="24"/>
          <w:highlight w:val="none"/>
        </w:rPr>
        <w:t xml:space="preserve">对可以质疑的采购文件提出质疑的，为收到采购文件之日或者采购文件公告期限届满之日；</w:t>
      </w:r>
      <w:r>
        <w:rPr>
          <w:rFonts w:hint="eastAsia" w:hAnsi="宋体" w:cs="宋体"/>
          <w:color w:val="000000"/>
          <w:sz w:val="24"/>
          <w:szCs w:val="24"/>
          <w:highlight w:val="none"/>
        </w:rPr>
      </w:r>
      <w:r/>
    </w:p>
    <w:p>
      <w:pPr>
        <w:pStyle w:val="985"/>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28.2.2</w:t>
      </w:r>
      <w:r>
        <w:rPr>
          <w:rFonts w:hAnsi="宋体" w:cs="宋体"/>
          <w:color w:val="000000"/>
          <w:sz w:val="24"/>
          <w:szCs w:val="24"/>
          <w:highlight w:val="none"/>
        </w:rPr>
        <w:t xml:space="preserve">对采购过程提出质疑的，为各采购程序环节结束之日；</w:t>
      </w:r>
      <w:r>
        <w:rPr>
          <w:rFonts w:hint="eastAsia" w:hAnsi="宋体" w:cs="宋体"/>
          <w:color w:val="000000"/>
          <w:sz w:val="24"/>
          <w:szCs w:val="24"/>
          <w:highlight w:val="none"/>
        </w:rPr>
      </w:r>
      <w:r/>
    </w:p>
    <w:p>
      <w:pPr>
        <w:pStyle w:val="985"/>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28.2.3</w:t>
      </w:r>
      <w:r>
        <w:rPr>
          <w:rFonts w:hAnsi="宋体" w:cs="宋体"/>
          <w:color w:val="000000"/>
          <w:sz w:val="24"/>
          <w:szCs w:val="24"/>
          <w:highlight w:val="none"/>
        </w:rPr>
        <w:t xml:space="preserve">对中标或者</w:t>
      </w:r>
      <w:r>
        <w:rPr>
          <w:rFonts w:hint="eastAsia" w:hAnsi="宋体" w:cs="宋体"/>
          <w:color w:val="000000"/>
          <w:sz w:val="24"/>
          <w:szCs w:val="24"/>
          <w:highlight w:val="none"/>
          <w:lang w:eastAsia="zh-CN"/>
        </w:rPr>
        <w:t xml:space="preserve">中标</w:t>
      </w:r>
      <w:r>
        <w:rPr>
          <w:rFonts w:hAnsi="宋体" w:cs="宋体"/>
          <w:color w:val="000000"/>
          <w:sz w:val="24"/>
          <w:szCs w:val="24"/>
          <w:highlight w:val="none"/>
        </w:rPr>
        <w:t xml:space="preserve">结果提出质疑的，为中标或者</w:t>
      </w:r>
      <w:r>
        <w:rPr>
          <w:rFonts w:hint="eastAsia" w:hAnsi="宋体" w:cs="宋体"/>
          <w:color w:val="000000"/>
          <w:sz w:val="24"/>
          <w:szCs w:val="24"/>
          <w:highlight w:val="none"/>
          <w:lang w:eastAsia="zh-CN"/>
        </w:rPr>
        <w:t xml:space="preserve">中标</w:t>
      </w:r>
      <w:r>
        <w:rPr>
          <w:rFonts w:hAnsi="宋体" w:cs="宋体"/>
          <w:color w:val="000000"/>
          <w:sz w:val="24"/>
          <w:szCs w:val="24"/>
          <w:highlight w:val="none"/>
        </w:rPr>
        <w:t xml:space="preserve">结果公告期限届满之日。</w:t>
      </w:r>
      <w:r>
        <w:rPr>
          <w:rFonts w:hint="eastAsia" w:hAnsi="宋体" w:cs="宋体"/>
          <w:color w:val="000000"/>
          <w:sz w:val="24"/>
          <w:szCs w:val="24"/>
          <w:highlight w:val="none"/>
        </w:rPr>
      </w:r>
      <w:r/>
    </w:p>
    <w:p>
      <w:pPr>
        <w:pStyle w:val="985"/>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w:t>
      </w:r>
      <w:r>
        <w:rPr>
          <w:rFonts w:hint="eastAsia" w:hAnsi="宋体" w:cs="宋体"/>
          <w:color w:val="000000"/>
          <w:sz w:val="24"/>
          <w:szCs w:val="24"/>
          <w:highlight w:val="none"/>
          <w:lang w:eastAsia="zh-CN"/>
        </w:rPr>
        <w:t xml:space="preserve">招标人</w:t>
      </w:r>
      <w:r>
        <w:rPr>
          <w:rFonts w:hint="eastAsia" w:hAnsi="宋体" w:cs="宋体"/>
          <w:color w:val="000000"/>
          <w:sz w:val="24"/>
          <w:szCs w:val="24"/>
          <w:highlight w:val="none"/>
        </w:rPr>
        <w:t xml:space="preserve">将只对供应商第一次质疑作出答复。</w:t>
      </w:r>
      <w:r>
        <w:rPr>
          <w:rFonts w:hint="eastAsia" w:hAnsi="宋体" w:cs="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985"/>
        <w:ind w:firstLine="480"/>
        <w:spacing w:line="44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28.4供应商（含潜在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招标文件中采购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提出，由</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负责答复。</w:t>
      </w:r>
      <w:r>
        <w:rPr>
          <w:rFonts w:hint="eastAsia" w:ascii="宋体" w:hAnsi="宋体"/>
          <w:color w:val="000000"/>
          <w:sz w:val="24"/>
          <w:szCs w:val="24"/>
          <w:highlight w:val="none"/>
        </w:rPr>
        <w:t xml:space="preserve">供应商对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rPr>
        <w:t xml:space="preserve">采购代理机构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rPr>
        <w:t xml:space="preserve">采购代理机构负责</w:t>
      </w:r>
      <w:r>
        <w:rPr>
          <w:rFonts w:ascii="宋体" w:hAnsi="宋体"/>
          <w:color w:val="000000"/>
          <w:sz w:val="24"/>
          <w:szCs w:val="24"/>
          <w:highlight w:val="none"/>
        </w:rPr>
        <w:t xml:space="preserve">答复。</w:t>
      </w:r>
      <w:r>
        <w:rPr>
          <w:rFonts w:hint="eastAsia" w:ascii="宋体" w:hAnsi="宋体"/>
          <w:b/>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采购代理机构及</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只接收以纸质原件形式送达的质疑,建议供应商尽量通过邮寄方式提交质疑（</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和采购代理机构不接受未填写快递运单的快件）。</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质疑接收人及联系方式见招标文件第一章。</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 未参加投标活动的供应商或在投标活动中自身权益未受到损害的供应商所提出的质疑。</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985"/>
        <w:ind w:firstLine="46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  供应商提出书面质疑必须有理、有据，不得捏造事实、提供虚假材料进行恶意质疑。否则，一经查实，</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或采购代理机构有权依据政府采购的有关规定，报请政府采购监管部门对该供应商进行相应的行政处罚和记录该供应商的失信信息。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989"/>
        <w:ind w:firstLine="480"/>
        <w:spacing w:before="0" w:after="0" w:line="440" w:lineRule="exact"/>
        <w:rPr>
          <w:rFonts w:hint="eastAsia" w:ascii="黑体" w:hAnsi="宋体" w:cs="Times New Roman"/>
          <w:b w:val="0"/>
          <w:color w:val="000000"/>
          <w:sz w:val="24"/>
          <w:szCs w:val="24"/>
          <w:highlight w:val="none"/>
        </w:rPr>
      </w:pPr>
      <w:r>
        <w:rPr>
          <w:rFonts w:hint="eastAsia" w:ascii="黑体" w:hAnsi="宋体" w:cs="Times New Roman"/>
          <w:b w:val="0"/>
          <w:color w:val="000000"/>
          <w:sz w:val="24"/>
          <w:szCs w:val="24"/>
          <w:highlight w:val="none"/>
        </w:rPr>
        <w:t xml:space="preserve">29、中标通知书</w:t>
      </w:r>
      <w:r>
        <w:rPr>
          <w:rFonts w:hint="eastAsia" w:ascii="黑体" w:hAnsi="宋体" w:cs="Times New Roman"/>
          <w:b w:val="0"/>
          <w:color w:val="000000"/>
          <w:sz w:val="24"/>
          <w:szCs w:val="24"/>
          <w:highlight w:val="none"/>
        </w:rPr>
      </w:r>
      <w:r/>
    </w:p>
    <w:p>
      <w:pPr>
        <w:pStyle w:val="985"/>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985"/>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和中标人均具有法律效力。中标通知书发出后，</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改变中标结果的，或者中标人放弃中标项目的，应当依法承担法律责任。</w:t>
      </w:r>
      <w:r>
        <w:rPr>
          <w:rFonts w:hint="eastAsia" w:ascii="宋体" w:hAnsi="宋体"/>
          <w:color w:val="000000"/>
          <w:sz w:val="24"/>
          <w:szCs w:val="24"/>
          <w:highlight w:val="none"/>
        </w:rPr>
      </w:r>
      <w:r/>
    </w:p>
    <w:p>
      <w:pPr>
        <w:pStyle w:val="988"/>
        <w:ind w:firstLine="361"/>
        <w:spacing w:before="145" w:after="145" w:line="440" w:lineRule="exact"/>
        <w:rPr>
          <w:rFonts w:hint="eastAsia"/>
          <w:color w:val="000000"/>
          <w:sz w:val="24"/>
          <w:szCs w:val="24"/>
          <w:highlight w:val="none"/>
        </w:rPr>
      </w:pPr>
      <w:r/>
      <w:bookmarkStart w:id="176" w:name="_Toc120614220"/>
      <w:r/>
      <w:bookmarkStart w:id="177" w:name="_Toc513029236"/>
      <w:r/>
      <w:bookmarkStart w:id="178" w:name="_Toc16938552"/>
      <w:r/>
      <w:bookmarkStart w:id="179" w:name="_Toc20823308"/>
      <w:r>
        <w:rPr>
          <w:rFonts w:hint="eastAsia"/>
          <w:color w:val="000000"/>
          <w:sz w:val="24"/>
          <w:szCs w:val="24"/>
          <w:highlight w:val="none"/>
        </w:rPr>
        <w:t xml:space="preserve">七、授予合同</w:t>
      </w:r>
      <w:bookmarkEnd w:id="176"/>
      <w:r>
        <w:rPr>
          <w:rFonts w:hint="eastAsia"/>
          <w:color w:val="000000"/>
          <w:sz w:val="24"/>
          <w:szCs w:val="24"/>
          <w:highlight w:val="none"/>
        </w:rPr>
      </w:r>
      <w:r/>
    </w:p>
    <w:p>
      <w:pPr>
        <w:pStyle w:val="989"/>
        <w:ind w:firstLine="480"/>
        <w:spacing w:before="0" w:after="0" w:line="440" w:lineRule="exact"/>
        <w:rPr>
          <w:rFonts w:hint="eastAsia" w:ascii="黑体" w:hAnsi="宋体" w:cs="Times New Roman"/>
          <w:b w:val="0"/>
          <w:color w:val="000000"/>
          <w:sz w:val="24"/>
          <w:szCs w:val="24"/>
          <w:highlight w:val="none"/>
        </w:rPr>
      </w:pPr>
      <w:r/>
      <w:bookmarkEnd w:id="177"/>
      <w:r/>
      <w:bookmarkEnd w:id="178"/>
      <w:r/>
      <w:bookmarkEnd w:id="179"/>
      <w:r/>
      <w:bookmarkStart w:id="180" w:name="_Toc20823309"/>
      <w:r/>
      <w:bookmarkStart w:id="181" w:name="_Toc513029237"/>
      <w:r/>
      <w:bookmarkStart w:id="182" w:name="_Toc16938553"/>
      <w:r>
        <w:rPr>
          <w:rFonts w:hint="eastAsia" w:ascii="黑体" w:hAnsi="宋体" w:cs="Times New Roman"/>
          <w:b w:val="0"/>
          <w:color w:val="000000"/>
          <w:sz w:val="24"/>
          <w:szCs w:val="24"/>
          <w:highlight w:val="none"/>
        </w:rPr>
        <w:t xml:space="preserve">30. 签订合同</w:t>
      </w:r>
      <w:r>
        <w:rPr>
          <w:rFonts w:hint="eastAsia" w:ascii="黑体" w:hAnsi="宋体" w:cs="Times New Roman"/>
          <w:b w:val="0"/>
          <w:color w:val="000000"/>
          <w:sz w:val="24"/>
          <w:szCs w:val="24"/>
          <w:highlight w:val="none"/>
        </w:rPr>
      </w:r>
      <w:r/>
    </w:p>
    <w:p>
      <w:pPr>
        <w:pStyle w:val="985"/>
        <w:ind w:firstLine="60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.l中标人应当在中标通知书发出之日起十五日内，按照招标文件确定的事项与</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签订政府采购合同。</w:t>
      </w:r>
      <w:r>
        <w:rPr>
          <w:rFonts w:hint="eastAsia" w:ascii="宋体" w:hAnsi="宋体"/>
          <w:color w:val="000000"/>
          <w:sz w:val="24"/>
          <w:szCs w:val="24"/>
          <w:highlight w:val="none"/>
        </w:rPr>
      </w:r>
      <w:r/>
    </w:p>
    <w:p>
      <w:pPr>
        <w:pStyle w:val="985"/>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985"/>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w:t>
      </w:r>
      <w:r>
        <w:rPr>
          <w:rFonts w:hint="eastAsia" w:ascii="宋体" w:hAnsi="宋体"/>
          <w:i/>
          <w:color w:val="000000"/>
          <w:sz w:val="24"/>
          <w:szCs w:val="24"/>
          <w:highlight w:val="none"/>
          <w:u w:val="single"/>
        </w:rPr>
        <w:t xml:space="preserve">中标人不得将合同标的进行转包</w:t>
      </w:r>
      <w:r>
        <w:rPr>
          <w:rFonts w:hint="eastAsia" w:ascii="宋体" w:hAnsi="宋体"/>
          <w:color w:val="000000"/>
          <w:sz w:val="24"/>
          <w:szCs w:val="24"/>
          <w:highlight w:val="none"/>
        </w:rPr>
        <w:t xml:space="preserve">。未经</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同意，中标人也不得采用分包的形式履行合同，否则</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有权终止合同。转包或分包造成</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损失的，中标人应承担相应赔偿责任。</w:t>
      </w:r>
      <w:r>
        <w:rPr>
          <w:rFonts w:hint="eastAsia" w:ascii="宋体" w:hAnsi="宋体"/>
          <w:color w:val="000000"/>
          <w:sz w:val="24"/>
          <w:szCs w:val="24"/>
          <w:highlight w:val="none"/>
        </w:rPr>
      </w:r>
      <w:r/>
    </w:p>
    <w:p>
      <w:pPr>
        <w:pStyle w:val="989"/>
        <w:ind w:firstLine="480"/>
        <w:spacing w:before="0" w:after="0" w:line="440" w:lineRule="exact"/>
        <w:rPr>
          <w:rFonts w:hint="eastAsia" w:ascii="黑体" w:hAnsi="宋体" w:cs="Times New Roman"/>
          <w:b w:val="0"/>
          <w:color w:val="000000"/>
          <w:sz w:val="24"/>
          <w:szCs w:val="24"/>
          <w:highlight w:val="none"/>
        </w:rPr>
      </w:pPr>
      <w:r>
        <w:rPr>
          <w:rFonts w:hint="eastAsia" w:ascii="黑体" w:hAnsi="宋体" w:cs="Times New Roman"/>
          <w:b w:val="0"/>
          <w:color w:val="000000"/>
          <w:sz w:val="24"/>
          <w:szCs w:val="24"/>
          <w:highlight w:val="none"/>
        </w:rPr>
        <w:t xml:space="preserve">31、服务（包含与服务相关的货物）的追加</w:t>
      </w:r>
      <w:r>
        <w:rPr>
          <w:rFonts w:hint="eastAsia" w:ascii="黑体" w:hAnsi="宋体" w:cs="Times New Roman"/>
          <w:b w:val="0"/>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989"/>
        <w:ind w:firstLine="480"/>
        <w:spacing w:before="0" w:after="0" w:line="440" w:lineRule="exact"/>
        <w:rPr>
          <w:rFonts w:ascii="黑体" w:hAnsi="宋体" w:cs="Times New Roman"/>
          <w:b w:val="0"/>
          <w:color w:val="000000"/>
          <w:sz w:val="24"/>
          <w:szCs w:val="24"/>
          <w:highlight w:val="none"/>
        </w:rPr>
      </w:pPr>
      <w:r/>
      <w:bookmarkEnd w:id="180"/>
      <w:r/>
      <w:bookmarkEnd w:id="181"/>
      <w:r/>
      <w:bookmarkEnd w:id="182"/>
      <w:r/>
      <w:bookmarkStart w:id="183" w:name="_Toc479757207"/>
      <w:r/>
      <w:bookmarkStart w:id="184" w:name="_Toc20823314"/>
      <w:r/>
      <w:bookmarkStart w:id="185" w:name="_Toc120614221"/>
      <w:r/>
      <w:bookmarkStart w:id="186" w:name="_Toc513029242"/>
      <w:r/>
      <w:bookmarkStart w:id="187" w:name="_Toc16938558"/>
      <w:r>
        <w:rPr>
          <w:rFonts w:hint="eastAsia" w:ascii="黑体" w:hAnsi="宋体" w:cs="Times New Roman"/>
          <w:b w:val="0"/>
          <w:color w:val="000000"/>
          <w:sz w:val="24"/>
          <w:szCs w:val="24"/>
          <w:highlight w:val="none"/>
        </w:rPr>
        <w:t xml:space="preserve">32、政府采购履约资金扶持政策</w:t>
      </w:r>
      <w:r>
        <w:rPr>
          <w:rFonts w:ascii="黑体" w:hAnsi="宋体" w:cs="Times New Roman"/>
          <w:b w:val="0"/>
          <w:color w:val="000000"/>
          <w:sz w:val="24"/>
          <w:szCs w:val="24"/>
          <w:highlight w:val="none"/>
        </w:rPr>
      </w:r>
      <w:r/>
    </w:p>
    <w:p>
      <w:pPr>
        <w:pStyle w:val="1002"/>
        <w:spacing w:line="440" w:lineRule="exact"/>
        <w:rPr>
          <w:rFonts w:hint="eastAsia"/>
          <w:color w:val="000000"/>
          <w:sz w:val="24"/>
          <w:szCs w:val="24"/>
          <w:highlight w:val="none"/>
        </w:rPr>
      </w:pPr>
      <w:r>
        <w:rPr>
          <w:rFonts w:hint="eastAsia" w:ascii="宋体" w:hAnsi="宋体"/>
          <w:bCs/>
          <w:color w:val="000000"/>
          <w:sz w:val="24"/>
          <w:szCs w:val="24"/>
          <w:highlight w:val="none"/>
        </w:rPr>
        <w:t xml:space="preserve">中标人可凭政府采购合同办理融资贷款，详情</w:t>
      </w:r>
      <w:r>
        <w:rPr>
          <w:rFonts w:hint="eastAsia" w:ascii="宋体" w:hAnsi="宋体"/>
          <w:color w:val="000000"/>
          <w:sz w:val="24"/>
          <w:szCs w:val="24"/>
          <w:highlight w:val="none"/>
        </w:rPr>
        <w:t xml:space="preserve">请查阅“镇江市公共资源交易服务平台---政府采购”网站。</w:t>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p>
    <w:p>
      <w:pPr>
        <w:pStyle w:val="986"/>
        <w:spacing w:before="145" w:after="145" w:line="440" w:lineRule="exact"/>
        <w:rPr>
          <w:rFonts w:hint="eastAsia" w:ascii="黑体" w:eastAsia="黑体"/>
          <w:bCs/>
          <w:color w:val="000000"/>
          <w:sz w:val="44"/>
          <w:highlight w:val="none"/>
        </w:rPr>
      </w:pPr>
      <w:r>
        <w:rPr>
          <w:rFonts w:hint="eastAsia" w:ascii="黑体" w:eastAsia="黑体"/>
          <w:bCs/>
          <w:color w:val="000000"/>
          <w:sz w:val="32"/>
          <w:szCs w:val="32"/>
          <w:highlight w:val="none"/>
        </w:rPr>
        <w:t xml:space="preserve">第三章  合同</w:t>
      </w:r>
      <w:bookmarkEnd w:id="183"/>
      <w:r/>
      <w:bookmarkEnd w:id="184"/>
      <w:r/>
      <w:bookmarkEnd w:id="185"/>
      <w:r/>
      <w:bookmarkEnd w:id="186"/>
      <w:r/>
      <w:bookmarkEnd w:id="187"/>
      <w:r>
        <w:rPr>
          <w:rFonts w:hint="eastAsia" w:ascii="黑体" w:eastAsia="黑体"/>
          <w:bCs/>
          <w:color w:val="000000"/>
          <w:sz w:val="32"/>
          <w:szCs w:val="32"/>
          <w:highlight w:val="none"/>
        </w:rPr>
        <w:t xml:space="preserve">文本</w:t>
      </w:r>
      <w:r>
        <w:rPr>
          <w:rFonts w:hint="eastAsia" w:ascii="黑体" w:eastAsia="黑体"/>
          <w:bCs/>
          <w:color w:val="000000"/>
          <w:sz w:val="44"/>
          <w:highlight w:val="none"/>
        </w:rPr>
      </w:r>
      <w:r/>
    </w:p>
    <w:p>
      <w:pPr>
        <w:pStyle w:val="985"/>
        <w:ind w:firstLine="480"/>
        <w:spacing w:line="440" w:lineRule="exact"/>
        <w:rPr>
          <w:rFonts w:hint="eastAsia" w:ascii="宋体" w:hAnsi="宋体"/>
          <w:bCs/>
          <w:color w:val="000000"/>
          <w:sz w:val="24"/>
          <w:highlight w:val="none"/>
        </w:rPr>
      </w:pPr>
      <w:r/>
      <w:bookmarkStart w:id="188" w:name="_Toc16938559"/>
      <w:r/>
      <w:bookmarkStart w:id="189" w:name="_Toc20823315"/>
      <w:r/>
      <w:bookmarkStart w:id="190" w:name="_Toc513029243"/>
      <w:r>
        <w:rPr>
          <w:rFonts w:hint="eastAsia" w:ascii="宋体" w:hAnsi="宋体"/>
          <w:bCs/>
          <w:color w:val="000000"/>
          <w:sz w:val="24"/>
          <w:highlight w:val="none"/>
        </w:rPr>
        <w:t xml:space="preserve">以下为中标后签定本项目合同的通用条款，中标人不得提出实质性的修改。</w:t>
      </w:r>
      <w:r>
        <w:rPr>
          <w:rFonts w:hint="eastAsia" w:ascii="宋体" w:hAnsi="宋体"/>
          <w:bCs/>
          <w:color w:val="000000"/>
          <w:sz w:val="24"/>
          <w:highlight w:val="none"/>
        </w:rPr>
      </w:r>
      <w:r/>
    </w:p>
    <w:p>
      <w:pPr>
        <w:pStyle w:val="1100"/>
        <w:jc w:val="both"/>
        <w:spacing w:before="0" w:beforeAutospacing="0" w:after="0" w:afterAutospacing="0"/>
        <w:widowControl w:val="off"/>
        <w:rPr>
          <w:rFonts w:ascii="仿宋_GB2312" w:eastAsia="仿宋_GB2312" w:cs="仿宋_GB2312"/>
          <w:b/>
          <w:bCs/>
          <w:color w:val="000000"/>
          <w:position w:val="120"/>
          <w:highlight w:val="none"/>
          <w:lang w:val="en-US" w:eastAsia="zh-CN"/>
        </w:rPr>
      </w:pPr>
      <w:r>
        <w:rPr>
          <w:rFonts w:ascii="Times New Roman" w:hAnsi="Times New Roman" w:eastAsia="宋体" w:cs="Times New Roman"/>
          <w:color w:val="00000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100"/>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100"/>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985"/>
                            </w:pPr>
                            <w:r/>
                            <w:r/>
                          </w:p>
                        </w:txbxContent>
                      </wps:txbx>
                      <wps:bodyPr wrap="square" upright="1"/>
                    </wps:wsp>
                  </a:graphicData>
                </a:graphic>
              </wp:anchor>
            </w:drawing>
          </mc:Choice>
          <mc:Fallback>
            <w:pict>
              <v:shape id="shape 4" o:spid="_x0000_s4" o:spt="202" type="#_x0000_t202" style="position:absolute;z-index:251658241;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100"/>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100"/>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985"/>
                      </w:pPr>
                      <w:r/>
                      <w:r/>
                    </w:p>
                  </w:txbxContent>
                </v:textbox>
              </v:shape>
            </w:pict>
          </mc:Fallback>
        </mc:AlternateContent>
      </w:r>
      <w:r>
        <w:rPr>
          <w:rFonts w:hint="eastAsia" w:ascii="仿宋_GB2312" w:eastAsia="仿宋_GB2312" w:cs="仿宋_GB2312"/>
          <w:b/>
          <w:bCs/>
          <w:color w:val="000000"/>
          <w:position w:val="120"/>
          <w:highlight w:val="none"/>
        </w:rPr>
        <w:t xml:space="preserve">合同编号：YZCJJ</w:t>
      </w:r>
      <w:r>
        <w:rPr>
          <w:rFonts w:hint="eastAsia" w:ascii="仿宋_GB2312" w:eastAsia="仿宋_GB2312" w:cs="仿宋_GB2312"/>
          <w:b/>
          <w:bCs/>
          <w:color w:val="000000"/>
          <w:position w:val="120"/>
          <w:highlight w:val="none"/>
          <w:lang w:eastAsia="zh-CN"/>
        </w:rPr>
        <w:t xml:space="preserve">2026</w:t>
      </w:r>
      <w:r>
        <w:rPr>
          <w:rFonts w:hint="eastAsia" w:ascii="仿宋_GB2312" w:eastAsia="仿宋_GB2312" w:cs="仿宋_GB2312"/>
          <w:b/>
          <w:bCs/>
          <w:color w:val="000000"/>
          <w:position w:val="120"/>
          <w:highlight w:val="none"/>
        </w:rPr>
        <w:t xml:space="preserve">-0</w:t>
      </w:r>
      <w:r>
        <w:rPr>
          <w:rFonts w:hint="eastAsia" w:ascii="仿宋_GB2312" w:eastAsia="仿宋_GB2312" w:cs="仿宋_GB2312"/>
          <w:b/>
          <w:bCs/>
          <w:color w:val="000000"/>
          <w:position w:val="120"/>
          <w:highlight w:val="none"/>
          <w:lang w:val="en-US" w:eastAsia="zh-CN"/>
        </w:rPr>
        <w:t xml:space="preserve">xx</w:t>
      </w:r>
      <w:r>
        <w:rPr>
          <w:rFonts w:ascii="仿宋_GB2312" w:eastAsia="仿宋_GB2312" w:cs="仿宋_GB2312"/>
          <w:b/>
          <w:bCs/>
          <w:color w:val="000000"/>
          <w:position w:val="120"/>
          <w:highlight w:val="none"/>
          <w:lang w:val="en-US" w:eastAsia="zh-CN"/>
        </w:rPr>
      </w:r>
      <w:r/>
    </w:p>
    <w:p>
      <w:pPr>
        <w:pStyle w:val="1100"/>
        <w:jc w:val="center"/>
        <w:spacing w:before="725" w:beforeAutospacing="0" w:after="1450" w:afterAutospacing="0"/>
        <w:widowControl w:val="off"/>
        <w:rPr>
          <w:rFonts w:hint="eastAsia" w:ascii="黑体" w:eastAsia="黑体" w:cs="黑体"/>
          <w:b/>
          <w:bCs/>
          <w:color w:val="000000"/>
          <w:sz w:val="72"/>
          <w:szCs w:val="72"/>
          <w:highlight w:val="none"/>
          <w:lang w:bidi="ar"/>
        </w:rPr>
      </w:pPr>
      <w:r>
        <w:rPr>
          <w:rFonts w:hint="eastAsia" w:ascii="黑体" w:eastAsia="黑体" w:cs="黑体"/>
          <w:b/>
          <w:bCs/>
          <w:color w:val="000000"/>
          <w:sz w:val="72"/>
          <w:szCs w:val="72"/>
          <w:highlight w:val="none"/>
          <w:lang w:bidi="ar"/>
        </w:rPr>
        <w:t xml:space="preserve">扬中市政府采购合同</w:t>
      </w:r>
      <w:r>
        <w:rPr>
          <w:rFonts w:hint="eastAsia" w:ascii="黑体" w:eastAsia="黑体" w:cs="黑体"/>
          <w:b/>
          <w:bCs/>
          <w:color w:val="000000"/>
          <w:sz w:val="72"/>
          <w:szCs w:val="72"/>
          <w:highlight w:val="none"/>
          <w:lang w:bidi="ar"/>
        </w:rPr>
      </w:r>
      <w:r/>
    </w:p>
    <w:p>
      <w:pPr>
        <w:pStyle w:val="1100"/>
        <w:ind w:firstLine="960"/>
        <w:jc w:val="both"/>
        <w:spacing w:before="0" w:beforeAutospacing="0" w:after="0" w:afterAutospacing="0" w:line="840" w:lineRule="auto"/>
        <w:widowControl w:val="off"/>
        <w:rPr>
          <w:rFonts w:hint="eastAsia" w:ascii="黑体" w:eastAsia="黑体" w:cs="黑体"/>
          <w:color w:val="000000"/>
          <w:sz w:val="32"/>
          <w:szCs w:val="32"/>
          <w:highlight w:val="none"/>
          <w:u w:val="single"/>
        </w:rPr>
      </w:pPr>
      <w:r>
        <w:rPr>
          <w:rFonts w:hint="eastAsia" w:ascii="黑体" w:eastAsia="黑体" w:cs="黑体"/>
          <w:color w:val="000000"/>
          <w:sz w:val="32"/>
          <w:szCs w:val="32"/>
          <w:highlight w:val="none"/>
          <w:lang w:bidi="ar"/>
        </w:rPr>
        <w:t xml:space="preserve">项目名称：</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u w:val="single"/>
        </w:rPr>
      </w:r>
      <w:r/>
    </w:p>
    <w:p>
      <w:pPr>
        <w:pStyle w:val="1100"/>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项目编号：</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100"/>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采购单位：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100"/>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中标单位：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100"/>
        <w:jc w:val="both"/>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1100"/>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1100"/>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t xml:space="preserve">江苏金居工程项目管理有限公司</w:t>
      </w:r>
      <w:r>
        <w:rPr>
          <w:rFonts w:hint="eastAsia" w:ascii="黑体" w:eastAsia="黑体" w:cs="黑体"/>
          <w:color w:val="000000"/>
          <w:sz w:val="32"/>
          <w:szCs w:val="32"/>
          <w:highlight w:val="none"/>
          <w:lang w:bidi="ar"/>
        </w:rPr>
      </w:r>
      <w:r/>
    </w:p>
    <w:p>
      <w:pPr>
        <w:pStyle w:val="1100"/>
        <w:jc w:val="center"/>
        <w:spacing w:before="0" w:beforeAutospacing="0" w:after="0" w:afterAutospacing="0" w:line="360" w:lineRule="auto"/>
        <w:widowControl w:val="off"/>
        <w:rPr>
          <w:b/>
          <w:bCs/>
          <w:color w:val="000000"/>
          <w:sz w:val="32"/>
          <w:szCs w:val="32"/>
          <w:highlight w:val="none"/>
        </w:rPr>
      </w:pPr>
      <w:r>
        <w:rPr>
          <w:rFonts w:hint="eastAsia" w:ascii="黑体" w:eastAsia="黑体" w:cs="黑体"/>
          <w:color w:val="000000"/>
          <w:sz w:val="32"/>
          <w:szCs w:val="32"/>
          <w:highlight w:val="none"/>
          <w:lang w:bidi="ar"/>
        </w:rPr>
        <w:t xml:space="preserve">二○二</w:t>
      </w:r>
      <w:r>
        <w:rPr>
          <w:rFonts w:hint="eastAsia" w:ascii="黑体" w:eastAsia="黑体" w:cs="黑体"/>
          <w:color w:val="000000"/>
          <w:sz w:val="32"/>
          <w:szCs w:val="32"/>
          <w:highlight w:val="none"/>
          <w:lang w:eastAsia="zh-CN" w:bidi="ar"/>
        </w:rPr>
        <w:t xml:space="preserve">六</w:t>
      </w:r>
      <w:r>
        <w:rPr>
          <w:rFonts w:hint="eastAsia" w:ascii="黑体" w:eastAsia="黑体" w:cs="黑体"/>
          <w:color w:val="000000"/>
          <w:sz w:val="32"/>
          <w:szCs w:val="32"/>
          <w:highlight w:val="none"/>
          <w:lang w:bidi="ar"/>
        </w:rPr>
        <w:t xml:space="preserve">年  月    日</w:t>
      </w:r>
      <w:r>
        <w:rPr>
          <w:b/>
          <w:bCs/>
          <w:color w:val="000000"/>
          <w:sz w:val="32"/>
          <w:szCs w:val="32"/>
          <w:highlight w:val="none"/>
        </w:rPr>
      </w:r>
      <w:r/>
    </w:p>
    <w:p>
      <w:pPr>
        <w:pStyle w:val="1023"/>
        <w:spacing w:line="440" w:lineRule="exact"/>
        <w:rPr>
          <w:rFonts w:hint="eastAsia" w:hAnsi="宋体" w:eastAsia="宋体"/>
          <w:color w:val="000000"/>
          <w:sz w:val="24"/>
          <w:szCs w:val="24"/>
          <w:highlight w:val="none"/>
          <w:lang w:eastAsia="zh-CN"/>
        </w:rPr>
      </w:pPr>
      <w:r>
        <w:rPr>
          <w:rFonts w:hAnsi="宋体"/>
          <w:color w:val="000000"/>
          <w:sz w:val="24"/>
          <w:szCs w:val="24"/>
          <w:highlight w:val="none"/>
        </w:rPr>
        <w:br w:type="page" w:clear="all"/>
      </w:r>
      <w:r>
        <w:rPr>
          <w:rFonts w:hAnsi="宋体"/>
          <w:color w:val="000000"/>
          <w:sz w:val="24"/>
          <w:szCs w:val="24"/>
          <w:highlight w:val="none"/>
        </w:rPr>
        <w:t xml:space="preserve">项目名称：</w:t>
      </w:r>
      <w:r>
        <w:rPr>
          <w:rFonts w:hint="eastAsia" w:hAnsi="宋体"/>
          <w:color w:val="000000"/>
          <w:sz w:val="24"/>
          <w:szCs w:val="24"/>
          <w:highlight w:val="none"/>
          <w:lang w:eastAsia="zh-CN"/>
        </w:rPr>
        <w:t xml:space="preserve">扬中市行政中心建筑综合能源服务项目</w:t>
      </w:r>
      <w:r>
        <w:rPr>
          <w:rFonts w:hint="eastAsia" w:hAnsi="宋体" w:eastAsia="宋体"/>
          <w:color w:val="000000"/>
          <w:sz w:val="24"/>
          <w:szCs w:val="24"/>
          <w:highlight w:val="none"/>
          <w:lang w:eastAsia="zh-CN"/>
        </w:rPr>
      </w:r>
      <w:r/>
    </w:p>
    <w:p>
      <w:pPr>
        <w:pStyle w:val="1023"/>
        <w:spacing w:line="440" w:lineRule="exact"/>
        <w:rPr>
          <w:rFonts w:hAnsi="宋体"/>
          <w:color w:val="000000"/>
          <w:sz w:val="24"/>
          <w:szCs w:val="24"/>
          <w:highlight w:val="none"/>
        </w:rPr>
      </w:pPr>
      <w:r>
        <w:rPr>
          <w:rFonts w:hint="eastAsia" w:hAnsi="宋体"/>
          <w:color w:val="000000"/>
          <w:sz w:val="24"/>
          <w:szCs w:val="24"/>
          <w:highlight w:val="none"/>
        </w:rPr>
        <w:t xml:space="preserve">项目编号：</w:t>
      </w:r>
      <w:r>
        <w:rPr>
          <w:rFonts w:hint="eastAsia" w:hAnsi="宋体"/>
          <w:color w:val="000000"/>
          <w:sz w:val="24"/>
          <w:szCs w:val="24"/>
          <w:highlight w:val="none"/>
          <w:lang w:eastAsia="zh-CN"/>
        </w:rPr>
        <w:t xml:space="preserve">JSZC-321182-JJGS-G2026-0019</w:t>
      </w:r>
      <w:r>
        <w:rPr>
          <w:rFonts w:hAnsi="宋体"/>
          <w:color w:val="000000"/>
          <w:sz w:val="24"/>
          <w:szCs w:val="24"/>
          <w:highlight w:val="none"/>
        </w:rPr>
      </w:r>
      <w:r/>
    </w:p>
    <w:p>
      <w:pPr>
        <w:pStyle w:val="1023"/>
        <w:spacing w:line="440" w:lineRule="exact"/>
        <w:rPr>
          <w:rFonts w:hAnsi="宋体"/>
          <w:color w:val="000000"/>
          <w:sz w:val="24"/>
          <w:szCs w:val="24"/>
          <w:highlight w:val="none"/>
        </w:rPr>
      </w:pPr>
      <w:r>
        <w:rPr>
          <w:rFonts w:hAnsi="宋体"/>
          <w:color w:val="000000"/>
          <w:sz w:val="24"/>
          <w:szCs w:val="24"/>
          <w:highlight w:val="none"/>
        </w:rPr>
        <w:t xml:space="preserve">甲方：（买方）</w:t>
      </w:r>
      <w:r>
        <w:rPr>
          <w:rFonts w:hint="eastAsia" w:hAnsi="宋体"/>
          <w:color w:val="000000"/>
          <w:sz w:val="24"/>
          <w:szCs w:val="24"/>
          <w:highlight w:val="none"/>
        </w:rPr>
        <w:t xml:space="preserve">扬中市机关事务管理中心</w:t>
      </w:r>
      <w:r>
        <w:rPr>
          <w:rFonts w:hAnsi="宋体"/>
          <w:color w:val="000000"/>
          <w:sz w:val="24"/>
          <w:szCs w:val="24"/>
          <w:highlight w:val="none"/>
        </w:rPr>
      </w:r>
      <w:r/>
    </w:p>
    <w:p>
      <w:pPr>
        <w:pStyle w:val="1023"/>
        <w:spacing w:line="440" w:lineRule="exact"/>
        <w:rPr>
          <w:rFonts w:hint="eastAsia" w:hAnsi="宋体"/>
          <w:color w:val="000000"/>
          <w:sz w:val="24"/>
          <w:szCs w:val="24"/>
          <w:highlight w:val="none"/>
        </w:rPr>
      </w:pPr>
      <w:r>
        <w:rPr>
          <w:rFonts w:hAnsi="宋体"/>
          <w:color w:val="000000"/>
          <w:sz w:val="24"/>
          <w:szCs w:val="24"/>
          <w:highlight w:val="none"/>
        </w:rPr>
        <w:t xml:space="preserve">乙方：（卖方）_________</w:t>
      </w:r>
      <w:r>
        <w:rPr>
          <w:rFonts w:hint="eastAsia" w:hAnsi="宋体"/>
          <w:color w:val="000000"/>
          <w:sz w:val="24"/>
          <w:szCs w:val="24"/>
          <w:highlight w:val="none"/>
        </w:rPr>
      </w:r>
      <w:r/>
    </w:p>
    <w:p>
      <w:pPr>
        <w:pStyle w:val="1023"/>
        <w:spacing w:line="440" w:lineRule="exact"/>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u w:val="single"/>
        </w:rPr>
        <w:t xml:space="preserve"> </w:t>
      </w:r>
      <w:r>
        <w:rPr>
          <w:rFonts w:hint="eastAsia" w:hAnsi="宋体"/>
          <w:color w:val="000000"/>
          <w:sz w:val="24"/>
          <w:szCs w:val="24"/>
          <w:highlight w:val="none"/>
          <w:u w:val="single"/>
          <w:lang w:eastAsia="zh-CN"/>
        </w:rPr>
        <w:t xml:space="preserve">扬中市行政中心建筑综合能源服务项目</w:t>
      </w:r>
      <w:r>
        <w:rPr>
          <w:rFonts w:hint="eastAsia" w:hAnsi="宋体"/>
          <w:color w:val="000000"/>
          <w:sz w:val="24"/>
          <w:szCs w:val="24"/>
          <w:highlight w:val="none"/>
        </w:rPr>
        <w:t xml:space="preserve">（项目编号：</w:t>
      </w:r>
      <w:r>
        <w:rPr>
          <w:rFonts w:hint="eastAsia" w:hAnsi="宋体"/>
          <w:color w:val="000000"/>
          <w:sz w:val="24"/>
          <w:szCs w:val="24"/>
          <w:highlight w:val="none"/>
          <w:lang w:eastAsia="zh-CN"/>
        </w:rPr>
        <w:t xml:space="preserve">JSZC-321182-JJGS-G2026-0019</w:t>
      </w:r>
      <w:r>
        <w:rPr>
          <w:rFonts w:hint="eastAsia" w:hAnsi="宋体"/>
          <w:color w:val="000000"/>
          <w:sz w:val="24"/>
          <w:szCs w:val="24"/>
          <w:highlight w:val="none"/>
        </w:rPr>
        <w:t xml:space="preserve">）</w:t>
      </w:r>
      <w:r>
        <w:rPr>
          <w:rFonts w:hAnsi="宋体"/>
          <w:color w:val="000000"/>
          <w:sz w:val="24"/>
          <w:szCs w:val="24"/>
          <w:highlight w:val="none"/>
        </w:rPr>
        <w:t xml:space="preserve">公开招标的结果，签署本合同。</w:t>
      </w:r>
      <w:r>
        <w:rPr>
          <w:rFonts w:hAnsi="宋体"/>
          <w:b/>
          <w:color w:val="000000"/>
          <w:sz w:val="24"/>
          <w:szCs w:val="24"/>
          <w:highlight w:val="none"/>
        </w:rPr>
      </w:r>
      <w:r/>
    </w:p>
    <w:p>
      <w:pPr>
        <w:pStyle w:val="1023"/>
        <w:spacing w:line="440" w:lineRule="exact"/>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1023"/>
        <w:ind w:firstLine="480"/>
        <w:keepLines w:val="0"/>
        <w:keepNext w:val="0"/>
        <w:pageBreakBefore w:val="0"/>
        <w:spacing w:line="440" w:lineRule="exact"/>
        <w:widowControl w:val="off"/>
        <w:rPr>
          <w:rFonts w:hint="eastAsia" w:hAnsi="宋体" w:eastAsia="宋体"/>
          <w:color w:val="000000"/>
          <w:sz w:val="24"/>
          <w:szCs w:val="24"/>
          <w:highlight w:val="none"/>
          <w:lang w:eastAsia="zh-CN"/>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lang w:eastAsia="zh-CN"/>
        </w:rPr>
        <w:t xml:space="preserve">扬中市行政中心建筑综合能源服务项目；</w:t>
      </w:r>
      <w:r>
        <w:rPr>
          <w:rFonts w:hint="eastAsia" w:hAnsi="宋体" w:eastAsia="宋体"/>
          <w:color w:val="000000"/>
          <w:sz w:val="24"/>
          <w:szCs w:val="24"/>
          <w:highlight w:val="none"/>
          <w:lang w:eastAsia="zh-CN"/>
        </w:rPr>
      </w:r>
      <w:r/>
    </w:p>
    <w:p>
      <w:pPr>
        <w:pStyle w:val="1023"/>
        <w:ind w:firstLine="480"/>
        <w:keepLines w:val="0"/>
        <w:keepNext w:val="0"/>
        <w:pageBreakBefore w:val="0"/>
        <w:spacing w:line="440" w:lineRule="exact"/>
        <w:widowControl w:val="off"/>
        <w:rPr>
          <w:rFonts w:hint="eastAsia" w:hAnsi="宋体" w:eastAsia="宋体"/>
          <w:color w:val="000000"/>
          <w:sz w:val="24"/>
          <w:szCs w:val="24"/>
          <w:highlight w:val="none"/>
          <w:lang w:eastAsia="zh-CN"/>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lang w:eastAsia="zh-CN"/>
        </w:rPr>
        <w:t xml:space="preserve">合格；</w:t>
      </w:r>
      <w:r>
        <w:rPr>
          <w:rFonts w:hint="eastAsia" w:hAnsi="宋体" w:eastAsia="宋体"/>
          <w:color w:val="000000"/>
          <w:sz w:val="24"/>
          <w:szCs w:val="24"/>
          <w:highlight w:val="none"/>
          <w:lang w:eastAsia="zh-CN"/>
        </w:rPr>
      </w:r>
      <w:r/>
    </w:p>
    <w:p>
      <w:pPr>
        <w:pStyle w:val="1023"/>
        <w:ind w:firstLine="480"/>
        <w:keepLines w:val="0"/>
        <w:keepNext w:val="0"/>
        <w:pageBreakBefore w:val="0"/>
        <w:spacing w:line="440" w:lineRule="exact"/>
        <w:widowControl w:val="off"/>
        <w:rPr>
          <w:rFonts w:hint="eastAsia" w:hAnsi="宋体" w:eastAsia="宋体"/>
          <w:color w:val="000000"/>
          <w:sz w:val="24"/>
          <w:szCs w:val="24"/>
          <w:highlight w:val="none"/>
          <w:lang w:val="en-US" w:eastAsia="zh-CN"/>
        </w:rPr>
      </w:pPr>
      <w:r>
        <w:rPr>
          <w:rFonts w:hint="eastAsia" w:hAnsi="宋体"/>
          <w:color w:val="000000"/>
          <w:sz w:val="24"/>
          <w:szCs w:val="24"/>
          <w:highlight w:val="none"/>
        </w:rPr>
        <w:t xml:space="preserve">1.3 标的数量（规模）：鉴于本合同双方同意在不改变现有服务保障模式的基础上，按“合同能源管理”模式就扬中市行政中心建筑综合能源服务项目（以下简称“项目”或“本项目”）进行能源托管型服务，并由甲方支付相应的能源托管费用</w:t>
      </w:r>
      <w:r>
        <w:rPr>
          <w:rFonts w:hint="eastAsia" w:hAnsi="宋体"/>
          <w:color w:val="000000"/>
          <w:sz w:val="24"/>
          <w:szCs w:val="24"/>
          <w:highlight w:val="none"/>
          <w:lang w:eastAsia="zh-CN"/>
        </w:rPr>
        <w:t xml:space="preserve">；</w:t>
      </w:r>
      <w:r>
        <w:rPr>
          <w:rFonts w:hint="eastAsia" w:hAnsi="宋体" w:eastAsia="宋体"/>
          <w:color w:val="000000"/>
          <w:sz w:val="24"/>
          <w:szCs w:val="24"/>
          <w:highlight w:val="none"/>
          <w:lang w:val="en-US" w:eastAsia="zh-CN"/>
        </w:rPr>
      </w:r>
      <w:r/>
    </w:p>
    <w:p>
      <w:pPr>
        <w:pStyle w:val="1023"/>
        <w:ind w:firstLine="480"/>
        <w:keepLines w:val="0"/>
        <w:keepNext w:val="0"/>
        <w:pageBreakBefore w:val="0"/>
        <w:spacing w:line="440" w:lineRule="exact"/>
        <w:widowControl w:val="off"/>
        <w:rPr>
          <w:rFonts w:hint="eastAsia" w:hAnsi="宋体"/>
          <w:color w:val="000000"/>
          <w:sz w:val="24"/>
          <w:szCs w:val="24"/>
          <w:highlight w:val="none"/>
          <w:lang w:val="en-US" w:eastAsia="zh-CN"/>
        </w:rPr>
      </w:pPr>
      <w:r>
        <w:rPr>
          <w:rFonts w:hint="eastAsia" w:hAnsi="宋体"/>
          <w:color w:val="000000"/>
          <w:sz w:val="24"/>
          <w:szCs w:val="24"/>
          <w:highlight w:val="none"/>
        </w:rPr>
        <w:t xml:space="preserve">1.4 履行时间（期限）：</w:t>
      </w:r>
      <w:r>
        <w:rPr>
          <w:rFonts w:hint="eastAsia" w:hAnsi="宋体"/>
          <w:color w:val="000000"/>
          <w:sz w:val="24"/>
          <w:szCs w:val="24"/>
          <w:highlight w:val="none"/>
          <w:lang w:val="en-US" w:eastAsia="zh-CN"/>
        </w:rPr>
        <w:t xml:space="preserve">10年，自 20  年  月   日 始，至 20   年  月   日止，托管期共10年。（为与能耗考核期保持一致以及能耗发票次月开票上一月份的实际，乙方自合同签订之日起开始承担甲方上一月的能耗费用，如因乙方因办理水、电、气代缴手续时间滞后、乙方与甲方原能源费用支</w:t>
      </w:r>
      <w:r>
        <w:rPr>
          <w:rFonts w:hint="eastAsia" w:hAnsi="宋体"/>
          <w:color w:val="000000"/>
          <w:sz w:val="24"/>
          <w:szCs w:val="24"/>
          <w:highlight w:val="none"/>
          <w:lang w:val="en-US" w:eastAsia="zh-CN"/>
        </w:rPr>
        <w:t xml:space="preserve">出方、乙方与甲方原能源费用收取方协议变更支付主体时间滞后，合同起始时间可根据实际情况顺延；甲方原能源费用支出/收取说明如下：（1)江苏大航微电网科技有限公司，甲方支出光伏发电用于市行政中心电费(2)国网江苏省电力有限公司扬中市供电分公司,甲方支付电网用于市行政中心电费（3）扬中金州水务有限公司，甲方支付水费（4）扬中市中燃城市燃气发展有限公司，甲方支付燃气费（5）迎宾楼，甲方收取水电费后全部支付至乙方，迎宾楼租户退租后，相关费用均由乙方承担。（6）江苏大航微电网科技有限公司，甲方收取返还市行政中心光伏电费。</w:t>
      </w:r>
      <w:r>
        <w:rPr>
          <w:rFonts w:hint="eastAsia" w:hAnsi="宋体"/>
          <w:color w:val="000000"/>
          <w:sz w:val="24"/>
          <w:szCs w:val="24"/>
          <w:highlight w:val="none"/>
          <w:lang w:val="en-US" w:eastAsia="zh-CN"/>
        </w:rPr>
      </w:r>
      <w:r/>
    </w:p>
    <w:p>
      <w:pPr>
        <w:pStyle w:val="1023"/>
        <w:ind w:firstLine="480"/>
        <w:keepLines w:val="0"/>
        <w:keepNext w:val="0"/>
        <w:pageBreakBefore w:val="0"/>
        <w:spacing w:line="440" w:lineRule="exact"/>
        <w:widowControl w:val="off"/>
        <w:rPr>
          <w:rFonts w:hint="eastAsia" w:hAnsi="宋体" w:eastAsia="宋体"/>
          <w:color w:val="000000"/>
          <w:sz w:val="24"/>
          <w:szCs w:val="24"/>
          <w:highlight w:val="none"/>
          <w:lang w:eastAsia="zh-CN"/>
        </w:rPr>
      </w:pPr>
      <w:r>
        <w:rPr>
          <w:rFonts w:hint="eastAsia" w:hAnsi="宋体"/>
          <w:color w:val="000000"/>
          <w:sz w:val="24"/>
          <w:szCs w:val="24"/>
          <w:highlight w:val="none"/>
        </w:rPr>
        <w:t xml:space="preserve">1.5 履行地点：</w:t>
      </w:r>
      <w:r>
        <w:rPr>
          <w:rFonts w:hint="eastAsia" w:hAnsi="宋体"/>
          <w:color w:val="000000"/>
          <w:sz w:val="24"/>
          <w:szCs w:val="24"/>
          <w:highlight w:val="none"/>
          <w:lang w:eastAsia="zh-CN"/>
        </w:rPr>
        <w:t xml:space="preserve">扬中市；</w:t>
      </w:r>
      <w:r>
        <w:rPr>
          <w:rFonts w:hint="eastAsia" w:hAnsi="宋体" w:eastAsia="宋体"/>
          <w:color w:val="000000"/>
          <w:sz w:val="24"/>
          <w:szCs w:val="24"/>
          <w:highlight w:val="none"/>
          <w:lang w:eastAsia="zh-CN"/>
        </w:rPr>
      </w:r>
      <w:r/>
    </w:p>
    <w:p>
      <w:pPr>
        <w:pStyle w:val="1023"/>
        <w:ind w:firstLine="480"/>
        <w:keepLines w:val="0"/>
        <w:keepNext w:val="0"/>
        <w:pageBreakBefore w:val="0"/>
        <w:spacing w:line="440" w:lineRule="exact"/>
        <w:widowControl w:val="off"/>
        <w:rPr>
          <w:rFonts w:hint="eastAsia"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6履行方式：</w:t>
      </w:r>
      <w:r>
        <w:rPr>
          <w:rFonts w:hint="eastAsia" w:hAnsi="宋体"/>
          <w:color w:val="000000"/>
          <w:sz w:val="24"/>
          <w:szCs w:val="24"/>
          <w:highlight w:val="none"/>
        </w:rPr>
      </w:r>
      <w:r/>
    </w:p>
    <w:p>
      <w:pPr>
        <w:pStyle w:val="1023"/>
        <w:ind w:firstLine="480"/>
        <w:spacing w:line="440" w:lineRule="exact"/>
        <w:rPr>
          <w:rFonts w:hint="eastAsia" w:hAnsi="宋体"/>
          <w:color w:val="000000"/>
          <w:sz w:val="24"/>
          <w:szCs w:val="24"/>
          <w:highlight w:val="none"/>
        </w:rPr>
      </w:pP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1</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合同能源管理：能源服务公司与用能单位以契约形式约定能源项目的节能（供能）目标，能源服务公司为实现节能（供能）目标向用能单位提供必要的服务，用能单位以节能效益或用能费用支付能源服务公司的投入及其合理利润的能源服务机制。</w:t>
      </w:r>
      <w:r>
        <w:rPr>
          <w:rFonts w:hint="eastAsia" w:hAnsi="宋体"/>
          <w:color w:val="000000"/>
          <w:sz w:val="24"/>
          <w:szCs w:val="24"/>
          <w:highlight w:val="none"/>
        </w:rPr>
      </w:r>
      <w:r/>
    </w:p>
    <w:p>
      <w:pPr>
        <w:pStyle w:val="1023"/>
        <w:ind w:firstLine="480"/>
        <w:spacing w:line="440" w:lineRule="exact"/>
        <w:rPr>
          <w:rFonts w:hint="eastAsia" w:hAnsi="宋体"/>
          <w:color w:val="000000"/>
          <w:sz w:val="24"/>
          <w:szCs w:val="24"/>
          <w:highlight w:val="none"/>
        </w:rPr>
      </w:pP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2</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能源费用托管型：用能单位委托能源服务公司对能源系统进行投资、设计、建设、改造和运行管理，并按照合同约定支付能源托管费用。能源服务公司通过提高能源效率降低能源费用，并按照合同约定拥有全部或部分能源费用。由甲方委托能够提供用能诊断、改造设计、改造施工、节能信息化建设、运行管理等服务的乙方进行</w:t>
      </w:r>
      <w:r>
        <w:rPr>
          <w:rFonts w:hint="eastAsia" w:hAnsi="宋体"/>
          <w:color w:val="000000"/>
          <w:sz w:val="24"/>
          <w:szCs w:val="24"/>
          <w:highlight w:val="none"/>
          <w:lang w:eastAsia="zh-CN"/>
        </w:rPr>
        <w:t xml:space="preserve">水、电、天然气及迎宾楼的水、电、天然气</w:t>
      </w:r>
      <w:r>
        <w:rPr>
          <w:rFonts w:hint="eastAsia" w:hAnsi="宋体"/>
          <w:color w:val="000000"/>
          <w:sz w:val="24"/>
          <w:szCs w:val="24"/>
          <w:highlight w:val="none"/>
        </w:rPr>
        <w:t xml:space="preserve">的运行、管理、维护和改造，甲方将根据能源基准确定的费用支付给乙方作为托管费用，乙方通过科学的管理运行和节能技术的应用达到节约能源资源、减少费用支出等目的，获取合理的利润。</w:t>
      </w:r>
      <w:r>
        <w:rPr>
          <w:rFonts w:hint="eastAsia" w:hAnsi="宋体"/>
          <w:color w:val="000000"/>
          <w:sz w:val="24"/>
          <w:szCs w:val="24"/>
          <w:highlight w:val="none"/>
        </w:rPr>
      </w:r>
      <w:r/>
    </w:p>
    <w:p>
      <w:pPr>
        <w:pStyle w:val="1023"/>
        <w:ind w:firstLine="480"/>
        <w:spacing w:line="440" w:lineRule="exact"/>
        <w:rPr>
          <w:rFonts w:hint="eastAsia" w:hAnsi="宋体"/>
          <w:color w:val="000000"/>
          <w:sz w:val="24"/>
          <w:szCs w:val="24"/>
          <w:highlight w:val="none"/>
        </w:rPr>
      </w:pP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3</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本合同所述行政中心建筑是指扬中市中电大道8号的行政中心公共建筑。</w:t>
      </w:r>
      <w:r>
        <w:rPr>
          <w:rFonts w:hint="eastAsia" w:hAnsi="宋体"/>
          <w:color w:val="000000"/>
          <w:sz w:val="24"/>
          <w:szCs w:val="24"/>
          <w:highlight w:val="none"/>
        </w:rPr>
      </w:r>
      <w:r/>
    </w:p>
    <w:p>
      <w:pPr>
        <w:pStyle w:val="1023"/>
        <w:ind w:firstLine="480"/>
        <w:spacing w:line="440" w:lineRule="exact"/>
        <w:rPr>
          <w:rFonts w:hint="eastAsia" w:hAnsi="宋体" w:eastAsia="宋体"/>
          <w:color w:val="000000"/>
          <w:sz w:val="24"/>
          <w:szCs w:val="24"/>
          <w:highlight w:val="none"/>
          <w:lang w:eastAsia="zh-CN"/>
        </w:rPr>
      </w:pP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4</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本合同及相关附件中所涉及的其他有关名词和技术术语，其定义和解释依据中华人民共和国国家标准GB/T24915—20</w:t>
      </w:r>
      <w:r>
        <w:rPr>
          <w:rFonts w:hint="eastAsia" w:hAnsi="宋体"/>
          <w:color w:val="000000"/>
          <w:sz w:val="24"/>
          <w:szCs w:val="24"/>
          <w:highlight w:val="none"/>
          <w:lang w:val="en-US" w:eastAsia="zh-CN"/>
        </w:rPr>
        <w:t xml:space="preserve">2</w:t>
      </w:r>
      <w:r>
        <w:rPr>
          <w:rFonts w:hint="eastAsia" w:hAnsi="宋体"/>
          <w:color w:val="000000"/>
          <w:sz w:val="24"/>
          <w:szCs w:val="24"/>
          <w:highlight w:val="none"/>
        </w:rPr>
        <w:t xml:space="preserve">0《合同能源管理技术通则》。本合同所引用或涉及的所有标准、规范及技术要求，均以现行有效的最新版本为准。合同履行期间，如上述标准被修订、替代或废止，自新标准实施之日起自动适用新标准</w:t>
      </w:r>
      <w:r>
        <w:rPr>
          <w:rFonts w:hint="eastAsia" w:hAnsi="宋体"/>
          <w:color w:val="000000"/>
          <w:sz w:val="24"/>
          <w:szCs w:val="24"/>
          <w:highlight w:val="none"/>
          <w:lang w:eastAsia="zh-CN"/>
        </w:rPr>
        <w:t xml:space="preserve">。</w:t>
      </w:r>
      <w:r>
        <w:rPr>
          <w:rFonts w:hint="eastAsia" w:hAnsi="宋体" w:eastAsia="宋体"/>
          <w:color w:val="000000"/>
          <w:sz w:val="24"/>
          <w:szCs w:val="24"/>
          <w:highlight w:val="none"/>
          <w:lang w:eastAsia="zh-CN"/>
        </w:rPr>
      </w:r>
      <w:r/>
    </w:p>
    <w:p>
      <w:pPr>
        <w:pStyle w:val="1023"/>
        <w:ind w:firstLine="480"/>
        <w:spacing w:line="440" w:lineRule="exact"/>
        <w:rPr>
          <w:rFonts w:hint="eastAsia" w:hAnsi="宋体"/>
          <w:color w:val="000000"/>
          <w:sz w:val="24"/>
          <w:szCs w:val="24"/>
          <w:highlight w:val="none"/>
        </w:rPr>
      </w:pP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5</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项目资产:由乙方采购并安装的设备、设施和仪器等资产。</w:t>
      </w:r>
      <w:r>
        <w:rPr>
          <w:rFonts w:hint="eastAsia" w:hAnsi="宋体"/>
          <w:color w:val="000000"/>
          <w:sz w:val="24"/>
          <w:szCs w:val="24"/>
          <w:highlight w:val="none"/>
        </w:rPr>
      </w:r>
      <w:r/>
    </w:p>
    <w:p>
      <w:pPr>
        <w:pStyle w:val="1023"/>
        <w:ind w:firstLine="480"/>
        <w:spacing w:line="440" w:lineRule="exact"/>
        <w:rPr>
          <w:rFonts w:hint="eastAsia" w:ascii="宋体" w:hAnsi="宋体" w:eastAsia="宋体" w:cs="Courier New"/>
          <w:color w:val="000000"/>
          <w:sz w:val="24"/>
          <w:szCs w:val="24"/>
          <w:highlight w:val="none"/>
          <w:lang w:eastAsia="zh-CN"/>
        </w:rPr>
      </w:pPr>
      <w:r>
        <w:rPr>
          <w:rFonts w:hint="eastAsia" w:hAnsi="宋体"/>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lang w:eastAsia="zh-CN"/>
        </w:rPr>
        <w:t xml:space="preserve">）</w:t>
      </w:r>
      <w:r>
        <w:rPr>
          <w:rFonts w:hAnsi="宋体"/>
          <w:color w:val="000000"/>
          <w:sz w:val="24"/>
          <w:szCs w:val="24"/>
          <w:highlight w:val="none"/>
        </w:rPr>
        <w:t xml:space="preserve">托管期第4年</w:t>
      </w:r>
      <w:r>
        <w:rPr>
          <w:rFonts w:hint="eastAsia" w:hAnsi="宋体"/>
          <w:color w:val="000000"/>
          <w:sz w:val="24"/>
          <w:szCs w:val="24"/>
          <w:highlight w:val="none"/>
        </w:rPr>
        <w:t xml:space="preserve">结束后</w:t>
      </w:r>
      <w:r>
        <w:rPr>
          <w:rFonts w:hAnsi="宋体"/>
          <w:color w:val="000000"/>
          <w:sz w:val="24"/>
          <w:szCs w:val="24"/>
          <w:highlight w:val="none"/>
        </w:rPr>
        <w:t xml:space="preserve">进行首次审计，其后每3年审计一次</w:t>
      </w:r>
      <w:r>
        <w:rPr>
          <w:rFonts w:hint="eastAsia" w:ascii="宋体" w:hAnsi="宋体" w:eastAsia="宋体" w:cs="Courier New"/>
          <w:color w:val="000000"/>
          <w:sz w:val="24"/>
          <w:szCs w:val="24"/>
          <w:highlight w:val="none"/>
          <w:lang w:eastAsia="zh-CN"/>
        </w:rPr>
        <w:t xml:space="preserve">。合同履行期结束后，甲方进行最终审计。通过对建筑能源资源使用情况进行文件审查和现场调研、测试，对被审计建筑能源利用状况相关指标进行定量分析，对建筑能源利用效率、设备能效水平、运行经济效益和环境效果进行诊断和评价，从而发现建筑节能潜力，提出节能运行调适和改造建议。</w:t>
      </w:r>
      <w:r>
        <w:rPr>
          <w:rFonts w:hint="eastAsia" w:ascii="宋体" w:hAnsi="宋体" w:eastAsia="宋体" w:cs="Courier New"/>
          <w:color w:val="000000"/>
          <w:sz w:val="24"/>
          <w:szCs w:val="24"/>
          <w:highlight w:val="none"/>
          <w:lang w:eastAsia="zh-CN"/>
        </w:rPr>
      </w:r>
      <w:r/>
    </w:p>
    <w:p>
      <w:pPr>
        <w:pStyle w:val="1023"/>
        <w:spacing w:line="440" w:lineRule="exact"/>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1023"/>
        <w:ind w:left="479" w:firstLine="69"/>
        <w:spacing w:line="440" w:lineRule="exact"/>
        <w:rPr>
          <w:rFonts w:hAnsi="宋体"/>
          <w:color w:val="000000"/>
          <w:sz w:val="24"/>
          <w:szCs w:val="24"/>
          <w:highlight w:val="none"/>
        </w:rPr>
      </w:pPr>
      <w:r>
        <w:rPr>
          <w:rFonts w:hAnsi="宋体"/>
          <w:color w:val="000000"/>
          <w:sz w:val="24"/>
          <w:szCs w:val="24"/>
          <w:highlight w:val="none"/>
        </w:rPr>
        <w:t xml:space="preserve">2.1 本合同金额为（大写）：_____________</w:t>
      </w:r>
      <w:r>
        <w:rPr>
          <w:rFonts w:hint="eastAsia" w:hAnsi="宋体"/>
          <w:color w:val="000000"/>
          <w:sz w:val="24"/>
          <w:szCs w:val="24"/>
          <w:highlight w:val="none"/>
        </w:rPr>
        <w:t xml:space="preserve">圆</w:t>
      </w:r>
      <w:r>
        <w:rPr>
          <w:rFonts w:hAnsi="宋体"/>
          <w:color w:val="000000"/>
          <w:sz w:val="24"/>
          <w:szCs w:val="24"/>
          <w:highlight w:val="none"/>
        </w:rPr>
        <w:t xml:space="preserve">（_______________元）人民</w:t>
      </w:r>
      <w:r>
        <w:rPr>
          <w:rFonts w:hAnsi="宋体"/>
          <w:color w:val="000000"/>
          <w:sz w:val="24"/>
          <w:szCs w:val="24"/>
          <w:highlight w:val="none"/>
        </w:rPr>
      </w:r>
      <w:r/>
    </w:p>
    <w:p>
      <w:pPr>
        <w:pStyle w:val="1023"/>
        <w:ind w:left="0" w:firstLine="0"/>
        <w:spacing w:line="440" w:lineRule="exact"/>
        <w:rPr>
          <w:rFonts w:hAnsi="宋体"/>
          <w:color w:val="000000"/>
          <w:sz w:val="24"/>
          <w:szCs w:val="24"/>
          <w:highlight w:val="none"/>
        </w:rPr>
      </w:pPr>
      <w:r>
        <w:rPr>
          <w:rFonts w:hAnsi="宋体"/>
          <w:color w:val="000000"/>
          <w:sz w:val="24"/>
          <w:szCs w:val="24"/>
          <w:highlight w:val="none"/>
        </w:rPr>
        <w:t xml:space="preserve">币。</w:t>
      </w:r>
      <w:r/>
    </w:p>
    <w:p>
      <w:pPr>
        <w:pStyle w:val="1023"/>
        <w:ind w:left="479" w:firstLine="69"/>
        <w:spacing w:line="44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2.2乙方应当负责本项目的投资，并承担本项目的方案设计、建设、运营、监</w:t>
      </w:r>
      <w:r>
        <w:rPr>
          <w:rFonts w:hint="eastAsia" w:hAnsi="宋体"/>
          <w:color w:val="000000"/>
          <w:sz w:val="24"/>
          <w:szCs w:val="24"/>
          <w:highlight w:val="none"/>
          <w:lang w:val="en-US" w:eastAsia="zh-CN"/>
        </w:rPr>
      </w:r>
      <w:r/>
    </w:p>
    <w:p>
      <w:pPr>
        <w:pStyle w:val="1023"/>
        <w:ind w:left="0" w:firstLine="0"/>
        <w:spacing w:line="440" w:lineRule="exact"/>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测</w:t>
      </w:r>
      <w:r>
        <w:rPr>
          <w:rFonts w:hint="eastAsia" w:hAnsi="宋体"/>
          <w:color w:val="000000"/>
          <w:sz w:val="24"/>
          <w:szCs w:val="24"/>
          <w:highlight w:val="none"/>
          <w:lang w:val="en-US" w:eastAsia="zh-CN"/>
        </w:rPr>
        <w:t xml:space="preserve">的所有费用，包括项目所需设备、设施、技术购置、更换的费用。</w:t>
      </w:r>
      <w:r>
        <w:rPr>
          <w:rFonts w:hint="eastAsia" w:hAnsi="宋体"/>
          <w:color w:val="000000"/>
          <w:sz w:val="24"/>
          <w:szCs w:val="24"/>
          <w:highlight w:val="none"/>
          <w:lang w:val="en-US" w:eastAsia="zh-CN"/>
        </w:rPr>
      </w:r>
      <w:r/>
    </w:p>
    <w:p>
      <w:pPr>
        <w:pStyle w:val="1023"/>
        <w:spacing w:line="440" w:lineRule="exact"/>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1023"/>
        <w:ind w:firstLine="480"/>
        <w:spacing w:line="440" w:lineRule="exact"/>
        <w:rPr>
          <w:rFonts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w:t>
      </w:r>
      <w:r>
        <w:rPr>
          <w:rFonts w:hAnsi="宋体"/>
          <w:color w:val="000000"/>
          <w:sz w:val="24"/>
          <w:szCs w:val="24"/>
          <w:highlight w:val="none"/>
        </w:rPr>
      </w:r>
      <w:r/>
    </w:p>
    <w:p>
      <w:pPr>
        <w:pStyle w:val="1023"/>
        <w:spacing w:line="440" w:lineRule="exact"/>
        <w:rPr>
          <w:rFonts w:hint="eastAsia" w:hAnsi="宋体"/>
          <w:color w:val="000000"/>
          <w:sz w:val="24"/>
          <w:szCs w:val="24"/>
          <w:highlight w:val="none"/>
        </w:rPr>
      </w:pPr>
      <w:r>
        <w:rPr>
          <w:rFonts w:hAnsi="宋体"/>
          <w:color w:val="000000"/>
          <w:sz w:val="24"/>
          <w:szCs w:val="24"/>
          <w:highlight w:val="none"/>
        </w:rPr>
        <w:t xml:space="preserve">有关技术资料。</w:t>
      </w:r>
      <w:r>
        <w:rPr>
          <w:rFonts w:hint="eastAsia" w:hAnsi="宋体"/>
          <w:color w:val="000000"/>
          <w:sz w:val="24"/>
          <w:szCs w:val="24"/>
          <w:highlight w:val="none"/>
        </w:rPr>
      </w:r>
      <w:r/>
    </w:p>
    <w:p>
      <w:pPr>
        <w:pStyle w:val="1023"/>
        <w:ind w:firstLine="480"/>
        <w:spacing w:line="440" w:lineRule="exact"/>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highlight w:val="none"/>
        </w:rPr>
      </w:r>
      <w:r/>
    </w:p>
    <w:p>
      <w:pPr>
        <w:pStyle w:val="1023"/>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3.</w:t>
      </w:r>
      <w:r>
        <w:rPr>
          <w:rFonts w:hint="eastAsia" w:hAnsi="宋体"/>
          <w:color w:val="000000"/>
          <w:sz w:val="24"/>
          <w:szCs w:val="24"/>
          <w:highlight w:val="none"/>
          <w:lang w:val="en-US" w:eastAsia="zh-CN"/>
        </w:rPr>
        <w:t xml:space="preserve">3</w:t>
      </w:r>
      <w:r>
        <w:rPr>
          <w:rFonts w:hint="eastAsia" w:hAnsi="宋体"/>
          <w:color w:val="000000"/>
          <w:sz w:val="24"/>
          <w:szCs w:val="24"/>
          <w:highlight w:val="none"/>
        </w:rPr>
        <w:t xml:space="preserve">甲乙双方应当按照项目方案文件的要求以及本合同的规定进行本项目的实施。甲方负责提供原能源系统的设计、施工方案、图纸等等，乙方提供节能改造相应的设计、施工方案、图纸等。因未获甲方或相关部门施工审批而影响工期的，工期自动顺延。</w:t>
      </w:r>
      <w:r>
        <w:rPr>
          <w:rFonts w:hint="eastAsia" w:hAnsi="宋体"/>
          <w:color w:val="000000"/>
          <w:sz w:val="24"/>
          <w:szCs w:val="24"/>
          <w:highlight w:val="none"/>
        </w:rPr>
      </w:r>
      <w:r/>
    </w:p>
    <w:p>
      <w:pPr>
        <w:pStyle w:val="1023"/>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3.</w:t>
      </w:r>
      <w:r>
        <w:rPr>
          <w:rFonts w:hint="eastAsia" w:hAnsi="宋体"/>
          <w:color w:val="000000"/>
          <w:sz w:val="24"/>
          <w:szCs w:val="24"/>
          <w:highlight w:val="none"/>
          <w:lang w:val="en-US" w:eastAsia="zh-CN"/>
        </w:rPr>
        <w:t xml:space="preserve">4</w:t>
      </w:r>
      <w:r>
        <w:rPr>
          <w:rFonts w:hint="eastAsia" w:hAnsi="宋体"/>
          <w:color w:val="000000"/>
          <w:sz w:val="24"/>
          <w:szCs w:val="24"/>
          <w:highlight w:val="none"/>
        </w:rPr>
        <w:t xml:space="preserve">项目方案一经甲方批准，除非双方另行同意，或者依照本合同规定修改之外，不得修改。</w:t>
      </w:r>
      <w:r>
        <w:rPr>
          <w:rFonts w:hint="eastAsia" w:hAnsi="宋体"/>
          <w:color w:val="000000"/>
          <w:sz w:val="24"/>
          <w:szCs w:val="24"/>
          <w:highlight w:val="none"/>
        </w:rPr>
      </w:r>
      <w:r/>
    </w:p>
    <w:p>
      <w:pPr>
        <w:pStyle w:val="1023"/>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3.</w:t>
      </w:r>
      <w:r>
        <w:rPr>
          <w:rFonts w:hint="eastAsia" w:hAnsi="宋体"/>
          <w:color w:val="000000"/>
          <w:sz w:val="24"/>
          <w:szCs w:val="24"/>
          <w:highlight w:val="none"/>
          <w:lang w:val="en-US" w:eastAsia="zh-CN"/>
        </w:rPr>
        <w:t xml:space="preserve">5</w:t>
      </w:r>
      <w:r>
        <w:rPr>
          <w:rFonts w:hint="eastAsia" w:hAnsi="宋体"/>
          <w:color w:val="000000"/>
          <w:sz w:val="24"/>
          <w:szCs w:val="24"/>
          <w:highlight w:val="none"/>
        </w:rPr>
        <w:t xml:space="preserve">乙方应当依照项目方案的规定开始项目的建设、实施和运行。</w:t>
      </w:r>
      <w:r>
        <w:rPr>
          <w:rFonts w:hint="eastAsia" w:hAnsi="宋体"/>
          <w:color w:val="000000"/>
          <w:sz w:val="24"/>
          <w:szCs w:val="24"/>
          <w:highlight w:val="none"/>
        </w:rPr>
      </w:r>
      <w:r/>
    </w:p>
    <w:p>
      <w:pPr>
        <w:pStyle w:val="1023"/>
        <w:ind w:left="412" w:hanging="412"/>
        <w:spacing w:line="440" w:lineRule="exact"/>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1023"/>
        <w:ind w:firstLine="480"/>
        <w:spacing w:line="440" w:lineRule="exact"/>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highlight w:val="none"/>
        </w:rPr>
      </w:r>
      <w:r/>
    </w:p>
    <w:p>
      <w:pPr>
        <w:pStyle w:val="1023"/>
        <w:spacing w:line="440" w:lineRule="exact"/>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985"/>
        <w:ind w:firstLine="480"/>
        <w:spacing w:line="440" w:lineRule="exact"/>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eastAsia="zh-CN"/>
        </w:rPr>
        <w:t xml:space="preserve">5.1乙方应保证甲方在使用、接受本合同标的或其任何一部分时不受第三方提出侵犯其专利权、版权、商标权和工业设计权等知识产权的起诉。一旦出现侵权，由乙方负全部责任。如果任何第三方提出侵权指控或赔偿要求，乙方必须与第三方交涉，并承担发生和可能发生的一切损失、费用和法律责任。如由于乙方不积极与第三方交涉，甲方有权应诉或进行和解，其发生的费用由乙方承担。</w:t>
      </w:r>
      <w:r>
        <w:rPr>
          <w:rFonts w:hint="eastAsia" w:ascii="宋体" w:hAnsi="宋体" w:eastAsia="宋体" w:cs="Courier New"/>
          <w:color w:val="000000"/>
          <w:sz w:val="24"/>
          <w:szCs w:val="24"/>
          <w:highlight w:val="none"/>
          <w:lang w:eastAsia="zh-CN"/>
        </w:rPr>
      </w:r>
      <w:r/>
    </w:p>
    <w:p>
      <w:pPr>
        <w:pStyle w:val="985"/>
        <w:ind w:firstLine="480"/>
        <w:spacing w:line="440" w:lineRule="exact"/>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eastAsia="zh-CN"/>
        </w:rPr>
        <w:t xml:space="preserve">5.2 乙方保证所交付的合同标的的所有权完全属于乙方且无任何抵押、查封等产权瑕疵。</w:t>
      </w:r>
      <w:r>
        <w:rPr>
          <w:rFonts w:hint="eastAsia" w:ascii="宋体" w:hAnsi="宋体" w:eastAsia="宋体" w:cs="Courier New"/>
          <w:color w:val="000000"/>
          <w:sz w:val="24"/>
          <w:szCs w:val="24"/>
          <w:highlight w:val="none"/>
          <w:lang w:eastAsia="zh-CN"/>
        </w:rPr>
      </w:r>
      <w:r/>
    </w:p>
    <w:p>
      <w:pPr>
        <w:pStyle w:val="1023"/>
        <w:ind w:left="410" w:hanging="410"/>
        <w:spacing w:line="440" w:lineRule="exact"/>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☑本项目不收取履约保证金。</w:t>
      </w:r>
      <w:r>
        <w:rPr>
          <w:rFonts w:hint="eastAsia" w:ascii="宋体" w:hAnsi="宋体"/>
          <w:bCs/>
          <w:color w:val="000000"/>
          <w:sz w:val="24"/>
          <w:szCs w:val="24"/>
          <w:highlight w:val="none"/>
        </w:rPr>
      </w:r>
      <w:r/>
    </w:p>
    <w:p>
      <w:pPr>
        <w:pStyle w:val="98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□本项目中标</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应提交政府采购合同金额XX%的履约保证金(不得超过政府采购合同金额的 10%)，履约保证金应以支票、汇票、本票、保函、保险保单等非现金形式缴纳或提交。支持和鼓励中标</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自愿使用履约(保函)保险代替缴纳履约保证金。省财政厅已上线政府采购电子履约保函(保险)平台，平台可通过域名 www.jsdzbh.com 直接访问，也可通过江苏省政府采购网、“苏采云”系统链接访问。  </w:t>
      </w:r>
      <w:r>
        <w:rPr>
          <w:rFonts w:hint="eastAsia" w:ascii="宋体" w:hAnsi="宋体"/>
          <w:bCs/>
          <w:color w:val="000000"/>
          <w:sz w:val="24"/>
          <w:szCs w:val="24"/>
          <w:highlight w:val="none"/>
        </w:rPr>
      </w:r>
      <w:r/>
    </w:p>
    <w:p>
      <w:pPr>
        <w:pStyle w:val="985"/>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7.2乙方应当按照响应文件中提供的分包意向协议履行合同。</w:t>
      </w:r>
      <w:r>
        <w:rPr>
          <w:rFonts w:hint="eastAsia" w:ascii="宋体" w:hAnsi="宋体"/>
          <w:color w:val="000000"/>
          <w:sz w:val="24"/>
          <w:szCs w:val="24"/>
          <w:highlight w:val="none"/>
        </w:rPr>
      </w:r>
      <w:r/>
    </w:p>
    <w:p>
      <w:pPr>
        <w:pStyle w:val="985"/>
        <w:ind w:firstLine="480"/>
        <w:spacing w:line="44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1023"/>
        <w:spacing w:line="440" w:lineRule="exact"/>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985"/>
        <w:ind w:left="479" w:firstLine="0"/>
        <w:spacing w:before="120" w:after="120" w:line="44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合同款项的支付方式及进度安排</w:t>
      </w:r>
      <w:r>
        <w:rPr>
          <w:rFonts w:hint="eastAsia" w:ascii="宋体" w:hAnsi="宋体" w:cs="Courier New"/>
          <w:bCs/>
          <w:color w:val="000000"/>
          <w:sz w:val="24"/>
          <w:szCs w:val="24"/>
          <w:highlight w:val="none"/>
        </w:rPr>
      </w:r>
      <w:r/>
    </w:p>
    <w:p>
      <w:pPr>
        <w:pStyle w:val="985"/>
        <w:ind w:firstLine="480"/>
        <w:jc w:val="left"/>
        <w:spacing w:before="120" w:after="120" w:line="440" w:lineRule="exact"/>
        <w:rPr>
          <w:rFonts w:hint="eastAsia" w:ascii="宋体" w:hAnsi="宋体"/>
          <w:color w:val="000000"/>
          <w:sz w:val="24"/>
          <w:szCs w:val="24"/>
          <w:highlight w:val="none"/>
          <w:lang w:val="en-US" w:eastAsia="zh-CN"/>
        </w:rPr>
      </w:pPr>
      <w:r>
        <w:rPr>
          <w:rFonts w:hint="eastAsia" w:ascii="宋体" w:hAnsi="宋体" w:cs="Courier New"/>
          <w:bCs/>
          <w:color w:val="000000"/>
          <w:sz w:val="24"/>
          <w:szCs w:val="24"/>
          <w:highlight w:val="none"/>
          <w:lang w:val="en-US" w:eastAsia="zh-CN"/>
        </w:rPr>
        <w:t xml:space="preserve">8.1</w:t>
      </w:r>
      <w:r>
        <w:rPr>
          <w:rFonts w:hint="eastAsia" w:ascii="宋体" w:hAnsi="宋体"/>
          <w:color w:val="000000"/>
          <w:sz w:val="24"/>
          <w:szCs w:val="24"/>
          <w:highlight w:val="none"/>
        </w:rPr>
        <w:t xml:space="preserve">双方确定采用“能源托管型”合同能源管理模式，由甲方委托乙方对现有能源系统进行改造。合同期内，由乙方对甲方能源系统日常运营维护及管理给予技术协助，甲方需按照本协议约定向乙方支付能源托管费用，乙方负责承担甲方能源费用托管期内的原由甲方承担的电费（含光伏发电费）、水费（按实际用量代收代缴）及天然气费用，并收取光伏发电返还甲方费用和迎宾楼租户缴甲方的水电费。</w:t>
      </w:r>
      <w:r>
        <w:rPr>
          <w:rFonts w:hint="eastAsia" w:ascii="宋体" w:hAnsi="宋体"/>
          <w:color w:val="000000"/>
          <w:sz w:val="24"/>
          <w:szCs w:val="24"/>
          <w:highlight w:val="none"/>
          <w:lang w:val="en-US" w:eastAsia="zh-CN"/>
        </w:rPr>
      </w:r>
      <w:r/>
    </w:p>
    <w:p>
      <w:pPr>
        <w:pStyle w:val="985"/>
        <w:ind w:firstLine="480"/>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双方约定，由乙方按月向国网江苏省电力有限公司扬中市供电分公司缴纳迎宾楼电费。甲方负责收取租户(包括原租户及以后新承租租户，下同) 的迎宾楼电用能费用，甲方将应收的租户电费，在托管合同期内，全额按季度转付乙方，</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每季度向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出具迎宾楼用能结算证明，双方认可后，乙方按结算证明开具发票，甲方收到发票后将迎宾楼能耗费支付给乙方。租户能源费用按实际结算，甲方收取租户能源费计算方式与托管协议生效前保持一致。甲方与租户之间的费用结算，不影响甲方与乙方之间的正常费用结算。【如迎宾楼租户退租后，则不产生额外的能源费用。】</w:t>
      </w:r>
      <w:r>
        <w:rPr>
          <w:rFonts w:hint="eastAsia" w:ascii="宋体" w:hAnsi="宋体"/>
          <w:color w:val="000000"/>
          <w:sz w:val="24"/>
          <w:szCs w:val="24"/>
          <w:highlight w:val="none"/>
        </w:rPr>
      </w:r>
      <w:r/>
    </w:p>
    <w:p>
      <w:pPr>
        <w:pStyle w:val="985"/>
        <w:ind w:firstLine="480"/>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8.4双方基于现有的用能设备现状及能源费用，约定首年能源托管费用人民币（大写：   ）¥        元（含税价）。十年托管期共计人民币（大写：         ）¥         元（含税价）。乙方开具当期电费、燃气费、水费、服务费等额发票（各费用税率按税务要求执行）后，甲方以银行转账方式向乙方指定账户支付。</w:t>
      </w:r>
      <w:r>
        <w:rPr>
          <w:rFonts w:hint="eastAsia" w:ascii="宋体" w:hAnsi="宋体"/>
          <w:color w:val="000000"/>
          <w:sz w:val="24"/>
          <w:szCs w:val="24"/>
          <w:highlight w:val="none"/>
        </w:rPr>
      </w:r>
      <w:r/>
    </w:p>
    <w:p>
      <w:pPr>
        <w:pStyle w:val="985"/>
        <w:ind w:firstLine="480"/>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进入托管期后，甲方以乙方在合同中列明的年度能源托管金额为标准，按月度向乙方支付能源托管费用，甲方于当月收到乙方当期服务发票后支付托管费用（年度能源托管费用/12个月）给乙方，甲方每年度对乙方节能率、服务品质等合同履约情况及能耗或能源单价变动因素考核后，若根据相应考核内容经双方确认无异议后，甲方支付托管年度的最后一个月度能源托管费用。</w:t>
      </w:r>
      <w:r>
        <w:rPr>
          <w:rFonts w:hint="eastAsia" w:ascii="宋体" w:hAnsi="宋体"/>
          <w:color w:val="000000"/>
          <w:sz w:val="24"/>
          <w:szCs w:val="24"/>
          <w:highlight w:val="none"/>
        </w:rPr>
      </w:r>
      <w:r/>
    </w:p>
    <w:p>
      <w:pPr>
        <w:pStyle w:val="985"/>
        <w:ind w:firstLine="480"/>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（2）中标方迟延开具增值税专用发票、无法开具增值税专用发票、开票不符合要求或开具的增值税专用发票金额低于约定金额的，</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有权相应地迟延付款、暂不付款或按低于约定金额的增值税专用发票金额来付款，并对此不承担任何责任。</w:t>
      </w:r>
      <w:r>
        <w:rPr>
          <w:rFonts w:hint="eastAsia" w:ascii="宋体" w:hAnsi="宋体"/>
          <w:color w:val="000000"/>
          <w:sz w:val="24"/>
          <w:szCs w:val="24"/>
          <w:highlight w:val="none"/>
        </w:rPr>
      </w:r>
      <w:r/>
    </w:p>
    <w:p>
      <w:pPr>
        <w:pStyle w:val="985"/>
        <w:ind w:firstLine="480"/>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因托管年限时间较长，若托管期限内能源价格出现波动，即可导致托管费用的发生变化，现约定如下：托管期间遇供能部门调整电力、自来水、天然气等各类能源（资源）单价发生变化，若单项能源的单价波动率≤5%，托管费用不调整；若单项能源的单价波动率＞5%增减托管费用调整方式如下：</w:t>
      </w:r>
      <w:r>
        <w:rPr>
          <w:rFonts w:hint="eastAsia" w:ascii="宋体" w:hAnsi="宋体"/>
          <w:color w:val="000000"/>
          <w:sz w:val="24"/>
          <w:szCs w:val="24"/>
          <w:highlight w:val="none"/>
        </w:rPr>
      </w:r>
      <w:r/>
    </w:p>
    <w:p>
      <w:pPr>
        <w:pStyle w:val="985"/>
        <w:ind w:firstLine="480"/>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能源单价波动率计算公式：能源单价波动率=（调整后能源单价-能源基准单价）/能源基准单价，正值为增长率，负值为下降率，调整的时间为价格调整后的同步时间。</w:t>
      </w:r>
      <w:r>
        <w:rPr>
          <w:rFonts w:hint="eastAsia" w:ascii="宋体" w:hAnsi="宋体"/>
          <w:color w:val="000000"/>
          <w:sz w:val="24"/>
          <w:szCs w:val="24"/>
          <w:highlight w:val="none"/>
        </w:rPr>
      </w:r>
      <w:r/>
    </w:p>
    <w:p>
      <w:pPr>
        <w:pStyle w:val="985"/>
        <w:ind w:firstLine="480"/>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1、增长率＞5%时，托管费用进行能源基准单价波动差额调整，即：调整托管费用金额=托管能源基准量*</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调整后能源单价-（能源基准单价*1.05）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，正值为增补金额；</w:t>
      </w:r>
      <w:r>
        <w:rPr>
          <w:rFonts w:hint="eastAsia" w:ascii="宋体" w:hAnsi="宋体"/>
          <w:color w:val="000000"/>
          <w:sz w:val="24"/>
          <w:szCs w:val="24"/>
          <w:highlight w:val="none"/>
        </w:rPr>
      </w:r>
      <w:r/>
    </w:p>
    <w:p>
      <w:pPr>
        <w:pStyle w:val="985"/>
        <w:ind w:firstLine="480"/>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2、下降率＞</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%时，托管费用进行能源基准单价波动差额调整，即：调整托管费用金额=托管能源基准量*</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（调整后能源单价-（能源基准单价*</w:t>
      </w:r>
      <w:r>
        <w:rPr>
          <w:rFonts w:ascii="宋体" w:hAnsi="宋体"/>
          <w:color w:val="000000"/>
          <w:sz w:val="24"/>
          <w:szCs w:val="24"/>
          <w:highlight w:val="none"/>
        </w:rPr>
        <w:t xml:space="preserve">0.95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，负值为扣减金额；</w:t>
      </w:r>
      <w:r>
        <w:rPr>
          <w:rFonts w:hint="eastAsia" w:ascii="宋体" w:hAnsi="宋体"/>
          <w:color w:val="000000"/>
          <w:sz w:val="24"/>
          <w:szCs w:val="24"/>
          <w:highlight w:val="none"/>
        </w:rPr>
      </w:r>
      <w:r/>
    </w:p>
    <w:p>
      <w:pPr>
        <w:pStyle w:val="985"/>
        <w:ind w:firstLine="480"/>
        <w:jc w:val="left"/>
        <w:spacing w:before="120" w:after="120" w:line="440" w:lineRule="exact"/>
        <w:rPr>
          <w:rFonts w:ascii="宋体" w:hAnsi="宋体"/>
          <w:color w:val="000000"/>
          <w:sz w:val="24"/>
          <w:szCs w:val="24"/>
          <w:highlight w:val="none"/>
        </w:rPr>
      </w:pPr>
      <w:r>
        <w:rPr>
          <w:rFonts w:hint="eastAsia" w:ascii="宋体" w:hAnsi="宋体"/>
          <w:color w:val="000000"/>
          <w:sz w:val="24"/>
          <w:szCs w:val="24"/>
          <w:highlight w:val="none"/>
        </w:rPr>
        <w:t xml:space="preserve">当热源类型、热值变化时，能源托管费用由双方另外商定。本项目约定能源种类基准单价：电力0.736元/千瓦时；水3.65元/立方米；燃气淡季3.97元/m³，旺季4.</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元/m³。</w:t>
      </w:r>
      <w:r>
        <w:rPr>
          <w:rFonts w:ascii="宋体" w:hAnsi="宋体"/>
          <w:color w:val="000000"/>
          <w:sz w:val="24"/>
          <w:szCs w:val="24"/>
          <w:highlight w:val="none"/>
        </w:rPr>
      </w:r>
      <w:r/>
    </w:p>
    <w:p>
      <w:pPr>
        <w:pStyle w:val="985"/>
        <w:ind w:firstLine="480"/>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8.5合同期内，因能源单价波动触发能源基准量调整的，每个托管年度结束后结算上一年度能源差价。</w:t>
      </w:r>
      <w:r>
        <w:rPr>
          <w:rFonts w:hint="eastAsia" w:ascii="宋体" w:hAnsi="宋体"/>
          <w:color w:val="000000"/>
          <w:sz w:val="24"/>
          <w:szCs w:val="24"/>
          <w:highlight w:val="none"/>
        </w:rPr>
      </w:r>
      <w:r/>
    </w:p>
    <w:p>
      <w:pPr>
        <w:pStyle w:val="985"/>
        <w:ind w:firstLine="480"/>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8.6因节能率考核的需要，每考核年度预留¥100000.00元用于节能率考核，当年预留费用在当期年度考核扣完即止，在考核结果双方确认后于次月结算该考核年度预留费用。因国家相关部门或国家电网、供排水部门、蒸汽、供燃气部门给予甲方、乙方优惠政策而降低的能源资源消耗费用应由甲、乙方各自受益。</w:t>
      </w:r>
      <w:r>
        <w:rPr>
          <w:rFonts w:hint="eastAsia" w:ascii="宋体" w:hAnsi="宋体"/>
          <w:color w:val="000000"/>
          <w:sz w:val="24"/>
          <w:szCs w:val="24"/>
          <w:highlight w:val="none"/>
        </w:rPr>
      </w:r>
      <w:r/>
    </w:p>
    <w:p>
      <w:pPr>
        <w:pStyle w:val="985"/>
        <w:ind w:firstLine="480"/>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8.7如发生用能设备增、减（累计50kW及以上），极端天气及设备损坏、遭外力破坏，用能人员增、减（累计30人及以上）、能源政策调整、作息时间调整等原因导致的能源费用变化，甲乙双方可协商能源费用调整方式和托管费用，并经市财政（采购中心）确认后执行，具体方式以书面补充协议形式确定。</w:t>
      </w:r>
      <w:r>
        <w:rPr>
          <w:rFonts w:hint="eastAsia" w:ascii="宋体" w:hAnsi="宋体"/>
          <w:color w:val="000000"/>
          <w:sz w:val="24"/>
          <w:szCs w:val="24"/>
          <w:highlight w:val="none"/>
        </w:rPr>
      </w:r>
      <w:r/>
    </w:p>
    <w:p>
      <w:pPr>
        <w:pStyle w:val="985"/>
        <w:ind w:firstLine="480"/>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8.8节能扶持资金及碳排放交易收益</w:t>
      </w:r>
      <w:r>
        <w:rPr>
          <w:rFonts w:hint="eastAsia" w:ascii="宋体" w:hAnsi="宋体"/>
          <w:color w:val="000000"/>
          <w:sz w:val="24"/>
          <w:szCs w:val="24"/>
          <w:highlight w:val="none"/>
        </w:rPr>
      </w:r>
      <w:r/>
    </w:p>
    <w:p>
      <w:pPr>
        <w:pStyle w:val="985"/>
        <w:ind w:firstLine="480"/>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甲方配合乙方争取相关奖励或节能减排政策扶持资金，本项目合同期内的碳排放交易收益归乙方所有。</w:t>
      </w:r>
      <w:r>
        <w:rPr>
          <w:rFonts w:hint="eastAsia" w:ascii="宋体" w:hAnsi="宋体"/>
          <w:color w:val="000000"/>
          <w:sz w:val="24"/>
          <w:szCs w:val="24"/>
          <w:highlight w:val="none"/>
        </w:rPr>
      </w:r>
      <w:r/>
    </w:p>
    <w:p>
      <w:pPr>
        <w:pStyle w:val="985"/>
        <w:ind w:firstLine="480"/>
        <w:jc w:val="left"/>
        <w:spacing w:before="120" w:after="120" w:line="440" w:lineRule="exact"/>
        <w:rPr>
          <w:rFonts w:hint="eastAsia" w:ascii="宋体" w:hAnsi="宋体"/>
          <w:color w:val="000000"/>
          <w:sz w:val="24"/>
          <w:szCs w:val="24"/>
          <w:highlight w:val="none"/>
        </w:rPr>
      </w:pPr>
      <w:r>
        <w:rPr>
          <w:rFonts w:hint="eastAsia" w:ascii="宋体" w:hAnsi="宋体" w:cs="Courier New"/>
          <w:bCs/>
          <w:color w:val="000000"/>
          <w:sz w:val="24"/>
          <w:szCs w:val="24"/>
          <w:highlight w:val="none"/>
        </w:rPr>
        <w:t xml:space="preserve">8.9</w:t>
      </w:r>
      <w:r>
        <w:rPr>
          <w:rFonts w:hint="eastAsia" w:ascii="宋体" w:hAnsi="宋体"/>
          <w:color w:val="000000"/>
          <w:sz w:val="24"/>
          <w:szCs w:val="24"/>
          <w:highlight w:val="none"/>
        </w:rPr>
        <w:t xml:space="preserve">乙方应当自合同签订之日起按约定开具发票，甲方自收到发票完成支付。因乙方未开具发票导致甲方未及时完成支付的，由乙方承担相关责任。乙方需与甲方单位项目负责人确定好开具发票时间，并在发票开具后第一时间送达至甲方项目负责人手中。</w:t>
      </w:r>
      <w:r>
        <w:rPr>
          <w:rFonts w:hint="eastAsia" w:ascii="宋体" w:hAnsi="宋体"/>
          <w:color w:val="000000"/>
          <w:sz w:val="24"/>
          <w:szCs w:val="24"/>
          <w:highlight w:val="none"/>
        </w:rPr>
      </w:r>
      <w:r/>
    </w:p>
    <w:p>
      <w:pPr>
        <w:pStyle w:val="98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甲方开票信息： </w:t>
      </w:r>
      <w:r>
        <w:rPr>
          <w:rFonts w:hint="eastAsia" w:ascii="宋体" w:hAnsi="宋体"/>
          <w:color w:val="000000"/>
          <w:sz w:val="24"/>
          <w:szCs w:val="24"/>
          <w:highlight w:val="none"/>
        </w:rPr>
      </w:r>
      <w:r/>
    </w:p>
    <w:p>
      <w:pPr>
        <w:pStyle w:val="98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98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98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98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98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98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98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项目负责 联系人: </w:t>
      </w:r>
      <w:r>
        <w:rPr>
          <w:rFonts w:hint="eastAsia" w:ascii="宋体" w:hAnsi="宋体"/>
          <w:color w:val="000000"/>
          <w:sz w:val="24"/>
          <w:szCs w:val="24"/>
          <w:highlight w:val="none"/>
        </w:rPr>
      </w:r>
      <w:r/>
    </w:p>
    <w:p>
      <w:pPr>
        <w:pStyle w:val="98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98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乙方开票信息： </w:t>
      </w:r>
      <w:r>
        <w:rPr>
          <w:rFonts w:hint="eastAsia" w:ascii="宋体" w:hAnsi="宋体"/>
          <w:color w:val="000000"/>
          <w:sz w:val="24"/>
          <w:szCs w:val="24"/>
          <w:highlight w:val="none"/>
        </w:rPr>
      </w:r>
      <w:r/>
    </w:p>
    <w:p>
      <w:pPr>
        <w:pStyle w:val="98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98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98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98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98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98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98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985"/>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985"/>
        <w:ind w:firstLine="480"/>
        <w:spacing w:line="44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1023"/>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节能改造</w:t>
      </w:r>
      <w:r>
        <w:rPr>
          <w:rFonts w:hAnsi="宋体"/>
          <w:b/>
          <w:color w:val="000000"/>
          <w:sz w:val="24"/>
          <w:szCs w:val="24"/>
          <w:highlight w:val="none"/>
        </w:rPr>
      </w:r>
      <w:r/>
    </w:p>
    <w:p>
      <w:pPr>
        <w:pStyle w:val="1023"/>
        <w:ind w:firstLine="480"/>
        <w:spacing w:line="440" w:lineRule="exact"/>
        <w:rPr>
          <w:rFonts w:hint="eastAsia" w:ascii="宋体" w:hAnsi="宋体" w:eastAsia="宋体" w:cs="Courier New"/>
          <w:b w:val="0"/>
          <w:bCs/>
          <w:color w:val="000000"/>
          <w:sz w:val="24"/>
          <w:szCs w:val="24"/>
          <w:highlight w:val="none"/>
        </w:rPr>
      </w:pPr>
      <w:r>
        <w:rPr>
          <w:rFonts w:hint="eastAsia" w:hAnsi="宋体"/>
          <w:b w:val="0"/>
          <w:bCs/>
          <w:color w:val="000000"/>
          <w:sz w:val="24"/>
          <w:szCs w:val="24"/>
          <w:highlight w:val="none"/>
        </w:rPr>
        <w:t xml:space="preserve">1</w:t>
      </w:r>
      <w:r>
        <w:rPr>
          <w:rFonts w:hint="eastAsia" w:hAnsi="宋体"/>
          <w:b w:val="0"/>
          <w:bCs/>
          <w:color w:val="000000"/>
          <w:sz w:val="24"/>
          <w:szCs w:val="24"/>
          <w:highlight w:val="none"/>
          <w:lang w:val="en-US" w:eastAsia="zh-CN"/>
        </w:rPr>
        <w:t xml:space="preserve">0</w:t>
      </w:r>
      <w:r>
        <w:rPr>
          <w:rFonts w:hint="eastAsia" w:hAnsi="宋体"/>
          <w:b w:val="0"/>
          <w:bCs/>
          <w:color w:val="000000"/>
          <w:sz w:val="24"/>
          <w:szCs w:val="24"/>
          <w:highlight w:val="none"/>
        </w:rPr>
        <w:t xml:space="preserve">.1 托管项目范围内，进行节能改造，乙方应制定专项或者综合节能改造方案</w:t>
      </w: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rPr>
        <w:t xml:space="preserve">甲、乙双方应就改造的范围，拟使用的节能技术、产品，投资数额，投资形成的资产所有权，施工时间等问题进行协商，乙</w:t>
      </w:r>
      <w:r>
        <w:rPr>
          <w:rFonts w:hint="eastAsia" w:ascii="宋体" w:hAnsi="宋体" w:eastAsia="宋体" w:cs="Courier New"/>
          <w:b w:val="0"/>
          <w:bCs/>
          <w:color w:val="000000"/>
          <w:sz w:val="24"/>
          <w:szCs w:val="24"/>
          <w:highlight w:val="none"/>
        </w:rPr>
        <w:t xml:space="preserve">方在前述基础上就节能改造事项制定专项方案，并经甲方签字、盖章确认方可实施。</w:t>
      </w:r>
      <w:r>
        <w:rPr>
          <w:rFonts w:hint="eastAsia" w:ascii="宋体" w:hAnsi="宋体" w:eastAsia="宋体" w:cs="Courier New"/>
          <w:b w:val="0"/>
          <w:bCs/>
          <w:color w:val="000000"/>
          <w:sz w:val="24"/>
          <w:szCs w:val="24"/>
          <w:highlight w:val="none"/>
        </w:rPr>
      </w:r>
      <w:r/>
    </w:p>
    <w:p>
      <w:pPr>
        <w:pStyle w:val="1023"/>
        <w:ind w:firstLine="480"/>
        <w:spacing w:line="440" w:lineRule="exact"/>
        <w:rPr>
          <w:rFonts w:hint="eastAsia" w:ascii="宋体" w:hAnsi="宋体" w:eastAsia="宋体" w:cs="Courier New"/>
          <w:b w:val="0"/>
          <w:bCs/>
          <w:color w:val="000000"/>
          <w:sz w:val="24"/>
          <w:szCs w:val="24"/>
          <w:highlight w:val="none"/>
        </w:rPr>
      </w:pPr>
      <w:r>
        <w:rPr>
          <w:rFonts w:hint="eastAsia" w:ascii="宋体" w:hAnsi="宋体" w:eastAsia="宋体" w:cs="Courier New"/>
          <w:b w:val="0"/>
          <w:bCs/>
          <w:color w:val="000000"/>
          <w:sz w:val="24"/>
          <w:szCs w:val="24"/>
          <w:highlight w:val="none"/>
        </w:rPr>
        <w:t xml:space="preserve">1</w:t>
      </w:r>
      <w:r>
        <w:rPr>
          <w:rFonts w:hint="eastAsia" w:ascii="宋体" w:hAnsi="宋体" w:eastAsia="宋体" w:cs="Courier New"/>
          <w:b w:val="0"/>
          <w:bCs/>
          <w:color w:val="000000"/>
          <w:sz w:val="24"/>
          <w:szCs w:val="24"/>
          <w:highlight w:val="none"/>
          <w:lang w:val="en-US" w:eastAsia="zh-CN"/>
        </w:rPr>
        <w:t xml:space="preserve">0</w:t>
      </w:r>
      <w:r>
        <w:rPr>
          <w:rFonts w:hint="eastAsia" w:ascii="宋体" w:hAnsi="宋体" w:eastAsia="宋体" w:cs="Courier New"/>
          <w:b w:val="0"/>
          <w:bCs/>
          <w:color w:val="000000"/>
          <w:sz w:val="24"/>
          <w:szCs w:val="24"/>
          <w:highlight w:val="none"/>
        </w:rPr>
        <w:t xml:space="preserve">.2 节能改造所需投资和收益由甲乙双方本着经济合理性的原则协商确定。</w:t>
      </w:r>
      <w:r>
        <w:rPr>
          <w:rFonts w:hint="eastAsia" w:ascii="宋体" w:hAnsi="宋体" w:eastAsia="宋体" w:cs="Courier New"/>
          <w:b w:val="0"/>
          <w:bCs/>
          <w:color w:val="000000"/>
          <w:sz w:val="24"/>
          <w:szCs w:val="24"/>
          <w:highlight w:val="none"/>
        </w:rPr>
      </w:r>
      <w:r/>
    </w:p>
    <w:p>
      <w:pPr>
        <w:pStyle w:val="1023"/>
        <w:ind w:firstLine="480"/>
        <w:spacing w:line="440" w:lineRule="exact"/>
        <w:rPr>
          <w:rFonts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10.3乙方合同签订需制定详细、专门针对本项目出具的节能改造方案，经甲方书面认可后方可实施，方案确认无误后365天内完成全部改造并通过审计及验收。</w:t>
      </w:r>
      <w:r>
        <w:rPr>
          <w:rFonts w:ascii="宋体" w:hAnsi="宋体" w:eastAsia="宋体" w:cs="Courier New"/>
          <w:b w:val="0"/>
          <w:bCs/>
          <w:color w:val="000000"/>
          <w:sz w:val="24"/>
          <w:szCs w:val="24"/>
          <w:highlight w:val="none"/>
          <w:lang w:val="en-US" w:eastAsia="zh-CN"/>
        </w:rPr>
      </w:r>
      <w:r/>
    </w:p>
    <w:p>
      <w:pPr>
        <w:pStyle w:val="1023"/>
        <w:spacing w:line="440" w:lineRule="exact"/>
        <w:rPr>
          <w:rFonts w:hAnsi="宋体"/>
          <w:b/>
          <w:bCs w:val="0"/>
          <w:color w:val="000000"/>
          <w:sz w:val="24"/>
          <w:szCs w:val="24"/>
          <w:highlight w:val="none"/>
        </w:rPr>
      </w:pPr>
      <w:r>
        <w:rPr>
          <w:rFonts w:hint="eastAsia" w:hAnsi="宋体"/>
          <w:b/>
          <w:bCs w:val="0"/>
          <w:color w:val="000000"/>
          <w:sz w:val="24"/>
          <w:szCs w:val="24"/>
          <w:highlight w:val="none"/>
          <w:lang w:eastAsia="zh-CN"/>
        </w:rPr>
        <w:t xml:space="preserve">十一、</w:t>
      </w:r>
      <w:r>
        <w:rPr>
          <w:rFonts w:hint="eastAsia" w:hAnsi="宋体"/>
          <w:b/>
          <w:bCs w:val="0"/>
          <w:color w:val="000000"/>
          <w:sz w:val="24"/>
          <w:szCs w:val="24"/>
          <w:highlight w:val="none"/>
        </w:rPr>
        <w:t xml:space="preserve">安全生产和环境保护</w:t>
      </w:r>
      <w:r>
        <w:rPr>
          <w:rFonts w:hAnsi="宋体"/>
          <w:b/>
          <w:bCs w:val="0"/>
          <w:color w:val="000000"/>
          <w:sz w:val="24"/>
          <w:szCs w:val="24"/>
          <w:highlight w:val="none"/>
        </w:rPr>
      </w:r>
      <w:r/>
    </w:p>
    <w:p>
      <w:pPr>
        <w:pStyle w:val="1023"/>
        <w:ind w:firstLine="480"/>
        <w:spacing w:line="440" w:lineRule="exact"/>
        <w:rPr>
          <w:rFonts w:hAnsi="宋体"/>
          <w:b w:val="0"/>
          <w:bCs/>
          <w:color w:val="000000"/>
          <w:sz w:val="24"/>
          <w:szCs w:val="24"/>
          <w:highlight w:val="none"/>
        </w:rPr>
      </w:pPr>
      <w:r>
        <w:rPr>
          <w:rFonts w:hint="eastAsia" w:hAnsi="宋体"/>
          <w:b w:val="0"/>
          <w:bCs/>
          <w:color w:val="000000"/>
          <w:sz w:val="24"/>
          <w:szCs w:val="24"/>
          <w:highlight w:val="none"/>
          <w:lang w:val="en-US" w:eastAsia="zh-CN"/>
        </w:rPr>
        <w:t xml:space="preserve">11.1 </w:t>
      </w:r>
      <w:r>
        <w:rPr>
          <w:rFonts w:hint="eastAsia" w:hAnsi="宋体"/>
          <w:b w:val="0"/>
          <w:bCs/>
          <w:color w:val="000000"/>
          <w:sz w:val="24"/>
          <w:szCs w:val="24"/>
          <w:highlight w:val="none"/>
        </w:rPr>
        <w:t xml:space="preserve">乙方在运营管理过程中应严格遵守能源管理使用的法律、法规、规章制度，因违章操作或不尽职尽责导致在运行期间出现安全事故和经济损失由乙方负责。</w:t>
      </w:r>
      <w:r>
        <w:rPr>
          <w:rFonts w:hAnsi="宋体"/>
          <w:b w:val="0"/>
          <w:bCs/>
          <w:color w:val="000000"/>
          <w:sz w:val="24"/>
          <w:szCs w:val="24"/>
          <w:highlight w:val="none"/>
        </w:rPr>
      </w:r>
      <w:r/>
    </w:p>
    <w:p>
      <w:pPr>
        <w:pStyle w:val="1023"/>
        <w:ind w:firstLine="480"/>
        <w:spacing w:line="440" w:lineRule="exact"/>
        <w:rPr>
          <w:rFonts w:hint="eastAsia" w:ascii="宋体" w:hAnsi="宋体" w:eastAsia="宋体" w:cs="Courier New"/>
          <w:b w:val="0"/>
          <w:bCs/>
          <w:color w:val="000000"/>
          <w:sz w:val="24"/>
          <w:szCs w:val="24"/>
          <w:highlight w:val="none"/>
        </w:rPr>
      </w:pPr>
      <w:r>
        <w:rPr>
          <w:rFonts w:hint="eastAsia" w:hAnsi="宋体"/>
          <w:b w:val="0"/>
          <w:bCs/>
          <w:color w:val="000000"/>
          <w:sz w:val="24"/>
          <w:szCs w:val="24"/>
          <w:highlight w:val="none"/>
          <w:lang w:val="en-US" w:eastAsia="zh-CN"/>
        </w:rPr>
        <w:t xml:space="preserve">11.2 </w:t>
      </w:r>
      <w:r>
        <w:rPr>
          <w:rFonts w:hint="eastAsia" w:hAnsi="宋体"/>
          <w:b w:val="0"/>
          <w:bCs/>
          <w:color w:val="000000"/>
          <w:sz w:val="24"/>
          <w:szCs w:val="24"/>
          <w:highlight w:val="none"/>
        </w:rPr>
        <w:t xml:space="preserve">乙方进行的节能改造部分，由于乙方原因导致改造自身存在系统缺陷或施工质量导致安全事故</w:t>
      </w:r>
      <w:r>
        <w:rPr>
          <w:rFonts w:hint="eastAsia" w:ascii="宋体" w:hAnsi="宋体" w:eastAsia="宋体" w:cs="Courier New"/>
          <w:b w:val="0"/>
          <w:bCs/>
          <w:color w:val="000000"/>
          <w:sz w:val="24"/>
          <w:szCs w:val="24"/>
          <w:highlight w:val="none"/>
        </w:rPr>
        <w:t xml:space="preserve">和经济损失由乙方负责。</w:t>
      </w:r>
      <w:r>
        <w:rPr>
          <w:rFonts w:hint="eastAsia" w:ascii="宋体" w:hAnsi="宋体" w:eastAsia="宋体" w:cs="Courier New"/>
          <w:b w:val="0"/>
          <w:bCs/>
          <w:color w:val="000000"/>
          <w:sz w:val="24"/>
          <w:szCs w:val="24"/>
          <w:highlight w:val="none"/>
        </w:rPr>
      </w:r>
      <w:r/>
    </w:p>
    <w:p>
      <w:pPr>
        <w:pStyle w:val="1023"/>
        <w:ind w:firstLine="480"/>
        <w:spacing w:line="440" w:lineRule="exact"/>
        <w:rPr>
          <w:rFonts w:hint="eastAsia" w:ascii="宋体" w:hAnsi="宋体" w:eastAsia="宋体" w:cs="Courier New"/>
          <w:b w:val="0"/>
          <w:bCs/>
          <w:color w:val="000000"/>
          <w:sz w:val="24"/>
          <w:szCs w:val="24"/>
          <w:highlight w:val="none"/>
        </w:rPr>
      </w:pPr>
      <w:r>
        <w:rPr>
          <w:rFonts w:hint="eastAsia" w:ascii="宋体" w:hAnsi="宋体" w:eastAsia="宋体" w:cs="Courier New"/>
          <w:b w:val="0"/>
          <w:bCs/>
          <w:color w:val="000000"/>
          <w:sz w:val="24"/>
          <w:szCs w:val="24"/>
          <w:highlight w:val="none"/>
        </w:rPr>
        <w:t xml:space="preserve">1</w:t>
      </w:r>
      <w:r>
        <w:rPr>
          <w:rFonts w:hint="eastAsia" w:ascii="宋体" w:hAnsi="宋体" w:eastAsia="宋体" w:cs="Courier New"/>
          <w:b w:val="0"/>
          <w:bCs/>
          <w:color w:val="000000"/>
          <w:sz w:val="24"/>
          <w:szCs w:val="24"/>
          <w:highlight w:val="none"/>
          <w:lang w:val="en-US" w:eastAsia="zh-CN"/>
        </w:rPr>
        <w:t xml:space="preserve">1</w:t>
      </w:r>
      <w:r>
        <w:rPr>
          <w:rFonts w:hint="eastAsia" w:ascii="宋体" w:hAnsi="宋体" w:eastAsia="宋体" w:cs="Courier New"/>
          <w:b w:val="0"/>
          <w:bCs/>
          <w:color w:val="000000"/>
          <w:sz w:val="24"/>
          <w:szCs w:val="24"/>
          <w:highlight w:val="none"/>
        </w:rPr>
        <w:t xml:space="preserve">.3 针对安全生产和环境保护，甲、乙双方应制定专项规范，划分相关的责任。</w:t>
      </w:r>
      <w:r>
        <w:rPr>
          <w:rFonts w:hint="eastAsia" w:ascii="宋体" w:hAnsi="宋体" w:eastAsia="宋体" w:cs="Courier New"/>
          <w:b w:val="0"/>
          <w:bCs/>
          <w:color w:val="000000"/>
          <w:sz w:val="24"/>
          <w:szCs w:val="24"/>
          <w:highlight w:val="none"/>
        </w:rPr>
      </w:r>
      <w:r/>
    </w:p>
    <w:p>
      <w:pPr>
        <w:pStyle w:val="1023"/>
        <w:spacing w:line="440" w:lineRule="exact"/>
        <w:rPr>
          <w:rFonts w:hint="eastAsia" w:hAnsi="宋体" w:eastAsia="宋体"/>
          <w:b/>
          <w:color w:val="000000"/>
          <w:sz w:val="24"/>
          <w:szCs w:val="24"/>
          <w:highlight w:val="none"/>
          <w:lang w:eastAsia="zh-CN"/>
        </w:rPr>
      </w:pPr>
      <w:r>
        <w:rPr>
          <w:rFonts w:hint="eastAsia" w:hAnsi="宋体"/>
          <w:b/>
          <w:color w:val="000000"/>
          <w:sz w:val="24"/>
          <w:szCs w:val="24"/>
          <w:highlight w:val="none"/>
          <w:lang w:eastAsia="zh-CN"/>
        </w:rPr>
        <w:t xml:space="preserve">十二、甲乙双方应尽义务</w:t>
      </w:r>
      <w:r>
        <w:rPr>
          <w:rFonts w:hint="eastAsia" w:hAnsi="宋体" w:eastAsia="宋体"/>
          <w:b/>
          <w:color w:val="000000"/>
          <w:sz w:val="24"/>
          <w:szCs w:val="24"/>
          <w:highlight w:val="none"/>
          <w:lang w:eastAsia="zh-CN"/>
        </w:rPr>
      </w:r>
      <w:r/>
    </w:p>
    <w:p>
      <w:pPr>
        <w:pStyle w:val="1023"/>
        <w:ind w:firstLine="480"/>
        <w:spacing w:line="440" w:lineRule="exact"/>
        <w:rPr>
          <w:rFonts w:hint="eastAsia" w:hAnsi="宋体"/>
          <w:b w:val="0"/>
          <w:bCs/>
          <w:color w:val="000000"/>
          <w:sz w:val="24"/>
          <w:szCs w:val="24"/>
          <w:highlight w:val="none"/>
          <w:lang w:val="en-US" w:eastAsia="zh-CN"/>
        </w:rPr>
      </w:pPr>
      <w:r>
        <w:rPr>
          <w:rFonts w:hint="eastAsia" w:hAnsi="宋体"/>
          <w:b w:val="0"/>
          <w:bCs/>
          <w:color w:val="000000"/>
          <w:sz w:val="24"/>
          <w:szCs w:val="24"/>
          <w:highlight w:val="none"/>
          <w:lang w:val="en-US" w:eastAsia="zh-CN"/>
        </w:rPr>
        <w:t xml:space="preserve">12.1甲方的义务</w:t>
      </w:r>
      <w:r>
        <w:rPr>
          <w:rFonts w:hint="eastAsia" w:hAnsi="宋体"/>
          <w:b w:val="0"/>
          <w:bCs/>
          <w:color w:val="000000"/>
          <w:sz w:val="24"/>
          <w:szCs w:val="24"/>
          <w:highlight w:val="none"/>
          <w:lang w:val="en-US" w:eastAsia="zh-CN"/>
        </w:rPr>
      </w:r>
      <w:r/>
    </w:p>
    <w:p>
      <w:pPr>
        <w:pStyle w:val="1023"/>
        <w:numPr>
          <w:ilvl w:val="0"/>
          <w:numId w:val="7"/>
        </w:numPr>
        <w:ind w:firstLine="480"/>
        <w:spacing w:line="440" w:lineRule="exact"/>
        <w:rPr>
          <w:rFonts w:hint="eastAsia" w:hAnsi="宋体"/>
          <w:b w:val="0"/>
          <w:bCs/>
          <w:color w:val="000000"/>
          <w:sz w:val="24"/>
          <w:szCs w:val="24"/>
          <w:highlight w:val="none"/>
          <w:lang w:val="en-US" w:eastAsia="zh-CN"/>
        </w:rPr>
      </w:pPr>
      <w:r>
        <w:rPr>
          <w:rFonts w:hint="eastAsia" w:hAnsi="宋体"/>
          <w:b w:val="0"/>
          <w:bCs/>
          <w:color w:val="000000"/>
          <w:sz w:val="24"/>
          <w:szCs w:val="24"/>
          <w:highlight w:val="none"/>
          <w:lang w:val="en-US" w:eastAsia="zh-CN"/>
        </w:rPr>
        <w:t xml:space="preserve">如根据相关的法律法规，本项目的实施必须由甲方向相应的政府机构或者其他第三方申请许可、同意或者批准，甲方应当根据乙方的请求，及时申请该等许可、同意或者是批准，并在本合同期间保持其有效性。甲方也应当根据乙方的合理要求，协助其获得其他为实施本项目所必需的许可、同意或者是批准。</w:t>
      </w:r>
      <w:r>
        <w:rPr>
          <w:rFonts w:hint="eastAsia" w:hAnsi="宋体"/>
          <w:b w:val="0"/>
          <w:bCs/>
          <w:color w:val="000000"/>
          <w:sz w:val="24"/>
          <w:szCs w:val="24"/>
          <w:highlight w:val="none"/>
          <w:lang w:val="en-US" w:eastAsia="zh-CN"/>
        </w:rPr>
      </w:r>
      <w:r/>
    </w:p>
    <w:p>
      <w:pPr>
        <w:pStyle w:val="1023"/>
        <w:numPr>
          <w:ilvl w:val="0"/>
          <w:numId w:val="7"/>
        </w:numPr>
        <w:ind w:firstLine="480"/>
        <w:spacing w:line="440" w:lineRule="exact"/>
        <w:rPr>
          <w:rFonts w:hint="eastAsia" w:hAnsi="宋体"/>
          <w:b w:val="0"/>
          <w:bCs/>
          <w:color w:val="000000"/>
          <w:sz w:val="24"/>
          <w:szCs w:val="24"/>
          <w:highlight w:val="none"/>
          <w:lang w:val="en-US" w:eastAsia="zh-CN"/>
        </w:rPr>
      </w:pPr>
      <w:r>
        <w:rPr>
          <w:rFonts w:hint="eastAsia" w:hAnsi="宋体"/>
          <w:b w:val="0"/>
          <w:bCs/>
          <w:color w:val="000000"/>
          <w:sz w:val="24"/>
          <w:szCs w:val="24"/>
          <w:highlight w:val="none"/>
          <w:lang w:val="en-US" w:eastAsia="zh-CN"/>
        </w:rPr>
        <w:t xml:space="preserve">甲方应当根据乙方的合理要求，尽可能提供改造项目设计和实施所必须的资料和数据，并确保其真实、准确、完整。</w:t>
      </w:r>
      <w:r>
        <w:rPr>
          <w:rFonts w:hint="eastAsia" w:hAnsi="宋体"/>
          <w:b w:val="0"/>
          <w:bCs/>
          <w:color w:val="000000"/>
          <w:sz w:val="24"/>
          <w:szCs w:val="24"/>
          <w:highlight w:val="none"/>
          <w:lang w:val="en-US" w:eastAsia="zh-CN"/>
        </w:rPr>
      </w:r>
      <w:r/>
    </w:p>
    <w:p>
      <w:pPr>
        <w:pStyle w:val="1023"/>
        <w:numPr>
          <w:ilvl w:val="0"/>
          <w:numId w:val="7"/>
        </w:numPr>
        <w:ind w:firstLine="480"/>
        <w:spacing w:line="440" w:lineRule="exact"/>
        <w:rPr>
          <w:rFonts w:hint="eastAsia" w:hAnsi="宋体"/>
          <w:b w:val="0"/>
          <w:bCs/>
          <w:color w:val="000000"/>
          <w:sz w:val="24"/>
          <w:szCs w:val="24"/>
          <w:highlight w:val="none"/>
          <w:lang w:val="en-US" w:eastAsia="zh-CN"/>
        </w:rPr>
      </w:pPr>
      <w:r>
        <w:rPr>
          <w:rFonts w:hint="eastAsia" w:hAnsi="宋体"/>
          <w:b w:val="0"/>
          <w:bCs/>
          <w:color w:val="000000"/>
          <w:sz w:val="24"/>
          <w:szCs w:val="24"/>
          <w:highlight w:val="none"/>
          <w:lang w:val="en-US" w:eastAsia="zh-CN"/>
        </w:rPr>
        <w:t xml:space="preserve">甲方应提供项目实施所需要的现场条件和必要的协助，如清理施工现场、合理调整办公、设备试运行等。</w:t>
      </w:r>
      <w:r>
        <w:rPr>
          <w:rFonts w:hint="eastAsia" w:hAnsi="宋体"/>
          <w:b w:val="0"/>
          <w:bCs/>
          <w:color w:val="000000"/>
          <w:sz w:val="24"/>
          <w:szCs w:val="24"/>
          <w:highlight w:val="none"/>
          <w:lang w:val="en-US" w:eastAsia="zh-CN"/>
        </w:rPr>
      </w:r>
      <w:r/>
    </w:p>
    <w:p>
      <w:pPr>
        <w:pStyle w:val="1023"/>
        <w:numPr>
          <w:ilvl w:val="0"/>
          <w:numId w:val="7"/>
        </w:numPr>
        <w:ind w:firstLine="480"/>
        <w:spacing w:line="440" w:lineRule="exact"/>
        <w:rPr>
          <w:rFonts w:hint="eastAsia" w:hAnsi="宋体"/>
          <w:b w:val="0"/>
          <w:bCs/>
          <w:color w:val="000000"/>
          <w:sz w:val="24"/>
          <w:szCs w:val="24"/>
          <w:highlight w:val="none"/>
          <w:lang w:val="en-US" w:eastAsia="zh-CN"/>
        </w:rPr>
      </w:pPr>
      <w:r>
        <w:rPr>
          <w:rFonts w:hint="eastAsia" w:hAnsi="宋体"/>
          <w:b w:val="0"/>
          <w:bCs/>
          <w:color w:val="000000"/>
          <w:sz w:val="24"/>
          <w:szCs w:val="24"/>
          <w:highlight w:val="none"/>
          <w:lang w:val="en-US" w:eastAsia="zh-CN"/>
        </w:rPr>
        <w:t xml:space="preserve">甲方应会同乙方就改造项目实施前对被改造设备进行检查，确保改造前设备完好，运行正常。</w:t>
      </w:r>
      <w:r>
        <w:rPr>
          <w:rFonts w:hint="eastAsia" w:hAnsi="宋体"/>
          <w:b w:val="0"/>
          <w:bCs/>
          <w:color w:val="000000"/>
          <w:sz w:val="24"/>
          <w:szCs w:val="24"/>
          <w:highlight w:val="none"/>
          <w:lang w:val="en-US" w:eastAsia="zh-CN"/>
        </w:rPr>
      </w:r>
      <w:r/>
    </w:p>
    <w:p>
      <w:pPr>
        <w:pStyle w:val="1023"/>
        <w:numPr>
          <w:ilvl w:val="0"/>
          <w:numId w:val="7"/>
        </w:numPr>
        <w:ind w:firstLine="480"/>
        <w:spacing w:line="440" w:lineRule="exact"/>
        <w:rPr>
          <w:rFonts w:hint="eastAsia" w:hAnsi="宋体"/>
          <w:b w:val="0"/>
          <w:bCs/>
          <w:color w:val="000000"/>
          <w:sz w:val="24"/>
          <w:szCs w:val="24"/>
          <w:highlight w:val="none"/>
          <w:lang w:val="en-US" w:eastAsia="zh-CN"/>
        </w:rPr>
      </w:pPr>
      <w:r>
        <w:rPr>
          <w:rFonts w:hint="eastAsia" w:hAnsi="宋体"/>
          <w:b w:val="0"/>
          <w:bCs/>
          <w:color w:val="000000"/>
          <w:sz w:val="24"/>
          <w:szCs w:val="24"/>
          <w:highlight w:val="none"/>
          <w:lang w:val="en-US" w:eastAsia="zh-CN"/>
        </w:rPr>
        <w:t xml:space="preserve">根据相关规定，甲方指派或委托物业公司具有一定专业的操作人员，参加由乙方指定专业人员实施的培训。</w:t>
      </w:r>
      <w:r>
        <w:rPr>
          <w:rFonts w:hint="eastAsia" w:hAnsi="宋体"/>
          <w:b w:val="0"/>
          <w:bCs/>
          <w:color w:val="000000"/>
          <w:sz w:val="24"/>
          <w:szCs w:val="24"/>
          <w:highlight w:val="none"/>
          <w:lang w:val="en-US" w:eastAsia="zh-CN"/>
        </w:rPr>
      </w:r>
      <w:r/>
    </w:p>
    <w:p>
      <w:pPr>
        <w:pStyle w:val="1023"/>
        <w:numPr>
          <w:ilvl w:val="0"/>
          <w:numId w:val="7"/>
        </w:numPr>
        <w:ind w:firstLine="480"/>
        <w:spacing w:line="440" w:lineRule="exact"/>
        <w:rPr>
          <w:rFonts w:hint="eastAsia" w:hAnsi="宋体"/>
          <w:b w:val="0"/>
          <w:bCs/>
          <w:color w:val="000000"/>
          <w:sz w:val="24"/>
          <w:szCs w:val="24"/>
          <w:highlight w:val="none"/>
          <w:lang w:val="en-US" w:eastAsia="zh-CN"/>
        </w:rPr>
      </w:pPr>
      <w:r>
        <w:rPr>
          <w:rFonts w:hint="eastAsia" w:hAnsi="宋体"/>
          <w:b w:val="0"/>
          <w:bCs/>
          <w:color w:val="000000"/>
          <w:sz w:val="24"/>
          <w:szCs w:val="24"/>
          <w:highlight w:val="none"/>
          <w:lang w:val="en-US" w:eastAsia="zh-CN"/>
        </w:rPr>
        <w:t xml:space="preserve">甲方应根据项目方案的相关规定，及时协助乙方完成项目的试运行和验收。</w:t>
      </w:r>
      <w:r>
        <w:rPr>
          <w:rFonts w:hint="eastAsia" w:hAnsi="宋体"/>
          <w:b w:val="0"/>
          <w:bCs/>
          <w:color w:val="000000"/>
          <w:sz w:val="24"/>
          <w:szCs w:val="24"/>
          <w:highlight w:val="none"/>
          <w:lang w:val="en-US" w:eastAsia="zh-CN"/>
        </w:rPr>
      </w:r>
      <w:r/>
    </w:p>
    <w:p>
      <w:pPr>
        <w:pStyle w:val="1023"/>
        <w:numPr>
          <w:ilvl w:val="0"/>
          <w:numId w:val="7"/>
        </w:numPr>
        <w:ind w:firstLine="480"/>
        <w:spacing w:line="440" w:lineRule="exact"/>
        <w:rPr>
          <w:rFonts w:hint="eastAsia" w:hAnsi="宋体"/>
          <w:b w:val="0"/>
          <w:bCs/>
          <w:color w:val="000000"/>
          <w:sz w:val="24"/>
          <w:szCs w:val="24"/>
          <w:highlight w:val="none"/>
          <w:lang w:val="en-US" w:eastAsia="zh-CN"/>
        </w:rPr>
      </w:pPr>
      <w:r>
        <w:rPr>
          <w:rFonts w:hint="eastAsia" w:hAnsi="宋体"/>
          <w:b w:val="0"/>
          <w:bCs/>
          <w:color w:val="000000"/>
          <w:sz w:val="24"/>
          <w:szCs w:val="24"/>
          <w:highlight w:val="none"/>
          <w:lang w:val="en-US" w:eastAsia="zh-CN"/>
        </w:rPr>
        <w:t xml:space="preserve">在合同有效期内，甲方指派或委托物业公司对设备运行、维修和保养定期作出记录并妥善保存10年。甲方应根据乙方的合理要求，协助相关数据的查阅。</w:t>
      </w:r>
      <w:r>
        <w:rPr>
          <w:rFonts w:hint="eastAsia" w:hAnsi="宋体"/>
          <w:b w:val="0"/>
          <w:bCs/>
          <w:color w:val="000000"/>
          <w:sz w:val="24"/>
          <w:szCs w:val="24"/>
          <w:highlight w:val="none"/>
          <w:lang w:val="en-US" w:eastAsia="zh-CN"/>
        </w:rPr>
      </w:r>
      <w:r/>
    </w:p>
    <w:p>
      <w:pPr>
        <w:pStyle w:val="1023"/>
        <w:numPr>
          <w:ilvl w:val="0"/>
          <w:numId w:val="7"/>
        </w:numPr>
        <w:ind w:firstLine="480"/>
        <w:spacing w:line="440" w:lineRule="exact"/>
        <w:rPr>
          <w:rFonts w:hint="eastAsia" w:hAnsi="宋体"/>
          <w:b w:val="0"/>
          <w:bCs/>
          <w:color w:val="000000"/>
          <w:sz w:val="24"/>
          <w:szCs w:val="24"/>
          <w:highlight w:val="none"/>
          <w:lang w:val="en-US" w:eastAsia="zh-CN"/>
        </w:rPr>
      </w:pPr>
      <w:r>
        <w:rPr>
          <w:rFonts w:hint="eastAsia" w:hAnsi="宋体"/>
          <w:b w:val="0"/>
          <w:bCs/>
          <w:color w:val="000000"/>
          <w:sz w:val="24"/>
          <w:szCs w:val="24"/>
          <w:highlight w:val="none"/>
          <w:lang w:val="en-US" w:eastAsia="zh-CN"/>
        </w:rPr>
        <w:t xml:space="preserve">能源费用托管期间，如乙方改造设备发生故障、损坏和丢失，甲方应配合乙方对设备进行维修和监管，相关费用由乙方承担（因甲方原因导致的除外）。</w:t>
      </w:r>
      <w:r>
        <w:rPr>
          <w:rFonts w:hint="eastAsia" w:hAnsi="宋体"/>
          <w:b w:val="0"/>
          <w:bCs/>
          <w:color w:val="000000"/>
          <w:sz w:val="24"/>
          <w:szCs w:val="24"/>
          <w:highlight w:val="none"/>
          <w:lang w:val="en-US" w:eastAsia="zh-CN"/>
        </w:rPr>
      </w:r>
      <w:r/>
    </w:p>
    <w:p>
      <w:pPr>
        <w:pStyle w:val="1023"/>
        <w:numPr>
          <w:ilvl w:val="0"/>
          <w:numId w:val="7"/>
        </w:numPr>
        <w:ind w:firstLine="480"/>
        <w:spacing w:line="440" w:lineRule="exact"/>
        <w:rPr>
          <w:rFonts w:hint="eastAsia" w:hAnsi="宋体"/>
          <w:b w:val="0"/>
          <w:bCs/>
          <w:color w:val="000000"/>
          <w:sz w:val="24"/>
          <w:szCs w:val="24"/>
          <w:highlight w:val="none"/>
          <w:lang w:val="en-US" w:eastAsia="zh-CN"/>
        </w:rPr>
      </w:pPr>
      <w:r>
        <w:rPr>
          <w:rFonts w:hint="eastAsia" w:hAnsi="宋体"/>
          <w:b w:val="0"/>
          <w:bCs/>
          <w:color w:val="000000"/>
          <w:sz w:val="24"/>
          <w:szCs w:val="24"/>
          <w:highlight w:val="none"/>
          <w:lang w:val="en-US" w:eastAsia="zh-CN"/>
        </w:rPr>
        <w:t xml:space="preserve">甲方应按照乙方提出的用能建议，树立节能意识，养成良好的用能习惯，合理利用能源，杜绝浪费。</w:t>
      </w:r>
      <w:r>
        <w:rPr>
          <w:rFonts w:hint="eastAsia" w:hAnsi="宋体"/>
          <w:b w:val="0"/>
          <w:bCs/>
          <w:color w:val="000000"/>
          <w:sz w:val="24"/>
          <w:szCs w:val="24"/>
          <w:highlight w:val="none"/>
          <w:lang w:val="en-US" w:eastAsia="zh-CN"/>
        </w:rPr>
      </w:r>
      <w:r/>
    </w:p>
    <w:p>
      <w:pPr>
        <w:pStyle w:val="1023"/>
        <w:numPr>
          <w:ilvl w:val="0"/>
          <w:numId w:val="7"/>
        </w:numPr>
        <w:ind w:firstLine="480"/>
        <w:spacing w:line="440" w:lineRule="exact"/>
        <w:rPr>
          <w:rFonts w:hint="eastAsia" w:hAnsi="宋体"/>
          <w:b w:val="0"/>
          <w:bCs/>
          <w:color w:val="000000"/>
          <w:sz w:val="24"/>
          <w:szCs w:val="24"/>
          <w:highlight w:val="none"/>
          <w:lang w:val="en-US" w:eastAsia="zh-CN"/>
        </w:rPr>
      </w:pPr>
      <w:r>
        <w:rPr>
          <w:rFonts w:hint="eastAsia" w:hAnsi="宋体"/>
          <w:b w:val="0"/>
          <w:bCs/>
          <w:color w:val="000000"/>
          <w:sz w:val="24"/>
          <w:szCs w:val="24"/>
          <w:highlight w:val="none"/>
          <w:lang w:val="en-US" w:eastAsia="zh-CN"/>
        </w:rPr>
        <w:t xml:space="preserve">甲方应当将与项目有关的其内部规章制度和特殊安全规定要求及时提前告知乙方、乙方的工作人员或其聘请的第三方，乙方自行配备必要的防护用品。</w:t>
      </w:r>
      <w:r>
        <w:rPr>
          <w:rFonts w:hint="eastAsia" w:hAnsi="宋体"/>
          <w:b w:val="0"/>
          <w:bCs/>
          <w:color w:val="000000"/>
          <w:sz w:val="24"/>
          <w:szCs w:val="24"/>
          <w:highlight w:val="none"/>
          <w:lang w:val="en-US" w:eastAsia="zh-CN"/>
        </w:rPr>
      </w:r>
      <w:r/>
    </w:p>
    <w:p>
      <w:pPr>
        <w:pStyle w:val="1023"/>
        <w:numPr>
          <w:ilvl w:val="0"/>
          <w:numId w:val="7"/>
        </w:numPr>
        <w:ind w:firstLine="480"/>
        <w:spacing w:line="440" w:lineRule="exact"/>
        <w:rPr>
          <w:rFonts w:hint="eastAsia" w:hAnsi="宋体"/>
          <w:b w:val="0"/>
          <w:bCs/>
          <w:color w:val="000000"/>
          <w:sz w:val="24"/>
          <w:szCs w:val="24"/>
          <w:highlight w:val="none"/>
          <w:lang w:val="en-US" w:eastAsia="zh-CN"/>
        </w:rPr>
      </w:pPr>
      <w:r>
        <w:rPr>
          <w:rFonts w:hint="eastAsia" w:hAnsi="宋体"/>
          <w:b w:val="0"/>
          <w:bCs/>
          <w:color w:val="000000"/>
          <w:sz w:val="24"/>
          <w:szCs w:val="24"/>
          <w:highlight w:val="none"/>
          <w:lang w:val="en-US" w:eastAsia="zh-CN"/>
        </w:rPr>
        <w:t xml:space="preserve">合同有效期内甲方不得自行改造或加装用能设施。确实需要改造或加装的，需与乙方协商后实施。</w:t>
      </w:r>
      <w:r>
        <w:rPr>
          <w:rFonts w:hint="eastAsia" w:hAnsi="宋体"/>
          <w:b w:val="0"/>
          <w:bCs/>
          <w:color w:val="000000"/>
          <w:sz w:val="24"/>
          <w:szCs w:val="24"/>
          <w:highlight w:val="none"/>
          <w:lang w:val="en-US" w:eastAsia="zh-CN"/>
        </w:rPr>
      </w:r>
      <w:r/>
    </w:p>
    <w:p>
      <w:pPr>
        <w:pStyle w:val="1023"/>
        <w:numPr>
          <w:ilvl w:val="0"/>
          <w:numId w:val="7"/>
        </w:numPr>
        <w:ind w:firstLine="480"/>
        <w:spacing w:line="440" w:lineRule="exact"/>
        <w:rPr>
          <w:rFonts w:hint="eastAsia" w:hAnsi="宋体"/>
          <w:b w:val="0"/>
          <w:bCs/>
          <w:color w:val="000000"/>
          <w:sz w:val="24"/>
          <w:szCs w:val="24"/>
          <w:highlight w:val="none"/>
          <w:lang w:val="en-US" w:eastAsia="zh-CN"/>
        </w:rPr>
      </w:pPr>
      <w:r>
        <w:rPr>
          <w:rFonts w:hint="eastAsia" w:hAnsi="宋体"/>
          <w:b w:val="0"/>
          <w:bCs/>
          <w:color w:val="000000"/>
          <w:sz w:val="24"/>
          <w:szCs w:val="24"/>
          <w:highlight w:val="none"/>
          <w:lang w:val="en-US" w:eastAsia="zh-CN"/>
        </w:rPr>
        <w:t xml:space="preserve"> 甲方同意本项目范围内不再许可其他单位或个人以其他方式从事能源相关服务（即许可他人从事与乙方相竞争业务或服务）否则由此造成的乙方投资损失，甲方按实补偿。</w:t>
      </w:r>
      <w:r>
        <w:rPr>
          <w:rFonts w:hint="eastAsia" w:hAnsi="宋体"/>
          <w:b w:val="0"/>
          <w:bCs/>
          <w:color w:val="000000"/>
          <w:sz w:val="24"/>
          <w:szCs w:val="24"/>
          <w:highlight w:val="none"/>
          <w:lang w:val="en-US" w:eastAsia="zh-CN"/>
        </w:rPr>
      </w:r>
      <w:r/>
    </w:p>
    <w:p>
      <w:pPr>
        <w:pStyle w:val="1023"/>
        <w:numPr>
          <w:ilvl w:val="0"/>
          <w:numId w:val="7"/>
        </w:numPr>
        <w:ind w:firstLine="480"/>
        <w:spacing w:line="440" w:lineRule="exact"/>
        <w:rPr>
          <w:rFonts w:hint="eastAsia" w:hAnsi="宋体"/>
          <w:b w:val="0"/>
          <w:bCs/>
          <w:color w:val="000000"/>
          <w:sz w:val="24"/>
          <w:szCs w:val="24"/>
          <w:highlight w:val="none"/>
          <w:lang w:val="en-US" w:eastAsia="zh-CN"/>
        </w:rPr>
      </w:pPr>
      <w:r>
        <w:rPr>
          <w:rFonts w:hint="eastAsia" w:hAnsi="宋体"/>
          <w:b w:val="0"/>
          <w:bCs/>
          <w:color w:val="000000"/>
          <w:sz w:val="24"/>
          <w:szCs w:val="24"/>
          <w:highlight w:val="none"/>
          <w:lang w:val="en-US" w:eastAsia="zh-CN"/>
        </w:rPr>
        <w:t xml:space="preserve">其他：根据法律法规及相关政策规定，属于甲方应履行的其他义务。</w:t>
      </w:r>
      <w:r>
        <w:rPr>
          <w:rFonts w:hint="eastAsia" w:hAnsi="宋体"/>
          <w:b w:val="0"/>
          <w:bCs/>
          <w:color w:val="000000"/>
          <w:sz w:val="24"/>
          <w:szCs w:val="24"/>
          <w:highlight w:val="none"/>
          <w:lang w:val="en-US" w:eastAsia="zh-CN"/>
        </w:rPr>
      </w:r>
      <w:r/>
    </w:p>
    <w:p>
      <w:pPr>
        <w:pStyle w:val="1023"/>
        <w:ind w:firstLine="480"/>
        <w:spacing w:line="440" w:lineRule="exact"/>
        <w:rPr>
          <w:rFonts w:hAnsi="宋体" w:eastAsia="宋体"/>
          <w:b w:val="0"/>
          <w:bCs/>
          <w:color w:val="000000"/>
          <w:sz w:val="24"/>
          <w:szCs w:val="24"/>
          <w:highlight w:val="none"/>
          <w:lang w:val="en-US" w:eastAsia="zh-CN"/>
        </w:rPr>
      </w:pPr>
      <w:r>
        <w:rPr>
          <w:rFonts w:hint="eastAsia" w:hAnsi="宋体"/>
          <w:b w:val="0"/>
          <w:bCs/>
          <w:color w:val="000000"/>
          <w:sz w:val="24"/>
          <w:szCs w:val="24"/>
          <w:highlight w:val="none"/>
          <w:lang w:val="en-US" w:eastAsia="zh-CN"/>
        </w:rPr>
        <w:t xml:space="preserve">12.2乙方的义务</w:t>
      </w:r>
      <w:r>
        <w:rPr>
          <w:rFonts w:hAnsi="宋体" w:eastAsia="宋体"/>
          <w:b w:val="0"/>
          <w:bCs/>
          <w:color w:val="000000"/>
          <w:sz w:val="24"/>
          <w:szCs w:val="24"/>
          <w:highlight w:val="none"/>
          <w:lang w:val="en-US" w:eastAsia="zh-CN"/>
        </w:rPr>
      </w:r>
      <w:r/>
    </w:p>
    <w:p>
      <w:pPr>
        <w:pStyle w:val="1023"/>
        <w:ind w:firstLine="480"/>
        <w:keepLines w:val="0"/>
        <w:keepNext w:val="0"/>
        <w:pageBreakBefore w:val="0"/>
        <w:spacing w:line="440" w:lineRule="exact"/>
        <w:widowControl w:val="off"/>
        <w:rPr>
          <w:rFonts w:hint="eastAsia" w:hAnsi="宋体"/>
          <w:b w:val="0"/>
          <w:bCs/>
          <w:color w:val="000000"/>
          <w:sz w:val="24"/>
          <w:szCs w:val="24"/>
          <w:highlight w:val="none"/>
        </w:rPr>
      </w:pP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lang w:val="en-US" w:eastAsia="zh-CN"/>
        </w:rPr>
        <w:t xml:space="preserve">1</w:t>
      </w: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rPr>
        <w:t xml:space="preserve">为持续降低项目整体能耗水平，提升能源使用效率，乙方应在获得甲方的同意下，不断进行节能改造设备投入。 </w:t>
      </w:r>
      <w:r>
        <w:rPr>
          <w:rFonts w:hint="eastAsia" w:hAnsi="宋体"/>
          <w:b w:val="0"/>
          <w:bCs/>
          <w:color w:val="000000"/>
          <w:sz w:val="24"/>
          <w:szCs w:val="24"/>
          <w:highlight w:val="none"/>
        </w:rPr>
      </w:r>
      <w:r/>
    </w:p>
    <w:p>
      <w:pPr>
        <w:pStyle w:val="1023"/>
        <w:ind w:firstLine="480"/>
        <w:keepLines w:val="0"/>
        <w:keepNext w:val="0"/>
        <w:pageBreakBefore w:val="0"/>
        <w:spacing w:line="440" w:lineRule="exact"/>
        <w:widowControl w:val="off"/>
        <w:rPr>
          <w:rFonts w:hint="eastAsia" w:hAnsi="宋体"/>
          <w:b w:val="0"/>
          <w:bCs/>
          <w:color w:val="000000"/>
          <w:sz w:val="24"/>
          <w:szCs w:val="24"/>
          <w:highlight w:val="none"/>
        </w:rPr>
      </w:pP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lang w:val="en-US" w:eastAsia="zh-CN"/>
        </w:rPr>
        <w:t xml:space="preserve">2</w:t>
      </w: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rPr>
        <w:t xml:space="preserve">如根据相关的法律法规，或者是基于任何有权的第三方的要求，本项目的实施必须由乙方向相应的政府机构或者其他第三方申请许可、同意或者批准，及时申请该等许可、同意或者是批准，并在本合同期间保持其有效性。</w:t>
      </w:r>
      <w:r>
        <w:rPr>
          <w:rFonts w:hint="eastAsia" w:hAnsi="宋体"/>
          <w:b w:val="0"/>
          <w:bCs/>
          <w:color w:val="000000"/>
          <w:sz w:val="24"/>
          <w:szCs w:val="24"/>
          <w:highlight w:val="none"/>
        </w:rPr>
      </w:r>
      <w:r/>
    </w:p>
    <w:p>
      <w:pPr>
        <w:pStyle w:val="1023"/>
        <w:ind w:firstLine="480"/>
        <w:keepLines w:val="0"/>
        <w:keepNext w:val="0"/>
        <w:pageBreakBefore w:val="0"/>
        <w:spacing w:line="440" w:lineRule="exact"/>
        <w:widowControl w:val="off"/>
        <w:rPr>
          <w:rFonts w:hint="eastAsia" w:hAnsi="宋体"/>
          <w:b w:val="0"/>
          <w:bCs/>
          <w:color w:val="000000"/>
          <w:sz w:val="24"/>
          <w:szCs w:val="24"/>
          <w:highlight w:val="none"/>
        </w:rPr>
      </w:pP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lang w:val="en-US" w:eastAsia="zh-CN"/>
        </w:rPr>
        <w:t xml:space="preserve">3</w:t>
      </w: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rPr>
        <w:t xml:space="preserve">乙方应当按照相关项目方案文件规定的技术标准和要求以及本合同的规定，按时完成本项目的方案设计、建设。</w:t>
      </w:r>
      <w:r>
        <w:rPr>
          <w:rFonts w:hint="eastAsia" w:hAnsi="宋体"/>
          <w:b w:val="0"/>
          <w:bCs/>
          <w:color w:val="000000"/>
          <w:sz w:val="24"/>
          <w:szCs w:val="24"/>
          <w:highlight w:val="none"/>
        </w:rPr>
      </w:r>
      <w:r/>
    </w:p>
    <w:p>
      <w:pPr>
        <w:pStyle w:val="1023"/>
        <w:ind w:firstLine="480"/>
        <w:keepLines w:val="0"/>
        <w:keepNext w:val="0"/>
        <w:pageBreakBefore w:val="0"/>
        <w:spacing w:line="440" w:lineRule="exact"/>
        <w:widowControl w:val="off"/>
        <w:rPr>
          <w:rFonts w:hint="eastAsia" w:hAnsi="宋体"/>
          <w:b w:val="0"/>
          <w:bCs/>
          <w:color w:val="000000"/>
          <w:sz w:val="24"/>
          <w:szCs w:val="24"/>
          <w:highlight w:val="none"/>
        </w:rPr>
      </w:pP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lang w:val="en-US" w:eastAsia="zh-CN"/>
        </w:rPr>
        <w:t xml:space="preserve">4</w:t>
      </w: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rPr>
        <w:t xml:space="preserve">乙方应当确保其工作人员和其聘请的第三方严格遵守甲方有关施工场地安全和卫生等方面的规定，并听从甲方合理的现场指挥。乙方项目经理</w:t>
      </w:r>
      <w:r>
        <w:rPr>
          <w:rFonts w:hint="eastAsia" w:hAnsi="宋体"/>
          <w:b w:val="0"/>
          <w:bCs/>
          <w:color w:val="000000"/>
          <w:sz w:val="24"/>
          <w:szCs w:val="24"/>
          <w:highlight w:val="none"/>
          <w:u w:val="none"/>
        </w:rPr>
        <w:t xml:space="preserve">：</w:t>
      </w:r>
      <w:r>
        <w:rPr>
          <w:rFonts w:hint="eastAsia" w:hAnsi="宋体"/>
          <w:b w:val="0"/>
          <w:bCs/>
          <w:color w:val="000000"/>
          <w:sz w:val="24"/>
          <w:szCs w:val="24"/>
          <w:highlight w:val="none"/>
          <w:u w:val="single"/>
        </w:rPr>
        <w:t xml:space="preserve">         </w:t>
      </w:r>
      <w:r>
        <w:rPr>
          <w:rFonts w:hint="eastAsia" w:hAnsi="宋体"/>
          <w:b w:val="0"/>
          <w:bCs/>
          <w:color w:val="000000"/>
          <w:sz w:val="24"/>
          <w:szCs w:val="24"/>
          <w:highlight w:val="none"/>
        </w:rPr>
        <w:t xml:space="preserve">，身份证号</w:t>
      </w:r>
      <w:r>
        <w:rPr>
          <w:rFonts w:hint="eastAsia" w:hAnsi="宋体"/>
          <w:b w:val="0"/>
          <w:bCs/>
          <w:color w:val="000000"/>
          <w:sz w:val="24"/>
          <w:szCs w:val="24"/>
          <w:highlight w:val="none"/>
          <w:u w:val="none"/>
        </w:rPr>
        <w:t xml:space="preserve">：</w:t>
      </w:r>
      <w:r>
        <w:rPr>
          <w:rFonts w:hint="eastAsia" w:hAnsi="宋体"/>
          <w:b w:val="0"/>
          <w:bCs/>
          <w:color w:val="000000"/>
          <w:sz w:val="24"/>
          <w:szCs w:val="24"/>
          <w:highlight w:val="none"/>
          <w:u w:val="single"/>
        </w:rPr>
        <w:t xml:space="preserve">        </w:t>
      </w:r>
      <w:r>
        <w:rPr>
          <w:rFonts w:hint="eastAsia" w:hAnsi="宋体"/>
          <w:b w:val="0"/>
          <w:bCs/>
          <w:color w:val="000000"/>
          <w:sz w:val="24"/>
          <w:szCs w:val="24"/>
          <w:highlight w:val="none"/>
        </w:rPr>
        <w:t xml:space="preserve"> 。乙方项目联系人</w:t>
      </w:r>
      <w:r>
        <w:rPr>
          <w:rFonts w:hint="eastAsia" w:hAnsi="宋体"/>
          <w:b w:val="0"/>
          <w:bCs/>
          <w:color w:val="000000"/>
          <w:sz w:val="24"/>
          <w:szCs w:val="24"/>
          <w:highlight w:val="none"/>
          <w:u w:val="none"/>
        </w:rPr>
        <w:t xml:space="preserve">：</w:t>
      </w:r>
      <w:r>
        <w:rPr>
          <w:rFonts w:hint="eastAsia" w:hAnsi="宋体"/>
          <w:b w:val="0"/>
          <w:bCs/>
          <w:color w:val="000000"/>
          <w:sz w:val="24"/>
          <w:szCs w:val="24"/>
          <w:highlight w:val="none"/>
          <w:u w:val="single"/>
        </w:rPr>
        <w:t xml:space="preserve">         </w:t>
      </w:r>
      <w:r>
        <w:rPr>
          <w:rFonts w:hint="eastAsia" w:hAnsi="宋体"/>
          <w:b w:val="0"/>
          <w:bCs/>
          <w:color w:val="000000"/>
          <w:sz w:val="24"/>
          <w:szCs w:val="24"/>
          <w:highlight w:val="none"/>
        </w:rPr>
        <w:t xml:space="preserve">，联系电话</w:t>
      </w:r>
      <w:r>
        <w:rPr>
          <w:rFonts w:hint="eastAsia" w:hAnsi="宋体"/>
          <w:b w:val="0"/>
          <w:bCs/>
          <w:color w:val="000000"/>
          <w:sz w:val="24"/>
          <w:szCs w:val="24"/>
          <w:highlight w:val="none"/>
          <w:u w:val="none"/>
        </w:rPr>
        <w:t xml:space="preserve">：</w:t>
      </w:r>
      <w:r>
        <w:rPr>
          <w:rFonts w:hint="eastAsia" w:hAnsi="宋体"/>
          <w:b w:val="0"/>
          <w:bCs/>
          <w:color w:val="000000"/>
          <w:sz w:val="24"/>
          <w:szCs w:val="24"/>
          <w:highlight w:val="none"/>
          <w:u w:val="single"/>
        </w:rPr>
        <w:t xml:space="preserve">         </w:t>
      </w:r>
      <w:r>
        <w:rPr>
          <w:rFonts w:hint="eastAsia" w:hAnsi="宋体"/>
          <w:b w:val="0"/>
          <w:bCs/>
          <w:color w:val="000000"/>
          <w:sz w:val="24"/>
          <w:szCs w:val="24"/>
          <w:highlight w:val="none"/>
        </w:rPr>
        <w:t xml:space="preserve">。乙方联系人应保持通讯畅通并提供应急联系电话，以便甲方应急联系。乙方变更项目经理和联系人的，应在7日内以书面形式通知甲方。未及时通知并影响本合履行或造成损失的，应承担相应的责任。乙方管理人员进人甲方的相关场所，应当遵守甲方的规章制度。乙方的维修维护管理等项工作，应不影响甲方的正常工作。必须要甲方停止相关工作时，乙方应提前通报甲方的负责人，协调安排好相应的工作。</w:t>
      </w:r>
      <w:r>
        <w:rPr>
          <w:rFonts w:hint="eastAsia" w:hAnsi="宋体"/>
          <w:b w:val="0"/>
          <w:bCs/>
          <w:color w:val="000000"/>
          <w:sz w:val="24"/>
          <w:szCs w:val="24"/>
          <w:highlight w:val="none"/>
        </w:rPr>
      </w:r>
      <w:r/>
    </w:p>
    <w:p>
      <w:pPr>
        <w:pStyle w:val="1023"/>
        <w:ind w:firstLine="480"/>
        <w:keepLines w:val="0"/>
        <w:keepNext w:val="0"/>
        <w:pageBreakBefore w:val="0"/>
        <w:spacing w:line="440" w:lineRule="exact"/>
        <w:widowControl w:val="off"/>
        <w:rPr>
          <w:rFonts w:hint="eastAsia" w:hAnsi="宋体"/>
          <w:b w:val="0"/>
          <w:bCs/>
          <w:color w:val="000000"/>
          <w:sz w:val="24"/>
          <w:szCs w:val="24"/>
          <w:highlight w:val="none"/>
        </w:rPr>
      </w:pP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lang w:val="en-US" w:eastAsia="zh-CN"/>
        </w:rPr>
        <w:t xml:space="preserve">5</w:t>
      </w: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rPr>
        <w:t xml:space="preserve">乙方应当依照相关规定，对甲方委托物业公司或指派的操作人员进行培训，乙方确保操作人员具备对改造设备的日常操作、维护、保养能力。</w:t>
      </w:r>
      <w:r>
        <w:rPr>
          <w:rFonts w:hint="eastAsia" w:hAnsi="宋体"/>
          <w:b w:val="0"/>
          <w:bCs/>
          <w:color w:val="000000"/>
          <w:sz w:val="24"/>
          <w:szCs w:val="24"/>
          <w:highlight w:val="none"/>
        </w:rPr>
      </w:r>
      <w:r/>
    </w:p>
    <w:p>
      <w:pPr>
        <w:pStyle w:val="1023"/>
        <w:ind w:firstLine="480"/>
        <w:keepLines w:val="0"/>
        <w:keepNext w:val="0"/>
        <w:pageBreakBefore w:val="0"/>
        <w:spacing w:line="440" w:lineRule="exact"/>
        <w:widowControl w:val="off"/>
        <w:rPr>
          <w:rFonts w:hint="eastAsia" w:hAnsi="宋体"/>
          <w:b w:val="0"/>
          <w:bCs/>
          <w:color w:val="000000"/>
          <w:sz w:val="24"/>
          <w:szCs w:val="24"/>
          <w:highlight w:val="none"/>
        </w:rPr>
      </w:pP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lang w:val="en-US" w:eastAsia="zh-CN"/>
        </w:rPr>
        <w:t xml:space="preserve">6</w:t>
      </w: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rPr>
        <w:t xml:space="preserve">乙方应当根据相应的法律法规的要求，申请除必须由甲方申请之外的有关项目的许可、批准和同意。</w:t>
      </w:r>
      <w:r>
        <w:rPr>
          <w:rFonts w:hint="eastAsia" w:hAnsi="宋体"/>
          <w:b w:val="0"/>
          <w:bCs/>
          <w:color w:val="000000"/>
          <w:sz w:val="24"/>
          <w:szCs w:val="24"/>
          <w:highlight w:val="none"/>
        </w:rPr>
      </w:r>
      <w:r/>
    </w:p>
    <w:p>
      <w:pPr>
        <w:pStyle w:val="1023"/>
        <w:ind w:firstLine="480"/>
        <w:keepLines w:val="0"/>
        <w:keepNext w:val="0"/>
        <w:pageBreakBefore w:val="0"/>
        <w:spacing w:line="440" w:lineRule="exact"/>
        <w:widowControl w:val="off"/>
        <w:rPr>
          <w:rFonts w:hint="eastAsia" w:hAnsi="宋体"/>
          <w:b w:val="0"/>
          <w:bCs/>
          <w:color w:val="000000"/>
          <w:sz w:val="24"/>
          <w:szCs w:val="24"/>
          <w:highlight w:val="none"/>
        </w:rPr>
      </w:pP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lang w:val="en-US" w:eastAsia="zh-CN"/>
        </w:rPr>
        <w:t xml:space="preserve">7</w:t>
      </w: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rPr>
        <w:t xml:space="preserve">乙方安装和调试相关设备、设施应符合国家、行业有关施工管理法律法规和与项目相对应的技术标准规范要求，以及甲方合理的特有的施工、管理要求。乙方进场施工前应与甲方另签订施工安全协议。</w:t>
      </w:r>
      <w:r>
        <w:rPr>
          <w:rFonts w:hint="eastAsia" w:hAnsi="宋体"/>
          <w:b w:val="0"/>
          <w:bCs/>
          <w:color w:val="000000"/>
          <w:sz w:val="24"/>
          <w:szCs w:val="24"/>
          <w:highlight w:val="none"/>
        </w:rPr>
      </w:r>
      <w:r/>
    </w:p>
    <w:p>
      <w:pPr>
        <w:pStyle w:val="1023"/>
        <w:ind w:firstLine="480"/>
        <w:keepLines w:val="0"/>
        <w:keepNext w:val="0"/>
        <w:pageBreakBefore w:val="0"/>
        <w:spacing w:line="440" w:lineRule="exact"/>
        <w:widowControl w:val="off"/>
        <w:rPr>
          <w:rFonts w:hint="eastAsia" w:hAnsi="宋体"/>
          <w:b w:val="0"/>
          <w:bCs/>
          <w:color w:val="000000"/>
          <w:sz w:val="24"/>
          <w:szCs w:val="24"/>
          <w:highlight w:val="none"/>
        </w:rPr>
      </w:pP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lang w:val="en-US" w:eastAsia="zh-CN"/>
        </w:rPr>
        <w:t xml:space="preserve">8</w:t>
      </w: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rPr>
        <w:t xml:space="preserve">在接到甲方关于项目运行故障的通知之后，乙方应根据相关规定和要求，及时完成相关维修或设备更换，乙方改造的设备维修费用由乙方承担（因甲方原因导致的除外）。</w:t>
      </w:r>
      <w:r>
        <w:rPr>
          <w:rFonts w:hint="eastAsia" w:hAnsi="宋体"/>
          <w:b w:val="0"/>
          <w:bCs/>
          <w:color w:val="000000"/>
          <w:sz w:val="24"/>
          <w:szCs w:val="24"/>
          <w:highlight w:val="none"/>
        </w:rPr>
      </w:r>
      <w:r/>
    </w:p>
    <w:p>
      <w:pPr>
        <w:pStyle w:val="1023"/>
        <w:ind w:firstLine="480"/>
        <w:keepLines w:val="0"/>
        <w:keepNext w:val="0"/>
        <w:pageBreakBefore w:val="0"/>
        <w:spacing w:line="440" w:lineRule="exact"/>
        <w:widowControl w:val="off"/>
        <w:rPr>
          <w:rFonts w:hint="eastAsia" w:hAnsi="宋体"/>
          <w:b w:val="0"/>
          <w:bCs/>
          <w:color w:val="000000"/>
          <w:sz w:val="24"/>
          <w:szCs w:val="24"/>
          <w:highlight w:val="none"/>
        </w:rPr>
      </w:pP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lang w:val="en-US" w:eastAsia="zh-CN"/>
        </w:rPr>
        <w:t xml:space="preserve">9</w:t>
      </w: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rPr>
        <w:t xml:space="preserve">乙方应当确保其工作人员或者其聘请的第三方在项目实施、运行的整个过程中遵守甲方的相关规章制度。</w:t>
      </w:r>
      <w:r>
        <w:rPr>
          <w:rFonts w:hint="eastAsia" w:hAnsi="宋体"/>
          <w:b w:val="0"/>
          <w:bCs/>
          <w:color w:val="000000"/>
          <w:sz w:val="24"/>
          <w:szCs w:val="24"/>
          <w:highlight w:val="none"/>
        </w:rPr>
      </w:r>
      <w:r/>
    </w:p>
    <w:p>
      <w:pPr>
        <w:pStyle w:val="1023"/>
        <w:ind w:firstLine="480"/>
        <w:keepLines w:val="0"/>
        <w:keepNext w:val="0"/>
        <w:pageBreakBefore w:val="0"/>
        <w:spacing w:line="440" w:lineRule="exact"/>
        <w:widowControl w:val="off"/>
        <w:rPr>
          <w:rFonts w:hint="eastAsia" w:hAnsi="宋体"/>
          <w:b w:val="0"/>
          <w:bCs/>
          <w:color w:val="000000"/>
          <w:sz w:val="24"/>
          <w:szCs w:val="24"/>
          <w:highlight w:val="none"/>
        </w:rPr>
      </w:pP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lang w:val="en-US" w:eastAsia="zh-CN"/>
        </w:rPr>
        <w:t xml:space="preserve">10</w:t>
      </w: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rPr>
        <w:t xml:space="preserve">年末考核计算节能率时，乙方应如实向甲方提供能耗计算所必需的原始发票复印件。</w:t>
      </w:r>
      <w:r>
        <w:rPr>
          <w:rFonts w:hint="eastAsia" w:hAnsi="宋体"/>
          <w:b w:val="0"/>
          <w:bCs/>
          <w:color w:val="000000"/>
          <w:sz w:val="24"/>
          <w:szCs w:val="24"/>
          <w:highlight w:val="none"/>
        </w:rPr>
      </w:r>
      <w:r/>
    </w:p>
    <w:p>
      <w:pPr>
        <w:pStyle w:val="1023"/>
        <w:ind w:firstLine="480"/>
        <w:keepLines w:val="0"/>
        <w:keepNext w:val="0"/>
        <w:pageBreakBefore w:val="0"/>
        <w:spacing w:line="440" w:lineRule="exact"/>
        <w:widowControl w:val="off"/>
        <w:rPr>
          <w:rFonts w:hint="eastAsia" w:hAnsi="宋体"/>
          <w:b w:val="0"/>
          <w:bCs/>
          <w:color w:val="000000"/>
          <w:sz w:val="24"/>
          <w:szCs w:val="24"/>
          <w:highlight w:val="none"/>
        </w:rPr>
      </w:pP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lang w:val="en-US" w:eastAsia="zh-CN"/>
        </w:rPr>
        <w:t xml:space="preserve">11</w:t>
      </w: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rPr>
        <w:t xml:space="preserve">合同期内，乙方监控数据的远程传输由乙方自行与中国电信或中国移动公司联系，费用由乙方承担；合同正常履行期满后，乙方将网络移交甲方，由甲方续费。</w:t>
      </w:r>
      <w:r>
        <w:rPr>
          <w:rFonts w:hint="eastAsia" w:hAnsi="宋体"/>
          <w:b w:val="0"/>
          <w:bCs/>
          <w:color w:val="000000"/>
          <w:sz w:val="24"/>
          <w:szCs w:val="24"/>
          <w:highlight w:val="none"/>
        </w:rPr>
      </w:r>
      <w:r/>
    </w:p>
    <w:p>
      <w:pPr>
        <w:pStyle w:val="1023"/>
        <w:ind w:firstLine="480"/>
        <w:keepLines w:val="0"/>
        <w:keepNext w:val="0"/>
        <w:pageBreakBefore w:val="0"/>
        <w:spacing w:line="440" w:lineRule="exact"/>
        <w:widowControl w:val="off"/>
        <w:rPr>
          <w:rFonts w:hint="eastAsia" w:hAnsi="宋体"/>
          <w:b w:val="0"/>
          <w:bCs/>
          <w:color w:val="000000"/>
          <w:sz w:val="24"/>
          <w:szCs w:val="24"/>
          <w:highlight w:val="none"/>
        </w:rPr>
      </w:pP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lang w:val="en-US" w:eastAsia="zh-CN"/>
        </w:rPr>
        <w:t xml:space="preserve">12</w:t>
      </w: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rPr>
        <w:t xml:space="preserve">合同中止或终止前，乙方结清与甲方原能源供应单位的相关费用及滞纳金。</w:t>
      </w:r>
      <w:r>
        <w:rPr>
          <w:rFonts w:hint="eastAsia" w:hAnsi="宋体"/>
          <w:b w:val="0"/>
          <w:bCs/>
          <w:color w:val="000000"/>
          <w:sz w:val="24"/>
          <w:szCs w:val="24"/>
          <w:highlight w:val="none"/>
        </w:rPr>
      </w:r>
      <w:r/>
    </w:p>
    <w:p>
      <w:pPr>
        <w:pStyle w:val="1023"/>
        <w:ind w:firstLine="480"/>
        <w:keepLines w:val="0"/>
        <w:keepNext w:val="0"/>
        <w:pageBreakBefore w:val="0"/>
        <w:spacing w:line="440" w:lineRule="exact"/>
        <w:widowControl w:val="off"/>
        <w:rPr>
          <w:rFonts w:hint="eastAsia" w:hAnsi="宋体"/>
          <w:b w:val="0"/>
          <w:bCs/>
          <w:color w:val="000000"/>
          <w:sz w:val="24"/>
          <w:szCs w:val="24"/>
          <w:highlight w:val="none"/>
          <w:lang w:eastAsia="zh-CN"/>
        </w:rPr>
      </w:pP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lang w:val="en-US" w:eastAsia="zh-CN"/>
        </w:rPr>
        <w:t xml:space="preserve">13</w:t>
      </w:r>
      <w:r>
        <w:rPr>
          <w:rFonts w:hint="eastAsia" w:hAnsi="宋体"/>
          <w:b w:val="0"/>
          <w:bCs/>
          <w:color w:val="000000"/>
          <w:sz w:val="24"/>
          <w:szCs w:val="24"/>
          <w:highlight w:val="none"/>
          <w:lang w:eastAsia="zh-CN"/>
        </w:rPr>
        <w:t xml:space="preserve">）</w:t>
      </w:r>
      <w:r>
        <w:rPr>
          <w:rFonts w:hint="eastAsia" w:ascii="宋体" w:hAnsi="宋体"/>
          <w:color w:val="000000"/>
          <w:sz w:val="24"/>
          <w:highlight w:val="none"/>
        </w:rPr>
        <w:t xml:space="preserve">乙方应在完成所投资设备的安装和调试后，对甲方指派的操作人员定期进行专业培训，以使其能承担相应的操作和设施维护要求。</w:t>
      </w:r>
      <w:r>
        <w:rPr>
          <w:rFonts w:hint="eastAsia" w:hAnsi="宋体"/>
          <w:b w:val="0"/>
          <w:bCs/>
          <w:color w:val="000000"/>
          <w:sz w:val="24"/>
          <w:szCs w:val="24"/>
          <w:highlight w:val="none"/>
          <w:lang w:eastAsia="zh-CN"/>
        </w:rPr>
      </w:r>
      <w:r/>
    </w:p>
    <w:p>
      <w:pPr>
        <w:pStyle w:val="1023"/>
        <w:ind w:firstLine="480"/>
        <w:keepLines w:val="0"/>
        <w:keepNext w:val="0"/>
        <w:pageBreakBefore w:val="0"/>
        <w:spacing w:line="440" w:lineRule="exact"/>
        <w:widowControl w:val="off"/>
        <w:rPr>
          <w:rFonts w:hint="eastAsia" w:ascii="宋体" w:hAnsi="宋体" w:eastAsia="宋体" w:cs="Courier New"/>
          <w:color w:val="000000"/>
          <w:sz w:val="24"/>
          <w:highlight w:val="none"/>
        </w:rPr>
      </w:pPr>
      <w:r>
        <w:rPr>
          <w:rFonts w:hint="eastAsia" w:hAnsi="宋体"/>
          <w:color w:val="000000"/>
          <w:sz w:val="24"/>
          <w:highlight w:val="none"/>
          <w:lang w:eastAsia="zh-CN"/>
        </w:rPr>
        <w:t xml:space="preserve">（</w:t>
      </w:r>
      <w:r>
        <w:rPr>
          <w:rFonts w:hint="eastAsia" w:hAnsi="宋体"/>
          <w:color w:val="000000"/>
          <w:sz w:val="24"/>
          <w:highlight w:val="none"/>
          <w:lang w:val="en-US" w:eastAsia="zh-CN"/>
        </w:rPr>
        <w:t xml:space="preserve">14</w:t>
      </w:r>
      <w:r>
        <w:rPr>
          <w:rFonts w:hint="eastAsia" w:hAnsi="宋体"/>
          <w:color w:val="000000"/>
          <w:sz w:val="24"/>
          <w:highlight w:val="none"/>
          <w:lang w:eastAsia="zh-CN"/>
        </w:rPr>
        <w:t xml:space="preserve">）</w:t>
      </w:r>
      <w:r>
        <w:rPr>
          <w:rFonts w:hint="eastAsia" w:ascii="宋体" w:hAnsi="宋体"/>
          <w:color w:val="000000"/>
          <w:sz w:val="24"/>
          <w:highlight w:val="none"/>
        </w:rPr>
        <w:t xml:space="preserve">乙方投资的设备、工</w:t>
      </w:r>
      <w:r>
        <w:rPr>
          <w:rFonts w:hint="eastAsia" w:ascii="宋体" w:hAnsi="宋体" w:eastAsia="宋体" w:cs="Courier New"/>
          <w:color w:val="000000"/>
          <w:sz w:val="24"/>
          <w:highlight w:val="none"/>
        </w:rPr>
        <w:t xml:space="preserve">程等在合同期内的维保及质量问题由乙方负责，并应定期向甲方提供设备</w:t>
      </w:r>
      <w:r>
        <w:rPr>
          <w:rFonts w:hint="eastAsia" w:ascii="宋体" w:hAnsi="宋体" w:eastAsia="宋体" w:cs="Courier New"/>
          <w:color w:val="000000"/>
          <w:sz w:val="24"/>
          <w:highlight w:val="none"/>
          <w:lang w:eastAsia="zh-CN"/>
        </w:rPr>
        <w:t xml:space="preserve">记录</w:t>
      </w:r>
      <w:r>
        <w:rPr>
          <w:rFonts w:hint="eastAsia" w:ascii="宋体" w:hAnsi="宋体" w:eastAsia="宋体" w:cs="Courier New"/>
          <w:color w:val="000000"/>
          <w:sz w:val="24"/>
          <w:highlight w:val="none"/>
        </w:rPr>
        <w:t xml:space="preserve">。</w:t>
      </w:r>
      <w:r>
        <w:rPr>
          <w:rFonts w:hint="eastAsia" w:ascii="宋体" w:hAnsi="宋体" w:eastAsia="宋体" w:cs="Courier New"/>
          <w:color w:val="000000"/>
          <w:sz w:val="24"/>
          <w:highlight w:val="none"/>
        </w:rPr>
      </w:r>
      <w:r/>
    </w:p>
    <w:p>
      <w:pPr>
        <w:pStyle w:val="1023"/>
        <w:ind w:firstLine="480"/>
        <w:keepLines w:val="0"/>
        <w:keepNext w:val="0"/>
        <w:pageBreakBefore w:val="0"/>
        <w:spacing w:line="440" w:lineRule="exact"/>
        <w:widowControl w:val="off"/>
        <w:rPr>
          <w:rFonts w:ascii="宋体" w:hAnsi="宋体"/>
          <w:color w:val="000000"/>
          <w:sz w:val="24"/>
          <w:highlight w:val="none"/>
        </w:rPr>
      </w:pPr>
      <w:r>
        <w:rPr>
          <w:rFonts w:hint="eastAsia" w:ascii="宋体" w:hAnsi="宋体" w:eastAsia="宋体" w:cs="Courier New"/>
          <w:color w:val="000000"/>
          <w:sz w:val="24"/>
          <w:highlight w:val="none"/>
          <w:lang w:eastAsia="zh-CN"/>
        </w:rPr>
        <w:t xml:space="preserve">（</w:t>
      </w:r>
      <w:r>
        <w:rPr>
          <w:rFonts w:hint="eastAsia" w:ascii="宋体" w:hAnsi="宋体" w:eastAsia="宋体" w:cs="Courier New"/>
          <w:color w:val="000000"/>
          <w:sz w:val="24"/>
          <w:highlight w:val="none"/>
          <w:lang w:val="en-US" w:eastAsia="zh-CN"/>
        </w:rPr>
        <w:t xml:space="preserve">15</w:t>
      </w:r>
      <w:r>
        <w:rPr>
          <w:rFonts w:hint="eastAsia" w:ascii="宋体" w:hAnsi="宋体" w:eastAsia="宋体" w:cs="Courier New"/>
          <w:color w:val="000000"/>
          <w:sz w:val="24"/>
          <w:highlight w:val="none"/>
          <w:lang w:eastAsia="zh-CN"/>
        </w:rPr>
        <w:t xml:space="preserve">）</w:t>
      </w:r>
      <w:r>
        <w:rPr>
          <w:rFonts w:hint="eastAsia" w:ascii="宋体" w:hAnsi="宋体" w:eastAsia="宋体" w:cs="Courier New"/>
          <w:color w:val="000000"/>
          <w:sz w:val="24"/>
          <w:highlight w:val="none"/>
        </w:rPr>
        <w:t xml:space="preserve">乙方若发现有私自拆、改、破坏能源系统的行为应及时上报甲方，并马上采取措施制止，若严重威胁到能源系统的可暂停服务</w:t>
      </w:r>
      <w:r>
        <w:rPr>
          <w:rFonts w:hint="eastAsia" w:ascii="宋体" w:hAnsi="宋体"/>
          <w:color w:val="000000"/>
          <w:sz w:val="24"/>
          <w:highlight w:val="none"/>
        </w:rPr>
        <w:t xml:space="preserve">。</w:t>
      </w:r>
      <w:r>
        <w:rPr>
          <w:rFonts w:ascii="宋体" w:hAnsi="宋体"/>
          <w:color w:val="000000"/>
          <w:sz w:val="24"/>
          <w:highlight w:val="none"/>
        </w:rPr>
      </w:r>
      <w:r/>
    </w:p>
    <w:p>
      <w:pPr>
        <w:pStyle w:val="1023"/>
        <w:ind w:firstLine="480"/>
        <w:keepLines w:val="0"/>
        <w:keepNext w:val="0"/>
        <w:pageBreakBefore w:val="0"/>
        <w:spacing w:line="440" w:lineRule="exact"/>
        <w:widowControl w:val="off"/>
        <w:rPr>
          <w:rFonts w:hint="eastAsia" w:hAnsi="宋体"/>
          <w:b w:val="0"/>
          <w:bCs/>
          <w:color w:val="000000"/>
          <w:sz w:val="24"/>
          <w:szCs w:val="24"/>
          <w:highlight w:val="none"/>
        </w:rPr>
      </w:pPr>
      <w:r>
        <w:rPr>
          <w:rFonts w:hint="eastAsia" w:hAnsi="宋体"/>
          <w:color w:val="000000"/>
          <w:sz w:val="24"/>
          <w:highlight w:val="none"/>
          <w:lang w:eastAsia="zh-CN"/>
        </w:rPr>
        <w:t xml:space="preserve">（</w:t>
      </w:r>
      <w:r>
        <w:rPr>
          <w:rFonts w:hint="eastAsia" w:hAnsi="宋体"/>
          <w:color w:val="000000"/>
          <w:sz w:val="24"/>
          <w:highlight w:val="none"/>
          <w:lang w:val="en-US" w:eastAsia="zh-CN"/>
        </w:rPr>
        <w:t xml:space="preserve">16</w:t>
      </w:r>
      <w:r>
        <w:rPr>
          <w:rFonts w:hint="eastAsia" w:hAnsi="宋体"/>
          <w:color w:val="000000"/>
          <w:sz w:val="24"/>
          <w:highlight w:val="none"/>
          <w:lang w:eastAsia="zh-CN"/>
        </w:rPr>
        <w:t xml:space="preserve">）</w:t>
      </w:r>
      <w:r>
        <w:rPr>
          <w:rFonts w:hint="eastAsia" w:ascii="宋体" w:hAnsi="宋体"/>
          <w:color w:val="000000"/>
          <w:sz w:val="24"/>
          <w:highlight w:val="none"/>
        </w:rPr>
        <w:t xml:space="preserve">乙方不得未经甲方同意而采取断水、断电、断供冷供热等断供行为，因乙方未缴纳能源费用、乙方实施改造等乙方原因，导致甲方断水、断电、断天然气事故或造成其他损失的，责任由乙方承担。</w:t>
      </w:r>
      <w:r>
        <w:rPr>
          <w:rFonts w:hint="eastAsia" w:hAnsi="宋体"/>
          <w:b w:val="0"/>
          <w:bCs/>
          <w:color w:val="000000"/>
          <w:sz w:val="24"/>
          <w:szCs w:val="24"/>
          <w:highlight w:val="none"/>
        </w:rPr>
      </w:r>
      <w:r/>
    </w:p>
    <w:p>
      <w:pPr>
        <w:pStyle w:val="1023"/>
        <w:ind w:firstLine="480"/>
        <w:keepLines w:val="0"/>
        <w:keepNext w:val="0"/>
        <w:pageBreakBefore w:val="0"/>
        <w:spacing w:line="440" w:lineRule="exact"/>
        <w:widowControl w:val="off"/>
        <w:rPr>
          <w:rFonts w:hint="eastAsia" w:hAnsi="宋体"/>
          <w:b w:val="0"/>
          <w:bCs/>
          <w:color w:val="000000"/>
          <w:sz w:val="24"/>
          <w:szCs w:val="24"/>
          <w:highlight w:val="none"/>
        </w:rPr>
      </w:pP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lang w:val="en-US" w:eastAsia="zh-CN"/>
        </w:rPr>
        <w:t xml:space="preserve">17</w:t>
      </w:r>
      <w:r>
        <w:rPr>
          <w:rFonts w:hint="eastAsia" w:hAnsi="宋体"/>
          <w:b w:val="0"/>
          <w:bCs/>
          <w:color w:val="000000"/>
          <w:sz w:val="24"/>
          <w:szCs w:val="24"/>
          <w:highlight w:val="none"/>
          <w:lang w:eastAsia="zh-CN"/>
        </w:rPr>
        <w:t xml:space="preserve">）</w:t>
      </w:r>
      <w:r>
        <w:rPr>
          <w:rFonts w:hint="eastAsia" w:hAnsi="宋体"/>
          <w:b w:val="0"/>
          <w:bCs/>
          <w:color w:val="000000"/>
          <w:sz w:val="24"/>
          <w:szCs w:val="24"/>
          <w:highlight w:val="none"/>
        </w:rPr>
        <w:t xml:space="preserve">其他：根据法律法规及相关政策规定，属于乙方应履行的其他义务。</w:t>
      </w:r>
      <w:r>
        <w:rPr>
          <w:rFonts w:hint="eastAsia" w:hAnsi="宋体"/>
          <w:b w:val="0"/>
          <w:bCs/>
          <w:color w:val="000000"/>
          <w:sz w:val="24"/>
          <w:szCs w:val="24"/>
          <w:highlight w:val="none"/>
        </w:rPr>
      </w:r>
      <w:r/>
    </w:p>
    <w:p>
      <w:pPr>
        <w:pStyle w:val="1023"/>
        <w:spacing w:line="440" w:lineRule="exact"/>
        <w:rPr>
          <w:rFonts w:hint="eastAsia" w:hAnsi="宋体"/>
          <w:b/>
          <w:color w:val="000000"/>
          <w:sz w:val="24"/>
          <w:szCs w:val="24"/>
          <w:highlight w:val="none"/>
        </w:rPr>
      </w:pPr>
      <w:r>
        <w:rPr>
          <w:rFonts w:hint="eastAsia" w:hAnsi="宋体"/>
          <w:b/>
          <w:color w:val="000000"/>
          <w:sz w:val="24"/>
          <w:szCs w:val="24"/>
          <w:highlight w:val="none"/>
          <w:lang w:eastAsia="zh-CN"/>
        </w:rPr>
        <w:t xml:space="preserve">十三、</w:t>
      </w:r>
      <w:r>
        <w:rPr>
          <w:rFonts w:hint="eastAsia" w:hAnsi="宋体"/>
          <w:b/>
          <w:color w:val="000000"/>
          <w:sz w:val="24"/>
          <w:szCs w:val="24"/>
          <w:highlight w:val="none"/>
        </w:rPr>
        <w:t xml:space="preserve">项目的更改</w:t>
      </w:r>
      <w:r>
        <w:rPr>
          <w:rFonts w:hint="eastAsia" w:hAnsi="宋体"/>
          <w:b/>
          <w:color w:val="000000"/>
          <w:sz w:val="24"/>
          <w:szCs w:val="24"/>
          <w:highlight w:val="none"/>
        </w:rPr>
      </w:r>
      <w:r/>
    </w:p>
    <w:p>
      <w:pPr>
        <w:pStyle w:val="1023"/>
        <w:ind w:firstLine="480"/>
        <w:spacing w:line="440" w:lineRule="exact"/>
        <w:rPr>
          <w:rFonts w:hint="eastAsia" w:hAnsi="宋体"/>
          <w:b w:val="0"/>
          <w:bCs/>
          <w:color w:val="000000"/>
          <w:sz w:val="24"/>
          <w:szCs w:val="24"/>
          <w:highlight w:val="none"/>
        </w:rPr>
      </w:pPr>
      <w:r>
        <w:rPr>
          <w:rFonts w:hint="eastAsia" w:hAnsi="宋体"/>
          <w:b w:val="0"/>
          <w:bCs/>
          <w:color w:val="000000"/>
          <w:sz w:val="24"/>
          <w:szCs w:val="24"/>
          <w:highlight w:val="none"/>
          <w:lang w:val="en-US" w:eastAsia="zh-CN"/>
        </w:rPr>
        <w:t xml:space="preserve">13.1</w:t>
      </w:r>
      <w:r>
        <w:rPr>
          <w:rFonts w:hint="eastAsia" w:hAnsi="宋体"/>
          <w:b w:val="0"/>
          <w:bCs/>
          <w:color w:val="000000"/>
          <w:sz w:val="24"/>
          <w:szCs w:val="24"/>
          <w:highlight w:val="none"/>
        </w:rPr>
        <w:t xml:space="preserve">项目开始运行之后，甲方和乙方的项目负责人应当至少每季度进行一次工作会议，讨论与项目运行和维护有关的事宜。</w:t>
      </w:r>
      <w:r>
        <w:rPr>
          <w:rFonts w:hint="eastAsia" w:hAnsi="宋体"/>
          <w:b w:val="0"/>
          <w:bCs/>
          <w:color w:val="000000"/>
          <w:sz w:val="24"/>
          <w:szCs w:val="24"/>
          <w:highlight w:val="none"/>
        </w:rPr>
      </w:r>
      <w:r/>
    </w:p>
    <w:p>
      <w:pPr>
        <w:pStyle w:val="1023"/>
        <w:ind w:firstLine="480"/>
        <w:spacing w:line="440" w:lineRule="exact"/>
        <w:rPr>
          <w:rFonts w:hint="eastAsia" w:hAnsi="宋体"/>
          <w:b w:val="0"/>
          <w:bCs/>
          <w:color w:val="000000"/>
          <w:sz w:val="24"/>
          <w:szCs w:val="24"/>
          <w:highlight w:val="none"/>
        </w:rPr>
      </w:pPr>
      <w:r>
        <w:rPr>
          <w:rFonts w:hint="eastAsia" w:hAnsi="宋体"/>
          <w:b w:val="0"/>
          <w:bCs/>
          <w:color w:val="000000"/>
          <w:sz w:val="24"/>
          <w:szCs w:val="24"/>
          <w:highlight w:val="none"/>
          <w:lang w:val="en-US" w:eastAsia="zh-CN"/>
        </w:rPr>
        <w:t xml:space="preserve">13.2</w:t>
      </w:r>
      <w:r>
        <w:rPr>
          <w:rFonts w:hint="eastAsia" w:hAnsi="宋体"/>
          <w:b w:val="0"/>
          <w:bCs/>
          <w:color w:val="000000"/>
          <w:sz w:val="24"/>
          <w:szCs w:val="24"/>
          <w:highlight w:val="none"/>
        </w:rPr>
        <w:t xml:space="preserve">如在项目的建设期间出现乙方作为专业的能源改造服务提供者能够合理预料之外的情况，从而导致原有项目方案需要修改，则乙方有权对原有项目方案进行修改并实施修改的方案，但前提是不会对原有项目方案设定的主要节能目标和技术指标造成重大不利影响。除非该情况的出现是由甲方的过错造成，所有由此产生的费用由乙方承担。</w:t>
      </w:r>
      <w:r>
        <w:rPr>
          <w:rFonts w:hint="eastAsia" w:hAnsi="宋体"/>
          <w:b w:val="0"/>
          <w:bCs/>
          <w:color w:val="000000"/>
          <w:sz w:val="24"/>
          <w:szCs w:val="24"/>
          <w:highlight w:val="none"/>
        </w:rPr>
      </w:r>
      <w:r/>
    </w:p>
    <w:p>
      <w:pPr>
        <w:pStyle w:val="1023"/>
        <w:ind w:firstLine="480"/>
        <w:spacing w:line="440" w:lineRule="exact"/>
        <w:rPr>
          <w:rFonts w:hint="eastAsia" w:hAnsi="宋体"/>
          <w:b w:val="0"/>
          <w:bCs/>
          <w:color w:val="000000"/>
          <w:sz w:val="24"/>
          <w:szCs w:val="24"/>
          <w:highlight w:val="none"/>
        </w:rPr>
      </w:pPr>
      <w:r>
        <w:rPr>
          <w:rFonts w:hint="eastAsia" w:hAnsi="宋体"/>
          <w:b w:val="0"/>
          <w:bCs/>
          <w:color w:val="000000"/>
          <w:sz w:val="24"/>
          <w:szCs w:val="24"/>
          <w:highlight w:val="none"/>
          <w:lang w:val="en-US" w:eastAsia="zh-CN"/>
        </w:rPr>
        <w:t xml:space="preserve">13.3</w:t>
      </w:r>
      <w:r>
        <w:rPr>
          <w:rFonts w:hint="eastAsia" w:hAnsi="宋体"/>
          <w:b w:val="0"/>
          <w:bCs/>
          <w:color w:val="000000"/>
          <w:sz w:val="24"/>
          <w:szCs w:val="24"/>
          <w:highlight w:val="none"/>
        </w:rPr>
        <w:t xml:space="preserve">在本项目运行期间，乙方有权为优化项目方案、提高节能效益对项目进行改造，包括但不限于对相关设备或设施进行添加、替换、去除、改造，或者是对相关操作、维护程序和方法进行修改。乙方应当预先将项目改造方案提交甲方审核同意后实施，甲方应予以配合，所有的改造费用由乙方承担。</w:t>
      </w:r>
      <w:r>
        <w:rPr>
          <w:rFonts w:hint="eastAsia" w:hAnsi="宋体"/>
          <w:b w:val="0"/>
          <w:bCs/>
          <w:color w:val="000000"/>
          <w:sz w:val="24"/>
          <w:szCs w:val="24"/>
          <w:highlight w:val="none"/>
        </w:rPr>
      </w:r>
      <w:r/>
    </w:p>
    <w:p>
      <w:pPr>
        <w:pStyle w:val="1023"/>
        <w:ind w:firstLine="480"/>
        <w:spacing w:line="440" w:lineRule="exact"/>
        <w:rPr>
          <w:rFonts w:hint="eastAsia" w:hAnsi="宋体"/>
          <w:b w:val="0"/>
          <w:bCs/>
          <w:color w:val="000000"/>
          <w:sz w:val="24"/>
          <w:szCs w:val="24"/>
          <w:highlight w:val="none"/>
        </w:rPr>
      </w:pPr>
      <w:r>
        <w:rPr>
          <w:rFonts w:hint="eastAsia" w:hAnsi="宋体"/>
          <w:b w:val="0"/>
          <w:bCs/>
          <w:color w:val="000000"/>
          <w:sz w:val="24"/>
          <w:szCs w:val="24"/>
          <w:highlight w:val="none"/>
          <w:lang w:val="en-US" w:eastAsia="zh-CN"/>
        </w:rPr>
        <w:t xml:space="preserve">13.4</w:t>
      </w:r>
      <w:r>
        <w:rPr>
          <w:rFonts w:hint="eastAsia" w:hAnsi="宋体"/>
          <w:b w:val="0"/>
          <w:bCs/>
          <w:color w:val="000000"/>
          <w:sz w:val="24"/>
          <w:szCs w:val="24"/>
          <w:highlight w:val="none"/>
        </w:rPr>
        <w:t xml:space="preserve">在本项目运行期间，甲方拆除、更换、更改、添加或移动现有设备、设施、场地，以致对本项目的节能效益产生不利影响，甲方应补偿乙方由此节能效益下降造成的相应的损失。</w:t>
      </w:r>
      <w:r>
        <w:rPr>
          <w:rFonts w:hint="eastAsia" w:hAnsi="宋体"/>
          <w:b w:val="0"/>
          <w:bCs/>
          <w:color w:val="000000"/>
          <w:sz w:val="24"/>
          <w:szCs w:val="24"/>
          <w:highlight w:val="none"/>
        </w:rPr>
      </w:r>
      <w:r/>
    </w:p>
    <w:p>
      <w:pPr>
        <w:pStyle w:val="1023"/>
        <w:spacing w:line="440" w:lineRule="exact"/>
        <w:rPr>
          <w:rFonts w:hint="eastAsia" w:hAnsi="宋体"/>
          <w:b/>
          <w:bCs w:val="0"/>
          <w:color w:val="000000"/>
          <w:sz w:val="24"/>
          <w:szCs w:val="24"/>
          <w:highlight w:val="none"/>
        </w:rPr>
      </w:pPr>
      <w:r>
        <w:rPr>
          <w:rFonts w:hint="eastAsia" w:hAnsi="宋体"/>
          <w:b/>
          <w:bCs w:val="0"/>
          <w:color w:val="000000"/>
          <w:sz w:val="24"/>
          <w:szCs w:val="24"/>
          <w:highlight w:val="none"/>
          <w:lang w:eastAsia="zh-CN"/>
        </w:rPr>
        <w:t xml:space="preserve">十四、</w:t>
      </w:r>
      <w:r>
        <w:rPr>
          <w:rFonts w:hint="eastAsia" w:hAnsi="宋体"/>
          <w:b/>
          <w:bCs w:val="0"/>
          <w:color w:val="000000"/>
          <w:sz w:val="24"/>
          <w:szCs w:val="24"/>
          <w:highlight w:val="none"/>
        </w:rPr>
        <w:t xml:space="preserve">所有权和风险分担</w:t>
      </w:r>
      <w:r>
        <w:rPr>
          <w:rFonts w:hint="eastAsia" w:hAnsi="宋体"/>
          <w:b/>
          <w:bCs w:val="0"/>
          <w:color w:val="000000"/>
          <w:sz w:val="24"/>
          <w:szCs w:val="24"/>
          <w:highlight w:val="none"/>
        </w:rPr>
      </w:r>
      <w:r/>
    </w:p>
    <w:p>
      <w:pPr>
        <w:pStyle w:val="1023"/>
        <w:ind w:firstLine="480"/>
        <w:spacing w:line="440" w:lineRule="exact"/>
        <w:rPr>
          <w:rFonts w:hint="eastAsia" w:hAnsi="宋体"/>
          <w:b w:val="0"/>
          <w:bCs/>
          <w:color w:val="000000"/>
          <w:sz w:val="24"/>
          <w:szCs w:val="24"/>
          <w:highlight w:val="none"/>
        </w:rPr>
      </w:pPr>
      <w:r>
        <w:rPr>
          <w:rFonts w:hint="eastAsia" w:hAnsi="宋体"/>
          <w:b w:val="0"/>
          <w:bCs/>
          <w:color w:val="000000"/>
          <w:sz w:val="24"/>
          <w:szCs w:val="24"/>
          <w:highlight w:val="none"/>
          <w:lang w:val="en-US" w:eastAsia="zh-CN"/>
        </w:rPr>
        <w:t xml:space="preserve">14.1</w:t>
      </w:r>
      <w:r>
        <w:rPr>
          <w:rFonts w:hint="eastAsia" w:hAnsi="宋体"/>
          <w:b w:val="0"/>
          <w:bCs/>
          <w:color w:val="000000"/>
          <w:sz w:val="24"/>
          <w:szCs w:val="24"/>
          <w:highlight w:val="none"/>
        </w:rPr>
        <w:t xml:space="preserve">在本合同到期并甲方付清本合同下全部款项，且项目累计运行满</w:t>
      </w:r>
      <w:r>
        <w:rPr>
          <w:rFonts w:hint="eastAsia" w:hAnsi="宋体"/>
          <w:b w:val="0"/>
          <w:bCs/>
          <w:color w:val="000000"/>
          <w:sz w:val="24"/>
          <w:szCs w:val="24"/>
          <w:highlight w:val="none"/>
          <w:lang w:val="en-US" w:eastAsia="zh-CN"/>
        </w:rPr>
        <w:t xml:space="preserve">10</w:t>
      </w:r>
      <w:r>
        <w:rPr>
          <w:rFonts w:hint="eastAsia" w:hAnsi="宋体"/>
          <w:b w:val="0"/>
          <w:bCs/>
          <w:color w:val="000000"/>
          <w:sz w:val="24"/>
          <w:szCs w:val="24"/>
          <w:highlight w:val="none"/>
        </w:rPr>
        <w:t xml:space="preserve">年后，该等项目资产的所有权无偿移交给甲方，乙方应保证该等项目资产正常运行。</w:t>
      </w:r>
      <w:r>
        <w:rPr>
          <w:rFonts w:hint="eastAsia" w:hAnsi="宋体"/>
          <w:b w:val="0"/>
          <w:bCs/>
          <w:color w:val="000000"/>
          <w:sz w:val="24"/>
          <w:szCs w:val="24"/>
          <w:highlight w:val="none"/>
        </w:rPr>
      </w:r>
      <w:r/>
    </w:p>
    <w:p>
      <w:pPr>
        <w:pStyle w:val="1023"/>
        <w:ind w:firstLine="480"/>
        <w:spacing w:line="440" w:lineRule="exact"/>
        <w:rPr>
          <w:rFonts w:hint="eastAsia" w:hAnsi="宋体"/>
          <w:b w:val="0"/>
          <w:bCs/>
          <w:color w:val="000000"/>
          <w:sz w:val="24"/>
          <w:szCs w:val="24"/>
          <w:highlight w:val="none"/>
        </w:rPr>
      </w:pPr>
      <w:r>
        <w:rPr>
          <w:rFonts w:hint="eastAsia" w:hAnsi="宋体"/>
          <w:b w:val="0"/>
          <w:bCs/>
          <w:color w:val="000000"/>
          <w:sz w:val="24"/>
          <w:szCs w:val="24"/>
          <w:highlight w:val="none"/>
          <w:lang w:val="en-US" w:eastAsia="zh-CN"/>
        </w:rPr>
        <w:t xml:space="preserve">14.2</w:t>
      </w:r>
      <w:r>
        <w:rPr>
          <w:rFonts w:hint="eastAsia" w:hAnsi="宋体"/>
          <w:b w:val="0"/>
          <w:bCs/>
          <w:color w:val="000000"/>
          <w:sz w:val="24"/>
          <w:szCs w:val="24"/>
          <w:highlight w:val="none"/>
        </w:rPr>
        <w:t xml:space="preserve">项目资产的所有权由乙方移交给甲方时，应同时移交本项目继续运行所必需的资料。如该项目资产的继续使用需要乙方的相关技术或相关知识产权的授权，乙方应当无偿向甲方提供仅适用于本项目的该等授权（含该项目资产继续使用涉及第三方的服务或相关知识产权的授权许可），并提供设备设施</w:t>
      </w:r>
      <w:r>
        <w:rPr>
          <w:rFonts w:hint="eastAsia" w:hAnsi="宋体"/>
          <w:b w:val="0"/>
          <w:bCs/>
          <w:color w:val="000000"/>
          <w:sz w:val="24"/>
          <w:szCs w:val="24"/>
          <w:highlight w:val="none"/>
          <w:lang w:eastAsia="zh-CN"/>
        </w:rPr>
        <w:t xml:space="preserve">至少</w:t>
      </w:r>
      <w:r>
        <w:rPr>
          <w:rFonts w:hint="eastAsia" w:hAnsi="宋体"/>
          <w:b w:val="0"/>
          <w:bCs/>
          <w:color w:val="000000"/>
          <w:sz w:val="24"/>
          <w:szCs w:val="24"/>
          <w:highlight w:val="none"/>
        </w:rPr>
        <w:t xml:space="preserve">3年保修的售后服务。</w:t>
      </w:r>
      <w:r>
        <w:rPr>
          <w:rFonts w:hint="eastAsia" w:hAnsi="宋体"/>
          <w:b w:val="0"/>
          <w:bCs/>
          <w:color w:val="000000"/>
          <w:sz w:val="24"/>
          <w:szCs w:val="24"/>
          <w:highlight w:val="none"/>
        </w:rPr>
      </w:r>
      <w:r/>
    </w:p>
    <w:p>
      <w:pPr>
        <w:pStyle w:val="1023"/>
        <w:ind w:firstLine="480"/>
        <w:spacing w:line="440" w:lineRule="exact"/>
        <w:rPr>
          <w:rFonts w:hint="eastAsia" w:hAnsi="宋体"/>
          <w:b w:val="0"/>
          <w:bCs/>
          <w:color w:val="000000"/>
          <w:sz w:val="24"/>
          <w:szCs w:val="24"/>
          <w:highlight w:val="none"/>
        </w:rPr>
      </w:pPr>
      <w:r>
        <w:rPr>
          <w:rFonts w:hint="eastAsia" w:hAnsi="宋体"/>
          <w:b w:val="0"/>
          <w:bCs/>
          <w:color w:val="000000"/>
          <w:sz w:val="24"/>
          <w:szCs w:val="24"/>
          <w:highlight w:val="none"/>
          <w:lang w:val="en-US" w:eastAsia="zh-CN"/>
        </w:rPr>
        <w:t xml:space="preserve">14.3</w:t>
      </w:r>
      <w:r>
        <w:rPr>
          <w:rFonts w:hint="eastAsia" w:hAnsi="宋体"/>
          <w:b w:val="0"/>
          <w:bCs/>
          <w:color w:val="000000"/>
          <w:sz w:val="24"/>
          <w:szCs w:val="24"/>
          <w:highlight w:val="none"/>
        </w:rPr>
        <w:t xml:space="preserve">项目资产的所有权不因一方违约或者本合同的提前解除而转移。在本合同提前解除时，项目资产依照</w:t>
      </w:r>
      <w:r>
        <w:rPr>
          <w:rFonts w:hint="eastAsia" w:hAnsi="宋体"/>
          <w:b w:val="0"/>
          <w:bCs/>
          <w:color w:val="000000"/>
          <w:sz w:val="24"/>
          <w:szCs w:val="24"/>
          <w:highlight w:val="none"/>
          <w:lang w:eastAsia="zh-CN"/>
        </w:rPr>
        <w:t xml:space="preserve">合同</w:t>
      </w:r>
      <w:r>
        <w:rPr>
          <w:rFonts w:hint="eastAsia" w:hAnsi="宋体"/>
          <w:b w:val="0"/>
          <w:bCs/>
          <w:color w:val="000000"/>
          <w:sz w:val="24"/>
          <w:szCs w:val="24"/>
          <w:highlight w:val="none"/>
        </w:rPr>
        <w:t xml:space="preserve">规定处理。</w:t>
      </w:r>
      <w:r>
        <w:rPr>
          <w:rFonts w:hint="eastAsia" w:hAnsi="宋体"/>
          <w:b w:val="0"/>
          <w:bCs/>
          <w:color w:val="000000"/>
          <w:sz w:val="24"/>
          <w:szCs w:val="24"/>
          <w:highlight w:val="none"/>
        </w:rPr>
      </w:r>
      <w:r/>
    </w:p>
    <w:p>
      <w:pPr>
        <w:pStyle w:val="1023"/>
        <w:ind w:firstLine="480"/>
        <w:spacing w:line="440" w:lineRule="exact"/>
        <w:rPr>
          <w:rFonts w:hint="eastAsia" w:hAnsi="宋体"/>
          <w:b w:val="0"/>
          <w:bCs/>
          <w:color w:val="000000"/>
          <w:sz w:val="24"/>
          <w:szCs w:val="24"/>
          <w:highlight w:val="none"/>
        </w:rPr>
      </w:pPr>
      <w:r>
        <w:rPr>
          <w:rFonts w:hint="eastAsia" w:hAnsi="宋体"/>
          <w:b w:val="0"/>
          <w:bCs/>
          <w:color w:val="000000"/>
          <w:sz w:val="24"/>
          <w:szCs w:val="24"/>
          <w:highlight w:val="none"/>
          <w:lang w:val="en-US" w:eastAsia="zh-CN"/>
        </w:rPr>
        <w:t xml:space="preserve">14.4</w:t>
      </w:r>
      <w:r>
        <w:rPr>
          <w:rFonts w:hint="eastAsia" w:hAnsi="宋体"/>
          <w:b w:val="0"/>
          <w:bCs/>
          <w:color w:val="000000"/>
          <w:sz w:val="24"/>
          <w:szCs w:val="24"/>
          <w:highlight w:val="none"/>
        </w:rPr>
        <w:t xml:space="preserve">在本合同期间，因甲方原因造成项目资产灭失、被窃、人为损坏的风险由甲方承担，非甲方原因的，由乙方承担。</w:t>
      </w:r>
      <w:r>
        <w:rPr>
          <w:rFonts w:hint="eastAsia" w:hAnsi="宋体"/>
          <w:b w:val="0"/>
          <w:bCs/>
          <w:color w:val="000000"/>
          <w:sz w:val="24"/>
          <w:szCs w:val="24"/>
          <w:highlight w:val="none"/>
        </w:rPr>
      </w:r>
      <w:r/>
    </w:p>
    <w:p>
      <w:pPr>
        <w:pStyle w:val="1023"/>
        <w:spacing w:line="440" w:lineRule="exact"/>
        <w:rPr>
          <w:rFonts w:hint="eastAsia" w:hAnsi="宋体"/>
          <w:b/>
          <w:color w:val="000000"/>
          <w:sz w:val="24"/>
          <w:szCs w:val="24"/>
          <w:highlight w:val="none"/>
        </w:rPr>
      </w:pPr>
      <w:r>
        <w:rPr>
          <w:rFonts w:hint="eastAsia" w:hAnsi="宋体"/>
          <w:b/>
          <w:color w:val="000000"/>
          <w:sz w:val="24"/>
          <w:szCs w:val="24"/>
          <w:highlight w:val="none"/>
          <w:lang w:eastAsia="zh-CN"/>
        </w:rPr>
        <w:t xml:space="preserve">十五、</w:t>
      </w:r>
      <w:r>
        <w:rPr>
          <w:rFonts w:hint="eastAsia" w:hAnsi="宋体"/>
          <w:b/>
          <w:color w:val="000000"/>
          <w:sz w:val="24"/>
          <w:szCs w:val="24"/>
          <w:highlight w:val="none"/>
        </w:rPr>
        <w:t xml:space="preserve">项目考核</w:t>
      </w:r>
      <w:r>
        <w:rPr>
          <w:rFonts w:hint="eastAsia" w:hAnsi="宋体"/>
          <w:b/>
          <w:color w:val="000000"/>
          <w:sz w:val="24"/>
          <w:szCs w:val="24"/>
          <w:highlight w:val="none"/>
        </w:rPr>
      </w:r>
      <w:r/>
    </w:p>
    <w:p>
      <w:pPr>
        <w:pStyle w:val="102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15.1供暖质量：供暖季保证每天每间办公室室内温度满足不低于18℃的条件。（</w:t>
      </w:r>
      <w:r>
        <w:rPr>
          <w:rFonts w:hint="eastAsia" w:hAnsi="宋体"/>
          <w:color w:val="000000"/>
          <w:sz w:val="24"/>
          <w:szCs w:val="24"/>
          <w:highlight w:val="none"/>
        </w:rPr>
        <w:t xml:space="preserve">不低于改造前水平</w:t>
      </w:r>
      <w:r>
        <w:rPr>
          <w:rFonts w:hint="eastAsia" w:hAnsi="宋体"/>
          <w:bCs/>
          <w:color w:val="000000"/>
          <w:sz w:val="24"/>
          <w:szCs w:val="24"/>
          <w:highlight w:val="none"/>
        </w:rPr>
        <w:t xml:space="preserve">）</w:t>
      </w:r>
      <w:r>
        <w:rPr>
          <w:rFonts w:hint="eastAsia" w:hAnsi="宋体"/>
          <w:bCs/>
          <w:color w:val="000000"/>
          <w:sz w:val="24"/>
          <w:szCs w:val="24"/>
          <w:highlight w:val="none"/>
        </w:rPr>
      </w:r>
      <w:r/>
    </w:p>
    <w:p>
      <w:pPr>
        <w:pStyle w:val="102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15.2供冷质量：供冷季保证每天室内温度满足不高于26℃的条件。（</w:t>
      </w:r>
      <w:r>
        <w:rPr>
          <w:rFonts w:hint="eastAsia" w:hAnsi="宋体"/>
          <w:color w:val="000000"/>
          <w:sz w:val="24"/>
          <w:szCs w:val="24"/>
          <w:highlight w:val="none"/>
        </w:rPr>
        <w:t xml:space="preserve">不低于改造前水平</w:t>
      </w:r>
      <w:r>
        <w:rPr>
          <w:rFonts w:hint="eastAsia" w:hAnsi="宋体"/>
          <w:bCs/>
          <w:color w:val="000000"/>
          <w:sz w:val="24"/>
          <w:szCs w:val="24"/>
          <w:highlight w:val="none"/>
        </w:rPr>
        <w:t xml:space="preserve">）</w:t>
      </w:r>
      <w:r>
        <w:rPr>
          <w:rFonts w:hint="eastAsia" w:hAnsi="宋体"/>
          <w:bCs/>
          <w:color w:val="000000"/>
          <w:sz w:val="24"/>
          <w:szCs w:val="24"/>
          <w:highlight w:val="none"/>
        </w:rPr>
      </w:r>
      <w:r/>
    </w:p>
    <w:p>
      <w:pPr>
        <w:pStyle w:val="102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15.3节能指标：电按2023-2025年三年电量平均值282.28万kWh乘以单价0.736397元/kWh，基数为207.87万元/年；水按2023-2025年三年用水量平均值7.81万乘以单价3.65元/吨，基数为28.51万元/年；燃气按2025年燃气费用值64.61万元，综合单价参照原托管燃气单价3.9749元/m³（淡季），4.</w:t>
      </w:r>
      <w:r>
        <w:rPr>
          <w:rFonts w:hint="eastAsia" w:hAnsi="宋体"/>
          <w:bCs/>
          <w:color w:val="000000"/>
          <w:sz w:val="24"/>
          <w:szCs w:val="24"/>
          <w:highlight w:val="none"/>
          <w:lang w:val="en-US" w:eastAsia="zh-CN"/>
        </w:rPr>
        <w:t xml:space="preserve">7</w:t>
      </w:r>
      <w:r>
        <w:rPr>
          <w:rFonts w:hint="eastAsia" w:hAnsi="宋体"/>
          <w:bCs/>
          <w:color w:val="000000"/>
          <w:sz w:val="24"/>
          <w:szCs w:val="24"/>
          <w:highlight w:val="none"/>
        </w:rPr>
        <w:t xml:space="preserve">元/m³（旺季）；基数为64.61万元/年。项目方案内容改造完成后，按自然年度每年考核一次，节能率不低于1</w:t>
      </w:r>
      <w:r>
        <w:rPr>
          <w:rFonts w:hint="eastAsia" w:hAnsi="宋体"/>
          <w:bCs/>
          <w:color w:val="000000"/>
          <w:sz w:val="24"/>
          <w:szCs w:val="24"/>
          <w:highlight w:val="none"/>
          <w:lang w:val="en-US" w:eastAsia="zh-CN"/>
        </w:rPr>
        <w:t xml:space="preserve">2</w:t>
      </w:r>
      <w:r>
        <w:rPr>
          <w:rFonts w:hint="eastAsia" w:hAnsi="宋体"/>
          <w:bCs/>
          <w:color w:val="000000"/>
          <w:sz w:val="24"/>
          <w:szCs w:val="24"/>
          <w:highlight w:val="none"/>
        </w:rPr>
        <w:t xml:space="preserve">%（相对于甲乙方约定的</w:t>
      </w:r>
      <w:r>
        <w:rPr>
          <w:rFonts w:hAnsi="宋体"/>
          <w:bCs/>
          <w:color w:val="000000"/>
          <w:sz w:val="24"/>
          <w:szCs w:val="24"/>
          <w:highlight w:val="none"/>
        </w:rPr>
        <w:t xml:space="preserve">能耗基准</w:t>
      </w:r>
      <w:r>
        <w:rPr>
          <w:rFonts w:hint="eastAsia" w:hAnsi="宋体"/>
          <w:bCs/>
          <w:color w:val="000000"/>
          <w:sz w:val="24"/>
          <w:szCs w:val="24"/>
          <w:highlight w:val="none"/>
        </w:rPr>
        <w:t xml:space="preserve">），节能率每低0.1%，甲方在乙方当年预留的考核费用中扣除0.1万元，托管期首年和末年的月份合并为一期纳入最后一个年度考核（如合同续签，末年解释为续签协议托管期的最后一年，乙方妥善保留考核所必需的原始材料），预留的考核费用在本期考核结束后的一个月内结清。节能率以单位面积消耗的综合能耗降低幅度为标准，综合能耗的计算按《综合能耗计算通则》（GB/T2589-2008）执行。托管期内能独立计量的新增及扩建等用能从综合能耗中扣除，不计入节能降幅指标。</w:t>
      </w:r>
      <w:r>
        <w:rPr>
          <w:rFonts w:hint="eastAsia" w:hAnsi="宋体"/>
          <w:bCs/>
          <w:color w:val="000000"/>
          <w:sz w:val="24"/>
          <w:szCs w:val="24"/>
          <w:highlight w:val="none"/>
        </w:rPr>
      </w:r>
      <w:r/>
    </w:p>
    <w:p>
      <w:pPr>
        <w:pStyle w:val="102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15.4自来水用能按实际用能及能源价格政策进行多退少补，其他能源按实际能源价格政策进行多退少补。</w:t>
      </w:r>
      <w:r>
        <w:rPr>
          <w:rFonts w:hint="eastAsia" w:hAnsi="宋体"/>
          <w:bCs/>
          <w:color w:val="000000"/>
          <w:sz w:val="24"/>
          <w:szCs w:val="24"/>
          <w:highlight w:val="none"/>
        </w:rPr>
      </w:r>
      <w:r/>
    </w:p>
    <w:p>
      <w:pPr>
        <w:pStyle w:val="102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15.5运维服务时间：提供365天*24小时的不间断运维服务指导，为用户提供最灵活的用能体验。</w:t>
      </w:r>
      <w:r>
        <w:rPr>
          <w:rFonts w:hint="eastAsia" w:hAnsi="宋体"/>
          <w:bCs/>
          <w:color w:val="000000"/>
          <w:sz w:val="24"/>
          <w:szCs w:val="24"/>
          <w:highlight w:val="none"/>
        </w:rPr>
      </w:r>
      <w:r/>
    </w:p>
    <w:p>
      <w:pPr>
        <w:pStyle w:val="102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15.6故障响应时间：乙方投资的设备发生故障应在2小时内予以响应，8小时内修复，因特殊零配件原因48小时内修复，并持续协助故障的最终解答或解决；紧急情况下，乙方应立即远程复位或移除投资的设备设施保证甲方设备正常运行。</w:t>
      </w:r>
      <w:r>
        <w:rPr>
          <w:rFonts w:hint="eastAsia" w:hAnsi="宋体"/>
          <w:bCs/>
          <w:color w:val="000000"/>
          <w:sz w:val="24"/>
          <w:szCs w:val="24"/>
          <w:highlight w:val="none"/>
        </w:rPr>
      </w:r>
      <w:r/>
    </w:p>
    <w:p>
      <w:pPr>
        <w:pStyle w:val="1023"/>
        <w:spacing w:line="440" w:lineRule="exact"/>
        <w:rPr>
          <w:rFonts w:hAnsi="宋体"/>
          <w:b/>
          <w:color w:val="000000"/>
          <w:sz w:val="24"/>
          <w:szCs w:val="24"/>
          <w:highlight w:val="none"/>
        </w:rPr>
      </w:pPr>
      <w:r>
        <w:rPr>
          <w:rFonts w:hint="eastAsia" w:hAnsi="宋体"/>
          <w:b/>
          <w:color w:val="000000"/>
          <w:sz w:val="24"/>
          <w:szCs w:val="24"/>
          <w:highlight w:val="none"/>
          <w:lang w:eastAsia="zh-CN"/>
        </w:rPr>
        <w:t xml:space="preserve">十六、</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1023"/>
        <w:ind w:firstLine="480"/>
        <w:keepLines w:val="0"/>
        <w:keepNext w:val="0"/>
        <w:pageBreakBefore w:val="0"/>
        <w:spacing w:line="440" w:lineRule="exact"/>
        <w:widowControl w:val="off"/>
        <w:rPr>
          <w:rFonts w:hint="eastAsia" w:hAnsi="宋体"/>
          <w:color w:val="000000"/>
          <w:sz w:val="24"/>
          <w:szCs w:val="24"/>
          <w:highlight w:val="none"/>
        </w:rPr>
      </w:pPr>
      <w:r>
        <w:rPr>
          <w:rFonts w:hint="eastAsia" w:hAnsi="宋体"/>
          <w:color w:val="000000"/>
          <w:sz w:val="24"/>
          <w:szCs w:val="24"/>
          <w:highlight w:val="none"/>
          <w:lang w:val="en-US" w:eastAsia="zh-CN"/>
        </w:rPr>
        <w:t xml:space="preserve">16</w:t>
      </w:r>
      <w:r>
        <w:rPr>
          <w:rFonts w:hint="eastAsia" w:hAnsi="宋体"/>
          <w:color w:val="000000"/>
          <w:sz w:val="24"/>
          <w:szCs w:val="24"/>
          <w:highlight w:val="none"/>
        </w:rPr>
        <w:t xml:space="preserve">.1 甲方依法组织履约验收工作。</w:t>
      </w:r>
      <w:r>
        <w:rPr>
          <w:rFonts w:hint="eastAsia" w:hAnsi="宋体"/>
          <w:color w:val="000000"/>
          <w:sz w:val="24"/>
          <w:szCs w:val="24"/>
          <w:highlight w:val="none"/>
        </w:rPr>
      </w:r>
      <w:r/>
    </w:p>
    <w:p>
      <w:pPr>
        <w:pStyle w:val="1023"/>
        <w:ind w:firstLine="480"/>
        <w:keepLines w:val="0"/>
        <w:keepNext w:val="0"/>
        <w:pageBreakBefore w:val="0"/>
        <w:spacing w:line="440" w:lineRule="exact"/>
        <w:widowControl w:val="off"/>
        <w:rPr>
          <w:rFonts w:hint="eastAsia" w:hAnsi="宋体"/>
          <w:color w:val="000000"/>
          <w:sz w:val="24"/>
          <w:szCs w:val="24"/>
          <w:highlight w:val="none"/>
        </w:rPr>
      </w:pPr>
      <w:r>
        <w:rPr>
          <w:rFonts w:hint="eastAsia" w:hAnsi="宋体"/>
          <w:color w:val="000000"/>
          <w:sz w:val="24"/>
          <w:szCs w:val="24"/>
          <w:highlight w:val="none"/>
          <w:lang w:val="en-US" w:eastAsia="zh-CN"/>
        </w:rPr>
        <w:t xml:space="preserve">16</w:t>
      </w:r>
      <w:r>
        <w:rPr>
          <w:rFonts w:hint="eastAsia" w:hAnsi="宋体"/>
          <w:color w:val="000000"/>
          <w:sz w:val="24"/>
          <w:szCs w:val="24"/>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highlight w:val="none"/>
        </w:rPr>
      </w:r>
      <w:r/>
    </w:p>
    <w:p>
      <w:pPr>
        <w:pStyle w:val="1023"/>
        <w:ind w:firstLine="480"/>
        <w:keepLines w:val="0"/>
        <w:keepNext w:val="0"/>
        <w:pageBreakBefore w:val="0"/>
        <w:spacing w:line="440" w:lineRule="exact"/>
        <w:widowControl w:val="off"/>
        <w:rPr>
          <w:rFonts w:hint="eastAsia" w:hAnsi="宋体"/>
          <w:color w:val="000000"/>
          <w:sz w:val="24"/>
          <w:szCs w:val="24"/>
          <w:highlight w:val="none"/>
        </w:rPr>
      </w:pPr>
      <w:r>
        <w:rPr>
          <w:rFonts w:hint="eastAsia" w:hAnsi="宋体"/>
          <w:color w:val="000000"/>
          <w:sz w:val="24"/>
          <w:szCs w:val="24"/>
          <w:highlight w:val="none"/>
          <w:lang w:val="en-US" w:eastAsia="zh-CN"/>
        </w:rPr>
        <w:t xml:space="preserve">16</w:t>
      </w:r>
      <w:r>
        <w:rPr>
          <w:rFonts w:hint="eastAsia" w:hAnsi="宋体"/>
          <w:color w:val="000000"/>
          <w:sz w:val="24"/>
          <w:szCs w:val="24"/>
          <w:highlight w:val="none"/>
        </w:rPr>
        <w:t xml:space="preserve">.3 对于实际使用人和甲方分离的项目，甲方邀请实际使用人参与验收。</w:t>
      </w:r>
      <w:r>
        <w:rPr>
          <w:rFonts w:hint="eastAsia" w:hAnsi="宋体"/>
          <w:color w:val="000000"/>
          <w:sz w:val="24"/>
          <w:szCs w:val="24"/>
          <w:highlight w:val="none"/>
        </w:rPr>
      </w:r>
      <w:r/>
    </w:p>
    <w:p>
      <w:pPr>
        <w:pStyle w:val="1023"/>
        <w:ind w:firstLine="480"/>
        <w:keepLines w:val="0"/>
        <w:keepNext w:val="0"/>
        <w:pageBreakBefore w:val="0"/>
        <w:spacing w:line="440" w:lineRule="exact"/>
        <w:widowControl w:val="off"/>
        <w:rPr>
          <w:rFonts w:hint="eastAsia" w:hAnsi="宋体"/>
          <w:color w:val="000000"/>
          <w:sz w:val="24"/>
          <w:szCs w:val="24"/>
          <w:highlight w:val="none"/>
        </w:rPr>
      </w:pPr>
      <w:r>
        <w:rPr>
          <w:rFonts w:hint="eastAsia" w:hAnsi="宋体"/>
          <w:color w:val="000000"/>
          <w:sz w:val="24"/>
          <w:szCs w:val="24"/>
          <w:highlight w:val="none"/>
          <w:lang w:val="en-US" w:eastAsia="zh-CN"/>
        </w:rPr>
        <w:t xml:space="preserve">16</w:t>
      </w:r>
      <w:r>
        <w:rPr>
          <w:rFonts w:hint="eastAsia" w:hAnsi="宋体"/>
          <w:color w:val="000000"/>
          <w:sz w:val="24"/>
          <w:szCs w:val="24"/>
          <w:highlight w:val="none"/>
        </w:rPr>
        <w:t xml:space="preserve">.4 如有必要，甲方邀请参加本项目的其他供应商或第三方专业机构及专家参与验收，相关意见将作为验收书的参考资料。</w:t>
      </w:r>
      <w:r>
        <w:rPr>
          <w:rFonts w:hint="eastAsia" w:hAnsi="宋体"/>
          <w:color w:val="000000"/>
          <w:sz w:val="24"/>
          <w:szCs w:val="24"/>
          <w:highlight w:val="none"/>
        </w:rPr>
      </w:r>
      <w:r/>
    </w:p>
    <w:p>
      <w:pPr>
        <w:pStyle w:val="1023"/>
        <w:ind w:firstLine="480"/>
        <w:keepLines w:val="0"/>
        <w:keepNext w:val="0"/>
        <w:pageBreakBefore w:val="0"/>
        <w:spacing w:line="440" w:lineRule="exact"/>
        <w:widowControl w:val="off"/>
        <w:rPr>
          <w:rFonts w:hint="eastAsia" w:hAnsi="宋体"/>
          <w:color w:val="000000"/>
          <w:sz w:val="24"/>
          <w:szCs w:val="24"/>
          <w:highlight w:val="none"/>
        </w:rPr>
      </w:pPr>
      <w:r>
        <w:rPr>
          <w:rFonts w:hint="eastAsia" w:hAnsi="宋体"/>
          <w:color w:val="000000"/>
          <w:sz w:val="24"/>
          <w:szCs w:val="24"/>
          <w:highlight w:val="none"/>
          <w:lang w:val="en-US" w:eastAsia="zh-CN"/>
        </w:rPr>
        <w:t xml:space="preserve">16</w:t>
      </w:r>
      <w:r>
        <w:rPr>
          <w:rFonts w:hint="eastAsia" w:hAnsi="宋体"/>
          <w:color w:val="000000"/>
          <w:sz w:val="24"/>
          <w:szCs w:val="24"/>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highlight w:val="none"/>
        </w:rPr>
      </w:r>
      <w:r/>
    </w:p>
    <w:p>
      <w:pPr>
        <w:pStyle w:val="1023"/>
        <w:ind w:firstLine="480"/>
        <w:keepLines w:val="0"/>
        <w:keepNext w:val="0"/>
        <w:pageBreakBefore w:val="0"/>
        <w:spacing w:line="440" w:lineRule="exact"/>
        <w:widowControl w:val="off"/>
        <w:rPr>
          <w:rFonts w:hint="eastAsia" w:hAnsi="宋体"/>
          <w:color w:val="000000"/>
          <w:sz w:val="24"/>
          <w:szCs w:val="24"/>
          <w:highlight w:val="none"/>
        </w:rPr>
      </w:pPr>
      <w:r>
        <w:rPr>
          <w:rFonts w:hint="eastAsia" w:hAnsi="宋体"/>
          <w:color w:val="000000"/>
          <w:sz w:val="24"/>
          <w:szCs w:val="24"/>
          <w:highlight w:val="none"/>
          <w:lang w:val="en-US" w:eastAsia="zh-CN"/>
        </w:rPr>
        <w:t xml:space="preserve">16</w:t>
      </w:r>
      <w:r>
        <w:rPr>
          <w:rFonts w:hint="eastAsia" w:hAnsi="宋体"/>
          <w:color w:val="000000"/>
          <w:sz w:val="24"/>
          <w:szCs w:val="24"/>
          <w:highlight w:val="none"/>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4"/>
          <w:szCs w:val="24"/>
          <w:highlight w:val="none"/>
        </w:rPr>
      </w:r>
      <w:r/>
    </w:p>
    <w:p>
      <w:pPr>
        <w:pStyle w:val="1023"/>
        <w:ind w:firstLine="480"/>
        <w:keepLines w:val="0"/>
        <w:keepNext w:val="0"/>
        <w:pageBreakBefore w:val="0"/>
        <w:spacing w:line="440" w:lineRule="exact"/>
        <w:widowControl w:val="off"/>
        <w:rPr>
          <w:rFonts w:hint="eastAsia" w:hAnsi="宋体"/>
          <w:color w:val="000000"/>
          <w:sz w:val="24"/>
          <w:szCs w:val="24"/>
          <w:highlight w:val="none"/>
        </w:rPr>
      </w:pPr>
      <w:r>
        <w:rPr>
          <w:rFonts w:hint="eastAsia" w:hAnsi="宋体"/>
          <w:color w:val="000000"/>
          <w:sz w:val="24"/>
          <w:szCs w:val="24"/>
          <w:highlight w:val="none"/>
          <w:lang w:val="en-US" w:eastAsia="zh-CN"/>
        </w:rPr>
        <w:t xml:space="preserve">16</w:t>
      </w:r>
      <w:r>
        <w:rPr>
          <w:rFonts w:hint="eastAsia" w:hAnsi="宋体"/>
          <w:color w:val="000000"/>
          <w:sz w:val="24"/>
          <w:szCs w:val="24"/>
          <w:highlight w:val="none"/>
          <w:lang w:val="en-US" w:eastAsia="zh-CN"/>
        </w:rPr>
        <w:t xml:space="preserve">.7</w:t>
      </w:r>
      <w:r>
        <w:rPr>
          <w:rFonts w:hint="eastAsia" w:hAnsi="宋体"/>
          <w:color w:val="000000"/>
          <w:sz w:val="24"/>
          <w:szCs w:val="24"/>
          <w:highlight w:val="none"/>
        </w:rPr>
        <w:t xml:space="preserve">乙方根据项目的运行情况，按国家相关标准的要求向甲方提出验收申请，验收合格后双方共同签署项目验收单。</w:t>
      </w:r>
      <w:r>
        <w:rPr>
          <w:rFonts w:hint="eastAsia" w:hAnsi="宋体"/>
          <w:color w:val="000000"/>
          <w:sz w:val="24"/>
          <w:szCs w:val="24"/>
          <w:highlight w:val="none"/>
        </w:rPr>
      </w:r>
      <w:r/>
    </w:p>
    <w:p>
      <w:pPr>
        <w:pStyle w:val="1023"/>
        <w:ind w:firstLine="480"/>
        <w:keepLines w:val="0"/>
        <w:keepNext w:val="0"/>
        <w:pageBreakBefore w:val="0"/>
        <w:spacing w:line="440" w:lineRule="exact"/>
        <w:widowControl w:val="off"/>
        <w:rPr>
          <w:rFonts w:hint="eastAsia" w:hAnsi="宋体"/>
          <w:color w:val="000000"/>
          <w:sz w:val="24"/>
          <w:szCs w:val="24"/>
          <w:highlight w:val="none"/>
        </w:rPr>
      </w:pPr>
      <w:r>
        <w:rPr>
          <w:rFonts w:hint="eastAsia" w:hAnsi="宋体"/>
          <w:color w:val="000000"/>
          <w:sz w:val="24"/>
          <w:szCs w:val="24"/>
          <w:highlight w:val="none"/>
          <w:lang w:val="en-US" w:eastAsia="zh-CN"/>
        </w:rPr>
        <w:t xml:space="preserve">16</w:t>
      </w:r>
      <w:r>
        <w:rPr>
          <w:rFonts w:hint="eastAsia" w:hAnsi="宋体"/>
          <w:color w:val="000000"/>
          <w:sz w:val="24"/>
          <w:szCs w:val="24"/>
          <w:highlight w:val="none"/>
          <w:lang w:val="en-US" w:eastAsia="zh-CN"/>
        </w:rPr>
        <w:t xml:space="preserve">.8</w:t>
      </w:r>
      <w:r>
        <w:rPr>
          <w:rFonts w:hint="eastAsia" w:hAnsi="宋体"/>
          <w:color w:val="000000"/>
          <w:sz w:val="24"/>
          <w:szCs w:val="24"/>
          <w:highlight w:val="none"/>
        </w:rPr>
        <w:t xml:space="preserve">如甲方未按上述约定进行验收，则项目试运行一个月后即视为验收合格。</w:t>
      </w:r>
      <w:r>
        <w:rPr>
          <w:rFonts w:hint="eastAsia" w:hAnsi="宋体"/>
          <w:color w:val="000000"/>
          <w:sz w:val="24"/>
          <w:szCs w:val="24"/>
          <w:highlight w:val="none"/>
        </w:rPr>
      </w:r>
      <w:r/>
    </w:p>
    <w:p>
      <w:pPr>
        <w:pStyle w:val="1023"/>
        <w:ind w:firstLine="480"/>
        <w:keepLines w:val="0"/>
        <w:keepNext w:val="0"/>
        <w:pageBreakBefore w:val="0"/>
        <w:spacing w:line="440" w:lineRule="exact"/>
        <w:widowControl w:val="off"/>
        <w:rPr>
          <w:rFonts w:hint="eastAsia" w:hAnsi="宋体"/>
          <w:color w:val="000000"/>
          <w:sz w:val="24"/>
          <w:szCs w:val="24"/>
          <w:highlight w:val="none"/>
        </w:rPr>
      </w:pPr>
      <w:r>
        <w:rPr>
          <w:rFonts w:hint="eastAsia" w:hAnsi="宋体"/>
          <w:color w:val="000000"/>
          <w:sz w:val="24"/>
          <w:szCs w:val="24"/>
          <w:highlight w:val="none"/>
          <w:lang w:val="en-US" w:eastAsia="zh-CN"/>
        </w:rPr>
        <w:t xml:space="preserve">16</w:t>
      </w:r>
      <w:r>
        <w:rPr>
          <w:rFonts w:hint="eastAsia" w:hAnsi="宋体"/>
          <w:color w:val="000000"/>
          <w:sz w:val="24"/>
          <w:szCs w:val="24"/>
          <w:highlight w:val="none"/>
          <w:lang w:val="en-US" w:eastAsia="zh-CN"/>
        </w:rPr>
        <w:t xml:space="preserve">.9</w:t>
      </w:r>
      <w:r>
        <w:rPr>
          <w:rFonts w:hint="eastAsia" w:hAnsi="宋体"/>
          <w:color w:val="000000"/>
          <w:sz w:val="24"/>
          <w:szCs w:val="24"/>
          <w:highlight w:val="none"/>
        </w:rPr>
        <w:t xml:space="preserve">双方约定乙方投资范围为甲方水、电、气等能源相关设备（不包括消防设施），具体改造时应征得甲方同意。乙方承诺合同期内利用空调系统自动化节能改造技术、能源在线监测技术等国内外先进能源技术，统筹推进扬中市行政中心公共建筑能源系统改造，实现能源利用高效化、清洁化、智能化、数字化。</w:t>
      </w:r>
      <w:r>
        <w:rPr>
          <w:rFonts w:hint="eastAsia" w:hAnsi="宋体"/>
          <w:color w:val="000000"/>
          <w:sz w:val="24"/>
          <w:szCs w:val="24"/>
          <w:highlight w:val="none"/>
        </w:rPr>
      </w:r>
      <w:r/>
    </w:p>
    <w:p>
      <w:pPr>
        <w:pStyle w:val="1023"/>
        <w:ind w:firstLine="480"/>
        <w:keepLines w:val="0"/>
        <w:keepNext w:val="0"/>
        <w:pageBreakBefore w:val="0"/>
        <w:spacing w:line="440" w:lineRule="exact"/>
        <w:widowControl w:val="off"/>
        <w:rPr>
          <w:rFonts w:hint="eastAsia" w:hAnsi="宋体"/>
          <w:color w:val="000000"/>
          <w:sz w:val="24"/>
          <w:szCs w:val="24"/>
          <w:highlight w:val="none"/>
        </w:rPr>
      </w:pPr>
      <w:r>
        <w:rPr>
          <w:rFonts w:hint="eastAsia" w:hAnsi="宋体"/>
          <w:color w:val="000000"/>
          <w:sz w:val="24"/>
          <w:szCs w:val="24"/>
          <w:highlight w:val="none"/>
          <w:lang w:val="en-US" w:eastAsia="zh-CN"/>
        </w:rPr>
        <w:t xml:space="preserve">16.</w:t>
      </w:r>
      <w:r>
        <w:rPr>
          <w:rFonts w:hint="eastAsia" w:hAnsi="宋体"/>
          <w:color w:val="000000"/>
          <w:sz w:val="24"/>
          <w:szCs w:val="24"/>
          <w:highlight w:val="none"/>
          <w:lang w:val="en-US" w:eastAsia="zh-CN"/>
        </w:rPr>
        <w:t xml:space="preserve">10</w:t>
      </w:r>
      <w:r>
        <w:rPr>
          <w:rFonts w:hint="eastAsia" w:hAnsi="宋体"/>
          <w:color w:val="000000"/>
          <w:sz w:val="24"/>
          <w:szCs w:val="24"/>
          <w:highlight w:val="none"/>
        </w:rPr>
        <w:t xml:space="preserve">双方资产界定：乙方在合同能源管理期限内仅拥有乙方所投资的所有设备的产权，原甲方能源设备所有权均归甲方所有。</w:t>
      </w:r>
      <w:r>
        <w:rPr>
          <w:rFonts w:hint="eastAsia" w:hAnsi="宋体"/>
          <w:color w:val="000000"/>
          <w:sz w:val="24"/>
          <w:szCs w:val="24"/>
          <w:highlight w:val="none"/>
        </w:rPr>
      </w:r>
      <w:r/>
    </w:p>
    <w:p>
      <w:pPr>
        <w:pStyle w:val="1023"/>
        <w:ind w:firstLine="480"/>
        <w:keepLines w:val="0"/>
        <w:keepNext w:val="0"/>
        <w:pageBreakBefore w:val="0"/>
        <w:spacing w:line="440" w:lineRule="exact"/>
        <w:widowControl w:val="off"/>
        <w:rPr>
          <w:rFonts w:hint="eastAsia" w:hAnsi="宋体"/>
          <w:color w:val="000000"/>
          <w:sz w:val="24"/>
          <w:szCs w:val="24"/>
          <w:highlight w:val="none"/>
        </w:rPr>
      </w:pPr>
      <w:r>
        <w:rPr>
          <w:rFonts w:hint="eastAsia" w:hAnsi="宋体"/>
          <w:color w:val="000000"/>
          <w:sz w:val="24"/>
          <w:szCs w:val="24"/>
          <w:highlight w:val="none"/>
          <w:lang w:val="en-US" w:eastAsia="zh-CN"/>
        </w:rPr>
        <w:t xml:space="preserve">16</w:t>
      </w:r>
      <w:r>
        <w:rPr>
          <w:rFonts w:hint="eastAsia" w:hAnsi="宋体"/>
          <w:color w:val="000000"/>
          <w:sz w:val="24"/>
          <w:szCs w:val="24"/>
          <w:highlight w:val="none"/>
          <w:lang w:val="en-US" w:eastAsia="zh-CN"/>
        </w:rPr>
        <w:t xml:space="preserve">.11</w:t>
      </w:r>
      <w:r>
        <w:rPr>
          <w:rFonts w:hint="eastAsia" w:hAnsi="宋体"/>
          <w:color w:val="000000"/>
          <w:sz w:val="24"/>
          <w:szCs w:val="24"/>
          <w:highlight w:val="none"/>
        </w:rPr>
        <w:t xml:space="preserve">在合同能源管理期限内，甲乙双方所有能源系统设备其日常运营管理、维护保养及产生的费用是由甲方投资的均由甲方承担，但由乙方投资改造的设备运营管理、维护保养及维修费用由乙方承担。</w:t>
      </w:r>
      <w:r>
        <w:rPr>
          <w:rFonts w:hint="eastAsia" w:hAnsi="宋体"/>
          <w:color w:val="000000"/>
          <w:sz w:val="24"/>
          <w:szCs w:val="24"/>
          <w:highlight w:val="none"/>
        </w:rPr>
      </w:r>
      <w:r/>
    </w:p>
    <w:p>
      <w:pPr>
        <w:pStyle w:val="1023"/>
        <w:ind w:left="602" w:hanging="602"/>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lang w:eastAsia="zh-CN"/>
        </w:rPr>
        <w:t xml:space="preserve">七</w:t>
      </w:r>
      <w:r>
        <w:rPr>
          <w:rFonts w:hAnsi="宋体"/>
          <w:b/>
          <w:color w:val="000000"/>
          <w:sz w:val="24"/>
          <w:szCs w:val="24"/>
          <w:highlight w:val="none"/>
        </w:rPr>
        <w:t xml:space="preserve">、违约责任</w:t>
      </w:r>
      <w:r>
        <w:rPr>
          <w:rFonts w:hAnsi="宋体"/>
          <w:b/>
          <w:color w:val="000000"/>
          <w:sz w:val="24"/>
          <w:szCs w:val="24"/>
          <w:highlight w:val="none"/>
        </w:rPr>
      </w:r>
      <w:r/>
    </w:p>
    <w:p>
      <w:pPr>
        <w:pStyle w:val="102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w:t>
      </w:r>
      <w:r>
        <w:rPr>
          <w:rFonts w:hint="eastAsia" w:hAnsi="宋体"/>
          <w:bCs/>
          <w:color w:val="000000"/>
          <w:sz w:val="24"/>
          <w:szCs w:val="24"/>
          <w:highlight w:val="none"/>
          <w:lang w:val="en-US" w:eastAsia="zh-CN"/>
        </w:rPr>
        <w:t xml:space="preserve">7</w:t>
      </w:r>
      <w:r>
        <w:rPr>
          <w:rFonts w:hint="eastAsia" w:hAnsi="宋体"/>
          <w:bCs/>
          <w:color w:val="000000"/>
          <w:sz w:val="24"/>
          <w:szCs w:val="24"/>
          <w:highlight w:val="none"/>
        </w:rPr>
        <w:t xml:space="preserve">.1甲方无正当理由拒绝接受乙方提供的合同标的的，甲方向乙方偿付拒绝接受合同价款总值</w:t>
      </w:r>
      <w:r>
        <w:rPr>
          <w:rFonts w:hint="eastAsia" w:hAnsi="宋体"/>
          <w:bCs/>
          <w:color w:val="000000"/>
          <w:sz w:val="24"/>
          <w:szCs w:val="24"/>
          <w:highlight w:val="none"/>
          <w:u w:val="single"/>
        </w:rPr>
        <w:t xml:space="preserve">1‰</w:t>
      </w:r>
      <w:r>
        <w:rPr>
          <w:rFonts w:hint="eastAsia" w:hAnsi="宋体"/>
          <w:bCs/>
          <w:color w:val="000000"/>
          <w:sz w:val="24"/>
          <w:szCs w:val="24"/>
          <w:highlight w:val="none"/>
        </w:rPr>
        <w:t xml:space="preserve">的违约金。</w:t>
      </w:r>
      <w:r>
        <w:rPr>
          <w:rFonts w:hint="eastAsia" w:hAnsi="宋体"/>
          <w:bCs/>
          <w:color w:val="000000"/>
          <w:sz w:val="24"/>
          <w:szCs w:val="24"/>
          <w:highlight w:val="none"/>
        </w:rPr>
      </w:r>
      <w:r/>
    </w:p>
    <w:p>
      <w:pPr>
        <w:pStyle w:val="102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w:t>
      </w:r>
      <w:r>
        <w:rPr>
          <w:rFonts w:hint="eastAsia" w:hAnsi="宋体"/>
          <w:bCs/>
          <w:color w:val="000000"/>
          <w:sz w:val="24"/>
          <w:szCs w:val="24"/>
          <w:highlight w:val="none"/>
          <w:lang w:val="en-US" w:eastAsia="zh-CN"/>
        </w:rPr>
        <w:t xml:space="preserve">7</w:t>
      </w:r>
      <w:r>
        <w:rPr>
          <w:rFonts w:hint="eastAsia" w:hAnsi="宋体"/>
          <w:bCs/>
          <w:color w:val="000000"/>
          <w:sz w:val="24"/>
          <w:szCs w:val="24"/>
          <w:highlight w:val="none"/>
        </w:rPr>
        <w:t xml:space="preserve">.</w:t>
      </w:r>
      <w:r>
        <w:rPr>
          <w:rFonts w:hint="eastAsia" w:hAnsi="宋体"/>
          <w:bCs/>
          <w:color w:val="000000"/>
          <w:sz w:val="24"/>
          <w:szCs w:val="24"/>
          <w:highlight w:val="none"/>
          <w:lang w:val="en-US" w:eastAsia="zh-CN"/>
        </w:rPr>
        <w:t xml:space="preserve">2</w:t>
      </w:r>
      <w:r>
        <w:rPr>
          <w:rFonts w:hint="eastAsia" w:hAnsi="宋体"/>
          <w:bCs/>
          <w:color w:val="000000"/>
          <w:sz w:val="24"/>
          <w:szCs w:val="24"/>
          <w:highlight w:val="none"/>
        </w:rPr>
        <w:t xml:space="preserve"> 乙方逾期交付合同标的的，乙方应按逾期交付合同总额</w:t>
      </w:r>
      <w:r>
        <w:rPr>
          <w:rFonts w:hint="eastAsia" w:hAnsi="宋体"/>
          <w:bCs/>
          <w:color w:val="000000"/>
          <w:sz w:val="24"/>
          <w:szCs w:val="24"/>
          <w:highlight w:val="none"/>
          <w:u w:val="single"/>
        </w:rPr>
        <w:t xml:space="preserve">每日千分之六</w:t>
      </w:r>
      <w:r>
        <w:rPr>
          <w:rFonts w:hint="eastAsia" w:hAnsi="宋体"/>
          <w:bCs/>
          <w:color w:val="000000"/>
          <w:sz w:val="24"/>
          <w:szCs w:val="24"/>
          <w:highlight w:val="none"/>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hAnsi="宋体"/>
          <w:bCs/>
          <w:color w:val="000000"/>
          <w:sz w:val="24"/>
          <w:szCs w:val="24"/>
          <w:highlight w:val="none"/>
          <w:u w:val="single"/>
        </w:rPr>
        <w:t xml:space="preserve">百分之十</w:t>
      </w:r>
      <w:r>
        <w:rPr>
          <w:rFonts w:hint="eastAsia" w:hAnsi="宋体"/>
          <w:bCs/>
          <w:color w:val="000000"/>
          <w:sz w:val="24"/>
          <w:szCs w:val="24"/>
          <w:highlight w:val="none"/>
        </w:rPr>
        <w:t xml:space="preserve">的违约金，如造成甲方损失超过违约金的，超出部分由乙方继续承担赔偿责任。 </w:t>
      </w:r>
      <w:r>
        <w:rPr>
          <w:rFonts w:hint="eastAsia" w:hAnsi="宋体"/>
          <w:bCs/>
          <w:color w:val="000000"/>
          <w:sz w:val="24"/>
          <w:szCs w:val="24"/>
          <w:highlight w:val="none"/>
        </w:rPr>
      </w:r>
      <w:r/>
    </w:p>
    <w:p>
      <w:pPr>
        <w:pStyle w:val="102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w:t>
      </w:r>
      <w:r>
        <w:rPr>
          <w:rFonts w:hint="eastAsia" w:hAnsi="宋体"/>
          <w:bCs/>
          <w:color w:val="000000"/>
          <w:sz w:val="24"/>
          <w:szCs w:val="24"/>
          <w:highlight w:val="none"/>
          <w:lang w:val="en-US" w:eastAsia="zh-CN"/>
        </w:rPr>
        <w:t xml:space="preserve">7</w:t>
      </w:r>
      <w:r>
        <w:rPr>
          <w:rFonts w:hint="eastAsia" w:hAnsi="宋体"/>
          <w:bCs/>
          <w:color w:val="000000"/>
          <w:sz w:val="24"/>
          <w:szCs w:val="24"/>
          <w:highlight w:val="none"/>
        </w:rPr>
        <w:t xml:space="preserve">.</w:t>
      </w:r>
      <w:r>
        <w:rPr>
          <w:rFonts w:hint="eastAsia" w:hAnsi="宋体"/>
          <w:bCs/>
          <w:color w:val="000000"/>
          <w:sz w:val="24"/>
          <w:szCs w:val="24"/>
          <w:highlight w:val="none"/>
          <w:lang w:val="en-US" w:eastAsia="zh-CN"/>
        </w:rPr>
        <w:t xml:space="preserve">3</w:t>
      </w:r>
      <w:r>
        <w:rPr>
          <w:rFonts w:hint="eastAsia" w:hAnsi="宋体"/>
          <w:bCs/>
          <w:color w:val="000000"/>
          <w:sz w:val="24"/>
          <w:szCs w:val="24"/>
          <w:highlight w:val="none"/>
        </w:rPr>
        <w:t xml:space="preserve"> 乙方交付合同标的的标准不符合合同规定及</w:t>
      </w:r>
      <w:r>
        <w:rPr>
          <w:rFonts w:hint="eastAsia" w:hAnsi="宋体"/>
          <w:bCs/>
          <w:color w:val="000000"/>
          <w:sz w:val="24"/>
          <w:szCs w:val="24"/>
          <w:highlight w:val="none"/>
          <w:lang w:eastAsia="zh-CN"/>
        </w:rPr>
        <w:t xml:space="preserve">招标文件</w:t>
      </w:r>
      <w:r>
        <w:rPr>
          <w:rFonts w:hint="eastAsia" w:hAnsi="宋体"/>
          <w:bCs/>
          <w:color w:val="000000"/>
          <w:sz w:val="24"/>
          <w:szCs w:val="24"/>
          <w:highlight w:val="none"/>
        </w:rPr>
        <w:t xml:space="preserve">规定标准的，甲方有权拒绝接受合同标的，并可单方面解除合同。</w:t>
      </w:r>
      <w:r>
        <w:rPr>
          <w:rFonts w:hint="eastAsia" w:hAnsi="宋体"/>
          <w:bCs/>
          <w:color w:val="000000"/>
          <w:sz w:val="24"/>
          <w:szCs w:val="24"/>
          <w:highlight w:val="none"/>
        </w:rPr>
      </w:r>
      <w:r/>
    </w:p>
    <w:p>
      <w:pPr>
        <w:pStyle w:val="102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lang w:val="en-US" w:eastAsia="zh-CN"/>
        </w:rPr>
        <w:t xml:space="preserve">17.4</w:t>
      </w:r>
      <w:r>
        <w:rPr>
          <w:rFonts w:hint="eastAsia" w:hAnsi="宋体"/>
          <w:bCs/>
          <w:color w:val="000000"/>
          <w:sz w:val="24"/>
          <w:szCs w:val="24"/>
          <w:highlight w:val="none"/>
        </w:rPr>
        <w:t xml:space="preserve">系乙方自身原因，</w:t>
      </w:r>
      <w:r>
        <w:rPr>
          <w:rFonts w:hint="eastAsia" w:hAnsi="宋体"/>
          <w:bCs/>
          <w:color w:val="000000"/>
          <w:sz w:val="24"/>
          <w:szCs w:val="24"/>
          <w:highlight w:val="none"/>
        </w:rPr>
        <w:t xml:space="preserve">如乙方未按照本合同的规定及时向供电、供水、供气等部门及时支付能源款项，造成停水停电停气等事故的，由此造成甲方的直接、间接损失由乙方赔付。因乙方与甲方原能源供应单位结算不及时产生的滞纳金(按每日1‰的比率支付）和其他费用由乙方负责；如果乙方未能按照项目方案规定的时间和要求完成项目的建设，除非该等延误是由于不可抗力或者是甲方过错造成，则乙方应当按照每日1000元向甲方支付违约金。</w:t>
      </w:r>
      <w:r>
        <w:rPr>
          <w:rFonts w:hint="eastAsia" w:hAnsi="宋体"/>
          <w:bCs/>
          <w:color w:val="000000"/>
          <w:sz w:val="24"/>
          <w:szCs w:val="24"/>
          <w:highlight w:val="none"/>
        </w:rPr>
      </w:r>
      <w:r/>
    </w:p>
    <w:p>
      <w:pPr>
        <w:pStyle w:val="102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lang w:val="en-US" w:eastAsia="zh-CN"/>
        </w:rPr>
        <w:t xml:space="preserve">17.5</w:t>
      </w:r>
      <w:r>
        <w:rPr>
          <w:rFonts w:hint="eastAsia" w:hAnsi="宋体"/>
          <w:bCs/>
          <w:color w:val="000000"/>
          <w:sz w:val="24"/>
          <w:szCs w:val="24"/>
          <w:highlight w:val="none"/>
        </w:rPr>
        <w:t xml:space="preserve">未经甲方许可，乙方不得与甲方原能源供应单位另签订能源协议，如违反，甲方有权单方解除合同，合同终止。</w:t>
      </w:r>
      <w:r>
        <w:rPr>
          <w:rFonts w:hint="eastAsia" w:hAnsi="宋体"/>
          <w:bCs/>
          <w:color w:val="000000"/>
          <w:sz w:val="24"/>
          <w:szCs w:val="24"/>
          <w:highlight w:val="none"/>
        </w:rPr>
      </w:r>
      <w:r/>
    </w:p>
    <w:p>
      <w:pPr>
        <w:pStyle w:val="102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lang w:val="en-US" w:eastAsia="zh-CN"/>
        </w:rPr>
        <w:t xml:space="preserve">17.6</w:t>
      </w:r>
      <w:r>
        <w:rPr>
          <w:rFonts w:hint="eastAsia" w:hAnsi="宋体"/>
          <w:bCs/>
          <w:color w:val="000000"/>
          <w:sz w:val="24"/>
          <w:szCs w:val="24"/>
          <w:highlight w:val="none"/>
        </w:rPr>
        <w:t xml:space="preserve">乙方如不能提供甲方考核所必需的原始发票复印件或复印件与原件数据不同，或当年节能率小于等于0时，甲方扣除乙方预留的当年度节能考核费用，并承担甲方维权律师代理费。</w:t>
      </w:r>
      <w:r>
        <w:rPr>
          <w:rFonts w:hint="eastAsia" w:hAnsi="宋体"/>
          <w:bCs/>
          <w:color w:val="000000"/>
          <w:sz w:val="24"/>
          <w:szCs w:val="24"/>
          <w:highlight w:val="none"/>
        </w:rPr>
      </w:r>
      <w:r/>
    </w:p>
    <w:p>
      <w:pPr>
        <w:pStyle w:val="102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lang w:val="en-US" w:eastAsia="zh-CN"/>
        </w:rPr>
        <w:t xml:space="preserve">17.7</w:t>
      </w:r>
      <w:r>
        <w:rPr>
          <w:rFonts w:hint="eastAsia" w:hAnsi="宋体"/>
          <w:bCs/>
          <w:color w:val="000000"/>
          <w:sz w:val="24"/>
          <w:szCs w:val="24"/>
          <w:highlight w:val="none"/>
        </w:rPr>
        <w:t xml:space="preserve">如果乙方违反除</w:t>
      </w:r>
      <w:r>
        <w:rPr>
          <w:rFonts w:hint="eastAsia" w:hAnsi="宋体"/>
          <w:bCs/>
          <w:color w:val="000000"/>
          <w:sz w:val="24"/>
          <w:szCs w:val="24"/>
          <w:highlight w:val="none"/>
          <w:lang w:val="en-US" w:eastAsia="zh-CN"/>
        </w:rPr>
        <w:t xml:space="preserve">17.6</w:t>
      </w:r>
      <w:r>
        <w:rPr>
          <w:rFonts w:hint="eastAsia" w:hAnsi="宋体"/>
          <w:bCs/>
          <w:color w:val="000000"/>
          <w:sz w:val="24"/>
          <w:szCs w:val="24"/>
          <w:highlight w:val="none"/>
        </w:rPr>
        <w:t xml:space="preserve">条外的其他义务，甲方有权对由此造成的损失选择以下任一种方式要求乙方承担相应的违约赔偿责任。</w:t>
      </w:r>
      <w:r>
        <w:rPr>
          <w:rFonts w:hint="eastAsia" w:hAnsi="宋体"/>
          <w:bCs/>
          <w:color w:val="000000"/>
          <w:sz w:val="24"/>
          <w:szCs w:val="24"/>
          <w:highlight w:val="none"/>
        </w:rPr>
      </w:r>
      <w:r/>
    </w:p>
    <w:p>
      <w:pPr>
        <w:pStyle w:val="102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(a)直接要求乙方赔偿损失（含律师代理费）；</w:t>
      </w:r>
      <w:r>
        <w:rPr>
          <w:rFonts w:hint="eastAsia" w:hAnsi="宋体"/>
          <w:bCs/>
          <w:color w:val="000000"/>
          <w:sz w:val="24"/>
          <w:szCs w:val="24"/>
          <w:highlight w:val="none"/>
        </w:rPr>
      </w:r>
      <w:r/>
    </w:p>
    <w:p>
      <w:pPr>
        <w:pStyle w:val="102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(b)依照规定，解除合同，并要求乙方赔偿损失。</w:t>
      </w:r>
      <w:r>
        <w:rPr>
          <w:rFonts w:hint="eastAsia" w:hAnsi="宋体"/>
          <w:bCs/>
          <w:color w:val="000000"/>
          <w:sz w:val="24"/>
          <w:szCs w:val="24"/>
          <w:highlight w:val="none"/>
        </w:rPr>
      </w:r>
      <w:r/>
    </w:p>
    <w:p>
      <w:pPr>
        <w:pStyle w:val="102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lang w:val="en-US" w:eastAsia="zh-CN"/>
        </w:rPr>
        <w:t xml:space="preserve">17.8</w:t>
      </w:r>
      <w:r>
        <w:rPr>
          <w:rFonts w:hint="eastAsia" w:hAnsi="宋体"/>
          <w:bCs/>
          <w:color w:val="000000"/>
          <w:sz w:val="24"/>
          <w:szCs w:val="24"/>
          <w:highlight w:val="none"/>
        </w:rPr>
        <w:t xml:space="preserve">本条规定的违约责任方式不影响甲乙双方依照法律法规可获得的其他救济手段。</w:t>
      </w:r>
      <w:r>
        <w:rPr>
          <w:rFonts w:hint="eastAsia" w:hAnsi="宋体"/>
          <w:bCs/>
          <w:color w:val="000000"/>
          <w:sz w:val="24"/>
          <w:szCs w:val="24"/>
          <w:highlight w:val="none"/>
        </w:rPr>
      </w:r>
      <w:r/>
    </w:p>
    <w:p>
      <w:pPr>
        <w:pStyle w:val="102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lang w:val="en-US" w:eastAsia="zh-CN"/>
        </w:rPr>
        <w:t xml:space="preserve">17.9</w:t>
      </w:r>
      <w:r>
        <w:rPr>
          <w:rFonts w:hint="eastAsia" w:hAnsi="宋体"/>
          <w:bCs/>
          <w:color w:val="000000"/>
          <w:sz w:val="24"/>
          <w:szCs w:val="24"/>
          <w:highlight w:val="none"/>
        </w:rPr>
        <w:t xml:space="preserve">一方违约后，另一方应采取适当措施，防止损失的扩大，否则不能就扩大部分的损失要求赔偿。</w:t>
      </w:r>
      <w:r>
        <w:rPr>
          <w:rFonts w:hint="eastAsia" w:hAnsi="宋体"/>
          <w:bCs/>
          <w:color w:val="000000"/>
          <w:sz w:val="24"/>
          <w:szCs w:val="24"/>
          <w:highlight w:val="none"/>
        </w:rPr>
      </w:r>
      <w:r/>
    </w:p>
    <w:p>
      <w:pPr>
        <w:pStyle w:val="1023"/>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lang w:eastAsia="zh-CN"/>
        </w:rPr>
        <w:t xml:space="preserve">八</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1023"/>
        <w:ind w:left="599" w:hanging="120"/>
        <w:spacing w:line="440" w:lineRule="exact"/>
        <w:rPr>
          <w:rFonts w:hint="eastAsia"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lang w:val="en-US" w:eastAsia="zh-CN"/>
        </w:rPr>
        <w:t xml:space="preserve">8</w:t>
      </w:r>
      <w:r>
        <w:rPr>
          <w:rFonts w:hAnsi="宋体"/>
          <w:color w:val="000000"/>
          <w:sz w:val="24"/>
          <w:szCs w:val="24"/>
          <w:highlight w:val="none"/>
        </w:rPr>
        <w:t xml:space="preserve">.1 </w:t>
      </w:r>
      <w:r>
        <w:rPr>
          <w:rFonts w:hint="eastAsia" w:hAnsi="宋体"/>
          <w:color w:val="000000"/>
          <w:sz w:val="24"/>
          <w:szCs w:val="24"/>
          <w:highlight w:val="none"/>
        </w:rPr>
        <w:t xml:space="preserve">本合同下的不可抗力是指超出了相关方合理控制范围的任何行为、事件或</w:t>
      </w:r>
      <w:r>
        <w:rPr>
          <w:rFonts w:hint="eastAsia" w:hAnsi="宋体"/>
          <w:color w:val="000000"/>
          <w:sz w:val="24"/>
          <w:szCs w:val="24"/>
          <w:highlight w:val="none"/>
        </w:rPr>
      </w:r>
      <w:r/>
    </w:p>
    <w:p>
      <w:pPr>
        <w:pStyle w:val="1023"/>
        <w:spacing w:line="440" w:lineRule="exact"/>
        <w:rPr>
          <w:rFonts w:hint="eastAsia" w:hAnsi="宋体"/>
          <w:color w:val="000000"/>
          <w:sz w:val="24"/>
          <w:szCs w:val="24"/>
          <w:highlight w:val="none"/>
        </w:rPr>
      </w:pPr>
      <w:r>
        <w:rPr>
          <w:rFonts w:hint="eastAsia" w:hAnsi="宋体"/>
          <w:color w:val="000000"/>
          <w:sz w:val="24"/>
          <w:szCs w:val="24"/>
          <w:highlight w:val="none"/>
        </w:rPr>
        <w:t xml:space="preserve">原因，包括但不限于：</w:t>
      </w:r>
      <w:r>
        <w:rPr>
          <w:rFonts w:hint="eastAsia" w:hAnsi="宋体"/>
          <w:color w:val="000000"/>
          <w:sz w:val="24"/>
          <w:szCs w:val="24"/>
          <w:highlight w:val="none"/>
        </w:rPr>
      </w:r>
      <w:r/>
    </w:p>
    <w:p>
      <w:pPr>
        <w:pStyle w:val="1023"/>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a)雷电、洪水、风暴、地震、滑坡、暴雨等自然灾害、海上危险、航行事故、战争、骚乱、暴动、全国紧急状态（无论是实际情况或法律规定的情况）、戒严令、火灾或劳工纠纷（无论是否涉及相关方的雇员）、流行病（含公共卫生疫情）、隔离、辐射或放射性污染； </w:t>
      </w:r>
      <w:r>
        <w:rPr>
          <w:rFonts w:hint="eastAsia" w:hAnsi="宋体"/>
          <w:color w:val="000000"/>
          <w:sz w:val="24"/>
          <w:szCs w:val="24"/>
          <w:highlight w:val="none"/>
        </w:rPr>
      </w:r>
      <w:r/>
    </w:p>
    <w:p>
      <w:pPr>
        <w:pStyle w:val="1023"/>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b)任何政府单位或非政府单位或其它主管部门（包括任何有管辖权的法院或仲裁庭以及国际机构）的行动，包括但不限于法律、法规、规章或其他有法律强制约束力的法案所规定的没收、约束、禁止、干预、征用、要求、指示或禁运。但不得包括一方资金短缺的事实。</w:t>
      </w:r>
      <w:r>
        <w:rPr>
          <w:rFonts w:hint="eastAsia" w:hAnsi="宋体"/>
          <w:color w:val="000000"/>
          <w:sz w:val="24"/>
          <w:szCs w:val="24"/>
          <w:highlight w:val="none"/>
        </w:rPr>
      </w:r>
      <w:r/>
    </w:p>
    <w:p>
      <w:pPr>
        <w:pStyle w:val="1023"/>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w:t>
      </w:r>
      <w:r>
        <w:rPr>
          <w:rFonts w:hint="eastAsia" w:hAnsi="宋体"/>
          <w:color w:val="000000"/>
          <w:sz w:val="24"/>
          <w:szCs w:val="24"/>
          <w:highlight w:val="none"/>
          <w:lang w:val="en-US" w:eastAsia="zh-CN"/>
        </w:rPr>
        <w:t xml:space="preserve">8</w:t>
      </w:r>
      <w:r>
        <w:rPr>
          <w:rFonts w:hint="eastAsia" w:hAnsi="宋体"/>
          <w:color w:val="000000"/>
          <w:sz w:val="24"/>
          <w:szCs w:val="24"/>
          <w:highlight w:val="none"/>
        </w:rPr>
        <w:t xml:space="preserve">.2  如果一方（“受影响方”）由于不可抗力事件的发生，无法或预计无法履行合同下的义务，受影响方就必须在知晓不可抗力的有关事件的5日内向另一方（“非影响方”）提交书面通知，提供不可抗力事件的细节。</w:t>
      </w:r>
      <w:r>
        <w:rPr>
          <w:rFonts w:hint="eastAsia" w:hAnsi="宋体"/>
          <w:color w:val="000000"/>
          <w:sz w:val="24"/>
          <w:szCs w:val="24"/>
          <w:highlight w:val="none"/>
        </w:rPr>
      </w:r>
      <w:r/>
    </w:p>
    <w:p>
      <w:pPr>
        <w:pStyle w:val="1023"/>
        <w:ind w:firstLine="480"/>
        <w:spacing w:line="440" w:lineRule="exact"/>
        <w:rPr>
          <w:rFonts w:hint="eastAsia" w:hAnsi="宋体"/>
          <w:color w:val="000000"/>
          <w:sz w:val="24"/>
          <w:szCs w:val="24"/>
          <w:highlight w:val="none"/>
        </w:rPr>
      </w:pPr>
      <w:r>
        <w:rPr>
          <w:rFonts w:hint="eastAsia" w:hAnsi="宋体"/>
          <w:color w:val="000000"/>
          <w:sz w:val="24"/>
          <w:szCs w:val="24"/>
          <w:highlight w:val="none"/>
          <w:lang w:val="en-US" w:eastAsia="zh-CN"/>
        </w:rPr>
        <w:t xml:space="preserve">18.3</w:t>
      </w:r>
      <w:r>
        <w:rPr>
          <w:rFonts w:hint="eastAsia" w:hAnsi="宋体"/>
          <w:color w:val="000000"/>
          <w:sz w:val="24"/>
          <w:szCs w:val="24"/>
          <w:highlight w:val="none"/>
        </w:rPr>
        <w:t xml:space="preserve"> 受影响方必须采取一切合理的措施，以消除或减轻不可抗力事件有关的影响。</w:t>
      </w:r>
      <w:r>
        <w:rPr>
          <w:rFonts w:hint="eastAsia" w:hAnsi="宋体"/>
          <w:color w:val="000000"/>
          <w:sz w:val="24"/>
          <w:szCs w:val="24"/>
          <w:highlight w:val="none"/>
        </w:rPr>
      </w:r>
      <w:r/>
    </w:p>
    <w:p>
      <w:pPr>
        <w:pStyle w:val="1023"/>
        <w:ind w:left="599" w:hanging="120"/>
        <w:spacing w:line="440" w:lineRule="exact"/>
        <w:rPr>
          <w:rFonts w:hAnsi="宋体"/>
          <w:color w:val="000000"/>
          <w:sz w:val="24"/>
          <w:szCs w:val="24"/>
          <w:highlight w:val="none"/>
        </w:rPr>
      </w:pPr>
      <w:r>
        <w:rPr>
          <w:rFonts w:hint="eastAsia" w:hAnsi="宋体"/>
          <w:color w:val="000000"/>
          <w:sz w:val="24"/>
          <w:szCs w:val="24"/>
          <w:highlight w:val="none"/>
          <w:lang w:val="en-US" w:eastAsia="zh-CN"/>
        </w:rPr>
        <w:t xml:space="preserve">18.4</w:t>
      </w:r>
      <w:r>
        <w:rPr>
          <w:rFonts w:hAnsi="宋体"/>
          <w:color w:val="000000"/>
          <w:sz w:val="24"/>
          <w:szCs w:val="24"/>
          <w:highlight w:val="none"/>
        </w:rPr>
        <w:t xml:space="preserve">在合同有效期内，任何一方因不可抗力事件导致不能履行合同，则合同履</w:t>
      </w:r>
      <w:r>
        <w:rPr>
          <w:rFonts w:hAnsi="宋体"/>
          <w:color w:val="000000"/>
          <w:sz w:val="24"/>
          <w:szCs w:val="24"/>
          <w:highlight w:val="none"/>
        </w:rPr>
      </w:r>
      <w:r/>
    </w:p>
    <w:p>
      <w:pPr>
        <w:pStyle w:val="1023"/>
        <w:spacing w:line="440" w:lineRule="exact"/>
        <w:rPr>
          <w:rFonts w:hAnsi="宋体"/>
          <w:color w:val="000000"/>
          <w:sz w:val="24"/>
          <w:szCs w:val="24"/>
          <w:highlight w:val="none"/>
        </w:rPr>
      </w:pPr>
      <w:r>
        <w:rPr>
          <w:rFonts w:hAnsi="宋体"/>
          <w:color w:val="000000"/>
          <w:sz w:val="24"/>
          <w:szCs w:val="24"/>
          <w:highlight w:val="none"/>
        </w:rPr>
        <w:t xml:space="preserve">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rPr>
          <w:rFonts w:hAnsi="宋体"/>
          <w:color w:val="000000"/>
          <w:sz w:val="24"/>
          <w:szCs w:val="24"/>
          <w:highlight w:val="none"/>
        </w:rPr>
      </w:r>
      <w:r/>
    </w:p>
    <w:p>
      <w:pPr>
        <w:pStyle w:val="1023"/>
        <w:ind w:left="599" w:hanging="120"/>
        <w:spacing w:line="440" w:lineRule="exact"/>
        <w:rPr>
          <w:rFonts w:hAnsi="宋体"/>
          <w:color w:val="000000"/>
          <w:sz w:val="24"/>
          <w:szCs w:val="24"/>
          <w:highlight w:val="none"/>
        </w:rPr>
      </w:pPr>
      <w:r>
        <w:rPr>
          <w:rFonts w:hint="eastAsia" w:hAnsi="宋体"/>
          <w:color w:val="000000"/>
          <w:sz w:val="24"/>
          <w:szCs w:val="24"/>
          <w:highlight w:val="none"/>
          <w:lang w:val="en-US" w:eastAsia="zh-CN"/>
        </w:rPr>
        <w:t xml:space="preserve">18</w:t>
      </w:r>
      <w:r>
        <w:rPr>
          <w:rFonts w:hAnsi="宋体"/>
          <w:color w:val="000000"/>
          <w:sz w:val="24"/>
          <w:szCs w:val="24"/>
          <w:highlight w:val="none"/>
        </w:rPr>
        <w:t xml:space="preserve">.</w:t>
      </w:r>
      <w:r>
        <w:rPr>
          <w:rFonts w:hint="eastAsia" w:hAnsi="宋体"/>
          <w:color w:val="000000"/>
          <w:sz w:val="24"/>
          <w:szCs w:val="24"/>
          <w:highlight w:val="none"/>
          <w:lang w:val="en-US" w:eastAsia="zh-CN"/>
        </w:rPr>
        <w:t xml:space="preserve">5</w:t>
      </w:r>
      <w:r>
        <w:rPr>
          <w:rFonts w:hAnsi="宋体"/>
          <w:color w:val="000000"/>
          <w:sz w:val="24"/>
          <w:szCs w:val="24"/>
          <w:highlight w:val="none"/>
        </w:rPr>
        <w:t xml:space="preserve">不可抗力事件发生后，应立即通知对方，并寄送有关权威机构出具的证明。</w:t>
      </w:r>
      <w:r>
        <w:rPr>
          <w:rFonts w:hAnsi="宋体"/>
          <w:color w:val="000000"/>
          <w:sz w:val="24"/>
          <w:szCs w:val="24"/>
          <w:highlight w:val="none"/>
        </w:rPr>
      </w:r>
      <w:r/>
    </w:p>
    <w:p>
      <w:pPr>
        <w:pStyle w:val="1023"/>
        <w:ind w:left="599" w:hanging="120"/>
        <w:spacing w:line="440" w:lineRule="exact"/>
        <w:rPr>
          <w:rFonts w:hAnsi="宋体"/>
          <w:color w:val="000000"/>
          <w:sz w:val="24"/>
          <w:szCs w:val="24"/>
          <w:highlight w:val="none"/>
        </w:rPr>
      </w:pPr>
      <w:r>
        <w:rPr>
          <w:rFonts w:hint="eastAsia" w:hAnsi="宋体"/>
          <w:color w:val="000000"/>
          <w:sz w:val="24"/>
          <w:szCs w:val="24"/>
          <w:highlight w:val="none"/>
          <w:lang w:val="en-US" w:eastAsia="zh-CN"/>
        </w:rPr>
        <w:t xml:space="preserve">18</w:t>
      </w:r>
      <w:r>
        <w:rPr>
          <w:rFonts w:hAnsi="宋体"/>
          <w:color w:val="000000"/>
          <w:sz w:val="24"/>
          <w:szCs w:val="24"/>
          <w:highlight w:val="none"/>
        </w:rPr>
        <w:t xml:space="preserve">.</w:t>
      </w:r>
      <w:r>
        <w:rPr>
          <w:rFonts w:hint="eastAsia" w:hAnsi="宋体"/>
          <w:color w:val="000000"/>
          <w:sz w:val="24"/>
          <w:szCs w:val="24"/>
          <w:highlight w:val="none"/>
          <w:lang w:val="en-US" w:eastAsia="zh-CN"/>
        </w:rPr>
        <w:t xml:space="preserve">6</w:t>
      </w:r>
      <w:r>
        <w:rPr>
          <w:rFonts w:hAnsi="宋体"/>
          <w:color w:val="000000"/>
          <w:sz w:val="24"/>
          <w:szCs w:val="24"/>
          <w:highlight w:val="none"/>
        </w:rPr>
        <w:t xml:space="preserve">不可抗力事件延续120天以上，双方应通过友好协商，确定是否继续履行</w:t>
      </w:r>
      <w:r>
        <w:rPr>
          <w:rFonts w:hAnsi="宋体"/>
          <w:color w:val="000000"/>
          <w:sz w:val="24"/>
          <w:szCs w:val="24"/>
          <w:highlight w:val="none"/>
        </w:rPr>
      </w:r>
      <w:r/>
    </w:p>
    <w:p>
      <w:pPr>
        <w:pStyle w:val="1023"/>
        <w:spacing w:line="440" w:lineRule="exact"/>
        <w:rPr>
          <w:rFonts w:hint="eastAsia" w:hAnsi="宋体"/>
          <w:color w:val="000000"/>
          <w:sz w:val="24"/>
          <w:szCs w:val="24"/>
          <w:highlight w:val="none"/>
        </w:rPr>
      </w:pPr>
      <w:r>
        <w:rPr>
          <w:rFonts w:hAnsi="宋体"/>
          <w:color w:val="000000"/>
          <w:sz w:val="24"/>
          <w:szCs w:val="24"/>
          <w:highlight w:val="none"/>
        </w:rPr>
        <w:t xml:space="preserve">合同。</w:t>
      </w:r>
      <w:r>
        <w:rPr>
          <w:rFonts w:hint="eastAsia" w:hAnsi="宋体"/>
          <w:color w:val="000000"/>
          <w:sz w:val="24"/>
          <w:szCs w:val="24"/>
          <w:highlight w:val="none"/>
        </w:rPr>
      </w:r>
      <w:r/>
    </w:p>
    <w:p>
      <w:pPr>
        <w:pStyle w:val="1023"/>
        <w:ind w:firstLine="480"/>
        <w:spacing w:line="440" w:lineRule="exact"/>
        <w:rPr>
          <w:rFonts w:hint="eastAsia" w:hAnsi="宋体"/>
          <w:color w:val="000000"/>
          <w:sz w:val="24"/>
          <w:szCs w:val="24"/>
          <w:highlight w:val="none"/>
        </w:rPr>
      </w:pPr>
      <w:r>
        <w:rPr>
          <w:rFonts w:hint="eastAsia" w:hAnsi="宋体"/>
          <w:color w:val="000000"/>
          <w:sz w:val="24"/>
          <w:szCs w:val="24"/>
          <w:highlight w:val="none"/>
          <w:lang w:val="en-US" w:eastAsia="zh-CN"/>
        </w:rPr>
        <w:t xml:space="preserve">18.7</w:t>
      </w:r>
      <w:r>
        <w:rPr>
          <w:rFonts w:hint="eastAsia" w:hAnsi="宋体"/>
          <w:color w:val="000000"/>
          <w:sz w:val="24"/>
          <w:szCs w:val="24"/>
          <w:highlight w:val="none"/>
        </w:rPr>
        <w:t xml:space="preserve">在不可抗力事件持续期间，受影响方的履行义务暂时中止，相应的义务履行期限相应顺延，并将不会对由此造成的损失或损坏对非影响万承担责任。在不可抗力事件结束后，受影响方应该尽快恢复履行本合同下的义务。</w:t>
      </w:r>
      <w:r>
        <w:rPr>
          <w:rFonts w:hint="eastAsia" w:hAnsi="宋体"/>
          <w:color w:val="000000"/>
          <w:sz w:val="24"/>
          <w:szCs w:val="24"/>
          <w:highlight w:val="none"/>
        </w:rPr>
      </w:r>
      <w:r/>
    </w:p>
    <w:p>
      <w:pPr>
        <w:pStyle w:val="1023"/>
        <w:ind w:left="602" w:hanging="602"/>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lang w:eastAsia="zh-CN"/>
        </w:rPr>
        <w:t xml:space="preserve">九</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1023"/>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w:t>
      </w:r>
      <w:r>
        <w:rPr>
          <w:rFonts w:hint="eastAsia" w:hAnsi="宋体"/>
          <w:color w:val="000000"/>
          <w:sz w:val="24"/>
          <w:szCs w:val="24"/>
          <w:highlight w:val="none"/>
          <w:lang w:val="en-US" w:eastAsia="zh-CN"/>
        </w:rPr>
        <w:t xml:space="preserve">9</w:t>
      </w:r>
      <w:r>
        <w:rPr>
          <w:rFonts w:hint="eastAsia" w:hAnsi="宋体"/>
          <w:color w:val="000000"/>
          <w:sz w:val="24"/>
          <w:szCs w:val="24"/>
          <w:highlight w:val="none"/>
        </w:rPr>
        <w:t xml:space="preserve">.1双方在签订、履行合同中所发生的一切争议，应通过友好协商解决。如协商不成，由甲方住所地人民法院管辖。</w:t>
      </w:r>
      <w:r>
        <w:rPr>
          <w:rFonts w:hint="eastAsia" w:hAnsi="宋体"/>
          <w:color w:val="000000"/>
          <w:sz w:val="24"/>
          <w:szCs w:val="24"/>
          <w:highlight w:val="none"/>
        </w:rPr>
      </w:r>
      <w:r/>
    </w:p>
    <w:p>
      <w:pPr>
        <w:pStyle w:val="1023"/>
        <w:ind w:left="602" w:hanging="602"/>
        <w:spacing w:line="440" w:lineRule="exact"/>
        <w:rPr>
          <w:rFonts w:hAnsi="宋体"/>
          <w:b/>
          <w:color w:val="000000"/>
          <w:sz w:val="24"/>
          <w:szCs w:val="24"/>
          <w:highlight w:val="none"/>
        </w:rPr>
      </w:pPr>
      <w:r>
        <w:rPr>
          <w:rFonts w:hint="eastAsia" w:hAnsi="宋体"/>
          <w:b/>
          <w:color w:val="000000"/>
          <w:sz w:val="24"/>
          <w:szCs w:val="24"/>
          <w:highlight w:val="none"/>
          <w:lang w:eastAsia="zh-CN"/>
        </w:rPr>
        <w:t xml:space="preserve">二十</w:t>
      </w:r>
      <w:r>
        <w:rPr>
          <w:rFonts w:hAnsi="宋体"/>
          <w:b/>
          <w:color w:val="000000"/>
          <w:sz w:val="24"/>
          <w:szCs w:val="24"/>
          <w:highlight w:val="none"/>
        </w:rPr>
        <w:t xml:space="preserve">、合同生效及其它</w:t>
      </w:r>
      <w:r>
        <w:rPr>
          <w:rFonts w:hAnsi="宋体"/>
          <w:b/>
          <w:color w:val="000000"/>
          <w:sz w:val="24"/>
          <w:szCs w:val="24"/>
          <w:highlight w:val="none"/>
        </w:rPr>
      </w:r>
      <w:r/>
    </w:p>
    <w:p>
      <w:pPr>
        <w:pStyle w:val="1023"/>
        <w:ind w:firstLine="480"/>
        <w:keepLines w:val="0"/>
        <w:keepNext w:val="0"/>
        <w:pageBreakBefore w:val="0"/>
        <w:spacing w:line="440" w:lineRule="exact"/>
        <w:widowControl w:val="off"/>
        <w:rPr>
          <w:rFonts w:hAnsi="宋体"/>
          <w:color w:val="000000"/>
          <w:sz w:val="24"/>
          <w:szCs w:val="24"/>
          <w:highlight w:val="none"/>
        </w:rPr>
      </w:pPr>
      <w:r>
        <w:rPr>
          <w:rFonts w:hint="eastAsia" w:hAnsi="宋体"/>
          <w:color w:val="000000"/>
          <w:sz w:val="24"/>
          <w:szCs w:val="24"/>
          <w:highlight w:val="none"/>
          <w:lang w:val="en-US" w:eastAsia="zh-CN"/>
        </w:rPr>
        <w:t xml:space="preserve">20</w:t>
      </w:r>
      <w:r>
        <w:rPr>
          <w:rFonts w:hint="eastAsia" w:hAnsi="宋体"/>
          <w:color w:val="000000"/>
          <w:sz w:val="24"/>
          <w:szCs w:val="24"/>
          <w:highlight w:val="none"/>
        </w:rPr>
        <w:t xml:space="preserve">.1由于非乙方的原因导致合同期延长，甲、乙双方应按约定签定补充协议。</w:t>
      </w:r>
      <w:r>
        <w:rPr>
          <w:rFonts w:hAnsi="宋体"/>
          <w:color w:val="000000"/>
          <w:sz w:val="24"/>
          <w:szCs w:val="24"/>
          <w:highlight w:val="none"/>
        </w:rPr>
      </w:r>
      <w:r/>
    </w:p>
    <w:p>
      <w:pPr>
        <w:pStyle w:val="1023"/>
        <w:ind w:firstLine="480"/>
        <w:keepLines w:val="0"/>
        <w:keepNext w:val="0"/>
        <w:pageBreakBefore w:val="0"/>
        <w:spacing w:line="440" w:lineRule="exact"/>
        <w:widowControl w:val="off"/>
        <w:rPr>
          <w:rFonts w:hAnsi="宋体"/>
          <w:color w:val="000000"/>
          <w:sz w:val="24"/>
          <w:szCs w:val="24"/>
          <w:highlight w:val="none"/>
        </w:rPr>
      </w:pPr>
      <w:r>
        <w:rPr>
          <w:rFonts w:hint="eastAsia" w:hAnsi="宋体"/>
          <w:color w:val="000000"/>
          <w:sz w:val="24"/>
          <w:szCs w:val="24"/>
          <w:highlight w:val="none"/>
          <w:lang w:val="en-US" w:eastAsia="zh-CN"/>
        </w:rPr>
        <w:t xml:space="preserve">20</w:t>
      </w:r>
      <w:r>
        <w:rPr>
          <w:rFonts w:hint="eastAsia" w:hAnsi="宋体"/>
          <w:color w:val="000000"/>
          <w:sz w:val="24"/>
          <w:szCs w:val="24"/>
          <w:highlight w:val="none"/>
        </w:rPr>
        <w:t xml:space="preserve">.2若实际</w:t>
      </w:r>
      <w:r>
        <w:rPr>
          <w:rFonts w:hint="eastAsia" w:hAnsi="宋体"/>
          <w:color w:val="000000"/>
          <w:sz w:val="24"/>
          <w:szCs w:val="24"/>
          <w:highlight w:val="none"/>
          <w:lang w:eastAsia="zh-CN"/>
        </w:rPr>
        <w:t xml:space="preserve">中标</w:t>
      </w:r>
      <w:r>
        <w:rPr>
          <w:rFonts w:hint="eastAsia" w:hAnsi="宋体"/>
          <w:color w:val="000000"/>
          <w:sz w:val="24"/>
          <w:szCs w:val="24"/>
          <w:highlight w:val="none"/>
        </w:rPr>
        <w:t xml:space="preserve">量或合同期因故发生重大变化，双方均可提出合同变更请求并应签订补充协议，但所有补充协议总金额不得超过原合同总金额的10%。</w:t>
      </w:r>
      <w:r>
        <w:rPr>
          <w:rFonts w:hAnsi="宋体"/>
          <w:color w:val="000000"/>
          <w:sz w:val="24"/>
          <w:szCs w:val="24"/>
          <w:highlight w:val="none"/>
        </w:rPr>
      </w:r>
      <w:r/>
    </w:p>
    <w:p>
      <w:pPr>
        <w:pStyle w:val="1023"/>
        <w:ind w:firstLine="480"/>
        <w:keepLines w:val="0"/>
        <w:keepNext w:val="0"/>
        <w:pageBreakBefore w:val="0"/>
        <w:spacing w:line="440" w:lineRule="exact"/>
        <w:widowControl w:val="off"/>
        <w:rPr>
          <w:rFonts w:hint="eastAsia" w:hAnsi="宋体"/>
          <w:color w:val="000000"/>
          <w:sz w:val="24"/>
          <w:szCs w:val="24"/>
          <w:highlight w:val="none"/>
        </w:rPr>
      </w:pPr>
      <w:r>
        <w:rPr>
          <w:rFonts w:hint="eastAsia" w:hAnsi="宋体"/>
          <w:color w:val="000000"/>
          <w:sz w:val="24"/>
          <w:szCs w:val="24"/>
          <w:highlight w:val="none"/>
          <w:lang w:val="en-US" w:eastAsia="zh-CN"/>
        </w:rPr>
        <w:t xml:space="preserve">20</w:t>
      </w:r>
      <w:r>
        <w:rPr>
          <w:rFonts w:hint="eastAsia" w:hAnsi="宋体"/>
          <w:color w:val="000000"/>
          <w:sz w:val="24"/>
          <w:szCs w:val="24"/>
          <w:highlight w:val="none"/>
        </w:rPr>
        <w:t xml:space="preserve">.3甲方招标文件、乙方投标文件、会议记录均为本合同的组成部分，具有同等法律效力。</w:t>
      </w:r>
      <w:r>
        <w:rPr>
          <w:rFonts w:hint="eastAsia" w:hAnsi="宋体"/>
          <w:color w:val="000000"/>
          <w:sz w:val="24"/>
          <w:szCs w:val="24"/>
          <w:highlight w:val="none"/>
        </w:rPr>
      </w:r>
      <w:r/>
    </w:p>
    <w:p>
      <w:pPr>
        <w:pStyle w:val="1023"/>
        <w:ind w:firstLine="480"/>
        <w:keepLines w:val="0"/>
        <w:keepNext w:val="0"/>
        <w:pageBreakBefore w:val="0"/>
        <w:spacing w:line="440" w:lineRule="exact"/>
        <w:widowControl w:val="off"/>
        <w:rPr>
          <w:rFonts w:hAnsi="宋体"/>
          <w:color w:val="000000"/>
          <w:sz w:val="24"/>
          <w:szCs w:val="24"/>
          <w:highlight w:val="none"/>
        </w:rPr>
      </w:pPr>
      <w:r>
        <w:rPr>
          <w:rFonts w:hint="eastAsia" w:hAnsi="宋体"/>
          <w:color w:val="000000"/>
          <w:sz w:val="24"/>
          <w:szCs w:val="24"/>
          <w:highlight w:val="none"/>
          <w:lang w:val="en-US" w:eastAsia="zh-CN"/>
        </w:rPr>
        <w:t xml:space="preserve">20</w:t>
      </w:r>
      <w:r>
        <w:rPr>
          <w:rFonts w:hint="eastAsia" w:hAnsi="宋体"/>
          <w:color w:val="000000"/>
          <w:sz w:val="24"/>
          <w:szCs w:val="24"/>
          <w:highlight w:val="none"/>
          <w:lang w:val="en-US" w:eastAsia="zh-CN"/>
        </w:rPr>
        <w:t xml:space="preserve">.</w:t>
      </w:r>
      <w:r>
        <w:rPr>
          <w:rFonts w:hint="eastAsia" w:hAnsi="宋体"/>
          <w:color w:val="000000"/>
          <w:sz w:val="24"/>
          <w:szCs w:val="24"/>
          <w:highlight w:val="none"/>
        </w:rPr>
        <w:t xml:space="preserve">4本合同经各方签字盖章即生效，并自签订之日起七个工作日内，政府采购代理机构须将合同报政府采购监督管理部门备案，加盖“扬中市政府采购备案章”。</w:t>
      </w:r>
      <w:r>
        <w:rPr>
          <w:rFonts w:hAnsi="宋体"/>
          <w:color w:val="000000"/>
          <w:sz w:val="24"/>
          <w:szCs w:val="24"/>
          <w:highlight w:val="none"/>
        </w:rPr>
      </w:r>
      <w:r/>
    </w:p>
    <w:p>
      <w:pPr>
        <w:pStyle w:val="1023"/>
        <w:ind w:firstLine="480"/>
        <w:keepLines w:val="0"/>
        <w:keepNext w:val="0"/>
        <w:pageBreakBefore w:val="0"/>
        <w:spacing w:line="440" w:lineRule="exact"/>
        <w:widowControl w:val="off"/>
        <w:rPr>
          <w:rFonts w:hAnsi="宋体"/>
          <w:color w:val="000000"/>
          <w:sz w:val="24"/>
          <w:szCs w:val="24"/>
          <w:highlight w:val="none"/>
        </w:rPr>
      </w:pPr>
      <w:r>
        <w:rPr>
          <w:rFonts w:hint="eastAsia" w:hAnsi="宋体"/>
          <w:color w:val="000000"/>
          <w:sz w:val="24"/>
          <w:szCs w:val="24"/>
          <w:highlight w:val="none"/>
          <w:lang w:val="en-US" w:eastAsia="zh-CN"/>
        </w:rPr>
        <w:t xml:space="preserve">20</w:t>
      </w:r>
      <w:r>
        <w:rPr>
          <w:rFonts w:hint="eastAsia" w:hAnsi="宋体"/>
          <w:color w:val="000000"/>
          <w:sz w:val="24"/>
          <w:szCs w:val="24"/>
          <w:highlight w:val="none"/>
        </w:rPr>
        <w:t xml:space="preserve">.5本合同一式</w:t>
      </w:r>
      <w:r>
        <w:rPr>
          <w:rFonts w:hint="eastAsia" w:hAnsi="宋体"/>
          <w:color w:val="000000"/>
          <w:sz w:val="24"/>
          <w:szCs w:val="24"/>
          <w:highlight w:val="none"/>
          <w:lang w:eastAsia="zh-CN"/>
        </w:rPr>
        <w:t xml:space="preserve">陆</w:t>
      </w:r>
      <w:r>
        <w:rPr>
          <w:rFonts w:hint="eastAsia" w:hAnsi="宋体"/>
          <w:color w:val="000000"/>
          <w:sz w:val="24"/>
          <w:szCs w:val="24"/>
          <w:highlight w:val="none"/>
        </w:rPr>
        <w:t xml:space="preserve">份，甲方、乙方</w:t>
      </w:r>
      <w:r>
        <w:rPr>
          <w:rFonts w:hint="eastAsia" w:hAnsi="宋体"/>
          <w:color w:val="000000"/>
          <w:sz w:val="24"/>
          <w:szCs w:val="24"/>
          <w:highlight w:val="none"/>
          <w:lang w:eastAsia="zh-CN"/>
        </w:rPr>
        <w:t xml:space="preserve">各执</w:t>
      </w:r>
      <w:r>
        <w:rPr>
          <w:rFonts w:hint="eastAsia" w:hAnsi="宋体"/>
          <w:color w:val="000000"/>
          <w:sz w:val="24"/>
          <w:szCs w:val="24"/>
          <w:highlight w:val="none"/>
          <w:lang w:val="en-US" w:eastAsia="zh-CN"/>
        </w:rPr>
        <w:t xml:space="preserve">2份</w:t>
      </w:r>
      <w:r>
        <w:rPr>
          <w:rFonts w:hint="eastAsia" w:hAnsi="宋体"/>
          <w:color w:val="000000"/>
          <w:sz w:val="24"/>
          <w:szCs w:val="24"/>
          <w:highlight w:val="none"/>
        </w:rPr>
        <w:t xml:space="preserve">、政府采购代理机构、政府采购监督管理部门各执一份。</w:t>
      </w:r>
      <w:r>
        <w:rPr>
          <w:rFonts w:hAnsi="宋体"/>
          <w:color w:val="000000"/>
          <w:sz w:val="24"/>
          <w:szCs w:val="24"/>
          <w:highlight w:val="none"/>
        </w:rPr>
      </w:r>
      <w:r/>
    </w:p>
    <w:p>
      <w:pPr>
        <w:pStyle w:val="98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甲方：（盖章）　　　　   　　       乙方：（盖章）</w:t>
      </w:r>
      <w:r>
        <w:rPr>
          <w:rFonts w:ascii="宋体" w:hAnsi="宋体" w:cs="Courier New"/>
          <w:color w:val="000000"/>
          <w:sz w:val="24"/>
          <w:szCs w:val="24"/>
          <w:highlight w:val="none"/>
        </w:rPr>
      </w:r>
      <w:r/>
    </w:p>
    <w:p>
      <w:pPr>
        <w:pStyle w:val="98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代表：（签字）</w:t>
      </w:r>
      <w:r>
        <w:rPr>
          <w:rFonts w:ascii="宋体" w:hAnsi="宋体" w:cs="Courier New"/>
          <w:color w:val="000000"/>
          <w:sz w:val="24"/>
          <w:szCs w:val="24"/>
          <w:highlight w:val="none"/>
        </w:rPr>
      </w:r>
      <w:r/>
    </w:p>
    <w:p>
      <w:pPr>
        <w:pStyle w:val="98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地址：</w:t>
      </w:r>
      <w:r>
        <w:rPr>
          <w:rFonts w:ascii="宋体" w:hAnsi="宋体" w:cs="Courier New"/>
          <w:color w:val="000000"/>
          <w:sz w:val="24"/>
          <w:szCs w:val="24"/>
          <w:highlight w:val="none"/>
        </w:rPr>
      </w:r>
      <w:r/>
    </w:p>
    <w:p>
      <w:pPr>
        <w:pStyle w:val="985"/>
        <w:ind w:firstLine="338"/>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985"/>
        <w:ind w:left="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采购代理（加盖公章）： </w:t>
      </w:r>
      <w:r>
        <w:rPr>
          <w:rFonts w:ascii="宋体" w:hAnsi="宋体" w:cs="Courier New"/>
          <w:color w:val="000000"/>
          <w:sz w:val="24"/>
          <w:szCs w:val="24"/>
          <w:highlight w:val="none"/>
        </w:rPr>
      </w:r>
      <w:r/>
    </w:p>
    <w:p>
      <w:pPr>
        <w:pStyle w:val="98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w:t>
      </w:r>
      <w:r>
        <w:rPr>
          <w:rFonts w:ascii="宋体" w:hAnsi="宋体" w:cs="Courier New"/>
          <w:color w:val="000000"/>
          <w:sz w:val="24"/>
          <w:szCs w:val="24"/>
          <w:highlight w:val="none"/>
        </w:rPr>
      </w:r>
      <w:r/>
    </w:p>
    <w:p>
      <w:pPr>
        <w:pStyle w:val="98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r>
        <w:rPr>
          <w:rFonts w:ascii="宋体" w:hAnsi="宋体" w:cs="Courier New"/>
          <w:color w:val="000000"/>
          <w:sz w:val="24"/>
          <w:szCs w:val="24"/>
          <w:highlight w:val="none"/>
        </w:rPr>
      </w:r>
      <w:r/>
    </w:p>
    <w:p>
      <w:pPr>
        <w:pStyle w:val="98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985"/>
        <w:ind w:firstLine="4800"/>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签约日期： 年 月 日</w:t>
      </w:r>
      <w:r>
        <w:rPr>
          <w:rFonts w:ascii="宋体" w:hAnsi="宋体" w:cs="Courier New"/>
          <w:color w:val="000000"/>
          <w:sz w:val="24"/>
          <w:szCs w:val="24"/>
          <w:highlight w:val="none"/>
        </w:rPr>
      </w:r>
      <w:r/>
    </w:p>
    <w:p>
      <w:pPr>
        <w:pStyle w:val="1023"/>
        <w:jc w:val="center"/>
        <w:spacing w:before="145" w:after="145" w:line="440" w:lineRule="exact"/>
        <w:rPr>
          <w:rFonts w:hint="eastAsia" w:hAnsi="宋体"/>
          <w:color w:val="000000"/>
          <w:sz w:val="24"/>
          <w:szCs w:val="24"/>
          <w:highlight w:val="none"/>
        </w:rPr>
      </w:pPr>
      <w:r>
        <w:rPr>
          <w:rFonts w:hint="eastAsia" w:ascii="黑体" w:eastAsia="黑体"/>
          <w:bCs/>
          <w:color w:val="000000"/>
          <w:sz w:val="44"/>
          <w:highlight w:val="none"/>
        </w:rPr>
        <w:br w:type="page" w:clear="all"/>
      </w:r>
      <w:bookmarkEnd w:id="188"/>
      <w:r/>
      <w:bookmarkEnd w:id="189"/>
      <w:r/>
      <w:bookmarkEnd w:id="190"/>
      <w:r/>
      <w:bookmarkStart w:id="191" w:name="_Hlt16619350"/>
      <w:r/>
      <w:bookmarkStart w:id="192" w:name="_Toc16938590"/>
      <w:r/>
      <w:bookmarkStart w:id="193" w:name="_Toc120614244"/>
      <w:r/>
      <w:bookmarkStart w:id="194" w:name="_Toc20823346"/>
      <w:r/>
      <w:bookmarkStart w:id="195" w:name="_Toc479757211"/>
      <w:r/>
      <w:bookmarkStart w:id="196" w:name="_Toc462564139"/>
      <w:r>
        <w:rPr>
          <w:rFonts w:hint="eastAsia" w:ascii="黑体" w:eastAsia="黑体"/>
          <w:bCs/>
          <w:color w:val="000000"/>
          <w:sz w:val="32"/>
          <w:szCs w:val="32"/>
          <w:highlight w:val="none"/>
        </w:rPr>
        <w:t xml:space="preserve">第</w:t>
      </w:r>
      <w:bookmarkEnd w:id="191"/>
      <w:r>
        <w:rPr>
          <w:rFonts w:hint="eastAsia" w:ascii="黑体" w:eastAsia="黑体"/>
          <w:bCs/>
          <w:color w:val="000000"/>
          <w:sz w:val="32"/>
          <w:szCs w:val="32"/>
          <w:highlight w:val="none"/>
        </w:rPr>
        <w:t xml:space="preserve">四章 采购需求</w:t>
      </w:r>
      <w:bookmarkEnd w:id="192"/>
      <w:r/>
      <w:bookmarkEnd w:id="193"/>
      <w:r/>
      <w:bookmarkEnd w:id="194"/>
      <w:r>
        <w:rPr>
          <w:rFonts w:hint="eastAsia" w:hAnsi="宋体"/>
          <w:color w:val="000000"/>
          <w:sz w:val="24"/>
          <w:szCs w:val="24"/>
          <w:highlight w:val="none"/>
        </w:rPr>
      </w:r>
      <w:r/>
    </w:p>
    <w:p>
      <w:pPr>
        <w:pStyle w:val="985"/>
        <w:spacing w:line="440" w:lineRule="exact"/>
        <w:rPr>
          <w:rFonts w:hint="eastAsia" w:ascii="宋体" w:hAnsi="宋体"/>
          <w:color w:val="000000"/>
          <w:sz w:val="24"/>
          <w:szCs w:val="24"/>
          <w:highlight w:val="none"/>
        </w:rPr>
      </w:pPr>
      <w:r/>
      <w:bookmarkStart w:id="197" w:name="_Toc26554093"/>
      <w:r/>
      <w:bookmarkStart w:id="198" w:name="_Toc49090575"/>
      <w:r>
        <w:rPr>
          <w:rFonts w:hint="eastAsia" w:ascii="宋体" w:hAnsi="宋体"/>
          <w:color w:val="000000"/>
          <w:sz w:val="24"/>
          <w:szCs w:val="24"/>
          <w:highlight w:val="none"/>
        </w:rPr>
        <w:t xml:space="preserve">项目属性:服务类项目。</w:t>
      </w:r>
      <w:r>
        <w:rPr>
          <w:rFonts w:hint="eastAsia" w:ascii="宋体" w:hAnsi="宋体"/>
          <w:color w:val="000000"/>
          <w:sz w:val="24"/>
          <w:szCs w:val="24"/>
          <w:highlight w:val="none"/>
        </w:rPr>
      </w:r>
      <w:r/>
    </w:p>
    <w:p>
      <w:pPr>
        <w:pStyle w:val="985"/>
        <w:spacing w:line="440" w:lineRule="exact"/>
        <w:rPr>
          <w:rFonts w:hint="eastAsia" w:ascii="宋体" w:hAnsi="宋体" w:eastAsia="宋体" w:cs="Times New Roman"/>
          <w:b/>
          <w:bCs/>
          <w:color w:val="000000"/>
          <w:sz w:val="24"/>
          <w:szCs w:val="24"/>
          <w:highlight w:val="none"/>
          <w:lang w:eastAsia="zh-CN"/>
        </w:rPr>
      </w:pPr>
      <w:r>
        <w:rPr>
          <w:rFonts w:hint="eastAsia"/>
          <w:b/>
          <w:bCs/>
          <w:color w:val="000000"/>
          <w:highlight w:val="none"/>
          <w:lang w:eastAsia="zh-CN"/>
        </w:rPr>
        <w:t xml:space="preserve">一</w:t>
      </w:r>
      <w:r>
        <w:rPr>
          <w:rFonts w:hint="eastAsia" w:ascii="宋体" w:hAnsi="宋体" w:eastAsia="宋体" w:cs="Times New Roman"/>
          <w:b/>
          <w:bCs/>
          <w:color w:val="000000"/>
          <w:sz w:val="24"/>
          <w:szCs w:val="24"/>
          <w:highlight w:val="none"/>
          <w:lang w:eastAsia="zh-CN"/>
        </w:rPr>
        <w:t xml:space="preserve">、项目概况</w:t>
      </w:r>
      <w:r>
        <w:rPr>
          <w:rFonts w:hint="eastAsia" w:ascii="宋体" w:hAnsi="宋体" w:eastAsia="宋体" w:cs="Times New Roman"/>
          <w:b/>
          <w:bCs/>
          <w:color w:val="000000"/>
          <w:sz w:val="24"/>
          <w:szCs w:val="24"/>
          <w:highlight w:val="none"/>
          <w:lang w:eastAsia="zh-CN"/>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扬中市政府位于江苏省镇江市扬中市中电大道8号，为扬中市核心政务办公枢纽，2008年正式投入使用。园区总占地面积248亩，包含主楼、会议中心、档案馆、审批中心等共9栋办公楼。总建筑面积67291m，其中地上63431m2、地下3860m2，中央空调供冷(暖)面积约6.2万m，是典型的大型公共建筑用能单位。建筑功能覆盖行政办公、会议接待、政务服务、档案管理等。本项目旨在通过实施技术、专业化能源管理解决方案，采用能源费用托管型管理方式。</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按照协议约定向供应商支付能源费用托管服务费。供应商负责实施能源系统改造及相关设备运维，同时缴纳本项目能源托管期内的相关费用（电费、水费、天然气费）。项目由节能技改、改造更换设备的维保及相关服务、能耗监控平台建设三大部分组成，包括与之相关的设计、采购、施工、能耗监控平台开发建设等。</w:t>
      </w:r>
      <w:r>
        <w:rPr>
          <w:rFonts w:hint="eastAsia" w:ascii="宋体" w:hAnsi="宋体"/>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1.2</w:t>
      </w:r>
      <w:r>
        <w:rPr>
          <w:rFonts w:hint="eastAsia" w:ascii="宋体" w:hAnsi="宋体" w:eastAsia="宋体" w:cs="Times New Roman"/>
          <w:color w:val="000000"/>
          <w:sz w:val="24"/>
          <w:szCs w:val="24"/>
          <w:highlight w:val="none"/>
          <w:lang w:eastAsia="zh-CN"/>
        </w:rPr>
        <w:t xml:space="preserve">本项目采用“能源费用托管型合同能源管理+专业运维”模式，本项目的能源系统的节能改造和运维管理投资、风险由供应商自行承担。</w:t>
      </w:r>
      <w:r>
        <w:rPr>
          <w:rFonts w:hint="eastAsia" w:ascii="宋体" w:hAnsi="宋体" w:eastAsia="宋体" w:cs="Times New Roman"/>
          <w:color w:val="000000"/>
          <w:sz w:val="24"/>
          <w:szCs w:val="24"/>
          <w:highlight w:val="none"/>
          <w:lang w:eastAsia="zh-CN"/>
        </w:rPr>
      </w:r>
      <w:r/>
    </w:p>
    <w:p>
      <w:pPr>
        <w:pStyle w:val="985"/>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1.3</w:t>
      </w:r>
      <w:r>
        <w:rPr>
          <w:rFonts w:hint="eastAsia" w:ascii="宋体" w:hAnsi="宋体" w:eastAsia="宋体" w:cs="Times New Roman"/>
          <w:color w:val="000000"/>
          <w:sz w:val="24"/>
          <w:szCs w:val="24"/>
          <w:highlight w:val="none"/>
          <w:lang w:eastAsia="zh-CN"/>
        </w:rPr>
        <w:t xml:space="preserve">本项目托管的能源范围为行政中心的水、电、天然气及迎宾楼的水、电、天然气。</w:t>
      </w:r>
      <w:r>
        <w:rPr>
          <w:rFonts w:hint="eastAsia" w:ascii="宋体" w:hAnsi="宋体" w:eastAsia="宋体" w:cs="Times New Roman"/>
          <w:color w:val="000000"/>
          <w:sz w:val="24"/>
          <w:szCs w:val="24"/>
          <w:highlight w:val="none"/>
          <w:lang w:eastAsia="zh-CN"/>
        </w:rPr>
      </w:r>
      <w:r/>
    </w:p>
    <w:p>
      <w:pPr>
        <w:pStyle w:val="985"/>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1.4</w:t>
      </w:r>
      <w:r>
        <w:rPr>
          <w:rFonts w:hint="eastAsia" w:ascii="宋体" w:hAnsi="宋体" w:eastAsia="宋体" w:cs="Times New Roman"/>
          <w:color w:val="000000"/>
          <w:sz w:val="24"/>
          <w:szCs w:val="24"/>
          <w:highlight w:val="none"/>
          <w:lang w:eastAsia="zh-CN"/>
        </w:rPr>
        <w:t xml:space="preserve">根据国家对能源管理的要求及GB/T 24915-2020《合同能源管理技术通则》标准要求，介于</w:t>
      </w:r>
      <w:r>
        <w:rPr>
          <w:rFonts w:hint="eastAsia" w:ascii="宋体" w:hAnsi="宋体" w:eastAsia="宋体" w:cs="Times New Roman"/>
          <w:color w:val="000000"/>
          <w:sz w:val="24"/>
          <w:szCs w:val="24"/>
          <w:highlight w:val="none"/>
          <w:lang w:val="en-US" w:eastAsia="zh-CN"/>
        </w:rPr>
        <w:t xml:space="preserve">行政中心</w:t>
      </w:r>
      <w:r>
        <w:rPr>
          <w:rFonts w:hint="eastAsia" w:ascii="宋体" w:hAnsi="宋体" w:eastAsia="宋体" w:cs="Times New Roman"/>
          <w:color w:val="000000"/>
          <w:sz w:val="24"/>
          <w:szCs w:val="24"/>
          <w:highlight w:val="none"/>
          <w:lang w:eastAsia="zh-CN"/>
        </w:rPr>
        <w:t xml:space="preserve">当前现状，现拟委托专业能源托管服务供应商，采用“能源费用托管型”合同能源管理方式，由招标人委托供应商进行</w:t>
      </w:r>
      <w:r>
        <w:rPr>
          <w:rFonts w:hint="eastAsia" w:ascii="宋体" w:hAnsi="宋体" w:eastAsia="宋体" w:cs="Times New Roman"/>
          <w:color w:val="000000"/>
          <w:sz w:val="24"/>
          <w:szCs w:val="24"/>
          <w:highlight w:val="none"/>
          <w:lang w:val="en-US" w:eastAsia="zh-CN"/>
        </w:rPr>
        <w:t xml:space="preserve">行政中心</w:t>
      </w:r>
      <w:r>
        <w:rPr>
          <w:rFonts w:hint="eastAsia" w:ascii="宋体" w:hAnsi="宋体" w:eastAsia="宋体" w:cs="Times New Roman"/>
          <w:color w:val="000000"/>
          <w:sz w:val="24"/>
          <w:szCs w:val="24"/>
          <w:highlight w:val="none"/>
          <w:lang w:eastAsia="zh-CN"/>
        </w:rPr>
        <w:t xml:space="preserve">能源系统的运行、管理、维护和节能技术改造。</w:t>
      </w:r>
      <w:r>
        <w:rPr>
          <w:rFonts w:hint="eastAsia" w:ascii="宋体" w:hAnsi="宋体" w:eastAsia="宋体" w:cs="Times New Roman"/>
          <w:color w:val="000000"/>
          <w:sz w:val="24"/>
          <w:szCs w:val="24"/>
          <w:highlight w:val="none"/>
          <w:lang w:eastAsia="zh-CN"/>
        </w:rPr>
      </w:r>
      <w:r/>
    </w:p>
    <w:p>
      <w:pPr>
        <w:pStyle w:val="985"/>
        <w:keepLines w:val="0"/>
        <w:keepNext w:val="0"/>
        <w:pageBreakBefore w:val="0"/>
        <w:spacing w:line="440" w:lineRule="exact"/>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二、服务需求</w:t>
      </w:r>
      <w:r>
        <w:rPr>
          <w:rFonts w:hint="eastAsia" w:ascii="宋体" w:hAnsi="宋体" w:eastAsia="宋体" w:cs="Times New Roman"/>
          <w:b/>
          <w:bCs/>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2.1项目目标</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本项目旨在通过技术改造与精细化能效管理结合的方式，使扬中市行政中心实现节能目标。通过综合能源解决方案，采用能源费用托管型合同能源管理方式，委托专业服务公司，利用国内外最新能源及信息技术发展成果，统筹推进</w:t>
      </w:r>
      <w:r>
        <w:rPr>
          <w:rFonts w:hint="eastAsia" w:ascii="宋体" w:hAnsi="宋体" w:eastAsia="宋体" w:cs="Times New Roman"/>
          <w:color w:val="000000"/>
          <w:sz w:val="24"/>
          <w:szCs w:val="24"/>
          <w:highlight w:val="none"/>
          <w:lang w:val="en-US" w:eastAsia="zh-CN"/>
        </w:rPr>
        <w:t xml:space="preserve">行政中心</w:t>
      </w:r>
      <w:r>
        <w:rPr>
          <w:rFonts w:hint="eastAsia" w:ascii="宋体" w:hAnsi="宋体" w:eastAsia="宋体" w:cs="Times New Roman"/>
          <w:color w:val="000000"/>
          <w:sz w:val="24"/>
          <w:szCs w:val="24"/>
          <w:highlight w:val="none"/>
          <w:lang w:eastAsia="zh-CN"/>
        </w:rPr>
        <w:t xml:space="preserve">能源系统改造，并建立能效管控平台，实现能源利用高效化、智能化、数字化，降低建筑的整体能耗。改造项目的投资规模由投标人自行控制，托管期内的经济效益风险由投标人自行承担。</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2.2</w:t>
      </w:r>
      <w:r>
        <w:rPr>
          <w:rFonts w:hint="eastAsia" w:ascii="宋体" w:hAnsi="宋体" w:eastAsia="宋体" w:cs="Times New Roman"/>
          <w:color w:val="000000"/>
          <w:sz w:val="24"/>
          <w:szCs w:val="24"/>
          <w:highlight w:val="none"/>
          <w:lang w:eastAsia="zh-CN"/>
        </w:rPr>
        <w:t xml:space="preserve">服务对象概况</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）建筑面积(用能面积)</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扬中市政府位于中电大道8号，驻地共有9栋办公楼，2008年正式投入使用，总建筑面积约为67291㎡，其中地上63431㎡，地下3860㎡。</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）供冷(暖)面积</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行政中心中央空调供冷(暖)为6.2万㎡。</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）用能人员数量</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目前有32个部门入住办公，用能人员约1450人。合同约定办公人员增、减30人及以上，甲乙双方可协商能源费用调整方式，并经市财政和采购中心确认。</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）办公时间</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目前扬中市政府的办公时间为工作日的上午九点至下午六点。若因上班时间调整导致用能时间变化的，甲乙双方可协商能源费用调整方式。</w:t>
      </w:r>
      <w:r>
        <w:rPr>
          <w:rFonts w:hint="eastAsia" w:ascii="宋体" w:hAnsi="宋体" w:eastAsia="宋体" w:cs="Times New Roman"/>
          <w:color w:val="000000"/>
          <w:sz w:val="24"/>
          <w:szCs w:val="24"/>
          <w:highlight w:val="none"/>
          <w:lang w:eastAsia="zh-CN"/>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（5）供冷供暖日期</w:t>
      </w:r>
      <w:r>
        <w:rPr>
          <w:rFonts w:hint="eastAsia" w:ascii="宋体" w:hAnsi="宋体"/>
          <w:color w:val="000000"/>
          <w:sz w:val="24"/>
          <w:szCs w:val="24"/>
          <w:highlight w:val="none"/>
        </w:rPr>
      </w:r>
      <w:r/>
    </w:p>
    <w:p>
      <w:pPr>
        <w:pStyle w:val="985"/>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① 供冷期：5月15日至10月15日（含两端日）。供冷启动/停止以气候条件为准：室外最高气温连续5天＞26℃、或2天＞29℃、或当天＞31℃开始供冷；连续5天＜24℃、或2天＜23℃、或当天＜21℃停止供冷。梅雨季节、天气闷热等特殊情况不受气温限制，按</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需求供冷。</w:t>
      </w:r>
      <w:r>
        <w:rPr>
          <w:rFonts w:ascii="宋体" w:hAnsi="宋体"/>
          <w:color w:val="000000"/>
          <w:sz w:val="24"/>
          <w:szCs w:val="24"/>
          <w:highlight w:val="none"/>
        </w:rPr>
      </w:r>
      <w:r/>
    </w:p>
    <w:p>
      <w:pPr>
        <w:pStyle w:val="985"/>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② 供暖期：11月15日至次年3月25日（含两端日）。供暖启动/停止以气候条件为准：室外最低气温连续5天＜15℃、或2天＜14℃、或当天＜11℃开始供热；连续5天＞15℃、或2天＞14℃、或当天＞11℃停止供热。气温骤降等特殊情况按</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需求增加应急供热。 </w:t>
      </w:r>
      <w:r>
        <w:rPr>
          <w:rFonts w:ascii="宋体" w:hAnsi="宋体"/>
          <w:color w:val="000000"/>
          <w:sz w:val="24"/>
          <w:szCs w:val="24"/>
          <w:highlight w:val="none"/>
        </w:rPr>
      </w:r>
      <w:r/>
    </w:p>
    <w:p>
      <w:pPr>
        <w:pStyle w:val="985"/>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③ 温度标准：供冷期室内温度不高于26℃；供暖期室内温度不低于18℃。</w:t>
      </w:r>
      <w:r>
        <w:rPr>
          <w:rFonts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④ 本文件及合同中对供冷供暖日期、温度、条件如有其他表述，以本条为准。</w:t>
      </w:r>
      <w:r>
        <w:rPr>
          <w:rFonts w:hint="eastAsia" w:ascii="宋体" w:hAnsi="宋体"/>
          <w:color w:val="000000"/>
          <w:sz w:val="24"/>
          <w:szCs w:val="24"/>
          <w:highlight w:val="none"/>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）当前水电气单价如下:</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电力单价取2023年1月至2025年12月综合电力单价：0.736397元/kWh；电费核查联到户电价平均值0.736397元/kWh；</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水(代缴)：按实际用量代缴，水价3.65元/m³；</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燃气：3.9749元/m³（淡季）、4.</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eastAsia="zh-CN"/>
        </w:rPr>
        <w:t xml:space="preserve">元/m³（旺季）。</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主要用能设备</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）扬中市</w:t>
      </w:r>
      <w:r>
        <w:rPr>
          <w:rFonts w:hint="eastAsia" w:ascii="宋体" w:hAnsi="宋体" w:eastAsia="宋体" w:cs="Times New Roman"/>
          <w:color w:val="000000"/>
          <w:sz w:val="24"/>
          <w:szCs w:val="24"/>
          <w:highlight w:val="none"/>
          <w:lang w:val="en-US" w:eastAsia="zh-CN"/>
        </w:rPr>
        <w:t xml:space="preserve">行政中心</w:t>
      </w:r>
      <w:r>
        <w:rPr>
          <w:rFonts w:hint="eastAsia" w:ascii="宋体" w:hAnsi="宋体" w:eastAsia="宋体" w:cs="Times New Roman"/>
          <w:color w:val="000000"/>
          <w:sz w:val="24"/>
          <w:szCs w:val="24"/>
          <w:highlight w:val="none"/>
          <w:lang w:eastAsia="zh-CN"/>
        </w:rPr>
        <w:t xml:space="preserve">主要用能设备包括中央空调系统、照明、电梯和各种办公设备等。这些用能设备主要消耗的能源品种为电力。</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）扬中市政府建筑主要用电设备表见下表，根据现有主要用电设备表，如发生用能设备功率增、减累计达到50kW及以上时，双方可协商能源费用调整方式。</w:t>
      </w:r>
      <w:r>
        <w:rPr>
          <w:rFonts w:hint="eastAsia" w:ascii="宋体" w:hAnsi="宋体" w:eastAsia="宋体" w:cs="Times New Roman"/>
          <w:color w:val="000000"/>
          <w:sz w:val="24"/>
          <w:szCs w:val="24"/>
          <w:highlight w:val="none"/>
          <w:lang w:eastAsia="zh-CN"/>
        </w:rPr>
      </w:r>
      <w:r/>
    </w:p>
    <w:p>
      <w:pPr>
        <w:pStyle w:val="985"/>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单位主要用能设备详见表1-3-1各主要用能设备表。</w:t>
      </w:r>
      <w:r>
        <w:rPr>
          <w:rFonts w:hint="eastAsia" w:ascii="宋体" w:hAnsi="宋体" w:eastAsia="宋体" w:cs="Times New Roman"/>
          <w:color w:val="000000"/>
          <w:sz w:val="24"/>
          <w:szCs w:val="24"/>
          <w:highlight w:val="none"/>
          <w:lang w:eastAsia="zh-CN"/>
        </w:rPr>
      </w:r>
      <w:r/>
    </w:p>
    <w:p>
      <w:pPr>
        <w:pStyle w:val="985"/>
        <w:ind w:firstLine="482"/>
        <w:jc w:val="center"/>
        <w:keepLines w:val="0"/>
        <w:keepNext w:val="0"/>
        <w:pageBreakBefore w:val="0"/>
        <w:spacing w:line="440" w:lineRule="exact"/>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表1-3-1主要用能设备表</w:t>
      </w:r>
      <w:r>
        <w:rPr>
          <w:rFonts w:hint="eastAsia" w:ascii="宋体" w:hAnsi="宋体" w:eastAsia="宋体" w:cs="Times New Roman"/>
          <w:b/>
          <w:bCs/>
          <w:color w:val="000000"/>
          <w:sz w:val="24"/>
          <w:szCs w:val="24"/>
          <w:highlight w:val="none"/>
          <w:lang w:eastAsia="zh-CN"/>
        </w:rPr>
      </w:r>
      <w:r/>
    </w:p>
    <w:tbl>
      <w:tblPr>
        <w:tblStyle w:val="1105"/>
        <w:tblW w:w="85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6"/>
        <w:gridCol w:w="567"/>
        <w:gridCol w:w="1701"/>
        <w:gridCol w:w="1405"/>
        <w:gridCol w:w="1029"/>
        <w:gridCol w:w="968"/>
        <w:gridCol w:w="1993"/>
      </w:tblGrid>
      <w:tr>
        <w:trPr>
          <w:trHeight w:val="564"/>
        </w:trPr>
        <w:tc>
          <w:tcPr>
            <w:tcW w:w="846" w:type="dxa"/>
            <w:vAlign w:val="center"/>
            <w:textDirection w:val="lrTb"/>
            <w:noWrap w:val="false"/>
          </w:tcPr>
          <w:p>
            <w:pPr>
              <w:pStyle w:val="1104"/>
              <w:ind w:left="94"/>
              <w:rPr>
                <w:color w:val="000000"/>
                <w:sz w:val="22"/>
                <w:szCs w:val="22"/>
                <w:highlight w:val="none"/>
              </w:rPr>
            </w:pPr>
            <w:r>
              <w:rPr>
                <w:color w:val="000000"/>
                <w:spacing w:val="5"/>
                <w:sz w:val="22"/>
                <w:szCs w:val="22"/>
                <w:highlight w:val="none"/>
              </w:rPr>
              <w:t xml:space="preserve">用能</w:t>
            </w:r>
            <w:r>
              <w:rPr>
                <w:color w:val="000000"/>
                <w:sz w:val="22"/>
                <w:szCs w:val="22"/>
                <w:highlight w:val="none"/>
              </w:rPr>
            </w:r>
            <w:r/>
          </w:p>
          <w:p>
            <w:pPr>
              <w:pStyle w:val="1104"/>
              <w:ind w:left="94"/>
              <w:rPr>
                <w:color w:val="000000"/>
                <w:sz w:val="22"/>
                <w:szCs w:val="22"/>
                <w:highlight w:val="none"/>
              </w:rPr>
            </w:pPr>
            <w:r>
              <w:rPr>
                <w:color w:val="000000"/>
                <w:spacing w:val="5"/>
                <w:sz w:val="22"/>
                <w:szCs w:val="22"/>
                <w:highlight w:val="none"/>
              </w:rPr>
              <w:t xml:space="preserve">系统</w:t>
            </w:r>
            <w:r>
              <w:rPr>
                <w:color w:val="000000"/>
                <w:sz w:val="22"/>
                <w:szCs w:val="22"/>
                <w:highlight w:val="none"/>
              </w:rPr>
            </w:r>
            <w:r/>
          </w:p>
        </w:tc>
        <w:tc>
          <w:tcPr>
            <w:tcW w:w="567" w:type="dxa"/>
            <w:vAlign w:val="center"/>
            <w:textDirection w:val="tbRlV"/>
            <w:noWrap w:val="false"/>
          </w:tcPr>
          <w:p>
            <w:pPr>
              <w:pStyle w:val="1104"/>
              <w:ind w:left="43"/>
              <w:rPr>
                <w:color w:val="000000"/>
                <w:sz w:val="22"/>
                <w:szCs w:val="22"/>
                <w:highlight w:val="none"/>
              </w:rPr>
            </w:pPr>
            <w:r>
              <w:rPr>
                <w:color w:val="000000"/>
                <w:sz w:val="22"/>
                <w:szCs w:val="22"/>
                <w:highlight w:val="none"/>
              </w:rPr>
              <w:t xml:space="preserve">序号</w:t>
            </w:r>
            <w:r>
              <w:rPr>
                <w:color w:val="000000"/>
                <w:sz w:val="22"/>
                <w:szCs w:val="22"/>
                <w:highlight w:val="none"/>
              </w:rPr>
            </w:r>
            <w:r/>
          </w:p>
        </w:tc>
        <w:tc>
          <w:tcPr>
            <w:tcW w:w="1701" w:type="dxa"/>
            <w:vAlign w:val="center"/>
            <w:textDirection w:val="lrTb"/>
            <w:noWrap w:val="false"/>
          </w:tcPr>
          <w:p>
            <w:pPr>
              <w:pStyle w:val="1104"/>
              <w:ind w:left="341"/>
              <w:rPr>
                <w:color w:val="000000"/>
                <w:sz w:val="22"/>
                <w:szCs w:val="22"/>
                <w:highlight w:val="none"/>
              </w:rPr>
            </w:pPr>
            <w:r>
              <w:rPr>
                <w:color w:val="000000"/>
                <w:spacing w:val="2"/>
                <w:sz w:val="22"/>
                <w:szCs w:val="22"/>
                <w:highlight w:val="none"/>
              </w:rPr>
              <w:t xml:space="preserve">设备名称</w:t>
            </w:r>
            <w:r>
              <w:rPr>
                <w:color w:val="000000"/>
                <w:sz w:val="22"/>
                <w:szCs w:val="22"/>
                <w:highlight w:val="none"/>
              </w:rPr>
            </w:r>
            <w:r/>
          </w:p>
        </w:tc>
        <w:tc>
          <w:tcPr>
            <w:tcW w:w="1405" w:type="dxa"/>
            <w:vAlign w:val="center"/>
            <w:textDirection w:val="lrTb"/>
            <w:noWrap w:val="false"/>
          </w:tcPr>
          <w:p>
            <w:pPr>
              <w:pStyle w:val="1104"/>
              <w:ind w:left="693"/>
              <w:rPr>
                <w:color w:val="000000"/>
                <w:sz w:val="22"/>
                <w:szCs w:val="22"/>
                <w:highlight w:val="none"/>
              </w:rPr>
            </w:pPr>
            <w:r>
              <w:rPr>
                <w:color w:val="000000"/>
                <w:spacing w:val="-7"/>
                <w:sz w:val="22"/>
                <w:szCs w:val="22"/>
                <w:highlight w:val="none"/>
              </w:rPr>
              <w:t xml:space="preserve">型号</w:t>
            </w:r>
            <w:r>
              <w:rPr>
                <w:color w:val="000000"/>
                <w:sz w:val="22"/>
                <w:szCs w:val="22"/>
                <w:highlight w:val="none"/>
              </w:rPr>
            </w:r>
            <w:r/>
          </w:p>
        </w:tc>
        <w:tc>
          <w:tcPr>
            <w:tcW w:w="1029" w:type="dxa"/>
            <w:vAlign w:val="center"/>
            <w:textDirection w:val="lrTb"/>
            <w:noWrap w:val="false"/>
          </w:tcPr>
          <w:p>
            <w:pPr>
              <w:pStyle w:val="1104"/>
              <w:ind w:left="285"/>
              <w:rPr>
                <w:color w:val="000000"/>
                <w:sz w:val="22"/>
                <w:szCs w:val="22"/>
                <w:highlight w:val="none"/>
              </w:rPr>
            </w:pPr>
            <w:r>
              <w:rPr>
                <w:color w:val="000000"/>
                <w:spacing w:val="4"/>
                <w:sz w:val="22"/>
                <w:szCs w:val="22"/>
                <w:highlight w:val="none"/>
              </w:rPr>
              <w:t xml:space="preserve">品牌</w:t>
            </w:r>
            <w:r>
              <w:rPr>
                <w:color w:val="000000"/>
                <w:sz w:val="22"/>
                <w:szCs w:val="22"/>
                <w:highlight w:val="none"/>
              </w:rPr>
            </w:r>
            <w:r/>
          </w:p>
        </w:tc>
        <w:tc>
          <w:tcPr>
            <w:tcW w:w="968" w:type="dxa"/>
            <w:vAlign w:val="center"/>
            <w:textDirection w:val="lrTb"/>
            <w:noWrap w:val="false"/>
          </w:tcPr>
          <w:p>
            <w:pPr>
              <w:pStyle w:val="1104"/>
              <w:jc w:val="center"/>
              <w:rPr>
                <w:color w:val="000000"/>
                <w:sz w:val="22"/>
                <w:szCs w:val="22"/>
                <w:highlight w:val="none"/>
              </w:rPr>
            </w:pPr>
            <w:r>
              <w:rPr>
                <w:color w:val="000000"/>
                <w:spacing w:val="-5"/>
                <w:sz w:val="22"/>
                <w:szCs w:val="22"/>
                <w:highlight w:val="none"/>
              </w:rPr>
              <w:t xml:space="preserve">数量</w:t>
            </w:r>
            <w:r>
              <w:rPr>
                <w:color w:val="000000"/>
                <w:sz w:val="22"/>
                <w:szCs w:val="22"/>
                <w:highlight w:val="none"/>
              </w:rPr>
            </w:r>
            <w:r/>
          </w:p>
        </w:tc>
        <w:tc>
          <w:tcPr>
            <w:tcW w:w="1993" w:type="dxa"/>
            <w:vAlign w:val="center"/>
            <w:textDirection w:val="lrTb"/>
            <w:noWrap w:val="false"/>
          </w:tcPr>
          <w:p>
            <w:pPr>
              <w:pStyle w:val="1104"/>
              <w:ind w:left="688"/>
              <w:rPr>
                <w:color w:val="000000"/>
                <w:sz w:val="22"/>
                <w:szCs w:val="22"/>
                <w:highlight w:val="none"/>
              </w:rPr>
            </w:pPr>
            <w:r>
              <w:rPr>
                <w:color w:val="000000"/>
                <w:spacing w:val="-5"/>
                <w:sz w:val="22"/>
                <w:szCs w:val="22"/>
                <w:highlight w:val="none"/>
              </w:rPr>
              <w:t xml:space="preserve">备注</w:t>
            </w:r>
            <w:r>
              <w:rPr>
                <w:color w:val="000000"/>
                <w:sz w:val="22"/>
                <w:szCs w:val="22"/>
                <w:highlight w:val="none"/>
              </w:rPr>
            </w:r>
            <w:r/>
          </w:p>
        </w:tc>
      </w:tr>
      <w:tr>
        <w:trPr>
          <w:trHeight w:val="560"/>
        </w:trPr>
        <w:tc>
          <w:tcPr>
            <w:tcW w:w="846" w:type="dxa"/>
            <w:vAlign w:val="center"/>
            <w:vMerge w:val="restart"/>
            <w:textDirection w:val="lrTb"/>
            <w:noWrap w:val="false"/>
          </w:tcPr>
          <w:p>
            <w:pPr>
              <w:pStyle w:val="1104"/>
              <w:ind w:left="94" w:right="107"/>
              <w:jc w:val="center"/>
              <w:rPr>
                <w:color w:val="000000"/>
                <w:sz w:val="22"/>
                <w:szCs w:val="22"/>
                <w:highlight w:val="none"/>
              </w:rPr>
            </w:pPr>
            <w:r>
              <w:rPr>
                <w:color w:val="000000"/>
                <w:spacing w:val="-6"/>
                <w:sz w:val="22"/>
                <w:szCs w:val="22"/>
                <w:highlight w:val="none"/>
              </w:rPr>
              <w:t xml:space="preserve">空调</w:t>
            </w:r>
            <w:r>
              <w:rPr>
                <w:color w:val="000000"/>
                <w:sz w:val="22"/>
                <w:szCs w:val="22"/>
                <w:highlight w:val="none"/>
              </w:rPr>
              <w:t xml:space="preserve"> </w:t>
            </w:r>
            <w:r>
              <w:rPr>
                <w:color w:val="000000"/>
                <w:spacing w:val="-5"/>
                <w:sz w:val="22"/>
                <w:szCs w:val="22"/>
                <w:highlight w:val="none"/>
              </w:rPr>
              <w:t xml:space="preserve">暖通</w:t>
            </w:r>
            <w:r>
              <w:rPr>
                <w:color w:val="000000"/>
                <w:spacing w:val="5"/>
                <w:sz w:val="22"/>
                <w:szCs w:val="22"/>
                <w:highlight w:val="none"/>
              </w:rPr>
              <w:t xml:space="preserve">系统</w:t>
            </w:r>
            <w:r>
              <w:rPr>
                <w:color w:val="000000"/>
                <w:sz w:val="22"/>
                <w:szCs w:val="22"/>
                <w:highlight w:val="none"/>
              </w:rPr>
            </w:r>
            <w:r/>
          </w:p>
        </w:tc>
        <w:tc>
          <w:tcPr>
            <w:tcW w:w="567" w:type="dxa"/>
            <w:vAlign w:val="center"/>
            <w:textDirection w:val="lrTb"/>
            <w:noWrap w:val="false"/>
          </w:tcPr>
          <w:p>
            <w:pPr>
              <w:pStyle w:val="1104"/>
              <w:ind w:left="150"/>
              <w:rPr>
                <w:color w:val="000000"/>
                <w:sz w:val="22"/>
                <w:szCs w:val="22"/>
                <w:highlight w:val="none"/>
              </w:rPr>
            </w:pPr>
            <w:r>
              <w:rPr>
                <w:color w:val="000000"/>
                <w:sz w:val="22"/>
                <w:szCs w:val="22"/>
                <w:highlight w:val="none"/>
              </w:rPr>
              <w:t xml:space="preserve">1</w:t>
            </w:r>
            <w:r>
              <w:rPr>
                <w:color w:val="000000"/>
                <w:sz w:val="22"/>
                <w:szCs w:val="22"/>
                <w:highlight w:val="none"/>
              </w:rPr>
            </w:r>
            <w:r/>
          </w:p>
        </w:tc>
        <w:tc>
          <w:tcPr>
            <w:tcW w:w="1701" w:type="dxa"/>
            <w:vAlign w:val="center"/>
            <w:textDirection w:val="lrTb"/>
            <w:noWrap w:val="false"/>
          </w:tcPr>
          <w:p>
            <w:pPr>
              <w:pStyle w:val="1104"/>
              <w:ind w:left="121"/>
              <w:jc w:val="center"/>
              <w:rPr>
                <w:color w:val="000000"/>
                <w:sz w:val="22"/>
                <w:szCs w:val="22"/>
                <w:highlight w:val="none"/>
              </w:rPr>
            </w:pPr>
            <w:r>
              <w:rPr>
                <w:color w:val="000000"/>
                <w:spacing w:val="1"/>
                <w:sz w:val="22"/>
                <w:szCs w:val="22"/>
                <w:highlight w:val="none"/>
              </w:rPr>
              <w:t xml:space="preserve">离心式冷水机</w:t>
            </w:r>
            <w:r>
              <w:rPr>
                <w:color w:val="000000"/>
                <w:sz w:val="22"/>
                <w:szCs w:val="22"/>
                <w:highlight w:val="none"/>
              </w:rPr>
              <w:t xml:space="preserve">组</w:t>
            </w:r>
            <w:r>
              <w:rPr>
                <w:color w:val="000000"/>
                <w:sz w:val="22"/>
                <w:szCs w:val="22"/>
                <w:highlight w:val="none"/>
              </w:rPr>
            </w:r>
            <w:r/>
          </w:p>
        </w:tc>
        <w:tc>
          <w:tcPr>
            <w:tcW w:w="1405" w:type="dxa"/>
            <w:vAlign w:val="center"/>
            <w:textDirection w:val="lrTb"/>
            <w:noWrap w:val="false"/>
          </w:tcPr>
          <w:p>
            <w:pPr>
              <w:pStyle w:val="1104"/>
              <w:jc w:val="center"/>
              <w:rPr>
                <w:color w:val="000000"/>
                <w:sz w:val="22"/>
                <w:szCs w:val="22"/>
                <w:highlight w:val="none"/>
              </w:rPr>
            </w:pPr>
            <w:r>
              <w:rPr>
                <w:color w:val="000000"/>
                <w:spacing w:val="-1"/>
                <w:sz w:val="22"/>
                <w:szCs w:val="22"/>
                <w:highlight w:val="none"/>
              </w:rPr>
              <w:t xml:space="preserve">YKCECDQ75CNF</w:t>
            </w:r>
            <w:r>
              <w:rPr>
                <w:color w:val="000000"/>
                <w:sz w:val="22"/>
                <w:szCs w:val="22"/>
                <w:highlight w:val="none"/>
              </w:rPr>
            </w:r>
            <w:r/>
          </w:p>
        </w:tc>
        <w:tc>
          <w:tcPr>
            <w:tcW w:w="1029" w:type="dxa"/>
            <w:vAlign w:val="center"/>
            <w:textDirection w:val="lrTb"/>
            <w:noWrap w:val="false"/>
          </w:tcPr>
          <w:p>
            <w:pPr>
              <w:pStyle w:val="1104"/>
              <w:jc w:val="center"/>
              <w:rPr>
                <w:color w:val="000000"/>
                <w:sz w:val="22"/>
                <w:szCs w:val="22"/>
                <w:highlight w:val="none"/>
              </w:rPr>
            </w:pPr>
            <w:r>
              <w:rPr>
                <w:color w:val="000000"/>
                <w:spacing w:val="-7"/>
                <w:sz w:val="22"/>
                <w:szCs w:val="22"/>
                <w:highlight w:val="none"/>
              </w:rPr>
              <w:t xml:space="preserve">约克</w:t>
            </w:r>
            <w:r>
              <w:rPr>
                <w:color w:val="000000"/>
                <w:sz w:val="22"/>
                <w:szCs w:val="22"/>
                <w:highlight w:val="none"/>
              </w:rPr>
            </w:r>
            <w:r/>
          </w:p>
        </w:tc>
        <w:tc>
          <w:tcPr>
            <w:tcW w:w="968" w:type="dxa"/>
            <w:vAlign w:val="center"/>
            <w:textDirection w:val="lrTb"/>
            <w:noWrap w:val="false"/>
          </w:tcPr>
          <w:p>
            <w:pPr>
              <w:pStyle w:val="1104"/>
              <w:jc w:val="center"/>
              <w:rPr>
                <w:color w:val="000000"/>
                <w:sz w:val="22"/>
                <w:szCs w:val="22"/>
                <w:highlight w:val="none"/>
              </w:rPr>
            </w:pPr>
            <w:r>
              <w:rPr>
                <w:color w:val="000000"/>
                <w:sz w:val="22"/>
                <w:szCs w:val="22"/>
                <w:highlight w:val="none"/>
              </w:rPr>
              <w:t xml:space="preserve">3</w:t>
            </w:r>
            <w:r>
              <w:rPr>
                <w:color w:val="000000"/>
                <w:sz w:val="22"/>
                <w:szCs w:val="22"/>
                <w:highlight w:val="none"/>
              </w:rPr>
            </w:r>
            <w:r/>
          </w:p>
        </w:tc>
        <w:tc>
          <w:tcPr>
            <w:tcW w:w="1993" w:type="dxa"/>
            <w:vAlign w:val="center"/>
            <w:textDirection w:val="lrTb"/>
            <w:noWrap w:val="false"/>
          </w:tcPr>
          <w:p>
            <w:pPr>
              <w:pStyle w:val="1104"/>
              <w:ind w:left="139"/>
              <w:rPr>
                <w:color w:val="000000"/>
                <w:sz w:val="22"/>
                <w:szCs w:val="22"/>
                <w:highlight w:val="none"/>
              </w:rPr>
            </w:pPr>
            <w:r>
              <w:rPr>
                <w:color w:val="000000"/>
                <w:spacing w:val="1"/>
                <w:sz w:val="22"/>
                <w:szCs w:val="22"/>
                <w:highlight w:val="none"/>
              </w:rPr>
              <w:t xml:space="preserve">2台定频、1台变</w:t>
            </w:r>
            <w:r>
              <w:rPr>
                <w:color w:val="000000"/>
                <w:sz w:val="22"/>
                <w:szCs w:val="22"/>
                <w:highlight w:val="none"/>
              </w:rPr>
              <w:t xml:space="preserve">频</w:t>
            </w:r>
            <w:r>
              <w:rPr>
                <w:color w:val="000000"/>
                <w:sz w:val="22"/>
                <w:szCs w:val="22"/>
                <w:highlight w:val="none"/>
              </w:rPr>
            </w:r>
            <w:r/>
          </w:p>
        </w:tc>
      </w:tr>
      <w:tr>
        <w:trPr>
          <w:trHeight w:val="569"/>
        </w:trPr>
        <w:tc>
          <w:tcPr>
            <w:tcW w:w="846" w:type="dxa"/>
            <w:vAlign w:val="center"/>
            <w:vMerge w:val="continue"/>
            <w:textDirection w:val="lrTb"/>
            <w:noWrap w:val="false"/>
          </w:tcPr>
          <w:p>
            <w:pPr>
              <w:pStyle w:val="985"/>
              <w:rPr>
                <w:rFonts w:ascii="Arial" w:hAnsi="Arial" w:cs="Arial"/>
                <w:color w:val="000000"/>
                <w:sz w:val="20"/>
                <w:szCs w:val="20"/>
                <w:highlight w:val="none"/>
              </w:rPr>
            </w:pPr>
            <w:r>
              <w:rPr>
                <w:rFonts w:ascii="Arial" w:hAnsi="Arial" w:cs="Arial"/>
                <w:color w:val="000000"/>
                <w:sz w:val="20"/>
                <w:szCs w:val="20"/>
                <w:highlight w:val="none"/>
              </w:rPr>
            </w:r>
            <w:r/>
          </w:p>
        </w:tc>
        <w:tc>
          <w:tcPr>
            <w:tcW w:w="567" w:type="dxa"/>
            <w:vAlign w:val="center"/>
            <w:textDirection w:val="lrTb"/>
            <w:noWrap w:val="false"/>
          </w:tcPr>
          <w:p>
            <w:pPr>
              <w:pStyle w:val="1104"/>
              <w:ind w:left="150"/>
              <w:rPr>
                <w:color w:val="000000"/>
                <w:sz w:val="22"/>
                <w:szCs w:val="22"/>
                <w:highlight w:val="none"/>
              </w:rPr>
            </w:pPr>
            <w:r>
              <w:rPr>
                <w:color w:val="000000"/>
                <w:sz w:val="22"/>
                <w:szCs w:val="22"/>
                <w:highlight w:val="none"/>
              </w:rPr>
              <w:t xml:space="preserve">2</w:t>
            </w:r>
            <w:r>
              <w:rPr>
                <w:color w:val="000000"/>
                <w:sz w:val="22"/>
                <w:szCs w:val="22"/>
                <w:highlight w:val="none"/>
              </w:rPr>
            </w:r>
            <w:r/>
          </w:p>
        </w:tc>
        <w:tc>
          <w:tcPr>
            <w:tcW w:w="1701" w:type="dxa"/>
            <w:vAlign w:val="center"/>
            <w:textDirection w:val="lrTb"/>
            <w:noWrap w:val="false"/>
          </w:tcPr>
          <w:p>
            <w:pPr>
              <w:pStyle w:val="1104"/>
              <w:ind w:left="121"/>
              <w:jc w:val="center"/>
              <w:rPr>
                <w:color w:val="000000"/>
                <w:sz w:val="22"/>
                <w:szCs w:val="22"/>
                <w:highlight w:val="none"/>
              </w:rPr>
            </w:pPr>
            <w:r>
              <w:rPr>
                <w:color w:val="000000"/>
                <w:spacing w:val="-2"/>
                <w:sz w:val="22"/>
                <w:szCs w:val="22"/>
                <w:highlight w:val="none"/>
              </w:rPr>
              <w:t xml:space="preserve">螺杆式冷水机</w:t>
            </w:r>
            <w:r>
              <w:rPr>
                <w:color w:val="000000"/>
                <w:sz w:val="22"/>
                <w:szCs w:val="22"/>
                <w:highlight w:val="none"/>
              </w:rPr>
              <w:t xml:space="preserve">组</w:t>
            </w:r>
            <w:r>
              <w:rPr>
                <w:color w:val="000000"/>
                <w:sz w:val="22"/>
                <w:szCs w:val="22"/>
                <w:highlight w:val="none"/>
              </w:rPr>
            </w:r>
            <w:r/>
          </w:p>
        </w:tc>
        <w:tc>
          <w:tcPr>
            <w:tcW w:w="1405" w:type="dxa"/>
            <w:vAlign w:val="center"/>
            <w:textDirection w:val="lrTb"/>
            <w:noWrap w:val="false"/>
          </w:tcPr>
          <w:p>
            <w:pPr>
              <w:pStyle w:val="1104"/>
              <w:jc w:val="center"/>
              <w:rPr>
                <w:color w:val="000000"/>
                <w:sz w:val="22"/>
                <w:szCs w:val="22"/>
                <w:highlight w:val="none"/>
              </w:rPr>
            </w:pPr>
            <w:r>
              <w:rPr>
                <w:color w:val="000000"/>
                <w:spacing w:val="-1"/>
                <w:sz w:val="22"/>
                <w:szCs w:val="22"/>
                <w:highlight w:val="none"/>
              </w:rPr>
              <w:t xml:space="preserve">YBWC240sc50B</w:t>
            </w:r>
            <w:r>
              <w:rPr>
                <w:color w:val="000000"/>
                <w:sz w:val="22"/>
                <w:szCs w:val="22"/>
                <w:highlight w:val="none"/>
              </w:rPr>
            </w:r>
            <w:r/>
          </w:p>
        </w:tc>
        <w:tc>
          <w:tcPr>
            <w:tcW w:w="1029" w:type="dxa"/>
            <w:vAlign w:val="center"/>
            <w:textDirection w:val="lrTb"/>
            <w:noWrap w:val="false"/>
          </w:tcPr>
          <w:p>
            <w:pPr>
              <w:pStyle w:val="1104"/>
              <w:jc w:val="center"/>
              <w:rPr>
                <w:color w:val="000000"/>
                <w:sz w:val="22"/>
                <w:szCs w:val="22"/>
                <w:highlight w:val="none"/>
              </w:rPr>
            </w:pPr>
            <w:r>
              <w:rPr>
                <w:color w:val="000000"/>
                <w:spacing w:val="6"/>
                <w:sz w:val="22"/>
                <w:szCs w:val="22"/>
                <w:highlight w:val="none"/>
              </w:rPr>
              <w:t xml:space="preserve">约克</w:t>
            </w:r>
            <w:r>
              <w:rPr>
                <w:color w:val="000000"/>
                <w:sz w:val="22"/>
                <w:szCs w:val="22"/>
                <w:highlight w:val="none"/>
              </w:rPr>
            </w:r>
            <w:r/>
          </w:p>
        </w:tc>
        <w:tc>
          <w:tcPr>
            <w:tcW w:w="968" w:type="dxa"/>
            <w:vAlign w:val="center"/>
            <w:textDirection w:val="lrTb"/>
            <w:noWrap w:val="false"/>
          </w:tcPr>
          <w:p>
            <w:pPr>
              <w:pStyle w:val="1104"/>
              <w:jc w:val="center"/>
              <w:rPr>
                <w:color w:val="000000"/>
                <w:sz w:val="22"/>
                <w:szCs w:val="22"/>
                <w:highlight w:val="none"/>
              </w:rPr>
            </w:pPr>
            <w:r>
              <w:rPr>
                <w:color w:val="000000"/>
                <w:sz w:val="22"/>
                <w:szCs w:val="22"/>
                <w:highlight w:val="none"/>
              </w:rPr>
              <w:t xml:space="preserve">1</w:t>
            </w:r>
            <w:r>
              <w:rPr>
                <w:color w:val="000000"/>
                <w:sz w:val="22"/>
                <w:szCs w:val="22"/>
                <w:highlight w:val="none"/>
              </w:rPr>
            </w:r>
            <w:r/>
          </w:p>
        </w:tc>
        <w:tc>
          <w:tcPr>
            <w:tcW w:w="1993" w:type="dxa"/>
            <w:vAlign w:val="center"/>
            <w:textDirection w:val="lrTb"/>
            <w:noWrap w:val="false"/>
          </w:tcPr>
          <w:p>
            <w:pPr>
              <w:pStyle w:val="1104"/>
              <w:ind w:left="248"/>
              <w:rPr>
                <w:color w:val="000000"/>
                <w:sz w:val="22"/>
                <w:szCs w:val="22"/>
                <w:highlight w:val="none"/>
              </w:rPr>
            </w:pPr>
            <w:r>
              <w:rPr>
                <w:color w:val="000000"/>
                <w:spacing w:val="4"/>
                <w:sz w:val="22"/>
                <w:szCs w:val="22"/>
                <w:highlight w:val="none"/>
              </w:rPr>
              <w:t xml:space="preserve">供迎宾楼使用</w:t>
            </w:r>
            <w:r>
              <w:rPr>
                <w:color w:val="000000"/>
                <w:sz w:val="22"/>
                <w:szCs w:val="22"/>
                <w:highlight w:val="none"/>
              </w:rPr>
            </w:r>
            <w:r/>
          </w:p>
        </w:tc>
      </w:tr>
      <w:tr>
        <w:trPr>
          <w:trHeight w:val="569"/>
        </w:trPr>
        <w:tc>
          <w:tcPr>
            <w:tcW w:w="846" w:type="dxa"/>
            <w:vAlign w:val="center"/>
            <w:vMerge w:val="continue"/>
            <w:textDirection w:val="lrTb"/>
            <w:noWrap w:val="false"/>
          </w:tcPr>
          <w:p>
            <w:pPr>
              <w:pStyle w:val="985"/>
              <w:rPr>
                <w:rFonts w:ascii="Arial" w:hAnsi="Arial" w:cs="Arial"/>
                <w:color w:val="000000"/>
                <w:sz w:val="20"/>
                <w:szCs w:val="20"/>
                <w:highlight w:val="none"/>
              </w:rPr>
            </w:pPr>
            <w:r>
              <w:rPr>
                <w:rFonts w:ascii="Arial" w:hAnsi="Arial" w:cs="Arial"/>
                <w:color w:val="000000"/>
                <w:sz w:val="20"/>
                <w:szCs w:val="20"/>
                <w:highlight w:val="none"/>
              </w:rPr>
            </w:r>
            <w:r/>
          </w:p>
        </w:tc>
        <w:tc>
          <w:tcPr>
            <w:tcW w:w="567" w:type="dxa"/>
            <w:vAlign w:val="center"/>
            <w:textDirection w:val="lrTb"/>
            <w:noWrap w:val="false"/>
          </w:tcPr>
          <w:p>
            <w:pPr>
              <w:pStyle w:val="1104"/>
              <w:ind w:left="150"/>
              <w:rPr>
                <w:color w:val="000000"/>
                <w:sz w:val="22"/>
                <w:szCs w:val="22"/>
                <w:highlight w:val="none"/>
              </w:rPr>
            </w:pPr>
            <w:r>
              <w:rPr>
                <w:color w:val="000000"/>
                <w:sz w:val="22"/>
                <w:szCs w:val="22"/>
                <w:highlight w:val="none"/>
              </w:rPr>
              <w:t xml:space="preserve">3</w:t>
            </w:r>
            <w:r>
              <w:rPr>
                <w:color w:val="000000"/>
                <w:sz w:val="22"/>
                <w:szCs w:val="22"/>
                <w:highlight w:val="none"/>
              </w:rPr>
            </w:r>
            <w:r/>
          </w:p>
        </w:tc>
        <w:tc>
          <w:tcPr>
            <w:tcW w:w="1701" w:type="dxa"/>
            <w:vAlign w:val="center"/>
            <w:textDirection w:val="lrTb"/>
            <w:noWrap w:val="false"/>
          </w:tcPr>
          <w:p>
            <w:pPr>
              <w:pStyle w:val="1104"/>
              <w:ind w:left="121"/>
              <w:jc w:val="center"/>
              <w:rPr>
                <w:color w:val="000000"/>
                <w:sz w:val="22"/>
                <w:szCs w:val="22"/>
                <w:highlight w:val="none"/>
              </w:rPr>
            </w:pPr>
            <w:r>
              <w:rPr>
                <w:color w:val="000000"/>
                <w:spacing w:val="2"/>
                <w:sz w:val="22"/>
                <w:szCs w:val="22"/>
                <w:highlight w:val="none"/>
              </w:rPr>
              <w:t xml:space="preserve">真空热水锅炉</w:t>
            </w:r>
            <w:r>
              <w:rPr>
                <w:color w:val="000000"/>
                <w:sz w:val="22"/>
                <w:szCs w:val="22"/>
                <w:highlight w:val="none"/>
              </w:rPr>
            </w:r>
            <w:r/>
          </w:p>
        </w:tc>
        <w:tc>
          <w:tcPr>
            <w:tcW w:w="1405" w:type="dxa"/>
            <w:vAlign w:val="center"/>
            <w:textDirection w:val="lrTb"/>
            <w:noWrap w:val="false"/>
          </w:tcPr>
          <w:p>
            <w:pPr>
              <w:pStyle w:val="1104"/>
              <w:jc w:val="center"/>
              <w:rPr>
                <w:color w:val="000000"/>
                <w:sz w:val="22"/>
                <w:szCs w:val="22"/>
                <w:highlight w:val="none"/>
              </w:rPr>
            </w:pPr>
            <w:r>
              <w:rPr>
                <w:color w:val="000000"/>
                <w:spacing w:val="-1"/>
                <w:sz w:val="22"/>
                <w:szCs w:val="22"/>
                <w:highlight w:val="none"/>
              </w:rPr>
              <w:t xml:space="preserve">BOV-2500G</w:t>
            </w:r>
            <w:r>
              <w:rPr>
                <w:color w:val="000000"/>
                <w:sz w:val="22"/>
                <w:szCs w:val="22"/>
                <w:highlight w:val="none"/>
              </w:rPr>
            </w:r>
            <w:r/>
          </w:p>
        </w:tc>
        <w:tc>
          <w:tcPr>
            <w:tcW w:w="1029" w:type="dxa"/>
            <w:vAlign w:val="center"/>
            <w:textDirection w:val="lrTb"/>
            <w:noWrap w:val="false"/>
          </w:tcPr>
          <w:p>
            <w:pPr>
              <w:pStyle w:val="1104"/>
              <w:jc w:val="center"/>
              <w:rPr>
                <w:color w:val="000000"/>
                <w:sz w:val="22"/>
                <w:szCs w:val="22"/>
                <w:highlight w:val="none"/>
              </w:rPr>
            </w:pPr>
            <w:r>
              <w:rPr>
                <w:color w:val="000000"/>
                <w:spacing w:val="2"/>
                <w:sz w:val="22"/>
                <w:szCs w:val="22"/>
                <w:highlight w:val="none"/>
              </w:rPr>
              <w:t xml:space="preserve">富士特</w:t>
            </w:r>
            <w:r>
              <w:rPr>
                <w:color w:val="000000"/>
                <w:sz w:val="22"/>
                <w:szCs w:val="22"/>
                <w:highlight w:val="none"/>
              </w:rPr>
            </w:r>
            <w:r/>
          </w:p>
        </w:tc>
        <w:tc>
          <w:tcPr>
            <w:tcW w:w="968" w:type="dxa"/>
            <w:vAlign w:val="center"/>
            <w:textDirection w:val="lrTb"/>
            <w:noWrap w:val="false"/>
          </w:tcPr>
          <w:p>
            <w:pPr>
              <w:pStyle w:val="1104"/>
              <w:jc w:val="center"/>
              <w:rPr>
                <w:color w:val="000000"/>
                <w:sz w:val="22"/>
                <w:szCs w:val="22"/>
                <w:highlight w:val="none"/>
              </w:rPr>
            </w:pPr>
            <w:r>
              <w:rPr>
                <w:color w:val="000000"/>
                <w:sz w:val="22"/>
                <w:szCs w:val="22"/>
                <w:highlight w:val="none"/>
              </w:rPr>
              <w:t xml:space="preserve">1</w:t>
            </w:r>
            <w:r>
              <w:rPr>
                <w:color w:val="000000"/>
                <w:sz w:val="22"/>
                <w:szCs w:val="22"/>
                <w:highlight w:val="none"/>
              </w:rPr>
            </w:r>
            <w:r/>
          </w:p>
        </w:tc>
        <w:tc>
          <w:tcPr>
            <w:tcW w:w="1993" w:type="dxa"/>
            <w:vAlign w:val="center"/>
            <w:textDirection w:val="lrTb"/>
            <w:noWrap w:val="false"/>
          </w:tcPr>
          <w:p>
            <w:pPr>
              <w:pStyle w:val="985"/>
              <w:rPr>
                <w:rFonts w:ascii="Arial" w:hAnsi="Arial" w:cs="Arial"/>
                <w:color w:val="000000"/>
                <w:sz w:val="20"/>
                <w:szCs w:val="20"/>
                <w:highlight w:val="none"/>
              </w:rPr>
            </w:pPr>
            <w:r>
              <w:rPr>
                <w:rFonts w:ascii="Arial" w:hAnsi="Arial" w:cs="Arial"/>
                <w:color w:val="000000"/>
                <w:sz w:val="20"/>
                <w:szCs w:val="20"/>
                <w:highlight w:val="none"/>
              </w:rPr>
            </w:r>
            <w:r/>
          </w:p>
        </w:tc>
      </w:tr>
      <w:tr>
        <w:trPr>
          <w:trHeight w:val="580"/>
        </w:trPr>
        <w:tc>
          <w:tcPr>
            <w:tcW w:w="846" w:type="dxa"/>
            <w:vAlign w:val="center"/>
            <w:vMerge w:val="continue"/>
            <w:textDirection w:val="lrTb"/>
            <w:noWrap w:val="false"/>
          </w:tcPr>
          <w:p>
            <w:pPr>
              <w:pStyle w:val="985"/>
              <w:rPr>
                <w:rFonts w:ascii="Arial" w:hAnsi="Arial" w:cs="Arial"/>
                <w:color w:val="000000"/>
                <w:sz w:val="20"/>
                <w:szCs w:val="20"/>
                <w:highlight w:val="none"/>
              </w:rPr>
            </w:pPr>
            <w:r>
              <w:rPr>
                <w:rFonts w:ascii="Arial" w:hAnsi="Arial" w:cs="Arial"/>
                <w:color w:val="000000"/>
                <w:sz w:val="20"/>
                <w:szCs w:val="20"/>
                <w:highlight w:val="none"/>
              </w:rPr>
            </w:r>
            <w:r/>
          </w:p>
        </w:tc>
        <w:tc>
          <w:tcPr>
            <w:tcW w:w="567" w:type="dxa"/>
            <w:vAlign w:val="center"/>
            <w:textDirection w:val="lrTb"/>
            <w:noWrap w:val="false"/>
          </w:tcPr>
          <w:p>
            <w:pPr>
              <w:pStyle w:val="1104"/>
              <w:ind w:left="150"/>
              <w:rPr>
                <w:color w:val="000000"/>
                <w:sz w:val="22"/>
                <w:szCs w:val="22"/>
                <w:highlight w:val="none"/>
              </w:rPr>
            </w:pPr>
            <w:r>
              <w:rPr>
                <w:color w:val="000000"/>
                <w:sz w:val="22"/>
                <w:szCs w:val="22"/>
                <w:highlight w:val="none"/>
              </w:rPr>
              <w:t xml:space="preserve">4</w:t>
            </w:r>
            <w:r>
              <w:rPr>
                <w:color w:val="000000"/>
                <w:sz w:val="22"/>
                <w:szCs w:val="22"/>
                <w:highlight w:val="none"/>
              </w:rPr>
            </w:r>
            <w:r/>
          </w:p>
        </w:tc>
        <w:tc>
          <w:tcPr>
            <w:tcW w:w="1701" w:type="dxa"/>
            <w:vAlign w:val="center"/>
            <w:textDirection w:val="lrTb"/>
            <w:noWrap w:val="false"/>
          </w:tcPr>
          <w:p>
            <w:pPr>
              <w:pStyle w:val="1104"/>
              <w:ind w:left="121"/>
              <w:jc w:val="center"/>
              <w:rPr>
                <w:color w:val="000000"/>
                <w:sz w:val="22"/>
                <w:szCs w:val="22"/>
                <w:highlight w:val="none"/>
              </w:rPr>
            </w:pPr>
            <w:r>
              <w:rPr>
                <w:color w:val="000000"/>
                <w:spacing w:val="2"/>
                <w:sz w:val="22"/>
                <w:szCs w:val="22"/>
                <w:highlight w:val="none"/>
              </w:rPr>
              <w:t xml:space="preserve">真空热水锅炉</w:t>
            </w:r>
            <w:r>
              <w:rPr>
                <w:color w:val="000000"/>
                <w:sz w:val="22"/>
                <w:szCs w:val="22"/>
                <w:highlight w:val="none"/>
              </w:rPr>
            </w:r>
            <w:r/>
          </w:p>
        </w:tc>
        <w:tc>
          <w:tcPr>
            <w:tcW w:w="1405" w:type="dxa"/>
            <w:vAlign w:val="center"/>
            <w:textDirection w:val="lrTb"/>
            <w:noWrap w:val="false"/>
          </w:tcPr>
          <w:p>
            <w:pPr>
              <w:pStyle w:val="1104"/>
              <w:jc w:val="center"/>
              <w:rPr>
                <w:color w:val="000000"/>
                <w:sz w:val="22"/>
                <w:szCs w:val="22"/>
                <w:highlight w:val="none"/>
              </w:rPr>
            </w:pPr>
            <w:r>
              <w:rPr>
                <w:color w:val="000000"/>
                <w:position w:val="-4"/>
                <w:sz w:val="22"/>
                <w:szCs w:val="22"/>
                <w:highlight w:val="none"/>
              </w:rPr>
              <w:t xml:space="preserve">—</w:t>
            </w:r>
            <w:r>
              <w:rPr>
                <w:color w:val="000000"/>
                <w:sz w:val="22"/>
                <w:szCs w:val="22"/>
                <w:highlight w:val="none"/>
              </w:rPr>
            </w:r>
            <w:r/>
          </w:p>
        </w:tc>
        <w:tc>
          <w:tcPr>
            <w:tcW w:w="1029" w:type="dxa"/>
            <w:vAlign w:val="center"/>
            <w:textDirection w:val="lrTb"/>
            <w:noWrap w:val="false"/>
          </w:tcPr>
          <w:p>
            <w:pPr>
              <w:pStyle w:val="1104"/>
              <w:jc w:val="center"/>
              <w:rPr>
                <w:color w:val="000000"/>
                <w:sz w:val="22"/>
                <w:szCs w:val="22"/>
                <w:highlight w:val="none"/>
              </w:rPr>
            </w:pPr>
            <w:r>
              <w:rPr>
                <w:color w:val="000000"/>
                <w:spacing w:val="2"/>
                <w:sz w:val="22"/>
                <w:szCs w:val="22"/>
                <w:highlight w:val="none"/>
              </w:rPr>
              <w:t xml:space="preserve">富士特</w:t>
            </w:r>
            <w:r>
              <w:rPr>
                <w:color w:val="000000"/>
                <w:sz w:val="22"/>
                <w:szCs w:val="22"/>
                <w:highlight w:val="none"/>
              </w:rPr>
            </w:r>
            <w:r/>
          </w:p>
        </w:tc>
        <w:tc>
          <w:tcPr>
            <w:tcW w:w="968" w:type="dxa"/>
            <w:vAlign w:val="center"/>
            <w:textDirection w:val="lrTb"/>
            <w:noWrap w:val="false"/>
          </w:tcPr>
          <w:p>
            <w:pPr>
              <w:pStyle w:val="1104"/>
              <w:jc w:val="center"/>
              <w:rPr>
                <w:color w:val="000000"/>
                <w:sz w:val="22"/>
                <w:szCs w:val="22"/>
                <w:highlight w:val="none"/>
              </w:rPr>
            </w:pPr>
            <w:r>
              <w:rPr>
                <w:color w:val="000000"/>
                <w:sz w:val="22"/>
                <w:szCs w:val="22"/>
                <w:highlight w:val="none"/>
              </w:rPr>
              <w:t xml:space="preserve">1</w:t>
            </w:r>
            <w:r>
              <w:rPr>
                <w:color w:val="000000"/>
                <w:sz w:val="22"/>
                <w:szCs w:val="22"/>
                <w:highlight w:val="none"/>
              </w:rPr>
            </w:r>
            <w:r/>
          </w:p>
        </w:tc>
        <w:tc>
          <w:tcPr>
            <w:tcW w:w="1993" w:type="dxa"/>
            <w:vAlign w:val="center"/>
            <w:textDirection w:val="lrTb"/>
            <w:noWrap w:val="false"/>
          </w:tcPr>
          <w:p>
            <w:pPr>
              <w:pStyle w:val="985"/>
              <w:rPr>
                <w:rFonts w:ascii="Arial" w:hAnsi="Arial" w:cs="Arial"/>
                <w:color w:val="000000"/>
                <w:sz w:val="20"/>
                <w:szCs w:val="20"/>
                <w:highlight w:val="none"/>
              </w:rPr>
            </w:pPr>
            <w:r>
              <w:rPr>
                <w:rFonts w:ascii="Arial" w:hAnsi="Arial" w:cs="Arial"/>
                <w:color w:val="000000"/>
                <w:sz w:val="20"/>
                <w:szCs w:val="20"/>
                <w:highlight w:val="none"/>
              </w:rPr>
            </w:r>
            <w:r/>
          </w:p>
        </w:tc>
      </w:tr>
      <w:tr>
        <w:trPr>
          <w:trHeight w:val="569"/>
        </w:trPr>
        <w:tc>
          <w:tcPr>
            <w:tcW w:w="846" w:type="dxa"/>
            <w:vAlign w:val="center"/>
            <w:vMerge w:val="continue"/>
            <w:textDirection w:val="lrTb"/>
            <w:noWrap w:val="false"/>
          </w:tcPr>
          <w:p>
            <w:pPr>
              <w:pStyle w:val="985"/>
              <w:rPr>
                <w:rFonts w:ascii="Arial" w:hAnsi="Arial" w:cs="Arial"/>
                <w:color w:val="000000"/>
                <w:sz w:val="20"/>
                <w:szCs w:val="20"/>
                <w:highlight w:val="none"/>
              </w:rPr>
            </w:pPr>
            <w:r>
              <w:rPr>
                <w:rFonts w:ascii="Arial" w:hAnsi="Arial" w:cs="Arial"/>
                <w:color w:val="000000"/>
                <w:sz w:val="20"/>
                <w:szCs w:val="20"/>
                <w:highlight w:val="none"/>
              </w:rPr>
            </w:r>
            <w:r/>
          </w:p>
        </w:tc>
        <w:tc>
          <w:tcPr>
            <w:tcW w:w="567" w:type="dxa"/>
            <w:vAlign w:val="center"/>
            <w:textDirection w:val="lrTb"/>
            <w:noWrap w:val="false"/>
          </w:tcPr>
          <w:p>
            <w:pPr>
              <w:pStyle w:val="1104"/>
              <w:ind w:left="150"/>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1701" w:type="dxa"/>
            <w:vAlign w:val="center"/>
            <w:textDirection w:val="lrTb"/>
            <w:noWrap w:val="false"/>
          </w:tcPr>
          <w:p>
            <w:pPr>
              <w:pStyle w:val="1104"/>
              <w:ind w:left="121"/>
              <w:jc w:val="center"/>
              <w:rPr>
                <w:color w:val="000000"/>
                <w:sz w:val="22"/>
                <w:szCs w:val="22"/>
                <w:highlight w:val="none"/>
              </w:rPr>
            </w:pPr>
            <w:r>
              <w:rPr>
                <w:color w:val="000000"/>
                <w:spacing w:val="2"/>
                <w:sz w:val="22"/>
                <w:szCs w:val="22"/>
                <w:highlight w:val="none"/>
              </w:rPr>
              <w:t xml:space="preserve">真空热水锅炉</w:t>
            </w:r>
            <w:r>
              <w:rPr>
                <w:color w:val="000000"/>
                <w:sz w:val="22"/>
                <w:szCs w:val="22"/>
                <w:highlight w:val="none"/>
              </w:rPr>
            </w:r>
            <w:r/>
          </w:p>
        </w:tc>
        <w:tc>
          <w:tcPr>
            <w:tcW w:w="1405" w:type="dxa"/>
            <w:vAlign w:val="center"/>
            <w:textDirection w:val="lrTb"/>
            <w:noWrap w:val="false"/>
          </w:tcPr>
          <w:p>
            <w:pPr>
              <w:pStyle w:val="1104"/>
              <w:jc w:val="center"/>
              <w:rPr>
                <w:color w:val="000000"/>
                <w:sz w:val="22"/>
                <w:szCs w:val="22"/>
                <w:highlight w:val="none"/>
              </w:rPr>
            </w:pPr>
            <w:r>
              <w:rPr>
                <w:color w:val="000000"/>
                <w:spacing w:val="-1"/>
                <w:sz w:val="22"/>
                <w:szCs w:val="22"/>
                <w:highlight w:val="none"/>
              </w:rPr>
              <w:t xml:space="preserve">BOV-500G</w:t>
            </w:r>
            <w:r>
              <w:rPr>
                <w:color w:val="000000"/>
                <w:sz w:val="22"/>
                <w:szCs w:val="22"/>
                <w:highlight w:val="none"/>
              </w:rPr>
            </w:r>
            <w:r/>
          </w:p>
        </w:tc>
        <w:tc>
          <w:tcPr>
            <w:tcW w:w="1029" w:type="dxa"/>
            <w:vAlign w:val="center"/>
            <w:textDirection w:val="lrTb"/>
            <w:noWrap w:val="false"/>
          </w:tcPr>
          <w:p>
            <w:pPr>
              <w:pStyle w:val="1104"/>
              <w:jc w:val="center"/>
              <w:rPr>
                <w:color w:val="000000"/>
                <w:sz w:val="22"/>
                <w:szCs w:val="22"/>
                <w:highlight w:val="none"/>
              </w:rPr>
            </w:pPr>
            <w:r>
              <w:rPr>
                <w:color w:val="000000"/>
                <w:spacing w:val="2"/>
                <w:sz w:val="22"/>
                <w:szCs w:val="22"/>
                <w:highlight w:val="none"/>
              </w:rPr>
              <w:t xml:space="preserve">富士特</w:t>
            </w:r>
            <w:r>
              <w:rPr>
                <w:color w:val="000000"/>
                <w:sz w:val="22"/>
                <w:szCs w:val="22"/>
                <w:highlight w:val="none"/>
              </w:rPr>
            </w:r>
            <w:r/>
          </w:p>
        </w:tc>
        <w:tc>
          <w:tcPr>
            <w:tcW w:w="968" w:type="dxa"/>
            <w:vAlign w:val="center"/>
            <w:textDirection w:val="lrTb"/>
            <w:noWrap w:val="false"/>
          </w:tcPr>
          <w:p>
            <w:pPr>
              <w:pStyle w:val="1104"/>
              <w:jc w:val="center"/>
              <w:rPr>
                <w:color w:val="000000"/>
                <w:sz w:val="22"/>
                <w:szCs w:val="22"/>
                <w:highlight w:val="none"/>
              </w:rPr>
            </w:pPr>
            <w:r>
              <w:rPr>
                <w:color w:val="000000"/>
                <w:sz w:val="22"/>
                <w:szCs w:val="22"/>
                <w:highlight w:val="none"/>
              </w:rPr>
              <w:t xml:space="preserve">1</w:t>
            </w:r>
            <w:r>
              <w:rPr>
                <w:color w:val="000000"/>
                <w:sz w:val="22"/>
                <w:szCs w:val="22"/>
                <w:highlight w:val="none"/>
              </w:rPr>
            </w:r>
            <w:r/>
          </w:p>
        </w:tc>
        <w:tc>
          <w:tcPr>
            <w:tcW w:w="1993" w:type="dxa"/>
            <w:vAlign w:val="center"/>
            <w:textDirection w:val="lrTb"/>
            <w:noWrap w:val="false"/>
          </w:tcPr>
          <w:p>
            <w:pPr>
              <w:pStyle w:val="1104"/>
              <w:ind w:left="248"/>
              <w:rPr>
                <w:color w:val="000000"/>
                <w:sz w:val="22"/>
                <w:szCs w:val="22"/>
                <w:highlight w:val="none"/>
              </w:rPr>
            </w:pPr>
            <w:r>
              <w:rPr>
                <w:color w:val="000000"/>
                <w:spacing w:val="4"/>
                <w:sz w:val="22"/>
                <w:szCs w:val="22"/>
                <w:highlight w:val="none"/>
              </w:rPr>
              <w:t xml:space="preserve">供迎宾楼使用</w:t>
            </w:r>
            <w:r>
              <w:rPr>
                <w:color w:val="000000"/>
                <w:sz w:val="22"/>
                <w:szCs w:val="22"/>
                <w:highlight w:val="none"/>
              </w:rPr>
            </w:r>
            <w:r/>
          </w:p>
        </w:tc>
      </w:tr>
      <w:tr>
        <w:trPr>
          <w:trHeight w:val="560"/>
        </w:trPr>
        <w:tc>
          <w:tcPr>
            <w:tcW w:w="846" w:type="dxa"/>
            <w:vAlign w:val="center"/>
            <w:vMerge w:val="continue"/>
            <w:textDirection w:val="lrTb"/>
            <w:noWrap w:val="false"/>
          </w:tcPr>
          <w:p>
            <w:pPr>
              <w:pStyle w:val="985"/>
              <w:rPr>
                <w:rFonts w:ascii="Arial" w:hAnsi="Arial" w:cs="Arial"/>
                <w:color w:val="000000"/>
                <w:sz w:val="20"/>
                <w:szCs w:val="20"/>
                <w:highlight w:val="none"/>
              </w:rPr>
            </w:pPr>
            <w:r>
              <w:rPr>
                <w:rFonts w:ascii="Arial" w:hAnsi="Arial" w:cs="Arial"/>
                <w:color w:val="000000"/>
                <w:sz w:val="20"/>
                <w:szCs w:val="20"/>
                <w:highlight w:val="none"/>
              </w:rPr>
            </w:r>
            <w:r/>
          </w:p>
        </w:tc>
        <w:tc>
          <w:tcPr>
            <w:tcW w:w="567" w:type="dxa"/>
            <w:vAlign w:val="center"/>
            <w:textDirection w:val="lrTb"/>
            <w:noWrap w:val="false"/>
          </w:tcPr>
          <w:p>
            <w:pPr>
              <w:pStyle w:val="1104"/>
              <w:ind w:left="150"/>
              <w:rPr>
                <w:color w:val="000000"/>
                <w:sz w:val="22"/>
                <w:szCs w:val="22"/>
                <w:highlight w:val="none"/>
              </w:rPr>
            </w:pPr>
            <w:r>
              <w:rPr>
                <w:color w:val="000000"/>
                <w:sz w:val="22"/>
                <w:szCs w:val="22"/>
                <w:highlight w:val="none"/>
              </w:rPr>
              <w:t xml:space="preserve">6</w:t>
            </w:r>
            <w:r>
              <w:rPr>
                <w:color w:val="000000"/>
                <w:sz w:val="22"/>
                <w:szCs w:val="22"/>
                <w:highlight w:val="none"/>
              </w:rPr>
            </w:r>
            <w:r/>
          </w:p>
        </w:tc>
        <w:tc>
          <w:tcPr>
            <w:tcW w:w="1701" w:type="dxa"/>
            <w:vAlign w:val="center"/>
            <w:textDirection w:val="lrTb"/>
            <w:noWrap w:val="false"/>
          </w:tcPr>
          <w:p>
            <w:pPr>
              <w:pStyle w:val="1104"/>
              <w:jc w:val="center"/>
              <w:rPr>
                <w:color w:val="000000"/>
                <w:sz w:val="22"/>
                <w:szCs w:val="22"/>
                <w:highlight w:val="none"/>
              </w:rPr>
            </w:pPr>
            <w:r>
              <w:rPr>
                <w:color w:val="000000"/>
                <w:spacing w:val="2"/>
                <w:sz w:val="22"/>
                <w:szCs w:val="22"/>
                <w:highlight w:val="none"/>
              </w:rPr>
              <w:t xml:space="preserve">冷冻水泵</w:t>
            </w:r>
            <w:r>
              <w:rPr>
                <w:color w:val="000000"/>
                <w:sz w:val="22"/>
                <w:szCs w:val="22"/>
                <w:highlight w:val="none"/>
              </w:rPr>
            </w:r>
            <w:r/>
          </w:p>
        </w:tc>
        <w:tc>
          <w:tcPr>
            <w:tcW w:w="1405" w:type="dxa"/>
            <w:vAlign w:val="center"/>
            <w:textDirection w:val="lrTb"/>
            <w:noWrap w:val="false"/>
          </w:tcPr>
          <w:p>
            <w:pPr>
              <w:pStyle w:val="1104"/>
              <w:jc w:val="center"/>
              <w:rPr>
                <w:color w:val="000000"/>
                <w:sz w:val="22"/>
                <w:szCs w:val="22"/>
                <w:highlight w:val="none"/>
              </w:rPr>
            </w:pPr>
            <w:r>
              <w:rPr>
                <w:color w:val="000000"/>
                <w:spacing w:val="-1"/>
                <w:sz w:val="22"/>
                <w:szCs w:val="22"/>
                <w:highlight w:val="none"/>
              </w:rPr>
              <w:t xml:space="preserve">H=52m;</w:t>
            </w:r>
            <w:r>
              <w:rPr>
                <w:color w:val="000000"/>
                <w:sz w:val="22"/>
                <w:szCs w:val="22"/>
                <w:highlight w:val="none"/>
              </w:rPr>
            </w:r>
            <w:r/>
          </w:p>
          <w:p>
            <w:pPr>
              <w:pStyle w:val="1104"/>
              <w:jc w:val="center"/>
              <w:rPr>
                <w:color w:val="000000"/>
                <w:sz w:val="22"/>
                <w:szCs w:val="22"/>
                <w:highlight w:val="none"/>
              </w:rPr>
            </w:pPr>
            <w:r>
              <w:rPr>
                <w:color w:val="000000"/>
                <w:spacing w:val="-1"/>
                <w:sz w:val="22"/>
                <w:szCs w:val="22"/>
                <w:highlight w:val="none"/>
              </w:rPr>
              <w:t xml:space="preserve">N=75kW</w:t>
            </w:r>
            <w:r>
              <w:rPr>
                <w:color w:val="000000"/>
                <w:sz w:val="22"/>
                <w:szCs w:val="22"/>
                <w:highlight w:val="none"/>
              </w:rPr>
            </w:r>
            <w:r/>
          </w:p>
        </w:tc>
        <w:tc>
          <w:tcPr>
            <w:tcW w:w="1029" w:type="dxa"/>
            <w:vAlign w:val="center"/>
            <w:textDirection w:val="lrTb"/>
            <w:noWrap w:val="false"/>
          </w:tcPr>
          <w:p>
            <w:pPr>
              <w:pStyle w:val="1104"/>
              <w:ind w:left="455"/>
              <w:rPr>
                <w:color w:val="000000"/>
                <w:sz w:val="22"/>
                <w:szCs w:val="22"/>
                <w:highlight w:val="none"/>
              </w:rPr>
            </w:pPr>
            <w:r>
              <w:rPr>
                <w:color w:val="000000"/>
                <w:sz w:val="22"/>
                <w:szCs w:val="22"/>
                <w:highlight w:val="none"/>
              </w:rPr>
              <w:t xml:space="preserve">/</w:t>
            </w:r>
            <w:r>
              <w:rPr>
                <w:color w:val="000000"/>
                <w:sz w:val="22"/>
                <w:szCs w:val="22"/>
                <w:highlight w:val="none"/>
              </w:rPr>
            </w:r>
            <w:r/>
          </w:p>
        </w:tc>
        <w:tc>
          <w:tcPr>
            <w:tcW w:w="968" w:type="dxa"/>
            <w:vAlign w:val="center"/>
            <w:textDirection w:val="lrTb"/>
            <w:noWrap w:val="false"/>
          </w:tcPr>
          <w:p>
            <w:pPr>
              <w:pStyle w:val="1104"/>
              <w:jc w:val="center"/>
              <w:rPr>
                <w:color w:val="000000"/>
                <w:sz w:val="22"/>
                <w:szCs w:val="22"/>
                <w:highlight w:val="none"/>
              </w:rPr>
            </w:pPr>
            <w:r>
              <w:rPr>
                <w:color w:val="000000"/>
                <w:sz w:val="22"/>
                <w:szCs w:val="22"/>
                <w:highlight w:val="none"/>
              </w:rPr>
              <w:t xml:space="preserve">4</w:t>
            </w:r>
            <w:r>
              <w:rPr>
                <w:color w:val="000000"/>
                <w:sz w:val="22"/>
                <w:szCs w:val="22"/>
                <w:highlight w:val="none"/>
              </w:rPr>
            </w:r>
            <w:r/>
          </w:p>
        </w:tc>
        <w:tc>
          <w:tcPr>
            <w:tcW w:w="1993" w:type="dxa"/>
            <w:vAlign w:val="center"/>
            <w:textDirection w:val="lrTb"/>
            <w:noWrap w:val="false"/>
          </w:tcPr>
          <w:p>
            <w:pPr>
              <w:pStyle w:val="1104"/>
              <w:ind w:left="358" w:right="117" w:hanging="219"/>
              <w:rPr>
                <w:color w:val="000000"/>
                <w:sz w:val="22"/>
                <w:szCs w:val="22"/>
                <w:highlight w:val="none"/>
                <w:lang w:eastAsia="zh-CN"/>
              </w:rPr>
            </w:pPr>
            <w:r>
              <w:rPr>
                <w:color w:val="000000"/>
                <w:spacing w:val="3"/>
                <w:sz w:val="22"/>
                <w:szCs w:val="22"/>
                <w:highlight w:val="none"/>
                <w:lang w:eastAsia="zh-CN"/>
              </w:rPr>
              <w:t xml:space="preserve">三用一备，备用</w:t>
            </w:r>
            <w:r>
              <w:rPr>
                <w:color w:val="000000"/>
                <w:spacing w:val="4"/>
                <w:sz w:val="22"/>
                <w:szCs w:val="22"/>
                <w:highlight w:val="none"/>
                <w:lang w:eastAsia="zh-CN"/>
              </w:rPr>
              <w:t xml:space="preserve"> </w:t>
            </w:r>
            <w:r>
              <w:rPr>
                <w:color w:val="000000"/>
                <w:spacing w:val="-2"/>
                <w:sz w:val="22"/>
                <w:szCs w:val="22"/>
                <w:highlight w:val="none"/>
                <w:lang w:eastAsia="zh-CN"/>
              </w:rPr>
              <w:t xml:space="preserve">泵未加变频</w:t>
            </w:r>
            <w:r>
              <w:rPr>
                <w:color w:val="000000"/>
                <w:sz w:val="22"/>
                <w:szCs w:val="22"/>
                <w:highlight w:val="none"/>
                <w:lang w:eastAsia="zh-CN"/>
              </w:rPr>
            </w:r>
            <w:r/>
          </w:p>
        </w:tc>
      </w:tr>
      <w:tr>
        <w:trPr>
          <w:trHeight w:val="569"/>
        </w:trPr>
        <w:tc>
          <w:tcPr>
            <w:tcW w:w="846" w:type="dxa"/>
            <w:vAlign w:val="center"/>
            <w:vMerge w:val="continue"/>
            <w:textDirection w:val="lrTb"/>
            <w:noWrap w:val="false"/>
          </w:tcPr>
          <w:p>
            <w:pPr>
              <w:pStyle w:val="985"/>
              <w:rPr>
                <w:rFonts w:ascii="Arial" w:hAnsi="Arial" w:cs="Arial"/>
                <w:color w:val="000000"/>
                <w:sz w:val="20"/>
                <w:szCs w:val="20"/>
                <w:highlight w:val="none"/>
              </w:rPr>
            </w:pPr>
            <w:r>
              <w:rPr>
                <w:rFonts w:ascii="Arial" w:hAnsi="Arial" w:cs="Arial"/>
                <w:color w:val="000000"/>
                <w:sz w:val="20"/>
                <w:szCs w:val="20"/>
                <w:highlight w:val="none"/>
              </w:rPr>
            </w:r>
            <w:r/>
          </w:p>
        </w:tc>
        <w:tc>
          <w:tcPr>
            <w:tcW w:w="567" w:type="dxa"/>
            <w:vAlign w:val="center"/>
            <w:textDirection w:val="lrTb"/>
            <w:noWrap w:val="false"/>
          </w:tcPr>
          <w:p>
            <w:pPr>
              <w:pStyle w:val="1104"/>
              <w:ind w:left="150"/>
              <w:rPr>
                <w:color w:val="000000"/>
                <w:sz w:val="22"/>
                <w:szCs w:val="22"/>
                <w:highlight w:val="none"/>
              </w:rPr>
            </w:pPr>
            <w:r>
              <w:rPr>
                <w:color w:val="000000"/>
                <w:sz w:val="22"/>
                <w:szCs w:val="22"/>
                <w:highlight w:val="none"/>
              </w:rPr>
              <w:t xml:space="preserve">7</w:t>
            </w:r>
            <w:r>
              <w:rPr>
                <w:color w:val="000000"/>
                <w:sz w:val="22"/>
                <w:szCs w:val="22"/>
                <w:highlight w:val="none"/>
              </w:rPr>
            </w:r>
            <w:r/>
          </w:p>
        </w:tc>
        <w:tc>
          <w:tcPr>
            <w:tcW w:w="1701" w:type="dxa"/>
            <w:vAlign w:val="center"/>
            <w:textDirection w:val="lrTb"/>
            <w:noWrap w:val="false"/>
          </w:tcPr>
          <w:p>
            <w:pPr>
              <w:pStyle w:val="1104"/>
              <w:jc w:val="center"/>
              <w:rPr>
                <w:color w:val="000000"/>
                <w:sz w:val="22"/>
                <w:szCs w:val="22"/>
                <w:highlight w:val="none"/>
              </w:rPr>
            </w:pPr>
            <w:r>
              <w:rPr>
                <w:color w:val="000000"/>
                <w:spacing w:val="2"/>
                <w:sz w:val="22"/>
                <w:szCs w:val="22"/>
                <w:highlight w:val="none"/>
              </w:rPr>
              <w:t xml:space="preserve">冷却水泵</w:t>
            </w:r>
            <w:r>
              <w:rPr>
                <w:color w:val="000000"/>
                <w:sz w:val="22"/>
                <w:szCs w:val="22"/>
                <w:highlight w:val="none"/>
              </w:rPr>
            </w:r>
            <w:r/>
          </w:p>
        </w:tc>
        <w:tc>
          <w:tcPr>
            <w:tcW w:w="1405" w:type="dxa"/>
            <w:vAlign w:val="center"/>
            <w:textDirection w:val="lrTb"/>
            <w:noWrap w:val="false"/>
          </w:tcPr>
          <w:p>
            <w:pPr>
              <w:pStyle w:val="1104"/>
              <w:jc w:val="center"/>
              <w:rPr>
                <w:color w:val="000000"/>
                <w:sz w:val="22"/>
                <w:szCs w:val="22"/>
                <w:highlight w:val="none"/>
              </w:rPr>
            </w:pPr>
            <w:r>
              <w:rPr>
                <w:color w:val="000000"/>
                <w:spacing w:val="-3"/>
                <w:sz w:val="22"/>
                <w:szCs w:val="22"/>
                <w:highlight w:val="none"/>
              </w:rPr>
              <w:t xml:space="preserve">H=32m;</w:t>
            </w:r>
            <w:r>
              <w:rPr>
                <w:color w:val="000000"/>
                <w:sz w:val="22"/>
                <w:szCs w:val="22"/>
                <w:highlight w:val="none"/>
              </w:rPr>
            </w:r>
            <w:r/>
          </w:p>
          <w:p>
            <w:pPr>
              <w:pStyle w:val="1104"/>
              <w:jc w:val="center"/>
              <w:rPr>
                <w:color w:val="000000"/>
                <w:sz w:val="22"/>
                <w:szCs w:val="22"/>
                <w:highlight w:val="none"/>
              </w:rPr>
            </w:pPr>
            <w:r>
              <w:rPr>
                <w:color w:val="000000"/>
                <w:spacing w:val="-3"/>
                <w:sz w:val="22"/>
                <w:szCs w:val="22"/>
                <w:highlight w:val="none"/>
              </w:rPr>
              <w:t xml:space="preserve">N=55kW</w:t>
            </w:r>
            <w:r>
              <w:rPr>
                <w:color w:val="000000"/>
                <w:sz w:val="22"/>
                <w:szCs w:val="22"/>
                <w:highlight w:val="none"/>
              </w:rPr>
            </w:r>
            <w:r/>
          </w:p>
        </w:tc>
        <w:tc>
          <w:tcPr>
            <w:tcW w:w="1029" w:type="dxa"/>
            <w:vAlign w:val="center"/>
            <w:textDirection w:val="lrTb"/>
            <w:noWrap w:val="false"/>
          </w:tcPr>
          <w:p>
            <w:pPr>
              <w:pStyle w:val="1104"/>
              <w:ind w:left="455"/>
              <w:rPr>
                <w:color w:val="000000"/>
                <w:sz w:val="22"/>
                <w:szCs w:val="22"/>
                <w:highlight w:val="none"/>
              </w:rPr>
            </w:pPr>
            <w:r>
              <w:rPr>
                <w:color w:val="000000"/>
                <w:sz w:val="22"/>
                <w:szCs w:val="22"/>
                <w:highlight w:val="none"/>
              </w:rPr>
              <w:t xml:space="preserve">/</w:t>
            </w:r>
            <w:r>
              <w:rPr>
                <w:color w:val="000000"/>
                <w:sz w:val="22"/>
                <w:szCs w:val="22"/>
                <w:highlight w:val="none"/>
              </w:rPr>
            </w:r>
            <w:r/>
          </w:p>
        </w:tc>
        <w:tc>
          <w:tcPr>
            <w:tcW w:w="968" w:type="dxa"/>
            <w:vAlign w:val="center"/>
            <w:textDirection w:val="lrTb"/>
            <w:noWrap w:val="false"/>
          </w:tcPr>
          <w:p>
            <w:pPr>
              <w:pStyle w:val="1104"/>
              <w:jc w:val="center"/>
              <w:rPr>
                <w:color w:val="000000"/>
                <w:sz w:val="22"/>
                <w:szCs w:val="22"/>
                <w:highlight w:val="none"/>
              </w:rPr>
            </w:pPr>
            <w:r>
              <w:rPr>
                <w:color w:val="000000"/>
                <w:sz w:val="22"/>
                <w:szCs w:val="22"/>
                <w:highlight w:val="none"/>
              </w:rPr>
              <w:t xml:space="preserve">4</w:t>
            </w:r>
            <w:r>
              <w:rPr>
                <w:color w:val="000000"/>
                <w:sz w:val="22"/>
                <w:szCs w:val="22"/>
                <w:highlight w:val="none"/>
              </w:rPr>
            </w:r>
            <w:r/>
          </w:p>
        </w:tc>
        <w:tc>
          <w:tcPr>
            <w:tcW w:w="1993" w:type="dxa"/>
            <w:vAlign w:val="center"/>
            <w:textDirection w:val="lrTb"/>
            <w:noWrap w:val="false"/>
          </w:tcPr>
          <w:p>
            <w:pPr>
              <w:pStyle w:val="1104"/>
              <w:ind w:left="358" w:right="117" w:hanging="219"/>
              <w:rPr>
                <w:color w:val="000000"/>
                <w:sz w:val="22"/>
                <w:szCs w:val="22"/>
                <w:highlight w:val="none"/>
                <w:lang w:eastAsia="zh-CN"/>
              </w:rPr>
            </w:pPr>
            <w:r>
              <w:rPr>
                <w:color w:val="000000"/>
                <w:spacing w:val="3"/>
                <w:sz w:val="22"/>
                <w:szCs w:val="22"/>
                <w:highlight w:val="none"/>
                <w:lang w:eastAsia="zh-CN"/>
              </w:rPr>
              <w:t xml:space="preserve">三用一备，备用</w:t>
            </w:r>
            <w:r>
              <w:rPr>
                <w:color w:val="000000"/>
                <w:spacing w:val="4"/>
                <w:sz w:val="22"/>
                <w:szCs w:val="22"/>
                <w:highlight w:val="none"/>
                <w:lang w:eastAsia="zh-CN"/>
              </w:rPr>
              <w:t xml:space="preserve"> </w:t>
            </w:r>
            <w:r>
              <w:rPr>
                <w:color w:val="000000"/>
                <w:spacing w:val="1"/>
                <w:sz w:val="22"/>
                <w:szCs w:val="22"/>
                <w:highlight w:val="none"/>
                <w:lang w:eastAsia="zh-CN"/>
              </w:rPr>
              <w:t xml:space="preserve">泵未加变频</w:t>
            </w:r>
            <w:r>
              <w:rPr>
                <w:color w:val="000000"/>
                <w:sz w:val="22"/>
                <w:szCs w:val="22"/>
                <w:highlight w:val="none"/>
                <w:lang w:eastAsia="zh-CN"/>
              </w:rPr>
            </w:r>
            <w:r/>
          </w:p>
        </w:tc>
      </w:tr>
      <w:tr>
        <w:trPr>
          <w:trHeight w:val="569"/>
        </w:trPr>
        <w:tc>
          <w:tcPr>
            <w:tcW w:w="846" w:type="dxa"/>
            <w:vAlign w:val="center"/>
            <w:vMerge w:val="continue"/>
            <w:textDirection w:val="lrTb"/>
            <w:noWrap w:val="false"/>
          </w:tcPr>
          <w:p>
            <w:pPr>
              <w:pStyle w:val="985"/>
              <w:rPr>
                <w:rFonts w:ascii="Arial" w:hAnsi="Arial" w:cs="Arial"/>
                <w:color w:val="000000"/>
                <w:sz w:val="20"/>
                <w:szCs w:val="20"/>
                <w:highlight w:val="none"/>
              </w:rPr>
            </w:pPr>
            <w:r>
              <w:rPr>
                <w:rFonts w:ascii="Arial" w:hAnsi="Arial" w:cs="Arial"/>
                <w:color w:val="000000"/>
                <w:sz w:val="20"/>
                <w:szCs w:val="20"/>
                <w:highlight w:val="none"/>
              </w:rPr>
            </w:r>
            <w:r/>
          </w:p>
        </w:tc>
        <w:tc>
          <w:tcPr>
            <w:tcW w:w="567" w:type="dxa"/>
            <w:vAlign w:val="center"/>
            <w:textDirection w:val="lrTb"/>
            <w:noWrap w:val="false"/>
          </w:tcPr>
          <w:p>
            <w:pPr>
              <w:pStyle w:val="1104"/>
              <w:ind w:left="150"/>
              <w:rPr>
                <w:color w:val="000000"/>
                <w:sz w:val="22"/>
                <w:szCs w:val="22"/>
                <w:highlight w:val="none"/>
              </w:rPr>
            </w:pPr>
            <w:r>
              <w:rPr>
                <w:color w:val="000000"/>
                <w:sz w:val="22"/>
                <w:szCs w:val="22"/>
                <w:highlight w:val="none"/>
              </w:rPr>
              <w:t xml:space="preserve">8</w:t>
            </w:r>
            <w:r>
              <w:rPr>
                <w:color w:val="000000"/>
                <w:sz w:val="22"/>
                <w:szCs w:val="22"/>
                <w:highlight w:val="none"/>
              </w:rPr>
            </w:r>
            <w:r/>
          </w:p>
        </w:tc>
        <w:tc>
          <w:tcPr>
            <w:tcW w:w="1701" w:type="dxa"/>
            <w:vAlign w:val="center"/>
            <w:textDirection w:val="lrTb"/>
            <w:noWrap w:val="false"/>
          </w:tcPr>
          <w:p>
            <w:pPr>
              <w:pStyle w:val="1104"/>
              <w:jc w:val="center"/>
              <w:rPr>
                <w:color w:val="000000"/>
                <w:sz w:val="22"/>
                <w:szCs w:val="22"/>
                <w:highlight w:val="none"/>
              </w:rPr>
            </w:pPr>
            <w:r>
              <w:rPr>
                <w:color w:val="000000"/>
                <w:spacing w:val="2"/>
                <w:sz w:val="22"/>
                <w:szCs w:val="22"/>
                <w:highlight w:val="none"/>
              </w:rPr>
              <w:t xml:space="preserve">冷冻水泵</w:t>
            </w:r>
            <w:r>
              <w:rPr>
                <w:color w:val="000000"/>
                <w:sz w:val="22"/>
                <w:szCs w:val="22"/>
                <w:highlight w:val="none"/>
              </w:rPr>
            </w:r>
            <w:r/>
          </w:p>
        </w:tc>
        <w:tc>
          <w:tcPr>
            <w:tcW w:w="1405" w:type="dxa"/>
            <w:vAlign w:val="center"/>
            <w:textDirection w:val="lrTb"/>
            <w:noWrap w:val="false"/>
          </w:tcPr>
          <w:p>
            <w:pPr>
              <w:pStyle w:val="1104"/>
              <w:jc w:val="center"/>
              <w:rPr>
                <w:color w:val="000000"/>
                <w:sz w:val="22"/>
                <w:szCs w:val="22"/>
                <w:highlight w:val="none"/>
              </w:rPr>
            </w:pPr>
            <w:r>
              <w:rPr>
                <w:color w:val="000000"/>
                <w:spacing w:val="-3"/>
                <w:sz w:val="22"/>
                <w:szCs w:val="22"/>
                <w:highlight w:val="none"/>
              </w:rPr>
              <w:t xml:space="preserve">N=30kW</w:t>
            </w:r>
            <w:r>
              <w:rPr>
                <w:color w:val="000000"/>
                <w:sz w:val="22"/>
                <w:szCs w:val="22"/>
                <w:highlight w:val="none"/>
              </w:rPr>
            </w:r>
            <w:r/>
          </w:p>
        </w:tc>
        <w:tc>
          <w:tcPr>
            <w:tcW w:w="1029" w:type="dxa"/>
            <w:vAlign w:val="center"/>
            <w:textDirection w:val="lrTb"/>
            <w:noWrap w:val="false"/>
          </w:tcPr>
          <w:p>
            <w:pPr>
              <w:pStyle w:val="1104"/>
              <w:ind w:left="455"/>
              <w:rPr>
                <w:color w:val="000000"/>
                <w:sz w:val="22"/>
                <w:szCs w:val="22"/>
                <w:highlight w:val="none"/>
              </w:rPr>
            </w:pPr>
            <w:r>
              <w:rPr>
                <w:color w:val="000000"/>
                <w:sz w:val="22"/>
                <w:szCs w:val="22"/>
                <w:highlight w:val="none"/>
              </w:rPr>
              <w:t xml:space="preserve">/</w:t>
            </w:r>
            <w:r>
              <w:rPr>
                <w:color w:val="000000"/>
                <w:sz w:val="22"/>
                <w:szCs w:val="22"/>
                <w:highlight w:val="none"/>
              </w:rPr>
            </w:r>
            <w:r/>
          </w:p>
        </w:tc>
        <w:tc>
          <w:tcPr>
            <w:tcW w:w="968" w:type="dxa"/>
            <w:vAlign w:val="center"/>
            <w:textDirection w:val="lrTb"/>
            <w:noWrap w:val="false"/>
          </w:tcPr>
          <w:p>
            <w:pPr>
              <w:pStyle w:val="1104"/>
              <w:jc w:val="center"/>
              <w:rPr>
                <w:color w:val="000000"/>
                <w:sz w:val="22"/>
                <w:szCs w:val="22"/>
                <w:highlight w:val="none"/>
              </w:rPr>
            </w:pPr>
            <w:r>
              <w:rPr>
                <w:color w:val="000000"/>
                <w:sz w:val="22"/>
                <w:szCs w:val="22"/>
                <w:highlight w:val="none"/>
              </w:rPr>
              <w:t xml:space="preserve">2</w:t>
            </w:r>
            <w:r>
              <w:rPr>
                <w:color w:val="000000"/>
                <w:sz w:val="22"/>
                <w:szCs w:val="22"/>
                <w:highlight w:val="none"/>
              </w:rPr>
            </w:r>
            <w:r/>
          </w:p>
        </w:tc>
        <w:tc>
          <w:tcPr>
            <w:tcW w:w="1993" w:type="dxa"/>
            <w:vAlign w:val="center"/>
            <w:textDirection w:val="lrTb"/>
            <w:noWrap w:val="false"/>
          </w:tcPr>
          <w:p>
            <w:pPr>
              <w:pStyle w:val="1104"/>
              <w:ind w:left="248" w:right="152" w:hanging="109"/>
              <w:rPr>
                <w:color w:val="000000"/>
                <w:sz w:val="22"/>
                <w:szCs w:val="22"/>
                <w:highlight w:val="none"/>
                <w:lang w:eastAsia="zh-CN"/>
              </w:rPr>
            </w:pPr>
            <w:r>
              <w:rPr>
                <w:color w:val="000000"/>
                <w:spacing w:val="-25"/>
                <w:sz w:val="22"/>
                <w:szCs w:val="22"/>
                <w:highlight w:val="none"/>
                <w:lang w:eastAsia="zh-CN"/>
              </w:rPr>
              <w:t xml:space="preserve">一</w:t>
            </w:r>
            <w:r>
              <w:rPr>
                <w:color w:val="000000"/>
                <w:spacing w:val="-54"/>
                <w:sz w:val="22"/>
                <w:szCs w:val="22"/>
                <w:highlight w:val="none"/>
                <w:lang w:eastAsia="zh-CN"/>
              </w:rPr>
              <w:t xml:space="preserve"> </w:t>
            </w:r>
            <w:r>
              <w:rPr>
                <w:color w:val="000000"/>
                <w:spacing w:val="-25"/>
                <w:sz w:val="22"/>
                <w:szCs w:val="22"/>
                <w:highlight w:val="none"/>
                <w:lang w:eastAsia="zh-CN"/>
              </w:rPr>
              <w:t xml:space="preserve">用</w:t>
            </w:r>
            <w:r>
              <w:rPr>
                <w:color w:val="000000"/>
                <w:spacing w:val="-55"/>
                <w:sz w:val="22"/>
                <w:szCs w:val="22"/>
                <w:highlight w:val="none"/>
                <w:lang w:eastAsia="zh-CN"/>
              </w:rPr>
              <w:t xml:space="preserve"> </w:t>
            </w:r>
            <w:r>
              <w:rPr>
                <w:color w:val="000000"/>
                <w:spacing w:val="-25"/>
                <w:sz w:val="22"/>
                <w:szCs w:val="22"/>
                <w:highlight w:val="none"/>
                <w:lang w:eastAsia="zh-CN"/>
              </w:rPr>
              <w:t xml:space="preserve">一</w:t>
            </w:r>
            <w:r>
              <w:rPr>
                <w:color w:val="000000"/>
                <w:spacing w:val="-56"/>
                <w:sz w:val="22"/>
                <w:szCs w:val="22"/>
                <w:highlight w:val="none"/>
                <w:lang w:eastAsia="zh-CN"/>
              </w:rPr>
              <w:t xml:space="preserve"> </w:t>
            </w:r>
            <w:r>
              <w:rPr>
                <w:color w:val="000000"/>
                <w:spacing w:val="-25"/>
                <w:sz w:val="22"/>
                <w:szCs w:val="22"/>
                <w:highlight w:val="none"/>
                <w:lang w:eastAsia="zh-CN"/>
              </w:rPr>
              <w:t xml:space="preserve">备，</w:t>
            </w:r>
            <w:r>
              <w:rPr>
                <w:color w:val="000000"/>
                <w:spacing w:val="4"/>
                <w:sz w:val="22"/>
                <w:szCs w:val="22"/>
                <w:highlight w:val="none"/>
                <w:lang w:eastAsia="zh-CN"/>
              </w:rPr>
              <w:t xml:space="preserve">供迎宾楼机组使用</w:t>
            </w:r>
            <w:r>
              <w:rPr>
                <w:color w:val="000000"/>
                <w:sz w:val="22"/>
                <w:szCs w:val="22"/>
                <w:highlight w:val="none"/>
                <w:lang w:eastAsia="zh-CN"/>
              </w:rPr>
            </w:r>
            <w:r/>
          </w:p>
        </w:tc>
      </w:tr>
      <w:tr>
        <w:trPr>
          <w:trHeight w:val="560"/>
        </w:trPr>
        <w:tc>
          <w:tcPr>
            <w:tcW w:w="846" w:type="dxa"/>
            <w:vAlign w:val="center"/>
            <w:vMerge w:val="continue"/>
            <w:textDirection w:val="lrTb"/>
            <w:noWrap w:val="false"/>
          </w:tcPr>
          <w:p>
            <w:pPr>
              <w:pStyle w:val="985"/>
              <w:rPr>
                <w:rFonts w:ascii="Arial" w:hAnsi="Arial" w:cs="Arial"/>
                <w:color w:val="000000"/>
                <w:sz w:val="20"/>
                <w:szCs w:val="20"/>
                <w:highlight w:val="none"/>
              </w:rPr>
            </w:pPr>
            <w:r>
              <w:rPr>
                <w:rFonts w:ascii="Arial" w:hAnsi="Arial" w:cs="Arial"/>
                <w:color w:val="000000"/>
                <w:sz w:val="20"/>
                <w:szCs w:val="20"/>
                <w:highlight w:val="none"/>
              </w:rPr>
            </w:r>
            <w:r/>
          </w:p>
        </w:tc>
        <w:tc>
          <w:tcPr>
            <w:tcW w:w="567" w:type="dxa"/>
            <w:vAlign w:val="center"/>
            <w:textDirection w:val="lrTb"/>
            <w:noWrap w:val="false"/>
          </w:tcPr>
          <w:p>
            <w:pPr>
              <w:pStyle w:val="1104"/>
              <w:ind w:left="150"/>
              <w:rPr>
                <w:color w:val="000000"/>
                <w:sz w:val="22"/>
                <w:szCs w:val="22"/>
                <w:highlight w:val="none"/>
              </w:rPr>
            </w:pPr>
            <w:r>
              <w:rPr>
                <w:color w:val="000000"/>
                <w:sz w:val="22"/>
                <w:szCs w:val="22"/>
                <w:highlight w:val="none"/>
              </w:rPr>
              <w:t xml:space="preserve">9</w:t>
            </w:r>
            <w:r>
              <w:rPr>
                <w:color w:val="000000"/>
                <w:sz w:val="22"/>
                <w:szCs w:val="22"/>
                <w:highlight w:val="none"/>
              </w:rPr>
            </w:r>
            <w:r/>
          </w:p>
        </w:tc>
        <w:tc>
          <w:tcPr>
            <w:tcW w:w="1701" w:type="dxa"/>
            <w:vAlign w:val="center"/>
            <w:textDirection w:val="lrTb"/>
            <w:noWrap w:val="false"/>
          </w:tcPr>
          <w:p>
            <w:pPr>
              <w:pStyle w:val="1104"/>
              <w:jc w:val="center"/>
              <w:rPr>
                <w:color w:val="000000"/>
                <w:sz w:val="22"/>
                <w:szCs w:val="22"/>
                <w:highlight w:val="none"/>
              </w:rPr>
            </w:pPr>
            <w:r>
              <w:rPr>
                <w:color w:val="000000"/>
                <w:spacing w:val="2"/>
                <w:sz w:val="22"/>
                <w:szCs w:val="22"/>
                <w:highlight w:val="none"/>
              </w:rPr>
              <w:t xml:space="preserve">冷却水泵</w:t>
            </w:r>
            <w:r>
              <w:rPr>
                <w:color w:val="000000"/>
                <w:sz w:val="22"/>
                <w:szCs w:val="22"/>
                <w:highlight w:val="none"/>
              </w:rPr>
            </w:r>
            <w:r/>
          </w:p>
        </w:tc>
        <w:tc>
          <w:tcPr>
            <w:tcW w:w="1405" w:type="dxa"/>
            <w:vAlign w:val="center"/>
            <w:textDirection w:val="lrTb"/>
            <w:noWrap w:val="false"/>
          </w:tcPr>
          <w:p>
            <w:pPr>
              <w:pStyle w:val="1104"/>
              <w:jc w:val="center"/>
              <w:rPr>
                <w:color w:val="000000"/>
                <w:sz w:val="22"/>
                <w:szCs w:val="22"/>
                <w:highlight w:val="none"/>
              </w:rPr>
            </w:pPr>
            <w:r>
              <w:rPr>
                <w:color w:val="000000"/>
                <w:spacing w:val="-1"/>
                <w:sz w:val="22"/>
                <w:szCs w:val="22"/>
                <w:highlight w:val="none"/>
              </w:rPr>
              <w:t xml:space="preserve">N=30kW</w:t>
            </w:r>
            <w:r>
              <w:rPr>
                <w:color w:val="000000"/>
                <w:sz w:val="22"/>
                <w:szCs w:val="22"/>
                <w:highlight w:val="none"/>
              </w:rPr>
            </w:r>
            <w:r/>
          </w:p>
        </w:tc>
        <w:tc>
          <w:tcPr>
            <w:tcW w:w="1029" w:type="dxa"/>
            <w:vAlign w:val="center"/>
            <w:textDirection w:val="lrTb"/>
            <w:noWrap w:val="false"/>
          </w:tcPr>
          <w:p>
            <w:pPr>
              <w:pStyle w:val="1104"/>
              <w:ind w:left="455"/>
              <w:rPr>
                <w:color w:val="000000"/>
                <w:sz w:val="22"/>
                <w:szCs w:val="22"/>
                <w:highlight w:val="none"/>
              </w:rPr>
            </w:pPr>
            <w:r>
              <w:rPr>
                <w:color w:val="000000"/>
                <w:sz w:val="22"/>
                <w:szCs w:val="22"/>
                <w:highlight w:val="none"/>
              </w:rPr>
              <w:t xml:space="preserve">/</w:t>
            </w:r>
            <w:r>
              <w:rPr>
                <w:color w:val="000000"/>
                <w:sz w:val="22"/>
                <w:szCs w:val="22"/>
                <w:highlight w:val="none"/>
              </w:rPr>
            </w:r>
            <w:r/>
          </w:p>
        </w:tc>
        <w:tc>
          <w:tcPr>
            <w:tcW w:w="968" w:type="dxa"/>
            <w:vAlign w:val="center"/>
            <w:textDirection w:val="lrTb"/>
            <w:noWrap w:val="false"/>
          </w:tcPr>
          <w:p>
            <w:pPr>
              <w:pStyle w:val="1104"/>
              <w:jc w:val="center"/>
              <w:rPr>
                <w:color w:val="000000"/>
                <w:sz w:val="22"/>
                <w:szCs w:val="22"/>
                <w:highlight w:val="none"/>
              </w:rPr>
            </w:pPr>
            <w:r>
              <w:rPr>
                <w:color w:val="000000"/>
                <w:sz w:val="22"/>
                <w:szCs w:val="22"/>
                <w:highlight w:val="none"/>
              </w:rPr>
              <w:t xml:space="preserve">2</w:t>
            </w:r>
            <w:r>
              <w:rPr>
                <w:color w:val="000000"/>
                <w:sz w:val="22"/>
                <w:szCs w:val="22"/>
                <w:highlight w:val="none"/>
              </w:rPr>
            </w:r>
            <w:r/>
          </w:p>
        </w:tc>
        <w:tc>
          <w:tcPr>
            <w:tcW w:w="1993" w:type="dxa"/>
            <w:vAlign w:val="center"/>
            <w:textDirection w:val="lrTb"/>
            <w:noWrap w:val="false"/>
          </w:tcPr>
          <w:p>
            <w:pPr>
              <w:pStyle w:val="1104"/>
              <w:ind w:left="248" w:right="152" w:hanging="109"/>
              <w:rPr>
                <w:color w:val="000000"/>
                <w:sz w:val="22"/>
                <w:szCs w:val="22"/>
                <w:highlight w:val="none"/>
                <w:lang w:eastAsia="zh-CN"/>
              </w:rPr>
            </w:pPr>
            <w:r>
              <w:rPr>
                <w:color w:val="000000"/>
                <w:spacing w:val="-25"/>
                <w:sz w:val="22"/>
                <w:szCs w:val="22"/>
                <w:highlight w:val="none"/>
                <w:lang w:eastAsia="zh-CN"/>
              </w:rPr>
              <w:t xml:space="preserve">一</w:t>
            </w:r>
            <w:r>
              <w:rPr>
                <w:color w:val="000000"/>
                <w:spacing w:val="-54"/>
                <w:sz w:val="22"/>
                <w:szCs w:val="22"/>
                <w:highlight w:val="none"/>
                <w:lang w:eastAsia="zh-CN"/>
              </w:rPr>
              <w:t xml:space="preserve"> </w:t>
            </w:r>
            <w:r>
              <w:rPr>
                <w:color w:val="000000"/>
                <w:spacing w:val="-25"/>
                <w:sz w:val="22"/>
                <w:szCs w:val="22"/>
                <w:highlight w:val="none"/>
                <w:lang w:eastAsia="zh-CN"/>
              </w:rPr>
              <w:t xml:space="preserve">用</w:t>
            </w:r>
            <w:r>
              <w:rPr>
                <w:color w:val="000000"/>
                <w:spacing w:val="-55"/>
                <w:sz w:val="22"/>
                <w:szCs w:val="22"/>
                <w:highlight w:val="none"/>
                <w:lang w:eastAsia="zh-CN"/>
              </w:rPr>
              <w:t xml:space="preserve"> </w:t>
            </w:r>
            <w:r>
              <w:rPr>
                <w:color w:val="000000"/>
                <w:spacing w:val="-25"/>
                <w:sz w:val="22"/>
                <w:szCs w:val="22"/>
                <w:highlight w:val="none"/>
                <w:lang w:eastAsia="zh-CN"/>
              </w:rPr>
              <w:t xml:space="preserve">一</w:t>
            </w:r>
            <w:r>
              <w:rPr>
                <w:color w:val="000000"/>
                <w:spacing w:val="-56"/>
                <w:sz w:val="22"/>
                <w:szCs w:val="22"/>
                <w:highlight w:val="none"/>
                <w:lang w:eastAsia="zh-CN"/>
              </w:rPr>
              <w:t xml:space="preserve"> </w:t>
            </w:r>
            <w:r>
              <w:rPr>
                <w:color w:val="000000"/>
                <w:spacing w:val="-25"/>
                <w:sz w:val="22"/>
                <w:szCs w:val="22"/>
                <w:highlight w:val="none"/>
                <w:lang w:eastAsia="zh-CN"/>
              </w:rPr>
              <w:t xml:space="preserve">备，</w:t>
            </w:r>
            <w:r>
              <w:rPr>
                <w:color w:val="000000"/>
                <w:spacing w:val="4"/>
                <w:sz w:val="22"/>
                <w:szCs w:val="22"/>
                <w:highlight w:val="none"/>
                <w:lang w:eastAsia="zh-CN"/>
              </w:rPr>
              <w:t xml:space="preserve">供迎宾楼机组使用</w:t>
            </w:r>
            <w:r>
              <w:rPr>
                <w:color w:val="000000"/>
                <w:sz w:val="22"/>
                <w:szCs w:val="22"/>
                <w:highlight w:val="none"/>
                <w:lang w:eastAsia="zh-CN"/>
              </w:rPr>
            </w:r>
            <w:r/>
          </w:p>
        </w:tc>
      </w:tr>
      <w:tr>
        <w:trPr>
          <w:trHeight w:val="569"/>
        </w:trPr>
        <w:tc>
          <w:tcPr>
            <w:tcW w:w="846" w:type="dxa"/>
            <w:vAlign w:val="center"/>
            <w:vMerge w:val="continue"/>
            <w:textDirection w:val="lrTb"/>
            <w:noWrap w:val="false"/>
          </w:tcPr>
          <w:p>
            <w:pPr>
              <w:pStyle w:val="985"/>
              <w:rPr>
                <w:rFonts w:ascii="Arial" w:hAnsi="Arial" w:cs="Arial"/>
                <w:color w:val="000000"/>
                <w:sz w:val="20"/>
                <w:szCs w:val="20"/>
                <w:highlight w:val="none"/>
              </w:rPr>
            </w:pPr>
            <w:r>
              <w:rPr>
                <w:rFonts w:ascii="Arial" w:hAnsi="Arial" w:cs="Arial"/>
                <w:color w:val="000000"/>
                <w:sz w:val="20"/>
                <w:szCs w:val="20"/>
                <w:highlight w:val="none"/>
              </w:rPr>
            </w:r>
            <w:r/>
          </w:p>
        </w:tc>
        <w:tc>
          <w:tcPr>
            <w:tcW w:w="567" w:type="dxa"/>
            <w:vAlign w:val="center"/>
            <w:textDirection w:val="lrTb"/>
            <w:noWrap w:val="false"/>
          </w:tcPr>
          <w:p>
            <w:pPr>
              <w:pStyle w:val="1104"/>
              <w:ind w:left="100"/>
              <w:rPr>
                <w:color w:val="000000"/>
                <w:sz w:val="22"/>
                <w:szCs w:val="22"/>
                <w:highlight w:val="none"/>
              </w:rPr>
            </w:pPr>
            <w:r>
              <w:rPr>
                <w:color w:val="000000"/>
                <w:spacing w:val="-6"/>
                <w:sz w:val="22"/>
                <w:szCs w:val="22"/>
                <w:highlight w:val="none"/>
              </w:rPr>
              <w:t xml:space="preserve">10</w:t>
            </w:r>
            <w:r>
              <w:rPr>
                <w:color w:val="000000"/>
                <w:sz w:val="22"/>
                <w:szCs w:val="22"/>
                <w:highlight w:val="none"/>
              </w:rPr>
            </w:r>
            <w:r/>
          </w:p>
        </w:tc>
        <w:tc>
          <w:tcPr>
            <w:tcW w:w="1701" w:type="dxa"/>
            <w:vAlign w:val="center"/>
            <w:textDirection w:val="lrTb"/>
            <w:noWrap w:val="false"/>
          </w:tcPr>
          <w:p>
            <w:pPr>
              <w:pStyle w:val="1104"/>
              <w:jc w:val="center"/>
              <w:rPr>
                <w:color w:val="000000"/>
                <w:sz w:val="22"/>
                <w:szCs w:val="22"/>
                <w:highlight w:val="none"/>
              </w:rPr>
            </w:pPr>
            <w:r>
              <w:rPr>
                <w:color w:val="000000"/>
                <w:spacing w:val="-3"/>
                <w:sz w:val="22"/>
                <w:szCs w:val="22"/>
                <w:highlight w:val="none"/>
              </w:rPr>
              <w:t xml:space="preserve">冷却塔</w:t>
            </w:r>
            <w:r>
              <w:rPr>
                <w:color w:val="000000"/>
                <w:sz w:val="22"/>
                <w:szCs w:val="22"/>
                <w:highlight w:val="none"/>
              </w:rPr>
            </w:r>
            <w:r/>
          </w:p>
        </w:tc>
        <w:tc>
          <w:tcPr>
            <w:tcW w:w="1405" w:type="dxa"/>
            <w:vAlign w:val="center"/>
            <w:textDirection w:val="lrTb"/>
            <w:noWrap w:val="false"/>
          </w:tcPr>
          <w:p>
            <w:pPr>
              <w:pStyle w:val="1104"/>
              <w:jc w:val="center"/>
              <w:rPr>
                <w:color w:val="000000"/>
                <w:sz w:val="22"/>
                <w:szCs w:val="22"/>
                <w:highlight w:val="none"/>
              </w:rPr>
            </w:pPr>
            <w:r>
              <w:rPr>
                <w:color w:val="000000"/>
                <w:spacing w:val="-1"/>
                <w:sz w:val="22"/>
                <w:szCs w:val="22"/>
                <w:highlight w:val="none"/>
              </w:rPr>
              <w:t xml:space="preserve">Q=400T/h,</w:t>
            </w:r>
            <w:r>
              <w:rPr>
                <w:color w:val="000000"/>
                <w:sz w:val="22"/>
                <w:szCs w:val="22"/>
                <w:highlight w:val="none"/>
              </w:rPr>
            </w:r>
            <w:r/>
          </w:p>
          <w:p>
            <w:pPr>
              <w:pStyle w:val="1104"/>
              <w:jc w:val="center"/>
              <w:rPr>
                <w:color w:val="000000"/>
                <w:sz w:val="22"/>
                <w:szCs w:val="22"/>
                <w:highlight w:val="none"/>
              </w:rPr>
            </w:pPr>
            <w:r>
              <w:rPr>
                <w:color w:val="000000"/>
                <w:spacing w:val="-1"/>
                <w:sz w:val="22"/>
                <w:szCs w:val="22"/>
                <w:highlight w:val="none"/>
              </w:rPr>
              <w:t xml:space="preserve">N=11kW</w:t>
            </w:r>
            <w:r>
              <w:rPr>
                <w:color w:val="000000"/>
                <w:sz w:val="22"/>
                <w:szCs w:val="22"/>
                <w:highlight w:val="none"/>
              </w:rPr>
            </w:r>
            <w:r/>
          </w:p>
        </w:tc>
        <w:tc>
          <w:tcPr>
            <w:tcW w:w="1029" w:type="dxa"/>
            <w:vAlign w:val="center"/>
            <w:textDirection w:val="lrTb"/>
            <w:noWrap w:val="false"/>
          </w:tcPr>
          <w:p>
            <w:pPr>
              <w:pStyle w:val="1104"/>
              <w:ind w:left="455"/>
              <w:rPr>
                <w:color w:val="000000"/>
                <w:sz w:val="22"/>
                <w:szCs w:val="22"/>
                <w:highlight w:val="none"/>
              </w:rPr>
            </w:pPr>
            <w:r>
              <w:rPr>
                <w:color w:val="000000"/>
                <w:sz w:val="22"/>
                <w:szCs w:val="22"/>
                <w:highlight w:val="none"/>
              </w:rPr>
              <w:t xml:space="preserve">/</w:t>
            </w:r>
            <w:r>
              <w:rPr>
                <w:color w:val="000000"/>
                <w:sz w:val="22"/>
                <w:szCs w:val="22"/>
                <w:highlight w:val="none"/>
              </w:rPr>
            </w:r>
            <w:r/>
          </w:p>
        </w:tc>
        <w:tc>
          <w:tcPr>
            <w:tcW w:w="968" w:type="dxa"/>
            <w:vAlign w:val="center"/>
            <w:textDirection w:val="lrTb"/>
            <w:noWrap w:val="false"/>
          </w:tcPr>
          <w:p>
            <w:pPr>
              <w:pStyle w:val="1104"/>
              <w:jc w:val="center"/>
              <w:rPr>
                <w:color w:val="000000"/>
                <w:sz w:val="22"/>
                <w:szCs w:val="22"/>
                <w:highlight w:val="none"/>
              </w:rPr>
            </w:pPr>
            <w:r>
              <w:rPr>
                <w:color w:val="000000"/>
                <w:sz w:val="22"/>
                <w:szCs w:val="22"/>
                <w:highlight w:val="none"/>
              </w:rPr>
              <w:t xml:space="preserve">3</w:t>
            </w:r>
            <w:r>
              <w:rPr>
                <w:color w:val="000000"/>
                <w:sz w:val="22"/>
                <w:szCs w:val="22"/>
                <w:highlight w:val="none"/>
              </w:rPr>
            </w:r>
            <w:r/>
          </w:p>
        </w:tc>
        <w:tc>
          <w:tcPr>
            <w:tcW w:w="1993" w:type="dxa"/>
            <w:vAlign w:val="center"/>
            <w:textDirection w:val="lrTb"/>
            <w:noWrap w:val="false"/>
          </w:tcPr>
          <w:p>
            <w:pPr>
              <w:pStyle w:val="1104"/>
              <w:ind w:left="139"/>
              <w:rPr>
                <w:color w:val="000000"/>
                <w:sz w:val="22"/>
                <w:szCs w:val="22"/>
                <w:highlight w:val="none"/>
              </w:rPr>
            </w:pPr>
            <w:r>
              <w:rPr>
                <w:color w:val="000000"/>
                <w:spacing w:val="3"/>
                <w:sz w:val="22"/>
                <w:szCs w:val="22"/>
                <w:highlight w:val="none"/>
              </w:rPr>
              <w:t xml:space="preserve">供离心机组使用</w:t>
            </w:r>
            <w:r>
              <w:rPr>
                <w:color w:val="000000"/>
                <w:sz w:val="22"/>
                <w:szCs w:val="22"/>
                <w:highlight w:val="none"/>
              </w:rPr>
            </w:r>
            <w:r/>
          </w:p>
        </w:tc>
      </w:tr>
      <w:tr>
        <w:trPr>
          <w:trHeight w:val="560"/>
        </w:trPr>
        <w:tc>
          <w:tcPr>
            <w:tcW w:w="846" w:type="dxa"/>
            <w:vAlign w:val="center"/>
            <w:vMerge w:val="continue"/>
            <w:textDirection w:val="lrTb"/>
            <w:noWrap w:val="false"/>
          </w:tcPr>
          <w:p>
            <w:pPr>
              <w:pStyle w:val="985"/>
              <w:rPr>
                <w:rFonts w:ascii="Arial" w:hAnsi="Arial" w:cs="Arial"/>
                <w:color w:val="000000"/>
                <w:sz w:val="20"/>
                <w:szCs w:val="20"/>
                <w:highlight w:val="none"/>
              </w:rPr>
            </w:pPr>
            <w:r>
              <w:rPr>
                <w:rFonts w:ascii="Arial" w:hAnsi="Arial" w:cs="Arial"/>
                <w:color w:val="000000"/>
                <w:sz w:val="20"/>
                <w:szCs w:val="20"/>
                <w:highlight w:val="none"/>
              </w:rPr>
            </w:r>
            <w:r/>
          </w:p>
        </w:tc>
        <w:tc>
          <w:tcPr>
            <w:tcW w:w="567" w:type="dxa"/>
            <w:vAlign w:val="center"/>
            <w:textDirection w:val="lrTb"/>
            <w:noWrap w:val="false"/>
          </w:tcPr>
          <w:p>
            <w:pPr>
              <w:pStyle w:val="1104"/>
              <w:ind w:left="100"/>
              <w:rPr>
                <w:color w:val="000000"/>
                <w:sz w:val="22"/>
                <w:szCs w:val="22"/>
                <w:highlight w:val="none"/>
              </w:rPr>
            </w:pPr>
            <w:r>
              <w:rPr>
                <w:color w:val="000000"/>
                <w:spacing w:val="-13"/>
                <w:sz w:val="22"/>
                <w:szCs w:val="22"/>
                <w:highlight w:val="none"/>
              </w:rPr>
              <w:t xml:space="preserve">11</w:t>
            </w:r>
            <w:r>
              <w:rPr>
                <w:color w:val="000000"/>
                <w:sz w:val="22"/>
                <w:szCs w:val="22"/>
                <w:highlight w:val="none"/>
              </w:rPr>
            </w:r>
            <w:r/>
          </w:p>
        </w:tc>
        <w:tc>
          <w:tcPr>
            <w:tcW w:w="1701" w:type="dxa"/>
            <w:vAlign w:val="center"/>
            <w:textDirection w:val="lrTb"/>
            <w:noWrap w:val="false"/>
          </w:tcPr>
          <w:p>
            <w:pPr>
              <w:pStyle w:val="1104"/>
              <w:jc w:val="center"/>
              <w:rPr>
                <w:color w:val="000000"/>
                <w:sz w:val="22"/>
                <w:szCs w:val="22"/>
                <w:highlight w:val="none"/>
              </w:rPr>
            </w:pPr>
            <w:r>
              <w:rPr>
                <w:color w:val="000000"/>
                <w:spacing w:val="-3"/>
                <w:sz w:val="22"/>
                <w:szCs w:val="22"/>
                <w:highlight w:val="none"/>
              </w:rPr>
              <w:t xml:space="preserve">冷却塔</w:t>
            </w:r>
            <w:r>
              <w:rPr>
                <w:color w:val="000000"/>
                <w:sz w:val="22"/>
                <w:szCs w:val="22"/>
                <w:highlight w:val="none"/>
              </w:rPr>
            </w:r>
            <w:r/>
          </w:p>
        </w:tc>
        <w:tc>
          <w:tcPr>
            <w:tcW w:w="1405" w:type="dxa"/>
            <w:vAlign w:val="center"/>
            <w:textDirection w:val="lrTb"/>
            <w:noWrap w:val="false"/>
          </w:tcPr>
          <w:p>
            <w:pPr>
              <w:pStyle w:val="1104"/>
              <w:jc w:val="center"/>
              <w:rPr>
                <w:color w:val="000000"/>
                <w:spacing w:val="-1"/>
                <w:sz w:val="22"/>
                <w:szCs w:val="22"/>
                <w:highlight w:val="none"/>
              </w:rPr>
            </w:pPr>
            <w:r>
              <w:rPr>
                <w:color w:val="000000"/>
                <w:spacing w:val="-1"/>
                <w:sz w:val="22"/>
                <w:szCs w:val="22"/>
                <w:highlight w:val="none"/>
              </w:rPr>
              <w:t xml:space="preserve">Q=200T/h,</w:t>
            </w:r>
            <w:r>
              <w:rPr>
                <w:color w:val="000000"/>
                <w:spacing w:val="-1"/>
                <w:sz w:val="22"/>
                <w:szCs w:val="22"/>
                <w:highlight w:val="none"/>
              </w:rPr>
            </w:r>
            <w:r/>
          </w:p>
          <w:p>
            <w:pPr>
              <w:pStyle w:val="1104"/>
              <w:jc w:val="center"/>
              <w:rPr>
                <w:color w:val="000000"/>
                <w:sz w:val="22"/>
                <w:szCs w:val="22"/>
                <w:highlight w:val="none"/>
              </w:rPr>
            </w:pPr>
            <w:r>
              <w:rPr>
                <w:color w:val="000000"/>
                <w:spacing w:val="-1"/>
                <w:sz w:val="22"/>
                <w:szCs w:val="22"/>
                <w:highlight w:val="none"/>
              </w:rPr>
              <w:t xml:space="preserve">N=7.5kW</w:t>
            </w:r>
            <w:r>
              <w:rPr>
                <w:color w:val="000000"/>
                <w:sz w:val="22"/>
                <w:szCs w:val="22"/>
                <w:highlight w:val="none"/>
              </w:rPr>
            </w:r>
            <w:r/>
          </w:p>
        </w:tc>
        <w:tc>
          <w:tcPr>
            <w:tcW w:w="1029" w:type="dxa"/>
            <w:vAlign w:val="center"/>
            <w:textDirection w:val="lrTb"/>
            <w:noWrap w:val="false"/>
          </w:tcPr>
          <w:p>
            <w:pPr>
              <w:pStyle w:val="1104"/>
              <w:ind w:left="455"/>
              <w:rPr>
                <w:color w:val="000000"/>
                <w:sz w:val="22"/>
                <w:szCs w:val="22"/>
                <w:highlight w:val="none"/>
              </w:rPr>
            </w:pPr>
            <w:r>
              <w:rPr>
                <w:color w:val="000000"/>
                <w:sz w:val="22"/>
                <w:szCs w:val="22"/>
                <w:highlight w:val="none"/>
              </w:rPr>
              <w:t xml:space="preserve">/</w:t>
            </w:r>
            <w:r>
              <w:rPr>
                <w:color w:val="000000"/>
                <w:sz w:val="22"/>
                <w:szCs w:val="22"/>
                <w:highlight w:val="none"/>
              </w:rPr>
            </w:r>
            <w:r/>
          </w:p>
        </w:tc>
        <w:tc>
          <w:tcPr>
            <w:tcW w:w="968" w:type="dxa"/>
            <w:vAlign w:val="center"/>
            <w:textDirection w:val="lrTb"/>
            <w:noWrap w:val="false"/>
          </w:tcPr>
          <w:p>
            <w:pPr>
              <w:pStyle w:val="1104"/>
              <w:jc w:val="center"/>
              <w:rPr>
                <w:color w:val="000000"/>
                <w:sz w:val="22"/>
                <w:szCs w:val="22"/>
                <w:highlight w:val="none"/>
              </w:rPr>
            </w:pPr>
            <w:r>
              <w:rPr>
                <w:color w:val="000000"/>
                <w:sz w:val="22"/>
                <w:szCs w:val="22"/>
                <w:highlight w:val="none"/>
              </w:rPr>
              <w:t xml:space="preserve">1</w:t>
            </w:r>
            <w:r>
              <w:rPr>
                <w:color w:val="000000"/>
                <w:sz w:val="22"/>
                <w:szCs w:val="22"/>
                <w:highlight w:val="none"/>
              </w:rPr>
            </w:r>
            <w:r/>
          </w:p>
        </w:tc>
        <w:tc>
          <w:tcPr>
            <w:tcW w:w="1993" w:type="dxa"/>
            <w:vAlign w:val="center"/>
            <w:textDirection w:val="lrTb"/>
            <w:noWrap w:val="false"/>
          </w:tcPr>
          <w:p>
            <w:pPr>
              <w:pStyle w:val="1104"/>
              <w:ind w:left="139"/>
              <w:rPr>
                <w:color w:val="000000"/>
                <w:sz w:val="22"/>
                <w:szCs w:val="22"/>
                <w:highlight w:val="none"/>
              </w:rPr>
            </w:pPr>
            <w:r>
              <w:rPr>
                <w:color w:val="000000"/>
                <w:spacing w:val="3"/>
                <w:sz w:val="22"/>
                <w:szCs w:val="22"/>
                <w:highlight w:val="none"/>
              </w:rPr>
              <w:t xml:space="preserve">供螺杆机组使用</w:t>
            </w:r>
            <w:r>
              <w:rPr>
                <w:color w:val="000000"/>
                <w:sz w:val="22"/>
                <w:szCs w:val="22"/>
                <w:highlight w:val="none"/>
              </w:rPr>
            </w:r>
            <w:r/>
          </w:p>
        </w:tc>
      </w:tr>
      <w:tr>
        <w:trPr>
          <w:trHeight w:val="569"/>
        </w:trPr>
        <w:tc>
          <w:tcPr>
            <w:tcW w:w="846" w:type="dxa"/>
            <w:vAlign w:val="center"/>
            <w:vMerge w:val="restart"/>
            <w:textDirection w:val="lrTb"/>
            <w:noWrap w:val="false"/>
          </w:tcPr>
          <w:p>
            <w:pPr>
              <w:pStyle w:val="1104"/>
              <w:ind w:left="94" w:right="87"/>
              <w:jc w:val="center"/>
              <w:rPr>
                <w:color w:val="000000"/>
                <w:sz w:val="22"/>
                <w:szCs w:val="22"/>
                <w:highlight w:val="none"/>
              </w:rPr>
            </w:pPr>
            <w:r>
              <w:rPr>
                <w:color w:val="000000"/>
                <w:spacing w:val="6"/>
                <w:sz w:val="22"/>
                <w:szCs w:val="22"/>
                <w:highlight w:val="none"/>
              </w:rPr>
              <w:t xml:space="preserve">电梯</w:t>
            </w:r>
            <w:r>
              <w:rPr>
                <w:color w:val="000000"/>
                <w:spacing w:val="-7"/>
                <w:sz w:val="22"/>
                <w:szCs w:val="22"/>
                <w:highlight w:val="none"/>
              </w:rPr>
              <w:t xml:space="preserve">系统</w:t>
            </w:r>
            <w:r>
              <w:rPr>
                <w:color w:val="000000"/>
                <w:sz w:val="22"/>
                <w:szCs w:val="22"/>
                <w:highlight w:val="none"/>
              </w:rPr>
            </w:r>
            <w:r/>
          </w:p>
        </w:tc>
        <w:tc>
          <w:tcPr>
            <w:tcW w:w="567" w:type="dxa"/>
            <w:vAlign w:val="center"/>
            <w:textDirection w:val="lrTb"/>
            <w:noWrap w:val="false"/>
          </w:tcPr>
          <w:p>
            <w:pPr>
              <w:pStyle w:val="1104"/>
              <w:ind w:left="150"/>
              <w:rPr>
                <w:color w:val="000000"/>
                <w:sz w:val="22"/>
                <w:szCs w:val="22"/>
                <w:highlight w:val="none"/>
              </w:rPr>
            </w:pPr>
            <w:r>
              <w:rPr>
                <w:color w:val="000000"/>
                <w:sz w:val="22"/>
                <w:szCs w:val="22"/>
                <w:highlight w:val="none"/>
              </w:rPr>
              <w:t xml:space="preserve">1</w:t>
            </w:r>
            <w:r>
              <w:rPr>
                <w:color w:val="000000"/>
                <w:sz w:val="22"/>
                <w:szCs w:val="22"/>
                <w:highlight w:val="none"/>
              </w:rPr>
            </w:r>
            <w:r/>
          </w:p>
        </w:tc>
        <w:tc>
          <w:tcPr>
            <w:tcW w:w="1701" w:type="dxa"/>
            <w:vAlign w:val="center"/>
            <w:textDirection w:val="lrTb"/>
            <w:noWrap w:val="false"/>
          </w:tcPr>
          <w:p>
            <w:pPr>
              <w:pStyle w:val="1104"/>
              <w:jc w:val="center"/>
              <w:rPr>
                <w:color w:val="000000"/>
                <w:sz w:val="22"/>
                <w:szCs w:val="22"/>
                <w:highlight w:val="none"/>
              </w:rPr>
            </w:pPr>
            <w:r>
              <w:rPr>
                <w:color w:val="000000"/>
                <w:spacing w:val="6"/>
                <w:sz w:val="22"/>
                <w:szCs w:val="22"/>
                <w:highlight w:val="none"/>
              </w:rPr>
              <w:t xml:space="preserve">电梯</w:t>
            </w:r>
            <w:r>
              <w:rPr>
                <w:color w:val="000000"/>
                <w:sz w:val="22"/>
                <w:szCs w:val="22"/>
                <w:highlight w:val="none"/>
              </w:rPr>
            </w:r>
            <w:r/>
          </w:p>
        </w:tc>
        <w:tc>
          <w:tcPr>
            <w:tcW w:w="1405" w:type="dxa"/>
            <w:vAlign w:val="center"/>
            <w:textDirection w:val="lrTb"/>
            <w:noWrap w:val="false"/>
          </w:tcPr>
          <w:p>
            <w:pPr>
              <w:pStyle w:val="1104"/>
              <w:jc w:val="center"/>
              <w:rPr>
                <w:color w:val="000000"/>
                <w:sz w:val="22"/>
                <w:szCs w:val="22"/>
                <w:highlight w:val="none"/>
              </w:rPr>
            </w:pPr>
            <w:r>
              <w:rPr>
                <w:color w:val="000000"/>
                <w:spacing w:val="3"/>
                <w:sz w:val="22"/>
                <w:szCs w:val="22"/>
                <w:highlight w:val="none"/>
              </w:rPr>
              <w:t xml:space="preserve">垂直电梯</w:t>
            </w:r>
            <w:r>
              <w:rPr>
                <w:color w:val="000000"/>
                <w:sz w:val="22"/>
                <w:szCs w:val="22"/>
                <w:highlight w:val="none"/>
              </w:rPr>
            </w:r>
            <w:r/>
          </w:p>
        </w:tc>
        <w:tc>
          <w:tcPr>
            <w:tcW w:w="1029" w:type="dxa"/>
            <w:vAlign w:val="center"/>
            <w:textDirection w:val="lrTb"/>
            <w:noWrap w:val="false"/>
          </w:tcPr>
          <w:p>
            <w:pPr>
              <w:pStyle w:val="1104"/>
              <w:ind w:left="455"/>
              <w:rPr>
                <w:color w:val="000000"/>
                <w:sz w:val="22"/>
                <w:szCs w:val="22"/>
                <w:highlight w:val="none"/>
              </w:rPr>
            </w:pPr>
            <w:r>
              <w:rPr>
                <w:color w:val="000000"/>
                <w:sz w:val="22"/>
                <w:szCs w:val="22"/>
                <w:highlight w:val="none"/>
              </w:rPr>
              <w:t xml:space="preserve">/</w:t>
            </w:r>
            <w:r>
              <w:rPr>
                <w:color w:val="000000"/>
                <w:sz w:val="22"/>
                <w:szCs w:val="22"/>
                <w:highlight w:val="none"/>
              </w:rPr>
            </w:r>
            <w:r/>
          </w:p>
        </w:tc>
        <w:tc>
          <w:tcPr>
            <w:tcW w:w="968" w:type="dxa"/>
            <w:vAlign w:val="center"/>
            <w:textDirection w:val="lrTb"/>
            <w:noWrap w:val="false"/>
          </w:tcPr>
          <w:p>
            <w:pPr>
              <w:pStyle w:val="1104"/>
              <w:jc w:val="center"/>
              <w:rPr>
                <w:color w:val="000000"/>
                <w:sz w:val="22"/>
                <w:szCs w:val="22"/>
                <w:highlight w:val="none"/>
              </w:rPr>
            </w:pPr>
            <w:r>
              <w:rPr>
                <w:color w:val="000000"/>
                <w:sz w:val="22"/>
                <w:szCs w:val="22"/>
                <w:highlight w:val="none"/>
              </w:rPr>
              <w:t xml:space="preserve">3</w:t>
            </w:r>
            <w:r>
              <w:rPr>
                <w:color w:val="000000"/>
                <w:sz w:val="22"/>
                <w:szCs w:val="22"/>
                <w:highlight w:val="none"/>
              </w:rPr>
            </w:r>
            <w:r/>
          </w:p>
        </w:tc>
        <w:tc>
          <w:tcPr>
            <w:tcW w:w="1993" w:type="dxa"/>
            <w:vAlign w:val="center"/>
            <w:textDirection w:val="lrTb"/>
            <w:noWrap w:val="false"/>
          </w:tcPr>
          <w:p>
            <w:pPr>
              <w:pStyle w:val="1104"/>
              <w:ind w:left="468"/>
              <w:rPr>
                <w:color w:val="000000"/>
                <w:sz w:val="22"/>
                <w:szCs w:val="22"/>
                <w:highlight w:val="none"/>
              </w:rPr>
            </w:pPr>
            <w:r>
              <w:rPr>
                <w:color w:val="000000"/>
                <w:spacing w:val="5"/>
                <w:sz w:val="22"/>
                <w:szCs w:val="22"/>
                <w:highlight w:val="none"/>
              </w:rPr>
              <w:t xml:space="preserve">15</w:t>
            </w:r>
            <w:r>
              <w:rPr>
                <w:color w:val="000000"/>
                <w:sz w:val="22"/>
                <w:szCs w:val="22"/>
                <w:highlight w:val="none"/>
              </w:rPr>
              <w:t xml:space="preserve">kW</w:t>
            </w:r>
            <w:r>
              <w:rPr>
                <w:color w:val="000000"/>
                <w:spacing w:val="5"/>
                <w:sz w:val="22"/>
                <w:szCs w:val="22"/>
                <w:highlight w:val="none"/>
              </w:rPr>
              <w:t xml:space="preserve">一台</w:t>
            </w:r>
            <w:r>
              <w:rPr>
                <w:color w:val="000000"/>
                <w:sz w:val="22"/>
                <w:szCs w:val="22"/>
                <w:highlight w:val="none"/>
              </w:rPr>
            </w:r>
            <w:r/>
          </w:p>
        </w:tc>
      </w:tr>
      <w:tr>
        <w:trPr>
          <w:trHeight w:val="569"/>
        </w:trPr>
        <w:tc>
          <w:tcPr>
            <w:tcW w:w="846" w:type="dxa"/>
            <w:vAlign w:val="center"/>
            <w:vMerge w:val="continue"/>
            <w:textDirection w:val="lrTb"/>
            <w:noWrap w:val="false"/>
          </w:tcPr>
          <w:p>
            <w:pPr>
              <w:pStyle w:val="985"/>
              <w:jc w:val="center"/>
              <w:rPr>
                <w:rFonts w:ascii="Arial" w:hAnsi="Arial" w:cs="Arial"/>
                <w:color w:val="000000"/>
                <w:sz w:val="20"/>
                <w:szCs w:val="20"/>
                <w:highlight w:val="none"/>
              </w:rPr>
            </w:pPr>
            <w:r>
              <w:rPr>
                <w:rFonts w:ascii="Arial" w:hAnsi="Arial" w:cs="Arial"/>
                <w:color w:val="000000"/>
                <w:sz w:val="20"/>
                <w:szCs w:val="20"/>
                <w:highlight w:val="none"/>
              </w:rPr>
            </w:r>
            <w:r/>
          </w:p>
        </w:tc>
        <w:tc>
          <w:tcPr>
            <w:tcW w:w="567" w:type="dxa"/>
            <w:vAlign w:val="center"/>
            <w:textDirection w:val="lrTb"/>
            <w:noWrap w:val="false"/>
          </w:tcPr>
          <w:p>
            <w:pPr>
              <w:pStyle w:val="1104"/>
              <w:ind w:left="150"/>
              <w:rPr>
                <w:color w:val="000000"/>
                <w:sz w:val="22"/>
                <w:szCs w:val="22"/>
                <w:highlight w:val="none"/>
              </w:rPr>
            </w:pPr>
            <w:r>
              <w:rPr>
                <w:color w:val="000000"/>
                <w:sz w:val="22"/>
                <w:szCs w:val="22"/>
                <w:highlight w:val="none"/>
              </w:rPr>
              <w:t xml:space="preserve">2</w:t>
            </w:r>
            <w:r>
              <w:rPr>
                <w:color w:val="000000"/>
                <w:sz w:val="22"/>
                <w:szCs w:val="22"/>
                <w:highlight w:val="none"/>
              </w:rPr>
            </w:r>
            <w:r/>
          </w:p>
        </w:tc>
        <w:tc>
          <w:tcPr>
            <w:tcW w:w="1701" w:type="dxa"/>
            <w:vAlign w:val="center"/>
            <w:textDirection w:val="lrTb"/>
            <w:noWrap w:val="false"/>
          </w:tcPr>
          <w:p>
            <w:pPr>
              <w:pStyle w:val="1104"/>
              <w:jc w:val="center"/>
              <w:rPr>
                <w:color w:val="000000"/>
                <w:sz w:val="22"/>
                <w:szCs w:val="22"/>
                <w:highlight w:val="none"/>
              </w:rPr>
            </w:pPr>
            <w:r>
              <w:rPr>
                <w:color w:val="000000"/>
                <w:spacing w:val="6"/>
                <w:sz w:val="22"/>
                <w:szCs w:val="22"/>
                <w:highlight w:val="none"/>
              </w:rPr>
              <w:t xml:space="preserve">电梯</w:t>
            </w:r>
            <w:r>
              <w:rPr>
                <w:color w:val="000000"/>
                <w:sz w:val="22"/>
                <w:szCs w:val="22"/>
                <w:highlight w:val="none"/>
              </w:rPr>
            </w:r>
            <w:r/>
          </w:p>
        </w:tc>
        <w:tc>
          <w:tcPr>
            <w:tcW w:w="1405" w:type="dxa"/>
            <w:vAlign w:val="center"/>
            <w:textDirection w:val="lrTb"/>
            <w:noWrap w:val="false"/>
          </w:tcPr>
          <w:p>
            <w:pPr>
              <w:pStyle w:val="1104"/>
              <w:jc w:val="center"/>
              <w:rPr>
                <w:color w:val="000000"/>
                <w:sz w:val="22"/>
                <w:szCs w:val="22"/>
                <w:highlight w:val="none"/>
              </w:rPr>
            </w:pPr>
            <w:r>
              <w:rPr>
                <w:color w:val="000000"/>
                <w:spacing w:val="3"/>
                <w:sz w:val="22"/>
                <w:szCs w:val="22"/>
                <w:highlight w:val="none"/>
              </w:rPr>
              <w:t xml:space="preserve">垂直电梯</w:t>
            </w:r>
            <w:r>
              <w:rPr>
                <w:color w:val="000000"/>
                <w:sz w:val="22"/>
                <w:szCs w:val="22"/>
                <w:highlight w:val="none"/>
              </w:rPr>
            </w:r>
            <w:r/>
          </w:p>
        </w:tc>
        <w:tc>
          <w:tcPr>
            <w:tcW w:w="1029" w:type="dxa"/>
            <w:vAlign w:val="center"/>
            <w:textDirection w:val="lrTb"/>
            <w:noWrap w:val="false"/>
          </w:tcPr>
          <w:p>
            <w:pPr>
              <w:pStyle w:val="1104"/>
              <w:ind w:left="455"/>
              <w:rPr>
                <w:color w:val="000000"/>
                <w:sz w:val="22"/>
                <w:szCs w:val="22"/>
                <w:highlight w:val="none"/>
              </w:rPr>
            </w:pPr>
            <w:r>
              <w:rPr>
                <w:color w:val="000000"/>
                <w:sz w:val="22"/>
                <w:szCs w:val="22"/>
                <w:highlight w:val="none"/>
              </w:rPr>
              <w:t xml:space="preserve">/</w:t>
            </w:r>
            <w:r>
              <w:rPr>
                <w:color w:val="000000"/>
                <w:sz w:val="22"/>
                <w:szCs w:val="22"/>
                <w:highlight w:val="none"/>
              </w:rPr>
            </w:r>
            <w:r/>
          </w:p>
        </w:tc>
        <w:tc>
          <w:tcPr>
            <w:tcW w:w="968" w:type="dxa"/>
            <w:vAlign w:val="center"/>
            <w:textDirection w:val="lrTb"/>
            <w:noWrap w:val="false"/>
          </w:tcPr>
          <w:p>
            <w:pPr>
              <w:pStyle w:val="1104"/>
              <w:jc w:val="center"/>
              <w:rPr>
                <w:color w:val="000000"/>
                <w:sz w:val="22"/>
                <w:szCs w:val="22"/>
                <w:highlight w:val="none"/>
              </w:rPr>
            </w:pPr>
            <w:r>
              <w:rPr>
                <w:color w:val="000000"/>
                <w:sz w:val="22"/>
                <w:szCs w:val="22"/>
                <w:highlight w:val="none"/>
              </w:rPr>
              <w:t xml:space="preserve">3</w:t>
            </w:r>
            <w:r>
              <w:rPr>
                <w:color w:val="000000"/>
                <w:sz w:val="22"/>
                <w:szCs w:val="22"/>
                <w:highlight w:val="none"/>
              </w:rPr>
            </w:r>
            <w:r/>
          </w:p>
        </w:tc>
        <w:tc>
          <w:tcPr>
            <w:tcW w:w="1993" w:type="dxa"/>
            <w:vAlign w:val="center"/>
            <w:textDirection w:val="lrTb"/>
            <w:noWrap w:val="false"/>
          </w:tcPr>
          <w:p>
            <w:pPr>
              <w:pStyle w:val="1104"/>
              <w:ind w:left="468"/>
              <w:rPr>
                <w:color w:val="000000"/>
                <w:sz w:val="22"/>
                <w:szCs w:val="22"/>
                <w:highlight w:val="none"/>
              </w:rPr>
            </w:pPr>
            <w:r>
              <w:rPr>
                <w:color w:val="000000"/>
                <w:spacing w:val="6"/>
                <w:sz w:val="22"/>
                <w:szCs w:val="22"/>
                <w:highlight w:val="none"/>
              </w:rPr>
              <w:t xml:space="preserve">35</w:t>
            </w:r>
            <w:r>
              <w:rPr>
                <w:color w:val="000000"/>
                <w:sz w:val="22"/>
                <w:szCs w:val="22"/>
                <w:highlight w:val="none"/>
              </w:rPr>
              <w:t xml:space="preserve">kW</w:t>
            </w:r>
            <w:r>
              <w:rPr>
                <w:color w:val="000000"/>
                <w:spacing w:val="6"/>
                <w:sz w:val="22"/>
                <w:szCs w:val="22"/>
                <w:highlight w:val="none"/>
              </w:rPr>
              <w:t xml:space="preserve">一台</w:t>
            </w:r>
            <w:r>
              <w:rPr>
                <w:color w:val="000000"/>
                <w:sz w:val="22"/>
                <w:szCs w:val="22"/>
                <w:highlight w:val="none"/>
              </w:rPr>
            </w:r>
            <w:r/>
          </w:p>
        </w:tc>
      </w:tr>
      <w:tr>
        <w:trPr>
          <w:trHeight w:val="564"/>
        </w:trPr>
        <w:tc>
          <w:tcPr>
            <w:tcW w:w="846" w:type="dxa"/>
            <w:vAlign w:val="center"/>
            <w:textDirection w:val="lrTb"/>
            <w:noWrap w:val="false"/>
          </w:tcPr>
          <w:p>
            <w:pPr>
              <w:pStyle w:val="1104"/>
              <w:ind w:left="94"/>
              <w:jc w:val="center"/>
              <w:rPr>
                <w:color w:val="000000"/>
                <w:sz w:val="22"/>
                <w:szCs w:val="22"/>
                <w:highlight w:val="none"/>
              </w:rPr>
            </w:pPr>
            <w:r>
              <w:rPr>
                <w:color w:val="000000"/>
                <w:sz w:val="22"/>
                <w:szCs w:val="22"/>
                <w:highlight w:val="none"/>
              </w:rPr>
              <w:t xml:space="preserve">电开</w:t>
            </w:r>
            <w:r>
              <w:rPr>
                <w:color w:val="000000"/>
                <w:sz w:val="22"/>
                <w:szCs w:val="22"/>
                <w:highlight w:val="none"/>
              </w:rPr>
            </w:r>
            <w:r/>
          </w:p>
          <w:p>
            <w:pPr>
              <w:pStyle w:val="1104"/>
              <w:ind w:left="94"/>
              <w:jc w:val="center"/>
              <w:rPr>
                <w:color w:val="000000"/>
                <w:sz w:val="22"/>
                <w:szCs w:val="22"/>
                <w:highlight w:val="none"/>
              </w:rPr>
            </w:pPr>
            <w:r>
              <w:rPr>
                <w:color w:val="000000"/>
                <w:spacing w:val="8"/>
                <w:sz w:val="22"/>
                <w:szCs w:val="22"/>
                <w:highlight w:val="none"/>
              </w:rPr>
              <w:t xml:space="preserve">水炉</w:t>
            </w:r>
            <w:r>
              <w:rPr>
                <w:color w:val="000000"/>
                <w:sz w:val="22"/>
                <w:szCs w:val="22"/>
                <w:highlight w:val="none"/>
              </w:rPr>
            </w:r>
            <w:r/>
          </w:p>
        </w:tc>
        <w:tc>
          <w:tcPr>
            <w:tcW w:w="567" w:type="dxa"/>
            <w:vAlign w:val="center"/>
            <w:textDirection w:val="lrTb"/>
            <w:noWrap w:val="false"/>
          </w:tcPr>
          <w:p>
            <w:pPr>
              <w:pStyle w:val="1104"/>
              <w:ind w:left="150"/>
              <w:rPr>
                <w:color w:val="000000"/>
                <w:sz w:val="22"/>
                <w:szCs w:val="22"/>
                <w:highlight w:val="none"/>
              </w:rPr>
            </w:pPr>
            <w:r>
              <w:rPr>
                <w:color w:val="000000"/>
                <w:sz w:val="22"/>
                <w:szCs w:val="22"/>
                <w:highlight w:val="none"/>
              </w:rPr>
              <w:t xml:space="preserve">1</w:t>
            </w:r>
            <w:r>
              <w:rPr>
                <w:color w:val="000000"/>
                <w:sz w:val="22"/>
                <w:szCs w:val="22"/>
                <w:highlight w:val="none"/>
              </w:rPr>
            </w:r>
            <w:r/>
          </w:p>
        </w:tc>
        <w:tc>
          <w:tcPr>
            <w:tcW w:w="1701" w:type="dxa"/>
            <w:vAlign w:val="center"/>
            <w:textDirection w:val="lrTb"/>
            <w:noWrap w:val="false"/>
          </w:tcPr>
          <w:p>
            <w:pPr>
              <w:pStyle w:val="1104"/>
              <w:jc w:val="center"/>
              <w:rPr>
                <w:color w:val="000000"/>
                <w:sz w:val="22"/>
                <w:szCs w:val="22"/>
                <w:highlight w:val="none"/>
              </w:rPr>
            </w:pPr>
            <w:r>
              <w:rPr>
                <w:color w:val="000000"/>
                <w:spacing w:val="4"/>
                <w:sz w:val="22"/>
                <w:szCs w:val="22"/>
                <w:highlight w:val="none"/>
              </w:rPr>
              <w:t xml:space="preserve">电开水炉</w:t>
            </w:r>
            <w:r>
              <w:rPr>
                <w:color w:val="000000"/>
                <w:sz w:val="22"/>
                <w:szCs w:val="22"/>
                <w:highlight w:val="none"/>
              </w:rPr>
            </w:r>
            <w:r/>
          </w:p>
        </w:tc>
        <w:tc>
          <w:tcPr>
            <w:tcW w:w="1405" w:type="dxa"/>
            <w:vAlign w:val="center"/>
            <w:textDirection w:val="lrTb"/>
            <w:noWrap w:val="false"/>
          </w:tcPr>
          <w:p>
            <w:pPr>
              <w:pStyle w:val="1104"/>
              <w:jc w:val="center"/>
              <w:rPr>
                <w:color w:val="000000"/>
                <w:sz w:val="22"/>
                <w:szCs w:val="22"/>
                <w:highlight w:val="none"/>
              </w:rPr>
            </w:pPr>
            <w:r>
              <w:rPr>
                <w:color w:val="000000"/>
                <w:spacing w:val="-2"/>
                <w:sz w:val="22"/>
                <w:szCs w:val="22"/>
                <w:highlight w:val="none"/>
              </w:rPr>
              <w:t xml:space="preserve">9K2-60</w:t>
            </w:r>
            <w:r>
              <w:rPr>
                <w:color w:val="000000"/>
                <w:sz w:val="22"/>
                <w:szCs w:val="22"/>
                <w:highlight w:val="none"/>
              </w:rPr>
            </w:r>
            <w:r/>
          </w:p>
        </w:tc>
        <w:tc>
          <w:tcPr>
            <w:tcW w:w="1029" w:type="dxa"/>
            <w:vAlign w:val="center"/>
            <w:textDirection w:val="lrTb"/>
            <w:noWrap w:val="false"/>
          </w:tcPr>
          <w:p>
            <w:pPr>
              <w:pStyle w:val="1104"/>
              <w:ind w:left="175"/>
              <w:rPr>
                <w:color w:val="000000"/>
                <w:sz w:val="22"/>
                <w:szCs w:val="22"/>
                <w:highlight w:val="none"/>
              </w:rPr>
            </w:pPr>
            <w:r>
              <w:rPr>
                <w:color w:val="000000"/>
                <w:spacing w:val="-2"/>
                <w:sz w:val="22"/>
                <w:szCs w:val="22"/>
                <w:highlight w:val="none"/>
              </w:rPr>
              <w:t xml:space="preserve">微电脑</w:t>
            </w:r>
            <w:r>
              <w:rPr>
                <w:color w:val="000000"/>
                <w:sz w:val="22"/>
                <w:szCs w:val="22"/>
                <w:highlight w:val="none"/>
              </w:rPr>
            </w:r>
            <w:r/>
          </w:p>
        </w:tc>
        <w:tc>
          <w:tcPr>
            <w:tcW w:w="968" w:type="dxa"/>
            <w:vAlign w:val="center"/>
            <w:textDirection w:val="lrTb"/>
            <w:noWrap w:val="false"/>
          </w:tcPr>
          <w:p>
            <w:pPr>
              <w:pStyle w:val="1104"/>
              <w:jc w:val="center"/>
              <w:rPr>
                <w:color w:val="000000"/>
                <w:sz w:val="22"/>
                <w:szCs w:val="22"/>
                <w:highlight w:val="none"/>
              </w:rPr>
            </w:pPr>
            <w:r>
              <w:rPr>
                <w:color w:val="000000"/>
                <w:spacing w:val="-3"/>
                <w:sz w:val="22"/>
                <w:szCs w:val="22"/>
                <w:highlight w:val="none"/>
              </w:rPr>
              <w:t xml:space="preserve">23</w:t>
            </w:r>
            <w:r>
              <w:rPr>
                <w:color w:val="000000"/>
                <w:sz w:val="22"/>
                <w:szCs w:val="22"/>
                <w:highlight w:val="none"/>
              </w:rPr>
            </w:r>
            <w:r/>
          </w:p>
        </w:tc>
        <w:tc>
          <w:tcPr>
            <w:tcW w:w="1993" w:type="dxa"/>
            <w:vAlign w:val="center"/>
            <w:textDirection w:val="lrTb"/>
            <w:noWrap w:val="false"/>
          </w:tcPr>
          <w:p>
            <w:pPr>
              <w:pStyle w:val="1104"/>
              <w:ind w:left="528"/>
              <w:rPr>
                <w:color w:val="000000"/>
                <w:sz w:val="22"/>
                <w:szCs w:val="22"/>
                <w:highlight w:val="none"/>
              </w:rPr>
            </w:pPr>
            <w:r>
              <w:rPr>
                <w:color w:val="000000"/>
                <w:spacing w:val="-3"/>
                <w:sz w:val="22"/>
                <w:szCs w:val="22"/>
                <w:highlight w:val="none"/>
              </w:rPr>
              <w:t xml:space="preserve">9kW一</w:t>
            </w:r>
            <w:r>
              <w:rPr>
                <w:color w:val="000000"/>
                <w:spacing w:val="-47"/>
                <w:sz w:val="22"/>
                <w:szCs w:val="22"/>
                <w:highlight w:val="none"/>
              </w:rPr>
              <w:t xml:space="preserve"> </w:t>
            </w:r>
            <w:r>
              <w:rPr>
                <w:color w:val="000000"/>
                <w:spacing w:val="-3"/>
                <w:sz w:val="22"/>
                <w:szCs w:val="22"/>
                <w:highlight w:val="none"/>
              </w:rPr>
              <w:t xml:space="preserve">台</w:t>
            </w:r>
            <w:r>
              <w:rPr>
                <w:color w:val="000000"/>
                <w:sz w:val="22"/>
                <w:szCs w:val="22"/>
                <w:highlight w:val="none"/>
              </w:rPr>
            </w:r>
            <w:r/>
          </w:p>
        </w:tc>
      </w:tr>
    </w:tbl>
    <w:p>
      <w:pPr>
        <w:pStyle w:val="985"/>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招标人需保证原用能系统的维修和保养,保证设备的正常稳定运行。</w:t>
      </w:r>
      <w:r>
        <w:rPr>
          <w:rFonts w:hint="eastAsia" w:ascii="宋体" w:hAnsi="宋体" w:eastAsia="宋体" w:cs="Times New Roman"/>
          <w:color w:val="000000"/>
          <w:sz w:val="24"/>
          <w:szCs w:val="24"/>
          <w:highlight w:val="none"/>
          <w:lang w:eastAsia="zh-CN"/>
        </w:rPr>
      </w:r>
      <w:r/>
    </w:p>
    <w:p>
      <w:pPr>
        <w:pStyle w:val="985"/>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中标单位保证不因中标单位技术改造影响招标人用能设备的正常稳定运行。</w:t>
      </w:r>
      <w:r>
        <w:rPr>
          <w:rFonts w:hint="eastAsia" w:ascii="宋体" w:hAnsi="宋体" w:eastAsia="宋体" w:cs="Times New Roman"/>
          <w:color w:val="000000"/>
          <w:sz w:val="24"/>
          <w:szCs w:val="24"/>
          <w:highlight w:val="none"/>
          <w:lang w:eastAsia="zh-CN"/>
        </w:rPr>
      </w:r>
      <w:r/>
    </w:p>
    <w:p>
      <w:pPr>
        <w:pStyle w:val="985"/>
        <w:numPr>
          <w:ilvl w:val="0"/>
          <w:numId w:val="8"/>
        </w:numPr>
        <w:keepLines w:val="0"/>
        <w:keepNext w:val="0"/>
        <w:pageBreakBefore w:val="0"/>
        <w:spacing w:line="440" w:lineRule="exact"/>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能耗数据</w:t>
      </w:r>
      <w:r>
        <w:rPr>
          <w:rFonts w:hint="eastAsia" w:ascii="宋体" w:hAnsi="宋体" w:eastAsia="宋体" w:cs="Times New Roman"/>
          <w:b/>
          <w:bCs/>
          <w:color w:val="000000"/>
          <w:sz w:val="24"/>
          <w:szCs w:val="24"/>
          <w:highlight w:val="none"/>
          <w:lang w:eastAsia="zh-CN"/>
        </w:rPr>
      </w:r>
      <w:r/>
    </w:p>
    <w:p>
      <w:pPr>
        <w:pStyle w:val="1061"/>
        <w:numPr>
          <w:ilvl w:val="0"/>
          <w:numId w:val="0"/>
        </w:numPr>
        <w:ind w:firstLine="480"/>
        <w:rPr>
          <w:rFonts w:hint="eastAsia"/>
          <w:color w:val="000000"/>
          <w:highlight w:val="none"/>
          <w:lang w:val="en-US" w:eastAsia="zh-CN"/>
        </w:rPr>
      </w:pPr>
      <w:r>
        <w:rPr>
          <w:rFonts w:hint="eastAsia"/>
          <w:color w:val="000000"/>
          <w:highlight w:val="none"/>
          <w:lang w:val="en-US" w:eastAsia="zh-CN"/>
        </w:rPr>
        <w:t xml:space="preserve">3.1近三年能耗数据</w:t>
      </w:r>
      <w:r>
        <w:rPr>
          <w:rFonts w:hint="eastAsia"/>
          <w:color w:val="000000"/>
          <w:highlight w:val="none"/>
          <w:lang w:val="en-US"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扬中市行政中心近三年（2023-2025年）用能数据如下：</w:t>
      </w:r>
      <w:r>
        <w:rPr>
          <w:rFonts w:hint="eastAsia" w:ascii="宋体" w:hAnsi="宋体" w:eastAsia="宋体" w:cs="Times New Roman"/>
          <w:color w:val="000000"/>
          <w:sz w:val="24"/>
          <w:szCs w:val="24"/>
          <w:highlight w:val="none"/>
          <w:lang w:val="en-US" w:eastAsia="zh-CN"/>
        </w:rPr>
      </w:r>
      <w:r/>
    </w:p>
    <w:tbl>
      <w:tblPr>
        <w:tblStyle w:val="1105"/>
        <w:tblW w:w="88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4"/>
        <w:gridCol w:w="1276"/>
        <w:gridCol w:w="1701"/>
        <w:gridCol w:w="1489"/>
        <w:gridCol w:w="1760"/>
        <w:gridCol w:w="1541"/>
      </w:tblGrid>
      <w:tr>
        <w:trPr>
          <w:trHeight w:val="680" w:hRule="exact"/>
        </w:trPr>
        <w:tc>
          <w:tcPr>
            <w:gridSpan w:val="3"/>
            <w:tcW w:w="410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年度</w:t>
            </w:r>
            <w:r>
              <w:rPr>
                <w:color w:val="000000"/>
                <w:sz w:val="22"/>
                <w:szCs w:val="22"/>
                <w:highlight w:val="none"/>
                <w:lang w:val="en-US" w:eastAsia="zh-CN"/>
              </w:rPr>
            </w:r>
            <w:r/>
          </w:p>
        </w:tc>
        <w:tc>
          <w:tcPr>
            <w:tcW w:w="1489"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2023年度</w:t>
            </w:r>
            <w:r>
              <w:rPr>
                <w:color w:val="000000"/>
                <w:sz w:val="22"/>
                <w:szCs w:val="22"/>
                <w:highlight w:val="none"/>
                <w:lang w:val="en-US" w:eastAsia="zh-CN"/>
              </w:rPr>
            </w:r>
            <w:r/>
          </w:p>
        </w:tc>
        <w:tc>
          <w:tcPr>
            <w:tcW w:w="1760"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2024年度</w:t>
            </w:r>
            <w:r>
              <w:rPr>
                <w:color w:val="000000"/>
                <w:sz w:val="22"/>
                <w:szCs w:val="22"/>
                <w:highlight w:val="none"/>
                <w:lang w:val="en-US" w:eastAsia="zh-CN"/>
              </w:rPr>
            </w:r>
            <w:r/>
          </w:p>
        </w:tc>
        <w:tc>
          <w:tcPr>
            <w:tcW w:w="154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2025年度</w:t>
            </w:r>
            <w:r>
              <w:rPr>
                <w:color w:val="000000"/>
                <w:sz w:val="22"/>
                <w:szCs w:val="22"/>
                <w:highlight w:val="none"/>
                <w:lang w:val="en-US" w:eastAsia="zh-CN"/>
              </w:rPr>
            </w:r>
            <w:r/>
          </w:p>
        </w:tc>
      </w:tr>
      <w:tr>
        <w:trPr>
          <w:trHeight w:val="680" w:hRule="exact"/>
        </w:trPr>
        <w:tc>
          <w:tcPr>
            <w:tcW w:w="1124" w:type="dxa"/>
            <w:vAlign w:val="center"/>
            <w:vMerge w:val="restart"/>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电</w:t>
            </w:r>
            <w:r>
              <w:rPr>
                <w:color w:val="000000"/>
                <w:sz w:val="22"/>
                <w:szCs w:val="22"/>
                <w:highlight w:val="none"/>
                <w:lang w:val="en-US" w:eastAsia="zh-CN"/>
              </w:rPr>
            </w:r>
            <w:r/>
          </w:p>
        </w:tc>
        <w:tc>
          <w:tcPr>
            <w:tcW w:w="1276" w:type="dxa"/>
            <w:vAlign w:val="center"/>
            <w:vMerge w:val="restart"/>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市电</w:t>
            </w:r>
            <w:r>
              <w:rPr>
                <w:color w:val="000000"/>
                <w:sz w:val="22"/>
                <w:szCs w:val="22"/>
                <w:highlight w:val="none"/>
                <w:lang w:val="en-US" w:eastAsia="zh-CN"/>
              </w:rPr>
            </w:r>
            <w:r/>
          </w:p>
        </w:tc>
        <w:tc>
          <w:tcPr>
            <w:tcW w:w="170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电量/万kwh</w:t>
            </w:r>
            <w:r>
              <w:rPr>
                <w:color w:val="000000"/>
                <w:sz w:val="22"/>
                <w:szCs w:val="22"/>
                <w:highlight w:val="none"/>
                <w:lang w:val="en-US" w:eastAsia="zh-CN"/>
              </w:rPr>
            </w:r>
            <w:r/>
          </w:p>
        </w:tc>
        <w:tc>
          <w:tcPr>
            <w:tcW w:w="1489"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218.24</w:t>
            </w:r>
            <w:r>
              <w:rPr>
                <w:color w:val="000000"/>
                <w:sz w:val="22"/>
                <w:szCs w:val="22"/>
                <w:highlight w:val="none"/>
                <w:lang w:val="en-US" w:eastAsia="zh-CN"/>
              </w:rPr>
            </w:r>
            <w:r/>
          </w:p>
        </w:tc>
        <w:tc>
          <w:tcPr>
            <w:tcW w:w="1760"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224.98</w:t>
            </w:r>
            <w:r>
              <w:rPr>
                <w:color w:val="000000"/>
                <w:sz w:val="22"/>
                <w:szCs w:val="22"/>
                <w:highlight w:val="none"/>
                <w:lang w:val="en-US" w:eastAsia="zh-CN"/>
              </w:rPr>
            </w:r>
            <w:r/>
          </w:p>
        </w:tc>
        <w:tc>
          <w:tcPr>
            <w:tcW w:w="154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211.89</w:t>
            </w:r>
            <w:r>
              <w:rPr>
                <w:color w:val="000000"/>
                <w:sz w:val="22"/>
                <w:szCs w:val="22"/>
                <w:highlight w:val="none"/>
                <w:lang w:val="en-US" w:eastAsia="zh-CN"/>
              </w:rPr>
            </w:r>
            <w:r/>
          </w:p>
        </w:tc>
      </w:tr>
      <w:tr>
        <w:trPr>
          <w:trHeight w:val="680" w:hRule="exact"/>
        </w:trPr>
        <w:tc>
          <w:tcPr>
            <w:tcW w:w="1124" w:type="dxa"/>
            <w:vAlign w:val="center"/>
            <w:vMerge w:val="continue"/>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r>
            <w:r/>
          </w:p>
        </w:tc>
        <w:tc>
          <w:tcPr>
            <w:tcW w:w="1276" w:type="dxa"/>
            <w:vAlign w:val="center"/>
            <w:vMerge w:val="continue"/>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r>
            <w:r/>
          </w:p>
        </w:tc>
        <w:tc>
          <w:tcPr>
            <w:tcW w:w="170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电费/万元</w:t>
            </w:r>
            <w:r>
              <w:rPr>
                <w:color w:val="000000"/>
                <w:sz w:val="22"/>
                <w:szCs w:val="22"/>
                <w:highlight w:val="none"/>
                <w:lang w:val="en-US" w:eastAsia="zh-CN"/>
              </w:rPr>
            </w:r>
            <w:r/>
          </w:p>
        </w:tc>
        <w:tc>
          <w:tcPr>
            <w:tcW w:w="1489"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159.30</w:t>
            </w:r>
            <w:r>
              <w:rPr>
                <w:color w:val="000000"/>
                <w:sz w:val="22"/>
                <w:szCs w:val="22"/>
                <w:highlight w:val="none"/>
                <w:lang w:val="en-US" w:eastAsia="zh-CN"/>
              </w:rPr>
            </w:r>
            <w:r/>
          </w:p>
        </w:tc>
        <w:tc>
          <w:tcPr>
            <w:tcW w:w="1760"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165.91</w:t>
            </w:r>
            <w:r>
              <w:rPr>
                <w:color w:val="000000"/>
                <w:sz w:val="22"/>
                <w:szCs w:val="22"/>
                <w:highlight w:val="none"/>
                <w:lang w:val="en-US" w:eastAsia="zh-CN"/>
              </w:rPr>
            </w:r>
            <w:r/>
          </w:p>
        </w:tc>
        <w:tc>
          <w:tcPr>
            <w:tcW w:w="154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153.92</w:t>
            </w:r>
            <w:r>
              <w:rPr>
                <w:color w:val="000000"/>
                <w:sz w:val="22"/>
                <w:szCs w:val="22"/>
                <w:highlight w:val="none"/>
                <w:lang w:val="en-US" w:eastAsia="zh-CN"/>
              </w:rPr>
            </w:r>
            <w:r/>
          </w:p>
        </w:tc>
      </w:tr>
      <w:tr>
        <w:trPr>
          <w:trHeight w:val="680" w:hRule="exact"/>
        </w:trPr>
        <w:tc>
          <w:tcPr>
            <w:tcW w:w="1124" w:type="dxa"/>
            <w:vAlign w:val="center"/>
            <w:vMerge w:val="continue"/>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r>
            <w:r/>
          </w:p>
        </w:tc>
        <w:tc>
          <w:tcPr>
            <w:tcW w:w="1276" w:type="dxa"/>
            <w:vAlign w:val="center"/>
            <w:vMerge w:val="restart"/>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光伏电</w:t>
            </w:r>
            <w:r>
              <w:rPr>
                <w:color w:val="000000"/>
                <w:sz w:val="22"/>
                <w:szCs w:val="22"/>
                <w:highlight w:val="none"/>
                <w:lang w:val="en-US" w:eastAsia="zh-CN"/>
              </w:rPr>
            </w:r>
            <w:r/>
          </w:p>
        </w:tc>
        <w:tc>
          <w:tcPr>
            <w:tcW w:w="170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电量/万kwh</w:t>
            </w:r>
            <w:r>
              <w:rPr>
                <w:color w:val="000000"/>
                <w:sz w:val="22"/>
                <w:szCs w:val="22"/>
                <w:highlight w:val="none"/>
                <w:lang w:val="en-US" w:eastAsia="zh-CN"/>
              </w:rPr>
            </w:r>
            <w:r/>
          </w:p>
        </w:tc>
        <w:tc>
          <w:tcPr>
            <w:tcW w:w="1489"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59.30</w:t>
            </w:r>
            <w:r>
              <w:rPr>
                <w:color w:val="000000"/>
                <w:sz w:val="22"/>
                <w:szCs w:val="22"/>
                <w:highlight w:val="none"/>
                <w:lang w:val="en-US" w:eastAsia="zh-CN"/>
              </w:rPr>
            </w:r>
            <w:r/>
          </w:p>
        </w:tc>
        <w:tc>
          <w:tcPr>
            <w:tcW w:w="1760"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62.30</w:t>
            </w:r>
            <w:r>
              <w:rPr>
                <w:color w:val="000000"/>
                <w:sz w:val="22"/>
                <w:szCs w:val="22"/>
                <w:highlight w:val="none"/>
                <w:lang w:val="en-US" w:eastAsia="zh-CN"/>
              </w:rPr>
            </w:r>
            <w:r/>
          </w:p>
        </w:tc>
        <w:tc>
          <w:tcPr>
            <w:tcW w:w="154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69.95</w:t>
            </w:r>
            <w:r>
              <w:rPr>
                <w:color w:val="000000"/>
                <w:sz w:val="22"/>
                <w:szCs w:val="22"/>
                <w:highlight w:val="none"/>
                <w:lang w:val="en-US" w:eastAsia="zh-CN"/>
              </w:rPr>
            </w:r>
            <w:r/>
          </w:p>
        </w:tc>
      </w:tr>
      <w:tr>
        <w:trPr>
          <w:trHeight w:val="680" w:hRule="exact"/>
        </w:trPr>
        <w:tc>
          <w:tcPr>
            <w:tcW w:w="1124" w:type="dxa"/>
            <w:vAlign w:val="center"/>
            <w:vMerge w:val="continue"/>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r>
            <w:r/>
          </w:p>
        </w:tc>
        <w:tc>
          <w:tcPr>
            <w:tcW w:w="1276" w:type="dxa"/>
            <w:vAlign w:val="center"/>
            <w:vMerge w:val="continue"/>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r>
            <w:r/>
          </w:p>
        </w:tc>
        <w:tc>
          <w:tcPr>
            <w:tcW w:w="170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电费/万元</w:t>
            </w:r>
            <w:r>
              <w:rPr>
                <w:color w:val="000000"/>
                <w:sz w:val="22"/>
                <w:szCs w:val="22"/>
                <w:highlight w:val="none"/>
                <w:lang w:val="en-US" w:eastAsia="zh-CN"/>
              </w:rPr>
            </w:r>
            <w:r/>
          </w:p>
        </w:tc>
        <w:tc>
          <w:tcPr>
            <w:tcW w:w="1489"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30.58</w:t>
            </w:r>
            <w:r>
              <w:rPr>
                <w:color w:val="000000"/>
                <w:sz w:val="22"/>
                <w:szCs w:val="22"/>
                <w:highlight w:val="none"/>
                <w:lang w:val="en-US" w:eastAsia="zh-CN"/>
              </w:rPr>
            </w:r>
            <w:r/>
          </w:p>
        </w:tc>
        <w:tc>
          <w:tcPr>
            <w:tcW w:w="1760"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31.50</w:t>
            </w:r>
            <w:r>
              <w:rPr>
                <w:color w:val="000000"/>
                <w:sz w:val="22"/>
                <w:szCs w:val="22"/>
                <w:highlight w:val="none"/>
                <w:lang w:val="en-US" w:eastAsia="zh-CN"/>
              </w:rPr>
            </w:r>
            <w:r/>
          </w:p>
        </w:tc>
        <w:tc>
          <w:tcPr>
            <w:tcW w:w="154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35.25</w:t>
            </w:r>
            <w:r>
              <w:rPr>
                <w:color w:val="000000"/>
                <w:sz w:val="22"/>
                <w:szCs w:val="22"/>
                <w:highlight w:val="none"/>
                <w:lang w:val="en-US" w:eastAsia="zh-CN"/>
              </w:rPr>
            </w:r>
            <w:r/>
          </w:p>
        </w:tc>
      </w:tr>
      <w:tr>
        <w:trPr>
          <w:trHeight w:val="680" w:hRule="exact"/>
        </w:trPr>
        <w:tc>
          <w:tcPr>
            <w:tcW w:w="1124" w:type="dxa"/>
            <w:vAlign w:val="center"/>
            <w:vMerge w:val="continue"/>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r>
            <w:r/>
          </w:p>
        </w:tc>
        <w:tc>
          <w:tcPr>
            <w:gridSpan w:val="2"/>
            <w:tcW w:w="2977"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总电量/万kWh</w:t>
            </w:r>
            <w:r>
              <w:rPr>
                <w:color w:val="000000"/>
                <w:sz w:val="22"/>
                <w:szCs w:val="22"/>
                <w:highlight w:val="none"/>
                <w:lang w:val="en-US" w:eastAsia="zh-CN"/>
              </w:rPr>
            </w:r>
            <w:r/>
          </w:p>
        </w:tc>
        <w:tc>
          <w:tcPr>
            <w:tcW w:w="1489"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277.72</w:t>
            </w:r>
            <w:r>
              <w:rPr>
                <w:color w:val="000000"/>
                <w:sz w:val="22"/>
                <w:szCs w:val="22"/>
                <w:highlight w:val="none"/>
                <w:lang w:val="en-US" w:eastAsia="zh-CN"/>
              </w:rPr>
            </w:r>
            <w:r/>
          </w:p>
        </w:tc>
        <w:tc>
          <w:tcPr>
            <w:tcW w:w="1760"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287.28</w:t>
            </w:r>
            <w:r>
              <w:rPr>
                <w:color w:val="000000"/>
                <w:sz w:val="22"/>
                <w:szCs w:val="22"/>
                <w:highlight w:val="none"/>
                <w:lang w:val="en-US" w:eastAsia="zh-CN"/>
              </w:rPr>
            </w:r>
            <w:r/>
          </w:p>
        </w:tc>
        <w:tc>
          <w:tcPr>
            <w:tcW w:w="154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281.84</w:t>
            </w:r>
            <w:r>
              <w:rPr>
                <w:color w:val="000000"/>
                <w:sz w:val="22"/>
                <w:szCs w:val="22"/>
                <w:highlight w:val="none"/>
                <w:lang w:val="en-US" w:eastAsia="zh-CN"/>
              </w:rPr>
            </w:r>
            <w:r/>
          </w:p>
        </w:tc>
      </w:tr>
      <w:tr>
        <w:trPr>
          <w:trHeight w:val="680" w:hRule="exact"/>
        </w:trPr>
        <w:tc>
          <w:tcPr>
            <w:tcW w:w="1124" w:type="dxa"/>
            <w:vAlign w:val="center"/>
            <w:vMerge w:val="continue"/>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r>
            <w:r/>
          </w:p>
        </w:tc>
        <w:tc>
          <w:tcPr>
            <w:gridSpan w:val="2"/>
            <w:tcW w:w="2977"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总电费/万元</w:t>
            </w:r>
            <w:r>
              <w:rPr>
                <w:color w:val="000000"/>
                <w:sz w:val="22"/>
                <w:szCs w:val="22"/>
                <w:highlight w:val="none"/>
                <w:lang w:val="en-US" w:eastAsia="zh-CN"/>
              </w:rPr>
            </w:r>
            <w:r/>
          </w:p>
        </w:tc>
        <w:tc>
          <w:tcPr>
            <w:tcW w:w="1489"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189.88</w:t>
            </w:r>
            <w:r>
              <w:rPr>
                <w:color w:val="000000"/>
                <w:sz w:val="22"/>
                <w:szCs w:val="22"/>
                <w:highlight w:val="none"/>
                <w:lang w:val="en-US" w:eastAsia="zh-CN"/>
              </w:rPr>
            </w:r>
            <w:r/>
          </w:p>
        </w:tc>
        <w:tc>
          <w:tcPr>
            <w:tcW w:w="1760"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197.41</w:t>
            </w:r>
            <w:r>
              <w:rPr>
                <w:color w:val="000000"/>
                <w:sz w:val="22"/>
                <w:szCs w:val="22"/>
                <w:highlight w:val="none"/>
                <w:lang w:val="en-US" w:eastAsia="zh-CN"/>
              </w:rPr>
            </w:r>
            <w:r/>
          </w:p>
        </w:tc>
        <w:tc>
          <w:tcPr>
            <w:tcW w:w="154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189.17</w:t>
            </w:r>
            <w:r>
              <w:rPr>
                <w:color w:val="000000"/>
                <w:sz w:val="22"/>
                <w:szCs w:val="22"/>
                <w:highlight w:val="none"/>
                <w:lang w:val="en-US" w:eastAsia="zh-CN"/>
              </w:rPr>
            </w:r>
            <w:r/>
          </w:p>
        </w:tc>
      </w:tr>
      <w:tr>
        <w:trPr>
          <w:trHeight w:val="680" w:hRule="exact"/>
        </w:trPr>
        <w:tc>
          <w:tcPr>
            <w:gridSpan w:val="2"/>
            <w:tcW w:w="2400" w:type="dxa"/>
            <w:vAlign w:val="center"/>
            <w:vMerge w:val="restart"/>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水</w:t>
            </w:r>
            <w:r>
              <w:rPr>
                <w:color w:val="000000"/>
                <w:sz w:val="22"/>
                <w:szCs w:val="22"/>
                <w:highlight w:val="none"/>
                <w:lang w:val="en-US" w:eastAsia="zh-CN"/>
              </w:rPr>
            </w:r>
            <w:r/>
          </w:p>
        </w:tc>
        <w:tc>
          <w:tcPr>
            <w:tcW w:w="170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用水量/万吨</w:t>
            </w:r>
            <w:r>
              <w:rPr>
                <w:color w:val="000000"/>
                <w:sz w:val="22"/>
                <w:szCs w:val="22"/>
                <w:highlight w:val="none"/>
                <w:lang w:val="en-US" w:eastAsia="zh-CN"/>
              </w:rPr>
            </w:r>
            <w:r/>
          </w:p>
        </w:tc>
        <w:tc>
          <w:tcPr>
            <w:tcW w:w="1489"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11.92</w:t>
            </w:r>
            <w:r>
              <w:rPr>
                <w:color w:val="000000"/>
                <w:sz w:val="22"/>
                <w:szCs w:val="22"/>
                <w:highlight w:val="none"/>
                <w:lang w:val="en-US" w:eastAsia="zh-CN"/>
              </w:rPr>
            </w:r>
            <w:r/>
          </w:p>
        </w:tc>
        <w:tc>
          <w:tcPr>
            <w:tcW w:w="1760"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5.76</w:t>
            </w:r>
            <w:r>
              <w:rPr>
                <w:color w:val="000000"/>
                <w:sz w:val="22"/>
                <w:szCs w:val="22"/>
                <w:highlight w:val="none"/>
                <w:lang w:val="en-US" w:eastAsia="zh-CN"/>
              </w:rPr>
            </w:r>
            <w:r/>
          </w:p>
        </w:tc>
        <w:tc>
          <w:tcPr>
            <w:tcW w:w="154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5.75</w:t>
            </w:r>
            <w:r>
              <w:rPr>
                <w:color w:val="000000"/>
                <w:sz w:val="22"/>
                <w:szCs w:val="22"/>
                <w:highlight w:val="none"/>
                <w:lang w:val="en-US" w:eastAsia="zh-CN"/>
              </w:rPr>
            </w:r>
            <w:r/>
          </w:p>
        </w:tc>
      </w:tr>
      <w:tr>
        <w:trPr>
          <w:trHeight w:val="680" w:hRule="exact"/>
        </w:trPr>
        <w:tc>
          <w:tcPr>
            <w:gridSpan w:val="2"/>
            <w:tcW w:w="2400" w:type="dxa"/>
            <w:vAlign w:val="center"/>
            <w:vMerge w:val="continue"/>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r>
            <w:r/>
          </w:p>
        </w:tc>
        <w:tc>
          <w:tcPr>
            <w:tcW w:w="170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水费/万元</w:t>
            </w:r>
            <w:r>
              <w:rPr>
                <w:color w:val="000000"/>
                <w:sz w:val="22"/>
                <w:szCs w:val="22"/>
                <w:highlight w:val="none"/>
                <w:lang w:val="en-US" w:eastAsia="zh-CN"/>
              </w:rPr>
            </w:r>
            <w:r/>
          </w:p>
        </w:tc>
        <w:tc>
          <w:tcPr>
            <w:tcW w:w="1489"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43.52</w:t>
            </w:r>
            <w:r>
              <w:rPr>
                <w:color w:val="000000"/>
                <w:sz w:val="22"/>
                <w:szCs w:val="22"/>
                <w:highlight w:val="none"/>
                <w:lang w:val="en-US" w:eastAsia="zh-CN"/>
              </w:rPr>
            </w:r>
            <w:r/>
          </w:p>
        </w:tc>
        <w:tc>
          <w:tcPr>
            <w:tcW w:w="1760"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21.03</w:t>
            </w:r>
            <w:r>
              <w:rPr>
                <w:color w:val="000000"/>
                <w:sz w:val="22"/>
                <w:szCs w:val="22"/>
                <w:highlight w:val="none"/>
                <w:lang w:val="en-US" w:eastAsia="zh-CN"/>
              </w:rPr>
            </w:r>
            <w:r/>
          </w:p>
        </w:tc>
        <w:tc>
          <w:tcPr>
            <w:tcW w:w="154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20.97</w:t>
            </w:r>
            <w:r>
              <w:rPr>
                <w:color w:val="000000"/>
                <w:sz w:val="22"/>
                <w:szCs w:val="22"/>
                <w:highlight w:val="none"/>
                <w:lang w:val="en-US" w:eastAsia="zh-CN"/>
              </w:rPr>
            </w:r>
            <w:r/>
          </w:p>
        </w:tc>
      </w:tr>
      <w:tr>
        <w:trPr>
          <w:trHeight w:val="680" w:hRule="exact"/>
        </w:trPr>
        <w:tc>
          <w:tcPr>
            <w:gridSpan w:val="2"/>
            <w:tcW w:w="2400" w:type="dxa"/>
            <w:vAlign w:val="center"/>
            <w:vMerge w:val="restart"/>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燃气</w:t>
            </w:r>
            <w:r>
              <w:rPr>
                <w:color w:val="000000"/>
                <w:sz w:val="22"/>
                <w:szCs w:val="22"/>
                <w:highlight w:val="none"/>
                <w:lang w:val="en-US" w:eastAsia="zh-CN"/>
              </w:rPr>
            </w:r>
            <w:r/>
          </w:p>
        </w:tc>
        <w:tc>
          <w:tcPr>
            <w:tcW w:w="170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用量/万m³</w:t>
            </w:r>
            <w:r>
              <w:rPr>
                <w:color w:val="000000"/>
                <w:sz w:val="22"/>
                <w:szCs w:val="22"/>
                <w:highlight w:val="none"/>
                <w:lang w:val="en-US" w:eastAsia="zh-CN"/>
              </w:rPr>
            </w:r>
            <w:r/>
          </w:p>
        </w:tc>
        <w:tc>
          <w:tcPr>
            <w:tcW w:w="1489"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18.89</w:t>
            </w:r>
            <w:r>
              <w:rPr>
                <w:color w:val="000000"/>
                <w:sz w:val="22"/>
                <w:szCs w:val="22"/>
                <w:highlight w:val="none"/>
                <w:lang w:val="en-US" w:eastAsia="zh-CN"/>
              </w:rPr>
            </w:r>
            <w:r/>
          </w:p>
        </w:tc>
        <w:tc>
          <w:tcPr>
            <w:tcW w:w="1760"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16.83</w:t>
            </w:r>
            <w:r>
              <w:rPr>
                <w:color w:val="000000"/>
                <w:sz w:val="22"/>
                <w:szCs w:val="22"/>
                <w:highlight w:val="none"/>
                <w:lang w:val="en-US" w:eastAsia="zh-CN"/>
              </w:rPr>
            </w:r>
            <w:r/>
          </w:p>
        </w:tc>
        <w:tc>
          <w:tcPr>
            <w:tcW w:w="154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13.75</w:t>
            </w:r>
            <w:r>
              <w:rPr>
                <w:color w:val="000000"/>
                <w:sz w:val="22"/>
                <w:szCs w:val="22"/>
                <w:highlight w:val="none"/>
                <w:lang w:val="en-US" w:eastAsia="zh-CN"/>
              </w:rPr>
            </w:r>
            <w:r/>
          </w:p>
        </w:tc>
      </w:tr>
      <w:tr>
        <w:trPr>
          <w:trHeight w:val="680" w:hRule="exact"/>
        </w:trPr>
        <w:tc>
          <w:tcPr>
            <w:gridSpan w:val="2"/>
            <w:tcW w:w="2400" w:type="dxa"/>
            <w:vAlign w:val="center"/>
            <w:vMerge w:val="continue"/>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r>
            <w:r/>
          </w:p>
        </w:tc>
        <w:tc>
          <w:tcPr>
            <w:tcW w:w="170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燃气费/万元</w:t>
            </w:r>
            <w:r>
              <w:rPr>
                <w:color w:val="000000"/>
                <w:sz w:val="22"/>
                <w:szCs w:val="22"/>
                <w:highlight w:val="none"/>
                <w:lang w:val="en-US" w:eastAsia="zh-CN"/>
              </w:rPr>
            </w:r>
            <w:r/>
          </w:p>
        </w:tc>
        <w:tc>
          <w:tcPr>
            <w:tcW w:w="1489"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90.14</w:t>
            </w:r>
            <w:r>
              <w:rPr>
                <w:color w:val="000000"/>
                <w:sz w:val="22"/>
                <w:szCs w:val="22"/>
                <w:highlight w:val="none"/>
                <w:lang w:val="en-US" w:eastAsia="zh-CN"/>
              </w:rPr>
            </w:r>
            <w:r/>
          </w:p>
        </w:tc>
        <w:tc>
          <w:tcPr>
            <w:tcW w:w="1760"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78.98</w:t>
            </w:r>
            <w:r>
              <w:rPr>
                <w:color w:val="000000"/>
                <w:sz w:val="22"/>
                <w:szCs w:val="22"/>
                <w:highlight w:val="none"/>
                <w:lang w:val="en-US" w:eastAsia="zh-CN"/>
              </w:rPr>
            </w:r>
            <w:r/>
          </w:p>
        </w:tc>
        <w:tc>
          <w:tcPr>
            <w:tcW w:w="154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64.61</w:t>
            </w:r>
            <w:r>
              <w:rPr>
                <w:color w:val="000000"/>
                <w:sz w:val="22"/>
                <w:szCs w:val="22"/>
                <w:highlight w:val="none"/>
                <w:lang w:val="en-US" w:eastAsia="zh-CN"/>
              </w:rPr>
            </w:r>
            <w:r/>
          </w:p>
        </w:tc>
      </w:tr>
      <w:tr>
        <w:trPr>
          <w:trHeight w:val="680" w:hRule="exact"/>
        </w:trPr>
        <w:tc>
          <w:tcPr>
            <w:gridSpan w:val="3"/>
            <w:tcW w:w="410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总费用</w:t>
            </w:r>
            <w:r>
              <w:rPr>
                <w:color w:val="000000"/>
                <w:sz w:val="22"/>
                <w:szCs w:val="22"/>
                <w:highlight w:val="none"/>
                <w:lang w:val="en-US" w:eastAsia="zh-CN"/>
              </w:rPr>
            </w:r>
            <w:r/>
          </w:p>
        </w:tc>
        <w:tc>
          <w:tcPr>
            <w:tcW w:w="1489"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323.53</w:t>
            </w:r>
            <w:r>
              <w:rPr>
                <w:color w:val="000000"/>
                <w:sz w:val="22"/>
                <w:szCs w:val="22"/>
                <w:highlight w:val="none"/>
                <w:lang w:val="en-US" w:eastAsia="zh-CN"/>
              </w:rPr>
            </w:r>
            <w:r/>
          </w:p>
        </w:tc>
        <w:tc>
          <w:tcPr>
            <w:tcW w:w="1760"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297.39</w:t>
            </w:r>
            <w:r>
              <w:rPr>
                <w:color w:val="000000"/>
                <w:sz w:val="22"/>
                <w:szCs w:val="22"/>
                <w:highlight w:val="none"/>
                <w:lang w:val="en-US" w:eastAsia="zh-CN"/>
              </w:rPr>
            </w:r>
            <w:r/>
          </w:p>
        </w:tc>
        <w:tc>
          <w:tcPr>
            <w:tcW w:w="1541" w:type="dxa"/>
            <w:vAlign w:val="center"/>
            <w:textDirection w:val="lrTb"/>
            <w:noWrap w:val="false"/>
          </w:tcPr>
          <w:p>
            <w:pPr>
              <w:pStyle w:val="1061"/>
              <w:numPr>
                <w:ilvl w:val="0"/>
                <w:numId w:val="0"/>
              </w:numPr>
              <w:ind w:firstLine="440"/>
              <w:jc w:val="left"/>
              <w:rPr>
                <w:color w:val="000000"/>
                <w:sz w:val="22"/>
                <w:szCs w:val="22"/>
                <w:highlight w:val="none"/>
                <w:lang w:val="en-US" w:eastAsia="zh-CN"/>
              </w:rPr>
            </w:pPr>
            <w:r>
              <w:rPr>
                <w:color w:val="000000"/>
                <w:sz w:val="22"/>
                <w:szCs w:val="22"/>
                <w:highlight w:val="none"/>
                <w:lang w:val="en-US" w:eastAsia="zh-CN"/>
              </w:rPr>
              <w:t xml:space="preserve">274.76</w:t>
            </w:r>
            <w:r>
              <w:rPr>
                <w:color w:val="000000"/>
                <w:sz w:val="22"/>
                <w:szCs w:val="22"/>
                <w:highlight w:val="none"/>
                <w:lang w:val="en-US" w:eastAsia="zh-CN"/>
              </w:rPr>
            </w:r>
            <w:r/>
          </w:p>
        </w:tc>
      </w:tr>
    </w:tbl>
    <w:p>
      <w:pPr>
        <w:pStyle w:val="985"/>
        <w:ind w:firstLine="480"/>
        <w:jc w:val="left"/>
        <w:keepLines w:val="0"/>
        <w:keepNext w:val="0"/>
        <w:pageBreakBefore w:val="0"/>
        <w:spacing w:line="440" w:lineRule="exact"/>
        <w:widowControl w:val="off"/>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3.2能耗基准</w:t>
      </w:r>
      <w:r>
        <w:rPr>
          <w:rFonts w:ascii="宋体" w:hAnsi="宋体" w:eastAsia="宋体" w:cs="Times New Roman"/>
          <w:color w:val="000000"/>
          <w:sz w:val="24"/>
          <w:szCs w:val="24"/>
          <w:highlight w:val="none"/>
          <w:lang w:val="en-US" w:eastAsia="zh-CN"/>
        </w:rPr>
      </w:r>
      <w:r/>
    </w:p>
    <w:p>
      <w:pPr>
        <w:pStyle w:val="985"/>
        <w:ind w:firstLine="480"/>
        <w:jc w:val="left"/>
        <w:keepLines w:val="0"/>
        <w:keepNext w:val="0"/>
        <w:pageBreakBefore w:val="0"/>
        <w:spacing w:line="440" w:lineRule="exact"/>
        <w:widowControl w:val="off"/>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能源基准反映的是特定时间段内的能源利用状况，其目的是确保节能服务公司与用能单位以契约形式约定节能目标、开展能源管理。作为用以比较基期、报告期能源绩效的定量参考依据，其选值大小将直接影响合同能源管理效果、节能量、节能率、节能效益等指标。</w:t>
      </w:r>
      <w:r>
        <w:rPr>
          <w:rFonts w:ascii="宋体" w:hAnsi="宋体" w:eastAsia="宋体" w:cs="Times New Roman"/>
          <w:color w:val="000000"/>
          <w:sz w:val="24"/>
          <w:szCs w:val="24"/>
          <w:highlight w:val="none"/>
          <w:lang w:val="en-US" w:eastAsia="zh-CN"/>
        </w:rPr>
      </w:r>
      <w:r/>
    </w:p>
    <w:p>
      <w:pPr>
        <w:pStyle w:val="985"/>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1.基准单价：</w:t>
      </w:r>
      <w:r>
        <w:rPr>
          <w:rFonts w:hint="eastAsia" w:ascii="宋体" w:hAnsi="宋体" w:eastAsia="宋体" w:cs="Times New Roman"/>
          <w:color w:val="000000"/>
          <w:sz w:val="24"/>
          <w:szCs w:val="24"/>
          <w:highlight w:val="none"/>
          <w:lang w:eastAsia="zh-CN"/>
        </w:rPr>
      </w:r>
      <w:r/>
    </w:p>
    <w:p>
      <w:pPr>
        <w:pStyle w:val="985"/>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（1）电力单价取2023年1月至2025年12月综合电力单价0.736397元/kWh；电费核查联到户电价平均值</w:t>
      </w:r>
      <w:bookmarkStart w:id="199" w:name="_Hlk236321375"/>
      <w:r>
        <w:rPr>
          <w:rFonts w:hint="eastAsia" w:ascii="宋体" w:hAnsi="宋体" w:eastAsia="宋体" w:cs="Times New Roman"/>
          <w:color w:val="000000"/>
          <w:sz w:val="24"/>
          <w:szCs w:val="24"/>
          <w:highlight w:val="none"/>
          <w:lang w:eastAsia="zh-CN"/>
        </w:rPr>
        <w:t xml:space="preserve">0.736397</w:t>
      </w:r>
      <w:bookmarkEnd w:id="199"/>
      <w:r>
        <w:rPr>
          <w:rFonts w:hint="eastAsia" w:ascii="宋体" w:hAnsi="宋体" w:eastAsia="宋体" w:cs="Times New Roman"/>
          <w:color w:val="000000"/>
          <w:sz w:val="24"/>
          <w:szCs w:val="24"/>
          <w:highlight w:val="none"/>
          <w:lang w:eastAsia="zh-CN"/>
        </w:rPr>
        <w:t xml:space="preserve">元/kWh</w:t>
      </w:r>
      <w:r>
        <w:rPr>
          <w:rFonts w:hint="eastAsia" w:ascii="宋体" w:hAnsi="宋体" w:eastAsia="宋体" w:cs="Times New Roman"/>
          <w:color w:val="000000"/>
          <w:sz w:val="24"/>
          <w:szCs w:val="24"/>
          <w:highlight w:val="none"/>
          <w:lang w:eastAsia="zh-CN"/>
        </w:rPr>
      </w:r>
      <w:r/>
    </w:p>
    <w:p>
      <w:pPr>
        <w:pStyle w:val="985"/>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（2）水（代缴）：按实际用量代缴，水价3.65元/m³，代缴基数9万吨；</w:t>
      </w:r>
      <w:r>
        <w:rPr>
          <w:rFonts w:hint="eastAsia" w:ascii="宋体" w:hAnsi="宋体" w:eastAsia="宋体" w:cs="Times New Roman"/>
          <w:color w:val="000000"/>
          <w:sz w:val="24"/>
          <w:szCs w:val="24"/>
          <w:highlight w:val="none"/>
          <w:lang w:eastAsia="zh-CN"/>
        </w:rPr>
      </w:r>
      <w:r/>
    </w:p>
    <w:p>
      <w:pPr>
        <w:pStyle w:val="985"/>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（3）天然气单价取原托管基准为3.9749元/m³（淡季）、4.</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eastAsia="zh-CN"/>
        </w:rPr>
        <w:t xml:space="preserve">元/m³（旺季）。</w:t>
      </w:r>
      <w:r>
        <w:rPr>
          <w:rFonts w:hint="eastAsia" w:ascii="宋体" w:hAnsi="宋体" w:eastAsia="宋体" w:cs="Times New Roman"/>
          <w:color w:val="000000"/>
          <w:sz w:val="24"/>
          <w:szCs w:val="24"/>
          <w:highlight w:val="none"/>
          <w:lang w:eastAsia="zh-CN"/>
        </w:rPr>
      </w:r>
      <w:r/>
    </w:p>
    <w:p>
      <w:pPr>
        <w:pStyle w:val="985"/>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2.托管基准费用：</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sectPr>
          <w:footerReference w:type="default" r:id="rId10"/>
          <w:footerReference w:type="first" r:id="rId11"/>
          <w:footnotePr/>
          <w:endnotePr/>
          <w:type w:val="nextPage"/>
          <w:pgSz w:w="11906" w:h="16838" w:orient="portrait"/>
          <w:pgMar w:top="1588" w:right="1418" w:bottom="1418" w:left="1701" w:header="851" w:footer="992" w:gutter="0"/>
          <w:pgNumType w:start="1"/>
          <w:cols w:num="1" w:sep="0" w:space="1701" w:equalWidth="1"/>
          <w:docGrid w:linePitch="360"/>
        </w:sectPr>
      </w:pP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tbl>
      <w:tblPr>
        <w:tblW w:w="14427" w:type="dxa"/>
        <w:tblInd w:w="-108" w:type="dxa"/>
        <w:tblLayout w:type="fixed"/>
        <w:tblCellMar>
          <w:left w:w="108" w:type="dxa"/>
          <w:top w:w="0" w:type="dxa"/>
          <w:right w:w="108" w:type="dxa"/>
          <w:bottom w:w="0" w:type="dxa"/>
        </w:tblCellMar>
        <w:tblLook w:val="04A0" w:firstRow="1" w:lastRow="0" w:firstColumn="1" w:lastColumn="0" w:noHBand="0" w:noVBand="1"/>
      </w:tblPr>
      <w:tblGrid>
        <w:gridCol w:w="1440"/>
        <w:gridCol w:w="1296"/>
        <w:gridCol w:w="1516"/>
        <w:gridCol w:w="1296"/>
        <w:gridCol w:w="1296"/>
        <w:gridCol w:w="1186"/>
        <w:gridCol w:w="1260"/>
        <w:gridCol w:w="1186"/>
        <w:gridCol w:w="1186"/>
        <w:gridCol w:w="1456"/>
        <w:gridCol w:w="1309"/>
      </w:tblGrid>
      <w:tr>
        <w:trPr>
          <w:trHeight w:val="1014" w:hRule="exact"/>
        </w:trPr>
        <w:tc>
          <w:tcPr>
            <w:tcW w:w="1440" w:type="dxa"/>
            <w:vAlign w:val="top"/>
            <w:vMerge w:val="restart"/>
            <w:textDirection w:val="lrTb"/>
            <w:noWrap w:val="false"/>
          </w:tcPr>
          <w:p>
            <w:pPr>
              <w:pStyle w:val="985"/>
              <w:ind w:firstLine="440"/>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r>
            <w:r/>
          </w:p>
          <w:p>
            <w:pPr>
              <w:pStyle w:val="985"/>
              <w:ind w:firstLine="440"/>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数值   </w:t>
            </w:r>
            <w:r>
              <w:rPr>
                <w:rFonts w:hint="eastAsia" w:ascii="宋体" w:hAnsi="宋体" w:eastAsia="宋体" w:cs="Times New Roman"/>
                <w:color w:val="000000"/>
                <w:sz w:val="22"/>
                <w:szCs w:val="22"/>
                <w:highlight w:val="none"/>
                <w:lang w:eastAsia="zh-CN"/>
              </w:rPr>
              <w:br w:type="textWrapping" w:clear="all"/>
            </w:r>
            <w:r>
              <w:rPr>
                <w:rFonts w:hint="eastAsia" w:ascii="宋体" w:hAnsi="宋体" w:eastAsia="宋体" w:cs="Times New Roman"/>
                <w:color w:val="000000"/>
                <w:sz w:val="22"/>
                <w:szCs w:val="22"/>
                <w:highlight w:val="none"/>
                <w:lang w:eastAsia="zh-CN"/>
              </w:rPr>
              <w:br w:type="textWrapping" w:clear="all"/>
            </w:r>
            <w:r>
              <w:rPr>
                <w:rFonts w:hint="eastAsia" w:ascii="宋体" w:hAnsi="宋体" w:eastAsia="宋体" w:cs="Times New Roman"/>
                <w:color w:val="000000"/>
                <w:sz w:val="22"/>
                <w:szCs w:val="22"/>
                <w:highlight w:val="none"/>
                <w:lang w:eastAsia="zh-CN"/>
              </w:rPr>
              <w:t xml:space="preserve">                                                                                                                    年度</w:t>
            </w:r>
            <w:r>
              <w:rPr>
                <w:rFonts w:hint="eastAsia" w:ascii="宋体" w:hAnsi="宋体" w:eastAsia="宋体" w:cs="Times New Roman"/>
                <w:color w:val="000000"/>
                <w:sz w:val="22"/>
                <w:szCs w:val="22"/>
                <w:highlight w:val="none"/>
                <w:lang w:eastAsia="zh-CN"/>
              </w:rPr>
            </w:r>
            <w:r/>
          </w:p>
        </w:tc>
        <w:tc>
          <w:tcPr>
            <w:gridSpan w:val="4"/>
            <w:tcW w:w="5404"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电</w:t>
            </w:r>
            <w:r>
              <w:rPr>
                <w:rFonts w:hint="eastAsia" w:ascii="宋体" w:hAnsi="宋体" w:eastAsia="宋体" w:cs="Times New Roman"/>
                <w:color w:val="000000"/>
                <w:sz w:val="22"/>
                <w:szCs w:val="22"/>
                <w:highlight w:val="none"/>
                <w:lang w:eastAsia="zh-CN"/>
              </w:rPr>
            </w:r>
            <w:r/>
          </w:p>
        </w:tc>
        <w:tc>
          <w:tcPr>
            <w:gridSpan w:val="4"/>
            <w:tcW w:w="4818"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水</w:t>
            </w:r>
            <w:r>
              <w:rPr>
                <w:rFonts w:hint="eastAsia" w:ascii="宋体" w:hAnsi="宋体" w:eastAsia="宋体" w:cs="Times New Roman"/>
                <w:color w:val="000000"/>
                <w:sz w:val="22"/>
                <w:szCs w:val="22"/>
                <w:highlight w:val="none"/>
                <w:lang w:eastAsia="zh-CN"/>
              </w:rPr>
            </w:r>
            <w:r/>
          </w:p>
        </w:tc>
        <w:tc>
          <w:tcPr>
            <w:gridSpan w:val="2"/>
            <w:tcW w:w="2765"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燃气</w:t>
            </w:r>
            <w:r>
              <w:rPr>
                <w:rFonts w:hint="eastAsia" w:ascii="宋体" w:hAnsi="宋体" w:eastAsia="宋体" w:cs="Times New Roman"/>
                <w:color w:val="000000"/>
                <w:sz w:val="22"/>
                <w:szCs w:val="22"/>
                <w:highlight w:val="none"/>
                <w:lang w:eastAsia="zh-CN"/>
              </w:rPr>
            </w:r>
            <w:r/>
          </w:p>
        </w:tc>
      </w:tr>
      <w:tr>
        <w:trPr>
          <w:trHeight w:val="1021" w:hRule="exact"/>
        </w:trPr>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985"/>
              <w:ind w:firstLine="440"/>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用电量</w:t>
            </w:r>
            <w:r>
              <w:rPr>
                <w:rFonts w:hint="eastAsia" w:ascii="宋体" w:hAnsi="宋体" w:eastAsia="宋体" w:cs="Times New Roman"/>
                <w:color w:val="000000"/>
                <w:sz w:val="22"/>
                <w:szCs w:val="22"/>
                <w:highlight w:val="none"/>
                <w:lang w:eastAsia="zh-CN"/>
              </w:rPr>
              <w:br w:type="textWrapping" w:clear="all"/>
            </w:r>
            <w:r>
              <w:rPr>
                <w:rFonts w:hint="eastAsia" w:ascii="宋体" w:hAnsi="宋体" w:eastAsia="宋体" w:cs="Times New Roman"/>
                <w:color w:val="000000"/>
                <w:sz w:val="22"/>
                <w:szCs w:val="22"/>
                <w:highlight w:val="none"/>
                <w:lang w:eastAsia="zh-CN"/>
              </w:rPr>
              <w:t xml:space="preserve">（万kwh）</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val="false"/>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单价</w:t>
            </w:r>
            <w:r>
              <w:rPr>
                <w:rFonts w:hint="eastAsia" w:ascii="宋体" w:hAnsi="宋体" w:eastAsia="宋体" w:cs="Times New Roman"/>
                <w:color w:val="000000"/>
                <w:sz w:val="22"/>
                <w:szCs w:val="22"/>
                <w:highlight w:val="none"/>
                <w:lang w:eastAsia="zh-CN"/>
              </w:rPr>
              <w:br w:type="textWrapping" w:clear="all"/>
            </w:r>
            <w:r>
              <w:rPr>
                <w:rFonts w:hint="eastAsia" w:ascii="宋体" w:hAnsi="宋体" w:eastAsia="宋体" w:cs="Times New Roman"/>
                <w:color w:val="000000"/>
                <w:sz w:val="22"/>
                <w:szCs w:val="22"/>
                <w:highlight w:val="none"/>
                <w:lang w:eastAsia="zh-CN"/>
              </w:rPr>
              <w:t xml:space="preserve">（元/kWh）</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电费</w:t>
            </w:r>
            <w:r>
              <w:rPr>
                <w:rFonts w:hint="eastAsia" w:ascii="宋体" w:hAnsi="宋体" w:eastAsia="宋体" w:cs="Times New Roman"/>
                <w:color w:val="000000"/>
                <w:sz w:val="22"/>
                <w:szCs w:val="22"/>
                <w:highlight w:val="none"/>
                <w:lang w:eastAsia="zh-CN"/>
              </w:rPr>
              <w:br w:type="textWrapping" w:clear="all"/>
            </w:r>
            <w:r>
              <w:rPr>
                <w:rFonts w:hint="eastAsia" w:ascii="宋体" w:hAnsi="宋体" w:eastAsia="宋体" w:cs="Times New Roman"/>
                <w:color w:val="000000"/>
                <w:sz w:val="22"/>
                <w:szCs w:val="22"/>
                <w:highlight w:val="none"/>
                <w:lang w:eastAsia="zh-CN"/>
              </w:rPr>
              <w:t xml:space="preserve">（万元）</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电费基数</w:t>
            </w:r>
            <w:r>
              <w:rPr>
                <w:rFonts w:hint="eastAsia" w:ascii="宋体" w:hAnsi="宋体" w:eastAsia="宋体" w:cs="Times New Roman"/>
                <w:color w:val="000000"/>
                <w:sz w:val="22"/>
                <w:szCs w:val="22"/>
                <w:highlight w:val="none"/>
                <w:lang w:eastAsia="zh-CN"/>
              </w:rPr>
              <w:br w:type="textWrapping" w:clear="all"/>
            </w:r>
            <w:r>
              <w:rPr>
                <w:rFonts w:hint="eastAsia" w:ascii="宋体" w:hAnsi="宋体" w:eastAsia="宋体" w:cs="Times New Roman"/>
                <w:color w:val="000000"/>
                <w:sz w:val="22"/>
                <w:szCs w:val="22"/>
                <w:highlight w:val="none"/>
                <w:lang w:eastAsia="zh-CN"/>
              </w:rPr>
              <w:t xml:space="preserve">(万元)</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用水量</w:t>
            </w:r>
            <w:r>
              <w:rPr>
                <w:rFonts w:hint="eastAsia" w:ascii="宋体" w:hAnsi="宋体" w:eastAsia="宋体" w:cs="Times New Roman"/>
                <w:color w:val="000000"/>
                <w:sz w:val="22"/>
                <w:szCs w:val="22"/>
                <w:highlight w:val="none"/>
                <w:lang w:eastAsia="zh-CN"/>
              </w:rPr>
              <w:br w:type="textWrapping" w:clear="all"/>
            </w:r>
            <w:r>
              <w:rPr>
                <w:rFonts w:hint="eastAsia" w:ascii="宋体" w:hAnsi="宋体" w:eastAsia="宋体" w:cs="Times New Roman"/>
                <w:color w:val="000000"/>
                <w:sz w:val="22"/>
                <w:szCs w:val="22"/>
                <w:highlight w:val="none"/>
                <w:lang w:eastAsia="zh-CN"/>
              </w:rPr>
              <w:t xml:space="preserve">（万吨）</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按现行固定水费</w:t>
            </w:r>
            <w:r>
              <w:rPr>
                <w:rFonts w:hint="eastAsia" w:ascii="宋体" w:hAnsi="宋体" w:eastAsia="宋体" w:cs="Times New Roman"/>
                <w:color w:val="000000"/>
                <w:sz w:val="22"/>
                <w:szCs w:val="22"/>
                <w:highlight w:val="none"/>
                <w:lang w:eastAsia="zh-CN"/>
              </w:rPr>
              <w:br w:type="textWrapping" w:clear="all"/>
            </w:r>
            <w:r>
              <w:rPr>
                <w:rFonts w:hint="eastAsia" w:ascii="宋体" w:hAnsi="宋体" w:eastAsia="宋体" w:cs="Times New Roman"/>
                <w:color w:val="000000"/>
                <w:sz w:val="22"/>
                <w:szCs w:val="22"/>
                <w:highlight w:val="none"/>
                <w:lang w:eastAsia="zh-CN"/>
              </w:rPr>
              <w:t xml:space="preserve">（元/吨）</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水费</w:t>
            </w:r>
            <w:r>
              <w:rPr>
                <w:rFonts w:hint="eastAsia" w:ascii="宋体" w:hAnsi="宋体" w:eastAsia="宋体" w:cs="Times New Roman"/>
                <w:color w:val="000000"/>
                <w:sz w:val="22"/>
                <w:szCs w:val="22"/>
                <w:highlight w:val="none"/>
                <w:lang w:eastAsia="zh-CN"/>
              </w:rPr>
              <w:br w:type="textWrapping" w:clear="all"/>
            </w:r>
            <w:r>
              <w:rPr>
                <w:rFonts w:hint="eastAsia" w:ascii="宋体" w:hAnsi="宋体" w:eastAsia="宋体" w:cs="Times New Roman"/>
                <w:color w:val="000000"/>
                <w:sz w:val="22"/>
                <w:szCs w:val="22"/>
                <w:highlight w:val="none"/>
                <w:lang w:eastAsia="zh-CN"/>
              </w:rPr>
              <w:t xml:space="preserve">(万元)</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val="false"/>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水费基数</w:t>
            </w:r>
            <w:r>
              <w:rPr>
                <w:rFonts w:hint="eastAsia" w:ascii="宋体" w:hAnsi="宋体" w:eastAsia="宋体" w:cs="Times New Roman"/>
                <w:color w:val="000000"/>
                <w:sz w:val="22"/>
                <w:szCs w:val="22"/>
                <w:highlight w:val="none"/>
                <w:lang w:eastAsia="zh-CN"/>
              </w:rPr>
              <w:br w:type="textWrapping" w:clear="all"/>
            </w:r>
            <w:r>
              <w:rPr>
                <w:rFonts w:hint="eastAsia" w:ascii="宋体" w:hAnsi="宋体" w:eastAsia="宋体" w:cs="Times New Roman"/>
                <w:color w:val="000000"/>
                <w:sz w:val="22"/>
                <w:szCs w:val="22"/>
                <w:highlight w:val="none"/>
                <w:lang w:eastAsia="zh-CN"/>
              </w:rPr>
              <w:t xml:space="preserve">(万元)</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val="false"/>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燃气费（万元）</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燃气费基数</w:t>
            </w:r>
            <w:r>
              <w:rPr>
                <w:rFonts w:hint="eastAsia" w:ascii="宋体" w:hAnsi="宋体" w:eastAsia="宋体" w:cs="Times New Roman"/>
                <w:color w:val="000000"/>
                <w:sz w:val="22"/>
                <w:szCs w:val="22"/>
                <w:highlight w:val="none"/>
                <w:lang w:eastAsia="zh-CN"/>
              </w:rPr>
              <w:br w:type="textWrapping" w:clear="all"/>
            </w:r>
            <w:r>
              <w:rPr>
                <w:rFonts w:hint="eastAsia" w:ascii="宋体" w:hAnsi="宋体" w:eastAsia="宋体" w:cs="Times New Roman"/>
                <w:color w:val="000000"/>
                <w:sz w:val="22"/>
                <w:szCs w:val="22"/>
                <w:highlight w:val="none"/>
                <w:lang w:eastAsia="zh-CN"/>
              </w:rPr>
              <w:t xml:space="preserve">(万元)</w:t>
            </w:r>
            <w:r>
              <w:rPr>
                <w:rFonts w:hint="eastAsia" w:ascii="宋体" w:hAnsi="宋体" w:eastAsia="宋体" w:cs="Times New Roman"/>
                <w:color w:val="000000"/>
                <w:sz w:val="22"/>
                <w:szCs w:val="22"/>
                <w:highlight w:val="none"/>
                <w:lang w:eastAsia="zh-CN"/>
              </w:rPr>
            </w:r>
            <w:r/>
          </w:p>
        </w:tc>
      </w:tr>
      <w:tr>
        <w:trPr>
          <w:trHeight w:val="1021" w:hRule="exact"/>
        </w:trPr>
        <w:tc>
          <w:tcPr>
            <w:tcBorders>
              <w:top w:val="none" w:color="000000" w:sz="4" w:space="0"/>
              <w:left w:val="single" w:color="000000" w:sz="4" w:space="0"/>
              <w:bottom w:val="single" w:color="000000" w:sz="4" w:space="0"/>
              <w:right w:val="single" w:color="000000" w:sz="4" w:space="0"/>
            </w:tcBorders>
            <w:tcW w:w="1440"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2023</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277.72</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0.736397</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204.51</w:t>
            </w:r>
            <w:r>
              <w:rPr>
                <w:rFonts w:hint="eastAsia" w:ascii="宋体" w:hAnsi="宋体" w:eastAsia="宋体" w:cs="Times New Roman"/>
                <w:color w:val="000000"/>
                <w:sz w:val="22"/>
                <w:szCs w:val="22"/>
                <w:highlight w:val="none"/>
                <w:lang w:eastAsia="zh-CN"/>
              </w:rPr>
            </w:r>
            <w:r/>
          </w:p>
        </w:tc>
        <w:tc>
          <w:tcPr>
            <w:tcBorders>
              <w:top w:val="none" w:color="000000" w:sz="4" w:space="0"/>
              <w:left w:val="single" w:color="000000" w:sz="4" w:space="0"/>
              <w:bottom w:val="single" w:color="000000" w:sz="4" w:space="0"/>
              <w:right w:val="single" w:color="000000" w:sz="4" w:space="0"/>
            </w:tcBorders>
            <w:tcW w:w="1296" w:type="dxa"/>
            <w:vAlign w:val="center"/>
            <w:vMerge w:val="restart"/>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207.87</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11.92</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3.65</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43.51</w:t>
            </w:r>
            <w:r>
              <w:rPr>
                <w:rFonts w:hint="eastAsia" w:ascii="宋体" w:hAnsi="宋体" w:eastAsia="宋体" w:cs="Times New Roman"/>
                <w:color w:val="000000"/>
                <w:sz w:val="22"/>
                <w:szCs w:val="22"/>
                <w:highlight w:val="none"/>
                <w:lang w:eastAsia="zh-CN"/>
              </w:rPr>
            </w:r>
            <w:r/>
          </w:p>
        </w:tc>
        <w:tc>
          <w:tcPr>
            <w:shd w:val="clear" w:color="000000" w:fill="ffffff"/>
            <w:tcBorders>
              <w:top w:val="none" w:color="000000" w:sz="4" w:space="0"/>
              <w:left w:val="single" w:color="000000" w:sz="4" w:space="0"/>
              <w:bottom w:val="single" w:color="000000" w:sz="4" w:space="0"/>
              <w:right w:val="single" w:color="000000" w:sz="4" w:space="0"/>
            </w:tcBorders>
            <w:tcW w:w="1186" w:type="dxa"/>
            <w:vAlign w:val="center"/>
            <w:vMerge w:val="restart"/>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28.51</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90.14</w:t>
            </w:r>
            <w:r>
              <w:rPr>
                <w:rFonts w:hint="eastAsia" w:ascii="宋体" w:hAnsi="宋体" w:eastAsia="宋体" w:cs="Times New Roman"/>
                <w:color w:val="000000"/>
                <w:sz w:val="22"/>
                <w:szCs w:val="22"/>
                <w:highlight w:val="none"/>
                <w:lang w:eastAsia="zh-CN"/>
              </w:rPr>
            </w:r>
            <w:r/>
          </w:p>
        </w:tc>
        <w:tc>
          <w:tcPr>
            <w:tcBorders>
              <w:top w:val="none" w:color="000000" w:sz="4" w:space="0"/>
              <w:left w:val="single" w:color="000000" w:sz="4" w:space="0"/>
              <w:bottom w:val="single" w:color="000000" w:sz="4" w:space="0"/>
              <w:right w:val="single" w:color="000000" w:sz="4" w:space="0"/>
            </w:tcBorders>
            <w:tcW w:w="1309" w:type="dxa"/>
            <w:vAlign w:val="center"/>
            <w:vMerge w:val="restart"/>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64.61</w:t>
            </w:r>
            <w:r>
              <w:rPr>
                <w:rFonts w:hint="eastAsia" w:ascii="宋体" w:hAnsi="宋体" w:eastAsia="宋体" w:cs="Times New Roman"/>
                <w:color w:val="000000"/>
                <w:sz w:val="22"/>
                <w:szCs w:val="22"/>
                <w:highlight w:val="none"/>
                <w:lang w:eastAsia="zh-CN"/>
              </w:rPr>
            </w:r>
            <w:r/>
          </w:p>
        </w:tc>
      </w:tr>
      <w:tr>
        <w:trPr>
          <w:trHeight w:val="1021" w:hRule="exact"/>
        </w:trPr>
        <w:tc>
          <w:tcPr>
            <w:tcBorders>
              <w:top w:val="none" w:color="000000" w:sz="4" w:space="0"/>
              <w:left w:val="single" w:color="000000" w:sz="4" w:space="0"/>
              <w:bottom w:val="single" w:color="000000" w:sz="4" w:space="0"/>
              <w:right w:val="single" w:color="000000" w:sz="4" w:space="0"/>
            </w:tcBorders>
            <w:tcW w:w="1440"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2024</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287.28</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0.736397</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211.55</w:t>
            </w:r>
            <w:r>
              <w:rPr>
                <w:rFonts w:hint="eastAsia" w:ascii="宋体" w:hAnsi="宋体" w:eastAsia="宋体" w:cs="Times New Roman"/>
                <w:color w:val="000000"/>
                <w:sz w:val="22"/>
                <w:szCs w:val="22"/>
                <w:highlight w:val="none"/>
                <w:lang w:eastAsia="zh-CN"/>
              </w:rPr>
            </w:r>
            <w:r/>
          </w:p>
        </w:tc>
        <w:tc>
          <w:tcPr>
            <w:tcBorders>
              <w:top w:val="non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pStyle w:val="985"/>
              <w:ind w:firstLine="440"/>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5.76</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3.65</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21.02</w:t>
            </w:r>
            <w:r>
              <w:rPr>
                <w:rFonts w:hint="eastAsia" w:ascii="宋体" w:hAnsi="宋体" w:eastAsia="宋体" w:cs="Times New Roman"/>
                <w:color w:val="000000"/>
                <w:sz w:val="22"/>
                <w:szCs w:val="22"/>
                <w:highlight w:val="none"/>
                <w:lang w:eastAsia="zh-CN"/>
              </w:rPr>
            </w:r>
            <w:r/>
          </w:p>
        </w:tc>
        <w:tc>
          <w:tcPr>
            <w:tcBorders>
              <w:top w:val="non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pStyle w:val="985"/>
              <w:ind w:firstLine="440"/>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78.95</w:t>
            </w:r>
            <w:r>
              <w:rPr>
                <w:rFonts w:hint="eastAsia" w:ascii="宋体" w:hAnsi="宋体" w:eastAsia="宋体" w:cs="Times New Roman"/>
                <w:color w:val="000000"/>
                <w:sz w:val="22"/>
                <w:szCs w:val="22"/>
                <w:highlight w:val="none"/>
                <w:lang w:eastAsia="zh-CN"/>
              </w:rPr>
            </w:r>
            <w:r/>
          </w:p>
        </w:tc>
        <w:tc>
          <w:tcPr>
            <w:tcBorders>
              <w:top w:val="none" w:color="000000" w:sz="4" w:space="0"/>
              <w:left w:val="single" w:color="000000" w:sz="4" w:space="0"/>
              <w:bottom w:val="single" w:color="000000" w:sz="4" w:space="0"/>
              <w:right w:val="single" w:color="000000" w:sz="4" w:space="0"/>
            </w:tcBorders>
            <w:tcW w:w="1309" w:type="dxa"/>
            <w:vAlign w:val="center"/>
            <w:vMerge w:val="continue"/>
            <w:textDirection w:val="lrTb"/>
            <w:noWrap w:val="false"/>
          </w:tcPr>
          <w:p>
            <w:pPr>
              <w:pStyle w:val="985"/>
              <w:ind w:firstLine="440"/>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r>
            <w:r/>
          </w:p>
        </w:tc>
      </w:tr>
      <w:tr>
        <w:trPr>
          <w:trHeight w:val="1021" w:hRule="exact"/>
        </w:trPr>
        <w:tc>
          <w:tcPr>
            <w:tcBorders>
              <w:top w:val="none" w:color="000000" w:sz="4" w:space="0"/>
              <w:left w:val="single" w:color="000000" w:sz="4" w:space="0"/>
              <w:bottom w:val="single" w:color="000000" w:sz="4" w:space="0"/>
              <w:right w:val="single" w:color="000000" w:sz="4" w:space="0"/>
            </w:tcBorders>
            <w:tcW w:w="1440"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2025</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281.83</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51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0.736397</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207.54</w:t>
            </w:r>
            <w:r>
              <w:rPr>
                <w:rFonts w:hint="eastAsia" w:ascii="宋体" w:hAnsi="宋体" w:eastAsia="宋体" w:cs="Times New Roman"/>
                <w:color w:val="000000"/>
                <w:sz w:val="22"/>
                <w:szCs w:val="22"/>
                <w:highlight w:val="none"/>
                <w:lang w:eastAsia="zh-CN"/>
              </w:rPr>
            </w:r>
            <w:r/>
          </w:p>
        </w:tc>
        <w:tc>
          <w:tcPr>
            <w:tcBorders>
              <w:top w:val="non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pStyle w:val="985"/>
              <w:ind w:firstLine="440"/>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18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5.75</w:t>
            </w: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3.65</w:t>
            </w:r>
            <w:r>
              <w:rPr>
                <w:rFonts w:hint="eastAsia" w:ascii="宋体" w:hAnsi="宋体" w:eastAsia="宋体" w:cs="Times New Roman"/>
                <w:color w:val="000000"/>
                <w:sz w:val="22"/>
                <w:szCs w:val="22"/>
                <w:highlight w:val="none"/>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18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20.99</w:t>
            </w:r>
            <w:r>
              <w:rPr>
                <w:rFonts w:hint="eastAsia" w:ascii="宋体" w:hAnsi="宋体" w:eastAsia="宋体" w:cs="Times New Roman"/>
                <w:color w:val="000000"/>
                <w:sz w:val="22"/>
                <w:szCs w:val="22"/>
                <w:highlight w:val="none"/>
                <w:lang w:eastAsia="zh-CN"/>
              </w:rPr>
            </w:r>
            <w:r/>
          </w:p>
        </w:tc>
        <w:tc>
          <w:tcPr>
            <w:tcBorders>
              <w:top w:val="non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pStyle w:val="985"/>
              <w:ind w:firstLine="440"/>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64.61</w:t>
            </w:r>
            <w:r>
              <w:rPr>
                <w:rFonts w:hint="eastAsia" w:ascii="宋体" w:hAnsi="宋体" w:eastAsia="宋体" w:cs="Times New Roman"/>
                <w:color w:val="000000"/>
                <w:sz w:val="22"/>
                <w:szCs w:val="22"/>
                <w:highlight w:val="none"/>
                <w:lang w:eastAsia="zh-CN"/>
              </w:rPr>
            </w:r>
            <w:r/>
          </w:p>
        </w:tc>
        <w:tc>
          <w:tcPr>
            <w:tcBorders>
              <w:top w:val="none" w:color="000000" w:sz="4" w:space="0"/>
              <w:left w:val="single" w:color="000000" w:sz="4" w:space="0"/>
              <w:bottom w:val="single" w:color="000000" w:sz="4" w:space="0"/>
              <w:right w:val="single" w:color="000000" w:sz="4" w:space="0"/>
            </w:tcBorders>
            <w:tcW w:w="1309" w:type="dxa"/>
            <w:vAlign w:val="center"/>
            <w:vMerge w:val="continue"/>
            <w:textDirection w:val="lrTb"/>
            <w:noWrap w:val="false"/>
          </w:tcPr>
          <w:p>
            <w:pPr>
              <w:pStyle w:val="985"/>
              <w:ind w:firstLine="440"/>
              <w:jc w:val="center"/>
              <w:keepLines w:val="0"/>
              <w:keepNext w:val="0"/>
              <w:pageBreakBefore w:val="0"/>
              <w:spacing w:line="240" w:lineRule="auto"/>
              <w:widowControl w:val="off"/>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r>
            <w:r/>
          </w:p>
        </w:tc>
      </w:tr>
    </w:tbl>
    <w:p>
      <w:pPr>
        <w:pStyle w:val="985"/>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1.电：按2023-2025年三年电量平均值282.28万kWh乘以单价0.736397元/kWh，基数为207.87万元/年；</w:t>
      </w:r>
      <w:r>
        <w:rPr>
          <w:rFonts w:hint="eastAsia" w:ascii="宋体" w:hAnsi="宋体" w:eastAsia="宋体" w:cs="Times New Roman"/>
          <w:color w:val="000000"/>
          <w:sz w:val="24"/>
          <w:szCs w:val="24"/>
          <w:highlight w:val="none"/>
          <w:lang w:eastAsia="zh-CN"/>
        </w:rPr>
      </w:r>
      <w:r/>
    </w:p>
    <w:p>
      <w:pPr>
        <w:pStyle w:val="985"/>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2.水：按2023-2025年三年用水量平均值7.81万乘以单价3.65元/吨，基数为28.51万元/年；</w:t>
      </w:r>
      <w:r>
        <w:rPr>
          <w:rFonts w:hint="eastAsia" w:ascii="宋体" w:hAnsi="宋体" w:eastAsia="宋体" w:cs="Times New Roman"/>
          <w:color w:val="000000"/>
          <w:sz w:val="24"/>
          <w:szCs w:val="24"/>
          <w:highlight w:val="none"/>
          <w:lang w:eastAsia="zh-CN"/>
        </w:rPr>
      </w:r>
      <w:r/>
    </w:p>
    <w:p>
      <w:pPr>
        <w:pStyle w:val="985"/>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3.燃气：按2025年燃气费用值64.61万元，综合单价参照原托管燃气单价3.9749元/m³（淡季），4.</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eastAsia="zh-CN"/>
        </w:rPr>
        <w:t xml:space="preserve">元/m³（旺季）；基数为64.61万元/年。</w:t>
      </w:r>
      <w:r>
        <w:rPr>
          <w:rFonts w:hint="eastAsia" w:ascii="宋体" w:hAnsi="宋体" w:eastAsia="宋体" w:cs="Times New Roman"/>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sectPr>
          <w:footnotePr/>
          <w:endnotePr/>
          <w:type w:val="nextPage"/>
          <w:pgSz w:w="16838" w:h="11906" w:orient="landscape"/>
          <w:pgMar w:top="1701" w:right="1588" w:bottom="1418" w:left="1418" w:header="851" w:footer="992" w:gutter="0"/>
          <w:cols w:num="1" w:sep="0" w:space="1701" w:equalWidth="1"/>
          <w:docGrid w:linePitch="360"/>
        </w:sectPr>
      </w:pPr>
      <w:r>
        <w:rPr>
          <w:rFonts w:hint="eastAsia" w:ascii="宋体" w:hAnsi="宋体" w:eastAsia="宋体" w:cs="Times New Roman"/>
          <w:color w:val="000000"/>
          <w:sz w:val="24"/>
          <w:szCs w:val="24"/>
          <w:highlight w:val="none"/>
          <w:lang w:eastAsia="zh-CN"/>
        </w:rPr>
      </w:r>
      <w:r/>
    </w:p>
    <w:p>
      <w:pPr>
        <w:pStyle w:val="985"/>
        <w:keepLines w:val="0"/>
        <w:keepNext w:val="0"/>
        <w:pageBreakBefore w:val="0"/>
        <w:spacing w:line="440" w:lineRule="exact"/>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四</w:t>
      </w:r>
      <w:r>
        <w:rPr>
          <w:rFonts w:hint="eastAsia" w:ascii="宋体" w:hAnsi="宋体" w:eastAsia="宋体" w:cs="Times New Roman"/>
          <w:b/>
          <w:bCs/>
          <w:color w:val="000000"/>
          <w:sz w:val="24"/>
          <w:szCs w:val="24"/>
          <w:highlight w:val="none"/>
          <w:lang w:eastAsia="zh-CN"/>
        </w:rPr>
        <w:t xml:space="preserve">、采购标的总表</w:t>
      </w:r>
      <w:r>
        <w:rPr>
          <w:rFonts w:hint="eastAsia" w:ascii="宋体" w:hAnsi="宋体" w:eastAsia="宋体" w:cs="Times New Roman"/>
          <w:b/>
          <w:bCs/>
          <w:color w:val="000000"/>
          <w:sz w:val="24"/>
          <w:szCs w:val="24"/>
          <w:highlight w:val="none"/>
          <w:lang w:eastAsia="zh-CN"/>
        </w:rPr>
      </w:r>
      <w:r/>
    </w:p>
    <w:p>
      <w:pPr>
        <w:pStyle w:val="985"/>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1、服务类标的：</w:t>
      </w:r>
      <w:r>
        <w:rPr>
          <w:rFonts w:hint="eastAsia" w:ascii="宋体" w:hAnsi="宋体" w:eastAsia="宋体" w:cs="Times New Roman"/>
          <w:color w:val="000000"/>
          <w:sz w:val="24"/>
          <w:szCs w:val="24"/>
          <w:highlight w:val="none"/>
          <w:lang w:eastAsia="zh-CN"/>
        </w:rPr>
      </w:r>
      <w:r/>
    </w:p>
    <w:tbl>
      <w:tblPr>
        <w:tblW w:w="885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41"/>
        <w:gridCol w:w="1446"/>
        <w:gridCol w:w="1445"/>
        <w:gridCol w:w="996"/>
        <w:gridCol w:w="2331"/>
        <w:gridCol w:w="1591"/>
      </w:tblGrid>
      <w:tr>
        <w:trPr>
          <w:trHeight w:val="780"/>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pStyle w:val="985"/>
              <w:jc w:val="center"/>
              <w:keepLines w:val="0"/>
              <w:keepNext w:val="0"/>
              <w:pageBreakBefore w:val="0"/>
              <w:spacing w:line="440" w:lineRule="exact"/>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序号</w:t>
            </w:r>
            <w:r>
              <w:rPr>
                <w:rFonts w:hint="eastAsia" w:ascii="宋体" w:hAnsi="宋体" w:eastAsia="宋体" w:cs="Times New Roman"/>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446" w:type="dxa"/>
            <w:vAlign w:val="center"/>
            <w:textDirection w:val="lrTb"/>
            <w:noWrap/>
          </w:tcPr>
          <w:p>
            <w:pPr>
              <w:pStyle w:val="985"/>
              <w:jc w:val="center"/>
              <w:keepLines w:val="0"/>
              <w:keepNext w:val="0"/>
              <w:pageBreakBefore w:val="0"/>
              <w:spacing w:line="440" w:lineRule="exact"/>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服务类标的名称</w:t>
            </w:r>
            <w:r>
              <w:rPr>
                <w:rFonts w:hint="eastAsia" w:ascii="宋体" w:hAnsi="宋体" w:eastAsia="宋体" w:cs="Times New Roman"/>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445" w:type="dxa"/>
            <w:vAlign w:val="center"/>
            <w:textDirection w:val="lrTb"/>
            <w:noWrap/>
          </w:tcPr>
          <w:p>
            <w:pPr>
              <w:pStyle w:val="985"/>
              <w:jc w:val="center"/>
              <w:keepLines w:val="0"/>
              <w:keepNext w:val="0"/>
              <w:pageBreakBefore w:val="0"/>
              <w:spacing w:line="440" w:lineRule="exact"/>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计量单位</w:t>
            </w:r>
            <w:r>
              <w:rPr>
                <w:rFonts w:hint="eastAsia" w:ascii="宋体" w:hAnsi="宋体" w:eastAsia="宋体" w:cs="Times New Roman"/>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996" w:type="dxa"/>
            <w:vAlign w:val="center"/>
            <w:textDirection w:val="lrTb"/>
            <w:noWrap/>
          </w:tcPr>
          <w:p>
            <w:pPr>
              <w:pStyle w:val="985"/>
              <w:jc w:val="center"/>
              <w:keepLines w:val="0"/>
              <w:keepNext w:val="0"/>
              <w:pageBreakBefore w:val="0"/>
              <w:spacing w:line="440" w:lineRule="exact"/>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数量</w:t>
            </w:r>
            <w:r>
              <w:rPr>
                <w:rFonts w:hint="eastAsia" w:ascii="宋体" w:hAnsi="宋体" w:eastAsia="宋体" w:cs="Times New Roman"/>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2331" w:type="dxa"/>
            <w:vAlign w:val="center"/>
            <w:textDirection w:val="lrTb"/>
            <w:noWrap/>
          </w:tcPr>
          <w:p>
            <w:pPr>
              <w:pStyle w:val="985"/>
              <w:jc w:val="center"/>
              <w:keepLines w:val="0"/>
              <w:keepNext w:val="0"/>
              <w:pageBreakBefore w:val="0"/>
              <w:spacing w:line="440" w:lineRule="exact"/>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服务要求简述</w:t>
            </w:r>
            <w:r>
              <w:rPr>
                <w:rFonts w:hint="eastAsia" w:ascii="宋体" w:hAnsi="宋体" w:eastAsia="宋体" w:cs="Times New Roman"/>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591" w:type="dxa"/>
            <w:vAlign w:val="center"/>
            <w:textDirection w:val="lrTb"/>
            <w:noWrap/>
          </w:tcPr>
          <w:p>
            <w:pPr>
              <w:pStyle w:val="985"/>
              <w:jc w:val="center"/>
              <w:keepLines w:val="0"/>
              <w:keepNext w:val="0"/>
              <w:pageBreakBefore w:val="0"/>
              <w:spacing w:line="440" w:lineRule="exact"/>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备注</w:t>
            </w:r>
            <w:r>
              <w:rPr>
                <w:rFonts w:hint="eastAsia" w:ascii="宋体" w:hAnsi="宋体" w:eastAsia="宋体" w:cs="Times New Roman"/>
                <w:color w:val="000000"/>
                <w:sz w:val="21"/>
                <w:szCs w:val="21"/>
                <w:highlight w:val="none"/>
                <w:lang w:eastAsia="zh-CN"/>
              </w:rPr>
            </w:r>
            <w:r/>
          </w:p>
        </w:tc>
      </w:tr>
      <w:tr>
        <w:trPr>
          <w:trHeight w:val="3219"/>
        </w:trPr>
        <w:tc>
          <w:tcPr>
            <w:tcBorders>
              <w:top w:val="none" w:color="000000" w:sz="4" w:space="0"/>
              <w:left w:val="single" w:color="000000" w:sz="4" w:space="0"/>
              <w:bottom w:val="single" w:color="000000" w:sz="4" w:space="0"/>
              <w:right w:val="single" w:color="000000" w:sz="4" w:space="0"/>
            </w:tcBorders>
            <w:tcW w:w="1041" w:type="dxa"/>
            <w:vAlign w:val="center"/>
            <w:textDirection w:val="lrTb"/>
            <w:noWrap/>
          </w:tcPr>
          <w:p>
            <w:pPr>
              <w:pStyle w:val="985"/>
              <w:jc w:val="center"/>
              <w:spacing w:line="440" w:lineRule="exact"/>
              <w:rPr>
                <w:rFonts w:hint="eastAsia" w:ascii="宋体" w:hAnsi="宋体" w:eastAsia="宋体" w:cs="Times New Roman"/>
                <w:color w:val="000000"/>
                <w:sz w:val="21"/>
                <w:szCs w:val="21"/>
                <w:highlight w:val="none"/>
                <w:lang w:eastAsia="zh-CN"/>
              </w:rPr>
            </w:pPr>
            <w:r>
              <w:rPr>
                <w:rFonts w:hint="eastAsia" w:ascii="宋体" w:hAnsi="宋体"/>
                <w:color w:val="000000"/>
                <w:highlight w:val="none"/>
              </w:rPr>
              <w:t xml:space="preserve">1</w:t>
            </w:r>
            <w:r>
              <w:rPr>
                <w:rFonts w:hint="eastAsia" w:ascii="宋体" w:hAnsi="宋体" w:eastAsia="宋体" w:cs="Times New Roman"/>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446" w:type="dxa"/>
            <w:vAlign w:val="center"/>
            <w:textDirection w:val="lrTb"/>
            <w:noWrap/>
          </w:tcPr>
          <w:p>
            <w:pPr>
              <w:pStyle w:val="985"/>
              <w:jc w:val="center"/>
              <w:spacing w:line="440" w:lineRule="exact"/>
              <w:rPr>
                <w:rFonts w:hint="eastAsia" w:ascii="宋体" w:hAnsi="宋体" w:eastAsia="宋体" w:cs="Times New Roman"/>
                <w:color w:val="000000"/>
                <w:sz w:val="21"/>
                <w:szCs w:val="21"/>
                <w:highlight w:val="none"/>
                <w:lang w:eastAsia="zh-CN"/>
              </w:rPr>
            </w:pPr>
            <w:r>
              <w:rPr>
                <w:rFonts w:hint="eastAsia" w:ascii="宋体" w:hAnsi="宋体"/>
                <w:color w:val="000000"/>
                <w:highlight w:val="none"/>
              </w:rPr>
              <w:t xml:space="preserve">扬中市行政中心能源费用托管型合同能源管理项目</w:t>
            </w:r>
            <w:r>
              <w:rPr>
                <w:rFonts w:hint="eastAsia" w:ascii="宋体" w:hAnsi="宋体" w:eastAsia="宋体" w:cs="Times New Roman"/>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445" w:type="dxa"/>
            <w:vAlign w:val="center"/>
            <w:textDirection w:val="lrTb"/>
            <w:noWrap/>
          </w:tcPr>
          <w:p>
            <w:pPr>
              <w:pStyle w:val="985"/>
              <w:jc w:val="center"/>
              <w:spacing w:line="440" w:lineRule="exact"/>
              <w:rPr>
                <w:rFonts w:hint="eastAsia" w:ascii="宋体" w:hAnsi="宋体" w:eastAsia="宋体" w:cs="Times New Roman"/>
                <w:color w:val="000000"/>
                <w:sz w:val="21"/>
                <w:szCs w:val="21"/>
                <w:highlight w:val="none"/>
                <w:lang w:eastAsia="zh-CN"/>
              </w:rPr>
            </w:pPr>
            <w:r>
              <w:rPr>
                <w:rFonts w:hint="eastAsia" w:ascii="宋体" w:hAnsi="宋体"/>
                <w:color w:val="000000"/>
                <w:highlight w:val="none"/>
              </w:rPr>
              <w:t xml:space="preserve">年</w:t>
            </w:r>
            <w:r>
              <w:rPr>
                <w:rFonts w:hint="eastAsia" w:ascii="宋体" w:hAnsi="宋体" w:eastAsia="宋体" w:cs="Times New Roman"/>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996" w:type="dxa"/>
            <w:vAlign w:val="center"/>
            <w:textDirection w:val="lrTb"/>
            <w:noWrap/>
          </w:tcPr>
          <w:p>
            <w:pPr>
              <w:pStyle w:val="985"/>
              <w:jc w:val="center"/>
              <w:spacing w:line="440" w:lineRule="exact"/>
              <w:rPr>
                <w:rFonts w:hint="eastAsia" w:ascii="宋体" w:hAnsi="宋体" w:eastAsia="宋体" w:cs="Times New Roman"/>
                <w:color w:val="000000"/>
                <w:sz w:val="21"/>
                <w:szCs w:val="21"/>
                <w:highlight w:val="none"/>
                <w:lang w:eastAsia="zh-CN"/>
              </w:rPr>
            </w:pPr>
            <w:r>
              <w:rPr>
                <w:rFonts w:hint="eastAsia" w:ascii="宋体" w:hAnsi="宋体"/>
                <w:color w:val="000000"/>
                <w:highlight w:val="none"/>
              </w:rPr>
              <w:t xml:space="preserve">10</w:t>
            </w:r>
            <w:r>
              <w:rPr>
                <w:rFonts w:hint="eastAsia" w:ascii="宋体" w:hAnsi="宋体" w:eastAsia="宋体" w:cs="Times New Roman"/>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2331" w:type="dxa"/>
            <w:vAlign w:val="center"/>
            <w:textDirection w:val="lrTb"/>
            <w:noWrap w:val="false"/>
          </w:tcPr>
          <w:p>
            <w:pPr>
              <w:pStyle w:val="985"/>
              <w:jc w:val="center"/>
              <w:spacing w:line="440" w:lineRule="exact"/>
              <w:rPr>
                <w:rFonts w:hint="eastAsia" w:ascii="宋体" w:hAnsi="宋体" w:eastAsia="宋体" w:cs="Times New Roman"/>
                <w:color w:val="000000"/>
                <w:sz w:val="21"/>
                <w:szCs w:val="21"/>
                <w:highlight w:val="none"/>
                <w:lang w:eastAsia="zh-CN"/>
              </w:rPr>
            </w:pPr>
            <w:r>
              <w:rPr>
                <w:rFonts w:hint="eastAsia" w:ascii="宋体" w:hAnsi="宋体"/>
                <w:color w:val="000000"/>
                <w:highlight w:val="none"/>
              </w:rPr>
              <w:t xml:space="preserve">采用能源费用托管型合同能源管理方式，与供应商签订合同能源管理合同，由供应商对行政中心进行节能诊断设计、施工改造、能源管理信息系统建设优化及运维等一揽子改造服务，并支付水、电、气（含光伏发电费用）全部的能源费用以及新增、改造、更换设备的维修保养费用等。</w:t>
            </w:r>
            <w:r>
              <w:rPr>
                <w:rFonts w:hint="eastAsia" w:ascii="宋体" w:hAnsi="宋体" w:eastAsia="宋体" w:cs="Times New Roman"/>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tcPr>
          <w:p>
            <w:pPr>
              <w:pStyle w:val="985"/>
              <w:jc w:val="center"/>
              <w:spacing w:line="440" w:lineRule="exact"/>
              <w:rPr>
                <w:rFonts w:hint="eastAsia" w:ascii="宋体" w:hAnsi="宋体" w:eastAsia="宋体" w:cs="Times New Roman"/>
                <w:color w:val="000000"/>
                <w:sz w:val="21"/>
                <w:szCs w:val="21"/>
                <w:highlight w:val="none"/>
                <w:lang w:val="en-US" w:eastAsia="zh-CN"/>
              </w:rPr>
            </w:pPr>
            <w:r>
              <w:rPr>
                <w:rFonts w:hint="eastAsia" w:ascii="宋体" w:hAnsi="宋体"/>
                <w:color w:val="000000"/>
                <w:highlight w:val="none"/>
              </w:rPr>
              <w:t xml:space="preserve">按月支付服务费用，月度款金额为年能源服务费÷12，调价部分金额双方在每个托管年度服务结束后进行核算</w:t>
            </w:r>
            <w:r>
              <w:rPr>
                <w:rFonts w:hint="eastAsia" w:ascii="宋体" w:hAnsi="宋体" w:eastAsia="宋体" w:cs="Times New Roman"/>
                <w:color w:val="000000"/>
                <w:sz w:val="21"/>
                <w:szCs w:val="21"/>
                <w:highlight w:val="none"/>
                <w:lang w:val="en-US" w:eastAsia="zh-CN"/>
              </w:rPr>
            </w:r>
            <w:r/>
          </w:p>
        </w:tc>
      </w:tr>
    </w:tbl>
    <w:p>
      <w:pPr>
        <w:pStyle w:val="985"/>
        <w:spacing w:line="440" w:lineRule="exact"/>
        <w:rPr>
          <w:rFonts w:hint="eastAsia" w:ascii="宋体" w:hAnsi="宋体"/>
          <w:b/>
          <w:bCs/>
          <w:color w:val="000000"/>
          <w:sz w:val="24"/>
          <w:szCs w:val="24"/>
          <w:highlight w:val="none"/>
        </w:rPr>
        <w:outlineLvl w:val="1"/>
      </w:pPr>
      <w:r/>
      <w:bookmarkStart w:id="200" w:name="_Toc148279463"/>
      <w:r/>
      <w:bookmarkStart w:id="201" w:name="_Toc148866649"/>
      <w:r>
        <w:rPr>
          <w:rFonts w:hint="eastAsia" w:ascii="宋体" w:hAnsi="宋体"/>
          <w:b/>
          <w:bCs/>
          <w:color w:val="000000"/>
          <w:sz w:val="24"/>
          <w:szCs w:val="24"/>
          <w:highlight w:val="none"/>
        </w:rPr>
        <w:t xml:space="preserve">五、</w:t>
      </w:r>
      <w:bookmarkEnd w:id="200"/>
      <w:r>
        <w:rPr>
          <w:rFonts w:hint="eastAsia" w:ascii="宋体" w:hAnsi="宋体"/>
          <w:b/>
          <w:bCs/>
          <w:color w:val="000000"/>
          <w:sz w:val="24"/>
          <w:szCs w:val="24"/>
          <w:highlight w:val="none"/>
        </w:rPr>
        <w:t xml:space="preserve">服务内容及要求</w:t>
      </w:r>
      <w:bookmarkEnd w:id="201"/>
      <w:r>
        <w:rPr>
          <w:rFonts w:hint="eastAsia" w:ascii="宋体" w:hAnsi="宋体"/>
          <w:b/>
          <w:bCs/>
          <w:color w:val="000000"/>
          <w:sz w:val="24"/>
          <w:szCs w:val="24"/>
          <w:highlight w:val="none"/>
        </w:rPr>
      </w:r>
      <w:r/>
    </w:p>
    <w:p>
      <w:pPr>
        <w:pStyle w:val="985"/>
        <w:ind w:firstLine="480"/>
        <w:spacing w:line="440" w:lineRule="exact"/>
        <w:rPr>
          <w:rFonts w:ascii="宋体" w:hAnsi="宋体"/>
          <w:color w:val="000000"/>
          <w:sz w:val="24"/>
          <w:szCs w:val="24"/>
          <w:highlight w:val="none"/>
        </w:rPr>
        <w:outlineLvl w:val="2"/>
      </w:pPr>
      <w:r>
        <w:rPr>
          <w:rFonts w:hint="eastAsia" w:ascii="宋体" w:hAnsi="宋体"/>
          <w:color w:val="000000"/>
          <w:sz w:val="24"/>
          <w:szCs w:val="24"/>
          <w:highlight w:val="none"/>
        </w:rPr>
        <w:t xml:space="preserve">1、服务内容</w:t>
      </w:r>
      <w:r>
        <w:rPr>
          <w:rFonts w:ascii="宋体" w:hAnsi="宋体"/>
          <w:color w:val="000000"/>
          <w:sz w:val="24"/>
          <w:szCs w:val="24"/>
          <w:highlight w:val="none"/>
        </w:rPr>
      </w:r>
      <w:r/>
    </w:p>
    <w:p>
      <w:pPr>
        <w:pStyle w:val="985"/>
        <w:ind w:firstLine="500"/>
        <w:spacing w:line="440" w:lineRule="exact"/>
        <w:rPr>
          <w:rFonts w:hint="eastAsia" w:ascii="宋体" w:hAnsi="宋体"/>
          <w:color w:val="000000"/>
          <w:sz w:val="24"/>
          <w:szCs w:val="24"/>
          <w:highlight w:val="none"/>
        </w:rPr>
      </w:pPr>
      <w:r>
        <w:rPr>
          <w:rFonts w:hint="eastAsia" w:hAnsi="宋体" w:cs="宋体"/>
          <w:color w:val="000000"/>
          <w:spacing w:val="5"/>
          <w:sz w:val="24"/>
          <w:szCs w:val="24"/>
          <w:highlight w:val="none"/>
        </w:rPr>
        <w:t xml:space="preserve">包括：节能改造、智慧能源管理平台建设、</w:t>
      </w:r>
      <w:r>
        <w:rPr>
          <w:rFonts w:ascii="宋体" w:hAnsi="宋体" w:cs="宋体"/>
          <w:color w:val="000000"/>
          <w:spacing w:val="5"/>
          <w:sz w:val="24"/>
          <w:szCs w:val="24"/>
          <w:highlight w:val="none"/>
        </w:rPr>
        <w:t xml:space="preserve">代缴托管单位电力、水、燃气（含税收</w:t>
      </w:r>
      <w:r>
        <w:rPr>
          <w:rFonts w:ascii="宋体" w:hAnsi="宋体" w:cs="宋体"/>
          <w:color w:val="000000"/>
          <w:spacing w:val="4"/>
          <w:sz w:val="24"/>
          <w:szCs w:val="24"/>
          <w:highlight w:val="none"/>
        </w:rPr>
        <w:t xml:space="preserve">）等能</w:t>
      </w:r>
      <w:r>
        <w:rPr>
          <w:rFonts w:ascii="宋体" w:hAnsi="宋体" w:cs="宋体"/>
          <w:color w:val="000000"/>
          <w:spacing w:val="5"/>
          <w:sz w:val="24"/>
          <w:szCs w:val="24"/>
          <w:highlight w:val="none"/>
        </w:rPr>
        <w:t xml:space="preserve">源费用，定期对前期投入的节能改造设备进行巡视</w:t>
      </w:r>
      <w:r>
        <w:rPr>
          <w:rFonts w:hint="eastAsia" w:ascii="宋体" w:hAnsi="宋体" w:cs="宋体"/>
          <w:color w:val="000000"/>
          <w:spacing w:val="5"/>
          <w:sz w:val="24"/>
          <w:szCs w:val="24"/>
          <w:highlight w:val="none"/>
        </w:rPr>
        <w:t xml:space="preserve">、定期维保</w:t>
      </w:r>
      <w:r>
        <w:rPr>
          <w:rFonts w:ascii="宋体" w:hAnsi="宋体" w:cs="宋体"/>
          <w:color w:val="000000"/>
          <w:spacing w:val="5"/>
          <w:sz w:val="24"/>
          <w:szCs w:val="24"/>
          <w:highlight w:val="none"/>
        </w:rPr>
        <w:t xml:space="preserve">，同时对各用能单位潜在节</w:t>
      </w:r>
      <w:r>
        <w:rPr>
          <w:rFonts w:ascii="宋体" w:hAnsi="宋体" w:cs="宋体"/>
          <w:color w:val="000000"/>
          <w:spacing w:val="4"/>
          <w:sz w:val="24"/>
          <w:szCs w:val="24"/>
          <w:highlight w:val="none"/>
        </w:rPr>
        <w:t xml:space="preserve">能点进</w:t>
      </w:r>
      <w:r>
        <w:rPr>
          <w:rFonts w:ascii="宋体" w:hAnsi="宋体" w:cs="宋体"/>
          <w:color w:val="000000"/>
          <w:spacing w:val="5"/>
          <w:sz w:val="24"/>
          <w:szCs w:val="24"/>
          <w:highlight w:val="none"/>
        </w:rPr>
        <w:t xml:space="preserve">行深入挖掘，配合各用能单位做好日常节能宣传工作</w:t>
      </w:r>
      <w:r>
        <w:rPr>
          <w:rFonts w:hint="eastAsia" w:hAnsi="宋体"/>
          <w:bCs/>
          <w:color w:val="000000"/>
          <w:sz w:val="24"/>
          <w:szCs w:val="24"/>
          <w:highlight w:val="none"/>
        </w:rPr>
        <w:t xml:space="preserve">。</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outlineLvl w:val="2"/>
      </w:pPr>
      <w:r>
        <w:rPr>
          <w:rFonts w:hint="eastAsia" w:ascii="宋体" w:hAnsi="宋体"/>
          <w:color w:val="000000"/>
          <w:sz w:val="24"/>
          <w:szCs w:val="24"/>
          <w:highlight w:val="none"/>
        </w:rPr>
        <w:t xml:space="preserve">2、服务要求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bookmarkStart w:id="202" w:name="_Hlk227754573"/>
      <w:r>
        <w:rPr>
          <w:rFonts w:hint="eastAsia" w:ascii="宋体" w:hAnsi="宋体"/>
          <w:color w:val="000000"/>
          <w:sz w:val="24"/>
          <w:szCs w:val="24"/>
          <w:highlight w:val="none"/>
        </w:rPr>
        <w:t xml:space="preserve">2.1 合同期内，中标人负责对本次新投入的设备的维保、维修以及更换的一切费用；对于其他原有设备的维保、维修、更换，由甲方负责；</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所有用能设备系统以及智能监测管控系统的全部主动管控权由</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合理管控，中标人须在</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认可的情况下对用能设备进行合理提醒协助管控。托管期间，中标人有义务对</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给予提供的公物财产要合理使用，如人为造成的损失则由中标人负责赔偿，未经过</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允许，不得随意停止水、电、气的供应，不得随意关闭灯具、办公等设备，不得随意降低项目用水压力等参数。</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中标人投资的设备、工程等在合同期内的维保及质量问题由中标人负责。</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因中标人未按期缴纳电费、水费、燃气费（含光伏发电费用），导致</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断电、断水、断气事故或造成其他损失的，责任由中标人承担。</w:t>
      </w:r>
      <w:r>
        <w:rPr>
          <w:rFonts w:hint="eastAsia" w:ascii="宋体" w:hAnsi="宋体"/>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中标人须负责对人员的安全进行管理，在合同履行期内，因中标人原因出现的</w:t>
      </w:r>
      <w:r>
        <w:rPr>
          <w:rFonts w:hint="eastAsia" w:ascii="宋体" w:hAnsi="宋体" w:eastAsia="宋体" w:cs="Times New Roman"/>
          <w:color w:val="000000"/>
          <w:sz w:val="24"/>
          <w:szCs w:val="24"/>
          <w:highlight w:val="none"/>
        </w:rPr>
        <w:t xml:space="preserve">安全（人身损害或财产伤害）事故由中标人负责承担。</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中标人在接管项目之前，应当协助</w:t>
      </w:r>
      <w:r>
        <w:rPr>
          <w:rFonts w:hint="eastAsia" w:ascii="宋体" w:hAnsi="宋体" w:eastAsia="宋体" w:cs="Times New Roman"/>
          <w:color w:val="000000"/>
          <w:sz w:val="24"/>
          <w:szCs w:val="24"/>
          <w:highlight w:val="none"/>
          <w:lang w:eastAsia="zh-CN"/>
        </w:rPr>
        <w:t xml:space="preserve">招标人</w:t>
      </w:r>
      <w:r>
        <w:rPr>
          <w:rFonts w:hint="eastAsia" w:ascii="宋体" w:hAnsi="宋体" w:eastAsia="宋体" w:cs="Times New Roman"/>
          <w:color w:val="000000"/>
          <w:sz w:val="24"/>
          <w:szCs w:val="24"/>
          <w:highlight w:val="none"/>
        </w:rPr>
        <w:t xml:space="preserve">制作项目移交清单，并将用能设备编号贴牌。双方应明确托管项目所有设备及所有设备的状态、运行情况，进行验收检查并详细记录列出设备设施清单由双方签字、盖章确认。如合同到期后移交回的设备有损坏的由中标人进行修复或更换（非</w:t>
      </w:r>
      <w:r>
        <w:rPr>
          <w:rFonts w:hint="eastAsia" w:ascii="宋体" w:hAnsi="宋体" w:eastAsia="宋体" w:cs="Times New Roman"/>
          <w:color w:val="000000"/>
          <w:sz w:val="24"/>
          <w:szCs w:val="24"/>
          <w:highlight w:val="none"/>
          <w:lang w:eastAsia="zh-CN"/>
        </w:rPr>
        <w:t xml:space="preserve">招标人</w:t>
      </w:r>
      <w:r>
        <w:rPr>
          <w:rFonts w:hint="eastAsia" w:ascii="宋体" w:hAnsi="宋体" w:eastAsia="宋体" w:cs="Times New Roman"/>
          <w:color w:val="000000"/>
          <w:sz w:val="24"/>
          <w:szCs w:val="24"/>
          <w:highlight w:val="none"/>
        </w:rPr>
        <w:t xml:space="preserve">原因造成的设备损坏外的均由中标人负责修复或更换）。</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val="en-US" w:eastAsia="zh-CN"/>
        </w:rPr>
        <w:t xml:space="preserve">6本项目设备改造后效果不佳或未达到招标人预期效果，则中标人需承担后期设备增加的所有费用直至改造后效果的达到招标人的要求。</w:t>
      </w:r>
      <w:r>
        <w:rPr>
          <w:rFonts w:hint="eastAsia" w:ascii="宋体" w:hAnsi="宋体" w:eastAsia="宋体" w:cs="Times New Roman"/>
          <w:color w:val="000000"/>
          <w:sz w:val="24"/>
          <w:szCs w:val="24"/>
          <w:highlight w:val="none"/>
          <w:lang w:val="en-US" w:eastAsia="zh-CN"/>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2.7</w:t>
      </w:r>
      <w:r>
        <w:rPr>
          <w:rFonts w:hint="eastAsia" w:ascii="宋体" w:hAnsi="宋体" w:eastAsia="宋体" w:cs="Times New Roman"/>
          <w:color w:val="000000"/>
          <w:sz w:val="24"/>
          <w:szCs w:val="24"/>
          <w:highlight w:val="none"/>
        </w:rPr>
        <w:t xml:space="preserve">中标人须遵守</w:t>
      </w:r>
      <w:r>
        <w:rPr>
          <w:rFonts w:hint="eastAsia" w:ascii="宋体" w:hAnsi="宋体" w:eastAsia="宋体" w:cs="Times New Roman"/>
          <w:color w:val="000000"/>
          <w:sz w:val="24"/>
          <w:szCs w:val="24"/>
          <w:highlight w:val="none"/>
          <w:lang w:eastAsia="zh-CN"/>
        </w:rPr>
        <w:t xml:space="preserve">招标人</w:t>
      </w:r>
      <w:r>
        <w:rPr>
          <w:rFonts w:hint="eastAsia" w:ascii="宋体" w:hAnsi="宋体" w:eastAsia="宋体" w:cs="Times New Roman"/>
          <w:color w:val="000000"/>
          <w:sz w:val="24"/>
          <w:szCs w:val="24"/>
          <w:highlight w:val="none"/>
        </w:rPr>
        <w:t xml:space="preserve">与第三方现有合作单位签订的相关能源协议（光伏协议）。</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3</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投标人方案要求</w:t>
      </w:r>
      <w:r>
        <w:rPr>
          <w:rFonts w:hint="eastAsia" w:ascii="宋体" w:hAnsi="宋体" w:eastAsia="宋体" w:cs="Times New Roman"/>
          <w:b w:val="0"/>
          <w:bCs w:val="0"/>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投标人须针对本项目提供完整的技术方案，方案内容</w:t>
      </w:r>
      <w:r>
        <w:rPr>
          <w:rFonts w:hint="eastAsia" w:ascii="宋体" w:hAnsi="宋体" w:eastAsia="宋体" w:cs="Times New Roman"/>
          <w:color w:val="000000"/>
          <w:sz w:val="24"/>
          <w:szCs w:val="24"/>
          <w:highlight w:val="none"/>
          <w:lang w:eastAsia="zh-CN"/>
        </w:rPr>
        <w:t xml:space="preserve">包括但不限于</w:t>
      </w:r>
      <w:r>
        <w:rPr>
          <w:rFonts w:hint="eastAsia" w:ascii="宋体" w:hAnsi="宋体" w:eastAsia="宋体" w:cs="Times New Roman"/>
          <w:color w:val="000000"/>
          <w:sz w:val="24"/>
          <w:szCs w:val="24"/>
          <w:highlight w:val="none"/>
        </w:rPr>
        <w:t xml:space="preserve">以下要求</w:t>
      </w:r>
      <w:r>
        <w:rPr>
          <w:rFonts w:hint="eastAsia" w:ascii="宋体" w:hAnsi="宋体" w:eastAsia="宋体" w:cs="Times New Roman"/>
          <w:color w:val="000000"/>
          <w:sz w:val="24"/>
          <w:szCs w:val="24"/>
          <w:highlight w:val="none"/>
          <w:lang w:eastAsia="zh-CN"/>
        </w:rPr>
        <w:t xml:space="preserve">，具体内容详见评分办法</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项目实施方案：需包含进度计划、管理措施、实施质量要求、验收方法和标准等。</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（2）项目组织方案：需包含</w:t>
      </w:r>
      <w:r>
        <w:rPr>
          <w:rFonts w:hint="eastAsia" w:ascii="宋体" w:hAnsi="宋体" w:eastAsia="宋体" w:cs="Times New Roman"/>
          <w:color w:val="000000"/>
          <w:sz w:val="24"/>
          <w:szCs w:val="24"/>
          <w:highlight w:val="none"/>
          <w:lang w:eastAsia="zh-CN"/>
        </w:rPr>
        <w:t xml:space="preserve">但不限于</w:t>
      </w:r>
      <w:r>
        <w:rPr>
          <w:rFonts w:hint="eastAsia" w:ascii="宋体" w:hAnsi="宋体" w:eastAsia="宋体" w:cs="Times New Roman"/>
          <w:color w:val="000000"/>
          <w:sz w:val="24"/>
          <w:szCs w:val="24"/>
          <w:highlight w:val="none"/>
        </w:rPr>
        <w:t xml:space="preserve">人员配备情况、人员分工情况等。</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（3）项目管理方案：需包含</w:t>
      </w:r>
      <w:r>
        <w:rPr>
          <w:rFonts w:hint="eastAsia" w:ascii="宋体" w:hAnsi="宋体" w:eastAsia="宋体" w:cs="Times New Roman"/>
          <w:color w:val="000000"/>
          <w:sz w:val="24"/>
          <w:szCs w:val="24"/>
          <w:highlight w:val="none"/>
          <w:lang w:eastAsia="zh-CN"/>
        </w:rPr>
        <w:t xml:space="preserve">但不限于</w:t>
      </w:r>
      <w:r>
        <w:rPr>
          <w:rFonts w:hint="eastAsia" w:ascii="宋体" w:hAnsi="宋体" w:eastAsia="宋体" w:cs="Times New Roman"/>
          <w:color w:val="000000"/>
          <w:sz w:val="24"/>
          <w:szCs w:val="24"/>
          <w:highlight w:val="none"/>
        </w:rPr>
        <w:t xml:space="preserve">管理质量目标，空调及照明等设备，设施关键部位管理技术，重点、难点分析及相应的解决办法。</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（4）节能现状诊断分析方案：需包含</w:t>
      </w:r>
      <w:r>
        <w:rPr>
          <w:rFonts w:hint="eastAsia" w:ascii="宋体" w:hAnsi="宋体" w:eastAsia="宋体" w:cs="Times New Roman"/>
          <w:color w:val="000000"/>
          <w:sz w:val="24"/>
          <w:szCs w:val="24"/>
          <w:highlight w:val="none"/>
          <w:lang w:eastAsia="zh-CN"/>
        </w:rPr>
        <w:t xml:space="preserve">但不限于</w:t>
      </w:r>
      <w:r>
        <w:rPr>
          <w:rFonts w:hint="eastAsia" w:ascii="宋体" w:hAnsi="宋体" w:eastAsia="宋体" w:cs="Times New Roman"/>
          <w:color w:val="000000"/>
          <w:sz w:val="24"/>
          <w:szCs w:val="24"/>
          <w:highlight w:val="none"/>
        </w:rPr>
        <w:t xml:space="preserve">①能源系统排查（电、水、燃气）；②制冷系统诊断；③供热系统诊断④空调末端系统诊断⑤照明系统诊断；⑥节水系统诊断；⑦节能量理论测算。</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（5）节能改造方案：需包含</w:t>
      </w:r>
      <w:r>
        <w:rPr>
          <w:rFonts w:hint="eastAsia" w:ascii="宋体" w:hAnsi="宋体" w:eastAsia="宋体" w:cs="Times New Roman"/>
          <w:color w:val="000000"/>
          <w:sz w:val="24"/>
          <w:szCs w:val="24"/>
          <w:highlight w:val="none"/>
          <w:lang w:eastAsia="zh-CN"/>
        </w:rPr>
        <w:t xml:space="preserve">但不限于</w:t>
      </w:r>
      <w:r>
        <w:rPr>
          <w:rFonts w:hint="eastAsia" w:ascii="宋体" w:hAnsi="宋体" w:eastAsia="宋体" w:cs="Times New Roman"/>
          <w:color w:val="000000"/>
          <w:sz w:val="24"/>
          <w:szCs w:val="24"/>
          <w:highlight w:val="none"/>
        </w:rPr>
        <w:t xml:space="preserve"> ①总体方案；②设计思路；③改造实施方案； ④改造目标；</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（6）空调AI智控系统方案：方案内容应包括</w:t>
      </w:r>
      <w:r>
        <w:rPr>
          <w:rFonts w:hint="eastAsia" w:ascii="宋体" w:hAnsi="宋体" w:eastAsia="宋体" w:cs="Times New Roman"/>
          <w:color w:val="000000"/>
          <w:sz w:val="24"/>
          <w:szCs w:val="24"/>
          <w:highlight w:val="none"/>
          <w:lang w:eastAsia="zh-CN"/>
        </w:rPr>
        <w:t xml:space="preserve">但不限于</w:t>
      </w:r>
      <w:r>
        <w:rPr>
          <w:rFonts w:hint="eastAsia" w:ascii="宋体" w:hAnsi="宋体" w:eastAsia="宋体" w:cs="Times New Roman"/>
          <w:color w:val="000000"/>
          <w:sz w:val="24"/>
          <w:szCs w:val="24"/>
          <w:highlight w:val="none"/>
        </w:rPr>
        <w:t xml:space="preserve">①系统定位和总体架构②算法模型及原理③策略简介④安全保护机制⑤系统界面展示及功能介绍等。</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（7）智慧能源管理平台方案：需包含</w:t>
      </w:r>
      <w:r>
        <w:rPr>
          <w:rFonts w:hint="eastAsia" w:ascii="宋体" w:hAnsi="宋体" w:eastAsia="宋体" w:cs="Times New Roman"/>
          <w:color w:val="000000"/>
          <w:sz w:val="24"/>
          <w:szCs w:val="24"/>
          <w:highlight w:val="none"/>
          <w:lang w:eastAsia="zh-CN"/>
        </w:rPr>
        <w:t xml:space="preserve">但不限于</w:t>
      </w:r>
      <w:r>
        <w:rPr>
          <w:rFonts w:hint="eastAsia" w:ascii="宋体" w:hAnsi="宋体" w:eastAsia="宋体" w:cs="Times New Roman"/>
          <w:color w:val="000000"/>
          <w:sz w:val="24"/>
          <w:szCs w:val="24"/>
          <w:highlight w:val="none"/>
        </w:rPr>
        <w:t xml:space="preserve">①系统定位和总体架构②应用开发方案③系统界面展示和功能介绍等。</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（8）应急措施方案，内容应包括但不限于提供能源系统（冷、热源）应急保障方案及措施</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85"/>
        <w:spacing w:line="440" w:lineRule="exact"/>
        <w:rPr>
          <w:rFonts w:hint="eastAsia" w:ascii="宋体" w:hAnsi="宋体"/>
          <w:b/>
          <w:bCs/>
          <w:color w:val="000000"/>
          <w:sz w:val="24"/>
          <w:szCs w:val="24"/>
          <w:highlight w:val="none"/>
        </w:rPr>
        <w:outlineLvl w:val="1"/>
      </w:pPr>
      <w:r>
        <w:rPr>
          <w:rFonts w:hint="eastAsia" w:ascii="宋体" w:hAnsi="宋体"/>
          <w:b/>
          <w:bCs/>
          <w:color w:val="000000"/>
          <w:sz w:val="24"/>
          <w:szCs w:val="24"/>
          <w:highlight w:val="none"/>
        </w:rPr>
        <w:t xml:space="preserve">六、</w:t>
      </w:r>
      <w:bookmarkStart w:id="203" w:name="_Toc138705295"/>
      <w:r>
        <w:rPr>
          <w:rFonts w:hint="eastAsia" w:ascii="宋体" w:hAnsi="宋体"/>
          <w:b/>
          <w:bCs/>
          <w:color w:val="000000"/>
          <w:sz w:val="24"/>
          <w:szCs w:val="24"/>
          <w:highlight w:val="none"/>
        </w:rPr>
        <w:t xml:space="preserve">项目总体要求</w:t>
      </w:r>
      <w:r>
        <w:rPr>
          <w:rFonts w:hint="eastAsia" w:ascii="宋体" w:hAnsi="宋体"/>
          <w:b/>
          <w:bCs/>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bookmarkEnd w:id="202"/>
      <w:r>
        <w:rPr>
          <w:rFonts w:hint="eastAsia" w:ascii="宋体" w:hAnsi="宋体"/>
          <w:color w:val="000000"/>
          <w:sz w:val="24"/>
          <w:szCs w:val="24"/>
          <w:highlight w:val="none"/>
        </w:rPr>
        <w:t xml:space="preserve">1、改造原则：投标人须基于现场实际调查情况，遵循因地制宜原则，优先选用技术先进、经济合理的技术方案或产品；所选技术或产品须具备成熟性、稳定性及可靠性，且不得对原建筑结构安全造成任何影响。</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2、施工原则：施工改造期间须严格保障采购方人员正常工作秩序，原则上不得影响其日常工作；如遇特殊情况确需停水停电的，须至少提前3天向</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提交书面申请，经审批同意后方可实施。</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3、施工工期：中标人须在合同签订后365个日历天内完成招标文件响应的全部改造内容并通过审计及验收（包括节能改造设备的采购、安装、调试等全流程工作），因</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组织会审改造方案、图纸等所需时间不计入工期。</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4、舒适度保障：节能改造项目完成后，须确保</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的工作环境舒适度不低于改造前水平；使用先进、节能设备替换原有设备的，新设备须符合国家相关标准规范，且不得降低</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的正常使用体验。</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非改造设备兼容性：技术改造实施过程中，不得影响非改造设备的正常使用；须确保项目整体运行的安全性与可靠性。中标人须对改造范围内的自有改造设备全权负责，若因改造关联部分导致异常问题（如非改造设备受影响），由中标人负责解决并承担全部责任。</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6、施工管理要求：中标人须严格服从</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管理，遵守其各项规章制度；施工过程须做到文明施工、安全施工，因施工引发的所有安全责任事故（包括但不限于人员伤亡、财产损失等）均由中标人承担。如发生重大伤亡事故，中标人须按国家相关规定立即上报有关部门，并同步通知</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代表。</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费用承担范围：中标人须承担服务期内与本项目相关的全部费用，包括但不限于设备采购、辅助材料、劳务用工、运输、管理、指导安装、技术支持与培训、质量保证、售后服务与维护、保险、利润、税金、专利技术使用费，以及政策性文件规定的其他费用和合同明示/隐含的所有风险、责任等。</w:t>
      </w:r>
      <w:r>
        <w:rPr>
          <w:rFonts w:hint="eastAsia" w:ascii="宋体" w:hAnsi="宋体"/>
          <w:color w:val="000000"/>
          <w:sz w:val="24"/>
          <w:szCs w:val="24"/>
          <w:highlight w:val="none"/>
        </w:rPr>
      </w:r>
      <w:r/>
    </w:p>
    <w:p>
      <w:pPr>
        <w:pStyle w:val="985"/>
        <w:spacing w:line="440" w:lineRule="exact"/>
        <w:rPr>
          <w:rFonts w:hint="eastAsia" w:ascii="宋体" w:hAnsi="宋体"/>
          <w:b/>
          <w:bCs/>
          <w:color w:val="000000"/>
          <w:sz w:val="24"/>
          <w:szCs w:val="24"/>
          <w:highlight w:val="none"/>
        </w:rPr>
        <w:outlineLvl w:val="1"/>
      </w:pPr>
      <w:r>
        <w:rPr>
          <w:rFonts w:hint="eastAsia" w:ascii="宋体" w:hAnsi="宋体"/>
          <w:b/>
          <w:bCs/>
          <w:color w:val="000000"/>
          <w:sz w:val="24"/>
          <w:szCs w:val="24"/>
          <w:highlight w:val="none"/>
        </w:rPr>
        <w:t xml:space="preserve">七、节能技术改造要求</w:t>
      </w:r>
      <w:r>
        <w:rPr>
          <w:rFonts w:hint="eastAsia" w:ascii="宋体" w:hAnsi="宋体"/>
          <w:b/>
          <w:bCs/>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1、需要对主要耗能设备的能耗接入智慧后勤能源管理平台，可通过该平台对各设备的能效指标进行实时分析、监测，并由专人进行管理维护。</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2、合同签订之日起1年内完成改造，达到“空调系统改造施工达到规范要求”相关标准参照：《 通风与空调工程施工质量验收规范 》（GB50243-2012）。</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3、项目的技术改造不能影响原设备的使用，并保证项目运行的安全性、可靠性。</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4、设备要求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使用先进、节能的设备替换原有设备的实施项目，保证新投入设备必须要有符合国家规定的证明文件，满足</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正常使用。</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5、验收标准</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由</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组织验收（参照相关标准规范执行的要求和标准进行）</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6、运行维护</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6.1 供应商应设专门的服务管理部门，快速响应要求，投标文件中应列出具体响应方式及保障措施。</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6.2 项目中改造、加装或更换的设备设施的质保，在托管期内均由供应商负责。</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7、具体技术要求如下：</w:t>
      </w:r>
      <w:r>
        <w:rPr>
          <w:rFonts w:hint="eastAsia" w:ascii="宋体" w:hAnsi="宋体"/>
          <w:color w:val="000000"/>
          <w:sz w:val="24"/>
          <w:szCs w:val="24"/>
          <w:highlight w:val="none"/>
        </w:rPr>
      </w:r>
      <w:r/>
    </w:p>
    <w:tbl>
      <w:tblPr>
        <w:tblW w:w="92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255"/>
        <w:gridCol w:w="1334"/>
        <w:gridCol w:w="5806"/>
      </w:tblGrid>
      <w:tr>
        <w:trPr>
          <w:trHeight w:val="589"/>
        </w:trPr>
        <w:tc>
          <w:tcPr>
            <w:gridSpan w:val="2"/>
            <w:tcW w:w="2064"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项目</w:t>
            </w:r>
            <w:r>
              <w:rPr>
                <w:rFonts w:hint="eastAsia" w:ascii="宋体" w:hAnsi="宋体"/>
                <w:color w:val="000000"/>
                <w:sz w:val="24"/>
                <w:szCs w:val="24"/>
                <w:highlight w:val="none"/>
              </w:rPr>
            </w:r>
            <w:r/>
          </w:p>
        </w:tc>
        <w:tc>
          <w:tcPr>
            <w:tcW w:w="1334"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分项名称</w:t>
            </w: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建设需求明细</w:t>
            </w:r>
            <w:r>
              <w:rPr>
                <w:rFonts w:hint="eastAsia" w:ascii="宋体" w:hAnsi="宋体"/>
                <w:color w:val="000000"/>
                <w:sz w:val="24"/>
                <w:szCs w:val="24"/>
                <w:highlight w:val="none"/>
              </w:rPr>
            </w:r>
            <w:r/>
          </w:p>
        </w:tc>
      </w:tr>
      <w:tr>
        <w:trPr>
          <w:trHeight w:val="90"/>
        </w:trPr>
        <w:tc>
          <w:tcPr>
            <w:tcW w:w="809" w:type="dxa"/>
            <w:vAlign w:val="center"/>
            <w:vMerge w:val="restart"/>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技术需求部分</w:t>
            </w:r>
            <w:r>
              <w:rPr>
                <w:rFonts w:hint="eastAsia" w:ascii="宋体" w:hAnsi="宋体"/>
                <w:color w:val="000000"/>
                <w:sz w:val="24"/>
                <w:szCs w:val="24"/>
                <w:highlight w:val="none"/>
              </w:rPr>
            </w:r>
            <w:r/>
          </w:p>
        </w:tc>
        <w:tc>
          <w:tcPr>
            <w:tcW w:w="1255" w:type="dxa"/>
            <w:vAlign w:val="center"/>
            <w:vMerge w:val="restart"/>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诊断设计方案</w:t>
            </w:r>
            <w:r>
              <w:rPr>
                <w:rFonts w:hint="eastAsia" w:ascii="宋体" w:hAnsi="宋体"/>
                <w:color w:val="000000"/>
                <w:sz w:val="24"/>
                <w:szCs w:val="24"/>
                <w:highlight w:val="none"/>
              </w:rPr>
            </w:r>
            <w:r/>
          </w:p>
        </w:tc>
        <w:tc>
          <w:tcPr>
            <w:tcW w:w="1334"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诊断部分</w:t>
            </w: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提供行政中心现状诊断分析，对现有系统进行现状分析，现状分析针对性强，有效找出现有能耗设备的痛点。</w:t>
            </w:r>
            <w:r>
              <w:rPr>
                <w:rFonts w:hint="eastAsia" w:ascii="宋体" w:hAnsi="宋体"/>
                <w:color w:val="000000"/>
                <w:sz w:val="24"/>
                <w:szCs w:val="24"/>
                <w:highlight w:val="none"/>
              </w:rPr>
            </w:r>
            <w:r/>
          </w:p>
        </w:tc>
      </w:tr>
      <w:tr>
        <w:trPr>
          <w:trHeight w:val="795"/>
        </w:trPr>
        <w:tc>
          <w:tcPr>
            <w:tcW w:w="809" w:type="dxa"/>
            <w:vAlign w:val="center"/>
            <w:vMerge w:val="continue"/>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continue"/>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34"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s="Times New Roman"/>
                <w:color w:val="000000"/>
                <w:spacing w:val="0"/>
                <w:sz w:val="24"/>
                <w:szCs w:val="24"/>
                <w:highlight w:val="none"/>
              </w:rPr>
              <w:t xml:space="preserve">空调系统智控改造</w:t>
            </w: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s="Times New Roman"/>
                <w:color w:val="000000"/>
                <w:spacing w:val="0"/>
                <w:sz w:val="24"/>
                <w:szCs w:val="24"/>
                <w:highlight w:val="none"/>
              </w:rPr>
              <w:t xml:space="preserve">针对现有的制冷站、供热站、空调末端系统的自控进行升级改造，对末端传感器进行升级更新，并利用先进的空调控制算法进行动态控制策略寻优，搭建一套智慧空调节能控制系统平台。</w:t>
            </w:r>
            <w:r>
              <w:rPr>
                <w:rFonts w:hint="eastAsia" w:ascii="宋体" w:hAnsi="宋体"/>
                <w:color w:val="000000"/>
                <w:sz w:val="24"/>
                <w:szCs w:val="24"/>
                <w:highlight w:val="none"/>
              </w:rPr>
            </w:r>
            <w:r/>
          </w:p>
        </w:tc>
      </w:tr>
      <w:tr>
        <w:trPr>
          <w:trHeight w:val="583"/>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34" w:type="dxa"/>
            <w:vAlign w:val="center"/>
            <w:vMerge w:val="restart"/>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制冷系统</w:t>
            </w: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新增磁悬浮冷水机组1台，机组额定制冷量≥500kW，分担部分建筑冷负荷；</w:t>
            </w:r>
            <w:r>
              <w:rPr>
                <w:rFonts w:hint="eastAsia" w:ascii="宋体" w:hAnsi="宋体"/>
                <w:color w:val="000000"/>
                <w:sz w:val="24"/>
                <w:szCs w:val="24"/>
                <w:highlight w:val="none"/>
              </w:rPr>
            </w:r>
            <w:r/>
          </w:p>
        </w:tc>
      </w:tr>
      <w:tr>
        <w:trPr>
          <w:trHeight w:val="343"/>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34"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评估原有空调水泵运行工况，对低效、不匹配水泵进行更换或增加变频改造，并提供节能测算依据。</w:t>
            </w:r>
            <w:r>
              <w:rPr>
                <w:rFonts w:hint="eastAsia" w:ascii="宋体" w:hAnsi="宋体"/>
                <w:color w:val="000000"/>
                <w:sz w:val="24"/>
                <w:szCs w:val="24"/>
                <w:highlight w:val="none"/>
              </w:rPr>
            </w:r>
            <w:r/>
          </w:p>
        </w:tc>
      </w:tr>
      <w:tr>
        <w:trPr>
          <w:trHeight w:val="343"/>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34"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对冷却塔填料进行改造更换，对现有布水系统进行均匀分布改造，</w:t>
            </w:r>
            <w:r>
              <w:rPr>
                <w:rFonts w:hint="eastAsia" w:ascii="宋体" w:hAnsi="宋体" w:cs="Times New Roman"/>
                <w:color w:val="000000"/>
                <w:spacing w:val="0"/>
                <w:sz w:val="24"/>
                <w:szCs w:val="24"/>
                <w:highlight w:val="none"/>
              </w:rPr>
              <w:t xml:space="preserve">并提供节能测算依据；</w:t>
            </w:r>
            <w:r>
              <w:rPr>
                <w:rFonts w:hint="eastAsia" w:ascii="宋体" w:hAnsi="宋体"/>
                <w:color w:val="000000"/>
                <w:sz w:val="24"/>
                <w:szCs w:val="24"/>
                <w:highlight w:val="none"/>
              </w:rPr>
            </w:r>
            <w:r/>
          </w:p>
        </w:tc>
      </w:tr>
      <w:tr>
        <w:trPr>
          <w:trHeight w:val="533"/>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34"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对机房现有管路进行改造布置，使系统合理运行，打造标准机房。</w:t>
            </w:r>
            <w:r>
              <w:rPr>
                <w:rFonts w:hint="eastAsia" w:ascii="宋体" w:hAnsi="宋体"/>
                <w:color w:val="000000"/>
                <w:sz w:val="24"/>
                <w:szCs w:val="24"/>
                <w:highlight w:val="none"/>
              </w:rPr>
            </w:r>
            <w:r/>
          </w:p>
        </w:tc>
      </w:tr>
      <w:tr>
        <w:trPr>
          <w:trHeight w:val="533"/>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34"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搭建制冷机房智慧群控系统，接入冷水机组、水泵、冷却塔等全部制冷设备，实现机房设备集中监测、联动调节、自动节能运行。</w:t>
            </w:r>
            <w:r>
              <w:rPr>
                <w:rFonts w:hint="eastAsia" w:ascii="宋体" w:hAnsi="宋体"/>
                <w:color w:val="000000"/>
                <w:sz w:val="24"/>
                <w:szCs w:val="24"/>
                <w:highlight w:val="none"/>
              </w:rPr>
            </w:r>
            <w:r/>
          </w:p>
        </w:tc>
      </w:tr>
      <w:tr>
        <w:trPr>
          <w:trHeight w:val="795"/>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34" w:type="dxa"/>
            <w:vAlign w:val="center"/>
            <w:vMerge w:val="restart"/>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供暖系统</w:t>
            </w: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对项目现有供暖热源实施升级改造，采用热泵机组搭配辅助热源复合供热形式，整套热源系统供热能力满足建筑实际供暖负荷，由供应商自行设计并核算，确保设备极寒天气（-10℃以下）正常运行。</w:t>
            </w:r>
            <w:r>
              <w:rPr>
                <w:rFonts w:hint="eastAsia" w:ascii="宋体" w:hAnsi="宋体" w:eastAsia="宋体"/>
                <w:color w:val="000000"/>
                <w:sz w:val="24"/>
                <w:szCs w:val="24"/>
                <w:highlight w:val="none"/>
                <w:lang w:eastAsia="zh-CN"/>
              </w:rPr>
            </w:r>
            <w:r/>
          </w:p>
        </w:tc>
      </w:tr>
      <w:tr>
        <w:trPr>
          <w:trHeight w:val="90"/>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34"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提供供暖系统水泵配置</w:t>
            </w:r>
            <w:r>
              <w:rPr>
                <w:rFonts w:hint="eastAsia" w:ascii="宋体" w:hAnsi="宋体"/>
                <w:color w:val="000000"/>
                <w:sz w:val="24"/>
                <w:szCs w:val="24"/>
                <w:highlight w:val="none"/>
              </w:rPr>
            </w:r>
            <w:r/>
          </w:p>
        </w:tc>
      </w:tr>
      <w:tr>
        <w:trPr>
          <w:trHeight w:val="442" w:hRule="exact"/>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34"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提供热泵机组噪音校核计算并出具承诺书</w:t>
            </w:r>
            <w:r>
              <w:rPr>
                <w:rFonts w:hint="eastAsia" w:ascii="宋体" w:hAnsi="宋体"/>
                <w:color w:val="000000"/>
                <w:sz w:val="24"/>
                <w:szCs w:val="24"/>
                <w:highlight w:val="none"/>
              </w:rPr>
            </w:r>
            <w:r/>
          </w:p>
        </w:tc>
      </w:tr>
      <w:tr>
        <w:trPr>
          <w:trHeight w:val="285"/>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34"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提供机组选址、布置、管路系统设计方案及结构安全加固设计</w:t>
            </w:r>
            <w:r>
              <w:rPr>
                <w:rFonts w:hint="eastAsia" w:ascii="宋体" w:hAnsi="宋体"/>
                <w:color w:val="000000"/>
                <w:sz w:val="24"/>
                <w:szCs w:val="24"/>
                <w:highlight w:val="none"/>
              </w:rPr>
            </w:r>
            <w:r/>
          </w:p>
        </w:tc>
      </w:tr>
      <w:tr>
        <w:trPr>
          <w:trHeight w:val="323"/>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34"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提供极寒天气应急实施方案和针对性的实施措施</w:t>
            </w:r>
            <w:r>
              <w:rPr>
                <w:rFonts w:hint="eastAsia" w:ascii="宋体" w:hAnsi="宋体"/>
                <w:color w:val="000000"/>
                <w:sz w:val="24"/>
                <w:szCs w:val="24"/>
                <w:highlight w:val="none"/>
              </w:rPr>
            </w:r>
            <w:r/>
          </w:p>
        </w:tc>
      </w:tr>
      <w:tr>
        <w:trPr>
          <w:trHeight w:val="323"/>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34"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照明系统</w:t>
            </w: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原有传统非节能灯具更换为LED节能灯具，降低照明系统能耗。</w:t>
            </w:r>
            <w:r>
              <w:rPr>
                <w:rFonts w:hint="eastAsia" w:ascii="宋体" w:hAnsi="宋体"/>
                <w:color w:val="000000"/>
                <w:sz w:val="24"/>
                <w:szCs w:val="24"/>
                <w:highlight w:val="none"/>
              </w:rPr>
            </w:r>
            <w:r/>
          </w:p>
        </w:tc>
      </w:tr>
      <w:tr>
        <w:trPr>
          <w:trHeight w:val="437"/>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34"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其它</w:t>
            </w: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潜在节能措施</w:t>
            </w:r>
            <w:r>
              <w:rPr>
                <w:rFonts w:hint="eastAsia" w:ascii="宋体" w:hAnsi="宋体"/>
                <w:color w:val="000000"/>
                <w:sz w:val="24"/>
                <w:szCs w:val="24"/>
                <w:highlight w:val="none"/>
              </w:rPr>
            </w:r>
            <w:r/>
          </w:p>
        </w:tc>
      </w:tr>
      <w:tr>
        <w:trPr>
          <w:trHeight w:val="585"/>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restart"/>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实施运维方案设计</w:t>
            </w:r>
            <w:r>
              <w:rPr>
                <w:rFonts w:hint="eastAsia" w:ascii="宋体" w:hAnsi="宋体"/>
                <w:color w:val="000000"/>
                <w:sz w:val="24"/>
                <w:szCs w:val="24"/>
                <w:highlight w:val="none"/>
              </w:rPr>
            </w:r>
            <w:r/>
          </w:p>
        </w:tc>
        <w:tc>
          <w:tcPr>
            <w:tcW w:w="1334" w:type="dxa"/>
            <w:vAlign w:val="center"/>
            <w:vMerge w:val="restart"/>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节能改造方案</w:t>
            </w: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针对制冷、供暖、照明改造等系统提供设备拆除及更换、管路施工、电气化施工等节能改造方案方案</w:t>
            </w:r>
            <w:r>
              <w:rPr>
                <w:rFonts w:hint="eastAsia" w:ascii="宋体" w:hAnsi="宋体"/>
                <w:color w:val="000000"/>
                <w:sz w:val="24"/>
                <w:szCs w:val="24"/>
                <w:highlight w:val="none"/>
              </w:rPr>
            </w:r>
            <w:r/>
          </w:p>
        </w:tc>
      </w:tr>
      <w:tr>
        <w:trPr>
          <w:trHeight w:val="474"/>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34"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针对项目施工重点难点分析提供解决方案，并编制设备吊装专项方案。</w:t>
            </w:r>
            <w:r>
              <w:rPr>
                <w:rFonts w:hint="eastAsia" w:ascii="宋体" w:hAnsi="宋体"/>
                <w:color w:val="000000"/>
                <w:sz w:val="24"/>
                <w:szCs w:val="24"/>
                <w:highlight w:val="none"/>
              </w:rPr>
            </w:r>
            <w:r/>
          </w:p>
        </w:tc>
      </w:tr>
      <w:tr>
        <w:trPr>
          <w:trHeight w:val="285"/>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34"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提供安全文明施工专项方案</w:t>
            </w:r>
            <w:r>
              <w:rPr>
                <w:rFonts w:hint="eastAsia" w:ascii="宋体" w:hAnsi="宋体"/>
                <w:color w:val="000000"/>
                <w:sz w:val="24"/>
                <w:szCs w:val="24"/>
                <w:highlight w:val="none"/>
              </w:rPr>
            </w:r>
            <w:r/>
          </w:p>
        </w:tc>
      </w:tr>
      <w:tr>
        <w:trPr>
          <w:trHeight w:val="285"/>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34"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提供施工管理人员组织架构及一览表</w:t>
            </w:r>
            <w:r>
              <w:rPr>
                <w:rFonts w:hint="eastAsia" w:ascii="宋体" w:hAnsi="宋体"/>
                <w:color w:val="000000"/>
                <w:sz w:val="24"/>
                <w:szCs w:val="24"/>
                <w:highlight w:val="none"/>
              </w:rPr>
            </w:r>
            <w:r/>
          </w:p>
        </w:tc>
      </w:tr>
      <w:tr>
        <w:trPr>
          <w:trHeight w:val="285"/>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34"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在总体工期目标为365天的总工期下提供工期保障措施</w:t>
            </w:r>
            <w:r>
              <w:rPr>
                <w:rFonts w:hint="eastAsia" w:ascii="宋体" w:hAnsi="宋体"/>
                <w:color w:val="000000"/>
                <w:sz w:val="24"/>
                <w:szCs w:val="24"/>
                <w:highlight w:val="none"/>
              </w:rPr>
            </w:r>
            <w:r/>
          </w:p>
        </w:tc>
      </w:tr>
      <w:tr>
        <w:trPr>
          <w:trHeight w:val="1604"/>
        </w:trPr>
        <w:tc>
          <w:tcPr>
            <w:tcW w:w="809" w:type="dxa"/>
            <w:vAlign w:val="center"/>
            <w:vMerge w:val="continue"/>
            <w:textDirection w:val="lrTb"/>
            <w:noWrap w:val="false"/>
          </w:tcPr>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55"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能源智慧管理平台建设方案</w:t>
            </w:r>
            <w:r>
              <w:rPr>
                <w:rFonts w:hint="eastAsia" w:ascii="宋体" w:hAnsi="宋体"/>
                <w:color w:val="000000"/>
                <w:sz w:val="24"/>
                <w:szCs w:val="24"/>
                <w:highlight w:val="none"/>
              </w:rPr>
            </w:r>
            <w:r/>
          </w:p>
        </w:tc>
        <w:tc>
          <w:tcPr>
            <w:tcW w:w="1334"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智慧管理平台</w:t>
            </w:r>
            <w:r>
              <w:rPr>
                <w:rFonts w:hint="eastAsia" w:ascii="宋体" w:hAnsi="宋体"/>
                <w:color w:val="000000"/>
                <w:sz w:val="24"/>
                <w:szCs w:val="24"/>
                <w:highlight w:val="none"/>
              </w:rPr>
            </w:r>
            <w:r/>
          </w:p>
        </w:tc>
        <w:tc>
          <w:tcPr>
            <w:tcW w:w="58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提供能管平台及能管系统建设，包括能源管理数字化、智慧化、可视化建设，能耗监测系统及智能化群控系统建设等</w:t>
            </w:r>
            <w:r>
              <w:rPr>
                <w:rFonts w:hint="eastAsia" w:ascii="宋体" w:hAnsi="宋体"/>
                <w:color w:val="000000"/>
                <w:sz w:val="24"/>
                <w:szCs w:val="24"/>
                <w:highlight w:val="none"/>
              </w:rPr>
            </w:r>
            <w:r/>
          </w:p>
        </w:tc>
      </w:tr>
    </w:tbl>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（1）合同期满后，供应商所投设备设施、软件和对应的产品手册、使用说明等以及能耗监控系统的产权归</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所有，智慧管理平台端口对</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免费开放，且供应商不得据此主张任何款项或费用，并且必须配合办理各项移交和手续办理。</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（2）如有改造范围外的增减需获得</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的书面认可。</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（3）如有拟投入改造的冷水机组等强制节能目录产品，须提供获得国家确定的认证机构出具的有效期内的节能产品认证证书原件扫描件。</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（4）供应商须提供拟投入主要设备的品牌、型号及报价（至少包含冷水机组、空气源热泵机组）”及驻场运维人员费用。</w:t>
      </w:r>
      <w:r>
        <w:rPr>
          <w:rFonts w:hint="eastAsia" w:ascii="宋体" w:hAnsi="宋体"/>
          <w:color w:val="000000"/>
          <w:sz w:val="24"/>
          <w:szCs w:val="24"/>
          <w:highlight w:val="none"/>
        </w:rPr>
      </w:r>
      <w:r/>
    </w:p>
    <w:p>
      <w:pPr>
        <w:pStyle w:val="985"/>
        <w:spacing w:line="440" w:lineRule="exact"/>
        <w:rPr>
          <w:rFonts w:hint="eastAsia" w:ascii="宋体" w:hAnsi="宋体"/>
          <w:b/>
          <w:bCs/>
          <w:color w:val="000000"/>
          <w:sz w:val="24"/>
          <w:szCs w:val="24"/>
          <w:highlight w:val="none"/>
        </w:rPr>
        <w:outlineLvl w:val="1"/>
      </w:pPr>
      <w:r>
        <w:rPr>
          <w:rFonts w:hint="eastAsia" w:ascii="宋体" w:hAnsi="宋体"/>
          <w:b/>
          <w:bCs/>
          <w:color w:val="000000"/>
          <w:sz w:val="24"/>
          <w:szCs w:val="24"/>
          <w:highlight w:val="none"/>
        </w:rPr>
        <w:t xml:space="preserve">八、项目管理要求</w:t>
      </w:r>
      <w:r>
        <w:rPr>
          <w:rFonts w:hint="eastAsia" w:ascii="宋体" w:hAnsi="宋体"/>
          <w:b/>
          <w:bCs/>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8.1人员组织要求</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8.1.1 投标人或其联合体单位投入项目负责人1名，负责能源费用托管区域化管理，项目负责人应提前向采购单位及公共机构报备，需要更换人员时需提前提出。</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8.1.2  投标人或其联合体单位应为本项目配备经验丰富的项目团队，团队骨干成员应有能源系统管理、公共建筑节能改造、空调系统运维</w:t>
      </w:r>
      <w:r>
        <w:rPr>
          <w:rFonts w:hint="eastAsia" w:ascii="宋体" w:hAnsi="宋体" w:eastAsia="宋体" w:cs="Times New Roman"/>
          <w:color w:val="000000"/>
          <w:sz w:val="24"/>
          <w:szCs w:val="24"/>
          <w:highlight w:val="none"/>
          <w:lang w:eastAsia="zh-CN"/>
        </w:rPr>
        <w:t xml:space="preserve">、安全</w:t>
      </w:r>
      <w:r>
        <w:rPr>
          <w:rFonts w:hint="eastAsia" w:ascii="宋体" w:hAnsi="宋体" w:eastAsia="宋体" w:cs="Times New Roman"/>
          <w:color w:val="000000"/>
          <w:sz w:val="24"/>
          <w:szCs w:val="24"/>
          <w:highlight w:val="none"/>
        </w:rPr>
        <w:t xml:space="preserve">等相关经验</w:t>
      </w:r>
      <w:r>
        <w:rPr>
          <w:rFonts w:hint="eastAsia" w:ascii="宋体" w:hAnsi="宋体" w:eastAsia="宋体" w:cs="Times New Roman"/>
          <w:color w:val="000000"/>
          <w:sz w:val="24"/>
          <w:szCs w:val="24"/>
          <w:highlight w:val="none"/>
          <w:lang w:eastAsia="zh-CN"/>
        </w:rPr>
        <w:t xml:space="preserve">及相应的职称证书</w:t>
      </w:r>
      <w:r>
        <w:rPr>
          <w:rFonts w:hint="eastAsia" w:ascii="宋体" w:hAnsi="宋体" w:eastAsia="宋体" w:cs="Times New Roman"/>
          <w:color w:val="000000"/>
          <w:sz w:val="24"/>
          <w:szCs w:val="24"/>
          <w:highlight w:val="none"/>
        </w:rPr>
        <w:t xml:space="preserve">。供应商应保证项目团队的主要人员的稳定性，在未经过</w:t>
      </w:r>
      <w:r>
        <w:rPr>
          <w:rFonts w:hint="eastAsia" w:ascii="宋体" w:hAnsi="宋体" w:eastAsia="宋体" w:cs="Times New Roman"/>
          <w:color w:val="000000"/>
          <w:sz w:val="24"/>
          <w:szCs w:val="24"/>
          <w:highlight w:val="none"/>
          <w:lang w:eastAsia="zh-CN"/>
        </w:rPr>
        <w:t xml:space="preserve">招标人</w:t>
      </w:r>
      <w:r>
        <w:rPr>
          <w:rFonts w:hint="eastAsia" w:ascii="宋体" w:hAnsi="宋体" w:eastAsia="宋体" w:cs="Times New Roman"/>
          <w:color w:val="000000"/>
          <w:sz w:val="24"/>
          <w:szCs w:val="24"/>
          <w:highlight w:val="none"/>
        </w:rPr>
        <w:t xml:space="preserve">同意的情况下，供应商不得随意更换人员。</w:t>
      </w:r>
      <w:r>
        <w:rPr>
          <w:rFonts w:hint="eastAsia" w:ascii="宋体" w:hAnsi="宋体" w:eastAsia="宋体" w:cs="Times New Roman"/>
          <w:color w:val="000000"/>
          <w:sz w:val="24"/>
          <w:szCs w:val="24"/>
          <w:highlight w:val="none"/>
          <w:lang w:eastAsia="zh-CN"/>
        </w:rPr>
        <w:t xml:space="preserve">招标人</w:t>
      </w:r>
      <w:r>
        <w:rPr>
          <w:rFonts w:hint="eastAsia" w:ascii="宋体" w:hAnsi="宋体" w:eastAsia="宋体" w:cs="Times New Roman"/>
          <w:color w:val="000000"/>
          <w:sz w:val="24"/>
          <w:szCs w:val="24"/>
          <w:highlight w:val="none"/>
        </w:rPr>
        <w:t xml:space="preserve">或供应商认为需要更换项目经理或项目团队成员时，均应提早两周向对方申明原因，供应商应同时提出新的符合合同要求的项目经理或项目团队成员人选，经</w:t>
      </w:r>
      <w:r>
        <w:rPr>
          <w:rFonts w:hint="eastAsia" w:ascii="宋体" w:hAnsi="宋体" w:eastAsia="宋体" w:cs="Times New Roman"/>
          <w:color w:val="000000"/>
          <w:sz w:val="24"/>
          <w:szCs w:val="24"/>
          <w:highlight w:val="none"/>
          <w:lang w:eastAsia="zh-CN"/>
        </w:rPr>
        <w:t xml:space="preserve">招标人</w:t>
      </w:r>
      <w:r>
        <w:rPr>
          <w:rFonts w:hint="eastAsia" w:ascii="宋体" w:hAnsi="宋体" w:eastAsia="宋体" w:cs="Times New Roman"/>
          <w:color w:val="000000"/>
          <w:sz w:val="24"/>
          <w:szCs w:val="24"/>
          <w:highlight w:val="none"/>
        </w:rPr>
        <w:t xml:space="preserve">同意并办理交接手续后方可更换。</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8.1.3 投标人或其联合体单位应配备专业技术团队为本项目提供专业技术支持服务，专业技术人员应来自不同的专业领域，如网络专家、暖通设备专家、电力系统专家以及其它专业业务专家等。同时专家团队应对</w:t>
      </w:r>
      <w:r>
        <w:rPr>
          <w:rFonts w:hint="eastAsia" w:ascii="宋体" w:hAnsi="宋体" w:eastAsia="宋体" w:cs="Times New Roman"/>
          <w:color w:val="000000"/>
          <w:sz w:val="24"/>
          <w:szCs w:val="24"/>
          <w:highlight w:val="none"/>
          <w:lang w:eastAsia="zh-CN"/>
        </w:rPr>
        <w:t xml:space="preserve">招标人</w:t>
      </w:r>
      <w:r>
        <w:rPr>
          <w:rFonts w:hint="eastAsia" w:ascii="宋体" w:hAnsi="宋体" w:eastAsia="宋体" w:cs="Times New Roman"/>
          <w:color w:val="000000"/>
          <w:sz w:val="24"/>
          <w:szCs w:val="24"/>
          <w:highlight w:val="none"/>
        </w:rPr>
        <w:t xml:space="preserve">指派的操作人员进行适当的培训，以使其能承担相应的操作和设施维护要求。合同期内供应商应当确保其工作人员或者其聘请的第三方在项目实施、运行的整个过程中遵守</w:t>
      </w:r>
      <w:r>
        <w:rPr>
          <w:rFonts w:hint="eastAsia" w:ascii="宋体" w:hAnsi="宋体" w:eastAsia="宋体" w:cs="Times New Roman"/>
          <w:color w:val="000000"/>
          <w:sz w:val="24"/>
          <w:szCs w:val="24"/>
          <w:highlight w:val="none"/>
          <w:lang w:eastAsia="zh-CN"/>
        </w:rPr>
        <w:t xml:space="preserve">招标人</w:t>
      </w:r>
      <w:r>
        <w:rPr>
          <w:rFonts w:hint="eastAsia" w:ascii="宋体" w:hAnsi="宋体" w:eastAsia="宋体" w:cs="Times New Roman"/>
          <w:color w:val="000000"/>
          <w:sz w:val="24"/>
          <w:szCs w:val="24"/>
          <w:highlight w:val="none"/>
        </w:rPr>
        <w:t xml:space="preserve">的相关规章制度。</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8.2进度管理要求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（1）中标人应有详细计划，明确每个阶段的阶段目标、阶段交付物的成果、验收依据、双方的责任和义务等。节能改造实施方案经</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同意，中标人应按项目方案文件规定的技术标准和要求以及本合同的规定，按时完成本项目的方案设计、建设。</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（2）中标方施工前编制工程施工方案，经</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审核后按方案、规范要求施工。</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（3）中标方须充分考虑行政中心的特殊性，节能改造施工中停电、停水、停天然气须提前报</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审批后施工。</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8.3风险管控要求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（1）实际运行过程中，风险随时可能出现，中标人应根据项目实际情况加强风险管理，做好风险的识别，风险的量化分析，制定风险的应急预案。</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（2）中标人应当确保其工作人员和其聘请的第三方严格遵守</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有关施工场地安全和卫生等方面的规定，并听从</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合理的现场指挥。</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（3）中标方维护人员应严格按照标准规范和安全规程开展维护工作，由于自身操作失误产生的事故责任由维护单位自行负责。</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8.4改造质量要求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中标人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方合理的特有的施工、管理、质量要求。满足</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对质量的要求。中标人应根据整个项目周期的工作计划，对阶段性工作成果进行审查和测试，并向项目单位提交阶段性工作成果。通过保证各阶段性成果的质量，最终保证整个项目的质量。中标人应针对项目制定详细的质量管理方案。</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8.5文明施工</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（1）投标人维修人员应衣着干净、整洁、穿工作服，佩戴工作牌、讲话文明礼貌；</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（2）与</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管理部门联系沟通后，征得</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同意才进场施工；</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（3）每一次维修完毕必须复原及清洁施工现场；</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（4）做好设备运行维修记录和工作签单手续；</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（5）如因投标人员责任造成的损失由投标人负责赔偿，投标人负责安全施工，发生安全事故由投标人自行承担。</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8.6配合管理要求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（1）建立切实可行的设备设施维护制度。</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（2）配合</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相关其他部门的常规检测和问询。</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（3）提供合理可行的应急响应及服务承诺。</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（4）提供合理可行的维护保养方案。</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8.7设备改造及维护要求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（1）现场施工不得影响或干扰用能单位的正常办公；</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（2）因能源改造而新安装的所有设备设施的维护由投标人负责，及时发现并解决故障，保证检修合格率100%，保障设备完好率100%；</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（4）保障各设施设备的正常运行，运行设备设施相关区域内各项指标需符合国家相关规定和标准。</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8.8项目技术要求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（1）节能措施应符合国家法律法规、产业政策要求以及工艺、设备等相关标准的规定。产品设计及设备安装应符合《合同能源管理技术通则》（GB/T24915-2010）规定。</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（2）节能量测量和验证方案作为合同的必要内容应充分参照已有的标准规范成果，并遵循以下原则：</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a)准确性。应准确反映用能单位实际能耗状况和预期的及达到的节能目标。</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b)完整性。应充分考虑所有影响实现节能目标的因素，对重要的影响因素应进行量化分析。</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c)透明性。应对双方公开相关技术细节，避免合同实施过程中可能的争议。</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（3）项目的技术改造应保证系统运行的安全性、可靠性。</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8.9知识产权要求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对于结合</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专门服务需求开发的部分，</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享有知识产权。中标人在项目服务过程中涉及第三方产品，若出现技术、经济或法律上的纠纷，应由中标人全面承担并全权解决，确保不影响工作的正常开展。</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8.10保修或售后服务要求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（1）项目中加装或更换的设备的维修和保养在能源托管期内均由中标方负责，费用自理。</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（2）具备专业的团队，保证有维保人员能随时提供服务，对能源管理项目进行巡视，完善档案记录，保证设备安全、正常运行。</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24小时接受紧急故障处理和技术性的服务，接到通知后及时赶到现场，进行处理和服务。若因故障不能及时修复而影响系统运作的，应将故障及时通知招标方，同时做好相应的补救措施，大修时及时上报招标方并提供解决方案。</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（4）工作人员在现场作业时，应遵守招标方的相关管理及安全制度，对于不遵守操作规程及安全管理制度等所造成的一切后果及损失均由中标方负责。</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（5）由于中标人维修保养不到位导致发生事故，其事故责任和损失由中标人承担，并赔偿</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因此造成的一切损失。</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）人员培训。</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人员培训的目的是为了使采购方工作人员了解、掌握本项目所涉及的各种技术和设备，更有效和更全面地应用、管理系统。定期组织开展对采购方一般工作人员及系统维护人员、通信人员的培训，培训方式可以采取集中、远程、个人培训等多种方式。</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8.11保密措施要求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（1）中标方必须严格遵守</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信息安全方面的要求。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（2）中标方组建的项目成员在项目单位履行职责期间，必须遵守</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规定的保密规章、制度，履行与其工作岗位相应的保密职责。不向不承担相应保密义务的任何第三人披露</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的商业秘密。</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8.12建筑安全要求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节能改造过程应满足以下安全要求：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（1）保持既有建筑的初始功能和基本结构，满足改造后的建筑功能需求，不降低其建筑安全性和耐久性；</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（2）在改造施工中，有效控制粉尘、废气、废料、噪音、震感等污染和危害。针对建筑特点和改造方向，做好施工组织设计等相关文档资料。做好施工现场的安全监护，建立健全的改造项目档案。</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（3）确定选择符合标准的改造材料，增加既有建筑改造后的各项性能值；</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（4）不得改变原有的建筑防火分区、疏散系统、疏散构件和防火分隔等设施，必须确保消防设施完好有效。</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8.13项目服务要求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服务指标：能源消耗量、能源费用等核心数据维持较好应用水平，并呈现持续改进态势。</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服务时间：提供365天*24小时的不间断运维服务指导，提供最灵活的用能体验。</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故障响应时间：设备发生故障应在2小时内予以响应，8小时内修复，因特殊零配件原因48小时内修复，并持续协助故障的最终解答或解决。</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8.14在托管合同期内由供应商承担所投设备的日常运行，主要内容如下：</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（1）每年的运维业务培训；</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（2）托管范围内设备的管理维护；</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（3）托管合同期间全面负责行政中心供冷、供热系统的运行技术支持服务管理，应满足行政中心空调的正常使用需求。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outlineLvl w:val="1"/>
      </w:pPr>
      <w:r/>
      <w:bookmarkEnd w:id="203"/>
      <w:r>
        <w:rPr>
          <w:rFonts w:hint="eastAsia" w:ascii="宋体" w:hAnsi="宋体"/>
          <w:color w:val="000000"/>
          <w:sz w:val="24"/>
          <w:szCs w:val="24"/>
          <w:highlight w:val="none"/>
        </w:rPr>
        <w:t xml:space="preserve">九、商务要求</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9</w:t>
      </w:r>
      <w:r>
        <w:rPr>
          <w:rFonts w:hint="eastAsia" w:ascii="宋体" w:hAnsi="宋体"/>
          <w:color w:val="000000"/>
          <w:sz w:val="24"/>
          <w:szCs w:val="24"/>
          <w:highlight w:val="none"/>
        </w:rPr>
        <w:t xml:space="preserve">.1能源费用托管期内能耗确定</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能源费用托管期（以年为计算周期）内可采用的原始数据主要包括能源计量器具读数记录、能耗在线监测系统数据记录、能源统计报表、能源费用账单等。</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及中标人可充分利用上述原始数据采用共同确认或以第三方能源审核机构测量和验证等方式确定项目在能源费用托管期内的实际消耗量。</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9</w:t>
      </w:r>
      <w:r>
        <w:rPr>
          <w:rFonts w:hint="eastAsia" w:ascii="宋体" w:hAnsi="宋体"/>
          <w:color w:val="000000"/>
          <w:sz w:val="24"/>
          <w:szCs w:val="24"/>
          <w:highlight w:val="none"/>
        </w:rPr>
        <w:t xml:space="preserve">.2节能率</w:t>
      </w:r>
      <w:r>
        <w:rPr>
          <w:rFonts w:hint="eastAsia" w:ascii="宋体" w:hAnsi="宋体"/>
          <w:color w:val="000000"/>
          <w:sz w:val="24"/>
          <w:szCs w:val="24"/>
          <w:highlight w:val="none"/>
        </w:rPr>
      </w:r>
      <w:r/>
    </w:p>
    <w:p>
      <w:pPr>
        <w:pStyle w:val="985"/>
        <w:ind w:firstLine="492"/>
        <w:spacing w:line="440" w:lineRule="exact"/>
        <w:rPr>
          <w:rFonts w:ascii="宋体" w:hAnsi="宋体"/>
          <w:color w:val="000000"/>
          <w:sz w:val="24"/>
          <w:szCs w:val="24"/>
          <w:highlight w:val="none"/>
        </w:rPr>
      </w:pPr>
      <w:r>
        <w:rPr>
          <w:rFonts w:ascii="宋体" w:hAnsi="宋体" w:cs="宋体"/>
          <w:color w:val="000000"/>
          <w:spacing w:val="3"/>
          <w:sz w:val="24"/>
          <w:szCs w:val="24"/>
          <w:highlight w:val="none"/>
        </w:rPr>
        <w:t xml:space="preserve">在托管期间内，中标单位承诺年节能率不低于</w:t>
      </w:r>
      <w:r>
        <w:rPr>
          <w:rFonts w:hint="eastAsia" w:ascii="宋体" w:hAnsi="宋体" w:cs="宋体"/>
          <w:color w:val="000000"/>
          <w:spacing w:val="-41"/>
          <w:sz w:val="24"/>
          <w:szCs w:val="24"/>
          <w:highlight w:val="none"/>
          <w:lang w:val="en-US" w:eastAsia="zh-CN"/>
        </w:rPr>
        <w:t xml:space="preserve">12 </w:t>
      </w:r>
      <w:r>
        <w:rPr>
          <w:rFonts w:ascii="宋体" w:hAnsi="宋体" w:cs="宋体"/>
          <w:color w:val="000000"/>
          <w:spacing w:val="3"/>
          <w:sz w:val="24"/>
          <w:szCs w:val="24"/>
          <w:highlight w:val="none"/>
        </w:rPr>
        <w:t xml:space="preserve">%</w:t>
      </w:r>
      <w:r>
        <w:rPr>
          <w:rFonts w:hint="eastAsia" w:ascii="宋体" w:hAnsi="宋体" w:cs="宋体"/>
          <w:color w:val="000000"/>
          <w:spacing w:val="3"/>
          <w:sz w:val="24"/>
          <w:szCs w:val="24"/>
          <w:highlight w:val="none"/>
        </w:rPr>
        <w:t xml:space="preserve">（相对于双方认定的基准能耗）</w:t>
      </w:r>
      <w:r>
        <w:rPr>
          <w:rFonts w:ascii="宋体" w:hAnsi="宋体" w:cs="宋体"/>
          <w:color w:val="000000"/>
          <w:spacing w:val="3"/>
          <w:sz w:val="24"/>
          <w:szCs w:val="24"/>
          <w:highlight w:val="none"/>
        </w:rPr>
        <w:t xml:space="preserve">。连续</w:t>
      </w:r>
      <w:r>
        <w:rPr>
          <w:rFonts w:ascii="宋体" w:hAnsi="宋体" w:cs="宋体"/>
          <w:color w:val="000000"/>
          <w:spacing w:val="-41"/>
          <w:sz w:val="24"/>
          <w:szCs w:val="24"/>
          <w:highlight w:val="none"/>
        </w:rPr>
        <w:t xml:space="preserve"> </w:t>
      </w:r>
      <w:r>
        <w:rPr>
          <w:rFonts w:ascii="宋体" w:hAnsi="宋体" w:cs="宋体"/>
          <w:color w:val="000000"/>
          <w:spacing w:val="3"/>
          <w:sz w:val="24"/>
          <w:szCs w:val="24"/>
          <w:highlight w:val="none"/>
        </w:rPr>
        <w:t xml:space="preserve">2</w:t>
      </w:r>
      <w:r>
        <w:rPr>
          <w:rFonts w:ascii="宋体" w:hAnsi="宋体" w:cs="宋体"/>
          <w:color w:val="000000"/>
          <w:spacing w:val="-45"/>
          <w:sz w:val="24"/>
          <w:szCs w:val="24"/>
          <w:highlight w:val="none"/>
        </w:rPr>
        <w:t xml:space="preserve"> </w:t>
      </w:r>
      <w:r>
        <w:rPr>
          <w:rFonts w:ascii="宋体" w:hAnsi="宋体" w:cs="宋体"/>
          <w:color w:val="000000"/>
          <w:spacing w:val="3"/>
          <w:sz w:val="24"/>
          <w:szCs w:val="24"/>
          <w:highlight w:val="none"/>
        </w:rPr>
        <w:t xml:space="preserve">年</w:t>
      </w:r>
      <w:r>
        <w:rPr>
          <w:rFonts w:ascii="宋体" w:hAnsi="宋体" w:cs="宋体"/>
          <w:color w:val="000000"/>
          <w:spacing w:val="2"/>
          <w:sz w:val="24"/>
          <w:szCs w:val="24"/>
          <w:highlight w:val="none"/>
        </w:rPr>
        <w:t xml:space="preserve">达不到承诺的</w:t>
      </w:r>
      <w:r>
        <w:rPr>
          <w:rFonts w:ascii="宋体" w:hAnsi="宋体" w:cs="宋体"/>
          <w:color w:val="000000"/>
          <w:spacing w:val="5"/>
          <w:sz w:val="24"/>
          <w:szCs w:val="24"/>
          <w:highlight w:val="none"/>
        </w:rPr>
        <w:t xml:space="preserve">节能率，经分析为非用能单位不当引起的，</w:t>
      </w:r>
      <w:r>
        <w:rPr>
          <w:rFonts w:hint="eastAsia" w:ascii="宋体" w:hAnsi="宋体" w:cs="宋体"/>
          <w:color w:val="000000"/>
          <w:spacing w:val="5"/>
          <w:sz w:val="24"/>
          <w:szCs w:val="24"/>
          <w:highlight w:val="none"/>
          <w:lang w:eastAsia="zh-CN"/>
        </w:rPr>
        <w:t xml:space="preserve">招标人</w:t>
      </w:r>
      <w:r>
        <w:rPr>
          <w:rFonts w:ascii="宋体" w:hAnsi="宋体" w:cs="宋体"/>
          <w:color w:val="000000"/>
          <w:spacing w:val="5"/>
          <w:sz w:val="24"/>
          <w:szCs w:val="24"/>
          <w:highlight w:val="none"/>
        </w:rPr>
        <w:t xml:space="preserve">有权要求中标单位优化节</w:t>
      </w:r>
      <w:r>
        <w:rPr>
          <w:rFonts w:ascii="宋体" w:hAnsi="宋体" w:cs="宋体"/>
          <w:color w:val="000000"/>
          <w:spacing w:val="4"/>
          <w:sz w:val="24"/>
          <w:szCs w:val="24"/>
          <w:highlight w:val="none"/>
        </w:rPr>
        <w:t xml:space="preserve">能措施，</w:t>
      </w:r>
      <w:r>
        <w:rPr>
          <w:rFonts w:ascii="宋体" w:hAnsi="宋体" w:cs="宋体"/>
          <w:color w:val="000000"/>
          <w:spacing w:val="-2"/>
          <w:sz w:val="24"/>
          <w:szCs w:val="24"/>
          <w:highlight w:val="none"/>
        </w:rPr>
        <w:t xml:space="preserve">加大节能改造投入。</w:t>
      </w:r>
      <w:r>
        <w:rPr>
          <w:rFonts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9</w:t>
      </w:r>
      <w:r>
        <w:rPr>
          <w:rFonts w:hint="eastAsia" w:ascii="宋体" w:hAnsi="宋体"/>
          <w:color w:val="000000"/>
          <w:sz w:val="24"/>
          <w:szCs w:val="24"/>
          <w:highlight w:val="none"/>
        </w:rPr>
        <w:t xml:space="preserve">.3服务监督</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（1）合同期内随时对中标方工作质量及服务态度进行监督检查。</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（2）中标方项目人员未遵守行政中心规章制度或服务态度不好的，</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有权提出批评或要求更换人员。</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（3）中标方项目人员进入行政中心工作，须遵守</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相关规章制度，否则</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有权拒绝中标方项目人员进入，给</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造成的所有损失由中标方负责。</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9</w:t>
      </w:r>
      <w:r>
        <w:rPr>
          <w:rFonts w:hint="eastAsia" w:ascii="宋体" w:hAnsi="宋体"/>
          <w:color w:val="000000"/>
          <w:sz w:val="24"/>
          <w:szCs w:val="24"/>
          <w:highlight w:val="none"/>
        </w:rPr>
        <w:t xml:space="preserve">.4投标报价</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（1）投标人所报的能源托管服务费为包干制，包括投标人在托管期内应缴纳的能源使用费用（电费、水费）、节能改造工程费用、能源管理服务费用及其他完成本项目服务要求所需的一切费用等。</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节能改造工程费用：投标人的工程投资额为完成采购文件及合同条款所规定的工作内容的各项费用，应包括人工、设备、管理、维护、安装、调试、税金、包干预备费、政策性文件规定及采购文件、合同包含的所有风险（包括施工期间物价上涨、政策性调整等因素）、责任等各项应有的费用。</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9</w:t>
      </w:r>
      <w:r>
        <w:rPr>
          <w:rFonts w:hint="eastAsia" w:ascii="宋体" w:hAnsi="宋体"/>
          <w:color w:val="000000"/>
          <w:sz w:val="24"/>
          <w:szCs w:val="24"/>
          <w:highlight w:val="none"/>
        </w:rPr>
        <w:t xml:space="preserve">.5考核标准</w:t>
      </w:r>
      <w:r>
        <w:rPr>
          <w:rFonts w:hint="eastAsia" w:ascii="宋体" w:hAnsi="宋体"/>
          <w:color w:val="000000"/>
          <w:sz w:val="24"/>
          <w:szCs w:val="24"/>
          <w:highlight w:val="none"/>
        </w:rPr>
      </w:r>
      <w:r/>
    </w:p>
    <w:p>
      <w:pPr>
        <w:pStyle w:val="985"/>
        <w:ind w:firstLine="480"/>
        <w:spacing w:line="440" w:lineRule="exact"/>
        <w:rPr>
          <w:rFonts w:ascii="宋体" w:hAnsi="宋体"/>
          <w:color w:val="000000"/>
          <w:sz w:val="24"/>
          <w:szCs w:val="24"/>
          <w:highlight w:val="none"/>
        </w:rPr>
      </w:pPr>
      <w:r>
        <w:rPr>
          <w:rFonts w:hint="eastAsia" w:ascii="宋体" w:hAnsi="宋体"/>
          <w:bCs w:val="0"/>
          <w:color w:val="000000"/>
          <w:sz w:val="24"/>
          <w:szCs w:val="24"/>
          <w:highlight w:val="none"/>
        </w:rPr>
        <w:t xml:space="preserve">项目方案内容改造完成后，按自然年度每年考核一次，每年节能率不低于1</w:t>
      </w:r>
      <w:r>
        <w:rPr>
          <w:rFonts w:hint="eastAsia" w:ascii="宋体" w:hAnsi="宋体"/>
          <w:bCs w:val="0"/>
          <w:color w:val="000000"/>
          <w:sz w:val="24"/>
          <w:szCs w:val="24"/>
          <w:highlight w:val="none"/>
          <w:lang w:val="en-US" w:eastAsia="zh-CN"/>
        </w:rPr>
        <w:t xml:space="preserve">2</w:t>
      </w:r>
      <w:r>
        <w:rPr>
          <w:rFonts w:hint="eastAsia" w:ascii="宋体" w:hAnsi="宋体"/>
          <w:bCs w:val="0"/>
          <w:color w:val="000000"/>
          <w:sz w:val="24"/>
          <w:szCs w:val="24"/>
          <w:highlight w:val="none"/>
        </w:rPr>
        <w:t xml:space="preserve">%，节能率每低0.1%，甲方在乙方当年预留的考核费用中扣除0.1万元，托管期首年和末年的月份合并为一期纳入最后一个年度考核（如合同续签，末年解释为续签协议托管期的最后一年，乙方妥善保留考核所必需的原始材料），预留的考核费用在本期考核结束后的一个月内结清。节能率以单位面积消耗的综合能耗降低幅度为标准，综合能耗的计算按《综合能耗计算通则》（GB/T2589-2008）执行。</w:t>
      </w:r>
      <w:r>
        <w:rPr>
          <w:rFonts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9</w:t>
      </w:r>
      <w:r>
        <w:rPr>
          <w:rFonts w:hint="eastAsia" w:ascii="宋体" w:hAnsi="宋体"/>
          <w:color w:val="000000"/>
          <w:sz w:val="24"/>
          <w:szCs w:val="24"/>
          <w:highlight w:val="none"/>
        </w:rPr>
        <w:t xml:space="preserve">.6注意事项</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（1）中标人不得将项目整体转包给任何单位和个人。否则，采购单位有权即刻终止合同，并要求中标人赔偿相应损失。</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（2）投标人使用的标准必须是国际公认或国家、或地方政府颁布的同等或更高的标准。</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（3）当招标文件中出现前后表述不一致的时候，以招标文件中对投标人责任规定较严格的为准。</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（4）中标人在合同期限内仅拥有中标人所投资的所有设备的产权，原</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能源设备所有权均归</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所有。</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（5）在合同期限内，由</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投资的用能系统及设备的日常运营管理、维护保养及产生的费用是由</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承担，由中标人投资改造的设备的日常操作、维护、保养工作及故障维修费用由中标人承担。</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w:t>
      </w:r>
      <w:bookmarkStart w:id="204" w:name="_Hlk177201946"/>
      <w:r>
        <w:rPr>
          <w:rFonts w:hint="eastAsia" w:ascii="宋体" w:hAnsi="宋体"/>
          <w:color w:val="000000"/>
          <w:sz w:val="24"/>
          <w:szCs w:val="24"/>
          <w:highlight w:val="none"/>
        </w:rPr>
        <w:t xml:space="preserve">合同期满后，中标人所投项目财产的所有权将无偿移交给</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，中标人应保证项目财产正常运行，项目财产的所有权移交时，应同时移交本项目继续运行所必需的资料。如该项目财产的继续使用需要中标人的相关技术和／或相关知识产权的授权，中标人应当无偿向</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提供仅适用于本项目的该等授权。如该项目财产的继续使用涉及第三方的服务，该服务的费用由</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承担。</w:t>
      </w:r>
      <w:bookmarkEnd w:id="204"/>
      <w:r>
        <w:rPr>
          <w:rFonts w:hint="eastAsia" w:ascii="宋体" w:hAnsi="宋体"/>
          <w:color w:val="000000"/>
          <w:sz w:val="24"/>
          <w:szCs w:val="24"/>
          <w:highlight w:val="none"/>
        </w:rPr>
      </w:r>
      <w:r/>
    </w:p>
    <w:p>
      <w:pPr>
        <w:pStyle w:val="985"/>
        <w:spacing w:line="440" w:lineRule="exact"/>
        <w:rPr>
          <w:rFonts w:hint="eastAsia" w:ascii="宋体" w:hAnsi="宋体"/>
          <w:b/>
          <w:bCs/>
          <w:color w:val="000000"/>
          <w:sz w:val="24"/>
          <w:szCs w:val="24"/>
          <w:highlight w:val="none"/>
        </w:rPr>
        <w:outlineLvl w:val="1"/>
      </w:pPr>
      <w:r>
        <w:rPr>
          <w:rFonts w:hint="eastAsia" w:ascii="宋体" w:hAnsi="宋体"/>
          <w:b/>
          <w:bCs/>
          <w:color w:val="000000"/>
          <w:sz w:val="24"/>
          <w:szCs w:val="24"/>
          <w:highlight w:val="none"/>
        </w:rPr>
        <w:t xml:space="preserve">十、违约责任及风险条款</w:t>
      </w:r>
      <w:r>
        <w:rPr>
          <w:rFonts w:hint="eastAsia" w:ascii="宋体" w:hAnsi="宋体"/>
          <w:b/>
          <w:bCs/>
          <w:color w:val="000000"/>
          <w:sz w:val="24"/>
          <w:szCs w:val="24"/>
          <w:highlight w:val="none"/>
        </w:rPr>
      </w:r>
      <w:r/>
    </w:p>
    <w:p>
      <w:pPr>
        <w:pStyle w:val="985"/>
        <w:ind w:firstLine="480"/>
        <w:spacing w:line="440" w:lineRule="exact"/>
        <w:rPr>
          <w:rFonts w:hint="eastAsia" w:ascii="Times New Roman" w:hAnsi="宋体" w:eastAsia="宋体" w:cs="Times New Roman"/>
          <w:bCs/>
          <w:color w:val="000000"/>
          <w:sz w:val="24"/>
          <w:szCs w:val="24"/>
          <w:highlight w:val="none"/>
        </w:rPr>
      </w:pPr>
      <w:r>
        <w:rPr>
          <w:rFonts w:hint="eastAsia" w:ascii="Times New Roman" w:hAnsi="宋体" w:eastAsia="宋体" w:cs="Times New Roman"/>
          <w:bCs/>
          <w:color w:val="000000"/>
          <w:sz w:val="24"/>
          <w:szCs w:val="24"/>
          <w:highlight w:val="none"/>
          <w:lang w:val="en-US" w:eastAsia="zh-CN"/>
        </w:rPr>
        <w:t xml:space="preserve">10</w:t>
      </w:r>
      <w:r>
        <w:rPr>
          <w:rFonts w:hint="eastAsia" w:ascii="Times New Roman" w:hAnsi="宋体" w:eastAsia="宋体" w:cs="Times New Roman"/>
          <w:bCs/>
          <w:color w:val="000000"/>
          <w:sz w:val="24"/>
          <w:szCs w:val="24"/>
          <w:highlight w:val="none"/>
        </w:rPr>
        <w:t xml:space="preserve">.1节能率违约责任</w:t>
      </w:r>
      <w:r>
        <w:rPr>
          <w:rFonts w:hint="eastAsia" w:ascii="Times New Roman" w:hAnsi="宋体" w:eastAsia="宋体" w:cs="Times New Roman"/>
          <w:bCs/>
          <w:color w:val="000000"/>
          <w:sz w:val="24"/>
          <w:szCs w:val="24"/>
          <w:highlight w:val="none"/>
        </w:rPr>
      </w:r>
      <w:r/>
    </w:p>
    <w:p>
      <w:pPr>
        <w:pStyle w:val="985"/>
        <w:ind w:firstLine="480"/>
        <w:spacing w:line="440" w:lineRule="exact"/>
        <w:rPr>
          <w:rFonts w:hint="eastAsia" w:ascii="Times New Roman" w:hAnsi="宋体" w:eastAsia="宋体" w:cs="Times New Roman"/>
          <w:bCs/>
          <w:color w:val="000000"/>
          <w:sz w:val="24"/>
          <w:szCs w:val="24"/>
          <w:highlight w:val="none"/>
        </w:rPr>
      </w:pPr>
      <w:r>
        <w:rPr>
          <w:rFonts w:hint="eastAsia" w:ascii="Times New Roman" w:hAnsi="宋体" w:eastAsia="宋体" w:cs="Times New Roman"/>
          <w:bCs/>
          <w:color w:val="000000"/>
          <w:sz w:val="24"/>
          <w:szCs w:val="24"/>
          <w:highlight w:val="none"/>
        </w:rPr>
        <w:t xml:space="preserve">项目方案内容改造完成后，按自然年度每年考核一次，每年节能率不低于1</w:t>
      </w:r>
      <w:r>
        <w:rPr>
          <w:rFonts w:hint="eastAsia" w:ascii="Times New Roman" w:hAnsi="宋体" w:eastAsia="宋体" w:cs="Times New Roman"/>
          <w:bCs/>
          <w:color w:val="000000"/>
          <w:sz w:val="24"/>
          <w:szCs w:val="24"/>
          <w:highlight w:val="none"/>
          <w:lang w:val="en-US" w:eastAsia="zh-CN"/>
        </w:rPr>
        <w:t xml:space="preserve">2</w:t>
      </w:r>
      <w:r>
        <w:rPr>
          <w:rFonts w:hint="eastAsia" w:ascii="Times New Roman" w:hAnsi="宋体" w:eastAsia="宋体" w:cs="Times New Roman"/>
          <w:bCs/>
          <w:color w:val="000000"/>
          <w:sz w:val="24"/>
          <w:szCs w:val="24"/>
          <w:highlight w:val="none"/>
        </w:rPr>
        <w:t xml:space="preserve">%，节能率每低0.1%，甲方在乙方当年预留的考核费用中扣除0.1万元，托管期首年和末年的月份合并为一期纳入最后一个年度考核（如合同续签，末年解释为续签协议托管期的最后一年，乙方妥善保留考核所必需的原始材料），预留的考核费用在本期考核结束后的一个月内结清。节能率以单位面积消耗的综合能耗降低幅度为标准，综合能耗的计算按《综合能耗计算通则》（GB/T2589-2008）执行。托管期内能独立计量的新增及扩建等用能从综合能耗中扣除，不计入节能降幅指标。</w:t>
      </w:r>
      <w:r>
        <w:rPr>
          <w:rFonts w:hint="eastAsia" w:ascii="Times New Roman" w:hAnsi="宋体" w:eastAsia="宋体" w:cs="Times New Roman"/>
          <w:bCs/>
          <w:color w:val="000000"/>
          <w:sz w:val="24"/>
          <w:szCs w:val="24"/>
          <w:highlight w:val="none"/>
        </w:rPr>
      </w:r>
      <w:r/>
    </w:p>
    <w:p>
      <w:pPr>
        <w:pStyle w:val="985"/>
        <w:ind w:firstLine="480"/>
        <w:spacing w:line="440" w:lineRule="exact"/>
        <w:rPr>
          <w:rFonts w:hint="eastAsia" w:ascii="Times New Roman" w:hAnsi="宋体" w:eastAsia="宋体" w:cs="Times New Roman"/>
          <w:bCs/>
          <w:color w:val="000000"/>
          <w:sz w:val="24"/>
          <w:szCs w:val="24"/>
          <w:highlight w:val="none"/>
        </w:rPr>
      </w:pPr>
      <w:r>
        <w:rPr>
          <w:rFonts w:hint="eastAsia" w:ascii="Times New Roman" w:hAnsi="宋体" w:eastAsia="宋体" w:cs="Times New Roman"/>
          <w:bCs/>
          <w:color w:val="000000"/>
          <w:sz w:val="24"/>
          <w:szCs w:val="24"/>
          <w:highlight w:val="none"/>
          <w:lang w:val="en-US" w:eastAsia="zh-CN"/>
        </w:rPr>
        <w:t xml:space="preserve">10</w:t>
      </w:r>
      <w:r>
        <w:rPr>
          <w:rFonts w:hint="eastAsia" w:ascii="Times New Roman" w:hAnsi="宋体" w:eastAsia="宋体" w:cs="Times New Roman"/>
          <w:bCs/>
          <w:color w:val="000000"/>
          <w:sz w:val="24"/>
          <w:szCs w:val="24"/>
          <w:highlight w:val="none"/>
        </w:rPr>
        <w:t xml:space="preserve">.2风险条款</w:t>
      </w:r>
      <w:r>
        <w:rPr>
          <w:rFonts w:hint="eastAsia" w:ascii="Times New Roman" w:hAnsi="宋体" w:eastAsia="宋体" w:cs="Times New Roman"/>
          <w:bCs/>
          <w:color w:val="000000"/>
          <w:sz w:val="24"/>
          <w:szCs w:val="24"/>
          <w:highlight w:val="none"/>
        </w:rPr>
      </w:r>
      <w:r/>
    </w:p>
    <w:p>
      <w:pPr>
        <w:pStyle w:val="985"/>
        <w:ind w:firstLine="480"/>
        <w:spacing w:line="440" w:lineRule="exact"/>
        <w:rPr>
          <w:rFonts w:hint="eastAsia" w:ascii="Times New Roman" w:hAnsi="宋体" w:eastAsia="宋体" w:cs="Times New Roman"/>
          <w:bCs/>
          <w:color w:val="000000"/>
          <w:sz w:val="24"/>
          <w:szCs w:val="24"/>
          <w:highlight w:val="none"/>
        </w:rPr>
      </w:pPr>
      <w:r>
        <w:rPr>
          <w:rFonts w:hint="eastAsia" w:ascii="Times New Roman" w:hAnsi="宋体" w:eastAsia="宋体" w:cs="Times New Roman"/>
          <w:bCs/>
          <w:color w:val="000000"/>
          <w:sz w:val="24"/>
          <w:szCs w:val="24"/>
          <w:highlight w:val="none"/>
        </w:rPr>
        <w:t xml:space="preserve">若中标人未按照规定的时间和要求完成项目的建设，</w:t>
      </w:r>
      <w:r>
        <w:rPr>
          <w:rFonts w:hint="eastAsia" w:ascii="Times New Roman" w:hAnsi="宋体" w:eastAsia="宋体" w:cs="Times New Roman"/>
          <w:bCs/>
          <w:color w:val="000000"/>
          <w:sz w:val="24"/>
          <w:szCs w:val="24"/>
          <w:highlight w:val="none"/>
          <w:lang w:eastAsia="zh-CN"/>
        </w:rPr>
        <w:t xml:space="preserve">招标人</w:t>
      </w:r>
      <w:r>
        <w:rPr>
          <w:rFonts w:hint="eastAsia" w:ascii="Times New Roman" w:hAnsi="宋体" w:eastAsia="宋体" w:cs="Times New Roman"/>
          <w:bCs/>
          <w:color w:val="000000"/>
          <w:sz w:val="24"/>
          <w:szCs w:val="24"/>
          <w:highlight w:val="none"/>
        </w:rPr>
        <w:t xml:space="preserve">有权要求更换项目负责人，由此带来的损失，由中标人承担；项目建设每延期一日应当向</w:t>
      </w:r>
      <w:r>
        <w:rPr>
          <w:rFonts w:hint="eastAsia" w:ascii="Times New Roman" w:hAnsi="宋体" w:eastAsia="宋体" w:cs="Times New Roman"/>
          <w:bCs/>
          <w:color w:val="000000"/>
          <w:sz w:val="24"/>
          <w:szCs w:val="24"/>
          <w:highlight w:val="none"/>
          <w:lang w:eastAsia="zh-CN"/>
        </w:rPr>
        <w:t xml:space="preserve">招标人</w:t>
      </w:r>
      <w:r>
        <w:rPr>
          <w:rFonts w:hint="eastAsia" w:ascii="Times New Roman" w:hAnsi="宋体" w:eastAsia="宋体" w:cs="Times New Roman"/>
          <w:bCs/>
          <w:color w:val="000000"/>
          <w:sz w:val="24"/>
          <w:szCs w:val="24"/>
          <w:highlight w:val="none"/>
        </w:rPr>
        <w:t xml:space="preserve">支付违约金1000元。但此等延误是由于不可抗力或者是</w:t>
      </w:r>
      <w:r>
        <w:rPr>
          <w:rFonts w:hint="eastAsia" w:ascii="Times New Roman" w:hAnsi="宋体" w:eastAsia="宋体" w:cs="Times New Roman"/>
          <w:bCs/>
          <w:color w:val="000000"/>
          <w:sz w:val="24"/>
          <w:szCs w:val="24"/>
          <w:highlight w:val="none"/>
          <w:lang w:eastAsia="zh-CN"/>
        </w:rPr>
        <w:t xml:space="preserve">招标人</w:t>
      </w:r>
      <w:r>
        <w:rPr>
          <w:rFonts w:hint="eastAsia" w:ascii="Times New Roman" w:hAnsi="宋体" w:eastAsia="宋体" w:cs="Times New Roman"/>
          <w:bCs/>
          <w:color w:val="000000"/>
          <w:sz w:val="24"/>
          <w:szCs w:val="24"/>
          <w:highlight w:val="none"/>
        </w:rPr>
        <w:t xml:space="preserve">的过错造成的除外。</w:t>
      </w:r>
      <w:r>
        <w:rPr>
          <w:rFonts w:hint="eastAsia" w:ascii="Times New Roman" w:hAnsi="宋体" w:eastAsia="宋体" w:cs="Times New Roman"/>
          <w:bCs/>
          <w:color w:val="000000"/>
          <w:sz w:val="24"/>
          <w:szCs w:val="24"/>
          <w:highlight w:val="none"/>
        </w:rPr>
      </w:r>
      <w:r/>
    </w:p>
    <w:p>
      <w:pPr>
        <w:pStyle w:val="985"/>
        <w:spacing w:line="440" w:lineRule="exact"/>
        <w:rPr>
          <w:rFonts w:hint="eastAsia" w:ascii="宋体" w:hAnsi="宋体"/>
          <w:b/>
          <w:bCs/>
          <w:color w:val="000000"/>
          <w:sz w:val="24"/>
          <w:szCs w:val="24"/>
          <w:highlight w:val="none"/>
        </w:rPr>
        <w:outlineLvl w:val="1"/>
      </w:pPr>
      <w:r>
        <w:rPr>
          <w:rFonts w:hint="eastAsia" w:ascii="宋体" w:hAnsi="宋体"/>
          <w:b/>
          <w:bCs/>
          <w:color w:val="000000"/>
          <w:sz w:val="24"/>
          <w:szCs w:val="24"/>
          <w:highlight w:val="none"/>
        </w:rPr>
        <w:t xml:space="preserve">十一、基本服务要求</w:t>
      </w:r>
      <w:r>
        <w:rPr>
          <w:rFonts w:hint="eastAsia" w:ascii="宋体" w:hAnsi="宋体"/>
          <w:b/>
          <w:bCs/>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1、所供的项目服务必须遵守国家颁布标准和有关规定。</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2、中标人须按</w:t>
      </w:r>
      <w:r>
        <w:rPr>
          <w:rFonts w:hint="eastAsia" w:ascii="宋体" w:hAnsi="宋体" w:eastAsia="宋体" w:cs="Times New Roman"/>
          <w:color w:val="000000"/>
          <w:sz w:val="24"/>
          <w:szCs w:val="24"/>
          <w:highlight w:val="none"/>
          <w:lang w:eastAsia="zh-CN"/>
        </w:rPr>
        <w:t xml:space="preserve">招标人</w:t>
      </w:r>
      <w:r>
        <w:rPr>
          <w:rFonts w:hint="eastAsia" w:ascii="宋体" w:hAnsi="宋体" w:eastAsia="宋体" w:cs="Times New Roman"/>
          <w:color w:val="000000"/>
          <w:sz w:val="24"/>
          <w:szCs w:val="24"/>
          <w:highlight w:val="none"/>
        </w:rPr>
        <w:t xml:space="preserve">要求将所有工作内容在规定的时间内实施完毕。</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3、中标人采购的设备和材料必须符合国家规范,确保安全、环保及质量要求。</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4、提交项目验收所需的全部技术资料、成果数据和成果资料。</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5、对上级主管部门审批中发现的问题及时补充修改。</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rPr>
          <w:rFonts w:hint="eastAsia" w:ascii="宋体" w:hAnsi="宋体" w:eastAsia="宋体" w:cs="Times New Roman"/>
          <w:color w:val="000000"/>
          <w:sz w:val="24"/>
          <w:szCs w:val="24"/>
          <w:highlight w:val="none"/>
          <w:lang w:eastAsia="zh-CN"/>
        </w:rPr>
        <w:t xml:space="preserve">招标人</w:t>
      </w:r>
      <w:r>
        <w:rPr>
          <w:rFonts w:hint="eastAsia" w:ascii="宋体" w:hAnsi="宋体" w:eastAsia="宋体" w:cs="Times New Roman"/>
          <w:color w:val="000000"/>
          <w:sz w:val="24"/>
          <w:szCs w:val="24"/>
          <w:highlight w:val="none"/>
        </w:rPr>
        <w:t xml:space="preserve">向</w:t>
      </w:r>
      <w:r>
        <w:rPr>
          <w:rFonts w:hint="eastAsia" w:ascii="宋体" w:hAnsi="宋体" w:eastAsia="宋体" w:cs="Times New Roman"/>
          <w:color w:val="000000"/>
          <w:sz w:val="24"/>
          <w:szCs w:val="24"/>
          <w:highlight w:val="none"/>
          <w:lang w:eastAsia="zh-CN"/>
        </w:rPr>
        <w:t xml:space="preserve">中标</w:t>
      </w:r>
      <w:r>
        <w:rPr>
          <w:rFonts w:hint="eastAsia" w:ascii="宋体" w:hAnsi="宋体" w:eastAsia="宋体" w:cs="Times New Roman"/>
          <w:color w:val="000000"/>
          <w:sz w:val="24"/>
          <w:szCs w:val="24"/>
          <w:highlight w:val="none"/>
        </w:rPr>
        <w:t xml:space="preserve">单位提供的全部资料及</w:t>
      </w:r>
      <w:r>
        <w:rPr>
          <w:rFonts w:hint="eastAsia" w:ascii="宋体" w:hAnsi="宋体" w:eastAsia="宋体" w:cs="Times New Roman"/>
          <w:color w:val="000000"/>
          <w:sz w:val="24"/>
          <w:szCs w:val="24"/>
          <w:highlight w:val="none"/>
          <w:lang w:eastAsia="zh-CN"/>
        </w:rPr>
        <w:t xml:space="preserve">中标</w:t>
      </w:r>
      <w:r>
        <w:rPr>
          <w:rFonts w:hint="eastAsia" w:ascii="宋体" w:hAnsi="宋体" w:eastAsia="宋体" w:cs="Times New Roman"/>
          <w:color w:val="000000"/>
          <w:sz w:val="24"/>
          <w:szCs w:val="24"/>
          <w:highlight w:val="none"/>
        </w:rPr>
        <w:t xml:space="preserve">单位生产的全部成果资料(包括中间资料),其版权归</w:t>
      </w:r>
      <w:r>
        <w:rPr>
          <w:rFonts w:hint="eastAsia" w:ascii="宋体" w:hAnsi="宋体" w:eastAsia="宋体" w:cs="Times New Roman"/>
          <w:color w:val="000000"/>
          <w:sz w:val="24"/>
          <w:szCs w:val="24"/>
          <w:highlight w:val="none"/>
          <w:lang w:eastAsia="zh-CN"/>
        </w:rPr>
        <w:t xml:space="preserve">招标人</w:t>
      </w:r>
      <w:r>
        <w:rPr>
          <w:rFonts w:hint="eastAsia" w:ascii="宋体" w:hAnsi="宋体" w:eastAsia="宋体" w:cs="Times New Roman"/>
          <w:color w:val="000000"/>
          <w:sz w:val="24"/>
          <w:szCs w:val="24"/>
          <w:highlight w:val="none"/>
        </w:rPr>
        <w:t xml:space="preserve">所有,</w:t>
      </w:r>
      <w:r>
        <w:rPr>
          <w:rFonts w:hint="eastAsia" w:ascii="宋体" w:hAnsi="宋体" w:eastAsia="宋体" w:cs="Times New Roman"/>
          <w:color w:val="000000"/>
          <w:sz w:val="24"/>
          <w:szCs w:val="24"/>
          <w:highlight w:val="none"/>
          <w:lang w:eastAsia="zh-CN"/>
        </w:rPr>
        <w:t xml:space="preserve">中标</w:t>
      </w:r>
      <w:r>
        <w:rPr>
          <w:rFonts w:hint="eastAsia" w:ascii="宋体" w:hAnsi="宋体" w:eastAsia="宋体" w:cs="Times New Roman"/>
          <w:color w:val="000000"/>
          <w:sz w:val="24"/>
          <w:szCs w:val="24"/>
          <w:highlight w:val="none"/>
        </w:rPr>
        <w:t xml:space="preserve">单位不得自留使用或以任何方式转让或提供给第三方使用,否则,谈判文件保留追究其法律责任的权利。</w:t>
      </w:r>
      <w:r>
        <w:rPr>
          <w:rFonts w:hint="eastAsia" w:ascii="宋体" w:hAnsi="宋体" w:eastAsia="宋体" w:cs="Times New Roman"/>
          <w:color w:val="000000"/>
          <w:sz w:val="24"/>
          <w:szCs w:val="24"/>
          <w:highlight w:val="none"/>
        </w:rPr>
      </w:r>
      <w:r/>
    </w:p>
    <w:p>
      <w:pPr>
        <w:pStyle w:val="98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7、中标人在履行合同过程中,一切事故的责任由</w:t>
      </w:r>
      <w:r>
        <w:rPr>
          <w:rFonts w:hint="eastAsia" w:ascii="宋体" w:hAnsi="宋体" w:eastAsia="宋体" w:cs="Times New Roman"/>
          <w:color w:val="000000"/>
          <w:sz w:val="24"/>
          <w:szCs w:val="24"/>
          <w:highlight w:val="none"/>
          <w:lang w:eastAsia="zh-CN"/>
        </w:rPr>
        <w:t xml:space="preserve">中标</w:t>
      </w:r>
      <w:r>
        <w:rPr>
          <w:rFonts w:hint="eastAsia" w:ascii="宋体" w:hAnsi="宋体" w:eastAsia="宋体" w:cs="Times New Roman"/>
          <w:color w:val="000000"/>
          <w:sz w:val="24"/>
          <w:szCs w:val="24"/>
          <w:highlight w:val="none"/>
        </w:rPr>
        <w:t xml:space="preserve">单位自行承担。</w:t>
      </w:r>
      <w:r>
        <w:rPr>
          <w:rFonts w:hint="eastAsia" w:ascii="宋体" w:hAnsi="宋体" w:eastAsia="宋体" w:cs="Times New Roman"/>
          <w:color w:val="000000"/>
          <w:sz w:val="24"/>
          <w:szCs w:val="24"/>
          <w:highlight w:val="none"/>
        </w:rPr>
      </w:r>
      <w:r/>
    </w:p>
    <w:p>
      <w:pPr>
        <w:pStyle w:val="985"/>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p>
    <w:p>
      <w:pPr>
        <w:pStyle w:val="985"/>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p>
    <w:p>
      <w:pPr>
        <w:pStyle w:val="985"/>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p>
    <w:p>
      <w:pPr>
        <w:pStyle w:val="985"/>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rPr>
          <w:rFonts w:hint="eastAsia" w:ascii="Times New Roman" w:hAnsi="Times New Roman" w:eastAsia="宋体" w:cs="Times New Roman"/>
          <w:color w:val="000000"/>
          <w:sz w:val="24"/>
          <w:szCs w:val="24"/>
          <w:highlight w:val="none"/>
          <w:lang w:eastAsia="zh-CN"/>
        </w:rPr>
      </w:r>
      <w:r/>
    </w:p>
    <w:p>
      <w:pPr>
        <w:pStyle w:val="985"/>
        <w:jc w:val="left"/>
        <w:keepLines w:val="0"/>
        <w:keepNext w:val="0"/>
        <w:pageBreakBefore w:val="0"/>
        <w:spacing w:after="0"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p>
    <w:p>
      <w:pPr>
        <w:pStyle w:val="986"/>
        <w:jc w:val="center"/>
        <w:spacing w:before="145" w:after="145" w:line="440" w:lineRule="exact"/>
        <w:rPr>
          <w:rFonts w:hint="eastAsia"/>
          <w:color w:val="000000"/>
          <w:highlight w:val="none"/>
        </w:rPr>
      </w:pPr>
      <w:r/>
      <w:bookmarkStart w:id="205" w:name="_Toc120614281"/>
      <w:r>
        <w:rPr>
          <w:rFonts w:hint="eastAsia" w:ascii="黑体" w:eastAsia="黑体"/>
          <w:bCs/>
          <w:color w:val="000000"/>
          <w:sz w:val="32"/>
          <w:szCs w:val="32"/>
          <w:highlight w:val="none"/>
        </w:rPr>
        <w:t xml:space="preserve">第五章  </w:t>
      </w:r>
      <w:r>
        <w:rPr>
          <w:rFonts w:hint="eastAsia" w:ascii="黑体" w:eastAsia="黑体"/>
          <w:b/>
          <w:bCs/>
          <w:color w:val="000000"/>
          <w:sz w:val="32"/>
          <w:szCs w:val="32"/>
          <w:highlight w:val="none"/>
        </w:rPr>
        <w:t xml:space="preserve">评标方法与评标标准</w:t>
      </w:r>
      <w:r>
        <w:rPr>
          <w:rFonts w:hint="eastAsia"/>
          <w:color w:val="000000"/>
          <w:highlight w:val="none"/>
        </w:rPr>
      </w:r>
      <w:r/>
    </w:p>
    <w:p>
      <w:pPr>
        <w:pStyle w:val="985"/>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color w:val="000000"/>
          <w:sz w:val="24"/>
          <w:szCs w:val="24"/>
          <w:highlight w:val="none"/>
        </w:rPr>
      </w:r>
      <w:r/>
    </w:p>
    <w:p>
      <w:pPr>
        <w:pStyle w:val="1073"/>
        <w:ind w:firstLine="441"/>
        <w:spacing w:before="0" w:after="0" w:line="440" w:lineRule="exact"/>
        <w:rPr>
          <w:rFonts w:hint="eastAsia" w:ascii="宋体" w:hAnsi="宋体"/>
          <w:b/>
          <w:color w:val="000000"/>
          <w:highlight w:val="none"/>
        </w:rPr>
      </w:pPr>
      <w:r>
        <w:rPr>
          <w:rFonts w:hint="eastAsia" w:ascii="宋体" w:hAnsi="宋体"/>
          <w:b/>
          <w:color w:val="000000"/>
          <w:highlight w:val="none"/>
        </w:rPr>
        <w:t xml:space="preserve">政府政策功能落实</w:t>
      </w:r>
      <w:r>
        <w:rPr>
          <w:rFonts w:hint="eastAsia" w:ascii="宋体" w:hAnsi="宋体"/>
          <w:b/>
          <w:color w:val="000000"/>
          <w:highlight w:val="none"/>
        </w:rPr>
      </w:r>
      <w:r/>
    </w:p>
    <w:p>
      <w:pPr>
        <w:pStyle w:val="98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985"/>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985"/>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需按照采购文件的要求提供相应的《中小企业声明函》。</w:t>
      </w:r>
      <w:r>
        <w:rPr>
          <w:rFonts w:hint="eastAsia" w:ascii="宋体" w:hAnsi="宋体"/>
          <w:color w:val="000000"/>
          <w:sz w:val="24"/>
          <w:szCs w:val="24"/>
          <w:highlight w:val="none"/>
        </w:rPr>
      </w:r>
      <w:r/>
    </w:p>
    <w:p>
      <w:pPr>
        <w:pStyle w:val="985"/>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98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98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98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98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98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98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98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8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8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98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5、如本项目同意联合体参加</w:t>
      </w:r>
      <w:r>
        <w:rPr>
          <w:rFonts w:hint="eastAsia" w:ascii="宋体" w:hAnsi="宋体"/>
          <w:color w:val="000000"/>
          <w:sz w:val="24"/>
          <w:szCs w:val="24"/>
          <w:highlight w:val="none"/>
          <w:lang w:eastAsia="zh-CN"/>
        </w:rPr>
        <w:t xml:space="preserve">投标</w:t>
      </w:r>
      <w:r>
        <w:rPr>
          <w:rFonts w:hint="eastAsia" w:ascii="宋体" w:hAnsi="宋体"/>
          <w:color w:val="000000"/>
          <w:sz w:val="24"/>
          <w:szCs w:val="24"/>
          <w:highlight w:val="none"/>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rPr>
        <w:t xml:space="preserve">6%</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98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p>
    <w:p>
      <w:pPr>
        <w:pStyle w:val="98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、采购本国产品的支持政策</w:t>
      </w:r>
      <w:r>
        <w:rPr>
          <w:rFonts w:hint="eastAsia" w:ascii="宋体" w:hAnsi="宋体"/>
          <w:color w:val="000000"/>
          <w:sz w:val="24"/>
          <w:szCs w:val="24"/>
          <w:highlight w:val="none"/>
        </w:rPr>
      </w:r>
      <w:r/>
    </w:p>
    <w:p>
      <w:pPr>
        <w:pStyle w:val="98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szCs w:val="24"/>
          <w:highlight w:val="none"/>
        </w:rPr>
      </w:r>
      <w:r/>
    </w:p>
    <w:p>
      <w:pPr>
        <w:pStyle w:val="98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szCs w:val="24"/>
          <w:highlight w:val="none"/>
        </w:rPr>
      </w:r>
      <w:r/>
    </w:p>
    <w:p>
      <w:pPr>
        <w:pStyle w:val="98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.3本项目政府采购活动中既有本国产品又有非本国产品参与竞争的，依法对本国产品给予价格评审优惠，对本国产品的报价给予20%的价格扣除，用扣除后的价格参与评审。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4"/>
          <w:highlight w:val="none"/>
        </w:rPr>
      </w:r>
      <w:r/>
    </w:p>
    <w:p>
      <w:pPr>
        <w:pStyle w:val="98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投标文件格式”的“附件</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szCs w:val="24"/>
          <w:highlight w:val="none"/>
        </w:rPr>
      </w:r>
      <w:r/>
    </w:p>
    <w:p>
      <w:pPr>
        <w:pStyle w:val="98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.5投标人需按照招标文件的要求提供《关于符合本国产品标准的声明函》（以下简称《声明函》），如不提供将不享受本国产品价格评审优惠。</w:t>
      </w:r>
      <w:r>
        <w:rPr>
          <w:rFonts w:hint="eastAsia" w:ascii="宋体" w:hAnsi="宋体"/>
          <w:color w:val="000000"/>
          <w:sz w:val="24"/>
          <w:szCs w:val="24"/>
          <w:highlight w:val="none"/>
        </w:rPr>
      </w:r>
      <w:r/>
    </w:p>
    <w:p>
      <w:pPr>
        <w:pStyle w:val="98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98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00"/>
          <w:sz w:val="24"/>
          <w:szCs w:val="24"/>
          <w:highlight w:val="none"/>
        </w:rPr>
      </w:r>
      <w:r/>
    </w:p>
    <w:p>
      <w:pPr>
        <w:pStyle w:val="1073"/>
        <w:ind w:firstLine="482"/>
        <w:spacing w:before="0" w:after="0" w:line="440" w:lineRule="exact"/>
        <w:rPr>
          <w:rFonts w:hint="eastAsia" w:ascii="宋体" w:hAnsi="宋体"/>
          <w:b/>
          <w:color w:val="000000"/>
          <w:highlight w:val="none"/>
        </w:rPr>
      </w:pPr>
      <w:r>
        <w:rPr>
          <w:rFonts w:hint="eastAsia" w:ascii="宋体" w:hAnsi="宋体"/>
          <w:b/>
          <w:color w:val="000000"/>
          <w:highlight w:val="none"/>
        </w:rPr>
        <w:t xml:space="preserve">评标方法与评标标准</w:t>
      </w:r>
      <w:r>
        <w:rPr>
          <w:rFonts w:hint="eastAsia" w:ascii="宋体" w:hAnsi="宋体"/>
          <w:b/>
          <w:color w:val="000000"/>
          <w:highlight w:val="none"/>
        </w:rPr>
      </w:r>
      <w:r/>
    </w:p>
    <w:p>
      <w:pPr>
        <w:pStyle w:val="985"/>
        <w:spacing w:line="440" w:lineRule="exact"/>
        <w:rPr>
          <w:rFonts w:hint="eastAsia"/>
          <w:color w:val="000000"/>
          <w:sz w:val="24"/>
          <w:szCs w:val="24"/>
          <w:highlight w:val="none"/>
        </w:rPr>
      </w:pPr>
      <w:r>
        <w:rPr>
          <w:rFonts w:hint="eastAsia"/>
          <w:color w:val="000000"/>
          <w:sz w:val="24"/>
          <w:szCs w:val="24"/>
          <w:highlight w:val="none"/>
        </w:rPr>
        <w:t xml:space="preserve">一、综合评分各因素所占分值为：</w:t>
      </w:r>
      <w:r>
        <w:rPr>
          <w:rFonts w:hint="eastAsia"/>
          <w:color w:val="000000"/>
          <w:sz w:val="24"/>
          <w:szCs w:val="24"/>
          <w:highlight w:val="none"/>
        </w:rPr>
      </w:r>
      <w:r/>
    </w:p>
    <w:p>
      <w:pPr>
        <w:pStyle w:val="985"/>
        <w:ind w:firstLine="480"/>
        <w:spacing w:line="440" w:lineRule="exact"/>
        <w:rPr>
          <w:rFonts w:hint="eastAsia"/>
          <w:color w:val="000000"/>
          <w:sz w:val="24"/>
          <w:szCs w:val="24"/>
          <w:highlight w:val="none"/>
          <w:lang w:val="zh-CN"/>
        </w:rPr>
      </w:pPr>
      <w:r>
        <w:rPr>
          <w:rFonts w:hint="eastAsia"/>
          <w:color w:val="000000"/>
          <w:sz w:val="24"/>
          <w:szCs w:val="24"/>
          <w:highlight w:val="none"/>
          <w:lang w:val="zh-CN"/>
        </w:rPr>
        <w:t xml:space="preserve">（1）最终报价                      </w:t>
      </w:r>
      <w:r>
        <w:rPr>
          <w:rFonts w:hint="eastAsia"/>
          <w:color w:val="000000"/>
          <w:sz w:val="24"/>
          <w:szCs w:val="24"/>
          <w:highlight w:val="none"/>
          <w:lang w:val="en-US" w:eastAsia="zh-CN"/>
        </w:rPr>
        <w:t xml:space="preserve">1</w:t>
      </w:r>
      <w:r>
        <w:rPr>
          <w:rFonts w:hint="eastAsia"/>
          <w:color w:val="000000"/>
          <w:sz w:val="24"/>
          <w:szCs w:val="24"/>
          <w:highlight w:val="none"/>
        </w:rPr>
        <w:t xml:space="preserve">0</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985"/>
        <w:ind w:firstLine="480"/>
        <w:spacing w:line="440" w:lineRule="exact"/>
        <w:rPr>
          <w:rFonts w:hint="eastAsia"/>
          <w:color w:val="000000"/>
          <w:sz w:val="24"/>
          <w:szCs w:val="24"/>
          <w:highlight w:val="none"/>
          <w:lang w:val="zh-CN" w:eastAsia="zh-CN"/>
        </w:rPr>
      </w:pPr>
      <w:r>
        <w:rPr>
          <w:rFonts w:hint="eastAsia"/>
          <w:color w:val="000000"/>
          <w:sz w:val="24"/>
          <w:szCs w:val="24"/>
          <w:highlight w:val="none"/>
          <w:lang w:val="zh-CN"/>
        </w:rPr>
        <w:t xml:space="preserve">（2）</w:t>
      </w:r>
      <w:r>
        <w:rPr>
          <w:rFonts w:hint="eastAsia"/>
          <w:color w:val="000000"/>
          <w:sz w:val="24"/>
          <w:szCs w:val="24"/>
          <w:highlight w:val="none"/>
          <w:lang w:val="zh-CN" w:eastAsia="zh-CN"/>
        </w:rPr>
        <w:t xml:space="preserve">技术部分  </w:t>
      </w:r>
      <w:r>
        <w:rPr>
          <w:rFonts w:hint="eastAsia"/>
          <w:color w:val="000000"/>
          <w:sz w:val="24"/>
          <w:szCs w:val="24"/>
          <w:highlight w:val="none"/>
          <w:lang w:val="en-US" w:eastAsia="zh-CN"/>
        </w:rPr>
        <w:t xml:space="preserve">                  </w:t>
      </w:r>
      <w:r>
        <w:rPr>
          <w:rFonts w:hint="eastAsia"/>
          <w:color w:val="000000"/>
          <w:sz w:val="24"/>
          <w:szCs w:val="24"/>
          <w:highlight w:val="none"/>
          <w:lang w:val="zh-CN" w:eastAsia="zh-CN"/>
        </w:rPr>
        <w:t xml:space="preserve">  </w:t>
      </w:r>
      <w:r>
        <w:rPr>
          <w:rFonts w:hint="eastAsia"/>
          <w:color w:val="000000"/>
          <w:sz w:val="24"/>
          <w:szCs w:val="24"/>
          <w:highlight w:val="none"/>
          <w:lang w:val="en-US" w:eastAsia="zh-CN"/>
        </w:rPr>
        <w:t xml:space="preserve">67</w:t>
      </w:r>
      <w:r>
        <w:rPr>
          <w:rFonts w:hint="eastAsia"/>
          <w:color w:val="000000"/>
          <w:sz w:val="24"/>
          <w:szCs w:val="24"/>
          <w:highlight w:val="none"/>
          <w:lang w:val="zh-CN" w:eastAsia="zh-CN"/>
        </w:rPr>
        <w:t xml:space="preserve">分</w:t>
      </w:r>
      <w:r>
        <w:rPr>
          <w:rFonts w:hint="eastAsia"/>
          <w:color w:val="000000"/>
          <w:sz w:val="24"/>
          <w:szCs w:val="24"/>
          <w:highlight w:val="none"/>
          <w:lang w:val="zh-CN" w:eastAsia="zh-CN"/>
        </w:rPr>
      </w:r>
      <w:r/>
    </w:p>
    <w:p>
      <w:pPr>
        <w:pStyle w:val="985"/>
        <w:ind w:firstLine="480"/>
        <w:spacing w:line="440" w:lineRule="exact"/>
        <w:rPr>
          <w:rFonts w:eastAsia="宋体"/>
          <w:color w:val="000000"/>
          <w:sz w:val="24"/>
          <w:szCs w:val="24"/>
          <w:highlight w:val="none"/>
          <w:lang w:val="en-US" w:eastAsia="zh-CN"/>
        </w:rPr>
      </w:pPr>
      <w:r>
        <w:rPr>
          <w:rFonts w:hint="eastAsia"/>
          <w:color w:val="000000"/>
          <w:sz w:val="24"/>
          <w:szCs w:val="24"/>
          <w:highlight w:val="none"/>
          <w:lang w:val="en-US" w:eastAsia="zh-CN"/>
        </w:rPr>
        <w:t xml:space="preserve">（3）商务部分                      23分</w:t>
      </w:r>
      <w:r>
        <w:rPr>
          <w:rFonts w:eastAsia="宋体"/>
          <w:color w:val="000000"/>
          <w:sz w:val="24"/>
          <w:szCs w:val="24"/>
          <w:highlight w:val="none"/>
          <w:lang w:val="en-US" w:eastAsia="zh-CN"/>
        </w:rPr>
      </w:r>
      <w:r/>
    </w:p>
    <w:p>
      <w:pPr>
        <w:pStyle w:val="985"/>
        <w:spacing w:line="440" w:lineRule="exact"/>
        <w:rPr>
          <w:rFonts w:hint="eastAsia"/>
          <w:color w:val="000000"/>
          <w:sz w:val="24"/>
          <w:szCs w:val="24"/>
          <w:highlight w:val="none"/>
        </w:rPr>
      </w:pPr>
      <w:r>
        <w:rPr>
          <w:rFonts w:hint="eastAsia"/>
          <w:color w:val="000000"/>
          <w:sz w:val="24"/>
          <w:szCs w:val="24"/>
          <w:highlight w:val="none"/>
        </w:rPr>
        <w:t xml:space="preserve">二、评分办法</w:t>
      </w:r>
      <w:r>
        <w:rPr>
          <w:rFonts w:hint="eastAsia"/>
          <w:color w:val="000000"/>
          <w:sz w:val="24"/>
          <w:szCs w:val="24"/>
          <w:highlight w:val="none"/>
        </w:rPr>
      </w:r>
      <w:r/>
    </w:p>
    <w:p>
      <w:pPr>
        <w:pStyle w:val="985"/>
        <w:ind w:firstLine="480"/>
        <w:spacing w:line="440" w:lineRule="exact"/>
        <w:rPr>
          <w:rFonts w:hint="eastAsia"/>
          <w:color w:val="000000"/>
          <w:sz w:val="24"/>
          <w:szCs w:val="24"/>
          <w:highlight w:val="none"/>
        </w:rPr>
      </w:pPr>
      <w:r>
        <w:rPr>
          <w:rFonts w:hint="eastAsia"/>
          <w:color w:val="000000"/>
          <w:sz w:val="24"/>
          <w:szCs w:val="24"/>
          <w:highlight w:val="none"/>
        </w:rPr>
        <w:t xml:space="preserve">2.1报价评价（</w:t>
      </w:r>
      <w:r>
        <w:rPr>
          <w:rFonts w:hint="eastAsia"/>
          <w:color w:val="000000"/>
          <w:sz w:val="24"/>
          <w:szCs w:val="24"/>
          <w:highlight w:val="none"/>
          <w:lang w:val="en-US" w:eastAsia="zh-CN"/>
        </w:rPr>
        <w:t xml:space="preserve">10</w:t>
      </w:r>
      <w:r>
        <w:rPr>
          <w:rFonts w:hint="eastAsia"/>
          <w:color w:val="000000"/>
          <w:sz w:val="24"/>
          <w:szCs w:val="24"/>
          <w:highlight w:val="none"/>
        </w:rPr>
        <w:t xml:space="preserve">分）</w:t>
      </w:r>
      <w:r>
        <w:rPr>
          <w:rFonts w:hint="eastAsia"/>
          <w:color w:val="000000"/>
          <w:sz w:val="24"/>
          <w:szCs w:val="24"/>
          <w:highlight w:val="none"/>
        </w:rPr>
      </w:r>
      <w:r/>
    </w:p>
    <w:p>
      <w:pPr>
        <w:pStyle w:val="985"/>
        <w:ind w:firstLine="480"/>
        <w:spacing w:line="440" w:lineRule="exact"/>
        <w:rPr>
          <w:rFonts w:hint="eastAsia"/>
          <w:color w:val="000000"/>
          <w:sz w:val="24"/>
          <w:szCs w:val="24"/>
          <w:highlight w:val="none"/>
        </w:rPr>
      </w:pPr>
      <w:r>
        <w:rPr>
          <w:rFonts w:hint="eastAsia"/>
          <w:color w:val="000000"/>
          <w:sz w:val="24"/>
          <w:szCs w:val="24"/>
          <w:highlight w:val="none"/>
        </w:rPr>
        <w:t xml:space="preserve">综合评分法中的价格分采用低价优先法计算，即满足招标文件要求且投标价格最低的投标报价为评标基准价，其价格分为满分</w:t>
      </w:r>
      <w:r>
        <w:rPr>
          <w:rFonts w:hint="eastAsia"/>
          <w:color w:val="000000"/>
          <w:sz w:val="24"/>
          <w:szCs w:val="24"/>
          <w:highlight w:val="none"/>
          <w:lang w:val="en-US" w:eastAsia="zh-CN"/>
        </w:rPr>
        <w:t xml:space="preserve">10</w:t>
      </w:r>
      <w:r>
        <w:rPr>
          <w:rFonts w:hint="eastAsia"/>
          <w:color w:val="000000"/>
          <w:sz w:val="24"/>
          <w:szCs w:val="24"/>
          <w:highlight w:val="none"/>
        </w:rPr>
        <w:t xml:space="preserve">分。其他投标人的价格分统一按照下列公式计算：</w:t>
      </w:r>
      <w:r>
        <w:rPr>
          <w:rFonts w:hint="eastAsia"/>
          <w:color w:val="000000"/>
          <w:sz w:val="24"/>
          <w:szCs w:val="24"/>
          <w:highlight w:val="none"/>
        </w:rPr>
      </w:r>
      <w:r/>
    </w:p>
    <w:p>
      <w:pPr>
        <w:pStyle w:val="985"/>
        <w:ind w:firstLine="480"/>
        <w:spacing w:line="440" w:lineRule="exact"/>
        <w:rPr>
          <w:rFonts w:eastAsia="宋体"/>
          <w:color w:val="000000"/>
          <w:sz w:val="24"/>
          <w:szCs w:val="24"/>
          <w:highlight w:val="none"/>
          <w:lang w:val="en-US" w:eastAsia="zh-CN"/>
        </w:rPr>
      </w:pPr>
      <w:r>
        <w:rPr>
          <w:rFonts w:hint="eastAsia"/>
          <w:color w:val="000000"/>
          <w:sz w:val="24"/>
          <w:szCs w:val="24"/>
          <w:highlight w:val="none"/>
        </w:rPr>
        <w:t xml:space="preserve">投标报价得分=(评标基准价／投标报价)×</w:t>
      </w:r>
      <w:r>
        <w:rPr>
          <w:rFonts w:hint="eastAsia"/>
          <w:color w:val="000000"/>
          <w:sz w:val="24"/>
          <w:szCs w:val="24"/>
          <w:highlight w:val="none"/>
          <w:lang w:val="en-US" w:eastAsia="zh-CN"/>
        </w:rPr>
        <w:t xml:space="preserve">10</w:t>
      </w:r>
      <w:r>
        <w:rPr>
          <w:rFonts w:eastAsia="宋体"/>
          <w:color w:val="000000"/>
          <w:sz w:val="24"/>
          <w:szCs w:val="24"/>
          <w:highlight w:val="none"/>
          <w:lang w:val="en-US" w:eastAsia="zh-CN"/>
        </w:rPr>
      </w:r>
      <w:r/>
    </w:p>
    <w:p>
      <w:pPr>
        <w:pStyle w:val="985"/>
        <w:ind w:firstLine="48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2.2</w:t>
      </w:r>
      <w:r>
        <w:rPr>
          <w:rFonts w:hint="eastAsia"/>
          <w:color w:val="000000"/>
          <w:sz w:val="24"/>
          <w:szCs w:val="24"/>
          <w:highlight w:val="none"/>
          <w:lang w:val="zh-CN"/>
        </w:rPr>
        <w:t xml:space="preserve">技术部分（</w:t>
      </w:r>
      <w:r>
        <w:rPr>
          <w:rFonts w:hint="eastAsia"/>
          <w:color w:val="000000"/>
          <w:sz w:val="24"/>
          <w:szCs w:val="24"/>
          <w:highlight w:val="none"/>
          <w:lang w:val="en-US" w:eastAsia="zh-CN"/>
        </w:rPr>
        <w:t xml:space="preserve">67</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985"/>
        <w:ind w:firstLine="48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2</w:t>
      </w:r>
      <w:r>
        <w:rPr>
          <w:rFonts w:hint="eastAsia"/>
          <w:color w:val="000000"/>
          <w:sz w:val="24"/>
          <w:szCs w:val="24"/>
          <w:highlight w:val="none"/>
          <w:lang w:val="zh-CN"/>
        </w:rPr>
        <w:t xml:space="preserve">.2.1项目实施方案（</w:t>
      </w:r>
      <w:r>
        <w:rPr>
          <w:rFonts w:hint="eastAsia"/>
          <w:color w:val="000000"/>
          <w:sz w:val="24"/>
          <w:szCs w:val="24"/>
          <w:highlight w:val="none"/>
          <w:lang w:val="en-US" w:eastAsia="zh-CN"/>
        </w:rPr>
        <w:t xml:space="preserve">10</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985"/>
        <w:ind w:firstLine="480"/>
        <w:spacing w:line="440" w:lineRule="exact"/>
        <w:rPr>
          <w:rFonts w:hint="eastAsia"/>
          <w:color w:val="000000"/>
          <w:sz w:val="24"/>
          <w:szCs w:val="24"/>
          <w:highlight w:val="none"/>
          <w:lang w:val="zh-CN"/>
        </w:rPr>
      </w:pPr>
      <w:r>
        <w:rPr>
          <w:rFonts w:hint="eastAsia"/>
          <w:color w:val="000000"/>
          <w:sz w:val="24"/>
          <w:szCs w:val="24"/>
          <w:highlight w:val="none"/>
          <w:lang w:val="zh-CN"/>
        </w:rPr>
        <w:t xml:space="preserve">根据投标人对本次项目实施方案综合评定，</w:t>
      </w:r>
      <w:r>
        <w:rPr>
          <w:rFonts w:hint="eastAsia"/>
          <w:color w:val="000000"/>
          <w:sz w:val="24"/>
          <w:szCs w:val="24"/>
          <w:highlight w:val="none"/>
          <w:lang w:val="en-US" w:eastAsia="zh-CN"/>
        </w:rPr>
        <w:t xml:space="preserve">投标人结合采购需求，提供</w:t>
      </w:r>
      <w:r>
        <w:rPr>
          <w:rFonts w:hint="eastAsia"/>
          <w:color w:val="000000"/>
          <w:sz w:val="24"/>
          <w:szCs w:val="24"/>
          <w:highlight w:val="none"/>
          <w:lang w:val="zh-CN"/>
        </w:rPr>
        <w:t xml:space="preserve">包括但不限于进度计划、管理措施、实施质量要求、验收方法和标准等。</w:t>
      </w:r>
      <w:r>
        <w:rPr>
          <w:rFonts w:hint="eastAsia" w:ascii="Times New Roman" w:hAnsi="Times New Roman" w:eastAsia="宋体" w:cs="Times New Roman"/>
          <w:color w:val="000000"/>
          <w:sz w:val="24"/>
          <w:szCs w:val="24"/>
          <w:highlight w:val="none"/>
          <w:lang w:val="zh-CN" w:eastAsia="zh-CN"/>
        </w:rPr>
        <w:t xml:space="preserve">方案内容完整、合理可行、完全满足实际要求的得</w:t>
      </w:r>
      <w:r>
        <w:rPr>
          <w:rFonts w:hint="eastAsia" w:ascii="Times New Roman" w:hAnsi="Times New Roman" w:eastAsia="宋体" w:cs="Times New Roman"/>
          <w:color w:val="000000"/>
          <w:sz w:val="24"/>
          <w:szCs w:val="24"/>
          <w:highlight w:val="none"/>
          <w:lang w:val="en-US" w:eastAsia="zh-CN"/>
        </w:rPr>
        <w:t xml:space="preserve">10</w:t>
      </w:r>
      <w:r>
        <w:rPr>
          <w:rFonts w:hint="eastAsia" w:ascii="Times New Roman" w:hAnsi="Times New Roman" w:eastAsia="宋体" w:cs="Times New Roman"/>
          <w:color w:val="000000"/>
          <w:sz w:val="24"/>
          <w:szCs w:val="24"/>
          <w:highlight w:val="none"/>
          <w:lang w:val="zh-CN" w:eastAsia="zh-CN"/>
        </w:rPr>
        <w:t xml:space="preserve">分；方案内容较完整、较科学合理、基本满足实际要求的得</w:t>
      </w:r>
      <w:r>
        <w:rPr>
          <w:rFonts w:hint="eastAsia" w:ascii="Times New Roman" w:hAnsi="Times New Roman" w:eastAsia="宋体"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lang w:val="zh-CN" w:eastAsia="zh-CN"/>
        </w:rPr>
        <w:t xml:space="preserve">分；方案内容不</w:t>
      </w:r>
      <w:r>
        <w:rPr>
          <w:rFonts w:hint="eastAsia" w:ascii="Times New Roman" w:hAnsi="Times New Roman" w:eastAsia="宋体" w:cs="Times New Roman"/>
          <w:color w:val="000000"/>
          <w:sz w:val="24"/>
          <w:szCs w:val="24"/>
          <w:highlight w:val="none"/>
          <w:lang w:val="en-US" w:eastAsia="zh-CN"/>
        </w:rPr>
        <w:t xml:space="preserve">太</w:t>
      </w:r>
      <w:r>
        <w:rPr>
          <w:rFonts w:hint="eastAsia" w:ascii="Times New Roman" w:hAnsi="Times New Roman" w:eastAsia="宋体" w:cs="Times New Roman"/>
          <w:color w:val="000000"/>
          <w:sz w:val="24"/>
          <w:szCs w:val="24"/>
          <w:highlight w:val="none"/>
          <w:lang w:val="zh-CN" w:eastAsia="zh-CN"/>
        </w:rPr>
        <w:t xml:space="preserve">完整、部分满足实际要求，</w:t>
      </w:r>
      <w:r>
        <w:rPr>
          <w:rFonts w:hint="eastAsia" w:ascii="Times New Roman" w:hAnsi="Times New Roman" w:eastAsia="宋体" w:cs="Times New Roman"/>
          <w:color w:val="000000"/>
          <w:sz w:val="24"/>
          <w:szCs w:val="24"/>
          <w:highlight w:val="none"/>
          <w:lang w:val="en-US" w:eastAsia="zh-CN"/>
        </w:rPr>
        <w:t xml:space="preserve">有一定合理性</w:t>
      </w:r>
      <w:r>
        <w:rPr>
          <w:rFonts w:hint="eastAsia" w:ascii="Times New Roman" w:hAnsi="Times New Roman" w:eastAsia="宋体" w:cs="Times New Roman"/>
          <w:color w:val="000000"/>
          <w:sz w:val="24"/>
          <w:szCs w:val="24"/>
          <w:highlight w:val="none"/>
          <w:lang w:val="zh-CN" w:eastAsia="zh-CN"/>
        </w:rPr>
        <w:t xml:space="preserve">的得</w:t>
      </w: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lang w:val="zh-CN" w:eastAsia="zh-CN"/>
        </w:rPr>
        <w:t xml:space="preserve">分；</w:t>
      </w:r>
      <w:r>
        <w:rPr>
          <w:rFonts w:hint="eastAsia" w:ascii="Times New Roman" w:hAnsi="Times New Roman" w:eastAsia="宋体" w:cs="Times New Roman"/>
          <w:color w:val="000000"/>
          <w:sz w:val="24"/>
          <w:szCs w:val="24"/>
          <w:highlight w:val="none"/>
          <w:lang w:val="en-US" w:eastAsia="zh-CN"/>
        </w:rPr>
        <w:t xml:space="preserve">方案不完整、不合理、不满足实际要求的，得2分；</w:t>
      </w:r>
      <w:r>
        <w:rPr>
          <w:rFonts w:hint="eastAsia" w:ascii="Times New Roman" w:hAnsi="Times New Roman" w:eastAsia="宋体" w:cs="Times New Roman"/>
          <w:color w:val="000000"/>
          <w:sz w:val="24"/>
          <w:szCs w:val="24"/>
          <w:highlight w:val="none"/>
          <w:lang w:val="zh-CN" w:eastAsia="zh-CN"/>
        </w:rPr>
        <w:t xml:space="preserve">未提供方案的不得分。</w:t>
      </w:r>
      <w:r>
        <w:rPr>
          <w:rFonts w:hint="eastAsia"/>
          <w:color w:val="000000"/>
          <w:sz w:val="24"/>
          <w:szCs w:val="24"/>
          <w:highlight w:val="none"/>
          <w:lang w:val="zh-CN"/>
        </w:rPr>
      </w:r>
      <w:r/>
    </w:p>
    <w:p>
      <w:pPr>
        <w:pStyle w:val="985"/>
        <w:ind w:firstLine="480"/>
        <w:spacing w:line="440" w:lineRule="exact"/>
        <w:rPr>
          <w:rFonts w:hint="eastAsia"/>
          <w:color w:val="000000"/>
          <w:sz w:val="24"/>
          <w:szCs w:val="24"/>
          <w:highlight w:val="none"/>
          <w:lang w:val="en-US" w:eastAsia="zh-CN"/>
        </w:rPr>
      </w:pPr>
      <w:r>
        <w:rPr>
          <w:rFonts w:hint="eastAsia"/>
          <w:color w:val="000000"/>
          <w:sz w:val="24"/>
          <w:szCs w:val="24"/>
          <w:highlight w:val="none"/>
          <w:lang w:val="en-US" w:eastAsia="zh-CN"/>
        </w:rPr>
        <w:t xml:space="preserve">2.2.2项目组织方案（6分）</w:t>
      </w:r>
      <w:r>
        <w:rPr>
          <w:rFonts w:hint="eastAsia"/>
          <w:color w:val="000000"/>
          <w:sz w:val="24"/>
          <w:szCs w:val="24"/>
          <w:highlight w:val="none"/>
          <w:lang w:val="en-US" w:eastAsia="zh-CN"/>
        </w:rPr>
      </w:r>
      <w:r/>
    </w:p>
    <w:p>
      <w:pPr>
        <w:pStyle w:val="985"/>
        <w:ind w:firstLine="480"/>
        <w:spacing w:line="440" w:lineRule="exact"/>
        <w:rPr>
          <w:rFonts w:hint="eastAsia"/>
          <w:color w:val="000000"/>
          <w:sz w:val="24"/>
          <w:szCs w:val="24"/>
          <w:highlight w:val="none"/>
          <w:lang w:val="en-US" w:eastAsia="zh-CN"/>
        </w:rPr>
      </w:pPr>
      <w:r>
        <w:rPr>
          <w:rFonts w:hint="eastAsia"/>
          <w:color w:val="000000"/>
          <w:sz w:val="24"/>
          <w:szCs w:val="24"/>
          <w:highlight w:val="none"/>
          <w:lang w:val="en-US" w:eastAsia="zh-CN"/>
        </w:rPr>
        <w:t xml:space="preserve">根据投标人提供的组织方案</w:t>
      </w:r>
      <w:r>
        <w:rPr>
          <w:rFonts w:hint="eastAsia"/>
          <w:color w:val="000000"/>
          <w:sz w:val="24"/>
          <w:szCs w:val="24"/>
          <w:highlight w:val="none"/>
          <w:lang w:val="zh-CN"/>
        </w:rPr>
        <w:t xml:space="preserve">综合评定</w:t>
      </w:r>
      <w:r>
        <w:rPr>
          <w:rFonts w:hint="eastAsia"/>
          <w:color w:val="000000"/>
          <w:sz w:val="24"/>
          <w:szCs w:val="24"/>
          <w:highlight w:val="none"/>
          <w:lang w:val="en-US" w:eastAsia="zh-CN"/>
        </w:rPr>
        <w:t xml:space="preserve">，投标人结合采购需求，提供包括但不限于项目组织架构与职责分工、改造实施阶段的组织管理、运维管理阶段的组织安排、关键保障措施等</w:t>
      </w:r>
      <w:r>
        <w:rPr>
          <w:rFonts w:hint="eastAsia"/>
          <w:color w:val="000000"/>
          <w:sz w:val="24"/>
          <w:szCs w:val="24"/>
          <w:highlight w:val="none"/>
          <w:lang w:val="zh-CN"/>
        </w:rPr>
        <w:t xml:space="preserve">。</w:t>
      </w:r>
      <w:r>
        <w:rPr>
          <w:rFonts w:hint="eastAsia" w:ascii="Times New Roman" w:hAnsi="Times New Roman" w:eastAsia="宋体" w:cs="Times New Roman"/>
          <w:color w:val="000000"/>
          <w:sz w:val="24"/>
          <w:szCs w:val="24"/>
          <w:highlight w:val="none"/>
          <w:lang w:val="zh-CN" w:eastAsia="zh-CN"/>
        </w:rPr>
        <w:t xml:space="preserve">方案内容完整、合理可行、完全满足实际要求的得</w:t>
      </w: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val="zh-CN" w:eastAsia="zh-CN"/>
        </w:rPr>
        <w:t xml:space="preserve">分；方案内容较完整、较科学合理、基本满足实际要求的得</w:t>
      </w: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lang w:val="zh-CN" w:eastAsia="zh-CN"/>
        </w:rPr>
        <w:t xml:space="preserve">分；方案内容不</w:t>
      </w:r>
      <w:r>
        <w:rPr>
          <w:rFonts w:hint="eastAsia" w:ascii="Times New Roman" w:hAnsi="Times New Roman" w:eastAsia="宋体" w:cs="Times New Roman"/>
          <w:color w:val="000000"/>
          <w:sz w:val="24"/>
          <w:szCs w:val="24"/>
          <w:highlight w:val="none"/>
          <w:lang w:val="en-US" w:eastAsia="zh-CN"/>
        </w:rPr>
        <w:t xml:space="preserve">太</w:t>
      </w:r>
      <w:r>
        <w:rPr>
          <w:rFonts w:hint="eastAsia" w:ascii="Times New Roman" w:hAnsi="Times New Roman" w:eastAsia="宋体" w:cs="Times New Roman"/>
          <w:color w:val="000000"/>
          <w:sz w:val="24"/>
          <w:szCs w:val="24"/>
          <w:highlight w:val="none"/>
          <w:lang w:val="zh-CN" w:eastAsia="zh-CN"/>
        </w:rPr>
        <w:t xml:space="preserve">完整、部分满足实际要求，</w:t>
      </w:r>
      <w:r>
        <w:rPr>
          <w:rFonts w:hint="eastAsia" w:ascii="Times New Roman" w:hAnsi="Times New Roman" w:eastAsia="宋体" w:cs="Times New Roman"/>
          <w:color w:val="000000"/>
          <w:sz w:val="24"/>
          <w:szCs w:val="24"/>
          <w:highlight w:val="none"/>
          <w:lang w:val="en-US" w:eastAsia="zh-CN"/>
        </w:rPr>
        <w:t xml:space="preserve">有一定合理性</w:t>
      </w:r>
      <w:r>
        <w:rPr>
          <w:rFonts w:hint="eastAsia" w:ascii="Times New Roman" w:hAnsi="Times New Roman" w:eastAsia="宋体" w:cs="Times New Roman"/>
          <w:color w:val="000000"/>
          <w:sz w:val="24"/>
          <w:szCs w:val="24"/>
          <w:highlight w:val="none"/>
          <w:lang w:val="zh-CN" w:eastAsia="zh-CN"/>
        </w:rPr>
        <w:t xml:space="preserve">的得</w:t>
      </w: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val="zh-CN" w:eastAsia="zh-CN"/>
        </w:rPr>
        <w:t xml:space="preserve">分；</w:t>
      </w:r>
      <w:r>
        <w:rPr>
          <w:rFonts w:hint="eastAsia" w:ascii="Times New Roman" w:hAnsi="Times New Roman" w:eastAsia="宋体" w:cs="Times New Roman"/>
          <w:color w:val="000000"/>
          <w:sz w:val="24"/>
          <w:szCs w:val="24"/>
          <w:highlight w:val="none"/>
          <w:lang w:val="en-US" w:eastAsia="zh-CN"/>
        </w:rPr>
        <w:t xml:space="preserve">方案不完整、不合理、不满足实际要求的，得1分；</w:t>
      </w:r>
      <w:r>
        <w:rPr>
          <w:rFonts w:hint="eastAsia" w:ascii="Times New Roman" w:hAnsi="Times New Roman" w:eastAsia="宋体" w:cs="Times New Roman"/>
          <w:color w:val="000000"/>
          <w:sz w:val="24"/>
          <w:szCs w:val="24"/>
          <w:highlight w:val="none"/>
          <w:lang w:val="zh-CN" w:eastAsia="zh-CN"/>
        </w:rPr>
        <w:t xml:space="preserve">未提供方案的不得分。</w:t>
      </w:r>
      <w:r>
        <w:rPr>
          <w:rFonts w:hint="eastAsia"/>
          <w:color w:val="000000"/>
          <w:sz w:val="24"/>
          <w:szCs w:val="24"/>
          <w:highlight w:val="none"/>
          <w:lang w:val="en-US" w:eastAsia="zh-CN"/>
        </w:rPr>
      </w:r>
      <w:r/>
    </w:p>
    <w:p>
      <w:pPr>
        <w:pStyle w:val="985"/>
        <w:ind w:firstLine="480"/>
        <w:spacing w:line="440" w:lineRule="exact"/>
        <w:rPr>
          <w:color w:val="000000"/>
          <w:sz w:val="24"/>
          <w:szCs w:val="24"/>
          <w:highlight w:val="none"/>
          <w:lang w:val="en-US" w:eastAsia="zh-CN"/>
        </w:rPr>
      </w:pPr>
      <w:r>
        <w:rPr>
          <w:rFonts w:hint="eastAsia"/>
          <w:color w:val="000000"/>
          <w:sz w:val="24"/>
          <w:szCs w:val="24"/>
          <w:highlight w:val="none"/>
          <w:lang w:val="en-US" w:eastAsia="zh-CN"/>
        </w:rPr>
        <w:t xml:space="preserve">2.2.3 项目管理方案（6分）</w:t>
      </w:r>
      <w:r>
        <w:rPr>
          <w:color w:val="000000"/>
          <w:sz w:val="24"/>
          <w:szCs w:val="24"/>
          <w:highlight w:val="none"/>
          <w:lang w:val="en-US" w:eastAsia="zh-CN"/>
        </w:rPr>
      </w:r>
      <w:r/>
    </w:p>
    <w:p>
      <w:pPr>
        <w:pStyle w:val="985"/>
        <w:ind w:firstLine="480"/>
        <w:spacing w:line="440" w:lineRule="exact"/>
        <w:rPr>
          <w:rFonts w:ascii="Times New Roman" w:hAnsi="Times New Roman" w:eastAsia="宋体" w:cs="Times New Roman"/>
          <w:color w:val="000000"/>
          <w:sz w:val="24"/>
          <w:szCs w:val="24"/>
          <w:highlight w:val="none"/>
          <w:lang w:val="en-US" w:eastAsia="zh-CN"/>
        </w:rPr>
      </w:pPr>
      <w:r>
        <w:rPr>
          <w:color w:val="000000"/>
          <w:sz w:val="24"/>
          <w:szCs w:val="24"/>
          <w:highlight w:val="none"/>
          <w:lang w:val="en-US" w:eastAsia="zh-CN"/>
        </w:rPr>
        <w:t xml:space="preserve">根据投标人提供的项目管理方案</w:t>
      </w:r>
      <w:r>
        <w:rPr>
          <w:rFonts w:hint="eastAsia"/>
          <w:color w:val="000000"/>
          <w:sz w:val="24"/>
          <w:szCs w:val="24"/>
          <w:highlight w:val="none"/>
          <w:lang w:val="zh-CN"/>
        </w:rPr>
        <w:t xml:space="preserve">综合评定</w:t>
      </w:r>
      <w:r>
        <w:rPr>
          <w:color w:val="000000"/>
          <w:sz w:val="24"/>
          <w:szCs w:val="24"/>
          <w:highlight w:val="none"/>
          <w:lang w:val="en-US" w:eastAsia="zh-CN"/>
        </w:rPr>
        <w:t xml:space="preserve">，</w:t>
      </w:r>
      <w:r>
        <w:rPr>
          <w:rFonts w:hint="eastAsia"/>
          <w:color w:val="000000"/>
          <w:sz w:val="24"/>
          <w:szCs w:val="24"/>
          <w:highlight w:val="none"/>
          <w:lang w:val="en-US" w:eastAsia="zh-CN"/>
        </w:rPr>
        <w:t xml:space="preserve">投标人结合采购需求，提供</w:t>
      </w:r>
      <w:r>
        <w:rPr>
          <w:color w:val="000000"/>
          <w:sz w:val="24"/>
          <w:szCs w:val="24"/>
          <w:highlight w:val="none"/>
          <w:lang w:val="en-US" w:eastAsia="zh-CN"/>
        </w:rPr>
        <w:t xml:space="preserve">包括但不限于管理质量目标是否明确，是否有空调照明</w:t>
      </w:r>
      <w:r>
        <w:rPr>
          <w:rFonts w:hint="eastAsia"/>
          <w:color w:val="000000"/>
          <w:sz w:val="24"/>
          <w:szCs w:val="24"/>
          <w:highlight w:val="none"/>
          <w:lang w:val="en-US" w:eastAsia="zh-CN"/>
        </w:rPr>
        <w:t xml:space="preserve">、施工组织方案</w:t>
      </w:r>
      <w:r>
        <w:rPr>
          <w:color w:val="000000"/>
          <w:sz w:val="24"/>
          <w:szCs w:val="24"/>
          <w:highlight w:val="none"/>
          <w:lang w:val="en-US" w:eastAsia="zh-CN"/>
        </w:rPr>
        <w:t xml:space="preserve">等重点施工管理方案，设施关键部位管理技术，重点、难点分析及相应的解决办法等。</w:t>
      </w:r>
      <w:r>
        <w:rPr>
          <w:rFonts w:hint="eastAsia" w:ascii="Times New Roman" w:hAnsi="Times New Roman" w:eastAsia="宋体" w:cs="Times New Roman"/>
          <w:color w:val="000000"/>
          <w:sz w:val="24"/>
          <w:szCs w:val="24"/>
          <w:highlight w:val="none"/>
          <w:lang w:val="zh-CN" w:eastAsia="zh-CN"/>
        </w:rPr>
        <w:t xml:space="preserve">方案内容完整、合理可行、完全满足实际要求的得</w:t>
      </w: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val="zh-CN" w:eastAsia="zh-CN"/>
        </w:rPr>
        <w:t xml:space="preserve">分；方案内容较完整、较科学合理、基本满足实际要求的得</w:t>
      </w: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lang w:val="zh-CN" w:eastAsia="zh-CN"/>
        </w:rPr>
        <w:t xml:space="preserve">分；方案内容不</w:t>
      </w:r>
      <w:r>
        <w:rPr>
          <w:rFonts w:hint="eastAsia" w:ascii="Times New Roman" w:hAnsi="Times New Roman" w:eastAsia="宋体" w:cs="Times New Roman"/>
          <w:color w:val="000000"/>
          <w:sz w:val="24"/>
          <w:szCs w:val="24"/>
          <w:highlight w:val="none"/>
          <w:lang w:val="en-US" w:eastAsia="zh-CN"/>
        </w:rPr>
        <w:t xml:space="preserve">太</w:t>
      </w:r>
      <w:r>
        <w:rPr>
          <w:rFonts w:hint="eastAsia" w:ascii="Times New Roman" w:hAnsi="Times New Roman" w:eastAsia="宋体" w:cs="Times New Roman"/>
          <w:color w:val="000000"/>
          <w:sz w:val="24"/>
          <w:szCs w:val="24"/>
          <w:highlight w:val="none"/>
          <w:lang w:val="zh-CN" w:eastAsia="zh-CN"/>
        </w:rPr>
        <w:t xml:space="preserve">完整、部分满足实际要求，</w:t>
      </w:r>
      <w:r>
        <w:rPr>
          <w:rFonts w:hint="eastAsia" w:ascii="Times New Roman" w:hAnsi="Times New Roman" w:eastAsia="宋体" w:cs="Times New Roman"/>
          <w:color w:val="000000"/>
          <w:sz w:val="24"/>
          <w:szCs w:val="24"/>
          <w:highlight w:val="none"/>
          <w:lang w:val="en-US" w:eastAsia="zh-CN"/>
        </w:rPr>
        <w:t xml:space="preserve">有一定合理性</w:t>
      </w:r>
      <w:r>
        <w:rPr>
          <w:rFonts w:hint="eastAsia" w:ascii="Times New Roman" w:hAnsi="Times New Roman" w:eastAsia="宋体" w:cs="Times New Roman"/>
          <w:color w:val="000000"/>
          <w:sz w:val="24"/>
          <w:szCs w:val="24"/>
          <w:highlight w:val="none"/>
          <w:lang w:val="zh-CN" w:eastAsia="zh-CN"/>
        </w:rPr>
        <w:t xml:space="preserve">的得</w:t>
      </w: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val="zh-CN" w:eastAsia="zh-CN"/>
        </w:rPr>
        <w:t xml:space="preserve">分；</w:t>
      </w:r>
      <w:r>
        <w:rPr>
          <w:rFonts w:hint="eastAsia" w:ascii="Times New Roman" w:hAnsi="Times New Roman" w:eastAsia="宋体" w:cs="Times New Roman"/>
          <w:color w:val="000000"/>
          <w:sz w:val="24"/>
          <w:szCs w:val="24"/>
          <w:highlight w:val="none"/>
          <w:lang w:val="en-US" w:eastAsia="zh-CN"/>
        </w:rPr>
        <w:t xml:space="preserve">方案不完整、不合理、不满足实际要求的，得1分；</w:t>
      </w:r>
      <w:r>
        <w:rPr>
          <w:rFonts w:hint="eastAsia" w:ascii="Times New Roman" w:hAnsi="Times New Roman" w:eastAsia="宋体" w:cs="Times New Roman"/>
          <w:color w:val="000000"/>
          <w:sz w:val="24"/>
          <w:szCs w:val="24"/>
          <w:highlight w:val="none"/>
          <w:lang w:val="zh-CN" w:eastAsia="zh-CN"/>
        </w:rPr>
        <w:t xml:space="preserve">未提供方案的不得分。</w:t>
      </w:r>
      <w:r>
        <w:rPr>
          <w:rFonts w:ascii="Times New Roman" w:hAnsi="Times New Roman" w:eastAsia="宋体" w:cs="Times New Roman"/>
          <w:color w:val="000000"/>
          <w:sz w:val="24"/>
          <w:szCs w:val="24"/>
          <w:highlight w:val="none"/>
          <w:lang w:val="en-US" w:eastAsia="zh-CN"/>
        </w:rPr>
      </w:r>
      <w:r/>
    </w:p>
    <w:p>
      <w:pPr>
        <w:pStyle w:val="985"/>
        <w:ind w:firstLine="480"/>
        <w:spacing w:line="440" w:lineRule="exact"/>
        <w:rPr>
          <w:rFonts w:ascii="Times New Roman" w:hAnsi="Times New Roman" w:eastAsia="宋体" w:cs="Times New Roman"/>
          <w:color w:val="000000"/>
          <w:sz w:val="24"/>
          <w:szCs w:val="24"/>
          <w:highlight w:val="none"/>
          <w:lang w:val="zh-CN" w:eastAsia="zh-CN"/>
        </w:rPr>
      </w:pPr>
      <w:r>
        <w:rPr>
          <w:rFonts w:hint="eastAsia" w:ascii="Times New Roman" w:hAnsi="Times New Roman" w:eastAsia="宋体" w:cs="Times New Roman"/>
          <w:color w:val="000000"/>
          <w:sz w:val="24"/>
          <w:szCs w:val="24"/>
          <w:highlight w:val="none"/>
          <w:lang w:val="en-US" w:eastAsia="zh-CN"/>
        </w:rPr>
        <w:t xml:space="preserve">2.2.4</w:t>
      </w:r>
      <w:r>
        <w:rPr>
          <w:rFonts w:hint="eastAsia" w:ascii="Times New Roman" w:hAnsi="Times New Roman" w:eastAsia="宋体" w:cs="Times New Roman"/>
          <w:color w:val="000000"/>
          <w:sz w:val="24"/>
          <w:szCs w:val="24"/>
          <w:highlight w:val="none"/>
          <w:lang w:val="zh-CN" w:eastAsia="zh-CN"/>
        </w:rPr>
        <w:t xml:space="preserve">节能现状诊断分析</w:t>
      </w:r>
      <w:r>
        <w:rPr>
          <w:rFonts w:ascii="Times New Roman" w:hAnsi="Times New Roman" w:eastAsia="宋体" w:cs="Times New Roman"/>
          <w:color w:val="000000"/>
          <w:sz w:val="24"/>
          <w:szCs w:val="24"/>
          <w:highlight w:val="none"/>
          <w:lang w:val="zh-CN" w:eastAsia="zh-CN"/>
        </w:rPr>
        <w:t xml:space="preserve">方案（</w:t>
      </w:r>
      <w:r>
        <w:rPr>
          <w:rFonts w:hint="eastAsia" w:ascii="Times New Roman" w:hAnsi="Times New Roman" w:eastAsia="宋体" w:cs="Times New Roman"/>
          <w:color w:val="000000"/>
          <w:sz w:val="24"/>
          <w:szCs w:val="24"/>
          <w:highlight w:val="none"/>
          <w:lang w:val="zh-CN" w:eastAsia="zh-CN"/>
        </w:rPr>
        <w:t xml:space="preserve">10 分</w:t>
      </w:r>
      <w:r>
        <w:rPr>
          <w:rFonts w:ascii="Times New Roman" w:hAnsi="Times New Roman" w:eastAsia="宋体" w:cs="Times New Roman"/>
          <w:color w:val="000000"/>
          <w:sz w:val="24"/>
          <w:szCs w:val="24"/>
          <w:highlight w:val="none"/>
          <w:lang w:val="zh-CN" w:eastAsia="zh-CN"/>
        </w:rPr>
        <w:t xml:space="preserve">）</w:t>
      </w:r>
      <w:r>
        <w:rPr>
          <w:rFonts w:ascii="Times New Roman" w:hAnsi="Times New Roman" w:eastAsia="宋体" w:cs="Times New Roman"/>
          <w:color w:val="000000"/>
          <w:sz w:val="24"/>
          <w:szCs w:val="24"/>
          <w:highlight w:val="none"/>
          <w:lang w:val="zh-CN" w:eastAsia="zh-CN"/>
        </w:rPr>
      </w:r>
      <w:r/>
    </w:p>
    <w:p>
      <w:pPr>
        <w:pStyle w:val="985"/>
        <w:ind w:firstLine="480"/>
        <w:spacing w:line="440" w:lineRule="exact"/>
        <w:rPr>
          <w:rFonts w:ascii="Times New Roman" w:hAnsi="Times New Roman" w:eastAsia="宋体" w:cs="Times New Roman"/>
          <w:color w:val="000000"/>
          <w:sz w:val="24"/>
          <w:szCs w:val="24"/>
          <w:highlight w:val="none"/>
          <w:lang w:val="zh-CN" w:eastAsia="zh-CN"/>
        </w:rPr>
      </w:pPr>
      <w:r>
        <w:rPr>
          <w:rFonts w:ascii="Times New Roman" w:hAnsi="Times New Roman" w:eastAsia="宋体" w:cs="Times New Roman"/>
          <w:color w:val="000000"/>
          <w:sz w:val="24"/>
          <w:szCs w:val="24"/>
          <w:highlight w:val="none"/>
          <w:lang w:val="zh-CN" w:eastAsia="zh-CN"/>
        </w:rPr>
        <w:t xml:space="preserve">根据投标人提供的综合节能改造前的项目诊断工作方案</w:t>
      </w:r>
      <w:r>
        <w:rPr>
          <w:rFonts w:hint="eastAsia"/>
          <w:color w:val="000000"/>
          <w:sz w:val="24"/>
          <w:szCs w:val="24"/>
          <w:highlight w:val="none"/>
          <w:lang w:val="zh-CN"/>
        </w:rPr>
        <w:t xml:space="preserve">综合评定</w:t>
      </w:r>
      <w:r>
        <w:rPr>
          <w:rFonts w:ascii="Times New Roman" w:hAnsi="Times New Roman" w:eastAsia="宋体" w:cs="Times New Roman"/>
          <w:color w:val="000000"/>
          <w:sz w:val="24"/>
          <w:szCs w:val="24"/>
          <w:highlight w:val="none"/>
          <w:lang w:val="zh-CN" w:eastAsia="zh-CN"/>
        </w:rPr>
        <w:t xml:space="preserve"> 。</w:t>
      </w:r>
      <w:r>
        <w:rPr>
          <w:rFonts w:hint="eastAsia"/>
          <w:color w:val="000000"/>
          <w:sz w:val="24"/>
          <w:szCs w:val="24"/>
          <w:highlight w:val="none"/>
          <w:lang w:val="en-US" w:eastAsia="zh-CN"/>
        </w:rPr>
        <w:t xml:space="preserve">投标人结合采购需求，提供</w:t>
      </w:r>
      <w:r>
        <w:rPr>
          <w:rFonts w:ascii="Times New Roman" w:hAnsi="Times New Roman" w:eastAsia="宋体" w:cs="Times New Roman"/>
          <w:color w:val="000000"/>
          <w:sz w:val="24"/>
          <w:szCs w:val="24"/>
          <w:highlight w:val="none"/>
          <w:lang w:val="zh-CN" w:eastAsia="zh-CN"/>
        </w:rPr>
        <w:t xml:space="preserve">包括</w:t>
      </w:r>
      <w:r>
        <w:rPr>
          <w:rFonts w:hint="eastAsia" w:ascii="Times New Roman" w:hAnsi="Times New Roman" w:eastAsia="宋体" w:cs="Times New Roman"/>
          <w:color w:val="000000"/>
          <w:sz w:val="24"/>
          <w:szCs w:val="24"/>
          <w:highlight w:val="none"/>
          <w:lang w:val="zh-CN" w:eastAsia="zh-CN"/>
        </w:rPr>
        <w:t xml:space="preserve">但不限于</w:t>
      </w:r>
      <w:r>
        <w:rPr>
          <w:rFonts w:ascii="Times New Roman" w:hAnsi="Times New Roman" w:eastAsia="宋体" w:cs="Times New Roman"/>
          <w:color w:val="000000"/>
          <w:sz w:val="24"/>
          <w:szCs w:val="24"/>
          <w:highlight w:val="none"/>
          <w:lang w:val="zh-CN" w:eastAsia="zh-CN"/>
        </w:rPr>
        <w:t xml:space="preserve">①能源系统排查（电、水、燃气）；②制冷系统诊断；③供热系统诊断④空调末端系统诊断⑤照明系统诊断；⑥节水系统诊断；⑦节能量理论测算</w:t>
      </w:r>
      <w:r>
        <w:rPr>
          <w:rFonts w:hint="eastAsia" w:ascii="Times New Roman" w:hAnsi="Times New Roman" w:eastAsia="宋体" w:cs="Times New Roman"/>
          <w:color w:val="000000"/>
          <w:sz w:val="24"/>
          <w:szCs w:val="24"/>
          <w:highlight w:val="none"/>
          <w:lang w:val="zh-CN" w:eastAsia="zh-CN"/>
        </w:rPr>
        <w:t xml:space="preserve">等，方案内容完整、完全满足实际要求、现状分析方案针对性强、有效找出行政中心现有能耗设备的痛点，现状分析全面合理的得</w:t>
      </w:r>
      <w:r>
        <w:rPr>
          <w:rFonts w:hint="eastAsia" w:ascii="Times New Roman" w:hAnsi="Times New Roman" w:eastAsia="宋体" w:cs="Times New Roman"/>
          <w:color w:val="000000"/>
          <w:sz w:val="24"/>
          <w:szCs w:val="24"/>
          <w:highlight w:val="none"/>
          <w:lang w:val="en-US" w:eastAsia="zh-CN"/>
        </w:rPr>
        <w:t xml:space="preserve">10</w:t>
      </w:r>
      <w:r>
        <w:rPr>
          <w:rFonts w:hint="eastAsia" w:ascii="Times New Roman" w:hAnsi="Times New Roman" w:eastAsia="宋体" w:cs="Times New Roman"/>
          <w:color w:val="000000"/>
          <w:sz w:val="24"/>
          <w:szCs w:val="24"/>
          <w:highlight w:val="none"/>
          <w:lang w:val="zh-CN" w:eastAsia="zh-CN"/>
        </w:rPr>
        <w:t xml:space="preserve">分；方案内容较完整、较科学合理、基本满足实际要求的得</w:t>
      </w:r>
      <w:r>
        <w:rPr>
          <w:rFonts w:hint="eastAsia" w:ascii="Times New Roman" w:hAnsi="Times New Roman" w:eastAsia="宋体"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lang w:val="zh-CN" w:eastAsia="zh-CN"/>
        </w:rPr>
        <w:t xml:space="preserve">分；方案内容不太完整、部分满足实际要求，有一定合理性的得</w:t>
      </w: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lang w:val="zh-CN" w:eastAsia="zh-CN"/>
        </w:rPr>
        <w:t xml:space="preserve">分；方案不完整、不合理、不满足实际要求的，得</w:t>
      </w: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val="zh-CN" w:eastAsia="zh-CN"/>
        </w:rPr>
        <w:t xml:space="preserve">分；未提供方案的不得分。</w:t>
      </w:r>
      <w:r>
        <w:rPr>
          <w:rFonts w:ascii="Times New Roman" w:hAnsi="Times New Roman" w:eastAsia="宋体" w:cs="Times New Roman"/>
          <w:color w:val="000000"/>
          <w:sz w:val="24"/>
          <w:szCs w:val="24"/>
          <w:highlight w:val="none"/>
          <w:lang w:val="zh-CN" w:eastAsia="zh-CN"/>
        </w:rPr>
      </w:r>
      <w:r/>
    </w:p>
    <w:p>
      <w:pPr>
        <w:pStyle w:val="985"/>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2.2.5节能改造方案（12分）</w:t>
      </w:r>
      <w:r>
        <w:rPr>
          <w:rFonts w:hint="eastAsia" w:ascii="Times New Roman" w:hAnsi="Times New Roman" w:eastAsia="宋体" w:cs="Times New Roman"/>
          <w:color w:val="000000"/>
          <w:sz w:val="24"/>
          <w:szCs w:val="24"/>
          <w:highlight w:val="none"/>
          <w:lang w:val="en-US" w:eastAsia="zh-CN"/>
        </w:rPr>
      </w:r>
      <w:r/>
    </w:p>
    <w:p>
      <w:pPr>
        <w:pStyle w:val="985"/>
        <w:ind w:firstLine="480"/>
        <w:spacing w:line="440" w:lineRule="exact"/>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根据投标人提供的针对本项目综合节能改造方案</w:t>
      </w:r>
      <w:r>
        <w:rPr>
          <w:rFonts w:hint="eastAsia"/>
          <w:color w:val="000000"/>
          <w:sz w:val="24"/>
          <w:szCs w:val="24"/>
          <w:highlight w:val="none"/>
          <w:lang w:val="zh-CN"/>
        </w:rPr>
        <w:t xml:space="preserve">综合评定</w:t>
      </w:r>
      <w:r>
        <w:rPr>
          <w:rFonts w:ascii="Times New Roman" w:hAnsi="Times New Roman" w:eastAsia="宋体" w:cs="Times New Roman"/>
          <w:color w:val="000000"/>
          <w:sz w:val="24"/>
          <w:szCs w:val="24"/>
          <w:highlight w:val="none"/>
          <w:lang w:val="en-US" w:eastAsia="zh-CN"/>
        </w:rPr>
        <w:t xml:space="preserve">。</w:t>
      </w:r>
      <w:r>
        <w:rPr>
          <w:rFonts w:hint="eastAsia"/>
          <w:color w:val="000000"/>
          <w:sz w:val="24"/>
          <w:szCs w:val="24"/>
          <w:highlight w:val="none"/>
          <w:lang w:val="en-US" w:eastAsia="zh-CN"/>
        </w:rPr>
        <w:t xml:space="preserve">投标人结合采购需求，提供</w:t>
      </w:r>
      <w:r>
        <w:rPr>
          <w:rFonts w:ascii="Times New Roman" w:hAnsi="Times New Roman" w:eastAsia="宋体" w:cs="Times New Roman"/>
          <w:color w:val="000000"/>
          <w:sz w:val="24"/>
          <w:szCs w:val="24"/>
          <w:highlight w:val="none"/>
          <w:lang w:val="zh-CN" w:eastAsia="zh-CN"/>
        </w:rPr>
        <w:t xml:space="preserve">包括</w:t>
      </w:r>
      <w:r>
        <w:rPr>
          <w:rFonts w:hint="eastAsia" w:ascii="Times New Roman" w:hAnsi="Times New Roman" w:eastAsia="宋体" w:cs="Times New Roman"/>
          <w:color w:val="000000"/>
          <w:sz w:val="24"/>
          <w:szCs w:val="24"/>
          <w:highlight w:val="none"/>
          <w:lang w:val="zh-CN" w:eastAsia="zh-CN"/>
        </w:rPr>
        <w:t xml:space="preserve">但不限于</w:t>
      </w:r>
      <w:r>
        <w:rPr>
          <w:rFonts w:ascii="Times New Roman" w:hAnsi="Times New Roman" w:eastAsia="宋体" w:cs="Times New Roman"/>
          <w:color w:val="000000"/>
          <w:sz w:val="24"/>
          <w:szCs w:val="24"/>
          <w:highlight w:val="none"/>
          <w:lang w:val="en-US" w:eastAsia="zh-CN"/>
        </w:rPr>
        <w:t xml:space="preserve">①总体方案；②设计思路；③改造实施方案；④改造目标</w:t>
      </w:r>
      <w:r>
        <w:rPr>
          <w:rFonts w:hint="eastAsia" w:ascii="Times New Roman" w:hAnsi="Times New Roman" w:eastAsia="宋体" w:cs="Times New Roman"/>
          <w:color w:val="000000"/>
          <w:sz w:val="24"/>
          <w:szCs w:val="24"/>
          <w:highlight w:val="none"/>
          <w:lang w:val="en-US" w:eastAsia="zh-CN"/>
        </w:rPr>
        <w:t xml:space="preserve">⑤针对各个系统的改造方案等，</w:t>
      </w:r>
      <w:r>
        <w:rPr>
          <w:rFonts w:hint="eastAsia" w:ascii="Times New Roman" w:hAnsi="Times New Roman" w:eastAsia="宋体" w:cs="Times New Roman"/>
          <w:color w:val="000000"/>
          <w:sz w:val="24"/>
          <w:szCs w:val="24"/>
          <w:highlight w:val="none"/>
          <w:lang w:val="zh-CN" w:eastAsia="zh-CN"/>
        </w:rPr>
        <w:t xml:space="preserve">方案内容完整、合理可行、完全满足实际要求的得</w:t>
      </w:r>
      <w:r>
        <w:rPr>
          <w:rFonts w:hint="eastAsia" w:ascii="Times New Roman" w:hAnsi="Times New Roman" w:eastAsia="宋体" w:cs="Times New Roman"/>
          <w:color w:val="000000"/>
          <w:sz w:val="24"/>
          <w:szCs w:val="24"/>
          <w:highlight w:val="none"/>
          <w:lang w:val="en-US" w:eastAsia="zh-CN"/>
        </w:rPr>
        <w:t xml:space="preserve">12</w:t>
      </w:r>
      <w:r>
        <w:rPr>
          <w:rFonts w:hint="eastAsia" w:ascii="Times New Roman" w:hAnsi="Times New Roman" w:eastAsia="宋体" w:cs="Times New Roman"/>
          <w:color w:val="000000"/>
          <w:sz w:val="24"/>
          <w:szCs w:val="24"/>
          <w:highlight w:val="none"/>
          <w:lang w:val="zh-CN" w:eastAsia="zh-CN"/>
        </w:rPr>
        <w:t xml:space="preserve">分；方案内容较完整、较科学合理、基本满足实际要求的得</w:t>
      </w:r>
      <w:r>
        <w:rPr>
          <w:rFonts w:hint="eastAsia" w:ascii="Times New Roman" w:hAnsi="Times New Roman" w:eastAsia="宋体" w:cs="Times New Roman"/>
          <w:color w:val="000000"/>
          <w:sz w:val="24"/>
          <w:szCs w:val="24"/>
          <w:highlight w:val="none"/>
          <w:lang w:val="en-US" w:eastAsia="zh-CN"/>
        </w:rPr>
        <w:t xml:space="preserve">9</w:t>
      </w:r>
      <w:r>
        <w:rPr>
          <w:rFonts w:hint="eastAsia" w:ascii="Times New Roman" w:hAnsi="Times New Roman" w:eastAsia="宋体" w:cs="Times New Roman"/>
          <w:color w:val="000000"/>
          <w:sz w:val="24"/>
          <w:szCs w:val="24"/>
          <w:highlight w:val="none"/>
          <w:lang w:val="zh-CN" w:eastAsia="zh-CN"/>
        </w:rPr>
        <w:t xml:space="preserve">分；方案内容不</w:t>
      </w:r>
      <w:r>
        <w:rPr>
          <w:rFonts w:hint="eastAsia" w:ascii="Times New Roman" w:hAnsi="Times New Roman" w:eastAsia="宋体" w:cs="Times New Roman"/>
          <w:color w:val="000000"/>
          <w:sz w:val="24"/>
          <w:szCs w:val="24"/>
          <w:highlight w:val="none"/>
          <w:lang w:val="en-US" w:eastAsia="zh-CN"/>
        </w:rPr>
        <w:t xml:space="preserve">太</w:t>
      </w:r>
      <w:r>
        <w:rPr>
          <w:rFonts w:hint="eastAsia" w:ascii="Times New Roman" w:hAnsi="Times New Roman" w:eastAsia="宋体" w:cs="Times New Roman"/>
          <w:color w:val="000000"/>
          <w:sz w:val="24"/>
          <w:szCs w:val="24"/>
          <w:highlight w:val="none"/>
          <w:lang w:val="zh-CN" w:eastAsia="zh-CN"/>
        </w:rPr>
        <w:t xml:space="preserve">完整、部分满足实际要求，</w:t>
      </w:r>
      <w:r>
        <w:rPr>
          <w:rFonts w:hint="eastAsia" w:ascii="Times New Roman" w:hAnsi="Times New Roman" w:eastAsia="宋体" w:cs="Times New Roman"/>
          <w:color w:val="000000"/>
          <w:sz w:val="24"/>
          <w:szCs w:val="24"/>
          <w:highlight w:val="none"/>
          <w:lang w:val="en-US" w:eastAsia="zh-CN"/>
        </w:rPr>
        <w:t xml:space="preserve">有一定合理性</w:t>
      </w:r>
      <w:r>
        <w:rPr>
          <w:rFonts w:hint="eastAsia" w:ascii="Times New Roman" w:hAnsi="Times New Roman" w:eastAsia="宋体" w:cs="Times New Roman"/>
          <w:color w:val="000000"/>
          <w:sz w:val="24"/>
          <w:szCs w:val="24"/>
          <w:highlight w:val="none"/>
          <w:lang w:val="zh-CN" w:eastAsia="zh-CN"/>
        </w:rPr>
        <w:t xml:space="preserve">的得</w:t>
      </w: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val="zh-CN" w:eastAsia="zh-CN"/>
        </w:rPr>
        <w:t xml:space="preserve">分；</w:t>
      </w:r>
      <w:r>
        <w:rPr>
          <w:rFonts w:hint="eastAsia" w:ascii="Times New Roman" w:hAnsi="Times New Roman" w:eastAsia="宋体" w:cs="Times New Roman"/>
          <w:color w:val="000000"/>
          <w:sz w:val="24"/>
          <w:szCs w:val="24"/>
          <w:highlight w:val="none"/>
          <w:lang w:val="en-US" w:eastAsia="zh-CN"/>
        </w:rPr>
        <w:t xml:space="preserve">方案不完整、不合理、不满足实际要求的，得3分；</w:t>
      </w:r>
      <w:r>
        <w:rPr>
          <w:rFonts w:hint="eastAsia" w:ascii="Times New Roman" w:hAnsi="Times New Roman" w:eastAsia="宋体" w:cs="Times New Roman"/>
          <w:color w:val="000000"/>
          <w:sz w:val="24"/>
          <w:szCs w:val="24"/>
          <w:highlight w:val="none"/>
          <w:lang w:val="zh-CN" w:eastAsia="zh-CN"/>
        </w:rPr>
        <w:t xml:space="preserve">未提供方案的不得分。</w:t>
      </w:r>
      <w:r>
        <w:rPr>
          <w:rFonts w:ascii="Times New Roman" w:hAnsi="Times New Roman" w:eastAsia="宋体" w:cs="Times New Roman"/>
          <w:color w:val="000000"/>
          <w:sz w:val="24"/>
          <w:szCs w:val="24"/>
          <w:highlight w:val="none"/>
          <w:lang w:val="en-US" w:eastAsia="zh-CN"/>
        </w:rPr>
      </w:r>
      <w:r/>
    </w:p>
    <w:p>
      <w:pPr>
        <w:pStyle w:val="985"/>
        <w:ind w:firstLine="480"/>
        <w:spacing w:line="440" w:lineRule="exact"/>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2.2.6 空调AI智控系统方案（10分）</w:t>
      </w:r>
      <w:r>
        <w:rPr>
          <w:rFonts w:ascii="Times New Roman" w:hAnsi="Times New Roman" w:eastAsia="宋体" w:cs="Times New Roman"/>
          <w:color w:val="000000"/>
          <w:sz w:val="24"/>
          <w:szCs w:val="24"/>
          <w:highlight w:val="none"/>
          <w:lang w:val="en-US" w:eastAsia="zh-CN"/>
        </w:rPr>
      </w:r>
      <w:r/>
    </w:p>
    <w:p>
      <w:pPr>
        <w:pStyle w:val="985"/>
        <w:ind w:firstLine="480"/>
        <w:spacing w:line="440" w:lineRule="exact"/>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根据投标人提供的针对本项目空调AI智控系统方案</w:t>
      </w:r>
      <w:r>
        <w:rPr>
          <w:rFonts w:hint="eastAsia"/>
          <w:color w:val="000000"/>
          <w:sz w:val="24"/>
          <w:szCs w:val="24"/>
          <w:highlight w:val="none"/>
          <w:lang w:val="zh-CN"/>
        </w:rPr>
        <w:t xml:space="preserve">综合评定</w:t>
      </w:r>
      <w:r>
        <w:rPr>
          <w:rFonts w:ascii="Times New Roman" w:hAnsi="Times New Roman" w:eastAsia="宋体" w:cs="Times New Roman"/>
          <w:color w:val="000000"/>
          <w:sz w:val="24"/>
          <w:szCs w:val="24"/>
          <w:highlight w:val="none"/>
          <w:lang w:val="en-US" w:eastAsia="zh-CN"/>
        </w:rPr>
        <w:t xml:space="preserve">。投标人结合采购需求，提供包括但不限于①系统定位和总体架构②算法模型及原理③策略简介④安全保护机制⑤系统界面展示及功能介绍等。</w:t>
      </w:r>
      <w:r>
        <w:rPr>
          <w:rFonts w:hint="eastAsia" w:ascii="Times New Roman" w:hAnsi="Times New Roman" w:eastAsia="宋体" w:cs="Times New Roman"/>
          <w:color w:val="000000"/>
          <w:sz w:val="24"/>
          <w:szCs w:val="24"/>
          <w:highlight w:val="none"/>
          <w:lang w:val="zh-CN" w:eastAsia="zh-CN"/>
        </w:rPr>
        <w:t xml:space="preserve">方案内容完整、合理可行、完全满足实际要求的得</w:t>
      </w:r>
      <w:r>
        <w:rPr>
          <w:rFonts w:hint="eastAsia" w:ascii="Times New Roman" w:hAnsi="Times New Roman" w:eastAsia="宋体" w:cs="Times New Roman"/>
          <w:color w:val="000000"/>
          <w:sz w:val="24"/>
          <w:szCs w:val="24"/>
          <w:highlight w:val="none"/>
          <w:lang w:val="en-US" w:eastAsia="zh-CN"/>
        </w:rPr>
        <w:t xml:space="preserve">10</w:t>
      </w:r>
      <w:r>
        <w:rPr>
          <w:rFonts w:hint="eastAsia" w:ascii="Times New Roman" w:hAnsi="Times New Roman" w:eastAsia="宋体" w:cs="Times New Roman"/>
          <w:color w:val="000000"/>
          <w:sz w:val="24"/>
          <w:szCs w:val="24"/>
          <w:highlight w:val="none"/>
          <w:lang w:val="zh-CN" w:eastAsia="zh-CN"/>
        </w:rPr>
        <w:t xml:space="preserve">分；方案内容较完整、较科学合理、基本满足实际要求的得</w:t>
      </w:r>
      <w:r>
        <w:rPr>
          <w:rFonts w:hint="eastAsia" w:ascii="Times New Roman" w:hAnsi="Times New Roman" w:eastAsia="宋体"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lang w:val="zh-CN" w:eastAsia="zh-CN"/>
        </w:rPr>
        <w:t xml:space="preserve">分；方案内容不</w:t>
      </w:r>
      <w:r>
        <w:rPr>
          <w:rFonts w:hint="eastAsia" w:ascii="Times New Roman" w:hAnsi="Times New Roman" w:eastAsia="宋体" w:cs="Times New Roman"/>
          <w:color w:val="000000"/>
          <w:sz w:val="24"/>
          <w:szCs w:val="24"/>
          <w:highlight w:val="none"/>
          <w:lang w:val="en-US" w:eastAsia="zh-CN"/>
        </w:rPr>
        <w:t xml:space="preserve">太</w:t>
      </w:r>
      <w:r>
        <w:rPr>
          <w:rFonts w:hint="eastAsia" w:ascii="Times New Roman" w:hAnsi="Times New Roman" w:eastAsia="宋体" w:cs="Times New Roman"/>
          <w:color w:val="000000"/>
          <w:sz w:val="24"/>
          <w:szCs w:val="24"/>
          <w:highlight w:val="none"/>
          <w:lang w:val="zh-CN" w:eastAsia="zh-CN"/>
        </w:rPr>
        <w:t xml:space="preserve">完整、部分满足实际要求，</w:t>
      </w:r>
      <w:r>
        <w:rPr>
          <w:rFonts w:hint="eastAsia" w:ascii="Times New Roman" w:hAnsi="Times New Roman" w:eastAsia="宋体" w:cs="Times New Roman"/>
          <w:color w:val="000000"/>
          <w:sz w:val="24"/>
          <w:szCs w:val="24"/>
          <w:highlight w:val="none"/>
          <w:lang w:val="en-US" w:eastAsia="zh-CN"/>
        </w:rPr>
        <w:t xml:space="preserve">有一定合理性</w:t>
      </w:r>
      <w:r>
        <w:rPr>
          <w:rFonts w:hint="eastAsia" w:ascii="Times New Roman" w:hAnsi="Times New Roman" w:eastAsia="宋体" w:cs="Times New Roman"/>
          <w:color w:val="000000"/>
          <w:sz w:val="24"/>
          <w:szCs w:val="24"/>
          <w:highlight w:val="none"/>
          <w:lang w:val="zh-CN" w:eastAsia="zh-CN"/>
        </w:rPr>
        <w:t xml:space="preserve">的得</w:t>
      </w: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lang w:val="zh-CN" w:eastAsia="zh-CN"/>
        </w:rPr>
        <w:t xml:space="preserve">分；</w:t>
      </w:r>
      <w:r>
        <w:rPr>
          <w:rFonts w:hint="eastAsia" w:ascii="Times New Roman" w:hAnsi="Times New Roman" w:eastAsia="宋体" w:cs="Times New Roman"/>
          <w:color w:val="000000"/>
          <w:sz w:val="24"/>
          <w:szCs w:val="24"/>
          <w:highlight w:val="none"/>
          <w:lang w:val="en-US" w:eastAsia="zh-CN"/>
        </w:rPr>
        <w:t xml:space="preserve">方案不完整、不合理、不满足实际要求的，得2分；</w:t>
      </w:r>
      <w:r>
        <w:rPr>
          <w:rFonts w:hint="eastAsia" w:ascii="Times New Roman" w:hAnsi="Times New Roman" w:eastAsia="宋体" w:cs="Times New Roman"/>
          <w:color w:val="000000"/>
          <w:sz w:val="24"/>
          <w:szCs w:val="24"/>
          <w:highlight w:val="none"/>
          <w:lang w:val="zh-CN" w:eastAsia="zh-CN"/>
        </w:rPr>
        <w:t xml:space="preserve">未提供方案的不得分。</w:t>
      </w:r>
      <w:r>
        <w:rPr>
          <w:rFonts w:ascii="Times New Roman" w:hAnsi="Times New Roman" w:eastAsia="宋体" w:cs="Times New Roman"/>
          <w:color w:val="000000"/>
          <w:sz w:val="24"/>
          <w:szCs w:val="24"/>
          <w:highlight w:val="none"/>
          <w:lang w:val="en-US" w:eastAsia="zh-CN"/>
        </w:rPr>
      </w:r>
      <w:r/>
    </w:p>
    <w:p>
      <w:pPr>
        <w:pStyle w:val="985"/>
        <w:ind w:firstLine="480"/>
        <w:spacing w:line="440" w:lineRule="exact"/>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2.2.7</w:t>
      </w:r>
      <w:r>
        <w:rPr>
          <w:rFonts w:ascii="Times New Roman" w:hAnsi="Times New Roman" w:eastAsia="宋体" w:cs="Times New Roman"/>
          <w:color w:val="000000"/>
          <w:sz w:val="24"/>
          <w:szCs w:val="24"/>
          <w:highlight w:val="none"/>
          <w:lang w:val="en-US" w:eastAsia="zh-CN"/>
        </w:rPr>
        <w:t xml:space="preserve">智慧能源管理平台方案（ 8 分）</w:t>
      </w:r>
      <w:r>
        <w:rPr>
          <w:rFonts w:ascii="Times New Roman" w:hAnsi="Times New Roman" w:eastAsia="宋体" w:cs="Times New Roman"/>
          <w:color w:val="000000"/>
          <w:sz w:val="24"/>
          <w:szCs w:val="24"/>
          <w:highlight w:val="none"/>
          <w:lang w:val="en-US" w:eastAsia="zh-CN"/>
        </w:rPr>
      </w:r>
      <w:r/>
    </w:p>
    <w:p>
      <w:pPr>
        <w:pStyle w:val="985"/>
        <w:ind w:firstLine="480"/>
        <w:spacing w:line="440" w:lineRule="exact"/>
        <w:rPr>
          <w:rFonts w:hint="eastAsia" w:ascii="Times New Roman" w:hAnsi="Times New Roman" w:eastAsia="宋体" w:cs="Times New Roman"/>
          <w:b w:val="0"/>
          <w:bCs w:val="0"/>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根据投标人提供的针对本项目智慧能源管理平台方案综合评定。投标人结合采购需求，提供包括但不限于①系统定位和总体架构②应用开发方案③系统界面展示和功能介绍</w:t>
      </w:r>
      <w:r>
        <w:rPr>
          <w:rFonts w:ascii="Times New Roman" w:hAnsi="Times New Roman" w:eastAsia="宋体" w:cs="Times New Roman"/>
          <w:b w:val="0"/>
          <w:bCs w:val="0"/>
          <w:color w:val="000000"/>
          <w:sz w:val="24"/>
          <w:szCs w:val="24"/>
          <w:highlight w:val="none"/>
          <w:lang w:val="en-US" w:eastAsia="zh-CN"/>
        </w:rPr>
        <w:t xml:space="preserve">等。</w:t>
      </w:r>
      <w:r>
        <w:rPr>
          <w:rFonts w:hint="eastAsia" w:ascii="Times New Roman" w:hAnsi="Times New Roman" w:eastAsia="宋体" w:cs="Times New Roman"/>
          <w:b w:val="0"/>
          <w:bCs w:val="0"/>
          <w:color w:val="000000"/>
          <w:sz w:val="24"/>
          <w:szCs w:val="24"/>
          <w:highlight w:val="none"/>
          <w:lang w:val="zh-CN" w:eastAsia="zh-CN"/>
        </w:rPr>
        <w:t xml:space="preserve">平台功能与采购需求匹配性高、合理可行、完全满足实际要求，并有相应证明材料支撑（如系统截图）且方案内容完整、合理可行、完全满足实际要求的得</w:t>
      </w:r>
      <w:r>
        <w:rPr>
          <w:rFonts w:hint="eastAsia" w:ascii="Times New Roman" w:hAnsi="Times New Roman" w:eastAsia="宋体" w:cs="Times New Roman"/>
          <w:b w:val="0"/>
          <w:bCs w:val="0"/>
          <w:color w:val="000000"/>
          <w:sz w:val="24"/>
          <w:szCs w:val="24"/>
          <w:highlight w:val="none"/>
          <w:lang w:val="en-US" w:eastAsia="zh-CN"/>
        </w:rPr>
        <w:t xml:space="preserve">8</w:t>
      </w:r>
      <w:r>
        <w:rPr>
          <w:rFonts w:hint="eastAsia" w:ascii="Times New Roman" w:hAnsi="Times New Roman" w:eastAsia="宋体" w:cs="Times New Roman"/>
          <w:b w:val="0"/>
          <w:bCs w:val="0"/>
          <w:color w:val="000000"/>
          <w:sz w:val="24"/>
          <w:szCs w:val="24"/>
          <w:highlight w:val="none"/>
          <w:lang w:val="zh-CN" w:eastAsia="zh-CN"/>
        </w:rPr>
        <w:t xml:space="preserve">分；平台功能</w:t>
      </w:r>
      <w:r>
        <w:rPr>
          <w:rFonts w:hint="eastAsia" w:ascii="Times New Roman" w:hAnsi="Times New Roman" w:eastAsia="宋体" w:cs="Times New Roman"/>
          <w:b w:val="0"/>
          <w:bCs w:val="0"/>
          <w:color w:val="000000"/>
          <w:sz w:val="24"/>
          <w:szCs w:val="24"/>
          <w:highlight w:val="none"/>
          <w:lang w:val="en-US" w:eastAsia="zh-CN"/>
        </w:rPr>
        <w:t xml:space="preserve">较完整、较科学合理、基本满足实际要求</w:t>
      </w:r>
      <w:r>
        <w:rPr>
          <w:rFonts w:hint="eastAsia" w:ascii="Times New Roman" w:hAnsi="Times New Roman" w:eastAsia="宋体" w:cs="Times New Roman"/>
          <w:b w:val="0"/>
          <w:bCs w:val="0"/>
          <w:color w:val="000000"/>
          <w:sz w:val="24"/>
          <w:szCs w:val="24"/>
          <w:highlight w:val="none"/>
          <w:lang w:val="zh-CN" w:eastAsia="zh-CN"/>
        </w:rPr>
        <w:t xml:space="preserve">并有相应证明材料支撑（如系统截图）</w:t>
      </w:r>
      <w:r>
        <w:rPr>
          <w:rFonts w:hint="eastAsia" w:ascii="Times New Roman" w:hAnsi="Times New Roman" w:eastAsia="宋体" w:cs="Times New Roman"/>
          <w:b w:val="0"/>
          <w:bCs w:val="0"/>
          <w:color w:val="000000"/>
          <w:sz w:val="24"/>
          <w:szCs w:val="24"/>
          <w:highlight w:val="none"/>
          <w:lang w:val="en-US" w:eastAsia="zh-CN"/>
        </w:rPr>
        <w:t xml:space="preserve">的得5分；平台功能不太完整、部分满足实际要求，有一定合理性的</w:t>
      </w:r>
      <w:r>
        <w:rPr>
          <w:rFonts w:hint="eastAsia" w:ascii="Times New Roman" w:hAnsi="Times New Roman" w:eastAsia="宋体" w:cs="Times New Roman"/>
          <w:b w:val="0"/>
          <w:bCs w:val="0"/>
          <w:color w:val="000000"/>
          <w:sz w:val="24"/>
          <w:szCs w:val="24"/>
          <w:highlight w:val="none"/>
          <w:lang w:val="zh-CN" w:eastAsia="zh-CN"/>
        </w:rPr>
        <w:t xml:space="preserve">并有相应证明材料支撑（如系统截图）</w:t>
      </w:r>
      <w:r>
        <w:rPr>
          <w:rFonts w:hint="eastAsia" w:ascii="Times New Roman" w:hAnsi="Times New Roman" w:eastAsia="宋体" w:cs="Times New Roman"/>
          <w:b w:val="0"/>
          <w:bCs w:val="0"/>
          <w:color w:val="000000"/>
          <w:sz w:val="24"/>
          <w:szCs w:val="24"/>
          <w:highlight w:val="none"/>
          <w:lang w:val="en-US" w:eastAsia="zh-CN"/>
        </w:rPr>
        <w:t xml:space="preserve">得3分；未提供的不得分。</w:t>
      </w:r>
      <w:r>
        <w:rPr>
          <w:rFonts w:hint="eastAsia" w:ascii="Times New Roman" w:hAnsi="Times New Roman" w:eastAsia="宋体" w:cs="Times New Roman"/>
          <w:b w:val="0"/>
          <w:bCs w:val="0"/>
          <w:color w:val="000000"/>
          <w:sz w:val="24"/>
          <w:szCs w:val="24"/>
          <w:highlight w:val="none"/>
          <w:lang w:val="en-US" w:eastAsia="zh-CN"/>
        </w:rPr>
      </w:r>
      <w:r/>
    </w:p>
    <w:p>
      <w:pPr>
        <w:pStyle w:val="985"/>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2.2.8应急措施方案（5分）</w:t>
      </w:r>
      <w:r>
        <w:rPr>
          <w:rFonts w:hint="eastAsia" w:ascii="Times New Roman" w:hAnsi="Times New Roman" w:eastAsia="宋体" w:cs="Times New Roman"/>
          <w:color w:val="000000"/>
          <w:sz w:val="24"/>
          <w:szCs w:val="24"/>
          <w:highlight w:val="none"/>
          <w:lang w:val="en-US" w:eastAsia="zh-CN"/>
        </w:rPr>
      </w:r>
      <w:r/>
    </w:p>
    <w:p>
      <w:pPr>
        <w:pStyle w:val="985"/>
        <w:ind w:firstLine="480"/>
        <w:spacing w:line="440" w:lineRule="exact"/>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根据投标人提供的应急措施</w:t>
      </w:r>
      <w:r>
        <w:rPr>
          <w:rFonts w:ascii="Times New Roman" w:hAnsi="Times New Roman" w:eastAsia="宋体" w:cs="Times New Roman"/>
          <w:color w:val="000000"/>
          <w:sz w:val="24"/>
          <w:szCs w:val="24"/>
          <w:highlight w:val="none"/>
          <w:lang w:val="en-US" w:eastAsia="zh-CN"/>
        </w:rPr>
        <w:t xml:space="preserve">综合评定。投标人结合采购需求，提供包括但不限于</w:t>
      </w:r>
      <w:r>
        <w:rPr>
          <w:rFonts w:hint="eastAsia" w:ascii="Times New Roman" w:hAnsi="Times New Roman" w:eastAsia="宋体" w:cs="Times New Roman"/>
          <w:color w:val="000000"/>
          <w:sz w:val="24"/>
          <w:szCs w:val="24"/>
          <w:highlight w:val="none"/>
          <w:lang w:val="en-US" w:eastAsia="zh-CN"/>
        </w:rPr>
        <w:t xml:space="preserve">能源系统（冷、热源）应急保障方案及措施等。方案内容包含上述要点、完整、合理可行、完全满足实际要求的得5分；方案内容较完整、较科学合理、基本满足实际要求的得3分；方案内容不太完整、部分满足实际要求，有一定合理性的得1分；方案不完整、不合理、不满足实际要求或未提供方案的不得分。</w:t>
      </w:r>
      <w:r>
        <w:rPr>
          <w:rFonts w:ascii="Times New Roman" w:hAnsi="Times New Roman" w:eastAsia="宋体" w:cs="Times New Roman"/>
          <w:color w:val="000000"/>
          <w:sz w:val="24"/>
          <w:szCs w:val="24"/>
          <w:highlight w:val="none"/>
          <w:lang w:val="en-US" w:eastAsia="zh-CN"/>
        </w:rPr>
      </w:r>
      <w:r/>
    </w:p>
    <w:p>
      <w:pPr>
        <w:pStyle w:val="985"/>
        <w:ind w:firstLine="480"/>
        <w:spacing w:line="440" w:lineRule="exact"/>
        <w:rPr>
          <w:rFonts w:hint="eastAsia"/>
          <w:color w:val="000000"/>
          <w:sz w:val="24"/>
          <w:szCs w:val="24"/>
          <w:highlight w:val="none"/>
          <w:lang w:val="zh-CN" w:eastAsia="zh-CN"/>
        </w:rPr>
      </w:pPr>
      <w:r>
        <w:rPr>
          <w:rFonts w:hint="eastAsia"/>
          <w:color w:val="000000"/>
          <w:sz w:val="24"/>
          <w:szCs w:val="24"/>
          <w:highlight w:val="none"/>
          <w:lang w:val="en-US" w:eastAsia="zh-CN"/>
        </w:rPr>
        <w:t xml:space="preserve">2</w:t>
      </w:r>
      <w:r>
        <w:rPr>
          <w:rFonts w:hint="eastAsia"/>
          <w:color w:val="000000"/>
          <w:sz w:val="24"/>
          <w:szCs w:val="24"/>
          <w:highlight w:val="none"/>
        </w:rPr>
        <w:t xml:space="preserve">.</w:t>
      </w:r>
      <w:r>
        <w:rPr>
          <w:rFonts w:hint="eastAsia"/>
          <w:color w:val="000000"/>
          <w:sz w:val="24"/>
          <w:szCs w:val="24"/>
          <w:highlight w:val="none"/>
          <w:lang w:val="zh-CN"/>
        </w:rPr>
        <w:t xml:space="preserve">3商务部分</w:t>
      </w:r>
      <w:r>
        <w:rPr>
          <w:rFonts w:hint="eastAsia"/>
          <w:color w:val="000000"/>
          <w:sz w:val="24"/>
          <w:szCs w:val="24"/>
          <w:highlight w:val="none"/>
          <w:lang w:val="zh-CN" w:eastAsia="zh-CN"/>
        </w:rPr>
        <w:t xml:space="preserve">（</w:t>
      </w:r>
      <w:r>
        <w:rPr>
          <w:rFonts w:hint="eastAsia"/>
          <w:color w:val="000000"/>
          <w:sz w:val="24"/>
          <w:szCs w:val="24"/>
          <w:highlight w:val="none"/>
          <w:lang w:val="en-US" w:eastAsia="zh-CN"/>
        </w:rPr>
        <w:t xml:space="preserve">23</w:t>
      </w:r>
      <w:r>
        <w:rPr>
          <w:rFonts w:hint="eastAsia"/>
          <w:color w:val="000000"/>
          <w:sz w:val="24"/>
          <w:szCs w:val="24"/>
          <w:highlight w:val="none"/>
          <w:lang w:val="zh-CN" w:eastAsia="zh-CN"/>
        </w:rPr>
        <w:t xml:space="preserve">分）</w:t>
      </w:r>
      <w:r>
        <w:rPr>
          <w:rFonts w:hint="eastAsia"/>
          <w:color w:val="000000"/>
          <w:sz w:val="24"/>
          <w:szCs w:val="24"/>
          <w:highlight w:val="none"/>
          <w:lang w:val="zh-CN" w:eastAsia="zh-CN"/>
        </w:rPr>
      </w:r>
      <w:r/>
    </w:p>
    <w:p>
      <w:pPr>
        <w:pStyle w:val="985"/>
        <w:numPr>
          <w:ilvl w:val="0"/>
          <w:numId w:val="0"/>
        </w:num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color w:val="000000"/>
          <w:sz w:val="24"/>
          <w:szCs w:val="24"/>
          <w:highlight w:val="none"/>
          <w:lang w:val="en-US" w:eastAsia="zh-CN"/>
        </w:rPr>
        <w:t xml:space="preserve">2.3.1</w:t>
      </w:r>
      <w:r>
        <w:rPr>
          <w:rFonts w:hint="eastAsia" w:ascii="Times New Roman" w:hAnsi="Times New Roman" w:eastAsia="宋体" w:cs="Times New Roman"/>
          <w:color w:val="000000"/>
          <w:sz w:val="24"/>
          <w:szCs w:val="24"/>
          <w:highlight w:val="none"/>
          <w:lang w:val="en-US" w:eastAsia="zh-CN"/>
        </w:rPr>
        <w:t xml:space="preserve">认证证书（3分）</w:t>
      </w:r>
      <w:r>
        <w:rPr>
          <w:rFonts w:hint="eastAsia" w:ascii="Times New Roman" w:hAnsi="Times New Roman" w:eastAsia="宋体" w:cs="Times New Roman"/>
          <w:color w:val="000000"/>
          <w:sz w:val="24"/>
          <w:szCs w:val="24"/>
          <w:highlight w:val="none"/>
          <w:lang w:val="en-US" w:eastAsia="zh-CN"/>
        </w:rPr>
      </w:r>
      <w:r/>
    </w:p>
    <w:p>
      <w:pPr>
        <w:pStyle w:val="985"/>
        <w:numPr>
          <w:ilvl w:val="0"/>
          <w:numId w:val="0"/>
        </w:num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color w:val="000000"/>
          <w:sz w:val="24"/>
          <w:szCs w:val="24"/>
          <w:highlight w:val="none"/>
          <w:lang w:val="zh-CN"/>
        </w:rPr>
        <w:t xml:space="preserve">投标人（或组成联合体投标的联合体单位）具有有效期内的</w:t>
      </w:r>
      <w:r>
        <w:rPr>
          <w:color w:val="000000"/>
          <w:sz w:val="24"/>
          <w:szCs w:val="24"/>
          <w:highlight w:val="none"/>
        </w:rPr>
        <w:t xml:space="preserve">质量管理体系认证证书</w:t>
      </w:r>
      <w:r>
        <w:rPr>
          <w:rFonts w:hint="eastAsia"/>
          <w:color w:val="000000"/>
          <w:sz w:val="24"/>
          <w:szCs w:val="24"/>
          <w:highlight w:val="none"/>
        </w:rPr>
        <w:t xml:space="preserve">、</w:t>
      </w:r>
      <w:r>
        <w:rPr>
          <w:color w:val="000000"/>
          <w:sz w:val="24"/>
          <w:szCs w:val="24"/>
          <w:highlight w:val="none"/>
        </w:rPr>
        <w:t xml:space="preserve">环境管理体系认证证书</w:t>
      </w:r>
      <w:r>
        <w:rPr>
          <w:rFonts w:hint="eastAsia"/>
          <w:color w:val="000000"/>
          <w:sz w:val="24"/>
          <w:szCs w:val="24"/>
          <w:highlight w:val="none"/>
        </w:rPr>
        <w:t xml:space="preserve">、</w:t>
      </w:r>
      <w:r>
        <w:rPr>
          <w:color w:val="000000"/>
          <w:sz w:val="24"/>
          <w:szCs w:val="24"/>
          <w:highlight w:val="none"/>
        </w:rPr>
        <w:t xml:space="preserve">职业健康安全管理体系认证证书的</w:t>
      </w:r>
      <w:r>
        <w:rPr>
          <w:rFonts w:hint="eastAsia"/>
          <w:color w:val="000000"/>
          <w:sz w:val="24"/>
          <w:szCs w:val="24"/>
          <w:highlight w:val="none"/>
        </w:rPr>
        <w:t xml:space="preserve">每有1个</w:t>
      </w:r>
      <w:r>
        <w:rPr>
          <w:color w:val="000000"/>
          <w:sz w:val="24"/>
          <w:szCs w:val="24"/>
          <w:highlight w:val="none"/>
        </w:rPr>
        <w:t xml:space="preserve">得1分</w:t>
      </w:r>
      <w:r>
        <w:rPr>
          <w:rFonts w:hint="eastAsia"/>
          <w:color w:val="000000"/>
          <w:sz w:val="24"/>
          <w:szCs w:val="24"/>
          <w:highlight w:val="none"/>
        </w:rPr>
        <w:t xml:space="preserve">，本项最高得3分。</w:t>
      </w:r>
      <w:r>
        <w:rPr>
          <w:rFonts w:hint="eastAsia" w:ascii="Times New Roman" w:hAnsi="Times New Roman" w:eastAsia="宋体" w:cs="Times New Roman"/>
          <w:color w:val="000000"/>
          <w:sz w:val="24"/>
          <w:szCs w:val="24"/>
          <w:highlight w:val="none"/>
          <w:lang w:val="en-US" w:eastAsia="zh-CN"/>
        </w:rPr>
      </w:r>
      <w:r/>
    </w:p>
    <w:p>
      <w:pPr>
        <w:pStyle w:val="985"/>
        <w:ind w:firstLine="482"/>
        <w:spacing w:line="440" w:lineRule="exact"/>
        <w:rPr>
          <w:color w:val="000000"/>
          <w:sz w:val="24"/>
          <w:szCs w:val="24"/>
          <w:highlight w:val="none"/>
        </w:rPr>
      </w:pPr>
      <w:r>
        <w:rPr>
          <w:b/>
          <w:bCs/>
          <w:color w:val="000000"/>
          <w:sz w:val="24"/>
          <w:szCs w:val="24"/>
          <w:highlight w:val="none"/>
        </w:rPr>
        <w:t xml:space="preserve">注：须提供有效的相关证书扫描件</w:t>
      </w:r>
      <w:r>
        <w:rPr>
          <w:rFonts w:hint="eastAsia"/>
          <w:b/>
          <w:bCs/>
          <w:color w:val="000000"/>
          <w:sz w:val="24"/>
          <w:szCs w:val="24"/>
          <w:highlight w:val="none"/>
        </w:rPr>
        <w:t xml:space="preserve">及提供官网链接及官网截图加盖公章上传至“苏采云”系统相应位置</w:t>
      </w:r>
      <w:r>
        <w:rPr>
          <w:b/>
          <w:bCs/>
          <w:color w:val="000000"/>
          <w:sz w:val="24"/>
          <w:szCs w:val="24"/>
          <w:highlight w:val="none"/>
        </w:rPr>
        <w:t xml:space="preserve">。</w:t>
      </w:r>
      <w:r>
        <w:rPr>
          <w:color w:val="000000"/>
          <w:sz w:val="24"/>
          <w:szCs w:val="24"/>
          <w:highlight w:val="none"/>
        </w:rPr>
      </w:r>
      <w:r/>
    </w:p>
    <w:p>
      <w:pPr>
        <w:pStyle w:val="985"/>
        <w:numPr>
          <w:ilvl w:val="0"/>
          <w:numId w:val="0"/>
        </w:num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2.3.2</w:t>
      </w:r>
      <w:r>
        <w:rPr>
          <w:rFonts w:hint="eastAsia"/>
          <w:color w:val="000000"/>
          <w:sz w:val="24"/>
          <w:szCs w:val="24"/>
          <w:highlight w:val="none"/>
        </w:rPr>
        <w:t xml:space="preserve">综合实力（</w:t>
      </w:r>
      <w:r>
        <w:rPr>
          <w:rFonts w:hint="eastAsia"/>
          <w:color w:val="000000"/>
          <w:sz w:val="24"/>
          <w:szCs w:val="24"/>
          <w:highlight w:val="none"/>
          <w:lang w:val="en-US" w:eastAsia="zh-CN"/>
        </w:rPr>
        <w:t xml:space="preserve">4</w:t>
      </w:r>
      <w:r>
        <w:rPr>
          <w:rFonts w:hint="eastAsia"/>
          <w:color w:val="000000"/>
          <w:sz w:val="24"/>
          <w:szCs w:val="24"/>
          <w:highlight w:val="none"/>
        </w:rPr>
        <w:t xml:space="preserve">分）</w:t>
      </w:r>
      <w:r>
        <w:rPr>
          <w:rFonts w:hint="eastAsia" w:ascii="Times New Roman" w:hAnsi="Times New Roman" w:eastAsia="宋体" w:cs="Times New Roman"/>
          <w:color w:val="000000"/>
          <w:sz w:val="24"/>
          <w:szCs w:val="24"/>
          <w:highlight w:val="none"/>
          <w:lang w:val="en-US" w:eastAsia="zh-CN"/>
        </w:rPr>
      </w:r>
      <w:r/>
    </w:p>
    <w:p>
      <w:pPr>
        <w:pStyle w:val="985"/>
        <w:ind w:firstLine="480"/>
        <w:spacing w:line="440" w:lineRule="exact"/>
        <w:rPr>
          <w:color w:val="000000"/>
          <w:sz w:val="24"/>
          <w:szCs w:val="24"/>
          <w:highlight w:val="none"/>
        </w:rPr>
      </w:pPr>
      <w:r/>
      <w:bookmarkStart w:id="206" w:name="_Hlk240793801"/>
      <w:r>
        <w:rPr>
          <w:rFonts w:hint="eastAsia"/>
          <w:color w:val="000000"/>
          <w:sz w:val="24"/>
          <w:szCs w:val="24"/>
          <w:highlight w:val="none"/>
          <w:lang w:val="zh-CN"/>
        </w:rPr>
        <w:t xml:space="preserve">投标人（或组成联合体投标的联合体单位）具有有效期内的</w:t>
      </w:r>
      <w:r>
        <w:rPr>
          <w:rFonts w:hint="eastAsia"/>
          <w:color w:val="000000"/>
          <w:sz w:val="24"/>
          <w:szCs w:val="24"/>
          <w:highlight w:val="none"/>
        </w:rPr>
        <w:t xml:space="preserve">综合能源服务认证证书、节能技术服务认证证书、合同能源服务认证证书、设备维修企业能力等级证书（维修范围含中央空调、机电设备</w:t>
      </w:r>
      <w:r>
        <w:rPr>
          <w:rFonts w:hint="eastAsia"/>
          <w:color w:val="000000"/>
          <w:sz w:val="24"/>
          <w:szCs w:val="24"/>
          <w:highlight w:val="none"/>
          <w:lang w:eastAsia="zh-CN"/>
        </w:rPr>
        <w:t xml:space="preserve">等与本项目服务内容相关的</w:t>
      </w:r>
      <w:r>
        <w:rPr>
          <w:rFonts w:hint="eastAsia"/>
          <w:color w:val="000000"/>
          <w:sz w:val="24"/>
          <w:szCs w:val="24"/>
          <w:highlight w:val="none"/>
        </w:rPr>
        <w:t xml:space="preserve">），</w:t>
      </w:r>
      <w:r>
        <w:rPr>
          <w:color w:val="000000"/>
          <w:sz w:val="24"/>
          <w:szCs w:val="24"/>
          <w:highlight w:val="none"/>
        </w:rPr>
        <w:t xml:space="preserve">每提供1个得</w:t>
      </w:r>
      <w:r>
        <w:rPr>
          <w:rFonts w:hint="eastAsia"/>
          <w:color w:val="000000"/>
          <w:sz w:val="24"/>
          <w:szCs w:val="24"/>
          <w:highlight w:val="none"/>
        </w:rPr>
        <w:t xml:space="preserve">1</w:t>
      </w:r>
      <w:r>
        <w:rPr>
          <w:color w:val="000000"/>
          <w:sz w:val="24"/>
          <w:szCs w:val="24"/>
          <w:highlight w:val="none"/>
        </w:rPr>
        <w:t xml:space="preserve">分，</w:t>
      </w:r>
      <w:r>
        <w:rPr>
          <w:rFonts w:hint="eastAsia"/>
          <w:color w:val="000000"/>
          <w:sz w:val="24"/>
          <w:szCs w:val="24"/>
          <w:highlight w:val="none"/>
        </w:rPr>
        <w:t xml:space="preserve">本项</w:t>
      </w:r>
      <w:r>
        <w:rPr>
          <w:color w:val="000000"/>
          <w:sz w:val="24"/>
          <w:szCs w:val="24"/>
          <w:highlight w:val="none"/>
        </w:rPr>
        <w:t xml:space="preserve">最高得</w:t>
      </w:r>
      <w:r>
        <w:rPr>
          <w:rFonts w:hint="eastAsia"/>
          <w:color w:val="000000"/>
          <w:sz w:val="24"/>
          <w:szCs w:val="24"/>
          <w:highlight w:val="none"/>
          <w:lang w:val="en-US" w:eastAsia="zh-CN"/>
        </w:rPr>
        <w:t xml:space="preserve">4</w:t>
      </w:r>
      <w:r>
        <w:rPr>
          <w:color w:val="000000"/>
          <w:sz w:val="24"/>
          <w:szCs w:val="24"/>
          <w:highlight w:val="none"/>
        </w:rPr>
        <w:t xml:space="preserve">分。</w:t>
      </w:r>
      <w:bookmarkEnd w:id="206"/>
      <w:r>
        <w:rPr>
          <w:color w:val="000000"/>
          <w:sz w:val="24"/>
          <w:szCs w:val="24"/>
          <w:highlight w:val="none"/>
        </w:rPr>
      </w:r>
      <w:r/>
    </w:p>
    <w:p>
      <w:pPr>
        <w:pStyle w:val="985"/>
        <w:numPr>
          <w:ilvl w:val="0"/>
          <w:numId w:val="0"/>
        </w:numPr>
        <w:ind w:firstLine="482"/>
        <w:spacing w:line="440" w:lineRule="exact"/>
        <w:rPr>
          <w:rFonts w:ascii="Times New Roman" w:hAnsi="Times New Roman" w:eastAsia="宋体" w:cs="Times New Roman"/>
          <w:b/>
          <w:bCs/>
          <w:color w:val="000000"/>
          <w:sz w:val="24"/>
          <w:szCs w:val="24"/>
          <w:highlight w:val="none"/>
          <w:lang w:val="en-US" w:eastAsia="zh-CN"/>
        </w:rPr>
      </w:pPr>
      <w:r>
        <w:rPr>
          <w:rFonts w:ascii="Times New Roman" w:hAnsi="Times New Roman" w:eastAsia="宋体" w:cs="Times New Roman"/>
          <w:b/>
          <w:bCs/>
          <w:color w:val="000000"/>
          <w:sz w:val="24"/>
          <w:szCs w:val="24"/>
          <w:highlight w:val="none"/>
          <w:lang w:val="en-US" w:eastAsia="zh-CN"/>
        </w:rPr>
        <w:t xml:space="preserve">注：须提供有效的相关证书扫描件</w:t>
      </w:r>
      <w:r>
        <w:rPr>
          <w:rFonts w:hint="eastAsia" w:ascii="Times New Roman" w:hAnsi="Times New Roman" w:eastAsia="宋体" w:cs="Times New Roman"/>
          <w:b/>
          <w:bCs/>
          <w:color w:val="000000"/>
          <w:sz w:val="24"/>
          <w:szCs w:val="24"/>
          <w:highlight w:val="none"/>
          <w:lang w:val="en-US" w:eastAsia="zh-CN"/>
        </w:rPr>
        <w:t xml:space="preserve">及</w:t>
      </w:r>
      <w:r>
        <w:rPr>
          <w:rFonts w:hint="eastAsia" w:ascii="Times New Roman" w:hAnsi="Times New Roman" w:eastAsia="宋体" w:cs="Times New Roman"/>
          <w:b/>
          <w:bCs/>
          <w:strike w:val="0"/>
          <w:color w:val="000000"/>
          <w:sz w:val="24"/>
          <w:szCs w:val="24"/>
          <w:highlight w:val="none"/>
          <w:lang w:val="en-US" w:eastAsia="zh-CN"/>
        </w:rPr>
        <w:t xml:space="preserve">加盖公章上传至“苏采云”系统相应位置</w:t>
      </w:r>
      <w:r>
        <w:rPr>
          <w:rFonts w:ascii="Times New Roman" w:hAnsi="Times New Roman" w:eastAsia="宋体" w:cs="Times New Roman"/>
          <w:b/>
          <w:bCs/>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lang w:val="en-US" w:eastAsia="zh-CN"/>
        </w:rPr>
      </w:r>
      <w:r/>
    </w:p>
    <w:p>
      <w:pPr>
        <w:pStyle w:val="985"/>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color w:val="000000"/>
          <w:sz w:val="24"/>
          <w:szCs w:val="24"/>
          <w:highlight w:val="none"/>
          <w:lang w:val="en-US" w:eastAsia="zh-CN"/>
        </w:rPr>
        <w:t xml:space="preserve">2.3.3</w:t>
      </w:r>
      <w:r>
        <w:rPr>
          <w:rFonts w:hint="eastAsia" w:ascii="宋体" w:hAnsi="宋体" w:eastAsia="宋体" w:cs="Times New Roman"/>
          <w:color w:val="000000"/>
          <w:sz w:val="24"/>
          <w:szCs w:val="24"/>
          <w:highlight w:val="none"/>
          <w:lang w:val="en-US" w:eastAsia="zh-CN"/>
        </w:rPr>
        <w:t xml:space="preserve">往期案例分析（5分）</w:t>
      </w:r>
      <w:r>
        <w:rPr>
          <w:rFonts w:hint="eastAsia" w:ascii="宋体" w:hAnsi="宋体" w:eastAsia="宋体" w:cs="Times New Roman"/>
          <w:color w:val="000000"/>
          <w:sz w:val="24"/>
          <w:szCs w:val="24"/>
          <w:highlight w:val="none"/>
          <w:lang w:val="en-US" w:eastAsia="zh-CN"/>
        </w:rPr>
      </w:r>
      <w:r/>
    </w:p>
    <w:p>
      <w:pPr>
        <w:pStyle w:val="985"/>
        <w:ind w:firstLine="480"/>
        <w:spacing w:line="440" w:lineRule="exact"/>
        <w:rPr>
          <w:rFonts w:hint="eastAsia" w:ascii="宋体" w:hAnsi="宋体"/>
          <w:color w:val="000000"/>
          <w:sz w:val="24"/>
          <w:szCs w:val="24"/>
          <w:highlight w:val="none"/>
        </w:rPr>
      </w:pPr>
      <w:r/>
      <w:bookmarkStart w:id="207" w:name="_Hlk240793841"/>
      <w:r>
        <w:rPr>
          <w:rFonts w:hint="eastAsia" w:ascii="宋体" w:hAnsi="宋体"/>
          <w:color w:val="000000"/>
          <w:sz w:val="24"/>
          <w:szCs w:val="24"/>
          <w:highlight w:val="none"/>
        </w:rPr>
        <w:t xml:space="preserve">对</w:t>
      </w:r>
      <w:bookmarkEnd w:id="207"/>
      <w:r>
        <w:rPr>
          <w:rFonts w:hint="eastAsia" w:ascii="宋体" w:hAnsi="宋体"/>
          <w:color w:val="000000"/>
          <w:sz w:val="24"/>
          <w:szCs w:val="24"/>
          <w:highlight w:val="none"/>
          <w:lang w:val="zh-CN"/>
        </w:rPr>
        <w:t xml:space="preserve">投标人（或组成联合体投标的联合体单位）</w:t>
      </w:r>
      <w:r>
        <w:rPr>
          <w:rFonts w:hint="eastAsia" w:ascii="宋体" w:hAnsi="宋体"/>
          <w:color w:val="000000"/>
          <w:sz w:val="24"/>
          <w:szCs w:val="24"/>
          <w:highlight w:val="none"/>
        </w:rPr>
        <w:t xml:space="preserve">提供的自2021年1月1日以来往期案例分析进行综合评价。对往期案例分析有针对性、分析详尽的，且有与本项目服务内容相关的证明材料支撑（证明材料需具有与本项目服务内容有关的内容，包含但不限于诊断设计、施工改造、融资、运营管理及信息化平台建设内容等能源服务）的得5分；提供了往期类似案例，仅对案例进行简单分析的得3分；往期未做过类似案例，但针对本项目有其他经验分析的得2分；仅提供往期案例、无案例分析的得1分；未提供任何案例及分析的不得分。</w:t>
      </w:r>
      <w:r>
        <w:rPr>
          <w:rFonts w:hint="eastAsia" w:ascii="宋体" w:hAnsi="宋体"/>
          <w:color w:val="000000"/>
          <w:sz w:val="24"/>
          <w:szCs w:val="24"/>
          <w:highlight w:val="none"/>
        </w:rPr>
      </w:r>
      <w:r/>
    </w:p>
    <w:p>
      <w:pPr>
        <w:pStyle w:val="985"/>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注：往期案例证明材料提供合同并原件扫描上传至“苏采云”系统相应位置，合同中若不能体现详细合同内容的，需另外提供业主单位证明扫描件加盖公章作为支撑材料上传至“苏采云”系统相应位置。</w:t>
      </w:r>
      <w:r>
        <w:rPr>
          <w:rFonts w:hint="eastAsia" w:ascii="宋体" w:hAnsi="宋体"/>
          <w:b/>
          <w:bCs/>
          <w:color w:val="000000"/>
          <w:sz w:val="24"/>
          <w:szCs w:val="24"/>
          <w:highlight w:val="none"/>
        </w:rPr>
      </w:r>
      <w:r/>
    </w:p>
    <w:p>
      <w:pPr>
        <w:pStyle w:val="985"/>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color w:val="000000"/>
          <w:sz w:val="24"/>
          <w:szCs w:val="24"/>
          <w:highlight w:val="none"/>
          <w:lang w:val="en-US" w:eastAsia="zh-CN"/>
        </w:rPr>
        <w:t xml:space="preserve">2.3.4信息化能力（3</w:t>
      </w:r>
      <w:r>
        <w:rPr>
          <w:rFonts w:hint="eastAsia" w:ascii="Times New Roman" w:hAnsi="Times New Roman" w:eastAsia="宋体" w:cs="Times New Roman"/>
          <w:color w:val="000000"/>
          <w:sz w:val="24"/>
          <w:szCs w:val="24"/>
          <w:highlight w:val="none"/>
          <w:lang w:val="en-US" w:eastAsia="zh-CN"/>
        </w:rPr>
        <w:t xml:space="preserve">分）</w:t>
      </w:r>
      <w:r>
        <w:rPr>
          <w:rFonts w:hint="eastAsia" w:ascii="Times New Roman" w:hAnsi="Times New Roman" w:eastAsia="宋体" w:cs="Times New Roman"/>
          <w:color w:val="000000"/>
          <w:sz w:val="24"/>
          <w:szCs w:val="24"/>
          <w:highlight w:val="none"/>
          <w:lang w:val="en-US" w:eastAsia="zh-CN"/>
        </w:rPr>
      </w:r>
      <w:r/>
    </w:p>
    <w:p>
      <w:pPr>
        <w:pStyle w:val="985"/>
        <w:ind w:firstLine="480"/>
        <w:spacing w:line="440" w:lineRule="exact"/>
        <w:rPr>
          <w:rFonts w:ascii="Times New Roman" w:hAnsi="Times New Roman" w:eastAsia="宋体" w:cs="Times New Roman"/>
          <w:color w:val="000000"/>
          <w:sz w:val="24"/>
          <w:szCs w:val="24"/>
          <w:highlight w:val="none"/>
          <w:lang w:val="en-US" w:eastAsia="zh-CN"/>
        </w:rPr>
      </w:pPr>
      <w:r>
        <w:rPr>
          <w:rFonts w:hint="eastAsia" w:ascii="宋体" w:hAnsi="宋体"/>
          <w:color w:val="000000"/>
          <w:sz w:val="24"/>
          <w:szCs w:val="24"/>
          <w:highlight w:val="none"/>
          <w:lang w:val="zh-CN"/>
        </w:rPr>
        <w:t xml:space="preserve">投标人（或组成联合体投标的联合体单位）</w:t>
      </w:r>
      <w:r>
        <w:rPr>
          <w:color w:val="000000"/>
          <w:sz w:val="24"/>
          <w:szCs w:val="24"/>
          <w:highlight w:val="none"/>
        </w:rPr>
        <w:t xml:space="preserve">具有</w:t>
      </w:r>
      <w:r>
        <w:rPr>
          <w:rFonts w:hint="eastAsia"/>
          <w:color w:val="000000"/>
          <w:sz w:val="24"/>
          <w:szCs w:val="24"/>
          <w:highlight w:val="none"/>
        </w:rPr>
        <w:t xml:space="preserve">智慧</w:t>
      </w:r>
      <w:r>
        <w:rPr>
          <w:color w:val="000000"/>
          <w:sz w:val="24"/>
          <w:szCs w:val="24"/>
          <w:highlight w:val="none"/>
        </w:rPr>
        <w:t xml:space="preserve">运维管理平台</w:t>
      </w:r>
      <w:r>
        <w:rPr>
          <w:rFonts w:hint="eastAsia"/>
          <w:color w:val="000000"/>
          <w:sz w:val="24"/>
          <w:szCs w:val="24"/>
          <w:highlight w:val="none"/>
        </w:rPr>
        <w:t xml:space="preserve">或能耗综合管理系统</w:t>
      </w:r>
      <w:r>
        <w:rPr>
          <w:color w:val="000000"/>
          <w:sz w:val="24"/>
          <w:szCs w:val="24"/>
          <w:highlight w:val="none"/>
        </w:rPr>
        <w:t xml:space="preserve">或</w:t>
      </w:r>
      <w:r>
        <w:rPr>
          <w:rFonts w:hint="eastAsia"/>
          <w:color w:val="000000"/>
          <w:sz w:val="24"/>
          <w:szCs w:val="24"/>
          <w:highlight w:val="none"/>
        </w:rPr>
        <w:t xml:space="preserve">空调智控系统</w:t>
      </w:r>
      <w:r>
        <w:rPr>
          <w:rFonts w:hint="eastAsia"/>
          <w:color w:val="000000"/>
          <w:sz w:val="24"/>
          <w:szCs w:val="24"/>
          <w:highlight w:val="none"/>
          <w:lang w:eastAsia="zh-CN"/>
        </w:rPr>
        <w:t xml:space="preserve">等</w:t>
      </w:r>
      <w:r>
        <w:rPr>
          <w:rFonts w:hint="eastAsia"/>
          <w:color w:val="000000"/>
          <w:sz w:val="24"/>
          <w:szCs w:val="24"/>
          <w:highlight w:val="none"/>
        </w:rPr>
        <w:t xml:space="preserve">与本项目服务内容</w:t>
      </w:r>
      <w:r>
        <w:rPr>
          <w:rFonts w:hint="eastAsia"/>
          <w:color w:val="000000"/>
          <w:sz w:val="24"/>
          <w:szCs w:val="24"/>
          <w:highlight w:val="none"/>
          <w:lang w:eastAsia="zh-CN"/>
        </w:rPr>
        <w:t xml:space="preserve">有</w:t>
      </w:r>
      <w:r>
        <w:rPr>
          <w:color w:val="000000"/>
          <w:sz w:val="24"/>
          <w:szCs w:val="24"/>
          <w:highlight w:val="none"/>
        </w:rPr>
        <w:t xml:space="preserve">关的软件著作权登记证书的</w:t>
      </w:r>
      <w:r>
        <w:rPr>
          <w:rFonts w:hint="eastAsia"/>
          <w:color w:val="000000"/>
          <w:sz w:val="24"/>
          <w:szCs w:val="24"/>
          <w:highlight w:val="none"/>
        </w:rPr>
        <w:t xml:space="preserve">每有1个</w:t>
      </w:r>
      <w:r>
        <w:rPr>
          <w:color w:val="000000"/>
          <w:sz w:val="24"/>
          <w:szCs w:val="24"/>
          <w:highlight w:val="none"/>
        </w:rPr>
        <w:t xml:space="preserve">得</w:t>
      </w:r>
      <w:r>
        <w:rPr>
          <w:rFonts w:hint="eastAsia"/>
          <w:color w:val="000000"/>
          <w:sz w:val="24"/>
          <w:szCs w:val="24"/>
          <w:highlight w:val="none"/>
        </w:rPr>
        <w:t xml:space="preserve">1</w:t>
      </w:r>
      <w:r>
        <w:rPr>
          <w:color w:val="000000"/>
          <w:sz w:val="24"/>
          <w:szCs w:val="24"/>
          <w:highlight w:val="none"/>
        </w:rPr>
        <w:t xml:space="preserve">分</w:t>
      </w:r>
      <w:r>
        <w:rPr>
          <w:rFonts w:hint="eastAsia"/>
          <w:color w:val="000000"/>
          <w:sz w:val="24"/>
          <w:szCs w:val="24"/>
          <w:highlight w:val="none"/>
        </w:rPr>
        <w:t xml:space="preserve">，本项最高得3分。</w:t>
      </w:r>
      <w:r>
        <w:rPr>
          <w:rFonts w:ascii="Times New Roman" w:hAnsi="Times New Roman" w:eastAsia="宋体" w:cs="Times New Roman"/>
          <w:color w:val="000000"/>
          <w:sz w:val="24"/>
          <w:szCs w:val="24"/>
          <w:highlight w:val="none"/>
          <w:lang w:val="en-US" w:eastAsia="zh-CN"/>
        </w:rPr>
      </w:r>
      <w:r/>
    </w:p>
    <w:p>
      <w:pPr>
        <w:pStyle w:val="985"/>
        <w:numPr>
          <w:ilvl w:val="0"/>
          <w:numId w:val="0"/>
        </w:numPr>
        <w:ind w:firstLine="482"/>
        <w:spacing w:line="440" w:lineRule="exact"/>
        <w:rPr>
          <w:rFonts w:ascii="Times New Roman" w:hAnsi="Times New Roman" w:eastAsia="宋体" w:cs="Times New Roman"/>
          <w:b/>
          <w:bCs/>
          <w:color w:val="000000"/>
          <w:sz w:val="24"/>
          <w:szCs w:val="24"/>
          <w:highlight w:val="none"/>
          <w:lang w:val="en-US" w:eastAsia="zh-CN"/>
        </w:rPr>
      </w:pPr>
      <w:r>
        <w:rPr>
          <w:rFonts w:ascii="Times New Roman" w:hAnsi="Times New Roman" w:eastAsia="宋体" w:cs="Times New Roman"/>
          <w:b/>
          <w:bCs/>
          <w:color w:val="000000"/>
          <w:sz w:val="24"/>
          <w:szCs w:val="24"/>
          <w:highlight w:val="none"/>
          <w:lang w:val="en-US" w:eastAsia="zh-CN"/>
        </w:rPr>
        <w:t xml:space="preserve">注：须提供有效的软件著作权登记证扫描件</w:t>
      </w:r>
      <w:r>
        <w:rPr>
          <w:rFonts w:hint="eastAsia" w:ascii="Times New Roman" w:hAnsi="Times New Roman" w:eastAsia="宋体" w:cs="Times New Roman"/>
          <w:b/>
          <w:bCs/>
          <w:color w:val="000000"/>
          <w:sz w:val="24"/>
          <w:szCs w:val="24"/>
          <w:highlight w:val="none"/>
          <w:lang w:val="en-US" w:eastAsia="zh-CN"/>
        </w:rPr>
        <w:t xml:space="preserve">及</w:t>
      </w:r>
      <w:r>
        <w:rPr>
          <w:rFonts w:hint="eastAsia" w:ascii="Times New Roman" w:hAnsi="Times New Roman" w:eastAsia="宋体" w:cs="Times New Roman"/>
          <w:b/>
          <w:bCs/>
          <w:strike w:val="0"/>
          <w:color w:val="000000"/>
          <w:sz w:val="24"/>
          <w:szCs w:val="24"/>
          <w:highlight w:val="none"/>
          <w:lang w:val="en-US" w:eastAsia="zh-CN"/>
        </w:rPr>
        <w:t xml:space="preserve">加盖公章上传至“苏采云”系统相应位置</w:t>
      </w:r>
      <w:r>
        <w:rPr>
          <w:rFonts w:ascii="Times New Roman" w:hAnsi="Times New Roman" w:eastAsia="宋体" w:cs="Times New Roman"/>
          <w:b/>
          <w:bCs/>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lang w:val="en-US" w:eastAsia="zh-CN"/>
        </w:rPr>
      </w:r>
      <w:r/>
    </w:p>
    <w:p>
      <w:pPr>
        <w:pStyle w:val="985"/>
        <w:ind w:firstLine="480"/>
        <w:spacing w:line="440" w:lineRule="exact"/>
        <w:rPr>
          <w:color w:val="000000"/>
          <w:sz w:val="24"/>
          <w:szCs w:val="24"/>
          <w:highlight w:val="none"/>
        </w:rPr>
      </w:pPr>
      <w:r>
        <w:rPr>
          <w:rFonts w:hint="eastAsia"/>
          <w:color w:val="000000"/>
          <w:sz w:val="24"/>
          <w:szCs w:val="24"/>
          <w:highlight w:val="none"/>
          <w:lang w:val="en-US" w:eastAsia="zh-CN"/>
        </w:rPr>
        <w:t xml:space="preserve">2.3.5</w:t>
      </w:r>
      <w:r>
        <w:rPr>
          <w:rFonts w:hint="eastAsia"/>
          <w:color w:val="000000"/>
          <w:sz w:val="24"/>
          <w:szCs w:val="24"/>
          <w:highlight w:val="none"/>
        </w:rPr>
        <w:t xml:space="preserve">投标人</w:t>
      </w:r>
      <w:r>
        <w:rPr>
          <w:rFonts w:hint="eastAsia" w:ascii="宋体" w:hAnsi="宋体"/>
          <w:color w:val="000000"/>
          <w:sz w:val="24"/>
          <w:szCs w:val="24"/>
          <w:highlight w:val="none"/>
          <w:lang w:val="zh-CN"/>
        </w:rPr>
        <w:t xml:space="preserve">（或组成联合体投标的联合体单位）</w:t>
      </w:r>
      <w:r>
        <w:rPr>
          <w:rFonts w:hint="eastAsia"/>
          <w:color w:val="000000"/>
          <w:sz w:val="24"/>
          <w:szCs w:val="24"/>
          <w:highlight w:val="none"/>
        </w:rPr>
        <w:t xml:space="preserve">拟投入本项目团队（8分）</w:t>
      </w:r>
      <w:r>
        <w:rPr>
          <w:color w:val="000000"/>
          <w:sz w:val="24"/>
          <w:szCs w:val="24"/>
          <w:highlight w:val="none"/>
        </w:rPr>
      </w:r>
      <w:r/>
    </w:p>
    <w:p>
      <w:pPr>
        <w:pStyle w:val="985"/>
        <w:ind w:firstLine="480"/>
        <w:spacing w:line="440" w:lineRule="exact"/>
        <w:rPr>
          <w:color w:val="000000"/>
          <w:sz w:val="24"/>
          <w:szCs w:val="24"/>
          <w:highlight w:val="none"/>
        </w:rPr>
      </w:pPr>
      <w:r>
        <w:rPr>
          <w:rFonts w:hint="eastAsia"/>
          <w:color w:val="000000"/>
          <w:sz w:val="24"/>
          <w:szCs w:val="24"/>
          <w:highlight w:val="none"/>
        </w:rPr>
        <w:t xml:space="preserve">（1）诊断设计人员（3分）：拟投入本项目</w:t>
      </w:r>
      <w:r>
        <w:rPr>
          <w:rFonts w:hint="eastAsia" w:ascii="宋体" w:hAnsi="宋体" w:cs="宋体"/>
          <w:color w:val="000000"/>
          <w:sz w:val="24"/>
          <w:szCs w:val="24"/>
          <w:highlight w:val="none"/>
          <w:lang w:bidi="ar"/>
        </w:rPr>
        <w:t xml:space="preserve">诊断设计人员</w:t>
      </w:r>
      <w:r>
        <w:rPr>
          <w:rFonts w:hint="eastAsia"/>
          <w:color w:val="000000"/>
          <w:sz w:val="24"/>
          <w:szCs w:val="24"/>
          <w:highlight w:val="none"/>
        </w:rPr>
        <w:t xml:space="preserve">具备注册公用设备工程师（暖通空调）的得3分。本项最高得3分。</w:t>
      </w:r>
      <w:r>
        <w:rPr>
          <w:color w:val="000000"/>
          <w:sz w:val="24"/>
          <w:szCs w:val="24"/>
          <w:highlight w:val="none"/>
        </w:rPr>
      </w:r>
      <w:r/>
    </w:p>
    <w:p>
      <w:pPr>
        <w:pStyle w:val="985"/>
        <w:ind w:firstLine="480"/>
        <w:spacing w:line="440" w:lineRule="exact"/>
        <w:rPr>
          <w:rFonts w:hint="eastAsia"/>
          <w:color w:val="000000"/>
          <w:sz w:val="24"/>
          <w:szCs w:val="24"/>
          <w:highlight w:val="none"/>
        </w:rPr>
      </w:pPr>
      <w:r>
        <w:rPr>
          <w:rFonts w:hint="eastAsia"/>
          <w:color w:val="000000"/>
          <w:sz w:val="24"/>
          <w:szCs w:val="24"/>
          <w:highlight w:val="none"/>
        </w:rPr>
        <w:t xml:space="preserve">（2）施工人员（2分）：拟投入本项目施工人员具有</w:t>
      </w:r>
      <w:r>
        <w:rPr>
          <w:rFonts w:hint="eastAsia" w:ascii="宋体" w:hAnsi="宋体" w:cs="宋体"/>
          <w:color w:val="000000"/>
          <w:sz w:val="24"/>
          <w:szCs w:val="24"/>
          <w:highlight w:val="none"/>
          <w:lang w:bidi="ar"/>
        </w:rPr>
        <w:t xml:space="preserve">机电工程专业或机电工程相关专业</w:t>
      </w:r>
      <w:r>
        <w:rPr>
          <w:rFonts w:hint="eastAsia"/>
          <w:color w:val="000000"/>
          <w:sz w:val="24"/>
          <w:szCs w:val="24"/>
          <w:highlight w:val="none"/>
        </w:rPr>
        <w:t xml:space="preserve">中级职称的得1分，具备</w:t>
      </w:r>
      <w:r>
        <w:rPr>
          <w:rFonts w:hint="eastAsia" w:ascii="宋体" w:hAnsi="宋体" w:cs="宋体"/>
          <w:color w:val="000000"/>
          <w:sz w:val="24"/>
          <w:szCs w:val="24"/>
          <w:highlight w:val="none"/>
          <w:lang w:bidi="ar"/>
        </w:rPr>
        <w:t xml:space="preserve">机电工程专业或机电工程相关专业</w:t>
      </w:r>
      <w:r>
        <w:rPr>
          <w:rFonts w:hint="eastAsia"/>
          <w:color w:val="000000"/>
          <w:sz w:val="24"/>
          <w:szCs w:val="24"/>
          <w:highlight w:val="none"/>
        </w:rPr>
        <w:t xml:space="preserve">高级及以上职称证书的得2分，本项最高得2分。</w:t>
      </w:r>
      <w:r>
        <w:rPr>
          <w:rFonts w:hint="eastAsia"/>
          <w:color w:val="000000"/>
          <w:sz w:val="24"/>
          <w:szCs w:val="24"/>
          <w:highlight w:val="none"/>
        </w:rPr>
      </w:r>
      <w:r/>
    </w:p>
    <w:p>
      <w:pPr>
        <w:pStyle w:val="985"/>
        <w:ind w:firstLine="480"/>
        <w:spacing w:line="440" w:lineRule="exact"/>
        <w:rPr>
          <w:rFonts w:hint="eastAsia"/>
          <w:color w:val="000000"/>
          <w:sz w:val="24"/>
          <w:szCs w:val="24"/>
          <w:highlight w:val="none"/>
        </w:rPr>
      </w:pPr>
      <w:r>
        <w:rPr>
          <w:rFonts w:hint="eastAsia"/>
          <w:color w:val="000000"/>
          <w:sz w:val="24"/>
          <w:szCs w:val="24"/>
          <w:highlight w:val="none"/>
        </w:rPr>
        <w:t xml:space="preserve">（3）</w:t>
      </w:r>
      <w:r>
        <w:rPr>
          <w:rFonts w:hint="eastAsia" w:ascii="宋体" w:hAnsi="宋体" w:cs="宋体"/>
          <w:color w:val="000000"/>
          <w:sz w:val="24"/>
          <w:szCs w:val="24"/>
          <w:highlight w:val="none"/>
          <w:lang w:bidi="ar"/>
        </w:rPr>
        <w:t xml:space="preserve">运维管理人员（3分）：</w:t>
      </w:r>
      <w:r>
        <w:rPr>
          <w:rFonts w:hint="eastAsia"/>
          <w:color w:val="000000"/>
          <w:sz w:val="24"/>
          <w:szCs w:val="24"/>
          <w:highlight w:val="none"/>
        </w:rPr>
        <w:t xml:space="preserve">拟投入本项目运维管理人员</w:t>
      </w:r>
      <w:r>
        <w:rPr>
          <w:rFonts w:hint="eastAsia" w:ascii="宋体" w:hAnsi="宋体" w:cs="宋体"/>
          <w:color w:val="000000"/>
          <w:sz w:val="24"/>
          <w:szCs w:val="24"/>
          <w:highlight w:val="none"/>
          <w:lang w:bidi="ar"/>
        </w:rPr>
        <w:t xml:space="preserve">中具有电工</w:t>
      </w:r>
      <w:r>
        <w:rPr>
          <w:rFonts w:hint="eastAsia" w:ascii="宋体" w:hAnsi="宋体" w:cs="宋体"/>
          <w:color w:val="000000"/>
          <w:sz w:val="24"/>
          <w:szCs w:val="24"/>
          <w:highlight w:val="none"/>
          <w:lang w:eastAsia="zh-CN" w:bidi="ar"/>
        </w:rPr>
        <w:t xml:space="preserve">作业</w:t>
      </w:r>
      <w:r>
        <w:rPr>
          <w:rFonts w:hint="eastAsia" w:ascii="宋体" w:hAnsi="宋体" w:cs="宋体"/>
          <w:color w:val="000000"/>
          <w:sz w:val="24"/>
          <w:szCs w:val="24"/>
          <w:highlight w:val="none"/>
          <w:lang w:bidi="ar"/>
        </w:rPr>
        <w:t xml:space="preserve">、制冷</w:t>
      </w:r>
      <w:r>
        <w:rPr>
          <w:rFonts w:hint="eastAsia" w:ascii="宋体" w:hAnsi="宋体" w:cs="宋体"/>
          <w:color w:val="000000"/>
          <w:sz w:val="24"/>
          <w:szCs w:val="24"/>
          <w:highlight w:val="none"/>
          <w:lang w:eastAsia="zh-CN" w:bidi="ar"/>
        </w:rPr>
        <w:t xml:space="preserve">与空调作业</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eastAsia="zh-CN" w:bidi="ar"/>
        </w:rPr>
        <w:t xml:space="preserve">安全员</w:t>
      </w:r>
      <w:r>
        <w:rPr>
          <w:rFonts w:hint="eastAsia" w:ascii="宋体" w:hAnsi="宋体" w:cs="宋体"/>
          <w:color w:val="000000"/>
          <w:sz w:val="24"/>
          <w:szCs w:val="24"/>
          <w:highlight w:val="none"/>
          <w:lang w:bidi="ar"/>
        </w:rPr>
        <w:t xml:space="preserve">及其他相关证书的，每提供1个</w:t>
      </w:r>
      <w:r>
        <w:rPr>
          <w:rFonts w:hint="eastAsia" w:ascii="宋体" w:hAnsi="宋体" w:cs="宋体"/>
          <w:color w:val="000000"/>
          <w:sz w:val="24"/>
          <w:szCs w:val="24"/>
          <w:highlight w:val="none"/>
          <w:lang w:eastAsia="zh-CN" w:bidi="ar"/>
        </w:rPr>
        <w:t xml:space="preserve">证书</w:t>
      </w:r>
      <w:r>
        <w:rPr>
          <w:rFonts w:hint="eastAsia" w:ascii="宋体" w:hAnsi="宋体" w:cs="宋体"/>
          <w:color w:val="000000"/>
          <w:sz w:val="24"/>
          <w:szCs w:val="24"/>
          <w:highlight w:val="none"/>
          <w:lang w:bidi="ar"/>
        </w:rPr>
        <w:t xml:space="preserve">得1分，</w:t>
      </w:r>
      <w:r>
        <w:rPr>
          <w:rFonts w:hint="eastAsia"/>
          <w:color w:val="000000"/>
          <w:sz w:val="24"/>
          <w:szCs w:val="24"/>
          <w:highlight w:val="none"/>
        </w:rPr>
        <w:t xml:space="preserve">本项最高得3分。</w:t>
      </w:r>
      <w:r>
        <w:rPr>
          <w:rFonts w:hint="eastAsia"/>
          <w:color w:val="000000"/>
          <w:sz w:val="24"/>
          <w:szCs w:val="24"/>
          <w:highlight w:val="none"/>
        </w:rPr>
      </w:r>
      <w:r/>
    </w:p>
    <w:p>
      <w:pPr>
        <w:pStyle w:val="985"/>
        <w:ind w:firstLine="482"/>
        <w:spacing w:line="440" w:lineRule="exact"/>
        <w:rPr>
          <w:rFonts w:hint="eastAsia"/>
          <w:b/>
          <w:bCs/>
          <w:color w:val="000000"/>
          <w:sz w:val="24"/>
          <w:szCs w:val="24"/>
          <w:highlight w:val="none"/>
        </w:rPr>
      </w:pPr>
      <w:r>
        <w:rPr>
          <w:rFonts w:hint="eastAsia"/>
          <w:b/>
          <w:bCs/>
          <w:color w:val="000000"/>
          <w:sz w:val="24"/>
          <w:szCs w:val="24"/>
          <w:highlight w:val="none"/>
        </w:rPr>
        <w:t xml:space="preserve">注：提供以上所有的人员有效证书扫描件和近6个月内任意一个月投标人</w:t>
      </w:r>
      <w:r>
        <w:rPr>
          <w:rFonts w:hint="eastAsia" w:ascii="宋体" w:hAnsi="宋体"/>
          <w:b/>
          <w:bCs/>
          <w:color w:val="000000"/>
          <w:sz w:val="24"/>
          <w:szCs w:val="24"/>
          <w:highlight w:val="none"/>
          <w:lang w:val="zh-CN"/>
        </w:rPr>
        <w:t xml:space="preserve">（或组成联合体投标的联合体单位）</w:t>
      </w:r>
      <w:r>
        <w:rPr>
          <w:rFonts w:hint="eastAsia"/>
          <w:b/>
          <w:bCs/>
          <w:color w:val="000000"/>
          <w:sz w:val="24"/>
          <w:szCs w:val="24"/>
          <w:highlight w:val="none"/>
        </w:rPr>
        <w:t xml:space="preserve">为其缴纳的社会保险证明材料加盖公章</w:t>
      </w:r>
      <w:r>
        <w:rPr>
          <w:rFonts w:hint="eastAsia" w:ascii="宋体" w:hAnsi="宋体"/>
          <w:b/>
          <w:bCs/>
          <w:color w:val="000000"/>
          <w:sz w:val="24"/>
          <w:szCs w:val="24"/>
          <w:highlight w:val="none"/>
        </w:rPr>
        <w:t xml:space="preserve">上传至“苏采云”系统相应位置</w:t>
      </w:r>
      <w:r>
        <w:rPr>
          <w:rFonts w:hint="eastAsia"/>
          <w:b/>
          <w:bCs/>
          <w:color w:val="000000"/>
          <w:sz w:val="24"/>
          <w:szCs w:val="24"/>
          <w:highlight w:val="none"/>
        </w:rPr>
        <w:t xml:space="preserve">，否则不得分。</w:t>
      </w:r>
      <w:r>
        <w:rPr>
          <w:rFonts w:hint="eastAsia"/>
          <w:b/>
          <w:bCs/>
          <w:color w:val="000000"/>
          <w:sz w:val="24"/>
          <w:szCs w:val="24"/>
          <w:highlight w:val="none"/>
        </w:rPr>
      </w:r>
      <w:r/>
    </w:p>
    <w:p>
      <w:pPr>
        <w:pStyle w:val="985"/>
        <w:ind w:firstLine="480"/>
        <w:spacing w:line="440" w:lineRule="exact"/>
        <w:rPr>
          <w:rFonts w:hint="eastAsia"/>
          <w:color w:val="000000"/>
          <w:sz w:val="24"/>
          <w:szCs w:val="24"/>
          <w:highlight w:val="none"/>
          <w:lang w:val="zh-CN"/>
        </w:rPr>
      </w:pPr>
      <w:r>
        <w:rPr>
          <w:rFonts w:hint="eastAsia"/>
          <w:color w:val="000000"/>
          <w:sz w:val="24"/>
          <w:szCs w:val="24"/>
          <w:highlight w:val="none"/>
          <w:lang w:val="zh-CN"/>
        </w:rPr>
        <w:t xml:space="preserve">评审后按累计得分高低顺序排名。得分相同的，按最终报价由低到高顺序排名，得分且最终报价相同的，按实施方案优劣顺序排名。实施方案的优劣顺序由评标小组按少数服从多数的原则确定。</w:t>
      </w:r>
      <w:r>
        <w:rPr>
          <w:rFonts w:hint="eastAsia"/>
          <w:color w:val="000000"/>
          <w:sz w:val="24"/>
          <w:szCs w:val="24"/>
          <w:highlight w:val="none"/>
          <w:lang w:val="zh-CN"/>
        </w:rPr>
      </w:r>
      <w:r/>
    </w:p>
    <w:p>
      <w:pPr>
        <w:pStyle w:val="985"/>
        <w:rPr>
          <w:color w:val="000000"/>
          <w:highlight w:val="none"/>
        </w:rPr>
      </w:pPr>
      <w:r>
        <w:rPr>
          <w:color w:val="000000"/>
          <w:highlight w:val="none"/>
        </w:rPr>
      </w:r>
      <w:r/>
    </w:p>
    <w:p>
      <w:pPr>
        <w:pStyle w:val="985"/>
        <w:spacing w:line="440" w:lineRule="exact"/>
        <w:rPr>
          <w:rFonts w:hint="eastAsia"/>
          <w:color w:val="000000"/>
          <w:highlight w:val="none"/>
        </w:rPr>
      </w:pPr>
      <w:r>
        <w:rPr>
          <w:rFonts w:hint="eastAsia"/>
          <w:color w:val="000000"/>
          <w:highlight w:val="none"/>
        </w:rPr>
      </w:r>
      <w:r/>
    </w:p>
    <w:p>
      <w:pPr>
        <w:pStyle w:val="985"/>
        <w:spacing w:line="440" w:lineRule="exact"/>
        <w:rPr>
          <w:rFonts w:hint="eastAsia"/>
          <w:color w:val="000000"/>
          <w:highlight w:val="none"/>
        </w:rPr>
      </w:pPr>
      <w:r>
        <w:rPr>
          <w:rFonts w:hint="eastAsia"/>
          <w:color w:val="000000"/>
          <w:highlight w:val="none"/>
        </w:rPr>
      </w:r>
      <w:r/>
    </w:p>
    <w:p>
      <w:pPr>
        <w:pStyle w:val="985"/>
        <w:spacing w:line="440" w:lineRule="exact"/>
        <w:rPr>
          <w:rFonts w:hint="eastAsia"/>
          <w:color w:val="000000"/>
          <w:highlight w:val="none"/>
        </w:rPr>
      </w:pPr>
      <w:r>
        <w:rPr>
          <w:rFonts w:hint="eastAsia"/>
          <w:color w:val="000000"/>
          <w:highlight w:val="none"/>
        </w:rPr>
      </w:r>
      <w:r/>
    </w:p>
    <w:p>
      <w:pPr>
        <w:pStyle w:val="985"/>
        <w:spacing w:line="440" w:lineRule="exact"/>
        <w:rPr>
          <w:rFonts w:hint="eastAsia"/>
          <w:color w:val="000000"/>
          <w:highlight w:val="none"/>
        </w:rPr>
      </w:pPr>
      <w:r>
        <w:rPr>
          <w:rFonts w:hint="eastAsia"/>
          <w:color w:val="000000"/>
          <w:highlight w:val="none"/>
        </w:rPr>
      </w:r>
      <w:r/>
    </w:p>
    <w:p>
      <w:pPr>
        <w:pStyle w:val="985"/>
        <w:spacing w:line="440" w:lineRule="exact"/>
        <w:rPr>
          <w:rFonts w:hint="eastAsia"/>
          <w:color w:val="000000"/>
          <w:highlight w:val="none"/>
        </w:rPr>
      </w:pPr>
      <w:r>
        <w:rPr>
          <w:rFonts w:hint="eastAsia"/>
          <w:color w:val="000000"/>
          <w:highlight w:val="none"/>
        </w:rPr>
      </w:r>
      <w:r/>
    </w:p>
    <w:p>
      <w:pPr>
        <w:pStyle w:val="985"/>
        <w:spacing w:line="440" w:lineRule="exact"/>
        <w:rPr>
          <w:rFonts w:hint="eastAsia"/>
          <w:color w:val="000000"/>
          <w:highlight w:val="none"/>
        </w:rPr>
      </w:pPr>
      <w:r>
        <w:rPr>
          <w:rFonts w:hint="eastAsia"/>
          <w:color w:val="000000"/>
          <w:highlight w:val="none"/>
        </w:rPr>
      </w:r>
      <w:r/>
    </w:p>
    <w:p>
      <w:pPr>
        <w:pStyle w:val="985"/>
        <w:spacing w:line="440" w:lineRule="exact"/>
        <w:rPr>
          <w:rFonts w:hint="eastAsia"/>
          <w:color w:val="000000"/>
          <w:highlight w:val="none"/>
        </w:rPr>
      </w:pPr>
      <w:r>
        <w:rPr>
          <w:rFonts w:hint="eastAsia"/>
          <w:color w:val="000000"/>
          <w:highlight w:val="none"/>
        </w:rPr>
      </w:r>
      <w:r/>
    </w:p>
    <w:p>
      <w:pPr>
        <w:pStyle w:val="985"/>
        <w:spacing w:line="440" w:lineRule="exact"/>
        <w:rPr>
          <w:rFonts w:hint="eastAsia"/>
          <w:color w:val="000000"/>
          <w:highlight w:val="none"/>
        </w:rPr>
      </w:pPr>
      <w:r>
        <w:rPr>
          <w:rFonts w:hint="eastAsia"/>
          <w:color w:val="000000"/>
          <w:highlight w:val="none"/>
        </w:rPr>
      </w:r>
      <w:r/>
    </w:p>
    <w:p>
      <w:pPr>
        <w:pStyle w:val="985"/>
        <w:spacing w:line="440" w:lineRule="exact"/>
        <w:rPr>
          <w:rFonts w:hint="eastAsia"/>
          <w:color w:val="000000"/>
          <w:highlight w:val="none"/>
        </w:rPr>
      </w:pPr>
      <w:r>
        <w:rPr>
          <w:rFonts w:hint="eastAsia"/>
          <w:color w:val="000000"/>
          <w:highlight w:val="none"/>
        </w:rPr>
      </w:r>
      <w:r/>
    </w:p>
    <w:p>
      <w:pPr>
        <w:pStyle w:val="1061"/>
        <w:rPr>
          <w:rFonts w:hint="eastAsia"/>
          <w:color w:val="000000"/>
          <w:highlight w:val="none"/>
        </w:rPr>
      </w:pPr>
      <w:r>
        <w:rPr>
          <w:rFonts w:hint="eastAsia"/>
          <w:color w:val="000000"/>
          <w:highlight w:val="none"/>
        </w:rPr>
      </w:r>
      <w:r/>
    </w:p>
    <w:p>
      <w:pPr>
        <w:pStyle w:val="985"/>
        <w:jc w:val="center"/>
        <w:keepNext/>
        <w:rPr>
          <w:rFonts w:hint="eastAsia" w:ascii="黑体" w:eastAsia="黑体"/>
          <w:bCs/>
          <w:color w:val="000000"/>
          <w:sz w:val="24"/>
          <w:szCs w:val="24"/>
          <w:highlight w:val="none"/>
        </w:rPr>
        <w:outlineLvl w:val="0"/>
      </w:pPr>
      <w:r>
        <w:rPr>
          <w:rFonts w:hint="eastAsia" w:ascii="黑体" w:eastAsia="黑体"/>
          <w:bCs/>
          <w:color w:val="000000"/>
          <w:sz w:val="32"/>
          <w:szCs w:val="32"/>
          <w:highlight w:val="none"/>
        </w:rPr>
        <w:t xml:space="preserve">第六章  投标文件格式</w:t>
      </w:r>
      <w:r>
        <w:rPr>
          <w:rFonts w:hint="eastAsia" w:ascii="黑体" w:eastAsia="黑体"/>
          <w:bCs/>
          <w:color w:val="000000"/>
          <w:sz w:val="24"/>
          <w:szCs w:val="24"/>
          <w:highlight w:val="none"/>
        </w:rPr>
      </w:r>
      <w:r/>
    </w:p>
    <w:p>
      <w:pPr>
        <w:pStyle w:val="985"/>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985"/>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投  标  文  件</w:t>
      </w:r>
      <w:r>
        <w:rPr>
          <w:rFonts w:hint="eastAsia" w:ascii="宋体" w:hAnsi="宋体"/>
          <w:b/>
          <w:color w:val="000000"/>
          <w:sz w:val="72"/>
          <w:szCs w:val="72"/>
          <w:highlight w:val="none"/>
        </w:rPr>
      </w:r>
      <w:r/>
    </w:p>
    <w:p>
      <w:pPr>
        <w:pStyle w:val="98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8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8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8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8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85"/>
        <w:ind w:firstLine="1606"/>
        <w:rPr>
          <w:rFonts w:hint="eastAsia" w:ascii="宋体" w:hAnsi="宋体"/>
          <w:b/>
          <w:color w:val="000000"/>
          <w:sz w:val="32"/>
          <w:szCs w:val="32"/>
          <w:highlight w:val="none"/>
        </w:rPr>
      </w:pPr>
      <w:r>
        <w:rPr>
          <w:rFonts w:hint="eastAsia" w:ascii="宋体" w:hAnsi="宋体"/>
          <w:b/>
          <w:color w:val="000000"/>
          <w:sz w:val="32"/>
          <w:szCs w:val="32"/>
          <w:highlight w:val="none"/>
        </w:rPr>
        <w:t xml:space="preserve">项 目 名 称：</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eastAsia="zh-CN"/>
        </w:rPr>
        <w:t xml:space="preserve">扬中市行政中心建筑综合能源服务项目</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r>
      <w:r/>
    </w:p>
    <w:p>
      <w:pPr>
        <w:pStyle w:val="985"/>
        <w:jc w:val="center"/>
        <w:rPr>
          <w:rFonts w:hint="eastAsia" w:eastAsia="宋体"/>
          <w:b/>
          <w:color w:val="000000"/>
          <w:sz w:val="32"/>
          <w:szCs w:val="32"/>
          <w:highlight w:val="none"/>
          <w:lang w:eastAsia="zh-CN"/>
        </w:rPr>
      </w:pPr>
      <w:r>
        <w:rPr>
          <w:rFonts w:hint="eastAsia" w:ascii="宋体" w:hAnsi="宋体"/>
          <w:b/>
          <w:color w:val="000000"/>
          <w:sz w:val="32"/>
          <w:szCs w:val="32"/>
          <w:highlight w:val="none"/>
        </w:rPr>
        <w:t xml:space="preserve">项 目 编 号：</w:t>
      </w:r>
      <w:r>
        <w:rPr>
          <w:rFonts w:hint="eastAsia"/>
          <w:b/>
          <w:bCs/>
          <w:color w:val="000000"/>
          <w:sz w:val="32"/>
          <w:szCs w:val="32"/>
          <w:highlight w:val="none"/>
          <w:u w:val="single"/>
          <w:lang w:eastAsia="zh-CN"/>
        </w:rPr>
        <w:t xml:space="preserve">JSZC-321182-JJGS-G2026-0019</w:t>
      </w:r>
      <w:r>
        <w:rPr>
          <w:rFonts w:hint="eastAsia" w:eastAsia="宋体"/>
          <w:b/>
          <w:color w:val="000000"/>
          <w:sz w:val="32"/>
          <w:szCs w:val="32"/>
          <w:highlight w:val="none"/>
          <w:lang w:eastAsia="zh-CN"/>
        </w:rPr>
      </w:r>
      <w:r/>
    </w:p>
    <w:p>
      <w:pPr>
        <w:pStyle w:val="985"/>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供应商名称 ：</w:t>
      </w:r>
      <w:r>
        <w:rPr>
          <w:rFonts w:hint="eastAsia" w:ascii="宋体" w:hAnsi="宋体"/>
          <w:b/>
          <w:color w:val="000000"/>
          <w:sz w:val="32"/>
          <w:szCs w:val="32"/>
          <w:highlight w:val="none"/>
          <w:u w:val="single"/>
        </w:rPr>
        <w:t xml:space="preserve">（加盖CA电子公章）</w:t>
      </w:r>
      <w:r>
        <w:rPr>
          <w:rFonts w:hint="eastAsia" w:ascii="宋体" w:hAnsi="宋体"/>
          <w:b/>
          <w:color w:val="000000"/>
          <w:sz w:val="32"/>
          <w:szCs w:val="32"/>
          <w:highlight w:val="none"/>
          <w:u w:val="single"/>
        </w:rPr>
      </w:r>
      <w:r/>
    </w:p>
    <w:p>
      <w:pPr>
        <w:pStyle w:val="985"/>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日      期 ：</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98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85"/>
        <w:spacing w:line="440" w:lineRule="exact"/>
        <w:rPr>
          <w:rFonts w:ascii="宋体" w:hAnsi="宋体"/>
          <w:color w:val="000000"/>
          <w:sz w:val="32"/>
          <w:szCs w:val="32"/>
          <w:highlight w:val="none"/>
        </w:rPr>
      </w:pPr>
      <w:r>
        <w:rPr>
          <w:rFonts w:ascii="宋体" w:hAnsi="宋体"/>
          <w:color w:val="000000"/>
          <w:sz w:val="32"/>
          <w:szCs w:val="32"/>
          <w:highlight w:val="none"/>
        </w:rPr>
      </w:r>
      <w:r/>
    </w:p>
    <w:p>
      <w:pPr>
        <w:pStyle w:val="985"/>
        <w:rPr>
          <w:rFonts w:ascii="宋体" w:hAnsi="宋体"/>
          <w:b/>
          <w:bCs/>
          <w:color w:val="000000"/>
          <w:sz w:val="24"/>
          <w:szCs w:val="24"/>
          <w:highlight w:val="none"/>
        </w:rPr>
      </w:pPr>
      <w:r>
        <w:rPr>
          <w:rFonts w:ascii="宋体" w:hAnsi="宋体"/>
          <w:b/>
          <w:bCs/>
          <w:color w:val="000000"/>
          <w:sz w:val="24"/>
          <w:szCs w:val="24"/>
          <w:highlight w:val="none"/>
        </w:rPr>
      </w:r>
      <w:r/>
    </w:p>
    <w:p>
      <w:pPr>
        <w:pStyle w:val="985"/>
        <w:spacing w:line="440" w:lineRule="exact"/>
        <w:rPr>
          <w:rFonts w:hint="eastAsia"/>
          <w:color w:val="000000"/>
          <w:highlight w:val="none"/>
        </w:rPr>
      </w:pPr>
      <w:r>
        <w:rPr>
          <w:rFonts w:hint="eastAsia"/>
          <w:color w:val="000000"/>
          <w:highlight w:val="none"/>
        </w:rPr>
      </w:r>
      <w:r/>
    </w:p>
    <w:p>
      <w:pPr>
        <w:pStyle w:val="985"/>
        <w:spacing w:line="440" w:lineRule="exact"/>
        <w:rPr>
          <w:rFonts w:hint="eastAsia"/>
          <w:color w:val="000000"/>
          <w:highlight w:val="none"/>
        </w:rPr>
      </w:pPr>
      <w:r>
        <w:rPr>
          <w:rFonts w:hint="eastAsia"/>
          <w:color w:val="000000"/>
          <w:highlight w:val="none"/>
        </w:rPr>
      </w:r>
      <w:r/>
    </w:p>
    <w:p>
      <w:pPr>
        <w:pStyle w:val="985"/>
        <w:spacing w:line="440" w:lineRule="exact"/>
        <w:rPr>
          <w:rFonts w:ascii="宋体" w:hAnsi="宋体"/>
          <w:b/>
          <w:bCs/>
          <w:color w:val="000000"/>
          <w:sz w:val="32"/>
          <w:szCs w:val="32"/>
          <w:highlight w:val="none"/>
        </w:rPr>
      </w:pPr>
      <w:r/>
      <w:bookmarkEnd w:id="197"/>
      <w:r/>
      <w:bookmarkEnd w:id="198"/>
      <w:r/>
      <w:bookmarkEnd w:id="205"/>
      <w:r/>
      <w:bookmarkStart w:id="208" w:name="_Toc120614282"/>
      <w:r/>
      <w:bookmarkStart w:id="209" w:name="_Toc26554094"/>
      <w:r/>
      <w:bookmarkStart w:id="210" w:name="_Toc49090576"/>
      <w:r>
        <w:rPr>
          <w:rFonts w:ascii="宋体" w:hAnsi="宋体"/>
          <w:b/>
          <w:bCs/>
          <w:color w:val="000000"/>
          <w:sz w:val="32"/>
          <w:szCs w:val="32"/>
          <w:highlight w:val="none"/>
        </w:rPr>
        <w:br w:type="page" w:clear="all"/>
      </w:r>
      <w:r>
        <w:rPr>
          <w:rFonts w:ascii="宋体" w:hAnsi="宋体"/>
          <w:b/>
          <w:bCs/>
          <w:color w:val="000000"/>
          <w:sz w:val="32"/>
          <w:szCs w:val="32"/>
          <w:highlight w:val="none"/>
        </w:rPr>
      </w:r>
      <w:r/>
    </w:p>
    <w:p>
      <w:pPr>
        <w:pStyle w:val="98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98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8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一、具有独立承担民事责任的能力</w:t>
      </w:r>
      <w:r>
        <w:rPr>
          <w:rFonts w:hint="eastAsia" w:ascii="宋体" w:hAnsi="宋体"/>
          <w:i/>
          <w:color w:val="000000"/>
          <w:sz w:val="24"/>
          <w:highlight w:val="none"/>
          <w:u w:val="single"/>
        </w:rPr>
      </w:r>
      <w:r/>
    </w:p>
    <w:p>
      <w:pPr>
        <w:pStyle w:val="98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二、具有良好的商业信誉和健全的财务会计制度</w:t>
      </w:r>
      <w:r>
        <w:rPr>
          <w:rFonts w:hint="eastAsia" w:ascii="宋体" w:hAnsi="宋体"/>
          <w:i/>
          <w:color w:val="000000"/>
          <w:sz w:val="24"/>
          <w:highlight w:val="none"/>
          <w:u w:val="single"/>
        </w:rPr>
      </w:r>
      <w:r/>
    </w:p>
    <w:p>
      <w:pPr>
        <w:pStyle w:val="98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三、具有履行合同所必需的设备和专业技术能力</w:t>
      </w:r>
      <w:r>
        <w:rPr>
          <w:rFonts w:hint="eastAsia" w:ascii="宋体" w:hAnsi="宋体"/>
          <w:i/>
          <w:color w:val="000000"/>
          <w:sz w:val="24"/>
          <w:highlight w:val="none"/>
          <w:u w:val="single"/>
        </w:rPr>
      </w:r>
      <w:r/>
    </w:p>
    <w:p>
      <w:pPr>
        <w:pStyle w:val="98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四、提供参加本次政府采购活动前三年内，在经营活动中没有重大违法记录的承诺函</w:t>
      </w:r>
      <w:r>
        <w:rPr>
          <w:rFonts w:hint="eastAsia" w:ascii="宋体" w:hAnsi="宋体"/>
          <w:i/>
          <w:color w:val="000000"/>
          <w:sz w:val="24"/>
          <w:highlight w:val="none"/>
          <w:u w:val="single"/>
        </w:rPr>
      </w:r>
      <w:r/>
    </w:p>
    <w:p>
      <w:pPr>
        <w:pStyle w:val="98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五、依法缴纳税收和社会保障资金的相关材料</w:t>
      </w:r>
      <w:r>
        <w:rPr>
          <w:rFonts w:hint="eastAsia" w:ascii="宋体" w:hAnsi="宋体"/>
          <w:i/>
          <w:color w:val="000000"/>
          <w:sz w:val="24"/>
          <w:highlight w:val="none"/>
          <w:u w:val="single"/>
        </w:rPr>
      </w:r>
      <w:r/>
    </w:p>
    <w:p>
      <w:pPr>
        <w:pStyle w:val="98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六、特定资格要求的证明文件（如果本项目设置特定资格要求，则需要提供）</w:t>
      </w:r>
      <w:r>
        <w:rPr>
          <w:rFonts w:hint="eastAsia" w:ascii="宋体" w:hAnsi="宋体"/>
          <w:i/>
          <w:color w:val="000000"/>
          <w:sz w:val="24"/>
          <w:highlight w:val="none"/>
          <w:u w:val="single"/>
        </w:rPr>
      </w:r>
      <w:r/>
    </w:p>
    <w:p>
      <w:pPr>
        <w:pStyle w:val="98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七、法人授权书</w:t>
      </w:r>
      <w:r>
        <w:rPr>
          <w:rFonts w:hint="eastAsia" w:ascii="宋体" w:hAnsi="宋体"/>
          <w:i/>
          <w:color w:val="000000"/>
          <w:sz w:val="24"/>
          <w:highlight w:val="none"/>
          <w:u w:val="single"/>
        </w:rPr>
      </w:r>
      <w:r/>
    </w:p>
    <w:p>
      <w:pPr>
        <w:pStyle w:val="98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八、投标函</w:t>
      </w:r>
      <w:r>
        <w:rPr>
          <w:rFonts w:hint="eastAsia" w:ascii="宋体" w:hAnsi="宋体"/>
          <w:i/>
          <w:color w:val="000000"/>
          <w:sz w:val="24"/>
          <w:highlight w:val="none"/>
          <w:u w:val="single"/>
        </w:rPr>
      </w:r>
      <w:r/>
    </w:p>
    <w:p>
      <w:pPr>
        <w:pStyle w:val="98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九、中小企业声明函</w:t>
      </w:r>
      <w:r>
        <w:rPr>
          <w:rFonts w:hint="eastAsia" w:ascii="宋体" w:hAnsi="宋体"/>
          <w:iCs/>
          <w:color w:val="000000"/>
          <w:sz w:val="24"/>
          <w:highlight w:val="none"/>
        </w:rPr>
      </w:r>
      <w:r/>
    </w:p>
    <w:p>
      <w:pPr>
        <w:pStyle w:val="98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十、残疾人福利性单位声明函</w:t>
      </w:r>
      <w:r>
        <w:rPr>
          <w:rFonts w:hint="eastAsia" w:ascii="宋体" w:hAnsi="宋体"/>
          <w:iCs/>
          <w:color w:val="000000"/>
          <w:sz w:val="24"/>
          <w:highlight w:val="none"/>
        </w:rPr>
      </w:r>
      <w:r/>
    </w:p>
    <w:p>
      <w:pPr>
        <w:pStyle w:val="98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十一、联合体协议</w:t>
      </w:r>
      <w:r>
        <w:rPr>
          <w:rFonts w:hint="eastAsia" w:ascii="宋体" w:hAnsi="宋体"/>
          <w:iCs/>
          <w:color w:val="000000"/>
          <w:sz w:val="24"/>
          <w:highlight w:val="none"/>
        </w:rPr>
      </w:r>
      <w:r/>
    </w:p>
    <w:p>
      <w:pPr>
        <w:pStyle w:val="98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十二、投标分项报价表</w:t>
      </w:r>
      <w:r>
        <w:rPr>
          <w:rFonts w:hint="eastAsia" w:ascii="宋体" w:hAnsi="宋体"/>
          <w:iCs/>
          <w:color w:val="000000"/>
          <w:sz w:val="24"/>
          <w:highlight w:val="none"/>
        </w:rPr>
      </w:r>
      <w:r/>
    </w:p>
    <w:p>
      <w:pPr>
        <w:pStyle w:val="98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十三、技术要求响应及偏离表</w:t>
      </w:r>
      <w:r>
        <w:rPr>
          <w:rFonts w:hint="eastAsia" w:ascii="宋体" w:hAnsi="宋体"/>
          <w:iCs/>
          <w:color w:val="000000"/>
          <w:sz w:val="24"/>
          <w:highlight w:val="none"/>
        </w:rPr>
      </w:r>
      <w:r/>
    </w:p>
    <w:p>
      <w:pPr>
        <w:pStyle w:val="985"/>
        <w:ind w:firstLine="480"/>
        <w:spacing w:line="440" w:lineRule="exact"/>
        <w:rPr>
          <w:rFonts w:ascii="宋体" w:hAnsi="宋体"/>
          <w:iCs/>
          <w:color w:val="000000"/>
          <w:sz w:val="24"/>
          <w:highlight w:val="none"/>
        </w:rPr>
      </w:pPr>
      <w:r>
        <w:rPr>
          <w:rFonts w:hint="eastAsia" w:ascii="宋体" w:hAnsi="宋体"/>
          <w:iCs/>
          <w:color w:val="000000"/>
          <w:sz w:val="24"/>
          <w:highlight w:val="none"/>
        </w:rPr>
        <w:t xml:space="preserve">十四、商务要求响应及偏离表</w:t>
      </w:r>
      <w:r>
        <w:rPr>
          <w:rFonts w:ascii="宋体" w:hAnsi="宋体"/>
          <w:iCs/>
          <w:color w:val="000000"/>
          <w:sz w:val="24"/>
          <w:highlight w:val="none"/>
        </w:rPr>
      </w:r>
      <w:r/>
    </w:p>
    <w:p>
      <w:pPr>
        <w:pStyle w:val="985"/>
        <w:ind w:firstLine="480"/>
        <w:spacing w:line="440" w:lineRule="exact"/>
        <w:rPr>
          <w:rFonts w:ascii="宋体" w:hAnsi="宋体"/>
          <w:i/>
          <w:color w:val="000000"/>
          <w:sz w:val="24"/>
          <w:highlight w:val="none"/>
          <w:u w:val="single"/>
        </w:rPr>
      </w:pPr>
      <w:r>
        <w:rPr>
          <w:rFonts w:hint="eastAsia" w:ascii="宋体" w:hAnsi="宋体"/>
          <w:i/>
          <w:color w:val="000000"/>
          <w:sz w:val="24"/>
          <w:highlight w:val="none"/>
          <w:u w:val="single"/>
        </w:rPr>
        <w:t xml:space="preserve">十五、开标一览表</w:t>
      </w:r>
      <w:r>
        <w:rPr>
          <w:rFonts w:ascii="宋体" w:hAnsi="宋体"/>
          <w:i/>
          <w:color w:val="000000"/>
          <w:sz w:val="24"/>
          <w:highlight w:val="none"/>
          <w:u w:val="single"/>
        </w:rPr>
      </w:r>
      <w:r/>
    </w:p>
    <w:p>
      <w:pPr>
        <w:pStyle w:val="985"/>
        <w:ind w:firstLine="480"/>
        <w:spacing w:line="440" w:lineRule="exact"/>
        <w:rPr>
          <w:rFonts w:ascii="宋体" w:hAnsi="宋体"/>
          <w:iCs/>
          <w:color w:val="000000"/>
          <w:sz w:val="24"/>
          <w:highlight w:val="none"/>
        </w:rPr>
      </w:pPr>
      <w:r>
        <w:rPr>
          <w:rFonts w:hint="eastAsia" w:ascii="宋体" w:hAnsi="宋体"/>
          <w:iCs/>
          <w:color w:val="000000"/>
          <w:sz w:val="24"/>
          <w:highlight w:val="none"/>
        </w:rPr>
        <w:t xml:space="preserve">十六、资格承诺函</w:t>
      </w:r>
      <w:r>
        <w:rPr>
          <w:rFonts w:ascii="宋体" w:hAnsi="宋体"/>
          <w:iCs/>
          <w:color w:val="000000"/>
          <w:sz w:val="24"/>
          <w:highlight w:val="none"/>
        </w:rPr>
      </w:r>
      <w:r/>
    </w:p>
    <w:p>
      <w:pPr>
        <w:pStyle w:val="985"/>
        <w:ind w:firstLine="480"/>
        <w:spacing w:line="440" w:lineRule="exact"/>
        <w:rPr>
          <w:rFonts w:ascii="宋体" w:hAnsi="宋体"/>
          <w:color w:val="000000"/>
          <w:sz w:val="24"/>
          <w:highlight w:val="none"/>
        </w:rPr>
      </w:pPr>
      <w:r>
        <w:rPr>
          <w:rFonts w:ascii="宋体" w:hAnsi="宋体"/>
          <w:color w:val="000000"/>
          <w:sz w:val="24"/>
          <w:highlight w:val="none"/>
        </w:rPr>
      </w:r>
      <w:r/>
    </w:p>
    <w:p>
      <w:pPr>
        <w:pStyle w:val="985"/>
        <w:ind w:firstLine="480"/>
        <w:spacing w:line="440" w:lineRule="exact"/>
        <w:rPr>
          <w:rFonts w:ascii="宋体" w:hAnsi="宋体"/>
          <w:color w:val="000000"/>
          <w:sz w:val="24"/>
          <w:highlight w:val="none"/>
        </w:rPr>
      </w:pPr>
      <w:r>
        <w:rPr>
          <w:rFonts w:ascii="宋体" w:hAnsi="宋体"/>
          <w:color w:val="000000"/>
          <w:sz w:val="24"/>
          <w:highlight w:val="none"/>
        </w:rPr>
      </w:r>
      <w:r/>
    </w:p>
    <w:p>
      <w:pPr>
        <w:pStyle w:val="985"/>
        <w:ind w:firstLine="480"/>
        <w:spacing w:line="440" w:lineRule="exact"/>
        <w:rPr>
          <w:rFonts w:ascii="宋体" w:hAnsi="宋体"/>
          <w:color w:val="000000"/>
          <w:sz w:val="24"/>
          <w:highlight w:val="none"/>
        </w:rPr>
      </w:pPr>
      <w:r>
        <w:rPr>
          <w:rFonts w:ascii="宋体" w:hAnsi="宋体"/>
          <w:color w:val="000000"/>
          <w:sz w:val="24"/>
          <w:highlight w:val="none"/>
        </w:rPr>
      </w:r>
      <w:r/>
    </w:p>
    <w:p>
      <w:pPr>
        <w:pStyle w:val="985"/>
        <w:ind w:firstLine="480"/>
        <w:spacing w:line="440" w:lineRule="exact"/>
        <w:rPr>
          <w:rFonts w:ascii="宋体" w:hAnsi="宋体"/>
          <w:color w:val="000000"/>
          <w:sz w:val="24"/>
          <w:highlight w:val="none"/>
        </w:rPr>
      </w:pPr>
      <w:r>
        <w:rPr>
          <w:rFonts w:ascii="宋体" w:hAnsi="宋体"/>
          <w:color w:val="000000"/>
          <w:sz w:val="24"/>
          <w:highlight w:val="none"/>
        </w:rPr>
      </w:r>
      <w:r/>
    </w:p>
    <w:p>
      <w:pPr>
        <w:pStyle w:val="985"/>
        <w:ind w:firstLine="480"/>
        <w:spacing w:line="440" w:lineRule="exact"/>
        <w:rPr>
          <w:rFonts w:ascii="宋体" w:hAnsi="宋体"/>
          <w:color w:val="000000"/>
          <w:sz w:val="24"/>
          <w:highlight w:val="none"/>
        </w:rPr>
      </w:pPr>
      <w:r>
        <w:rPr>
          <w:rFonts w:ascii="宋体" w:hAnsi="宋体"/>
          <w:color w:val="000000"/>
          <w:sz w:val="24"/>
          <w:highlight w:val="none"/>
        </w:rPr>
      </w:r>
      <w:r/>
    </w:p>
    <w:p>
      <w:pPr>
        <w:pStyle w:val="985"/>
        <w:ind w:firstLine="480"/>
        <w:spacing w:line="440" w:lineRule="exact"/>
        <w:rPr>
          <w:rFonts w:ascii="宋体" w:hAnsi="宋体"/>
          <w:color w:val="000000"/>
          <w:sz w:val="24"/>
          <w:highlight w:val="none"/>
        </w:rPr>
      </w:pPr>
      <w:r>
        <w:rPr>
          <w:rFonts w:ascii="宋体" w:hAnsi="宋体"/>
          <w:color w:val="000000"/>
          <w:sz w:val="24"/>
          <w:highlight w:val="none"/>
        </w:rPr>
      </w:r>
      <w:r/>
    </w:p>
    <w:p>
      <w:pPr>
        <w:pStyle w:val="985"/>
        <w:ind w:firstLine="480"/>
        <w:spacing w:line="440" w:lineRule="exact"/>
        <w:rPr>
          <w:rFonts w:ascii="宋体" w:hAnsi="宋体"/>
          <w:color w:val="000000"/>
          <w:sz w:val="24"/>
          <w:highlight w:val="none"/>
        </w:rPr>
      </w:pPr>
      <w:r>
        <w:rPr>
          <w:rFonts w:ascii="宋体" w:hAnsi="宋体"/>
          <w:color w:val="000000"/>
          <w:sz w:val="24"/>
          <w:highlight w:val="none"/>
        </w:rPr>
      </w:r>
      <w:r/>
    </w:p>
    <w:p>
      <w:pPr>
        <w:pStyle w:val="985"/>
        <w:ind w:firstLine="480"/>
        <w:spacing w:line="440" w:lineRule="exact"/>
        <w:rPr>
          <w:rFonts w:ascii="宋体" w:hAnsi="宋体"/>
          <w:color w:val="000000"/>
          <w:sz w:val="24"/>
          <w:highlight w:val="none"/>
        </w:rPr>
      </w:pPr>
      <w:r>
        <w:rPr>
          <w:rFonts w:ascii="宋体" w:hAnsi="宋体"/>
          <w:color w:val="000000"/>
          <w:sz w:val="24"/>
          <w:highlight w:val="none"/>
        </w:rPr>
      </w:r>
      <w:r/>
    </w:p>
    <w:p>
      <w:pPr>
        <w:pStyle w:val="985"/>
        <w:spacing w:line="440" w:lineRule="exac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提供法人或者其他组织的营业执照等证明文件，自然人的身份证明；如供应商为事业单位，请提供事业单位法人证书</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【注：组成联合体</w:t>
      </w:r>
      <w:r>
        <w:rPr>
          <w:rFonts w:hint="eastAsia" w:ascii="宋体" w:hAnsi="宋体"/>
          <w:b/>
          <w:bCs/>
          <w:color w:val="000000"/>
          <w:sz w:val="24"/>
          <w:szCs w:val="24"/>
          <w:highlight w:val="none"/>
          <w:lang w:eastAsia="zh-CN"/>
        </w:rPr>
        <w:t xml:space="preserve">投标</w:t>
      </w:r>
      <w:r>
        <w:rPr>
          <w:rFonts w:hint="eastAsia" w:ascii="宋体" w:hAnsi="宋体"/>
          <w:b/>
          <w:bCs/>
          <w:color w:val="000000"/>
          <w:sz w:val="24"/>
          <w:szCs w:val="24"/>
          <w:highlight w:val="none"/>
        </w:rPr>
        <w:t xml:space="preserve">的，本项证明材料联合体双方均应提供】</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年度财务报告（成立不满一年的提供至少一个月财务报告），或银行出具的资信证明，或财政部门认可的政府采购专业担保机构出具的投标担保函。</w:t>
      </w:r>
      <w:r>
        <w:rPr>
          <w:rFonts w:hint="eastAsia" w:ascii="宋体" w:hAnsi="宋体"/>
          <w:b/>
          <w:bCs/>
          <w:color w:val="000000"/>
          <w:sz w:val="24"/>
          <w:szCs w:val="24"/>
          <w:highlight w:val="none"/>
        </w:rPr>
        <w:t xml:space="preserve">【注：组成联合体</w:t>
      </w:r>
      <w:r>
        <w:rPr>
          <w:rFonts w:hint="eastAsia" w:ascii="宋体" w:hAnsi="宋体"/>
          <w:b/>
          <w:bCs/>
          <w:color w:val="000000"/>
          <w:sz w:val="24"/>
          <w:szCs w:val="24"/>
          <w:highlight w:val="none"/>
          <w:lang w:eastAsia="zh-CN"/>
        </w:rPr>
        <w:t xml:space="preserve">投标</w:t>
      </w:r>
      <w:r>
        <w:rPr>
          <w:rFonts w:hint="eastAsia" w:ascii="宋体" w:hAnsi="宋体"/>
          <w:b/>
          <w:bCs/>
          <w:color w:val="000000"/>
          <w:sz w:val="24"/>
          <w:szCs w:val="24"/>
          <w:highlight w:val="none"/>
        </w:rPr>
        <w:t xml:space="preserve">的，本项证明材料联合体双方均应提供】</w:t>
      </w:r>
      <w:r>
        <w:rPr>
          <w:rFonts w:hint="eastAsia" w:ascii="宋体" w:hAnsi="宋体"/>
          <w:color w:val="000000"/>
          <w:sz w:val="24"/>
          <w:szCs w:val="24"/>
          <w:highlight w:val="none"/>
        </w:rPr>
      </w:r>
      <w:r/>
    </w:p>
    <w:p>
      <w:pPr>
        <w:pStyle w:val="98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三、具有履行合同所必需的设备和专业技术能力</w:t>
      </w:r>
      <w:r>
        <w:rPr>
          <w:rFonts w:ascii="宋体" w:hAnsi="宋体"/>
          <w:bCs/>
          <w:color w:val="000000"/>
          <w:sz w:val="24"/>
          <w:szCs w:val="24"/>
          <w:highlight w:val="none"/>
        </w:rPr>
      </w:r>
      <w:r/>
    </w:p>
    <w:p>
      <w:pPr>
        <w:pStyle w:val="98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投标单位相关信息一览表（见投标文件格式）。</w:t>
      </w:r>
      <w:r>
        <w:rPr>
          <w:rFonts w:hint="eastAsia" w:ascii="宋体" w:hAnsi="宋体"/>
          <w:b/>
          <w:bCs/>
          <w:color w:val="000000"/>
          <w:sz w:val="24"/>
          <w:szCs w:val="24"/>
          <w:highlight w:val="none"/>
        </w:rPr>
        <w:t xml:space="preserve">【注：组成联合体</w:t>
      </w:r>
      <w:r>
        <w:rPr>
          <w:rFonts w:hint="eastAsia" w:ascii="宋体" w:hAnsi="宋体"/>
          <w:b/>
          <w:bCs/>
          <w:color w:val="000000"/>
          <w:sz w:val="24"/>
          <w:szCs w:val="24"/>
          <w:highlight w:val="none"/>
          <w:lang w:eastAsia="zh-CN"/>
        </w:rPr>
        <w:t xml:space="preserve">投标</w:t>
      </w:r>
      <w:r>
        <w:rPr>
          <w:rFonts w:hint="eastAsia" w:ascii="宋体" w:hAnsi="宋体"/>
          <w:b/>
          <w:bCs/>
          <w:color w:val="000000"/>
          <w:sz w:val="24"/>
          <w:szCs w:val="24"/>
          <w:highlight w:val="none"/>
        </w:rPr>
        <w:t xml:space="preserve">的，本项证明材料联合体双方均应提供】</w:t>
      </w:r>
      <w:r>
        <w:rPr>
          <w:rFonts w:ascii="宋体" w:hAnsi="宋体"/>
          <w:bCs/>
          <w:color w:val="000000"/>
          <w:sz w:val="24"/>
          <w:szCs w:val="24"/>
          <w:highlight w:val="none"/>
        </w:rPr>
      </w:r>
      <w:r/>
    </w:p>
    <w:p>
      <w:pPr>
        <w:pStyle w:val="98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四、提供参加本次政府采购活动前三年内，在经营活动中没有重大违法记录的承诺函</w:t>
      </w:r>
      <w:r>
        <w:rPr>
          <w:rFonts w:hint="eastAsia" w:ascii="宋体" w:hAnsi="宋体"/>
          <w:b/>
          <w:bCs/>
          <w:color w:val="000000"/>
          <w:sz w:val="24"/>
          <w:szCs w:val="24"/>
          <w:highlight w:val="none"/>
        </w:rPr>
        <w:t xml:space="preserve">【注：组成联合体</w:t>
      </w:r>
      <w:r>
        <w:rPr>
          <w:rFonts w:hint="eastAsia" w:ascii="宋体" w:hAnsi="宋体"/>
          <w:b/>
          <w:bCs/>
          <w:color w:val="000000"/>
          <w:sz w:val="24"/>
          <w:szCs w:val="24"/>
          <w:highlight w:val="none"/>
          <w:lang w:eastAsia="zh-CN"/>
        </w:rPr>
        <w:t xml:space="preserve">投标</w:t>
      </w:r>
      <w:r>
        <w:rPr>
          <w:rFonts w:hint="eastAsia" w:ascii="宋体" w:hAnsi="宋体"/>
          <w:b/>
          <w:bCs/>
          <w:color w:val="000000"/>
          <w:sz w:val="24"/>
          <w:szCs w:val="24"/>
          <w:highlight w:val="none"/>
        </w:rPr>
        <w:t xml:space="preserve">的，本项证明材料联合体双方均应提供】</w:t>
      </w:r>
      <w:r>
        <w:rPr>
          <w:rFonts w:ascii="宋体" w:hAnsi="宋体"/>
          <w:bCs/>
          <w:color w:val="000000"/>
          <w:sz w:val="24"/>
          <w:szCs w:val="24"/>
          <w:highlight w:val="none"/>
        </w:rPr>
      </w:r>
      <w:r/>
    </w:p>
    <w:p>
      <w:pPr>
        <w:pStyle w:val="98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见投标函第7条。</w:t>
      </w:r>
      <w:r>
        <w:rPr>
          <w:rFonts w:ascii="宋体" w:hAnsi="宋体"/>
          <w:bCs/>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五、依法缴纳税收和社会保障资金的相关材料</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b/>
          <w:bCs/>
          <w:color w:val="000000"/>
          <w:sz w:val="24"/>
          <w:szCs w:val="24"/>
          <w:highlight w:val="none"/>
        </w:rPr>
        <w:t xml:space="preserve">【注：组成联合体</w:t>
      </w:r>
      <w:r>
        <w:rPr>
          <w:rFonts w:hint="eastAsia" w:ascii="宋体" w:hAnsi="宋体"/>
          <w:b/>
          <w:bCs/>
          <w:color w:val="000000"/>
          <w:sz w:val="24"/>
          <w:szCs w:val="24"/>
          <w:highlight w:val="none"/>
          <w:lang w:eastAsia="zh-CN"/>
        </w:rPr>
        <w:t xml:space="preserve">投标</w:t>
      </w:r>
      <w:r>
        <w:rPr>
          <w:rFonts w:hint="eastAsia" w:ascii="宋体" w:hAnsi="宋体"/>
          <w:b/>
          <w:bCs/>
          <w:color w:val="000000"/>
          <w:sz w:val="24"/>
          <w:szCs w:val="24"/>
          <w:highlight w:val="none"/>
        </w:rPr>
        <w:t xml:space="preserve">的，本项证明材料联合体双方均应提供】</w:t>
      </w:r>
      <w:r>
        <w:rPr>
          <w:rFonts w:hint="eastAsia" w:ascii="宋体" w:hAnsi="宋体"/>
          <w:color w:val="000000"/>
          <w:sz w:val="24"/>
          <w:szCs w:val="24"/>
          <w:highlight w:val="none"/>
        </w:rPr>
      </w:r>
      <w:r/>
    </w:p>
    <w:p>
      <w:pPr>
        <w:pStyle w:val="98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注：①按扬财购〔2023〕17号《关于进一步降低政府采购活动成本减轻政府采购供应商负担的通知》本项目申请人的资格条件采取“信用承诺制”，</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项，供应商可选择提供资格承诺函</w:t>
      </w:r>
      <w:r>
        <w:rPr>
          <w:rFonts w:hint="eastAsia" w:ascii="宋体" w:hAnsi="宋体"/>
          <w:color w:val="000000"/>
          <w:sz w:val="24"/>
          <w:szCs w:val="24"/>
          <w:highlight w:val="none"/>
        </w:rPr>
        <w:t xml:space="preserve">（见投标文件格式）</w:t>
      </w:r>
      <w:r>
        <w:rPr>
          <w:rFonts w:ascii="宋体" w:hAnsi="宋体"/>
          <w:bCs/>
          <w:color w:val="000000"/>
          <w:sz w:val="24"/>
          <w:szCs w:val="24"/>
          <w:highlight w:val="none"/>
        </w:rPr>
        <w:t xml:space="preserve">，在</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文件中无需再提供与</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项相关的证明材料即可参加采购活动。</w:t>
      </w:r>
      <w:r>
        <w:rPr>
          <w:rFonts w:ascii="宋体" w:hAnsi="宋体"/>
          <w:bCs/>
          <w:color w:val="000000"/>
          <w:sz w:val="24"/>
          <w:szCs w:val="24"/>
          <w:highlight w:val="none"/>
        </w:rPr>
      </w:r>
      <w:r/>
    </w:p>
    <w:p>
      <w:pPr>
        <w:pStyle w:val="98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②供应商可自行选择是否提供承诺函，若不提供承诺函的，应按</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文件要求提供相应的证明材料。</w:t>
      </w:r>
      <w:r>
        <w:rPr>
          <w:rFonts w:ascii="宋体" w:hAnsi="宋体"/>
          <w:bCs/>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ascii="宋体" w:hAnsi="宋体"/>
          <w:bCs/>
          <w:color w:val="000000"/>
          <w:sz w:val="24"/>
          <w:szCs w:val="24"/>
          <w:highlight w:val="none"/>
        </w:rPr>
        <w:t xml:space="preserve">③供应商应当遵循诚实信用原则，不得作虚假承诺。供应商承诺不实的，属于提供虚假材料谋取中标、</w:t>
      </w:r>
      <w:r>
        <w:rPr>
          <w:rFonts w:hint="eastAsia" w:ascii="宋体" w:hAnsi="宋体"/>
          <w:bCs/>
          <w:color w:val="000000"/>
          <w:sz w:val="24"/>
          <w:szCs w:val="24"/>
          <w:highlight w:val="none"/>
          <w:lang w:eastAsia="zh-CN"/>
        </w:rPr>
        <w:t xml:space="preserve">中标</w:t>
      </w:r>
      <w:r>
        <w:rPr>
          <w:rFonts w:ascii="宋体" w:hAnsi="宋体"/>
          <w:bCs/>
          <w:color w:val="000000"/>
          <w:sz w:val="24"/>
          <w:szCs w:val="24"/>
          <w:highlight w:val="none"/>
        </w:rPr>
        <w:t xml:space="preserve">，应承担相应的法律责任。</w:t>
      </w:r>
      <w:r>
        <w:rPr>
          <w:rFonts w:hint="eastAsia" w:ascii="宋体" w:hAnsi="宋体"/>
          <w:color w:val="000000"/>
          <w:sz w:val="24"/>
          <w:szCs w:val="24"/>
          <w:highlight w:val="none"/>
        </w:rPr>
      </w:r>
      <w:r/>
    </w:p>
    <w:p>
      <w:pPr>
        <w:pStyle w:val="985"/>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六、特定资格要求的证明文件</w:t>
      </w:r>
      <w:r>
        <w:rPr>
          <w:rFonts w:hint="eastAsia" w:ascii="宋体" w:hAnsi="宋体"/>
          <w:color w:val="000000"/>
          <w:sz w:val="24"/>
          <w:szCs w:val="24"/>
          <w:highlight w:val="none"/>
          <w:lang w:eastAsia="zh-CN"/>
        </w:rPr>
        <w:t xml:space="preserve">：详见第一部分</w:t>
      </w:r>
      <w:r>
        <w:rPr>
          <w:rFonts w:hint="eastAsia" w:ascii="宋体" w:hAnsi="宋体" w:eastAsia="宋体"/>
          <w:color w:val="000000"/>
          <w:sz w:val="24"/>
          <w:szCs w:val="24"/>
          <w:highlight w:val="none"/>
          <w:lang w:eastAsia="zh-CN"/>
        </w:rPr>
      </w:r>
      <w:r/>
    </w:p>
    <w:p>
      <w:pPr>
        <w:pStyle w:val="985"/>
        <w:jc w:val="center"/>
        <w:spacing w:before="145" w:after="145" w:line="440" w:lineRule="exact"/>
        <w:rPr>
          <w:rFonts w:hint="eastAsia" w:ascii="黑体" w:hAnsi="黑体" w:eastAsia="黑体"/>
          <w:i/>
          <w:color w:val="000000"/>
          <w:sz w:val="32"/>
          <w:szCs w:val="32"/>
          <w:highlight w:val="none"/>
          <w:u w:val="single"/>
        </w:rPr>
      </w:pPr>
      <w:r>
        <w:rPr>
          <w:rFonts w:hint="eastAsia" w:ascii="宋体" w:hAnsi="宋体"/>
          <w:color w:val="000000"/>
          <w:sz w:val="24"/>
          <w:szCs w:val="24"/>
          <w:highlight w:val="none"/>
        </w:rPr>
        <w:br w:type="page" w:clear="all"/>
      </w:r>
      <w:bookmarkEnd w:id="208"/>
      <w:r/>
      <w:bookmarkEnd w:id="209"/>
      <w:r/>
      <w:bookmarkEnd w:id="210"/>
      <w:r/>
      <w:bookmarkStart w:id="211" w:name="_Toc120614284"/>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1071"/>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w:t>
      </w:r>
      <w:r>
        <w:rPr>
          <w:rFonts w:hint="eastAsia"/>
          <w:color w:val="000000"/>
          <w:sz w:val="24"/>
          <w:szCs w:val="24"/>
          <w:highlight w:val="none"/>
          <w:u w:val="single"/>
        </w:rPr>
        <w:t xml:space="preserve">   </w:t>
      </w:r>
      <w:r>
        <w:rPr>
          <w:rFonts w:hint="eastAsia"/>
          <w:color w:val="000000"/>
          <w:sz w:val="24"/>
          <w:szCs w:val="24"/>
          <w:highlight w:val="none"/>
          <w:u w:val="single"/>
          <w:lang w:eastAsia="zh-CN"/>
        </w:rPr>
        <w:t xml:space="preserve">扬中市行政中心建筑综合能源服务项目</w:t>
      </w:r>
      <w:r>
        <w:rPr>
          <w:rFonts w:hint="eastAsia"/>
          <w:color w:val="000000"/>
          <w:sz w:val="24"/>
          <w:szCs w:val="24"/>
          <w:highlight w:val="none"/>
          <w:u w:val="single"/>
        </w:rPr>
        <w:t xml:space="preserve">    </w:t>
      </w:r>
      <w:r>
        <w:rPr>
          <w:rFonts w:hint="eastAsia"/>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r>
      <w:r/>
    </w:p>
    <w:p>
      <w:pPr>
        <w:pStyle w:val="1071"/>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1071"/>
        <w:ind w:firstLine="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071"/>
        <w:ind w:firstLine="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071"/>
        <w:ind w:firstLine="120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1071"/>
        <w:ind w:firstLine="48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071"/>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      日期：</w:t>
      </w:r>
      <w:bookmarkStart w:id="212" w:name="_Hlt26671380"/>
      <w:r/>
      <w:bookmarkEnd w:id="212"/>
      <w:r/>
      <w:bookmarkStart w:id="213" w:name="_Hlt26955070"/>
      <w:r/>
      <w:bookmarkEnd w:id="213"/>
      <w:r/>
      <w:bookmarkStart w:id="214" w:name="_格式3__银行出具的资信证明"/>
      <w:r/>
      <w:bookmarkEnd w:id="214"/>
      <w:r>
        <w:rPr>
          <w:rFonts w:hint="eastAsia"/>
          <w:color w:val="000000"/>
          <w:sz w:val="24"/>
          <w:szCs w:val="24"/>
          <w:highlight w:val="none"/>
          <w:u w:val="single"/>
        </w:rPr>
        <w:t xml:space="preserve">                                         </w:t>
      </w:r>
      <w:r>
        <w:rPr>
          <w:rFonts w:hint="eastAsia"/>
          <w:color w:val="000000"/>
          <w:sz w:val="24"/>
          <w:szCs w:val="24"/>
          <w:highlight w:val="none"/>
        </w:rPr>
      </w:r>
      <w:r/>
    </w:p>
    <w:p>
      <w:pPr>
        <w:pStyle w:val="1002"/>
        <w:spacing w:line="440" w:lineRule="exact"/>
        <w:rPr>
          <w:rFonts w:hint="eastAsia"/>
          <w:i/>
          <w:color w:val="000000"/>
          <w:sz w:val="24"/>
          <w:szCs w:val="24"/>
          <w:highlight w:val="none"/>
          <w:u w:val="single"/>
        </w:rPr>
      </w:pPr>
      <w:r>
        <w:rPr>
          <w:rFonts w:hint="eastAsia"/>
          <w:i/>
          <w:color w:val="000000"/>
          <w:sz w:val="24"/>
          <w:szCs w:val="24"/>
          <w:highlight w:val="none"/>
          <w:u w:val="single"/>
        </w:rPr>
      </w:r>
      <w:r/>
    </w:p>
    <w:p>
      <w:pPr>
        <w:pStyle w:val="1002"/>
        <w:ind w:firstLine="0"/>
        <w:spacing w:line="440" w:lineRule="exact"/>
        <w:rPr>
          <w:rFonts w:hint="eastAsia"/>
          <w:color w:val="000000"/>
          <w:highlight w:val="none"/>
        </w:rPr>
      </w:pPr>
      <w:r>
        <w:rPr>
          <w:rFonts w:hint="eastAsia"/>
          <w:color w:val="000000"/>
          <w:highlight w:val="none"/>
        </w:rPr>
      </w:r>
      <w:r/>
    </w:p>
    <w:p>
      <w:pPr>
        <w:pStyle w:val="985"/>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987"/>
        <w:ind w:firstLine="3390"/>
        <w:jc w:val="both"/>
        <w:spacing w:before="145" w:after="145" w:line="440" w:lineRule="exact"/>
        <w:rPr>
          <w:rFonts w:ascii="黑体" w:hAnsi="黑体" w:eastAsia="黑体" w:cs="Times New Roman"/>
          <w:bCs w:val="0"/>
          <w:i/>
          <w:color w:val="000000"/>
          <w:sz w:val="32"/>
          <w:szCs w:val="32"/>
          <w:highlight w:val="none"/>
          <w:u w:val="single"/>
        </w:rPr>
      </w:pPr>
      <w:r>
        <w:rPr>
          <w:rFonts w:ascii="宋体" w:hAnsi="宋体"/>
          <w:bCs w:val="0"/>
          <w:color w:val="000000"/>
          <w:sz w:val="24"/>
          <w:highlight w:val="none"/>
        </w:rPr>
        <w:br w:type="page" w:clear="all"/>
      </w:r>
      <w:r>
        <w:rPr>
          <w:rFonts w:hint="eastAsia" w:ascii="黑体" w:hAnsi="黑体" w:eastAsia="黑体"/>
          <w:bCs w:val="0"/>
          <w:i/>
          <w:color w:val="000000"/>
          <w:sz w:val="32"/>
          <w:szCs w:val="32"/>
          <w:highlight w:val="none"/>
          <w:u w:val="single"/>
        </w:rPr>
        <w:t xml:space="preserve">八、</w:t>
      </w:r>
      <w:r>
        <w:rPr>
          <w:rFonts w:hint="eastAsia" w:ascii="黑体" w:hAnsi="黑体" w:eastAsia="黑体" w:cs="Times New Roman"/>
          <w:bCs w:val="0"/>
          <w:i/>
          <w:color w:val="000000"/>
          <w:sz w:val="32"/>
          <w:szCs w:val="32"/>
          <w:highlight w:val="none"/>
          <w:u w:val="single"/>
        </w:rPr>
        <w:t xml:space="preserve">投标函</w:t>
      </w:r>
      <w:r>
        <w:rPr>
          <w:rFonts w:ascii="黑体" w:hAnsi="黑体" w:eastAsia="黑体" w:cs="Times New Roman"/>
          <w:bCs w:val="0"/>
          <w:i/>
          <w:color w:val="000000"/>
          <w:sz w:val="32"/>
          <w:szCs w:val="32"/>
          <w:highlight w:val="none"/>
          <w:u w:val="single"/>
        </w:rPr>
      </w:r>
      <w:r/>
    </w:p>
    <w:p>
      <w:pPr>
        <w:pStyle w:val="1073"/>
        <w:ind w:firstLine="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致：采购代理机构</w:t>
      </w:r>
      <w:r>
        <w:rPr>
          <w:rFonts w:hint="eastAsia" w:ascii="宋体" w:hAnsi="宋体"/>
          <w:color w:val="000000"/>
          <w:szCs w:val="21"/>
          <w:highlight w:val="none"/>
        </w:rPr>
      </w:r>
      <w:r/>
    </w:p>
    <w:p>
      <w:pPr>
        <w:pStyle w:val="107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根据贵方的</w:t>
      </w:r>
      <w:r>
        <w:rPr>
          <w:rFonts w:hint="eastAsia" w:ascii="宋体" w:hAnsi="宋体"/>
          <w:color w:val="000000"/>
          <w:szCs w:val="21"/>
          <w:highlight w:val="none"/>
          <w:lang w:eastAsia="zh-CN"/>
        </w:rPr>
        <w:t xml:space="preserve">扬中市行政中心建筑综合能源服务项目</w:t>
      </w:r>
      <w:r>
        <w:rPr>
          <w:rFonts w:hint="eastAsia" w:ascii="宋体" w:hAnsi="宋体"/>
          <w:color w:val="000000"/>
          <w:szCs w:val="21"/>
          <w:highlight w:val="none"/>
        </w:rPr>
        <w:t xml:space="preserve">招标文件，正式授权下述签字人______(姓名)代表我方_____（投标人的名称），全权处理本次项目投标的有关事宜。</w:t>
      </w:r>
      <w:r>
        <w:rPr>
          <w:rFonts w:hint="eastAsia" w:ascii="宋体" w:hAnsi="宋体"/>
          <w:color w:val="000000"/>
          <w:szCs w:val="21"/>
          <w:highlight w:val="none"/>
        </w:rPr>
      </w:r>
      <w:r/>
    </w:p>
    <w:p>
      <w:pPr>
        <w:pStyle w:val="107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hint="eastAsia" w:ascii="宋体" w:hAnsi="宋体"/>
          <w:color w:val="000000"/>
          <w:szCs w:val="21"/>
          <w:highlight w:val="none"/>
        </w:rPr>
      </w:r>
      <w:r/>
    </w:p>
    <w:p>
      <w:pPr>
        <w:pStyle w:val="107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rFonts w:hint="eastAsia" w:ascii="宋体" w:hAnsi="宋体"/>
          <w:color w:val="000000"/>
          <w:szCs w:val="21"/>
          <w:highlight w:val="none"/>
        </w:rPr>
      </w:r>
      <w:r/>
    </w:p>
    <w:p>
      <w:pPr>
        <w:pStyle w:val="107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07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07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073"/>
        <w:spacing w:before="0" w:after="0" w:line="44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073"/>
        <w:spacing w:before="0" w:after="0" w:line="44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1073"/>
        <w:spacing w:before="0" w:after="0" w:line="440" w:lineRule="exact"/>
        <w:rPr>
          <w:rFonts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t xml:space="preserve">我公司郑重声明：参加本次政府采购活动前三年内，在经营活动中没有重大违法记录。</w:t>
      </w:r>
      <w:r>
        <w:rPr>
          <w:rFonts w:ascii="宋体" w:hAnsi="宋体"/>
          <w:color w:val="000000"/>
          <w:szCs w:val="21"/>
          <w:highlight w:val="none"/>
        </w:rPr>
      </w:r>
      <w:r/>
    </w:p>
    <w:p>
      <w:pPr>
        <w:pStyle w:val="107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8.与本投标有关的正式通讯地址为：</w:t>
      </w:r>
      <w:r>
        <w:rPr>
          <w:rFonts w:hint="eastAsia" w:ascii="宋体" w:hAnsi="宋体"/>
          <w:color w:val="000000"/>
          <w:szCs w:val="21"/>
          <w:highlight w:val="none"/>
        </w:rPr>
      </w:r>
      <w:r/>
    </w:p>
    <w:p>
      <w:pPr>
        <w:pStyle w:val="107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7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107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rPr>
      </w:r>
      <w:r/>
    </w:p>
    <w:p>
      <w:pPr>
        <w:pStyle w:val="107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rPr>
      </w:r>
      <w:r/>
    </w:p>
    <w:p>
      <w:pPr>
        <w:pStyle w:val="107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投标人开户行：</w:t>
      </w:r>
      <w:r>
        <w:rPr>
          <w:rFonts w:hint="eastAsia" w:ascii="宋体" w:hAnsi="宋体"/>
          <w:color w:val="000000"/>
          <w:szCs w:val="21"/>
          <w:highlight w:val="none"/>
        </w:rPr>
      </w:r>
      <w:r/>
    </w:p>
    <w:p>
      <w:pPr>
        <w:pStyle w:val="107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rFonts w:hint="eastAsia" w:ascii="宋体" w:hAnsi="宋体"/>
          <w:color w:val="000000"/>
          <w:szCs w:val="21"/>
          <w:highlight w:val="none"/>
        </w:rPr>
      </w:r>
      <w:r/>
    </w:p>
    <w:p>
      <w:pPr>
        <w:pStyle w:val="107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日          期：_____年____月____日</w:t>
      </w:r>
      <w:r>
        <w:rPr>
          <w:rFonts w:hint="eastAsia" w:ascii="宋体" w:hAnsi="宋体"/>
          <w:color w:val="000000"/>
          <w:szCs w:val="21"/>
          <w:highlight w:val="none"/>
        </w:rPr>
      </w:r>
      <w:r/>
    </w:p>
    <w:p>
      <w:pPr>
        <w:pStyle w:val="98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98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98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98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98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985"/>
        <w:jc w:val="center"/>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985"/>
        <w:jc w:val="center"/>
        <w:spacing w:before="145" w:after="145"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九、中小企业声明函（服务）（分包号：**）</w:t>
      </w:r>
      <w:r>
        <w:rPr>
          <w:rFonts w:hint="eastAsia" w:ascii="黑体" w:hAnsi="黑体" w:eastAsia="黑体"/>
          <w:b/>
          <w:color w:val="000000"/>
          <w:sz w:val="32"/>
          <w:szCs w:val="32"/>
          <w:highlight w:val="none"/>
        </w:rPr>
      </w:r>
      <w:r/>
    </w:p>
    <w:p>
      <w:pPr>
        <w:pStyle w:val="98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w:t>
      </w:r>
      <w:r>
        <w:rPr>
          <w:rFonts w:hint="eastAsia" w:ascii="宋体" w:hAnsi="宋体"/>
          <w:color w:val="000000"/>
          <w:sz w:val="24"/>
          <w:szCs w:val="24"/>
          <w:highlight w:val="none"/>
        </w:rPr>
        <w:t xml:space="preserve">参加江苏金居工程项目管理有限公司代理机构组织的</w:t>
      </w:r>
      <w:r>
        <w:rPr>
          <w:rFonts w:hint="eastAsia" w:ascii="宋体" w:hAnsi="宋体"/>
          <w:color w:val="000000"/>
          <w:sz w:val="24"/>
          <w:szCs w:val="24"/>
          <w:highlight w:val="none"/>
          <w:u w:val="single"/>
          <w:lang w:eastAsia="zh-CN"/>
        </w:rPr>
        <w:t xml:space="preserve">JSZC-321182-JJGS-G2026-0019</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eastAsia="zh-CN"/>
        </w:rPr>
        <w:t xml:space="preserve">扬中市行政中心建筑综合能源服务项目</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highlight w:val="none"/>
        </w:rPr>
      </w:r>
      <w:r/>
    </w:p>
    <w:p>
      <w:pPr>
        <w:pStyle w:val="985"/>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扬中市行政中心建筑综合能源服务项目</w:t>
      </w:r>
      <w:r>
        <w:rPr>
          <w:rFonts w:hint="eastAsia" w:ascii="宋体" w:hAnsi="宋体"/>
          <w:color w:val="000000"/>
          <w:sz w:val="24"/>
          <w:szCs w:val="24"/>
          <w:highlight w:val="none"/>
          <w:u w:val="single"/>
        </w:rPr>
        <w:t xml:space="preserve">）</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属于其他未列明行业；承接企业为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985"/>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扬中市行政中心建筑综合能源服务项目</w:t>
      </w:r>
      <w:r>
        <w:rPr>
          <w:rFonts w:hint="eastAsia" w:ascii="宋体" w:hAnsi="宋体"/>
          <w:color w:val="000000"/>
          <w:sz w:val="24"/>
          <w:szCs w:val="24"/>
          <w:highlight w:val="none"/>
          <w:u w:val="single"/>
        </w:rPr>
        <w:t xml:space="preserve">）</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rPr>
        <w:t xml:space="preserve">其他未列明行业</w:t>
      </w:r>
      <w:r>
        <w:rPr>
          <w:rFonts w:hint="eastAsia" w:ascii="宋体" w:hAnsi="宋体"/>
          <w:color w:val="000000"/>
          <w:sz w:val="24"/>
          <w:szCs w:val="24"/>
          <w:highlight w:val="none"/>
        </w:rPr>
        <w:t xml:space="preserve">；承接企业为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98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8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8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85"/>
        <w:ind w:right="72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5"/>
        <w:ind w:right="180" w:firstLine="360"/>
        <w:jc w:val="righ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85"/>
        <w:ind w:right="480" w:firstLine="54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985"/>
        <w:ind w:firstLine="2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备注2：供应商如不提供此声明函，价格将不做相应扣除。</w:t>
      </w:r>
      <w:r>
        <w:rPr>
          <w:rFonts w:hint="eastAsia" w:ascii="宋体" w:hAnsi="宋体"/>
          <w:color w:val="000000"/>
          <w:sz w:val="24"/>
          <w:szCs w:val="24"/>
          <w:highlight w:val="none"/>
        </w:rPr>
      </w:r>
      <w:r/>
    </w:p>
    <w:p>
      <w:pPr>
        <w:pStyle w:val="985"/>
        <w:jc w:val="center"/>
        <w:spacing w:before="145" w:after="145" w:line="440" w:lineRule="exact"/>
        <w:rPr>
          <w:rFonts w:hint="eastAsia" w:ascii="黑体" w:hAnsi="黑体" w:eastAsia="黑体"/>
          <w:b/>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十、残疾人福利性单位声明函（分包号：**）</w:t>
      </w:r>
      <w:r>
        <w:rPr>
          <w:rFonts w:hint="eastAsia" w:ascii="黑体" w:hAnsi="黑体" w:eastAsia="黑体"/>
          <w:b/>
          <w:color w:val="000000"/>
          <w:sz w:val="32"/>
          <w:szCs w:val="32"/>
          <w:highlight w:val="none"/>
        </w:rPr>
      </w:r>
      <w:r/>
    </w:p>
    <w:p>
      <w:pPr>
        <w:pStyle w:val="98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highlight w:val="none"/>
          <w:u w:val="single"/>
          <w:lang w:eastAsia="zh-CN"/>
        </w:rPr>
        <w:t xml:space="preserve">扬中市机关与事务管理中心</w:t>
      </w:r>
      <w:r>
        <w:rPr>
          <w:rFonts w:hint="eastAsia" w:ascii="宋体" w:hAnsi="宋体"/>
          <w:color w:val="000000"/>
          <w:sz w:val="24"/>
          <w:highlight w:val="none"/>
        </w:rPr>
        <w:t xml:space="preserve">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szCs w:val="24"/>
          <w:highlight w:val="none"/>
          <w:u w:val="single"/>
          <w:lang w:eastAsia="zh-CN"/>
        </w:rPr>
        <w:t xml:space="preserve">扬中市行政中心建筑综合能源服务项目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项目（分包号：**）采购活动由本单位提供服务。</w:t>
      </w:r>
      <w:r>
        <w:rPr>
          <w:rFonts w:hint="eastAsia" w:ascii="宋体" w:hAnsi="宋体"/>
          <w:color w:val="000000"/>
          <w:sz w:val="24"/>
          <w:highlight w:val="none"/>
        </w:rPr>
      </w:r>
      <w:r/>
    </w:p>
    <w:p>
      <w:pPr>
        <w:pStyle w:val="98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985"/>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98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（备注：1、供应商如不提供此声明函，价格将不做相应扣除。2、中标人为残疾人福利单位的，此声明函将随中标结果同时公告，接受社会监督）</w:t>
      </w:r>
      <w:r>
        <w:rPr>
          <w:rFonts w:ascii="宋体" w:hAnsi="宋体"/>
          <w:color w:val="000000"/>
          <w:sz w:val="24"/>
          <w:highlight w:val="none"/>
        </w:rPr>
      </w:r>
      <w:r/>
    </w:p>
    <w:p>
      <w:pPr>
        <w:pStyle w:val="985"/>
        <w:ind w:firstLine="624"/>
        <w:spacing w:line="44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85"/>
        <w:ind w:right="1560" w:firstLine="624"/>
        <w:jc w:val="center"/>
        <w:spacing w:line="440"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rPr>
          <w:rFonts w:ascii="宋体" w:hAnsi="宋体"/>
          <w:color w:val="000000"/>
          <w:sz w:val="24"/>
          <w:highlight w:val="none"/>
        </w:rPr>
      </w:r>
      <w:r/>
    </w:p>
    <w:p>
      <w:pPr>
        <w:pStyle w:val="985"/>
        <w:ind w:right="1560" w:firstLine="480"/>
        <w:jc w:val="center"/>
        <w:spacing w:line="440"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before="145" w:after="145"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eastAsia="zh-CN"/>
        </w:rPr>
        <w:t xml:space="preserve">一</w:t>
      </w:r>
      <w:r>
        <w:rPr>
          <w:rFonts w:hint="eastAsia" w:ascii="黑体" w:hAnsi="黑体" w:eastAsia="黑体"/>
          <w:b/>
          <w:color w:val="000000"/>
          <w:sz w:val="32"/>
          <w:szCs w:val="32"/>
          <w:highlight w:val="none"/>
        </w:rPr>
        <w:t xml:space="preserve">、投标分项报价表（分包号：**）</w:t>
      </w:r>
      <w:r>
        <w:rPr>
          <w:rFonts w:hint="eastAsia" w:ascii="黑体" w:hAnsi="黑体" w:eastAsia="黑体"/>
          <w:b/>
          <w:color w:val="000000"/>
          <w:sz w:val="32"/>
          <w:szCs w:val="32"/>
          <w:highlight w:val="none"/>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74"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8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924"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03"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61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179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r>
      <w:tr>
        <w:trPr>
          <w:cantSplit/>
          <w:trHeight w:val="294"/>
        </w:trPr>
        <w:tc>
          <w:tcPr>
            <w:tcW w:w="948" w:type="dxa"/>
            <w:vAlign w:val="center"/>
            <w:vMerge w:val="continue"/>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74"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分项服务名称</w:t>
            </w:r>
            <w:r>
              <w:rPr>
                <w:rFonts w:hint="eastAsia" w:ascii="宋体" w:hAnsi="宋体"/>
                <w:color w:val="000000"/>
                <w:sz w:val="24"/>
                <w:szCs w:val="24"/>
                <w:highlight w:val="none"/>
              </w:rPr>
            </w:r>
            <w:r/>
          </w:p>
        </w:tc>
        <w:tc>
          <w:tcPr>
            <w:tcW w:w="128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924"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分项单位</w:t>
            </w:r>
            <w:r>
              <w:rPr>
                <w:rFonts w:hint="eastAsia" w:ascii="宋体" w:hAnsi="宋体"/>
                <w:color w:val="000000"/>
                <w:sz w:val="24"/>
                <w:szCs w:val="24"/>
                <w:highlight w:val="none"/>
              </w:rPr>
            </w:r>
            <w:r/>
          </w:p>
        </w:tc>
        <w:tc>
          <w:tcPr>
            <w:tcW w:w="1203"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61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rFonts w:hint="eastAsia" w:ascii="宋体" w:hAnsi="宋体"/>
                <w:color w:val="000000"/>
                <w:sz w:val="24"/>
                <w:szCs w:val="24"/>
                <w:highlight w:val="none"/>
              </w:rPr>
            </w:r>
            <w:r/>
          </w:p>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rPr>
            </w:r>
            <w:r/>
          </w:p>
        </w:tc>
        <w:tc>
          <w:tcPr>
            <w:tcW w:w="179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rFonts w:hint="eastAsia" w:ascii="宋体" w:hAnsi="宋体"/>
                <w:color w:val="000000"/>
                <w:sz w:val="24"/>
                <w:szCs w:val="24"/>
                <w:highlight w:val="none"/>
              </w:rPr>
            </w:r>
            <w:r/>
          </w:p>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74"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74"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74"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1274"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128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487"/>
        </w:trPr>
        <w:tc>
          <w:tcPr>
            <w:gridSpan w:val="6"/>
            <w:tcW w:w="7255"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798" w:type="dxa"/>
            <w:vAlign w:val="top"/>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备注：1.投标报价采用总承包方式，“投标总报价”应包括</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color w:val="000000"/>
          <w:sz w:val="24"/>
          <w:szCs w:val="24"/>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before="145" w:after="145"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eastAsia="zh-CN"/>
        </w:rPr>
        <w:t xml:space="preserve">二</w:t>
      </w:r>
      <w:r>
        <w:rPr>
          <w:rFonts w:hint="eastAsia" w:ascii="黑体" w:hAnsi="黑体" w:eastAsia="黑体"/>
          <w:b/>
          <w:color w:val="000000"/>
          <w:sz w:val="32"/>
          <w:szCs w:val="32"/>
          <w:highlight w:val="none"/>
        </w:rPr>
        <w:t xml:space="preserve">、技术要求响应及偏离表（分包号：**）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52"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985"/>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985"/>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985"/>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985"/>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98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98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98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98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98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98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98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98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985"/>
        <w:jc w:val="center"/>
        <w:spacing w:before="145" w:after="145" w:line="440" w:lineRule="exact"/>
        <w:rPr>
          <w:rFonts w:hint="eastAsia" w:ascii="黑体" w:hAnsi="黑体" w:eastAsia="黑体"/>
          <w:b/>
          <w:color w:val="000000"/>
          <w:sz w:val="32"/>
          <w:szCs w:val="32"/>
          <w:highlight w:val="none"/>
        </w:rPr>
      </w:pPr>
      <w:r/>
      <w:bookmarkEnd w:id="211"/>
      <w:r/>
      <w:bookmarkStart w:id="215" w:name="_Hlt26955054"/>
      <w:r/>
      <w:bookmarkEnd w:id="215"/>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eastAsia="zh-CN"/>
        </w:rPr>
        <w:t xml:space="preserve">三</w:t>
      </w:r>
      <w:r>
        <w:rPr>
          <w:rFonts w:hint="eastAsia" w:ascii="黑体" w:hAnsi="黑体" w:eastAsia="黑体"/>
          <w:b/>
          <w:color w:val="000000"/>
          <w:sz w:val="32"/>
          <w:szCs w:val="32"/>
          <w:highlight w:val="none"/>
        </w:rPr>
        <w:t xml:space="preserve">、商务要求响应及偏离表（分包号：**）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985"/>
              <w:jc w:val="center"/>
              <w:spacing w:line="440" w:lineRule="exact"/>
              <w:rPr>
                <w:rFonts w:hint="eastAsia" w:ascii="宋体" w:hAnsi="宋体"/>
                <w:color w:val="000000"/>
                <w:sz w:val="24"/>
                <w:szCs w:val="24"/>
                <w:highlight w:val="none"/>
              </w:rPr>
            </w:pPr>
            <w:r/>
            <w:bookmarkStart w:id="216" w:name="_Hlt26955064"/>
            <w:r/>
            <w:bookmarkEnd w:id="216"/>
            <w:r/>
            <w:bookmarkStart w:id="217" w:name="_Hlt26609391"/>
            <w:r/>
            <w:bookmarkEnd w:id="217"/>
            <w:r/>
            <w:bookmarkStart w:id="218" w:name="_Hlt24879081"/>
            <w:r/>
            <w:bookmarkEnd w:id="218"/>
            <w:r/>
            <w:bookmarkStart w:id="219" w:name="_Hlt26955056"/>
            <w:r/>
            <w:bookmarkEnd w:id="219"/>
            <w:r/>
            <w:bookmarkStart w:id="220" w:name="_Hlt26671343"/>
            <w:r/>
            <w:bookmarkEnd w:id="220"/>
            <w:r/>
            <w:bookmarkStart w:id="221" w:name="_Hlt26580838"/>
            <w:r/>
            <w:bookmarkEnd w:id="221"/>
            <w:r/>
            <w:bookmarkStart w:id="222" w:name="_Hlt26671372"/>
            <w:r/>
            <w:bookmarkEnd w:id="222"/>
            <w:r/>
            <w:bookmarkStart w:id="223" w:name="_Hlt26782999"/>
            <w:r/>
            <w:bookmarkEnd w:id="223"/>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688"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83"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2"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614" w:type="dxa"/>
            <w:vAlign w:val="center"/>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98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8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985"/>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985"/>
        <w:spacing w:line="440" w:lineRule="exact"/>
        <w:rPr>
          <w:rFonts w:hint="eastAsia" w:ascii="仿宋_GB2312" w:hAnsi="Arial"/>
          <w:color w:val="000000"/>
          <w:sz w:val="30"/>
          <w:highlight w:val="none"/>
        </w:rPr>
      </w:pPr>
      <w:r>
        <w:rPr>
          <w:rFonts w:hint="eastAsia" w:ascii="仿宋_GB2312" w:hAnsi="Arial"/>
          <w:color w:val="000000"/>
          <w:sz w:val="30"/>
          <w:highlight w:val="none"/>
        </w:rPr>
      </w:r>
      <w:r/>
    </w:p>
    <w:p>
      <w:pPr>
        <w:pStyle w:val="1002"/>
        <w:ind w:firstLine="0"/>
        <w:spacing w:line="440" w:lineRule="exact"/>
        <w:rPr>
          <w:rFonts w:hint="eastAsia" w:ascii="宋体" w:hAnsi="宋体"/>
          <w:color w:val="000000"/>
          <w:sz w:val="24"/>
          <w:highlight w:val="none"/>
        </w:rPr>
      </w:pPr>
      <w:r/>
      <w:bookmarkStart w:id="224" w:name="_Hlt26609389"/>
      <w:r/>
      <w:bookmarkEnd w:id="224"/>
      <w:r/>
      <w:bookmarkStart w:id="225" w:name="_Hlt26955066"/>
      <w:r/>
      <w:bookmarkEnd w:id="225"/>
      <w:r/>
      <w:bookmarkStart w:id="226" w:name="_Hlt26671374"/>
      <w:r/>
      <w:bookmarkEnd w:id="226"/>
      <w:r/>
      <w:bookmarkStart w:id="227" w:name="_Toc462564146"/>
      <w:r>
        <w:rPr>
          <w:rFonts w:hint="eastAsia" w:ascii="宋体" w:hAnsi="宋体"/>
          <w:color w:val="000000"/>
          <w:sz w:val="24"/>
          <w:highlight w:val="none"/>
        </w:rPr>
      </w:r>
      <w:r/>
    </w:p>
    <w:p>
      <w:pPr>
        <w:pStyle w:val="985"/>
        <w:jc w:val="center"/>
        <w:spacing w:line="440" w:lineRule="exact"/>
        <w:rPr>
          <w:rFonts w:hint="eastAsia" w:ascii="黑体" w:hAnsi="黑体" w:eastAsia="黑体"/>
          <w:b/>
          <w:color w:val="000000"/>
          <w:sz w:val="32"/>
          <w:szCs w:val="32"/>
          <w:highlight w:val="none"/>
        </w:rPr>
      </w:pPr>
      <w:r/>
      <w:bookmarkEnd w:id="195"/>
      <w:r/>
      <w:bookmarkEnd w:id="196"/>
      <w:r/>
      <w:bookmarkEnd w:id="227"/>
      <w:r/>
      <w:bookmarkStart w:id="228" w:name="_格式2__法定代表人授权书"/>
      <w:r/>
      <w:bookmarkEnd w:id="228"/>
      <w:r>
        <w:rPr>
          <w:rFonts w:hint="eastAsia" w:ascii="黑体" w:hAnsi="黑体" w:eastAsia="黑体"/>
          <w:b/>
          <w:color w:val="000000"/>
          <w:sz w:val="32"/>
          <w:szCs w:val="32"/>
          <w:highlight w:val="none"/>
        </w:rPr>
      </w:r>
      <w:r/>
    </w:p>
    <w:p>
      <w:pPr>
        <w:pStyle w:val="98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jc w:val="center"/>
        <w:spacing w:before="145" w:after="145" w:line="440" w:lineRule="exact"/>
        <w:rPr>
          <w:rFonts w:hint="eastAsia" w:eastAsia="仿宋_GB2312"/>
          <w:color w:val="000000"/>
          <w:sz w:val="24"/>
          <w:szCs w:val="20"/>
          <w:highlight w:val="none"/>
        </w:rPr>
      </w:pPr>
      <w:r>
        <w:rPr>
          <w:rFonts w:hint="eastAsia" w:ascii="黑体" w:hAnsi="黑体" w:eastAsia="黑体"/>
          <w:b/>
          <w:i/>
          <w:color w:val="000000"/>
          <w:sz w:val="32"/>
          <w:szCs w:val="32"/>
          <w:highlight w:val="none"/>
          <w:u w:val="single"/>
        </w:rPr>
        <w:br w:type="page" w:clear="all"/>
      </w:r>
      <w:r>
        <w:rPr>
          <w:rFonts w:hint="eastAsia" w:ascii="黑体" w:hAnsi="黑体" w:eastAsia="黑体"/>
          <w:b/>
          <w:i/>
          <w:color w:val="000000"/>
          <w:sz w:val="32"/>
          <w:szCs w:val="32"/>
          <w:highlight w:val="none"/>
          <w:u w:val="single"/>
        </w:rPr>
        <w:t xml:space="preserve">十</w:t>
      </w:r>
      <w:r>
        <w:rPr>
          <w:rFonts w:hint="eastAsia" w:ascii="黑体" w:hAnsi="黑体" w:eastAsia="黑体"/>
          <w:b/>
          <w:i/>
          <w:color w:val="000000"/>
          <w:sz w:val="32"/>
          <w:szCs w:val="32"/>
          <w:highlight w:val="none"/>
          <w:u w:val="single"/>
          <w:lang w:eastAsia="zh-CN"/>
        </w:rPr>
        <w:t xml:space="preserve">四</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985"/>
        <w:ind w:firstLine="480"/>
        <w:spacing w:line="440" w:lineRule="exact"/>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98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85"/>
              <w:spacing w:line="44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8206" w:type="dxa"/>
            <w:vAlign w:val="center"/>
            <w:textDirection w:val="lrTb"/>
            <w:noWrap w:val="false"/>
          </w:tcPr>
          <w:p>
            <w:pPr>
              <w:pStyle w:val="1073"/>
              <w:ind w:firstLine="0"/>
              <w:spacing w:before="0" w:after="0" w:line="440" w:lineRule="exact"/>
              <w:rPr>
                <w:rFonts w:hint="eastAsia" w:ascii="宋体" w:hAnsi="宋体"/>
                <w:color w:val="000000"/>
                <w:szCs w:val="21"/>
                <w:highlight w:val="none"/>
              </w:rPr>
            </w:pPr>
            <w:r>
              <w:rPr>
                <w:rFonts w:hint="eastAsia" w:ascii="宋体" w:hAnsi="宋体" w:cs="宋体"/>
                <w:color w:val="000000"/>
                <w:highlight w:val="none"/>
              </w:rPr>
              <w:t xml:space="preserve">小写：                             （人民币：元）</w:t>
            </w:r>
            <w:r>
              <w:rPr>
                <w:rFonts w:hint="eastAsia" w:ascii="宋体" w:hAnsi="宋体"/>
                <w:color w:val="000000"/>
                <w:szCs w:val="21"/>
                <w:highlight w:val="none"/>
              </w:rPr>
            </w:r>
            <w:r/>
          </w:p>
        </w:tc>
      </w:tr>
    </w:tbl>
    <w:p>
      <w:pPr>
        <w:pStyle w:val="985"/>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5"/>
        <w:ind w:firstLine="480"/>
        <w:spacing w:line="440" w:lineRule="exact"/>
        <w:rPr>
          <w:rFonts w:ascii="宋体" w:hAnsi="宋体" w:eastAsia="宋体" w:cs="Times New Roman"/>
          <w:b w:val="0"/>
          <w:bCs/>
          <w:color w:val="000000"/>
          <w:sz w:val="24"/>
          <w:szCs w:val="24"/>
          <w:highlight w:val="none"/>
          <w:lang w:val="en-US" w:eastAsia="zh-CN"/>
        </w:rPr>
      </w:pPr>
      <w:r>
        <w:rPr>
          <w:rFonts w:hint="eastAsia" w:ascii="宋体" w:hAnsi="宋体"/>
          <w:color w:val="000000"/>
          <w:sz w:val="24"/>
          <w:highlight w:val="none"/>
          <w:lang w:val="en-US" w:eastAsia="zh-CN"/>
        </w:rPr>
        <w:t xml:space="preserve">1.</w:t>
      </w:r>
      <w:r>
        <w:rPr>
          <w:rFonts w:ascii="宋体" w:hAnsi="宋体" w:eastAsia="宋体" w:cs="Times New Roman"/>
          <w:b w:val="0"/>
          <w:bCs/>
          <w:color w:val="000000"/>
          <w:sz w:val="24"/>
          <w:szCs w:val="24"/>
          <w:highlight w:val="none"/>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eastAsia="宋体" w:cs="Times New Roman"/>
          <w:b w:val="0"/>
          <w:bCs/>
          <w:color w:val="000000"/>
          <w:sz w:val="24"/>
          <w:szCs w:val="24"/>
          <w:highlight w:val="none"/>
          <w:lang w:val="en-US" w:eastAsia="zh-CN"/>
        </w:rPr>
      </w:r>
      <w:r/>
    </w:p>
    <w:p>
      <w:pPr>
        <w:pStyle w:val="985"/>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评标委员会启动异常低价投标(响应)审查的情形和具体要求:</w:t>
      </w:r>
      <w:r>
        <w:rPr>
          <w:rFonts w:ascii="宋体" w:hAnsi="宋体" w:eastAsia="宋体" w:cs="Times New Roman"/>
          <w:b/>
          <w:bCs w:val="0"/>
          <w:color w:val="000000"/>
          <w:sz w:val="24"/>
          <w:szCs w:val="24"/>
          <w:highlight w:val="none"/>
          <w:lang w:val="en-US" w:eastAsia="zh-CN"/>
        </w:rPr>
      </w:r>
      <w:r/>
    </w:p>
    <w:p>
      <w:pPr>
        <w:pStyle w:val="985"/>
        <w:numPr>
          <w:ilvl w:val="0"/>
          <w:numId w:val="6"/>
        </w:numPr>
        <w:ind w:firstLine="482"/>
        <w:spacing w:line="440" w:lineRule="exact"/>
        <w:tabs>
          <w:tab w:val="left" w:pos="312" w:leader="none"/>
        </w:tabs>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政府采购评审中出现下列情形之一的，评审委员会应当启动异常低价投标（响应）审查程序： </w:t>
      </w:r>
      <w:r>
        <w:rPr>
          <w:rFonts w:ascii="宋体" w:hAnsi="宋体" w:eastAsia="宋体" w:cs="Times New Roman"/>
          <w:b/>
          <w:bCs w:val="0"/>
          <w:color w:val="000000"/>
          <w:sz w:val="24"/>
          <w:szCs w:val="24"/>
          <w:highlight w:val="none"/>
          <w:lang w:val="en-US" w:eastAsia="zh-CN"/>
        </w:rPr>
      </w:r>
      <w:r/>
    </w:p>
    <w:p>
      <w:pPr>
        <w:pStyle w:val="98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（1）投标报价低于全部通过符合性审查供应商投标报价平均值65%的，即投标报价&lt;全部通过符合性审查供应商投标报价平均值×65%；</w:t>
      </w:r>
      <w:r>
        <w:rPr>
          <w:rFonts w:ascii="宋体" w:hAnsi="宋体" w:eastAsia="宋体" w:cs="Times New Roman"/>
          <w:b/>
          <w:bCs w:val="0"/>
          <w:color w:val="000000"/>
          <w:sz w:val="24"/>
          <w:szCs w:val="24"/>
          <w:highlight w:val="none"/>
          <w:lang w:val="en-US" w:eastAsia="zh-CN"/>
        </w:rPr>
      </w:r>
      <w:r/>
    </w:p>
    <w:p>
      <w:pPr>
        <w:pStyle w:val="98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（2）投标报价低于通过符合性审查的次低报价供应商投标报价65%的，即投标报价&lt;通过符合性审查的次低报价供应商投标报价×65%；</w:t>
      </w:r>
      <w:r>
        <w:rPr>
          <w:rFonts w:ascii="宋体" w:hAnsi="宋体" w:eastAsia="宋体" w:cs="Times New Roman"/>
          <w:b/>
          <w:bCs w:val="0"/>
          <w:color w:val="000000"/>
          <w:sz w:val="24"/>
          <w:szCs w:val="24"/>
          <w:highlight w:val="none"/>
          <w:lang w:val="en-US" w:eastAsia="zh-CN"/>
        </w:rPr>
      </w:r>
      <w:r/>
    </w:p>
    <w:p>
      <w:pPr>
        <w:pStyle w:val="98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（3）投标报价低于采购项目最高限价65%的，即投标报价&lt;采购项目最高限价×65%；</w:t>
      </w:r>
      <w:r>
        <w:rPr>
          <w:rFonts w:ascii="宋体" w:hAnsi="宋体" w:eastAsia="宋体" w:cs="Times New Roman"/>
          <w:b/>
          <w:bCs w:val="0"/>
          <w:color w:val="000000"/>
          <w:sz w:val="24"/>
          <w:szCs w:val="24"/>
          <w:highlight w:val="none"/>
          <w:lang w:val="en-US" w:eastAsia="zh-CN"/>
        </w:rPr>
      </w:r>
      <w:r/>
    </w:p>
    <w:p>
      <w:pPr>
        <w:pStyle w:val="98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（4）评委会基于专业判断，认为供应商报价过低，有可能影响产品质量或者不能诚信履约的其他情形。</w:t>
      </w:r>
      <w:r>
        <w:rPr>
          <w:rFonts w:ascii="宋体" w:hAnsi="宋体" w:eastAsia="宋体" w:cs="Times New Roman"/>
          <w:b/>
          <w:bCs w:val="0"/>
          <w:color w:val="000000"/>
          <w:sz w:val="24"/>
          <w:szCs w:val="24"/>
          <w:highlight w:val="none"/>
          <w:lang w:val="en-US" w:eastAsia="zh-CN"/>
        </w:rPr>
      </w:r>
      <w:r/>
    </w:p>
    <w:p>
      <w:pPr>
        <w:pStyle w:val="985"/>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(二)启动异常低价投标(响应)审查后，评标委员会应当要求相关供应商在评标现场合理的时间内，提供项目具体成本测算等与报价合理性相关的书面说明及相关证明材料，对投标(响应)价格作出解释</w:t>
      </w:r>
      <w:r>
        <w:rPr>
          <w:rFonts w:hint="eastAsia" w:ascii="宋体" w:hAnsi="宋体" w:eastAsia="宋体" w:cs="Times New Roman"/>
          <w:b/>
          <w:bCs w:val="0"/>
          <w:color w:val="000000"/>
          <w:sz w:val="24"/>
          <w:szCs w:val="24"/>
          <w:highlight w:val="none"/>
          <w:lang w:val="en-US" w:eastAsia="zh-CN"/>
        </w:rPr>
        <w:t xml:space="preserve">，包括但不限于原材料成本、人工成本、制造费用等，</w:t>
      </w:r>
      <w:r>
        <w:rPr>
          <w:rFonts w:ascii="宋体" w:hAnsi="宋体" w:eastAsia="宋体" w:cs="Times New Roman"/>
          <w:b/>
          <w:bCs w:val="0"/>
          <w:color w:val="000000"/>
          <w:sz w:val="24"/>
          <w:szCs w:val="24"/>
          <w:highlight w:val="none"/>
          <w:lang w:val="en-US" w:eastAsia="zh-CN"/>
        </w:rPr>
        <w:t xml:space="preserve">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ascii="宋体" w:hAnsi="宋体" w:eastAsia="宋体" w:cs="Times New Roman"/>
          <w:b/>
          <w:bCs w:val="0"/>
          <w:color w:val="000000"/>
          <w:sz w:val="24"/>
          <w:szCs w:val="24"/>
          <w:highlight w:val="none"/>
          <w:lang w:val="en-US" w:eastAsia="zh-CN"/>
        </w:rPr>
      </w:r>
      <w:r/>
    </w:p>
    <w:p>
      <w:pPr>
        <w:pStyle w:val="985"/>
        <w:jc w:val="center"/>
        <w:spacing w:before="145" w:after="145" w:line="440" w:lineRule="exact"/>
        <w:rPr>
          <w:rFonts w:hint="eastAsia" w:ascii="宋体" w:hAnsi="宋体" w:cs="仿宋"/>
          <w:b/>
          <w:bCs/>
          <w:color w:val="000000"/>
          <w:sz w:val="32"/>
          <w:szCs w:val="32"/>
          <w:highlight w:val="none"/>
        </w:rPr>
        <w:outlineLvl w:val="2"/>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85"/>
        <w:jc w:val="center"/>
        <w:spacing w:before="145" w:after="145" w:line="440" w:lineRule="exact"/>
        <w:rPr>
          <w:rFonts w:ascii="宋体" w:hAnsi="宋体"/>
          <w:color w:val="000000"/>
          <w:sz w:val="28"/>
          <w:szCs w:val="28"/>
          <w:highlight w:val="none"/>
        </w:rPr>
        <w:outlineLvl w:val="2"/>
      </w:pPr>
      <w:r>
        <w:rPr>
          <w:rFonts w:hint="eastAsia" w:ascii="宋体" w:hAnsi="宋体" w:cs="仿宋"/>
          <w:b/>
          <w:bCs/>
          <w:color w:val="000000"/>
          <w:sz w:val="32"/>
          <w:szCs w:val="32"/>
          <w:highlight w:val="none"/>
        </w:rPr>
        <w:t xml:space="preserve">十</w:t>
      </w:r>
      <w:r>
        <w:rPr>
          <w:rFonts w:hint="eastAsia" w:ascii="宋体" w:hAnsi="宋体" w:cs="仿宋"/>
          <w:b/>
          <w:bCs/>
          <w:color w:val="000000"/>
          <w:sz w:val="32"/>
          <w:szCs w:val="32"/>
          <w:highlight w:val="none"/>
          <w:lang w:eastAsia="zh-CN"/>
        </w:rPr>
        <w:t xml:space="preserve">五</w:t>
      </w:r>
      <w:r>
        <w:rPr>
          <w:rFonts w:hint="eastAsia" w:ascii="宋体" w:hAnsi="宋体" w:cs="仿宋"/>
          <w:b/>
          <w:bCs/>
          <w:color w:val="000000"/>
          <w:sz w:val="32"/>
          <w:szCs w:val="32"/>
          <w:highlight w:val="none"/>
        </w:rPr>
        <w:t xml:space="preserve">、</w:t>
      </w:r>
      <w:r>
        <w:rPr>
          <w:rFonts w:ascii="宋体" w:hAnsi="宋体"/>
          <w:b/>
          <w:bCs/>
          <w:color w:val="000000"/>
          <w:sz w:val="36"/>
          <w:szCs w:val="36"/>
          <w:highlight w:val="none"/>
        </w:rPr>
        <w:t xml:space="preserve">资格承诺函（格式）</w:t>
      </w:r>
      <w:r>
        <w:rPr>
          <w:rFonts w:ascii="宋体" w:hAnsi="宋体"/>
          <w:color w:val="000000"/>
          <w:sz w:val="28"/>
          <w:szCs w:val="28"/>
          <w:highlight w:val="none"/>
        </w:rPr>
      </w:r>
      <w:r/>
    </w:p>
    <w:p>
      <w:pPr>
        <w:pStyle w:val="98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致：（</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、采购代理机构）   </w:t>
      </w:r>
      <w:r>
        <w:rPr>
          <w:rFonts w:ascii="宋体" w:hAnsi="宋体"/>
          <w:color w:val="000000"/>
          <w:sz w:val="24"/>
          <w:szCs w:val="24"/>
          <w:highlight w:val="none"/>
        </w:rPr>
      </w:r>
      <w:r/>
    </w:p>
    <w:p>
      <w:pPr>
        <w:pStyle w:val="98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我单位参与</w:t>
      </w:r>
      <w:r>
        <w:rPr>
          <w:rFonts w:ascii="宋体" w:hAnsi="宋体"/>
          <w:color w:val="000000"/>
          <w:sz w:val="24"/>
          <w:szCs w:val="24"/>
          <w:highlight w:val="none"/>
          <w:u w:val="single"/>
        </w:rPr>
        <w:t xml:space="preserve"> （项目名称）  （项目编号：）   项目</w:t>
      </w:r>
      <w:r>
        <w:rPr>
          <w:rFonts w:ascii="宋体" w:hAnsi="宋体"/>
          <w:color w:val="000000"/>
          <w:sz w:val="24"/>
          <w:szCs w:val="24"/>
          <w:highlight w:val="none"/>
        </w:rPr>
        <w:t xml:space="preserve">的</w:t>
      </w:r>
      <w:r>
        <w:rPr>
          <w:rFonts w:ascii="宋体" w:hAnsi="宋体"/>
          <w:color w:val="000000"/>
          <w:sz w:val="24"/>
          <w:szCs w:val="24"/>
          <w:highlight w:val="none"/>
        </w:rPr>
      </w:r>
      <w:r/>
    </w:p>
    <w:p>
      <w:pPr>
        <w:pStyle w:val="98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政府采购活动，现承诺如下：</w:t>
      </w:r>
      <w:r>
        <w:rPr>
          <w:rFonts w:ascii="宋体" w:hAnsi="宋体"/>
          <w:color w:val="000000"/>
          <w:sz w:val="24"/>
          <w:szCs w:val="24"/>
          <w:highlight w:val="none"/>
        </w:rPr>
      </w:r>
      <w:r/>
    </w:p>
    <w:p>
      <w:pPr>
        <w:pStyle w:val="98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1.我方具有良好的商业信誉和健全的财务会计制度。</w:t>
      </w:r>
      <w:r>
        <w:rPr>
          <w:rFonts w:ascii="宋体" w:hAnsi="宋体"/>
          <w:color w:val="000000"/>
          <w:sz w:val="24"/>
          <w:szCs w:val="24"/>
          <w:highlight w:val="none"/>
        </w:rPr>
      </w:r>
      <w:r/>
    </w:p>
    <w:p>
      <w:pPr>
        <w:pStyle w:val="98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2.我方具有履行合同所必需的设备和专业技术能力。</w:t>
      </w:r>
      <w:r>
        <w:rPr>
          <w:rFonts w:ascii="宋体" w:hAnsi="宋体"/>
          <w:color w:val="000000"/>
          <w:sz w:val="24"/>
          <w:szCs w:val="24"/>
          <w:highlight w:val="none"/>
        </w:rPr>
      </w:r>
      <w:r/>
    </w:p>
    <w:p>
      <w:pPr>
        <w:pStyle w:val="98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3.我方具有依法缴纳税收和社会保障资金的良好记录。</w:t>
      </w:r>
      <w:r>
        <w:rPr>
          <w:rFonts w:ascii="宋体" w:hAnsi="宋体"/>
          <w:color w:val="000000"/>
          <w:sz w:val="24"/>
          <w:szCs w:val="24"/>
          <w:highlight w:val="none"/>
        </w:rPr>
      </w:r>
      <w:r/>
    </w:p>
    <w:p>
      <w:pPr>
        <w:pStyle w:val="98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4.我方参加本项目采购活动前三年内，在经营活动中没有重大违法记录。</w:t>
      </w:r>
      <w:r>
        <w:rPr>
          <w:rFonts w:ascii="宋体" w:hAnsi="宋体"/>
          <w:color w:val="000000"/>
          <w:sz w:val="24"/>
          <w:szCs w:val="24"/>
          <w:highlight w:val="none"/>
        </w:rPr>
      </w:r>
      <w:r/>
    </w:p>
    <w:p>
      <w:pPr>
        <w:pStyle w:val="98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若我单位承诺不实，自愿承担提供虚假材料谋取中标、</w:t>
      </w:r>
      <w:r>
        <w:rPr>
          <w:rFonts w:hint="eastAsia" w:ascii="宋体" w:hAnsi="宋体"/>
          <w:color w:val="000000"/>
          <w:sz w:val="24"/>
          <w:szCs w:val="24"/>
          <w:highlight w:val="none"/>
          <w:lang w:eastAsia="zh-CN"/>
        </w:rPr>
        <w:t xml:space="preserve">中标</w:t>
      </w:r>
      <w:r>
        <w:rPr>
          <w:rFonts w:ascii="宋体" w:hAnsi="宋体"/>
          <w:color w:val="000000"/>
          <w:sz w:val="24"/>
          <w:szCs w:val="24"/>
          <w:highlight w:val="none"/>
        </w:rPr>
        <w:t xml:space="preserve">的法律责任。</w:t>
      </w:r>
      <w:r>
        <w:rPr>
          <w:rFonts w:ascii="宋体" w:hAnsi="宋体"/>
          <w:color w:val="000000"/>
          <w:sz w:val="24"/>
          <w:szCs w:val="24"/>
          <w:highlight w:val="none"/>
        </w:rPr>
      </w:r>
      <w:r/>
    </w:p>
    <w:p>
      <w:pPr>
        <w:pStyle w:val="98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98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投标（响应）供应商（全称并盖章）：</w:t>
      </w:r>
      <w:r>
        <w:rPr>
          <w:rFonts w:ascii="宋体" w:hAnsi="宋体"/>
          <w:color w:val="000000"/>
          <w:sz w:val="24"/>
          <w:szCs w:val="24"/>
          <w:highlight w:val="none"/>
        </w:rPr>
      </w:r>
      <w:r/>
    </w:p>
    <w:p>
      <w:pPr>
        <w:pStyle w:val="985"/>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供应商法定代表人或授权代表（签字或签章）：</w:t>
      </w:r>
      <w:r>
        <w:rPr>
          <w:rFonts w:ascii="宋体" w:hAnsi="宋体"/>
          <w:color w:val="000000"/>
          <w:sz w:val="24"/>
          <w:szCs w:val="24"/>
          <w:highlight w:val="none"/>
        </w:rPr>
      </w:r>
      <w:r/>
    </w:p>
    <w:p>
      <w:pPr>
        <w:pStyle w:val="985"/>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日期：</w:t>
      </w:r>
      <w:r>
        <w:rPr>
          <w:rFonts w:ascii="宋体" w:hAnsi="宋体"/>
          <w:color w:val="000000"/>
          <w:sz w:val="24"/>
          <w:szCs w:val="24"/>
          <w:highlight w:val="none"/>
        </w:rPr>
      </w:r>
      <w:r/>
    </w:p>
    <w:p>
      <w:pPr>
        <w:pStyle w:val="985"/>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985"/>
        <w:ind w:firstLine="482"/>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说明：1.供应商可自行选择是否提供本承诺函，若不提供本承诺函的，应按采购文件要求提供相应的证明材料。</w:t>
      </w:r>
      <w:r>
        <w:rPr>
          <w:rFonts w:ascii="宋体" w:hAnsi="宋体"/>
          <w:color w:val="000000"/>
          <w:sz w:val="24"/>
          <w:szCs w:val="24"/>
          <w:highlight w:val="none"/>
        </w:rPr>
      </w:r>
      <w:r/>
    </w:p>
    <w:p>
      <w:pPr>
        <w:pStyle w:val="985"/>
        <w:numPr>
          <w:ilvl w:val="0"/>
          <w:numId w:val="9"/>
        </w:numPr>
        <w:ind w:firstLine="482"/>
        <w:spacing w:line="440" w:lineRule="exact"/>
        <w:tabs>
          <w:tab w:val="left" w:pos="312" w:leader="none"/>
        </w:tabs>
        <w:rPr>
          <w:rFonts w:ascii="宋体" w:hAnsi="宋体"/>
          <w:color w:val="000000"/>
          <w:sz w:val="24"/>
          <w:szCs w:val="24"/>
          <w:highlight w:val="none"/>
        </w:rPr>
        <w:outlineLvl w:val="2"/>
      </w:pPr>
      <w:r>
        <w:rPr>
          <w:rFonts w:ascii="宋体" w:hAnsi="宋体"/>
          <w:color w:val="000000"/>
          <w:sz w:val="24"/>
          <w:szCs w:val="24"/>
          <w:highlight w:val="none"/>
        </w:rPr>
        <w:t xml:space="preserve">供应商可删减承诺事项，删减的承诺事项须按采购文件要求提供相应的证明材料。比如删去本承诺函第3项的，则应按采购文件要求提供依法缴纳税收和社会保障资金的良好记录。</w:t>
      </w:r>
      <w:r>
        <w:rPr>
          <w:rFonts w:ascii="宋体" w:hAnsi="宋体"/>
          <w:color w:val="000000"/>
          <w:sz w:val="24"/>
          <w:szCs w:val="24"/>
          <w:highlight w:val="none"/>
        </w:rPr>
      </w:r>
      <w:r/>
    </w:p>
    <w:p>
      <w:pPr>
        <w:pStyle w:val="1061"/>
        <w:numPr>
          <w:ilvl w:val="0"/>
          <w:numId w:val="0"/>
        </w:numPr>
        <w:widowControl w:val="off"/>
        <w:rPr>
          <w:rFonts w:hint="eastAsia"/>
          <w:color w:val="000000"/>
          <w:highlight w:val="none"/>
        </w:rPr>
      </w:pPr>
      <w:r>
        <w:rPr>
          <w:rFonts w:hint="eastAsia"/>
          <w:color w:val="000000"/>
          <w:highlight w:val="none"/>
        </w:rPr>
      </w:r>
      <w:r/>
    </w:p>
    <w:p>
      <w:pPr>
        <w:pStyle w:val="1061"/>
        <w:numPr>
          <w:ilvl w:val="0"/>
          <w:numId w:val="0"/>
        </w:numPr>
        <w:widowControl w:val="off"/>
        <w:rPr>
          <w:rFonts w:hint="eastAsia"/>
          <w:color w:val="000000"/>
          <w:highlight w:val="none"/>
        </w:rPr>
      </w:pPr>
      <w:r>
        <w:rPr>
          <w:rFonts w:hint="eastAsia"/>
          <w:color w:val="000000"/>
          <w:highlight w:val="none"/>
        </w:rPr>
      </w:r>
      <w:r/>
    </w:p>
    <w:p>
      <w:pPr>
        <w:pStyle w:val="1061"/>
        <w:numPr>
          <w:ilvl w:val="0"/>
          <w:numId w:val="0"/>
        </w:numPr>
        <w:widowControl w:val="off"/>
        <w:rPr>
          <w:rFonts w:hint="eastAsia"/>
          <w:color w:val="000000"/>
          <w:highlight w:val="none"/>
        </w:rPr>
      </w:pPr>
      <w:r>
        <w:rPr>
          <w:rFonts w:hint="eastAsia"/>
          <w:color w:val="000000"/>
          <w:highlight w:val="none"/>
        </w:rPr>
      </w:r>
      <w:r/>
    </w:p>
    <w:p>
      <w:pPr>
        <w:pStyle w:val="985"/>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5"/>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61"/>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6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5"/>
        <w:jc w:val="center"/>
        <w:spacing w:before="145" w:after="145" w:line="440" w:lineRule="exact"/>
        <w:rPr>
          <w:rFonts w:hint="eastAsia" w:ascii="宋体" w:hAnsi="宋体" w:cs="仿宋"/>
          <w:b/>
          <w:bCs/>
          <w:color w:val="000000"/>
          <w:sz w:val="32"/>
          <w:szCs w:val="32"/>
          <w:highlight w:val="none"/>
        </w:rPr>
      </w:pPr>
      <w:r>
        <w:rPr>
          <w:rFonts w:hint="eastAsia" w:ascii="宋体" w:hAnsi="宋体"/>
          <w:color w:val="000000"/>
          <w:sz w:val="24"/>
          <w:szCs w:val="24"/>
          <w:highlight w:val="none"/>
        </w:rPr>
        <w:t xml:space="preserve">投标单位相关信息一览表</w:t>
      </w:r>
      <w:r>
        <w:rPr>
          <w:rFonts w:hint="eastAsia" w:ascii="宋体" w:hAnsi="宋体" w:cs="仿宋"/>
          <w:b/>
          <w:bCs/>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352"/>
        <w:gridCol w:w="1502"/>
        <w:gridCol w:w="394"/>
        <w:gridCol w:w="385"/>
        <w:gridCol w:w="757"/>
        <w:gridCol w:w="1078"/>
        <w:gridCol w:w="284"/>
        <w:gridCol w:w="926"/>
        <w:gridCol w:w="1363"/>
      </w:tblGrid>
      <w:tr>
        <w:trPr>
          <w:trHeight w:val="506"/>
        </w:trPr>
        <w:tc>
          <w:tcPr>
            <w:shd w:val="clear" w:color="auto" w:fill="d9d9d9"/>
            <w:tcW w:w="615"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公司基本信息</w:t>
            </w:r>
            <w:r>
              <w:rPr>
                <w:rFonts w:ascii="宋体" w:hAnsi="宋体"/>
                <w:b/>
                <w:color w:val="000000"/>
                <w:sz w:val="24"/>
                <w:szCs w:val="20"/>
                <w:highlight w:val="none"/>
              </w:rPr>
            </w:r>
            <w:r/>
          </w:p>
        </w:tc>
      </w:tr>
      <w:tr>
        <w:trPr>
          <w:trHeight w:val="506"/>
        </w:trPr>
        <w:tc>
          <w:tcPr>
            <w:tcW w:w="615"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1099"/>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公司名称</w:t>
            </w:r>
            <w:r>
              <w:rPr>
                <w:rFonts w:ascii="宋体" w:hAnsi="宋体"/>
                <w:color w:val="000000"/>
                <w:sz w:val="24"/>
                <w:szCs w:val="20"/>
                <w:highlight w:val="none"/>
              </w:rPr>
            </w:r>
            <w:r/>
          </w:p>
        </w:tc>
        <w:tc>
          <w:tcPr>
            <w:gridSpan w:val="8"/>
            <w:tcW w:w="668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55"/>
        </w:trPr>
        <w:tc>
          <w:tcPr>
            <w:tcW w:w="615"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tcW w:w="737"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注册资金</w:t>
            </w:r>
            <w:r>
              <w:rPr>
                <w:rFonts w:ascii="宋体" w:hAnsi="宋体"/>
                <w:color w:val="000000"/>
                <w:sz w:val="24"/>
                <w:szCs w:val="20"/>
                <w:highlight w:val="none"/>
              </w:rPr>
            </w:r>
            <w:r/>
          </w:p>
        </w:tc>
        <w:tc>
          <w:tcPr>
            <w:tcW w:w="81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9"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gridSpan w:val="3"/>
            <w:tcW w:w="2119"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公司地址</w:t>
            </w:r>
            <w:r>
              <w:rPr>
                <w:rFonts w:ascii="宋体" w:hAnsi="宋体"/>
                <w:color w:val="000000"/>
                <w:sz w:val="24"/>
                <w:szCs w:val="20"/>
                <w:highlight w:val="none"/>
              </w:rPr>
            </w:r>
            <w:r/>
          </w:p>
        </w:tc>
        <w:tc>
          <w:tcPr>
            <w:gridSpan w:val="2"/>
            <w:tcW w:w="228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0"/>
        </w:trPr>
        <w:tc>
          <w:tcPr>
            <w:tcW w:w="615"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tcW w:w="737"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从业人数</w:t>
            </w:r>
            <w:r>
              <w:rPr>
                <w:rFonts w:ascii="宋体" w:hAnsi="宋体"/>
                <w:color w:val="000000"/>
                <w:sz w:val="24"/>
                <w:szCs w:val="20"/>
                <w:highlight w:val="none"/>
              </w:rPr>
            </w:r>
            <w:r/>
          </w:p>
        </w:tc>
        <w:tc>
          <w:tcPr>
            <w:tcW w:w="81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9"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gridSpan w:val="3"/>
            <w:tcW w:w="2119"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法定代表人</w:t>
            </w:r>
            <w:r>
              <w:rPr>
                <w:rFonts w:ascii="宋体" w:hAnsi="宋体"/>
                <w:color w:val="000000"/>
                <w:sz w:val="24"/>
                <w:szCs w:val="20"/>
                <w:highlight w:val="none"/>
              </w:rPr>
            </w:r>
            <w:r/>
          </w:p>
        </w:tc>
        <w:tc>
          <w:tcPr>
            <w:gridSpan w:val="2"/>
            <w:tcW w:w="228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tcW w:w="737"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开户银行</w:t>
            </w:r>
            <w:r>
              <w:rPr>
                <w:rFonts w:ascii="宋体" w:hAnsi="宋体"/>
                <w:color w:val="000000"/>
                <w:sz w:val="24"/>
                <w:szCs w:val="20"/>
                <w:highlight w:val="none"/>
              </w:rPr>
            </w:r>
            <w:r/>
          </w:p>
        </w:tc>
        <w:tc>
          <w:tcPr>
            <w:tcW w:w="81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9"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gridSpan w:val="3"/>
            <w:tcW w:w="2119"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账号</w:t>
            </w:r>
            <w:r>
              <w:rPr>
                <w:rFonts w:ascii="宋体" w:hAnsi="宋体"/>
                <w:color w:val="000000"/>
                <w:sz w:val="24"/>
                <w:szCs w:val="20"/>
                <w:highlight w:val="none"/>
              </w:rPr>
            </w:r>
            <w:r/>
          </w:p>
        </w:tc>
        <w:tc>
          <w:tcPr>
            <w:gridSpan w:val="2"/>
            <w:tcW w:w="228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tcW w:w="737"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项目联系人</w:t>
            </w:r>
            <w:r>
              <w:rPr>
                <w:rFonts w:ascii="宋体" w:hAnsi="宋体"/>
                <w:color w:val="000000"/>
                <w:sz w:val="24"/>
                <w:szCs w:val="20"/>
                <w:highlight w:val="none"/>
              </w:rPr>
            </w:r>
            <w:r/>
          </w:p>
        </w:tc>
        <w:tc>
          <w:tcPr>
            <w:tcW w:w="81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9"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r>
            <w:r/>
          </w:p>
        </w:tc>
        <w:tc>
          <w:tcPr>
            <w:gridSpan w:val="3"/>
            <w:tcW w:w="2119"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联系电话</w:t>
            </w:r>
            <w:r>
              <w:rPr>
                <w:rFonts w:ascii="宋体" w:hAnsi="宋体"/>
                <w:color w:val="000000"/>
                <w:sz w:val="24"/>
                <w:szCs w:val="20"/>
                <w:highlight w:val="none"/>
              </w:rPr>
            </w:r>
            <w:r/>
          </w:p>
        </w:tc>
        <w:tc>
          <w:tcPr>
            <w:gridSpan w:val="2"/>
            <w:tcW w:w="228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shd w:val="clear" w:color="auto" w:fill="d9d9d9"/>
            <w:tcW w:w="615"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二</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公司财务状况</w:t>
            </w:r>
            <w:r>
              <w:rPr>
                <w:rFonts w:ascii="宋体" w:hAnsi="宋体"/>
                <w:b/>
                <w:color w:val="000000"/>
                <w:sz w:val="24"/>
                <w:szCs w:val="20"/>
                <w:highlight w:val="none"/>
              </w:rPr>
            </w:r>
            <w:r/>
          </w:p>
        </w:tc>
      </w:tr>
      <w:tr>
        <w:trPr>
          <w:trHeight w:val="467"/>
        </w:trPr>
        <w:tc>
          <w:tcPr>
            <w:tcW w:w="615"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tcW w:w="8041"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u w:val="single"/>
              </w:rPr>
              <w:t xml:space="preserve">××××</w:t>
            </w:r>
            <w:r>
              <w:rPr>
                <w:rFonts w:hint="eastAsia" w:ascii="宋体" w:hAnsi="宋体"/>
                <w:b/>
                <w:color w:val="000000"/>
                <w:sz w:val="24"/>
                <w:szCs w:val="20"/>
                <w:highlight w:val="none"/>
              </w:rPr>
              <w:t xml:space="preserve">年度财务状况</w:t>
            </w:r>
            <w:r>
              <w:rPr>
                <w:rFonts w:ascii="宋体" w:hAnsi="宋体"/>
                <w:b/>
                <w:color w:val="000000"/>
                <w:sz w:val="24"/>
                <w:szCs w:val="20"/>
                <w:highlight w:val="none"/>
              </w:rPr>
            </w:r>
            <w:r/>
          </w:p>
        </w:tc>
      </w:tr>
      <w:tr>
        <w:trPr>
          <w:trHeight w:val="682"/>
        </w:trPr>
        <w:tc>
          <w:tcPr>
            <w:tcW w:w="615"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营业收入（万）：</w:t>
            </w:r>
            <w:r>
              <w:rPr>
                <w:rFonts w:ascii="宋体" w:hAnsi="宋体"/>
                <w:color w:val="000000"/>
                <w:sz w:val="24"/>
                <w:szCs w:val="20"/>
                <w:highlight w:val="none"/>
              </w:rPr>
            </w:r>
            <w:r/>
          </w:p>
        </w:tc>
        <w:tc>
          <w:tcPr>
            <w:tcW w:w="81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9"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gridSpan w:val="3"/>
            <w:tcW w:w="2119"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利润总额（万）</w:t>
            </w:r>
            <w:r>
              <w:rPr>
                <w:rFonts w:ascii="宋体" w:hAnsi="宋体"/>
                <w:color w:val="000000"/>
                <w:sz w:val="24"/>
                <w:szCs w:val="20"/>
                <w:highlight w:val="none"/>
              </w:rPr>
            </w:r>
            <w:r/>
          </w:p>
        </w:tc>
        <w:tc>
          <w:tcPr>
            <w:gridSpan w:val="2"/>
            <w:tcW w:w="228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63"/>
        </w:trPr>
        <w:tc>
          <w:tcPr>
            <w:tcW w:w="615"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tcW w:w="737"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年末“固定资产合计”（万）</w:t>
            </w:r>
            <w:r>
              <w:rPr>
                <w:rFonts w:ascii="宋体" w:hAnsi="宋体"/>
                <w:color w:val="000000"/>
                <w:sz w:val="24"/>
                <w:szCs w:val="20"/>
                <w:highlight w:val="none"/>
              </w:rPr>
            </w:r>
            <w:r/>
          </w:p>
        </w:tc>
        <w:tc>
          <w:tcPr>
            <w:tcW w:w="81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9"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gridSpan w:val="3"/>
            <w:tcW w:w="2119"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年末“流动资产”余额（万）</w:t>
            </w:r>
            <w:r>
              <w:rPr>
                <w:rFonts w:ascii="宋体" w:hAnsi="宋体"/>
                <w:color w:val="000000"/>
                <w:sz w:val="24"/>
                <w:szCs w:val="20"/>
                <w:highlight w:val="none"/>
              </w:rPr>
            </w:r>
            <w:r/>
          </w:p>
        </w:tc>
        <w:tc>
          <w:tcPr>
            <w:gridSpan w:val="2"/>
            <w:tcW w:w="228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72"/>
        </w:trPr>
        <w:tc>
          <w:tcPr>
            <w:tcW w:w="615"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tcW w:w="737"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年末“短期负债”余额（万）</w:t>
            </w:r>
            <w:r>
              <w:rPr>
                <w:rFonts w:ascii="宋体" w:hAnsi="宋体"/>
                <w:color w:val="000000"/>
                <w:sz w:val="24"/>
                <w:szCs w:val="20"/>
                <w:highlight w:val="none"/>
              </w:rPr>
            </w:r>
            <w:r/>
          </w:p>
        </w:tc>
        <w:tc>
          <w:tcPr>
            <w:tcW w:w="81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9"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gridSpan w:val="3"/>
            <w:tcW w:w="2119"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年末“长期负债”余额（万）</w:t>
            </w:r>
            <w:r>
              <w:rPr>
                <w:rFonts w:ascii="宋体" w:hAnsi="宋体"/>
                <w:color w:val="000000"/>
                <w:sz w:val="24"/>
                <w:szCs w:val="20"/>
                <w:highlight w:val="none"/>
              </w:rPr>
            </w:r>
            <w:r/>
          </w:p>
        </w:tc>
        <w:tc>
          <w:tcPr>
            <w:gridSpan w:val="2"/>
            <w:tcW w:w="228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68"/>
        </w:trPr>
        <w:tc>
          <w:tcPr>
            <w:tcW w:w="615"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tcW w:w="737"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年末“资产总计”余额（万）</w:t>
            </w:r>
            <w:r>
              <w:rPr>
                <w:rFonts w:ascii="宋体" w:hAnsi="宋体"/>
                <w:color w:val="000000"/>
                <w:sz w:val="24"/>
                <w:szCs w:val="20"/>
                <w:highlight w:val="none"/>
              </w:rPr>
            </w:r>
            <w:r/>
          </w:p>
        </w:tc>
        <w:tc>
          <w:tcPr>
            <w:tcW w:w="81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9"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gridSpan w:val="3"/>
            <w:tcW w:w="2119"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年末“货币资金”余额（万）</w:t>
            </w:r>
            <w:r>
              <w:rPr>
                <w:rFonts w:ascii="宋体" w:hAnsi="宋体"/>
                <w:color w:val="000000"/>
                <w:sz w:val="24"/>
                <w:szCs w:val="20"/>
                <w:highlight w:val="none"/>
              </w:rPr>
            </w:r>
            <w:r/>
          </w:p>
        </w:tc>
        <w:tc>
          <w:tcPr>
            <w:gridSpan w:val="2"/>
            <w:tcW w:w="228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547"/>
        </w:trPr>
        <w:tc>
          <w:tcPr>
            <w:shd w:val="clear" w:color="auto" w:fill="d9d9d9"/>
            <w:tcW w:w="615"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三</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供应商其他信息</w:t>
            </w:r>
            <w:r>
              <w:rPr>
                <w:rFonts w:ascii="宋体" w:hAnsi="宋体"/>
                <w:b/>
                <w:color w:val="000000"/>
                <w:sz w:val="24"/>
                <w:szCs w:val="20"/>
                <w:highlight w:val="none"/>
              </w:rPr>
            </w:r>
            <w:r/>
          </w:p>
        </w:tc>
      </w:tr>
      <w:tr>
        <w:trPr>
          <w:trHeight w:val="1015"/>
        </w:trPr>
        <w:tc>
          <w:tcPr>
            <w:tcW w:w="615"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（一）</w:t>
            </w:r>
            <w:r>
              <w:rPr>
                <w:rFonts w:ascii="宋体" w:hAnsi="宋体"/>
                <w:color w:val="000000"/>
                <w:sz w:val="24"/>
                <w:szCs w:val="20"/>
                <w:highlight w:val="none"/>
              </w:rPr>
            </w:r>
            <w:r/>
          </w:p>
        </w:tc>
        <w:tc>
          <w:tcPr>
            <w:tcW w:w="737"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公司取得的相关资质及等级：</w:t>
            </w:r>
            <w:r>
              <w:rPr>
                <w:rFonts w:ascii="宋体" w:hAnsi="宋体"/>
                <w:color w:val="000000"/>
                <w:sz w:val="24"/>
                <w:szCs w:val="20"/>
                <w:highlight w:val="none"/>
              </w:rPr>
            </w:r>
            <w:r/>
          </w:p>
        </w:tc>
        <w:tc>
          <w:tcPr>
            <w:gridSpan w:val="8"/>
            <w:tcW w:w="668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1086"/>
        </w:trPr>
        <w:tc>
          <w:tcPr>
            <w:tcW w:w="615"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（二）</w:t>
            </w:r>
            <w:r>
              <w:rPr>
                <w:rFonts w:ascii="宋体" w:hAnsi="宋体"/>
                <w:color w:val="000000"/>
                <w:sz w:val="24"/>
                <w:szCs w:val="20"/>
                <w:highlight w:val="none"/>
              </w:rPr>
            </w:r>
            <w:r/>
          </w:p>
        </w:tc>
        <w:tc>
          <w:tcPr>
            <w:tcW w:w="737" w:type="dxa"/>
            <w:vAlign w:val="center"/>
            <w:textDirection w:val="lrTb"/>
            <w:noWrap w:val="false"/>
          </w:tcPr>
          <w:p>
            <w:pPr>
              <w:pStyle w:val="109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w:t>
            </w:r>
            <w:r>
              <w:rPr>
                <w:rFonts w:hint="eastAsia" w:ascii="宋体" w:hAnsi="宋体"/>
                <w:b/>
                <w:color w:val="000000"/>
                <w:sz w:val="24"/>
                <w:szCs w:val="20"/>
                <w:highlight w:val="none"/>
                <w:u w:val="single"/>
              </w:rPr>
              <w:t xml:space="preserve">××××</w:t>
            </w:r>
            <w:r>
              <w:rPr>
                <w:rFonts w:hint="eastAsia" w:ascii="宋体" w:hAnsi="宋体"/>
                <w:color w:val="000000"/>
                <w:sz w:val="24"/>
                <w:szCs w:val="20"/>
                <w:highlight w:val="none"/>
              </w:rPr>
              <w:t xml:space="preserve">年度后获得的荣誉及表彰情况</w:t>
            </w:r>
            <w:r>
              <w:rPr>
                <w:rFonts w:ascii="宋体" w:hAnsi="宋体"/>
                <w:color w:val="000000"/>
                <w:sz w:val="24"/>
                <w:szCs w:val="20"/>
                <w:highlight w:val="none"/>
              </w:rPr>
            </w:r>
            <w:r/>
          </w:p>
        </w:tc>
        <w:tc>
          <w:tcPr>
            <w:gridSpan w:val="8"/>
            <w:tcW w:w="6689" w:type="dxa"/>
            <w:vAlign w:val="center"/>
            <w:textDirection w:val="lrTb"/>
            <w:noWrap w:val="false"/>
          </w:tcPr>
          <w:p>
            <w:pPr>
              <w:pStyle w:val="109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557"/>
        </w:trPr>
        <w:tc>
          <w:tcPr>
            <w:shd w:val="clear" w:color="auto" w:fill="bfbfbf"/>
            <w:tcW w:w="615"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四</w:t>
            </w:r>
            <w:r>
              <w:rPr>
                <w:rFonts w:ascii="宋体" w:hAnsi="宋体"/>
                <w:b/>
                <w:color w:val="000000"/>
                <w:sz w:val="24"/>
                <w:szCs w:val="20"/>
                <w:highlight w:val="none"/>
              </w:rPr>
            </w:r>
            <w:r/>
          </w:p>
        </w:tc>
        <w:tc>
          <w:tcPr>
            <w:gridSpan w:val="9"/>
            <w:shd w:val="clear" w:color="auto" w:fill="bfbfbf"/>
            <w:tcW w:w="8041"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提供本项目服务所必须的专业设备一览表 </w:t>
            </w:r>
            <w:r>
              <w:rPr>
                <w:rFonts w:ascii="宋体" w:hAnsi="宋体"/>
                <w:b/>
                <w:color w:val="000000"/>
                <w:sz w:val="24"/>
                <w:szCs w:val="20"/>
                <w:highlight w:val="none"/>
              </w:rPr>
            </w:r>
            <w:r/>
          </w:p>
        </w:tc>
      </w:tr>
      <w:tr>
        <w:trPr>
          <w:trHeight w:val="459"/>
        </w:trPr>
        <w:tc>
          <w:tcPr>
            <w:shd w:val="clear" w:color="auto" w:fill="ffffff"/>
            <w:tcW w:w="615"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序号</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品牌、型号及主要参数配置简述</w:t>
            </w:r>
            <w:r>
              <w:rPr>
                <w:rFonts w:ascii="宋体" w:hAnsi="宋体"/>
                <w:b/>
                <w:color w:val="000000"/>
                <w:sz w:val="24"/>
                <w:szCs w:val="20"/>
                <w:highlight w:val="none"/>
              </w:rPr>
            </w:r>
            <w:r/>
          </w:p>
        </w:tc>
        <w:tc>
          <w:tcPr>
            <w:gridSpan w:val="2"/>
            <w:shd w:val="clear" w:color="auto" w:fill="ffffff"/>
            <w:tcW w:w="1142"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购置年份</w:t>
            </w: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价格</w:t>
            </w:r>
            <w:r>
              <w:rPr>
                <w:rFonts w:ascii="宋体" w:hAnsi="宋体"/>
                <w:b/>
                <w:color w:val="000000"/>
                <w:sz w:val="24"/>
                <w:szCs w:val="20"/>
                <w:highlight w:val="none"/>
              </w:rPr>
            </w:r>
            <w:r/>
          </w:p>
        </w:tc>
        <w:tc>
          <w:tcPr>
            <w:gridSpan w:val="2"/>
            <w:shd w:val="clear" w:color="auto" w:fill="ffffff"/>
            <w:tcW w:w="1210"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数量</w:t>
            </w: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用途</w:t>
            </w:r>
            <w:r>
              <w:rPr>
                <w:rFonts w:ascii="宋体" w:hAnsi="宋体"/>
                <w:b/>
                <w:color w:val="000000"/>
                <w:sz w:val="24"/>
                <w:szCs w:val="20"/>
                <w:highlight w:val="none"/>
              </w:rPr>
            </w:r>
            <w:r/>
          </w:p>
        </w:tc>
      </w:tr>
      <w:tr>
        <w:trPr>
          <w:trHeight w:val="483"/>
        </w:trPr>
        <w:tc>
          <w:tcPr>
            <w:shd w:val="clear" w:color="auto" w:fill="ffffff"/>
            <w:tcW w:w="615"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1</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2"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10"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46"/>
        </w:trPr>
        <w:tc>
          <w:tcPr>
            <w:shd w:val="clear" w:color="auto" w:fill="ffffff"/>
            <w:tcW w:w="615"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2</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2"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10"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60"/>
        </w:trPr>
        <w:tc>
          <w:tcPr>
            <w:shd w:val="clear" w:color="auto" w:fill="ffffff"/>
            <w:tcW w:w="615"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3</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2"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10"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53"/>
        </w:trPr>
        <w:tc>
          <w:tcPr>
            <w:shd w:val="clear" w:color="auto" w:fill="ffffff"/>
            <w:tcW w:w="615"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t xml:space="preserve">…</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2"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10"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75"/>
        </w:trPr>
        <w:tc>
          <w:tcPr>
            <w:shd w:val="clear" w:color="auto" w:fill="bfbfbf"/>
            <w:tcW w:w="615"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五</w:t>
            </w:r>
            <w:r>
              <w:rPr>
                <w:rFonts w:ascii="宋体" w:hAnsi="宋体"/>
                <w:b/>
                <w:color w:val="000000"/>
                <w:sz w:val="24"/>
                <w:szCs w:val="20"/>
                <w:highlight w:val="none"/>
              </w:rPr>
            </w:r>
            <w:r/>
          </w:p>
        </w:tc>
        <w:tc>
          <w:tcPr>
            <w:gridSpan w:val="9"/>
            <w:shd w:val="clear" w:color="auto" w:fill="bfbfbf"/>
            <w:tcW w:w="8041"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提供本项目服务所必须的专业技术能力</w:t>
            </w:r>
            <w:r>
              <w:rPr>
                <w:rFonts w:ascii="宋体" w:hAnsi="宋体"/>
                <w:b/>
                <w:color w:val="000000"/>
                <w:sz w:val="24"/>
                <w:szCs w:val="20"/>
                <w:highlight w:val="none"/>
              </w:rPr>
            </w:r>
            <w:r/>
          </w:p>
        </w:tc>
      </w:tr>
      <w:tr>
        <w:trPr>
          <w:trHeight w:val="1630"/>
        </w:trPr>
        <w:tc>
          <w:tcPr>
            <w:gridSpan w:val="10"/>
            <w:shd w:val="clear" w:color="auto" w:fill="ffffff"/>
            <w:tcW w:w="9169" w:type="dxa"/>
            <w:vAlign w:val="center"/>
            <w:textDirection w:val="lrTb"/>
            <w:noWrap w:val="false"/>
          </w:tcPr>
          <w:p>
            <w:pPr>
              <w:pStyle w:val="109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bl>
    <w:p>
      <w:pPr>
        <w:pStyle w:val="1099"/>
        <w:jc w:val="left"/>
        <w:spacing w:line="440" w:lineRule="exact"/>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1099"/>
        <w:spacing w:line="440" w:lineRule="exact"/>
        <w:rPr>
          <w:rFonts w:ascii="宋体" w:hAnsi="宋体"/>
          <w:color w:val="000000"/>
          <w:sz w:val="24"/>
          <w:highlight w:val="none"/>
          <w:u w:val="single"/>
        </w:rPr>
      </w:pPr>
      <w:r>
        <w:rPr>
          <w:rFonts w:hint="eastAsia" w:ascii="宋体" w:hAnsi="宋体"/>
          <w:color w:val="000000"/>
          <w:sz w:val="24"/>
          <w:highlight w:val="none"/>
        </w:rPr>
        <w:t xml:space="preserve">注：1、</w:t>
      </w:r>
      <w:r>
        <w:rPr>
          <w:rFonts w:hint="eastAsia" w:ascii="宋体" w:hAnsi="宋体"/>
          <w:color w:val="000000"/>
          <w:sz w:val="24"/>
          <w:highlight w:val="none"/>
          <w:u w:val="single"/>
        </w:rPr>
        <w:t xml:space="preserve">如行数不够请自行添加。</w:t>
      </w:r>
      <w:r>
        <w:rPr>
          <w:rFonts w:ascii="宋体" w:hAnsi="宋体"/>
          <w:color w:val="000000"/>
          <w:sz w:val="24"/>
          <w:highlight w:val="none"/>
          <w:u w:val="single"/>
        </w:rPr>
      </w:r>
      <w:r/>
    </w:p>
    <w:p>
      <w:pPr>
        <w:pStyle w:val="985"/>
        <w:jc w:val="center"/>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85"/>
        <w:numPr>
          <w:ilvl w:val="0"/>
          <w:numId w:val="0"/>
        </w:numPr>
        <w:ind w:left="1470"/>
        <w:jc w:val="both"/>
        <w:spacing w:line="440" w:lineRule="exact"/>
        <w:rPr>
          <w:rFonts w:hint="eastAsia" w:ascii="黑体" w:hAnsi="黑体" w:eastAsia="黑体"/>
          <w:b/>
          <w:color w:val="000000"/>
          <w:sz w:val="32"/>
          <w:szCs w:val="32"/>
          <w:highlight w:val="none"/>
        </w:rPr>
      </w:pPr>
      <w:r>
        <w:rPr>
          <w:rFonts w:hint="eastAsia" w:ascii="宋体" w:hAnsi="宋体" w:cs="仿宋"/>
          <w:b/>
          <w:bCs/>
          <w:color w:val="000000"/>
          <w:sz w:val="32"/>
          <w:szCs w:val="32"/>
          <w:highlight w:val="none"/>
        </w:rPr>
        <w:br w:type="page" w:clear="all"/>
      </w:r>
      <w:r>
        <w:rPr>
          <w:rFonts w:hint="eastAsia" w:ascii="黑体" w:hAnsi="黑体" w:eastAsia="黑体"/>
          <w:b/>
          <w:color w:val="000000"/>
          <w:sz w:val="32"/>
          <w:szCs w:val="32"/>
          <w:highlight w:val="none"/>
        </w:rPr>
        <w:t xml:space="preserve">联合体协议（参考格式）（分包号：**）</w:t>
      </w:r>
      <w:r>
        <w:rPr>
          <w:rFonts w:hint="eastAsia" w:ascii="黑体" w:hAnsi="黑体" w:eastAsia="黑体"/>
          <w:b/>
          <w:color w:val="000000"/>
          <w:sz w:val="32"/>
          <w:szCs w:val="32"/>
          <w:highlight w:val="none"/>
        </w:rPr>
      </w:r>
      <w:r/>
    </w:p>
    <w:p>
      <w:pPr>
        <w:pStyle w:val="985"/>
        <w:ind w:left="56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8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（联合体中各供应商全称）在此达成以下协议：</w:t>
      </w:r>
      <w:r>
        <w:rPr>
          <w:rFonts w:ascii="宋体" w:hAnsi="宋体"/>
          <w:color w:val="000000"/>
          <w:sz w:val="24"/>
          <w:szCs w:val="24"/>
          <w:highlight w:val="none"/>
        </w:rPr>
      </w:r>
      <w:r/>
    </w:p>
    <w:p>
      <w:pPr>
        <w:pStyle w:val="985"/>
        <w:ind w:firstLine="645"/>
        <w:spacing w:line="440" w:lineRule="exac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、我们</w:t>
      </w:r>
      <w:r>
        <w:rPr>
          <w:rFonts w:hint="eastAsia" w:ascii="宋体" w:hAnsi="宋体"/>
          <w:color w:val="000000"/>
          <w:sz w:val="24"/>
          <w:szCs w:val="24"/>
          <w:highlight w:val="none"/>
          <w:u w:val="single"/>
        </w:rPr>
        <w:t xml:space="preserve"> （供应商1），（供应商2） ，</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自愿组成联合体，参加XXX采购代理机构组织的采购编号为</w:t>
      </w:r>
      <w:r>
        <w:rPr>
          <w:rFonts w:hint="eastAsia" w:ascii="宋体" w:hAnsi="宋体"/>
          <w:color w:val="000000"/>
          <w:sz w:val="24"/>
          <w:szCs w:val="24"/>
          <w:highlight w:val="none"/>
          <w:u w:val="single"/>
        </w:rPr>
        <w:t xml:space="preserve">（编号全称），（项目全称）</w:t>
      </w:r>
      <w:r>
        <w:rPr>
          <w:rFonts w:hint="eastAsia" w:ascii="宋体" w:hAnsi="宋体"/>
          <w:color w:val="000000"/>
          <w:sz w:val="24"/>
          <w:szCs w:val="24"/>
          <w:highlight w:val="none"/>
        </w:rPr>
        <w:t xml:space="preserve">项目（分包号：**）的政府采购活动，我联合体指定</w:t>
      </w:r>
      <w:r>
        <w:rPr>
          <w:rFonts w:hint="eastAsia" w:ascii="宋体" w:hAnsi="宋体"/>
          <w:color w:val="000000"/>
          <w:sz w:val="24"/>
          <w:szCs w:val="24"/>
          <w:highlight w:val="none"/>
          <w:u w:val="single"/>
        </w:rPr>
        <w:t xml:space="preserve">（供应商*）</w:t>
      </w:r>
      <w:r>
        <w:rPr>
          <w:rFonts w:hint="eastAsia" w:ascii="宋体" w:hAnsi="宋体"/>
          <w:color w:val="000000"/>
          <w:sz w:val="24"/>
          <w:szCs w:val="24"/>
          <w:highlight w:val="none"/>
        </w:rPr>
        <w:t xml:space="preserve">为牵头单位（牵头单位必须为联合体成员）。</w:t>
      </w:r>
      <w:r>
        <w:rPr>
          <w:rFonts w:ascii="宋体" w:hAnsi="宋体"/>
          <w:color w:val="000000"/>
          <w:sz w:val="24"/>
          <w:szCs w:val="24"/>
          <w:highlight w:val="none"/>
        </w:rPr>
      </w:r>
      <w:r/>
    </w:p>
    <w:p>
      <w:pPr>
        <w:pStyle w:val="985"/>
        <w:ind w:firstLine="645"/>
        <w:spacing w:line="44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、若我们联合</w:t>
      </w:r>
      <w:r>
        <w:rPr>
          <w:rFonts w:hint="eastAsia" w:ascii="宋体" w:hAnsi="宋体"/>
          <w:color w:val="000000"/>
          <w:sz w:val="24"/>
          <w:szCs w:val="24"/>
          <w:highlight w:val="none"/>
          <w:lang w:eastAsia="zh-CN"/>
        </w:rPr>
        <w:t xml:space="preserve">中标</w:t>
      </w:r>
      <w:r>
        <w:rPr>
          <w:rFonts w:hint="eastAsia" w:ascii="宋体" w:hAnsi="宋体"/>
          <w:color w:val="000000"/>
          <w:sz w:val="24"/>
          <w:szCs w:val="24"/>
          <w:highlight w:val="none"/>
        </w:rPr>
        <w:t xml:space="preserve">，（供应商单位</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全称）实施项目中（工作内容）部分工作，并承担相应的责任。（供应商单位</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全称）实施项目中（工作内容）部分工作，并承担相应的责任……。（注：联合体中各供应商都应明示所承担的工作和相应的责任）。</w:t>
      </w:r>
      <w:r>
        <w:rPr>
          <w:rFonts w:ascii="宋体" w:hAnsi="宋体"/>
          <w:color w:val="000000"/>
          <w:sz w:val="24"/>
          <w:szCs w:val="24"/>
          <w:highlight w:val="none"/>
        </w:rPr>
      </w:r>
      <w:r/>
    </w:p>
    <w:p>
      <w:pPr>
        <w:pStyle w:val="985"/>
        <w:ind w:firstLine="645"/>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、其中</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（小型、微型企业/残疾人福利性单位/监狱企业全称）为</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85"/>
        <w:ind w:firstLine="64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5"/>
        <w:ind w:firstLine="64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备注：本</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中要求加盖CA电子公章的地方，仅需加盖牵头单位的CA电子公章。</w:t>
      </w:r>
      <w:r>
        <w:rPr>
          <w:rFonts w:ascii="宋体" w:hAnsi="宋体"/>
          <w:color w:val="000000"/>
          <w:sz w:val="24"/>
          <w:szCs w:val="24"/>
          <w:highlight w:val="none"/>
        </w:rPr>
      </w:r>
      <w:r/>
    </w:p>
    <w:p>
      <w:pPr>
        <w:pStyle w:val="985"/>
        <w:ind w:firstLine="645"/>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85"/>
        <w:ind w:firstLine="645"/>
        <w:jc w:val="righ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联合体中各供应商全称（公章）：</w:t>
      </w:r>
      <w:r>
        <w:rPr>
          <w:rFonts w:ascii="宋体" w:hAnsi="宋体"/>
          <w:color w:val="000000"/>
          <w:sz w:val="24"/>
          <w:szCs w:val="24"/>
          <w:highlight w:val="none"/>
        </w:rPr>
        <w:t xml:space="preserve">     </w:t>
      </w:r>
      <w:r>
        <w:rPr>
          <w:rFonts w:ascii="宋体" w:hAnsi="宋体"/>
          <w:color w:val="000000"/>
          <w:sz w:val="24"/>
          <w:szCs w:val="24"/>
          <w:highlight w:val="none"/>
        </w:rPr>
      </w:r>
      <w:r/>
    </w:p>
    <w:p>
      <w:pPr>
        <w:pStyle w:val="985"/>
        <w:ind w:firstLine="645"/>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日期：</w:t>
      </w:r>
      <w:r>
        <w:rPr>
          <w:rFonts w:hint="eastAsia" w:ascii="宋体" w:hAnsi="宋体"/>
          <w:color w:val="000000"/>
          <w:sz w:val="24"/>
          <w:szCs w:val="24"/>
          <w:highlight w:val="none"/>
        </w:rPr>
      </w:r>
      <w:r/>
    </w:p>
    <w:p>
      <w:pPr>
        <w:pStyle w:val="985"/>
        <w:ind w:firstLine="64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5"/>
        <w:jc w:val="center"/>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85"/>
        <w:jc w:val="center"/>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85"/>
        <w:jc w:val="center"/>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85"/>
        <w:jc w:val="center"/>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85"/>
        <w:jc w:val="center"/>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85"/>
        <w:jc w:val="center"/>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85"/>
        <w:jc w:val="center"/>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85"/>
        <w:jc w:val="center"/>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85"/>
        <w:jc w:val="center"/>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85"/>
        <w:jc w:val="center"/>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85"/>
        <w:jc w:val="center"/>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85"/>
        <w:jc w:val="center"/>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85"/>
        <w:jc w:val="center"/>
        <w:spacing w:line="440" w:lineRule="exact"/>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85"/>
        <w:jc w:val="center"/>
        <w:spacing w:line="44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98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98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8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8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8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8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8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8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98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8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8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lang w:eastAsia="zh-CN"/>
        </w:rPr>
        <w:t xml:space="preserve">招标人</w:t>
      </w:r>
      <w:r>
        <w:rPr>
          <w:rFonts w:hint="eastAsia" w:ascii="宋体" w:hAnsi="宋体" w:cs="仿宋"/>
          <w:color w:val="000000"/>
          <w:sz w:val="24"/>
          <w:szCs w:val="24"/>
          <w:highlight w:val="none"/>
        </w:rPr>
        <w:t xml:space="preserve">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8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8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98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8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8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8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8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8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98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8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98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8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98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985"/>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98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98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98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98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98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98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1002"/>
        <w:spacing w:line="440" w:lineRule="exact"/>
        <w:rPr>
          <w:rFonts w:hint="eastAsia"/>
          <w:color w:val="000000"/>
          <w:sz w:val="24"/>
          <w:szCs w:val="24"/>
          <w:highlight w:val="none"/>
        </w:rPr>
      </w:pPr>
      <w:r>
        <w:rPr>
          <w:rFonts w:hint="eastAsia"/>
          <w:color w:val="000000"/>
          <w:sz w:val="24"/>
          <w:szCs w:val="24"/>
          <w:highlight w:val="none"/>
        </w:rPr>
      </w:r>
      <w:r/>
    </w:p>
    <w:p>
      <w:pPr>
        <w:pStyle w:val="1002"/>
        <w:spacing w:line="440" w:lineRule="exact"/>
        <w:rPr>
          <w:color w:val="000000"/>
          <w:sz w:val="24"/>
          <w:szCs w:val="24"/>
          <w:highlight w:val="none"/>
        </w:rPr>
      </w:pPr>
      <w:r>
        <w:rPr>
          <w:color w:val="000000"/>
          <w:sz w:val="24"/>
          <w:szCs w:val="24"/>
          <w:highlight w:val="none"/>
        </w:rPr>
      </w:r>
      <w:r/>
    </w:p>
    <w:sectPr>
      <w:headerReference w:type="default" r:id="rId9"/>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4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imSun">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5"/>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rPr>
        <w:rStyle w:val="1057"/>
      </w:rPr>
      <w:framePr w:wrap="around" w:vAnchor="text" w:hAnchor="margin" w:xAlign="center" w:y="1"/>
    </w:pPr>
    <w:r>
      <w:fldChar w:fldCharType="begin"/>
    </w:r>
    <w:r>
      <w:rPr>
        <w:rStyle w:val="1057"/>
      </w:rPr>
      <w:instrText xml:space="preserve">PAGE  </w:instrText>
    </w:r>
    <w:r>
      <w:fldChar w:fldCharType="separate"/>
    </w:r>
    <w:r>
      <w:rPr>
        <w:rStyle w:val="1057"/>
      </w:rPr>
      <w:t xml:space="preserve">1</w:t>
    </w:r>
    <w:r>
      <w:fldChar w:fldCharType="end"/>
    </w:r>
    <w:r>
      <w:rPr>
        <w:rStyle w:val="1057"/>
      </w:rPr>
    </w:r>
    <w:r/>
  </w:p>
  <w:p>
    <w:pPr>
      <w:pStyle w:val="103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9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9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65"/>
      <w:isLgl w:val="false"/>
      <w:suff w:val="tab"/>
      <w:lvlText w:val="附录%1."/>
      <w:lvlJc w:val="left"/>
      <w:pPr>
        <w:pStyle w:val="9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tab"/>
      <w:lvlText w:val="(%1)"/>
      <w:lvlJc w:val="left"/>
      <w:pPr>
        <w:pStyle w:val="985"/>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pStyle w:val="9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82"/>
      <w:isLgl w:val="false"/>
      <w:suff w:val="tab"/>
      <w:lvlText w:val="%1."/>
      <w:lvlJc w:val="left"/>
      <w:pPr>
        <w:pStyle w:val="985"/>
        <w:ind w:left="709" w:hanging="709"/>
        <w:tabs>
          <w:tab w:val="num" w:pos="709" w:leader="none"/>
        </w:tabs>
      </w:pPr>
      <w:rPr>
        <w:rFonts w:hint="eastAsia"/>
      </w:rPr>
    </w:lvl>
    <w:lvl w:ilvl="1">
      <w:start w:val="1"/>
      <w:numFmt w:val="decimal"/>
      <w:isLgl w:val="false"/>
      <w:suff w:val="tab"/>
      <w:lvlText w:val="%1.%2"/>
      <w:lvlJc w:val="left"/>
      <w:pPr>
        <w:pStyle w:val="985"/>
        <w:ind w:left="709" w:hanging="709"/>
        <w:tabs>
          <w:tab w:val="num" w:pos="709" w:leader="none"/>
        </w:tabs>
      </w:pPr>
      <w:rPr>
        <w:rFonts w:hint="eastAsia"/>
      </w:rPr>
    </w:lvl>
    <w:lvl w:ilvl="2">
      <w:start w:val="1"/>
      <w:numFmt w:val="decimal"/>
      <w:isLgl w:val="false"/>
      <w:suff w:val="tab"/>
      <w:lvlText w:val="%1.%2.%3."/>
      <w:lvlJc w:val="left"/>
      <w:pPr>
        <w:pStyle w:val="985"/>
        <w:ind w:left="425" w:hanging="425"/>
        <w:tabs>
          <w:tab w:val="num" w:pos="425" w:leader="none"/>
        </w:tabs>
      </w:pPr>
      <w:rPr>
        <w:rFonts w:hint="eastAsia"/>
      </w:rPr>
    </w:lvl>
    <w:lvl w:ilvl="3">
      <w:start w:val="1"/>
      <w:numFmt w:val="decimal"/>
      <w:isLgl w:val="false"/>
      <w:suff w:val="tab"/>
      <w:lvlText w:val="%1.%2.%3.%4."/>
      <w:lvlJc w:val="left"/>
      <w:pPr>
        <w:pStyle w:val="985"/>
        <w:ind w:left="851" w:hanging="851"/>
        <w:tabs>
          <w:tab w:val="num" w:pos="851" w:leader="none"/>
        </w:tabs>
      </w:pPr>
      <w:rPr>
        <w:rFonts w:hint="eastAsia"/>
      </w:rPr>
    </w:lvl>
    <w:lvl w:ilvl="4">
      <w:start w:val="1"/>
      <w:numFmt w:val="decimal"/>
      <w:isLgl w:val="false"/>
      <w:suff w:val="tab"/>
      <w:lvlText w:val="%1.%2.%3.%4.%5."/>
      <w:lvlJc w:val="left"/>
      <w:pPr>
        <w:pStyle w:val="985"/>
        <w:ind w:left="992" w:hanging="992"/>
        <w:tabs>
          <w:tab w:val="num" w:pos="992" w:leader="none"/>
        </w:tabs>
      </w:pPr>
      <w:rPr>
        <w:rFonts w:hint="eastAsia"/>
      </w:rPr>
    </w:lvl>
    <w:lvl w:ilvl="5">
      <w:start w:val="1"/>
      <w:numFmt w:val="decimal"/>
      <w:isLgl w:val="false"/>
      <w:suff w:val="tab"/>
      <w:lvlText w:val="%1.%2.%3.%4.%5.%6."/>
      <w:lvlJc w:val="left"/>
      <w:pPr>
        <w:pStyle w:val="985"/>
        <w:ind w:left="1134" w:hanging="1134"/>
        <w:tabs>
          <w:tab w:val="num" w:pos="1134" w:leader="none"/>
        </w:tabs>
      </w:pPr>
      <w:rPr>
        <w:rFonts w:hint="eastAsia"/>
      </w:rPr>
    </w:lvl>
    <w:lvl w:ilvl="6">
      <w:start w:val="1"/>
      <w:numFmt w:val="decimal"/>
      <w:isLgl w:val="false"/>
      <w:suff w:val="tab"/>
      <w:lvlText w:val="%1.%2.%3.%4.%5.%6.%7."/>
      <w:lvlJc w:val="left"/>
      <w:pPr>
        <w:pStyle w:val="985"/>
        <w:ind w:left="1276" w:hanging="1276"/>
        <w:tabs>
          <w:tab w:val="num" w:pos="1276" w:leader="none"/>
        </w:tabs>
      </w:pPr>
      <w:rPr>
        <w:rFonts w:hint="eastAsia"/>
      </w:rPr>
    </w:lvl>
    <w:lvl w:ilvl="7">
      <w:start w:val="1"/>
      <w:numFmt w:val="decimal"/>
      <w:isLgl w:val="false"/>
      <w:suff w:val="tab"/>
      <w:lvlText w:val="%1.%2.%3.%4.%5.%6.%7.%8."/>
      <w:lvlJc w:val="left"/>
      <w:pPr>
        <w:pStyle w:val="985"/>
        <w:ind w:left="1418" w:hanging="1418"/>
        <w:tabs>
          <w:tab w:val="num" w:pos="1418" w:leader="none"/>
        </w:tabs>
      </w:pPr>
      <w:rPr>
        <w:rFonts w:hint="eastAsia"/>
      </w:rPr>
    </w:lvl>
    <w:lvl w:ilvl="8">
      <w:start w:val="1"/>
      <w:numFmt w:val="decimal"/>
      <w:isLgl w:val="false"/>
      <w:suff w:val="tab"/>
      <w:lvlText w:val="%1.%2.%3.%4.%5.%6.%7.%8.%9."/>
      <w:lvlJc w:val="left"/>
      <w:pPr>
        <w:pStyle w:val="985"/>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985"/>
        <w:ind w:left="0" w:firstLine="0"/>
      </w:pPr>
      <w:rPr>
        <w:rFonts w:hint="eastAsia"/>
      </w:rPr>
    </w:lvl>
    <w:lvl w:ilvl="1">
      <w:start w:val="1"/>
      <w:numFmt w:val="decimal"/>
      <w:isLgl w:val="false"/>
      <w:suff w:val="nothing"/>
      <w:lvlText w:val="%2、"/>
      <w:lvlJc w:val="left"/>
      <w:pPr>
        <w:pStyle w:val="985"/>
        <w:ind w:left="0" w:firstLine="0"/>
      </w:pPr>
      <w:rPr>
        <w:rFonts w:hint="eastAsia"/>
      </w:rPr>
    </w:lvl>
    <w:lvl w:ilvl="2">
      <w:start w:val="1"/>
      <w:numFmt w:val="decimal"/>
      <w:isLgl w:val="false"/>
      <w:suff w:val="nothing"/>
      <w:lvlText w:val="%2.%3 "/>
      <w:lvlJc w:val="left"/>
      <w:pPr>
        <w:pStyle w:val="985"/>
        <w:ind w:left="0" w:firstLine="0"/>
      </w:pPr>
      <w:rPr>
        <w:rFonts w:hint="eastAsia"/>
      </w:rPr>
    </w:lvl>
    <w:lvl w:ilvl="3">
      <w:start w:val="1"/>
      <w:numFmt w:val="decimal"/>
      <w:isLgl w:val="false"/>
      <w:suff w:val="nothing"/>
      <w:lvlText w:val="%2.%3.%4 "/>
      <w:lvlJc w:val="left"/>
      <w:pPr>
        <w:pStyle w:val="985"/>
        <w:ind w:left="0" w:firstLine="0"/>
      </w:pPr>
      <w:rPr>
        <w:rFonts w:hint="eastAsia"/>
      </w:rPr>
    </w:lvl>
    <w:lvl w:ilvl="4">
      <w:start w:val="1"/>
      <w:numFmt w:val="decimal"/>
      <w:isLgl w:val="false"/>
      <w:suff w:val="nothing"/>
      <w:lvlText w:val="%2.%3.%4.%5 "/>
      <w:lvlJc w:val="left"/>
      <w:pPr>
        <w:pStyle w:val="985"/>
        <w:ind w:left="0" w:firstLine="0"/>
      </w:pPr>
      <w:rPr>
        <w:rFonts w:hint="eastAsia"/>
      </w:rPr>
    </w:lvl>
    <w:lvl w:ilvl="5">
      <w:start w:val="1"/>
      <w:numFmt w:val="decimal"/>
      <w:pStyle w:val="991"/>
      <w:isLgl w:val="false"/>
      <w:suff w:val="nothing"/>
      <w:lvlText w:val=""/>
      <w:lvlJc w:val="left"/>
      <w:pPr>
        <w:pStyle w:val="985"/>
        <w:ind w:left="0" w:firstLine="0"/>
      </w:pPr>
      <w:rPr>
        <w:rFonts w:hint="eastAsia"/>
      </w:rPr>
    </w:lvl>
    <w:lvl w:ilvl="6">
      <w:start w:val="1"/>
      <w:numFmt w:val="decimal"/>
      <w:pStyle w:val="992"/>
      <w:isLgl w:val="false"/>
      <w:suff w:val="nothing"/>
      <w:lvlText w:val=""/>
      <w:lvlJc w:val="left"/>
      <w:pPr>
        <w:pStyle w:val="985"/>
        <w:ind w:left="0" w:firstLine="0"/>
      </w:pPr>
      <w:rPr>
        <w:rFonts w:hint="eastAsia"/>
      </w:rPr>
    </w:lvl>
    <w:lvl w:ilvl="7">
      <w:start w:val="1"/>
      <w:numFmt w:val="decimal"/>
      <w:pStyle w:val="993"/>
      <w:isLgl w:val="false"/>
      <w:suff w:val="nothing"/>
      <w:lvlText w:val=""/>
      <w:lvlJc w:val="left"/>
      <w:pPr>
        <w:pStyle w:val="985"/>
        <w:ind w:left="0" w:firstLine="0"/>
      </w:pPr>
      <w:rPr>
        <w:rFonts w:hint="eastAsia"/>
      </w:rPr>
    </w:lvl>
    <w:lvl w:ilvl="8">
      <w:start w:val="1"/>
      <w:numFmt w:val="decimal"/>
      <w:pStyle w:val="994"/>
      <w:isLgl w:val="false"/>
      <w:suff w:val="nothing"/>
      <w:lvlText w:val=""/>
      <w:lvlJc w:val="left"/>
      <w:pPr>
        <w:pStyle w:val="985"/>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98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6"/>
  </w:num>
  <w:num w:numId="4">
    <w:abstractNumId w:val="8"/>
  </w:num>
  <w:num w:numId="5">
    <w:abstractNumId w:val="1"/>
  </w:num>
  <w:num w:numId="6">
    <w:abstractNumId w:val="4"/>
  </w:num>
  <w:num w:numId="7">
    <w:abstractNumId w:val="2"/>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name w:val="Heading 1"/>
    <w:basedOn w:val="985"/>
    <w:next w:val="985"/>
    <w:link w:val="808"/>
    <w:uiPriority w:val="9"/>
    <w:qFormat/>
    <w:pPr>
      <w:keepLines/>
      <w:keepNext/>
      <w:spacing w:before="480" w:after="200"/>
      <w:outlineLvl w:val="0"/>
    </w:pPr>
    <w:rPr>
      <w:rFonts w:ascii="Arial" w:hAnsi="Arial" w:eastAsia="Arial" w:cs="Arial"/>
      <w:sz w:val="40"/>
      <w:szCs w:val="40"/>
    </w:rPr>
  </w:style>
  <w:style w:type="character" w:styleId="808">
    <w:name w:val="Heading 1 Char"/>
    <w:link w:val="807"/>
    <w:uiPriority w:val="9"/>
    <w:rPr>
      <w:rFonts w:ascii="Arial" w:hAnsi="Arial" w:eastAsia="Arial" w:cs="Arial"/>
      <w:sz w:val="40"/>
      <w:szCs w:val="40"/>
    </w:rPr>
  </w:style>
  <w:style w:type="paragraph" w:styleId="809">
    <w:name w:val="Heading 2"/>
    <w:basedOn w:val="985"/>
    <w:next w:val="985"/>
    <w:link w:val="810"/>
    <w:uiPriority w:val="9"/>
    <w:unhideWhenUsed/>
    <w:qFormat/>
    <w:pPr>
      <w:keepLines/>
      <w:keepNext/>
      <w:spacing w:before="360" w:after="200"/>
      <w:outlineLvl w:val="1"/>
    </w:pPr>
    <w:rPr>
      <w:rFonts w:ascii="Arial" w:hAnsi="Arial" w:eastAsia="Arial" w:cs="Arial"/>
      <w:sz w:val="34"/>
    </w:rPr>
  </w:style>
  <w:style w:type="character" w:styleId="810">
    <w:name w:val="Heading 2 Char"/>
    <w:link w:val="809"/>
    <w:uiPriority w:val="9"/>
    <w:rPr>
      <w:rFonts w:ascii="Arial" w:hAnsi="Arial" w:eastAsia="Arial" w:cs="Arial"/>
      <w:sz w:val="34"/>
    </w:rPr>
  </w:style>
  <w:style w:type="paragraph" w:styleId="811">
    <w:name w:val="Heading 3"/>
    <w:basedOn w:val="985"/>
    <w:next w:val="985"/>
    <w:link w:val="812"/>
    <w:uiPriority w:val="9"/>
    <w:unhideWhenUsed/>
    <w:qFormat/>
    <w:pPr>
      <w:keepLines/>
      <w:keepNext/>
      <w:spacing w:before="320" w:after="200"/>
      <w:outlineLvl w:val="2"/>
    </w:pPr>
    <w:rPr>
      <w:rFonts w:ascii="Arial" w:hAnsi="Arial" w:eastAsia="Arial" w:cs="Arial"/>
      <w:sz w:val="30"/>
      <w:szCs w:val="30"/>
    </w:rPr>
  </w:style>
  <w:style w:type="character" w:styleId="812">
    <w:name w:val="Heading 3 Char"/>
    <w:link w:val="811"/>
    <w:uiPriority w:val="9"/>
    <w:rPr>
      <w:rFonts w:ascii="Arial" w:hAnsi="Arial" w:eastAsia="Arial" w:cs="Arial"/>
      <w:sz w:val="30"/>
      <w:szCs w:val="30"/>
    </w:rPr>
  </w:style>
  <w:style w:type="paragraph" w:styleId="813">
    <w:name w:val="Heading 4"/>
    <w:basedOn w:val="985"/>
    <w:next w:val="985"/>
    <w:link w:val="814"/>
    <w:uiPriority w:val="9"/>
    <w:unhideWhenUsed/>
    <w:qFormat/>
    <w:pPr>
      <w:keepLines/>
      <w:keepNext/>
      <w:spacing w:before="320" w:after="200"/>
      <w:outlineLvl w:val="3"/>
    </w:pPr>
    <w:rPr>
      <w:rFonts w:ascii="Arial" w:hAnsi="Arial" w:eastAsia="Arial" w:cs="Arial"/>
      <w:b/>
      <w:bCs/>
      <w:sz w:val="26"/>
      <w:szCs w:val="26"/>
    </w:rPr>
  </w:style>
  <w:style w:type="character" w:styleId="814">
    <w:name w:val="Heading 4 Char"/>
    <w:link w:val="813"/>
    <w:uiPriority w:val="9"/>
    <w:rPr>
      <w:rFonts w:ascii="Arial" w:hAnsi="Arial" w:eastAsia="Arial" w:cs="Arial"/>
      <w:b/>
      <w:bCs/>
      <w:sz w:val="26"/>
      <w:szCs w:val="26"/>
    </w:rPr>
  </w:style>
  <w:style w:type="paragraph" w:styleId="815">
    <w:name w:val="Heading 5"/>
    <w:basedOn w:val="985"/>
    <w:next w:val="985"/>
    <w:link w:val="816"/>
    <w:uiPriority w:val="9"/>
    <w:unhideWhenUsed/>
    <w:qFormat/>
    <w:pPr>
      <w:keepLines/>
      <w:keepNext/>
      <w:spacing w:before="320" w:after="200"/>
      <w:outlineLvl w:val="4"/>
    </w:pPr>
    <w:rPr>
      <w:rFonts w:ascii="Arial" w:hAnsi="Arial" w:eastAsia="Arial" w:cs="Arial"/>
      <w:b/>
      <w:bCs/>
      <w:sz w:val="24"/>
      <w:szCs w:val="24"/>
    </w:rPr>
  </w:style>
  <w:style w:type="character" w:styleId="816">
    <w:name w:val="Heading 5 Char"/>
    <w:link w:val="815"/>
    <w:uiPriority w:val="9"/>
    <w:rPr>
      <w:rFonts w:ascii="Arial" w:hAnsi="Arial" w:eastAsia="Arial" w:cs="Arial"/>
      <w:b/>
      <w:bCs/>
      <w:sz w:val="24"/>
      <w:szCs w:val="24"/>
    </w:rPr>
  </w:style>
  <w:style w:type="paragraph" w:styleId="817">
    <w:name w:val="Heading 6"/>
    <w:basedOn w:val="985"/>
    <w:next w:val="985"/>
    <w:link w:val="818"/>
    <w:uiPriority w:val="9"/>
    <w:unhideWhenUsed/>
    <w:qFormat/>
    <w:pPr>
      <w:keepLines/>
      <w:keepNext/>
      <w:spacing w:before="320" w:after="200"/>
      <w:outlineLvl w:val="5"/>
    </w:pPr>
    <w:rPr>
      <w:rFonts w:ascii="Arial" w:hAnsi="Arial" w:eastAsia="Arial" w:cs="Arial"/>
      <w:b/>
      <w:bCs/>
      <w:sz w:val="22"/>
      <w:szCs w:val="22"/>
    </w:rPr>
  </w:style>
  <w:style w:type="character" w:styleId="818">
    <w:name w:val="Heading 6 Char"/>
    <w:link w:val="817"/>
    <w:uiPriority w:val="9"/>
    <w:rPr>
      <w:rFonts w:ascii="Arial" w:hAnsi="Arial" w:eastAsia="Arial" w:cs="Arial"/>
      <w:b/>
      <w:bCs/>
      <w:sz w:val="22"/>
      <w:szCs w:val="22"/>
    </w:rPr>
  </w:style>
  <w:style w:type="paragraph" w:styleId="819">
    <w:name w:val="Heading 7"/>
    <w:basedOn w:val="985"/>
    <w:next w:val="985"/>
    <w:link w:val="820"/>
    <w:uiPriority w:val="9"/>
    <w:unhideWhenUsed/>
    <w:qFormat/>
    <w:pPr>
      <w:keepLines/>
      <w:keepNext/>
      <w:spacing w:before="320" w:after="200"/>
      <w:outlineLvl w:val="6"/>
    </w:pPr>
    <w:rPr>
      <w:rFonts w:ascii="Arial" w:hAnsi="Arial" w:eastAsia="Arial" w:cs="Arial"/>
      <w:b/>
      <w:bCs/>
      <w:i/>
      <w:iCs/>
      <w:sz w:val="22"/>
      <w:szCs w:val="22"/>
    </w:rPr>
  </w:style>
  <w:style w:type="character" w:styleId="820">
    <w:name w:val="Heading 7 Char"/>
    <w:link w:val="819"/>
    <w:uiPriority w:val="9"/>
    <w:rPr>
      <w:rFonts w:ascii="Arial" w:hAnsi="Arial" w:eastAsia="Arial" w:cs="Arial"/>
      <w:b/>
      <w:bCs/>
      <w:i/>
      <w:iCs/>
      <w:sz w:val="22"/>
      <w:szCs w:val="22"/>
    </w:rPr>
  </w:style>
  <w:style w:type="paragraph" w:styleId="821">
    <w:name w:val="Heading 8"/>
    <w:basedOn w:val="985"/>
    <w:next w:val="985"/>
    <w:link w:val="822"/>
    <w:uiPriority w:val="9"/>
    <w:unhideWhenUsed/>
    <w:qFormat/>
    <w:pPr>
      <w:keepLines/>
      <w:keepNext/>
      <w:spacing w:before="320" w:after="200"/>
      <w:outlineLvl w:val="7"/>
    </w:pPr>
    <w:rPr>
      <w:rFonts w:ascii="Arial" w:hAnsi="Arial" w:eastAsia="Arial" w:cs="Arial"/>
      <w:i/>
      <w:iCs/>
      <w:sz w:val="22"/>
      <w:szCs w:val="22"/>
    </w:rPr>
  </w:style>
  <w:style w:type="character" w:styleId="822">
    <w:name w:val="Heading 8 Char"/>
    <w:link w:val="821"/>
    <w:uiPriority w:val="9"/>
    <w:rPr>
      <w:rFonts w:ascii="Arial" w:hAnsi="Arial" w:eastAsia="Arial" w:cs="Arial"/>
      <w:i/>
      <w:iCs/>
      <w:sz w:val="22"/>
      <w:szCs w:val="22"/>
    </w:rPr>
  </w:style>
  <w:style w:type="paragraph" w:styleId="823">
    <w:name w:val="Heading 9"/>
    <w:basedOn w:val="985"/>
    <w:next w:val="985"/>
    <w:link w:val="824"/>
    <w:uiPriority w:val="9"/>
    <w:unhideWhenUsed/>
    <w:qFormat/>
    <w:pPr>
      <w:keepLines/>
      <w:keepNext/>
      <w:spacing w:before="320" w:after="200"/>
      <w:outlineLvl w:val="8"/>
    </w:pPr>
    <w:rPr>
      <w:rFonts w:ascii="Arial" w:hAnsi="Arial" w:eastAsia="Arial" w:cs="Arial"/>
      <w:i/>
      <w:iCs/>
      <w:sz w:val="21"/>
      <w:szCs w:val="21"/>
    </w:rPr>
  </w:style>
  <w:style w:type="character" w:styleId="824">
    <w:name w:val="Heading 9 Char"/>
    <w:link w:val="823"/>
    <w:uiPriority w:val="9"/>
    <w:rPr>
      <w:rFonts w:ascii="Arial" w:hAnsi="Arial" w:eastAsia="Arial" w:cs="Arial"/>
      <w:i/>
      <w:iCs/>
      <w:sz w:val="21"/>
      <w:szCs w:val="21"/>
    </w:rPr>
  </w:style>
  <w:style w:type="paragraph" w:styleId="825">
    <w:name w:val="List Paragraph"/>
    <w:basedOn w:val="985"/>
    <w:uiPriority w:val="34"/>
    <w:qFormat/>
    <w:pPr>
      <w:contextualSpacing/>
      <w:ind w:left="720"/>
    </w:pPr>
  </w:style>
  <w:style w:type="paragraph" w:styleId="826">
    <w:name w:val="No Spacing"/>
    <w:uiPriority w:val="1"/>
    <w:qFormat/>
    <w:pPr>
      <w:spacing w:before="0" w:after="0" w:line="240" w:lineRule="auto"/>
    </w:pPr>
  </w:style>
  <w:style w:type="paragraph" w:styleId="827">
    <w:name w:val="Title"/>
    <w:basedOn w:val="985"/>
    <w:next w:val="985"/>
    <w:link w:val="828"/>
    <w:uiPriority w:val="10"/>
    <w:qFormat/>
    <w:pPr>
      <w:contextualSpacing/>
      <w:spacing w:before="300" w:after="200"/>
    </w:pPr>
    <w:rPr>
      <w:sz w:val="48"/>
      <w:szCs w:val="48"/>
    </w:rPr>
  </w:style>
  <w:style w:type="character" w:styleId="828">
    <w:name w:val="Title Char"/>
    <w:link w:val="827"/>
    <w:uiPriority w:val="10"/>
    <w:rPr>
      <w:sz w:val="48"/>
      <w:szCs w:val="48"/>
    </w:rPr>
  </w:style>
  <w:style w:type="paragraph" w:styleId="829">
    <w:name w:val="Subtitle"/>
    <w:basedOn w:val="985"/>
    <w:next w:val="985"/>
    <w:link w:val="830"/>
    <w:uiPriority w:val="11"/>
    <w:qFormat/>
    <w:pPr>
      <w:spacing w:before="200" w:after="200"/>
    </w:pPr>
    <w:rPr>
      <w:sz w:val="24"/>
      <w:szCs w:val="24"/>
    </w:rPr>
  </w:style>
  <w:style w:type="character" w:styleId="830">
    <w:name w:val="Subtitle Char"/>
    <w:link w:val="829"/>
    <w:uiPriority w:val="11"/>
    <w:rPr>
      <w:sz w:val="24"/>
      <w:szCs w:val="24"/>
    </w:rPr>
  </w:style>
  <w:style w:type="paragraph" w:styleId="831">
    <w:name w:val="Quote"/>
    <w:basedOn w:val="985"/>
    <w:next w:val="985"/>
    <w:link w:val="832"/>
    <w:uiPriority w:val="29"/>
    <w:qFormat/>
    <w:pPr>
      <w:ind w:left="720" w:right="720"/>
    </w:pPr>
    <w:rPr>
      <w:i/>
    </w:rPr>
  </w:style>
  <w:style w:type="character" w:styleId="832">
    <w:name w:val="Quote Char"/>
    <w:link w:val="831"/>
    <w:uiPriority w:val="29"/>
    <w:rPr>
      <w:i/>
    </w:rPr>
  </w:style>
  <w:style w:type="paragraph" w:styleId="833">
    <w:name w:val="Intense Quote"/>
    <w:basedOn w:val="985"/>
    <w:next w:val="985"/>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paragraph" w:styleId="835">
    <w:name w:val="Header"/>
    <w:basedOn w:val="985"/>
    <w:link w:val="836"/>
    <w:uiPriority w:val="99"/>
    <w:unhideWhenUsed/>
    <w:pPr>
      <w:spacing w:after="0" w:line="240" w:lineRule="auto"/>
      <w:tabs>
        <w:tab w:val="center" w:pos="7143" w:leader="none"/>
        <w:tab w:val="right" w:pos="14287" w:leader="none"/>
      </w:tabs>
    </w:pPr>
  </w:style>
  <w:style w:type="character" w:styleId="836">
    <w:name w:val="Header Char"/>
    <w:link w:val="835"/>
    <w:uiPriority w:val="99"/>
  </w:style>
  <w:style w:type="paragraph" w:styleId="837">
    <w:name w:val="Footer"/>
    <w:basedOn w:val="985"/>
    <w:link w:val="840"/>
    <w:uiPriority w:val="99"/>
    <w:unhideWhenUsed/>
    <w:pPr>
      <w:spacing w:after="0" w:line="240" w:lineRule="auto"/>
      <w:tabs>
        <w:tab w:val="center" w:pos="7143" w:leader="none"/>
        <w:tab w:val="right" w:pos="14287" w:leader="none"/>
      </w:tabs>
    </w:pPr>
  </w:style>
  <w:style w:type="character" w:styleId="838">
    <w:name w:val="Footer Char"/>
    <w:link w:val="837"/>
    <w:uiPriority w:val="99"/>
  </w:style>
  <w:style w:type="paragraph" w:styleId="839">
    <w:name w:val="Caption"/>
    <w:basedOn w:val="985"/>
    <w:next w:val="985"/>
    <w:uiPriority w:val="35"/>
    <w:semiHidden/>
    <w:unhideWhenUsed/>
    <w:qFormat/>
    <w:pPr>
      <w:spacing w:line="276" w:lineRule="auto"/>
    </w:pPr>
    <w:rPr>
      <w:b/>
      <w:bCs/>
      <w:color w:val="4f81bd" w:themeColor="accent1"/>
      <w:sz w:val="18"/>
      <w:szCs w:val="18"/>
    </w:rPr>
  </w:style>
  <w:style w:type="character" w:styleId="840">
    <w:name w:val="Caption Char"/>
    <w:basedOn w:val="839"/>
    <w:link w:val="837"/>
    <w:uiPriority w:val="99"/>
  </w:style>
  <w:style w:type="table" w:styleId="8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7">
    <w:name w:val="Hyperlink"/>
    <w:uiPriority w:val="99"/>
    <w:unhideWhenUsed/>
    <w:rPr>
      <w:color w:val="0000ff" w:themeColor="hyperlink"/>
      <w:u w:val="single"/>
    </w:rPr>
  </w:style>
  <w:style w:type="paragraph" w:styleId="968">
    <w:name w:val="footnote text"/>
    <w:basedOn w:val="985"/>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uiPriority w:val="99"/>
    <w:unhideWhenUsed/>
    <w:rPr>
      <w:vertAlign w:val="superscript"/>
    </w:rPr>
  </w:style>
  <w:style w:type="paragraph" w:styleId="971">
    <w:name w:val="endnote text"/>
    <w:basedOn w:val="985"/>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uiPriority w:val="99"/>
    <w:semiHidden/>
    <w:unhideWhenUsed/>
    <w:rPr>
      <w:vertAlign w:val="superscript"/>
    </w:rPr>
  </w:style>
  <w:style w:type="paragraph" w:styleId="974">
    <w:name w:val="toc 1"/>
    <w:basedOn w:val="985"/>
    <w:next w:val="985"/>
    <w:uiPriority w:val="39"/>
    <w:unhideWhenUsed/>
    <w:pPr>
      <w:ind w:left="0" w:right="0" w:firstLine="0"/>
      <w:spacing w:after="57"/>
    </w:pPr>
  </w:style>
  <w:style w:type="paragraph" w:styleId="975">
    <w:name w:val="toc 2"/>
    <w:basedOn w:val="985"/>
    <w:next w:val="985"/>
    <w:uiPriority w:val="39"/>
    <w:unhideWhenUsed/>
    <w:pPr>
      <w:ind w:left="283" w:right="0" w:firstLine="0"/>
      <w:spacing w:after="57"/>
    </w:pPr>
  </w:style>
  <w:style w:type="paragraph" w:styleId="976">
    <w:name w:val="toc 3"/>
    <w:basedOn w:val="985"/>
    <w:next w:val="985"/>
    <w:uiPriority w:val="39"/>
    <w:unhideWhenUsed/>
    <w:pPr>
      <w:ind w:left="567" w:right="0" w:firstLine="0"/>
      <w:spacing w:after="57"/>
    </w:pPr>
  </w:style>
  <w:style w:type="paragraph" w:styleId="977">
    <w:name w:val="toc 4"/>
    <w:basedOn w:val="985"/>
    <w:next w:val="985"/>
    <w:uiPriority w:val="39"/>
    <w:unhideWhenUsed/>
    <w:pPr>
      <w:ind w:left="850" w:right="0" w:firstLine="0"/>
      <w:spacing w:after="57"/>
    </w:pPr>
  </w:style>
  <w:style w:type="paragraph" w:styleId="978">
    <w:name w:val="toc 5"/>
    <w:basedOn w:val="985"/>
    <w:next w:val="985"/>
    <w:uiPriority w:val="39"/>
    <w:unhideWhenUsed/>
    <w:pPr>
      <w:ind w:left="1134" w:right="0" w:firstLine="0"/>
      <w:spacing w:after="57"/>
    </w:pPr>
  </w:style>
  <w:style w:type="paragraph" w:styleId="979">
    <w:name w:val="toc 6"/>
    <w:basedOn w:val="985"/>
    <w:next w:val="985"/>
    <w:uiPriority w:val="39"/>
    <w:unhideWhenUsed/>
    <w:pPr>
      <w:ind w:left="1417" w:right="0" w:firstLine="0"/>
      <w:spacing w:after="57"/>
    </w:pPr>
  </w:style>
  <w:style w:type="paragraph" w:styleId="980">
    <w:name w:val="toc 7"/>
    <w:basedOn w:val="985"/>
    <w:next w:val="985"/>
    <w:uiPriority w:val="39"/>
    <w:unhideWhenUsed/>
    <w:pPr>
      <w:ind w:left="1701" w:right="0" w:firstLine="0"/>
      <w:spacing w:after="57"/>
    </w:pPr>
  </w:style>
  <w:style w:type="paragraph" w:styleId="981">
    <w:name w:val="toc 8"/>
    <w:basedOn w:val="985"/>
    <w:next w:val="985"/>
    <w:uiPriority w:val="39"/>
    <w:unhideWhenUsed/>
    <w:pPr>
      <w:ind w:left="1984" w:right="0" w:firstLine="0"/>
      <w:spacing w:after="57"/>
    </w:pPr>
  </w:style>
  <w:style w:type="paragraph" w:styleId="982">
    <w:name w:val="toc 9"/>
    <w:basedOn w:val="985"/>
    <w:next w:val="985"/>
    <w:uiPriority w:val="39"/>
    <w:unhideWhenUsed/>
    <w:pPr>
      <w:ind w:left="2268" w:right="0" w:firstLine="0"/>
      <w:spacing w:after="57"/>
    </w:p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next w:val="985"/>
    <w:link w:val="985"/>
    <w:qFormat/>
    <w:pPr>
      <w:jc w:val="both"/>
      <w:widowControl w:val="off"/>
    </w:pPr>
    <w:rPr>
      <w:rFonts w:ascii="Times New Roman" w:hAnsi="Times New Roman"/>
      <w:sz w:val="21"/>
      <w:szCs w:val="21"/>
      <w:lang w:val="en-US" w:eastAsia="zh-CN" w:bidi="ar-SA"/>
    </w:rPr>
  </w:style>
  <w:style w:type="paragraph" w:styleId="986">
    <w:name w:val="标题 1"/>
    <w:basedOn w:val="985"/>
    <w:next w:val="985"/>
    <w:link w:val="997"/>
    <w:qFormat/>
    <w:pPr>
      <w:jc w:val="center"/>
      <w:keepNext/>
      <w:outlineLvl w:val="0"/>
    </w:pPr>
    <w:rPr>
      <w:rFonts w:ascii="楷体_GB2312" w:eastAsia="楷体_GB2312"/>
      <w:sz w:val="28"/>
      <w:szCs w:val="28"/>
    </w:rPr>
  </w:style>
  <w:style w:type="paragraph" w:styleId="987">
    <w:name w:val="标题 2"/>
    <w:basedOn w:val="985"/>
    <w:next w:val="985"/>
    <w:link w:val="998"/>
    <w:qFormat/>
    <w:pPr>
      <w:jc w:val="center"/>
      <w:keepLines/>
      <w:keepNext/>
      <w:spacing w:before="260" w:after="260" w:line="416" w:lineRule="auto"/>
      <w:outlineLvl w:val="1"/>
    </w:pPr>
    <w:rPr>
      <w:rFonts w:ascii="Arial" w:hAnsi="Arial" w:eastAsia="幼圆" w:cs="Arial"/>
      <w:b/>
      <w:bCs/>
      <w:sz w:val="44"/>
      <w:szCs w:val="44"/>
    </w:rPr>
  </w:style>
  <w:style w:type="paragraph" w:styleId="988">
    <w:name w:val="标题 3"/>
    <w:basedOn w:val="985"/>
    <w:next w:val="985"/>
    <w:link w:val="999"/>
    <w:qFormat/>
    <w:pPr>
      <w:keepLines/>
      <w:keepNext/>
      <w:spacing w:before="260" w:after="260" w:line="416" w:lineRule="auto"/>
      <w:outlineLvl w:val="2"/>
    </w:pPr>
    <w:rPr>
      <w:b/>
      <w:bCs/>
      <w:sz w:val="32"/>
      <w:szCs w:val="32"/>
    </w:rPr>
  </w:style>
  <w:style w:type="paragraph" w:styleId="989">
    <w:name w:val="标题 4"/>
    <w:basedOn w:val="985"/>
    <w:next w:val="985"/>
    <w:link w:val="1000"/>
    <w:qFormat/>
    <w:pPr>
      <w:keepLines/>
      <w:keepNext/>
      <w:spacing w:before="280" w:after="290" w:line="376" w:lineRule="auto"/>
      <w:outlineLvl w:val="3"/>
    </w:pPr>
    <w:rPr>
      <w:rFonts w:ascii="Arial" w:hAnsi="Arial" w:eastAsia="黑体" w:cs="Arial"/>
      <w:b/>
      <w:bCs/>
      <w:sz w:val="28"/>
      <w:szCs w:val="28"/>
    </w:rPr>
  </w:style>
  <w:style w:type="paragraph" w:styleId="990">
    <w:name w:val="标题 5"/>
    <w:basedOn w:val="985"/>
    <w:next w:val="1002"/>
    <w:link w:val="1001"/>
    <w:qFormat/>
    <w:pPr>
      <w:keepNext/>
      <w:outlineLvl w:val="4"/>
    </w:pPr>
    <w:rPr>
      <w:rFonts w:ascii="宋体"/>
      <w:color w:val="000000"/>
      <w:sz w:val="28"/>
      <w:szCs w:val="28"/>
    </w:rPr>
  </w:style>
  <w:style w:type="paragraph" w:styleId="991">
    <w:name w:val="标题 6"/>
    <w:basedOn w:val="985"/>
    <w:next w:val="985"/>
    <w:link w:val="1004"/>
    <w:qFormat/>
    <w:pPr>
      <w:numPr>
        <w:ilvl w:val="5"/>
        <w:numId w:val="1"/>
      </w:numPr>
      <w:keepLines/>
      <w:keepNext/>
      <w:spacing w:before="240" w:after="64" w:line="320" w:lineRule="auto"/>
      <w:outlineLvl w:val="5"/>
    </w:pPr>
    <w:rPr>
      <w:rFonts w:ascii="Arial" w:hAnsi="Arial" w:eastAsia="黑体"/>
      <w:b/>
      <w:bCs/>
      <w:sz w:val="24"/>
      <w:szCs w:val="24"/>
    </w:rPr>
  </w:style>
  <w:style w:type="paragraph" w:styleId="992">
    <w:name w:val="标题 7"/>
    <w:basedOn w:val="985"/>
    <w:next w:val="985"/>
    <w:link w:val="1005"/>
    <w:qFormat/>
    <w:pPr>
      <w:numPr>
        <w:ilvl w:val="6"/>
        <w:numId w:val="1"/>
      </w:numPr>
      <w:keepLines/>
      <w:keepNext/>
      <w:spacing w:before="240" w:after="64" w:line="320" w:lineRule="auto"/>
      <w:outlineLvl w:val="6"/>
    </w:pPr>
    <w:rPr>
      <w:b/>
      <w:bCs/>
      <w:sz w:val="24"/>
      <w:szCs w:val="24"/>
    </w:rPr>
  </w:style>
  <w:style w:type="paragraph" w:styleId="993">
    <w:name w:val="标题 8"/>
    <w:basedOn w:val="985"/>
    <w:next w:val="985"/>
    <w:link w:val="1006"/>
    <w:qFormat/>
    <w:pPr>
      <w:numPr>
        <w:ilvl w:val="7"/>
        <w:numId w:val="1"/>
      </w:numPr>
      <w:keepLines/>
      <w:keepNext/>
      <w:spacing w:before="240" w:after="64" w:line="320" w:lineRule="auto"/>
      <w:outlineLvl w:val="7"/>
    </w:pPr>
    <w:rPr>
      <w:rFonts w:ascii="Arial" w:hAnsi="Arial" w:eastAsia="黑体"/>
      <w:sz w:val="24"/>
      <w:szCs w:val="24"/>
    </w:rPr>
  </w:style>
  <w:style w:type="paragraph" w:styleId="994">
    <w:name w:val="标题 9"/>
    <w:basedOn w:val="985"/>
    <w:next w:val="985"/>
    <w:link w:val="1007"/>
    <w:qFormat/>
    <w:pPr>
      <w:numPr>
        <w:ilvl w:val="8"/>
        <w:numId w:val="1"/>
      </w:numPr>
      <w:keepLines/>
      <w:keepNext/>
      <w:spacing w:before="240" w:after="64" w:line="320" w:lineRule="auto"/>
      <w:outlineLvl w:val="8"/>
    </w:pPr>
    <w:rPr>
      <w:rFonts w:ascii="Arial" w:hAnsi="Arial" w:eastAsia="黑体"/>
    </w:rPr>
  </w:style>
  <w:style w:type="character" w:styleId="995">
    <w:name w:val="默认段落字体"/>
    <w:next w:val="995"/>
    <w:link w:val="985"/>
    <w:uiPriority w:val="1"/>
    <w:unhideWhenUsed/>
  </w:style>
  <w:style w:type="table" w:styleId="996">
    <w:name w:val="普通表格"/>
    <w:next w:val="996"/>
    <w:link w:val="985"/>
    <w:uiPriority w:val="99"/>
    <w:unhideWhenUsed/>
    <w:tblPr/>
  </w:style>
  <w:style w:type="character" w:styleId="997">
    <w:name w:val="标题 1 Char"/>
    <w:next w:val="997"/>
    <w:link w:val="986"/>
    <w:rPr>
      <w:rFonts w:ascii="楷体_GB2312" w:hAnsi="Times New Roman" w:eastAsia="楷体_GB2312" w:cs="Times New Roman"/>
      <w:sz w:val="28"/>
      <w:szCs w:val="28"/>
    </w:rPr>
  </w:style>
  <w:style w:type="character" w:styleId="998">
    <w:name w:val="标题 2 Char"/>
    <w:next w:val="998"/>
    <w:link w:val="987"/>
    <w:rPr>
      <w:rFonts w:ascii="Arial" w:hAnsi="Arial" w:eastAsia="幼圆" w:cs="Arial"/>
      <w:b/>
      <w:bCs/>
      <w:sz w:val="44"/>
      <w:szCs w:val="44"/>
    </w:rPr>
  </w:style>
  <w:style w:type="character" w:styleId="999">
    <w:name w:val="标题 3 Char"/>
    <w:next w:val="999"/>
    <w:link w:val="988"/>
    <w:rPr>
      <w:rFonts w:ascii="Times New Roman" w:hAnsi="Times New Roman" w:eastAsia="宋体" w:cs="Times New Roman"/>
      <w:b/>
      <w:bCs/>
      <w:sz w:val="32"/>
      <w:szCs w:val="32"/>
    </w:rPr>
  </w:style>
  <w:style w:type="character" w:styleId="1000">
    <w:name w:val="标题 4 Char"/>
    <w:next w:val="1000"/>
    <w:link w:val="989"/>
    <w:rPr>
      <w:rFonts w:ascii="Arial" w:hAnsi="Arial" w:eastAsia="黑体" w:cs="Arial"/>
      <w:b/>
      <w:bCs/>
      <w:sz w:val="28"/>
      <w:szCs w:val="28"/>
    </w:rPr>
  </w:style>
  <w:style w:type="character" w:styleId="1001">
    <w:name w:val="标题 5 Char"/>
    <w:next w:val="1001"/>
    <w:link w:val="990"/>
    <w:rPr>
      <w:rFonts w:ascii="宋体" w:hAnsi="Times New Roman" w:eastAsia="宋体" w:cs="Times New Roman"/>
      <w:color w:val="000000"/>
      <w:sz w:val="28"/>
      <w:szCs w:val="28"/>
    </w:rPr>
  </w:style>
  <w:style w:type="paragraph" w:styleId="1002">
    <w:name w:val="正文缩进"/>
    <w:basedOn w:val="985"/>
    <w:next w:val="1002"/>
    <w:link w:val="1003"/>
    <w:pPr>
      <w:ind w:firstLine="420"/>
    </w:pPr>
  </w:style>
  <w:style w:type="character" w:styleId="1003">
    <w:name w:val="正文缩进 Char"/>
    <w:next w:val="1003"/>
    <w:link w:val="1002"/>
    <w:rPr>
      <w:rFonts w:ascii="Times New Roman" w:hAnsi="Times New Roman" w:eastAsia="宋体" w:cs="Times New Roman"/>
      <w:szCs w:val="21"/>
    </w:rPr>
  </w:style>
  <w:style w:type="character" w:styleId="1004">
    <w:name w:val="标题 6 Char"/>
    <w:next w:val="1004"/>
    <w:link w:val="991"/>
    <w:rPr>
      <w:rFonts w:ascii="Arial" w:hAnsi="Arial" w:eastAsia="黑体" w:cs="Times New Roman"/>
      <w:b/>
      <w:bCs/>
      <w:sz w:val="24"/>
      <w:szCs w:val="24"/>
    </w:rPr>
  </w:style>
  <w:style w:type="character" w:styleId="1005">
    <w:name w:val="标题 7 Char"/>
    <w:next w:val="1005"/>
    <w:link w:val="992"/>
    <w:rPr>
      <w:rFonts w:ascii="Times New Roman" w:hAnsi="Times New Roman" w:eastAsia="宋体" w:cs="Times New Roman"/>
      <w:b/>
      <w:bCs/>
      <w:sz w:val="24"/>
      <w:szCs w:val="24"/>
    </w:rPr>
  </w:style>
  <w:style w:type="character" w:styleId="1006">
    <w:name w:val="标题 8 Char"/>
    <w:next w:val="1006"/>
    <w:link w:val="993"/>
    <w:rPr>
      <w:rFonts w:ascii="Arial" w:hAnsi="Arial" w:eastAsia="黑体" w:cs="Times New Roman"/>
      <w:sz w:val="24"/>
      <w:szCs w:val="24"/>
    </w:rPr>
  </w:style>
  <w:style w:type="character" w:styleId="1007">
    <w:name w:val="标题 9 Char"/>
    <w:next w:val="1007"/>
    <w:link w:val="994"/>
    <w:rPr>
      <w:rFonts w:ascii="Arial" w:hAnsi="Arial" w:eastAsia="黑体" w:cs="Times New Roman"/>
      <w:szCs w:val="21"/>
    </w:rPr>
  </w:style>
  <w:style w:type="paragraph" w:styleId="1008">
    <w:name w:val="列表 3"/>
    <w:basedOn w:val="985"/>
    <w:next w:val="1008"/>
    <w:link w:val="985"/>
    <w:pPr>
      <w:ind w:left="100" w:hanging="200"/>
    </w:pPr>
  </w:style>
  <w:style w:type="paragraph" w:styleId="1009">
    <w:name w:val="目录 7"/>
    <w:basedOn w:val="985"/>
    <w:next w:val="985"/>
    <w:link w:val="985"/>
    <w:semiHidden/>
    <w:pPr>
      <w:ind w:left="1260"/>
      <w:jc w:val="left"/>
    </w:pPr>
  </w:style>
  <w:style w:type="paragraph" w:styleId="1010">
    <w:name w:val="文档结构图"/>
    <w:basedOn w:val="985"/>
    <w:next w:val="1010"/>
    <w:link w:val="1011"/>
    <w:semiHidden/>
    <w:pPr>
      <w:shd w:val="clear" w:color="auto" w:fill="000080"/>
    </w:pPr>
  </w:style>
  <w:style w:type="character" w:styleId="1011">
    <w:name w:val="文档结构图 Char"/>
    <w:next w:val="1011"/>
    <w:link w:val="1010"/>
    <w:semiHidden/>
    <w:rPr>
      <w:rFonts w:ascii="Times New Roman" w:hAnsi="Times New Roman" w:eastAsia="宋体" w:cs="Times New Roman"/>
      <w:szCs w:val="21"/>
      <w:shd w:val="clear" w:color="auto" w:fill="000080"/>
    </w:rPr>
  </w:style>
  <w:style w:type="paragraph" w:styleId="1012">
    <w:name w:val="批注文字"/>
    <w:basedOn w:val="985"/>
    <w:next w:val="1012"/>
    <w:link w:val="1013"/>
    <w:semiHidden/>
    <w:pPr>
      <w:jc w:val="left"/>
    </w:pPr>
  </w:style>
  <w:style w:type="character" w:styleId="1013">
    <w:name w:val="批注文字 Char"/>
    <w:next w:val="1013"/>
    <w:link w:val="1012"/>
    <w:semiHidden/>
    <w:rPr>
      <w:rFonts w:ascii="Times New Roman" w:hAnsi="Times New Roman" w:eastAsia="宋体" w:cs="Times New Roman"/>
      <w:szCs w:val="21"/>
    </w:rPr>
  </w:style>
  <w:style w:type="paragraph" w:styleId="1014">
    <w:name w:val="正文文本 3"/>
    <w:basedOn w:val="985"/>
    <w:next w:val="1014"/>
    <w:link w:val="1015"/>
    <w:rPr>
      <w:rFonts w:ascii="仿宋_GB2312" w:hAnsi="Arial" w:eastAsia="仿宋_GB2312"/>
      <w:sz w:val="32"/>
      <w:szCs w:val="32"/>
    </w:rPr>
  </w:style>
  <w:style w:type="character" w:styleId="1015">
    <w:name w:val="正文文本 3 Char"/>
    <w:next w:val="1015"/>
    <w:link w:val="1014"/>
    <w:rPr>
      <w:rFonts w:ascii="仿宋_GB2312" w:hAnsi="Arial" w:eastAsia="仿宋_GB2312" w:cs="Times New Roman"/>
      <w:sz w:val="32"/>
      <w:szCs w:val="32"/>
    </w:rPr>
  </w:style>
  <w:style w:type="paragraph" w:styleId="1016">
    <w:name w:val="正文文本"/>
    <w:basedOn w:val="985"/>
    <w:next w:val="985"/>
    <w:link w:val="1017"/>
    <w:rPr>
      <w:rFonts w:ascii="楷体_GB2312" w:hAnsi="Arial" w:eastAsia="楷体_GB2312"/>
      <w:sz w:val="28"/>
      <w:szCs w:val="28"/>
    </w:rPr>
  </w:style>
  <w:style w:type="character" w:styleId="1017">
    <w:name w:val="正文文本 Char"/>
    <w:next w:val="1017"/>
    <w:link w:val="1016"/>
    <w:rPr>
      <w:rFonts w:ascii="楷体_GB2312" w:hAnsi="Arial" w:eastAsia="楷体_GB2312" w:cs="Times New Roman"/>
      <w:sz w:val="28"/>
      <w:szCs w:val="28"/>
    </w:rPr>
  </w:style>
  <w:style w:type="paragraph" w:styleId="1018">
    <w:name w:val="正文文本缩进"/>
    <w:basedOn w:val="985"/>
    <w:next w:val="1018"/>
    <w:link w:val="1019"/>
    <w:pPr>
      <w:ind w:firstLine="645"/>
    </w:pPr>
    <w:rPr>
      <w:rFonts w:ascii="楷体_GB2312" w:eastAsia="楷体_GB2312"/>
      <w:sz w:val="32"/>
      <w:szCs w:val="32"/>
    </w:rPr>
  </w:style>
  <w:style w:type="character" w:styleId="1019">
    <w:name w:val="正文文本缩进 Char"/>
    <w:next w:val="1019"/>
    <w:link w:val="1018"/>
    <w:rPr>
      <w:rFonts w:ascii="楷体_GB2312" w:hAnsi="Times New Roman" w:eastAsia="楷体_GB2312" w:cs="Times New Roman"/>
      <w:sz w:val="32"/>
      <w:szCs w:val="32"/>
    </w:rPr>
  </w:style>
  <w:style w:type="paragraph" w:styleId="1020">
    <w:name w:val="列表 2"/>
    <w:basedOn w:val="985"/>
    <w:next w:val="1020"/>
    <w:link w:val="985"/>
    <w:pPr>
      <w:ind w:left="100" w:hanging="200"/>
    </w:pPr>
  </w:style>
  <w:style w:type="paragraph" w:styleId="1021">
    <w:name w:val="目录 5"/>
    <w:basedOn w:val="985"/>
    <w:next w:val="985"/>
    <w:link w:val="985"/>
    <w:semiHidden/>
    <w:pPr>
      <w:ind w:left="840"/>
      <w:jc w:val="left"/>
    </w:pPr>
  </w:style>
  <w:style w:type="paragraph" w:styleId="1022">
    <w:name w:val="目录 3"/>
    <w:basedOn w:val="985"/>
    <w:next w:val="985"/>
    <w:link w:val="985"/>
    <w:semiHidden/>
    <w:pPr>
      <w:ind w:left="420"/>
      <w:jc w:val="left"/>
    </w:pPr>
    <w:rPr>
      <w:i/>
      <w:iCs/>
      <w:szCs w:val="24"/>
    </w:rPr>
  </w:style>
  <w:style w:type="paragraph" w:styleId="1023">
    <w:name w:val="纯文本"/>
    <w:basedOn w:val="985"/>
    <w:next w:val="985"/>
    <w:link w:val="1024"/>
    <w:rPr>
      <w:rFonts w:ascii="宋体" w:hAnsi="Courier New" w:cs="Courier New"/>
    </w:rPr>
  </w:style>
  <w:style w:type="character" w:styleId="1024">
    <w:name w:val="纯文本 Char"/>
    <w:next w:val="1024"/>
    <w:link w:val="1023"/>
    <w:rPr>
      <w:rFonts w:ascii="宋体" w:hAnsi="Courier New" w:eastAsia="宋体" w:cs="Courier New"/>
      <w:szCs w:val="21"/>
    </w:rPr>
  </w:style>
  <w:style w:type="paragraph" w:styleId="1025">
    <w:name w:val="目录 8"/>
    <w:basedOn w:val="985"/>
    <w:next w:val="985"/>
    <w:link w:val="985"/>
    <w:semiHidden/>
    <w:pPr>
      <w:ind w:left="1470"/>
      <w:jc w:val="left"/>
    </w:pPr>
  </w:style>
  <w:style w:type="paragraph" w:styleId="1026">
    <w:name w:val="日期"/>
    <w:basedOn w:val="985"/>
    <w:next w:val="985"/>
    <w:link w:val="1027"/>
    <w:rPr>
      <w:sz w:val="24"/>
      <w:szCs w:val="24"/>
    </w:rPr>
  </w:style>
  <w:style w:type="character" w:styleId="1027">
    <w:name w:val="日期 Char"/>
    <w:next w:val="1027"/>
    <w:link w:val="1026"/>
    <w:rPr>
      <w:rFonts w:ascii="Times New Roman" w:hAnsi="Times New Roman" w:eastAsia="宋体" w:cs="Times New Roman"/>
      <w:sz w:val="24"/>
      <w:szCs w:val="24"/>
    </w:rPr>
  </w:style>
  <w:style w:type="paragraph" w:styleId="1028">
    <w:name w:val="正文文本缩进 2"/>
    <w:basedOn w:val="985"/>
    <w:next w:val="1028"/>
    <w:link w:val="1029"/>
    <w:pPr>
      <w:ind w:left="630" w:firstLine="645"/>
    </w:pPr>
    <w:rPr>
      <w:rFonts w:ascii="Arial" w:hAnsi="Arial" w:eastAsia="仿宋_GB2312" w:cs="Arial"/>
      <w:sz w:val="32"/>
      <w:szCs w:val="32"/>
    </w:rPr>
  </w:style>
  <w:style w:type="character" w:styleId="1029">
    <w:name w:val="正文文本缩进 2 Char"/>
    <w:next w:val="1029"/>
    <w:link w:val="1028"/>
    <w:rPr>
      <w:rFonts w:ascii="Arial" w:hAnsi="Arial" w:eastAsia="仿宋_GB2312" w:cs="Arial"/>
      <w:sz w:val="32"/>
      <w:szCs w:val="32"/>
    </w:rPr>
  </w:style>
  <w:style w:type="paragraph" w:styleId="1030">
    <w:name w:val="批注框文本"/>
    <w:basedOn w:val="985"/>
    <w:next w:val="1030"/>
    <w:link w:val="1031"/>
    <w:semiHidden/>
    <w:rPr>
      <w:sz w:val="18"/>
      <w:szCs w:val="18"/>
    </w:rPr>
  </w:style>
  <w:style w:type="character" w:styleId="1031">
    <w:name w:val="批注框文本 Char"/>
    <w:next w:val="1031"/>
    <w:link w:val="1030"/>
    <w:semiHidden/>
    <w:rPr>
      <w:rFonts w:ascii="Times New Roman" w:hAnsi="Times New Roman" w:eastAsia="宋体" w:cs="Times New Roman"/>
      <w:sz w:val="18"/>
      <w:szCs w:val="18"/>
    </w:rPr>
  </w:style>
  <w:style w:type="paragraph" w:styleId="1032">
    <w:name w:val="页脚"/>
    <w:basedOn w:val="985"/>
    <w:next w:val="1032"/>
    <w:link w:val="1033"/>
    <w:pPr>
      <w:jc w:val="left"/>
      <w:tabs>
        <w:tab w:val="center" w:pos="4153" w:leader="none"/>
        <w:tab w:val="right" w:pos="8306" w:leader="none"/>
      </w:tabs>
    </w:pPr>
    <w:rPr>
      <w:sz w:val="18"/>
      <w:szCs w:val="18"/>
    </w:rPr>
  </w:style>
  <w:style w:type="character" w:styleId="1033">
    <w:name w:val="页脚 Char"/>
    <w:next w:val="1033"/>
    <w:link w:val="1032"/>
    <w:rPr>
      <w:rFonts w:ascii="Times New Roman" w:hAnsi="Times New Roman" w:eastAsia="宋体" w:cs="Times New Roman"/>
      <w:sz w:val="18"/>
      <w:szCs w:val="18"/>
    </w:rPr>
  </w:style>
  <w:style w:type="paragraph" w:styleId="1034">
    <w:name w:val="页眉"/>
    <w:basedOn w:val="985"/>
    <w:next w:val="1034"/>
    <w:link w:val="1035"/>
    <w:pPr>
      <w:jc w:val="center"/>
      <w:tabs>
        <w:tab w:val="center" w:pos="4153" w:leader="none"/>
        <w:tab w:val="right" w:pos="8306" w:leader="none"/>
      </w:tabs>
      <w:pBdr>
        <w:bottom w:val="single" w:color="000000" w:sz="6" w:space="1"/>
      </w:pBdr>
    </w:pPr>
    <w:rPr>
      <w:sz w:val="18"/>
      <w:szCs w:val="18"/>
    </w:rPr>
  </w:style>
  <w:style w:type="character" w:styleId="1035">
    <w:name w:val="页眉 Char"/>
    <w:next w:val="1035"/>
    <w:link w:val="1034"/>
    <w:rPr>
      <w:rFonts w:ascii="Times New Roman" w:hAnsi="Times New Roman" w:eastAsia="宋体" w:cs="Times New Roman"/>
      <w:sz w:val="18"/>
      <w:szCs w:val="18"/>
    </w:rPr>
  </w:style>
  <w:style w:type="paragraph" w:styleId="1036">
    <w:name w:val="目录 1"/>
    <w:basedOn w:val="985"/>
    <w:next w:val="985"/>
    <w:link w:val="985"/>
    <w:semiHidden/>
    <w:pPr>
      <w:jc w:val="left"/>
      <w:spacing w:before="120" w:after="120" w:line="400" w:lineRule="exact"/>
      <w:tabs>
        <w:tab w:val="right" w:pos="8720" w:leader="dot"/>
      </w:tabs>
    </w:pPr>
    <w:rPr>
      <w:rFonts w:ascii="宋体" w:hAnsi="宋体"/>
      <w:caps/>
      <w:sz w:val="24"/>
      <w:szCs w:val="24"/>
    </w:rPr>
  </w:style>
  <w:style w:type="paragraph" w:styleId="1037">
    <w:name w:val="目录 4"/>
    <w:basedOn w:val="985"/>
    <w:next w:val="985"/>
    <w:link w:val="985"/>
    <w:semiHidden/>
    <w:pPr>
      <w:ind w:left="630"/>
      <w:jc w:val="left"/>
    </w:pPr>
  </w:style>
  <w:style w:type="paragraph" w:styleId="1038">
    <w:name w:val="列表"/>
    <w:basedOn w:val="985"/>
    <w:next w:val="1038"/>
    <w:link w:val="985"/>
    <w:pPr>
      <w:ind w:left="200" w:hanging="200"/>
    </w:pPr>
  </w:style>
  <w:style w:type="paragraph" w:styleId="1039">
    <w:name w:val="目录 6"/>
    <w:basedOn w:val="985"/>
    <w:next w:val="985"/>
    <w:link w:val="985"/>
    <w:semiHidden/>
    <w:pPr>
      <w:ind w:left="1050"/>
      <w:jc w:val="left"/>
    </w:pPr>
  </w:style>
  <w:style w:type="paragraph" w:styleId="1040">
    <w:name w:val="正文文本缩进 3"/>
    <w:basedOn w:val="985"/>
    <w:next w:val="1040"/>
    <w:link w:val="1041"/>
    <w:pPr>
      <w:ind w:left="645" w:firstLine="645"/>
    </w:pPr>
    <w:rPr>
      <w:rFonts w:ascii="Arial" w:hAnsi="Arial" w:eastAsia="仿宋_GB2312" w:cs="Arial"/>
      <w:color w:val="ffff00"/>
      <w:sz w:val="32"/>
      <w:szCs w:val="32"/>
    </w:rPr>
  </w:style>
  <w:style w:type="character" w:styleId="1041">
    <w:name w:val="正文文本缩进 3 Char"/>
    <w:next w:val="1041"/>
    <w:link w:val="1040"/>
    <w:rPr>
      <w:rFonts w:ascii="Arial" w:hAnsi="Arial" w:eastAsia="仿宋_GB2312" w:cs="Arial"/>
      <w:color w:val="ffff00"/>
      <w:sz w:val="32"/>
      <w:szCs w:val="32"/>
    </w:rPr>
  </w:style>
  <w:style w:type="paragraph" w:styleId="1042">
    <w:name w:val="图表目录"/>
    <w:basedOn w:val="985"/>
    <w:next w:val="985"/>
    <w:link w:val="985"/>
    <w:semiHidden/>
    <w:pPr>
      <w:ind w:left="840" w:hanging="420"/>
    </w:pPr>
  </w:style>
  <w:style w:type="paragraph" w:styleId="1043">
    <w:name w:val="目录 2"/>
    <w:basedOn w:val="985"/>
    <w:next w:val="985"/>
    <w:link w:val="985"/>
    <w:semiHidden/>
    <w:pPr>
      <w:ind w:left="210"/>
      <w:jc w:val="left"/>
    </w:pPr>
    <w:rPr>
      <w:smallCaps/>
      <w:szCs w:val="24"/>
    </w:rPr>
  </w:style>
  <w:style w:type="paragraph" w:styleId="1044">
    <w:name w:val="目录 9"/>
    <w:basedOn w:val="985"/>
    <w:next w:val="985"/>
    <w:link w:val="985"/>
    <w:semiHidden/>
    <w:pPr>
      <w:ind w:left="1680"/>
      <w:jc w:val="left"/>
    </w:pPr>
  </w:style>
  <w:style w:type="paragraph" w:styleId="1045">
    <w:name w:val="正文文本 2"/>
    <w:basedOn w:val="985"/>
    <w:next w:val="1045"/>
    <w:link w:val="1046"/>
    <w:pPr>
      <w:jc w:val="center"/>
      <w:widowControl/>
    </w:pPr>
    <w:rPr>
      <w:rFonts w:ascii="楷体_GB2312" w:eastAsia="楷体_GB2312"/>
      <w:sz w:val="28"/>
      <w:szCs w:val="28"/>
    </w:rPr>
  </w:style>
  <w:style w:type="character" w:styleId="1046">
    <w:name w:val="正文文本 2 Char"/>
    <w:next w:val="1046"/>
    <w:link w:val="1045"/>
    <w:rPr>
      <w:rFonts w:ascii="楷体_GB2312" w:hAnsi="Times New Roman" w:eastAsia="楷体_GB2312" w:cs="Times New Roman"/>
      <w:sz w:val="28"/>
      <w:szCs w:val="28"/>
    </w:rPr>
  </w:style>
  <w:style w:type="paragraph" w:styleId="1047">
    <w:name w:val="普通(网站)"/>
    <w:basedOn w:val="985"/>
    <w:next w:val="1047"/>
    <w:link w:val="985"/>
    <w:uiPriority w:val="99"/>
    <w:pPr>
      <w:jc w:val="left"/>
      <w:spacing w:before="100" w:beforeAutospacing="1" w:after="100" w:afterAutospacing="1"/>
      <w:widowControl/>
    </w:pPr>
    <w:rPr>
      <w:rFonts w:ascii="宋体" w:hAnsi="宋体" w:cs="宋体"/>
      <w:sz w:val="24"/>
      <w:szCs w:val="24"/>
    </w:rPr>
  </w:style>
  <w:style w:type="paragraph" w:styleId="1048">
    <w:name w:val="索引 1"/>
    <w:basedOn w:val="985"/>
    <w:next w:val="985"/>
    <w:link w:val="985"/>
    <w:semiHidden/>
    <w:pPr>
      <w:spacing w:line="240" w:lineRule="atLeast"/>
    </w:pPr>
    <w:rPr>
      <w:b/>
      <w:bCs/>
    </w:rPr>
  </w:style>
  <w:style w:type="paragraph" w:styleId="1049">
    <w:name w:val="批注主题"/>
    <w:basedOn w:val="1012"/>
    <w:next w:val="1012"/>
    <w:link w:val="1050"/>
    <w:semiHidden/>
    <w:rPr>
      <w:b/>
      <w:bCs/>
    </w:rPr>
  </w:style>
  <w:style w:type="character" w:styleId="1050">
    <w:name w:val="批注主题 Char"/>
    <w:next w:val="1050"/>
    <w:link w:val="1049"/>
    <w:semiHidden/>
    <w:rPr>
      <w:rFonts w:ascii="Times New Roman" w:hAnsi="Times New Roman" w:eastAsia="宋体" w:cs="Times New Roman"/>
      <w:b/>
      <w:bCs/>
      <w:szCs w:val="21"/>
    </w:rPr>
  </w:style>
  <w:style w:type="paragraph" w:styleId="1051">
    <w:name w:val="正文首行缩进"/>
    <w:basedOn w:val="985"/>
    <w:next w:val="1051"/>
    <w:link w:val="1052"/>
    <w:pPr>
      <w:ind w:firstLine="200"/>
      <w:spacing w:line="360" w:lineRule="auto"/>
    </w:pPr>
    <w:rPr>
      <w:rFonts w:ascii="仿宋_GB2312" w:eastAsia="仿宋_GB2312"/>
      <w:sz w:val="30"/>
      <w:szCs w:val="30"/>
    </w:rPr>
  </w:style>
  <w:style w:type="character" w:styleId="1052">
    <w:name w:val="正文首行缩进 Char"/>
    <w:next w:val="1052"/>
    <w:link w:val="1051"/>
    <w:rPr>
      <w:rFonts w:ascii="仿宋_GB2312" w:hAnsi="Times New Roman" w:eastAsia="仿宋_GB2312" w:cs="Times New Roman"/>
      <w:sz w:val="30"/>
      <w:szCs w:val="30"/>
    </w:rPr>
  </w:style>
  <w:style w:type="paragraph" w:styleId="1053">
    <w:name w:val="正文首行缩进 2"/>
    <w:basedOn w:val="1018"/>
    <w:next w:val="1053"/>
    <w:link w:val="1054"/>
    <w:pPr>
      <w:ind w:firstLine="420"/>
      <w:spacing w:line="360" w:lineRule="auto"/>
    </w:pPr>
    <w:rPr>
      <w:rFonts w:ascii="宋体" w:hAnsi="宋体" w:eastAsia="宋体"/>
      <w:sz w:val="21"/>
      <w:szCs w:val="20"/>
    </w:rPr>
  </w:style>
  <w:style w:type="character" w:styleId="1054">
    <w:name w:val="正文首行缩进 2 Char"/>
    <w:next w:val="1054"/>
    <w:link w:val="1053"/>
    <w:rPr>
      <w:rFonts w:ascii="宋体" w:hAnsi="宋体" w:eastAsia="宋体" w:cs="Times New Roman"/>
      <w:sz w:val="32"/>
      <w:szCs w:val="20"/>
    </w:rPr>
  </w:style>
  <w:style w:type="table" w:styleId="1055">
    <w:name w:val="网格型"/>
    <w:basedOn w:val="996"/>
    <w:next w:val="1055"/>
    <w:link w:val="985"/>
    <w:pPr>
      <w:jc w:val="both"/>
      <w:widowControl w:val="off"/>
    </w:pPr>
    <w:rPr>
      <w:rFonts w:ascii="Times New Roman" w:hAnsi="Times New Roman" w:eastAsia="宋体" w:cs="Times New Roman"/>
      <w:sz w:val="20"/>
      <w:szCs w:val="20"/>
    </w:rPr>
    <w:tblPr/>
  </w:style>
  <w:style w:type="character" w:styleId="1056">
    <w:name w:val="要点"/>
    <w:next w:val="1056"/>
    <w:link w:val="985"/>
    <w:qFormat/>
    <w:rPr>
      <w:b/>
      <w:bCs/>
    </w:rPr>
  </w:style>
  <w:style w:type="character" w:styleId="1057">
    <w:name w:val="页码"/>
    <w:next w:val="1057"/>
    <w:link w:val="985"/>
  </w:style>
  <w:style w:type="character" w:styleId="1058">
    <w:name w:val="已访问的超链接"/>
    <w:next w:val="1058"/>
    <w:link w:val="985"/>
    <w:rPr>
      <w:color w:val="800080"/>
      <w:u w:val="single"/>
    </w:rPr>
  </w:style>
  <w:style w:type="character" w:styleId="1059">
    <w:name w:val="超链接"/>
    <w:next w:val="1059"/>
    <w:link w:val="985"/>
    <w:rPr>
      <w:color w:val="0000ff"/>
      <w:u w:val="single"/>
    </w:rPr>
  </w:style>
  <w:style w:type="character" w:styleId="1060">
    <w:name w:val="批注引用"/>
    <w:next w:val="1060"/>
    <w:link w:val="985"/>
    <w:semiHidden/>
    <w:rPr>
      <w:sz w:val="21"/>
      <w:szCs w:val="21"/>
    </w:rPr>
  </w:style>
  <w:style w:type="paragraph" w:styleId="1061">
    <w:name w:val="Default"/>
    <w:next w:val="1061"/>
    <w:link w:val="985"/>
    <w:qFormat/>
    <w:pPr>
      <w:widowControl w:val="off"/>
    </w:pPr>
    <w:rPr>
      <w:rFonts w:ascii="宋体" w:hAnsi="Times New Roman" w:eastAsia="宋体" w:cs="Times New Roman"/>
      <w:color w:val="000000"/>
      <w:sz w:val="24"/>
      <w:szCs w:val="24"/>
      <w:lang w:val="en-US" w:eastAsia="zh-CN" w:bidi="ar-SA"/>
    </w:rPr>
  </w:style>
  <w:style w:type="paragraph" w:styleId="1062">
    <w:name w:val="正文文本11"/>
    <w:basedOn w:val="985"/>
    <w:next w:val="985"/>
    <w:link w:val="985"/>
    <w:qFormat/>
    <w:rPr>
      <w:rFonts w:ascii="仿宋_GB2312" w:eastAsia="仿宋_GB2312"/>
      <w:sz w:val="24"/>
      <w:szCs w:val="20"/>
    </w:rPr>
  </w:style>
  <w:style w:type="character" w:styleId="1063">
    <w:name w:val="font5 Char"/>
    <w:next w:val="1063"/>
    <w:link w:val="985"/>
    <w:rPr>
      <w:rFonts w:ascii="宋体" w:hAnsi="宋体" w:eastAsia="宋体"/>
      <w:sz w:val="28"/>
      <w:szCs w:val="28"/>
      <w:lang w:val="en-US" w:eastAsia="zh-CN" w:bidi="ar-SA"/>
    </w:rPr>
  </w:style>
  <w:style w:type="character" w:styleId="1064">
    <w:name w:val="二级目录 Char"/>
    <w:next w:val="1064"/>
    <w:link w:val="1065"/>
    <w:rPr>
      <w:b/>
      <w:sz w:val="30"/>
      <w:szCs w:val="28"/>
    </w:rPr>
  </w:style>
  <w:style w:type="paragraph" w:styleId="1065">
    <w:name w:val="二级目录"/>
    <w:next w:val="985"/>
    <w:link w:val="1064"/>
    <w:pPr>
      <w:numPr>
        <w:ilvl w:val="0"/>
        <w:numId w:val="2"/>
      </w:numPr>
      <w:tabs>
        <w:tab w:val="left" w:pos="907" w:leader="none"/>
        <w:tab w:val="left" w:pos="1145" w:leader="none"/>
      </w:tabs>
      <w:outlineLvl w:val="1"/>
    </w:pPr>
    <w:rPr>
      <w:b/>
      <w:sz w:val="30"/>
      <w:szCs w:val="28"/>
      <w:lang w:val="en-US" w:eastAsia="zh-CN" w:bidi="ar-SA"/>
    </w:rPr>
  </w:style>
  <w:style w:type="character" w:styleId="1066">
    <w:name w:val="列出段落 Char,Bullet List Char,numbered Char,FooterText Char,List Paragraph1 Char,Paragraphe de liste1 Char"/>
    <w:next w:val="1066"/>
    <w:link w:val="1067"/>
    <w:rPr>
      <w:rFonts w:ascii="Calibri" w:hAnsi="Calibri"/>
      <w:sz w:val="24"/>
      <w:szCs w:val="24"/>
      <w:lang w:eastAsia="en-US" w:bidi="en-US"/>
    </w:rPr>
  </w:style>
  <w:style w:type="paragraph" w:styleId="1067">
    <w:name w:val="列出段落1"/>
    <w:basedOn w:val="985"/>
    <w:next w:val="1067"/>
    <w:link w:val="1066"/>
    <w:qFormat/>
    <w:pPr>
      <w:contextualSpacing/>
      <w:ind w:left="720"/>
      <w:jc w:val="left"/>
      <w:widowControl/>
    </w:pPr>
    <w:rPr>
      <w:rFonts w:ascii="Calibri" w:hAnsi="Calibri" w:eastAsia="宋体" w:cs="Times New Roman"/>
      <w:sz w:val="24"/>
      <w:szCs w:val="24"/>
      <w:lang w:eastAsia="en-US" w:bidi="en-US"/>
    </w:rPr>
  </w:style>
  <w:style w:type="paragraph" w:styleId="1068">
    <w:name w:val="Body Text(ch)"/>
    <w:basedOn w:val="985"/>
    <w:next w:val="1016"/>
    <w:link w:val="985"/>
    <w:pPr>
      <w:spacing w:after="120"/>
    </w:pPr>
    <w:rPr>
      <w:rFonts w:ascii="宋体" w:hAnsi="Arial"/>
      <w:bCs/>
      <w:iCs/>
      <w:szCs w:val="24"/>
    </w:rPr>
  </w:style>
  <w:style w:type="paragraph" w:styleId="1069">
    <w:name w:val="xl27"/>
    <w:basedOn w:val="985"/>
    <w:next w:val="1069"/>
    <w:link w:val="9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0">
    <w:name w:val="xl26"/>
    <w:basedOn w:val="985"/>
    <w:next w:val="1070"/>
    <w:link w:val="9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1">
    <w:name w:val="Char"/>
    <w:basedOn w:val="985"/>
    <w:next w:val="1071"/>
    <w:link w:val="985"/>
    <w:pPr>
      <w:ind w:firstLine="200"/>
      <w:tabs>
        <w:tab w:val="left" w:pos="360" w:leader="none"/>
      </w:tabs>
    </w:pPr>
    <w:rPr>
      <w:sz w:val="28"/>
      <w:szCs w:val="30"/>
    </w:rPr>
  </w:style>
  <w:style w:type="paragraph" w:styleId="1072">
    <w:name w:val=" Char"/>
    <w:basedOn w:val="1010"/>
    <w:next w:val="1072"/>
    <w:link w:val="985"/>
    <w:rPr>
      <w:rFonts w:ascii="Tahoma" w:hAnsi="Tahoma"/>
      <w:sz w:val="24"/>
      <w:szCs w:val="24"/>
    </w:rPr>
  </w:style>
  <w:style w:type="paragraph" w:styleId="1073">
    <w:name w:val="普通正文"/>
    <w:basedOn w:val="985"/>
    <w:next w:val="1073"/>
    <w:link w:val="985"/>
    <w:pPr>
      <w:ind w:firstLine="480"/>
      <w:jc w:val="left"/>
      <w:spacing w:before="120" w:after="120" w:line="360" w:lineRule="auto"/>
    </w:pPr>
    <w:rPr>
      <w:rFonts w:ascii="Arial" w:hAnsi="Arial"/>
      <w:sz w:val="24"/>
      <w:szCs w:val="24"/>
    </w:rPr>
  </w:style>
  <w:style w:type="paragraph" w:styleId="1074">
    <w:name w:val="table_lines"/>
    <w:basedOn w:val="985"/>
    <w:next w:val="1074"/>
    <w:link w:val="985"/>
    <w:pPr>
      <w:jc w:val="left"/>
      <w:widowControl/>
    </w:pPr>
    <w:rPr>
      <w:sz w:val="20"/>
      <w:szCs w:val="20"/>
      <w:lang w:val="de-DE" w:eastAsia="de-DE"/>
    </w:rPr>
  </w:style>
  <w:style w:type="paragraph" w:styleId="1075">
    <w:name w:val="附录1"/>
    <w:next w:val="1075"/>
    <w:link w:val="9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76">
    <w:name w:val="font7"/>
    <w:basedOn w:val="985"/>
    <w:next w:val="1076"/>
    <w:link w:val="985"/>
    <w:pPr>
      <w:jc w:val="left"/>
      <w:spacing w:before="100" w:beforeAutospacing="1" w:after="100" w:afterAutospacing="1"/>
      <w:widowControl/>
    </w:pPr>
    <w:rPr>
      <w:rFonts w:hint="eastAsia" w:ascii="宋体" w:hAnsi="宋体"/>
      <w:sz w:val="18"/>
      <w:szCs w:val="18"/>
    </w:rPr>
  </w:style>
  <w:style w:type="paragraph" w:styleId="1077">
    <w:name w:val=" Char Char Char Char"/>
    <w:basedOn w:val="1010"/>
    <w:next w:val="1077"/>
    <w:link w:val="985"/>
    <w:pPr>
      <w:spacing w:line="360" w:lineRule="auto"/>
    </w:pPr>
    <w:rPr>
      <w:rFonts w:ascii="Tahoma" w:hAnsi="Tahoma"/>
      <w:sz w:val="24"/>
      <w:szCs w:val="24"/>
    </w:rPr>
  </w:style>
  <w:style w:type="paragraph" w:styleId="1078">
    <w:name w:val="列出段落"/>
    <w:basedOn w:val="985"/>
    <w:next w:val="1078"/>
    <w:link w:val="985"/>
    <w:qFormat/>
    <w:pPr>
      <w:contextualSpacing/>
      <w:ind w:left="720"/>
      <w:jc w:val="left"/>
      <w:widowControl/>
    </w:pPr>
    <w:rPr>
      <w:rFonts w:ascii="Calibri" w:hAnsi="Calibri"/>
      <w:sz w:val="24"/>
      <w:szCs w:val="24"/>
      <w:lang w:eastAsia="en-US" w:bidi="en-US"/>
    </w:rPr>
  </w:style>
  <w:style w:type="paragraph" w:styleId="1079">
    <w:name w:val="4"/>
    <w:basedOn w:val="985"/>
    <w:next w:val="1040"/>
    <w:link w:val="985"/>
    <w:pPr>
      <w:ind w:firstLine="420"/>
      <w:spacing w:line="360" w:lineRule="auto"/>
    </w:pPr>
    <w:rPr>
      <w:color w:val="ff0000"/>
      <w:sz w:val="24"/>
      <w:szCs w:val="24"/>
    </w:rPr>
  </w:style>
  <w:style w:type="paragraph" w:styleId="1080">
    <w:name w:val="普通 (Web)"/>
    <w:basedOn w:val="985"/>
    <w:next w:val="1080"/>
    <w:link w:val="985"/>
    <w:pPr>
      <w:jc w:val="left"/>
      <w:spacing w:before="100" w:beforeAutospacing="1" w:after="100" w:afterAutospacing="1"/>
      <w:widowControl/>
    </w:pPr>
    <w:rPr>
      <w:rFonts w:ascii="宋体" w:hAnsi="宋体"/>
      <w:sz w:val="24"/>
      <w:szCs w:val="24"/>
    </w:rPr>
  </w:style>
  <w:style w:type="paragraph" w:styleId="1081">
    <w:name w:val=" Char Char Char Char Char Char Char Char Char Char"/>
    <w:basedOn w:val="985"/>
    <w:next w:val="1081"/>
    <w:link w:val="985"/>
    <w:pPr>
      <w:spacing w:line="360" w:lineRule="auto"/>
    </w:pPr>
    <w:rPr>
      <w:sz w:val="24"/>
      <w:szCs w:val="20"/>
    </w:rPr>
  </w:style>
  <w:style w:type="paragraph" w:styleId="1082">
    <w:name w:val="样式1"/>
    <w:basedOn w:val="985"/>
    <w:next w:val="1082"/>
    <w:link w:val="985"/>
    <w:pPr>
      <w:numPr>
        <w:ilvl w:val="0"/>
        <w:numId w:val="3"/>
      </w:numPr>
      <w:tabs>
        <w:tab w:val="left" w:pos="709" w:leader="none"/>
      </w:tabs>
    </w:pPr>
    <w:rPr>
      <w:rFonts w:ascii="宋体" w:hAnsi="宋体"/>
    </w:rPr>
  </w:style>
  <w:style w:type="paragraph" w:styleId="1083">
    <w:name w:val="font6"/>
    <w:basedOn w:val="985"/>
    <w:next w:val="1083"/>
    <w:link w:val="985"/>
    <w:pPr>
      <w:jc w:val="left"/>
      <w:spacing w:before="100" w:beforeAutospacing="1" w:after="100" w:afterAutospacing="1"/>
      <w:widowControl/>
    </w:pPr>
    <w:rPr>
      <w:rFonts w:hint="eastAsia" w:ascii="宋体" w:hAnsi="宋体"/>
      <w:sz w:val="28"/>
      <w:szCs w:val="28"/>
      <w:u w:val="single"/>
    </w:rPr>
  </w:style>
  <w:style w:type="paragraph" w:styleId="1084">
    <w:name w:val="xl25"/>
    <w:basedOn w:val="985"/>
    <w:next w:val="1084"/>
    <w:link w:val="9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5">
    <w:name w:val="图标"/>
    <w:basedOn w:val="985"/>
    <w:next w:val="985"/>
    <w:link w:val="98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6">
    <w:name w:val="标题3"/>
    <w:basedOn w:val="985"/>
    <w:next w:val="985"/>
    <w:link w:val="985"/>
    <w:pPr>
      <w:ind w:firstLine="624"/>
      <w:spacing w:line="590" w:lineRule="atLeast"/>
    </w:pPr>
    <w:rPr>
      <w:rFonts w:ascii="方正黑体_GBK" w:eastAsia="方正黑体_GBK"/>
      <w:sz w:val="32"/>
      <w:szCs w:val="32"/>
    </w:rPr>
  </w:style>
  <w:style w:type="paragraph" w:styleId="1087">
    <w:name w:val="xl24"/>
    <w:basedOn w:val="985"/>
    <w:next w:val="1087"/>
    <w:link w:val="9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8">
    <w:name w:val="xl29"/>
    <w:basedOn w:val="985"/>
    <w:next w:val="1088"/>
    <w:link w:val="98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9">
    <w:name w:val="Char Char Char Char Char Char Char Char"/>
    <w:basedOn w:val="985"/>
    <w:next w:val="1089"/>
    <w:link w:val="985"/>
    <w:pPr>
      <w:jc w:val="left"/>
      <w:spacing w:after="160" w:line="240" w:lineRule="exact"/>
      <w:widowControl/>
    </w:pPr>
    <w:rPr>
      <w:rFonts w:ascii="Verdana" w:hAnsi="Verdana"/>
      <w:sz w:val="20"/>
      <w:szCs w:val="20"/>
      <w:lang w:eastAsia="en-US"/>
    </w:rPr>
  </w:style>
  <w:style w:type="paragraph" w:styleId="1090">
    <w:name w:val="xl28"/>
    <w:basedOn w:val="985"/>
    <w:next w:val="1090"/>
    <w:link w:val="9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1">
    <w:name w:val=" Char Char Char Char Char Char Char Char"/>
    <w:basedOn w:val="985"/>
    <w:next w:val="1091"/>
    <w:link w:val="985"/>
    <w:pPr>
      <w:jc w:val="left"/>
      <w:spacing w:after="160" w:line="240" w:lineRule="exact"/>
      <w:widowControl/>
    </w:pPr>
    <w:rPr>
      <w:rFonts w:ascii="Verdana" w:hAnsi="Verdana"/>
      <w:sz w:val="20"/>
      <w:szCs w:val="20"/>
      <w:lang w:eastAsia="en-US"/>
    </w:rPr>
  </w:style>
  <w:style w:type="paragraph" w:styleId="1092">
    <w:name w:val="xl30"/>
    <w:basedOn w:val="985"/>
    <w:next w:val="1092"/>
    <w:link w:val="985"/>
    <w:pPr>
      <w:jc w:val="center"/>
      <w:spacing w:before="100" w:beforeAutospacing="1" w:after="100" w:afterAutospacing="1"/>
      <w:widowControl/>
    </w:pPr>
    <w:rPr>
      <w:rFonts w:ascii="宋体" w:hAnsi="宋体"/>
      <w:b/>
      <w:bCs/>
      <w:sz w:val="36"/>
      <w:szCs w:val="36"/>
    </w:rPr>
  </w:style>
  <w:style w:type="paragraph" w:styleId="1093">
    <w:name w:val="Char Char Char Char"/>
    <w:basedOn w:val="1010"/>
    <w:next w:val="1093"/>
    <w:link w:val="985"/>
    <w:pPr>
      <w:spacing w:line="360" w:lineRule="auto"/>
    </w:pPr>
    <w:rPr>
      <w:rFonts w:ascii="Tahoma" w:hAnsi="Tahoma"/>
      <w:sz w:val="24"/>
      <w:szCs w:val="24"/>
    </w:rPr>
  </w:style>
  <w:style w:type="paragraph" w:styleId="1094">
    <w:name w:val="table_1stline"/>
    <w:basedOn w:val="985"/>
    <w:next w:val="1094"/>
    <w:link w:val="985"/>
    <w:pPr>
      <w:jc w:val="left"/>
      <w:spacing w:before="120"/>
      <w:widowControl/>
    </w:pPr>
    <w:rPr>
      <w:bCs/>
      <w:sz w:val="20"/>
      <w:szCs w:val="20"/>
      <w:lang w:val="de-DE" w:eastAsia="de-DE"/>
    </w:rPr>
  </w:style>
  <w:style w:type="paragraph" w:styleId="1095">
    <w:name w:val="font5"/>
    <w:basedOn w:val="985"/>
    <w:next w:val="1095"/>
    <w:link w:val="985"/>
    <w:pPr>
      <w:jc w:val="left"/>
      <w:spacing w:before="100" w:beforeAutospacing="1" w:after="100" w:afterAutospacing="1"/>
      <w:widowControl/>
    </w:pPr>
    <w:rPr>
      <w:rFonts w:hint="eastAsia" w:ascii="宋体" w:hAnsi="宋体"/>
      <w:sz w:val="28"/>
      <w:szCs w:val="28"/>
    </w:rPr>
  </w:style>
  <w:style w:type="paragraph" w:styleId="1096">
    <w:name w:val="标题1"/>
    <w:basedOn w:val="985"/>
    <w:next w:val="985"/>
    <w:link w:val="98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7">
    <w:name w:val="修订"/>
    <w:next w:val="1097"/>
    <w:link w:val="985"/>
    <w:uiPriority w:val="99"/>
    <w:semiHidden/>
    <w:rPr>
      <w:rFonts w:ascii="Times New Roman" w:hAnsi="Times New Roman"/>
      <w:sz w:val="21"/>
      <w:szCs w:val="21"/>
      <w:lang w:val="en-US" w:eastAsia="zh-CN" w:bidi="ar-SA"/>
    </w:rPr>
  </w:style>
  <w:style w:type="paragraph" w:styleId="1098">
    <w:name w:val="无间隔"/>
    <w:next w:val="1098"/>
    <w:link w:val="985"/>
    <w:uiPriority w:val="99"/>
    <w:qFormat/>
    <w:pPr>
      <w:jc w:val="both"/>
      <w:widowControl w:val="off"/>
    </w:pPr>
    <w:rPr>
      <w:rFonts w:ascii="Times New Roman" w:hAnsi="Times New Roman"/>
      <w:sz w:val="21"/>
      <w:szCs w:val="21"/>
      <w:lang w:val="en-US" w:eastAsia="zh-CN" w:bidi="ar-SA"/>
    </w:rPr>
  </w:style>
  <w:style w:type="paragraph" w:styleId="1099">
    <w:name w:val="正文_1_0"/>
    <w:next w:val="1099"/>
    <w:link w:val="985"/>
    <w:qFormat/>
    <w:pPr>
      <w:jc w:val="both"/>
      <w:widowControl w:val="off"/>
    </w:pPr>
    <w:rPr>
      <w:sz w:val="21"/>
      <w:szCs w:val="22"/>
      <w:lang w:val="en-US" w:eastAsia="zh-CN" w:bidi="ar-SA"/>
    </w:rPr>
  </w:style>
  <w:style w:type="paragraph" w:styleId="1100">
    <w:name w:val="普通(网站)_0"/>
    <w:basedOn w:val="1101"/>
    <w:next w:val="1100"/>
    <w:link w:val="985"/>
    <w:qFormat/>
    <w:pPr>
      <w:jc w:val="left"/>
      <w:spacing w:before="100" w:beforeAutospacing="1" w:after="100" w:afterAutospacing="1"/>
      <w:widowControl/>
    </w:pPr>
    <w:rPr>
      <w:rFonts w:ascii="宋体" w:hAnsi="宋体" w:eastAsia="等线" w:cs="宋体"/>
      <w:color w:val="000000"/>
      <w:sz w:val="24"/>
    </w:rPr>
  </w:style>
  <w:style w:type="paragraph" w:styleId="1101">
    <w:name w:val="正文_0"/>
    <w:next w:val="1102"/>
    <w:link w:val="985"/>
    <w:qFormat/>
    <w:pPr>
      <w:jc w:val="both"/>
      <w:widowControl w:val="off"/>
    </w:pPr>
    <w:rPr>
      <w:rFonts w:ascii="Times New Roman" w:hAnsi="Times New Roman"/>
      <w:sz w:val="21"/>
      <w:szCs w:val="24"/>
      <w:lang w:val="en-US" w:eastAsia="zh-CN" w:bidi="ar-SA"/>
    </w:rPr>
  </w:style>
  <w:style w:type="paragraph" w:styleId="1102">
    <w:name w:val="标题 2_0"/>
    <w:basedOn w:val="1101"/>
    <w:next w:val="1101"/>
    <w:link w:val="985"/>
    <w:qFormat/>
    <w:pPr>
      <w:jc w:val="center"/>
      <w:keepLines/>
      <w:keepNext/>
      <w:spacing w:before="260" w:after="260" w:line="416" w:lineRule="auto"/>
      <w:outlineLvl w:val="1"/>
    </w:pPr>
    <w:rPr>
      <w:rFonts w:ascii="幼圆" w:hAnsi="Arial" w:eastAsia="楷体_GB2312"/>
      <w:b/>
      <w:sz w:val="44"/>
      <w:szCs w:val="20"/>
    </w:rPr>
  </w:style>
  <w:style w:type="paragraph" w:styleId="1103">
    <w:name w:val="表格字体"/>
    <w:basedOn w:val="985"/>
    <w:next w:val="1103"/>
    <w:link w:val="985"/>
    <w:qFormat/>
    <w:pPr>
      <w:spacing w:line="360" w:lineRule="auto"/>
    </w:pPr>
  </w:style>
  <w:style w:type="paragraph" w:styleId="1104">
    <w:name w:val="Table Text"/>
    <w:basedOn w:val="985"/>
    <w:next w:val="1104"/>
    <w:link w:val="985"/>
    <w:semiHidden/>
    <w:qFormat/>
    <w:pPr>
      <w:jc w:val="left"/>
      <w:widowControl/>
    </w:pPr>
    <w:rPr>
      <w:rFonts w:ascii="宋体" w:hAnsi="宋体" w:eastAsia="宋体" w:cs="宋体"/>
      <w:color w:val="000000"/>
      <w:sz w:val="24"/>
      <w:szCs w:val="24"/>
      <w:lang w:eastAsia="en-US"/>
    </w:rPr>
  </w:style>
  <w:style w:type="table" w:styleId="1105">
    <w:name w:val="Table Normal"/>
    <w:next w:val="1105"/>
    <w:link w:val="985"/>
    <w:unhideWhenUsed/>
    <w:qFormat/>
    <w:rPr>
      <w:rFonts w:ascii="Arial" w:hAnsi="Arial" w:cs="Arial"/>
      <w:sz w:val="20"/>
      <w:szCs w:val="20"/>
    </w:rPr>
    <w:tblPr/>
  </w:style>
  <w:style w:type="character" w:styleId="1106" w:default="1">
    <w:name w:val="Default Paragraph Font"/>
    <w:uiPriority w:val="1"/>
    <w:semiHidden/>
    <w:unhideWhenUsed/>
  </w:style>
  <w:style w:type="numbering" w:styleId="1107" w:default="1">
    <w:name w:val="No List"/>
    <w:uiPriority w:val="99"/>
    <w:semiHidden/>
    <w:unhideWhenUsed/>
  </w:style>
  <w:style w:type="table" w:styleId="11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张梦雅</cp:lastModifiedBy>
  <cp:revision>8</cp:revision>
  <dcterms:created xsi:type="dcterms:W3CDTF">2023-03-16T02:16:00Z</dcterms:created>
  <dcterms:modified xsi:type="dcterms:W3CDTF">2026-10-10T09:03:57Z</dcterms:modified>
</cp:coreProperties>
</file>