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63D239">
      <w:pPr>
        <w:pBdr>
          <w:top w:val="none" w:color="000000" w:sz="0" w:space="0"/>
          <w:left w:val="none" w:color="000000" w:sz="0" w:space="0"/>
          <w:bottom w:val="none" w:color="000000" w:sz="0" w:space="0"/>
          <w:right w:val="none" w:color="000000" w:sz="0" w:space="0"/>
        </w:pBdr>
        <w:spacing w:before="120" w:after="120" w:line="85" w:lineRule="atLeast"/>
        <w:jc w:val="center"/>
        <w:rPr>
          <w:rFonts w:ascii="宋体" w:hAnsi="宋体" w:eastAsia="宋体" w:cs="宋体"/>
          <w:b/>
          <w:sz w:val="52"/>
          <w:szCs w:val="52"/>
          <w:highlight w:val="none"/>
        </w:rPr>
      </w:pPr>
    </w:p>
    <w:p w14:paraId="6A9DB9A9">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南京市公安局江宁分局采购</w:t>
      </w:r>
    </w:p>
    <w:p w14:paraId="1E165E0E">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sz w:val="24"/>
          <w:highlight w:val="none"/>
        </w:rPr>
      </w:pPr>
      <w:r>
        <w:rPr>
          <w:rFonts w:hint="eastAsia" w:ascii="宋体" w:hAnsi="宋体" w:eastAsia="宋体" w:cs="宋体"/>
          <w:b/>
          <w:sz w:val="32"/>
          <w:szCs w:val="32"/>
          <w:highlight w:val="none"/>
        </w:rPr>
        <w:t>交警大队食堂和秦淮路机动中队食堂外包服务</w:t>
      </w:r>
    </w:p>
    <w:p w14:paraId="6B0A4CE7">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sz w:val="24"/>
          <w:highlight w:val="none"/>
        </w:rPr>
      </w:pPr>
    </w:p>
    <w:p w14:paraId="0E297DDF">
      <w:pPr>
        <w:pStyle w:val="15"/>
        <w:rPr>
          <w:highlight w:val="none"/>
        </w:rPr>
      </w:pPr>
    </w:p>
    <w:p w14:paraId="23593A1E">
      <w:pPr>
        <w:rPr>
          <w:highlight w:val="none"/>
        </w:rPr>
      </w:pPr>
    </w:p>
    <w:p w14:paraId="1B7B0CE7">
      <w:pPr>
        <w:widowControl w:val="0"/>
        <w:jc w:val="center"/>
        <w:rPr>
          <w:rFonts w:ascii="宋体" w:hAnsi="宋体" w:eastAsia="宋体" w:cs="Arial"/>
          <w:b/>
          <w:bCs/>
          <w:sz w:val="72"/>
          <w:szCs w:val="72"/>
          <w:highlight w:val="none"/>
        </w:rPr>
      </w:pPr>
    </w:p>
    <w:p w14:paraId="35938B74">
      <w:pPr>
        <w:widowControl w:val="0"/>
        <w:jc w:val="center"/>
        <w:rPr>
          <w:rFonts w:ascii="宋体" w:hAnsi="宋体" w:eastAsia="宋体" w:cs="宋体"/>
          <w:highlight w:val="none"/>
        </w:rPr>
      </w:pPr>
      <w:r>
        <w:rPr>
          <w:rFonts w:hint="eastAsia" w:ascii="宋体" w:hAnsi="宋体" w:eastAsia="宋体" w:cs="Arial"/>
          <w:b/>
          <w:bCs/>
          <w:sz w:val="72"/>
          <w:szCs w:val="72"/>
          <w:highlight w:val="none"/>
        </w:rPr>
        <w:t>招标文件</w:t>
      </w:r>
    </w:p>
    <w:p w14:paraId="4D9EB260">
      <w:pPr>
        <w:pBdr>
          <w:top w:val="none" w:color="000000" w:sz="0" w:space="0"/>
          <w:left w:val="none" w:color="000000" w:sz="0" w:space="0"/>
          <w:bottom w:val="none" w:color="000000" w:sz="0" w:space="0"/>
          <w:right w:val="none" w:color="000000" w:sz="0" w:space="0"/>
        </w:pBdr>
        <w:spacing w:before="120" w:after="120" w:line="360" w:lineRule="atLeast"/>
        <w:jc w:val="both"/>
        <w:rPr>
          <w:rFonts w:ascii="宋体" w:hAnsi="宋体" w:eastAsia="宋体" w:cs="宋体"/>
          <w:b/>
          <w:sz w:val="84"/>
          <w:highlight w:val="none"/>
        </w:rPr>
      </w:pPr>
      <w:r>
        <w:rPr>
          <w:rFonts w:hint="eastAsia" w:ascii="宋体" w:hAnsi="宋体" w:eastAsia="宋体" w:cs="宋体"/>
          <w:b/>
          <w:sz w:val="84"/>
          <w:highlight w:val="none"/>
        </w:rPr>
        <w:t> </w:t>
      </w:r>
    </w:p>
    <w:p w14:paraId="7531BF6C">
      <w:pPr>
        <w:pStyle w:val="21"/>
        <w:rPr>
          <w:highlight w:val="none"/>
        </w:rPr>
      </w:pPr>
    </w:p>
    <w:p w14:paraId="0828BD85">
      <w:pPr>
        <w:pBdr>
          <w:top w:val="none" w:color="000000" w:sz="0" w:space="0"/>
          <w:left w:val="none" w:color="000000" w:sz="0" w:space="0"/>
          <w:bottom w:val="none" w:color="000000" w:sz="0" w:space="0"/>
          <w:right w:val="none" w:color="000000" w:sz="0" w:space="0"/>
        </w:pBdr>
        <w:spacing w:before="120" w:after="120" w:line="360" w:lineRule="auto"/>
        <w:jc w:val="center"/>
        <w:rPr>
          <w:rFonts w:hint="eastAsia" w:ascii="宋体" w:hAnsi="宋体" w:eastAsia="宋体" w:cs="宋体"/>
          <w:highlight w:val="none"/>
          <w:lang w:eastAsia="zh-CN"/>
        </w:rPr>
      </w:pPr>
      <w:r>
        <w:rPr>
          <w:rFonts w:hint="eastAsia" w:ascii="宋体" w:hAnsi="宋体" w:eastAsia="宋体" w:cs="宋体"/>
          <w:b/>
          <w:sz w:val="32"/>
          <w:highlight w:val="none"/>
        </w:rPr>
        <w:t>项目编号：</w:t>
      </w:r>
      <w:r>
        <w:rPr>
          <w:rFonts w:hint="eastAsia" w:ascii="宋体" w:hAnsi="宋体" w:eastAsia="宋体" w:cs="宋体"/>
          <w:b/>
          <w:sz w:val="32"/>
          <w:highlight w:val="none"/>
          <w:lang w:eastAsia="zh-CN"/>
        </w:rPr>
        <w:t>JSZC-320115-NJLX-G2026-0009</w:t>
      </w:r>
    </w:p>
    <w:p w14:paraId="7C58F8F2">
      <w:pPr>
        <w:pBdr>
          <w:top w:val="none" w:color="000000" w:sz="0" w:space="0"/>
          <w:left w:val="none" w:color="000000" w:sz="0" w:space="0"/>
          <w:bottom w:val="none" w:color="000000" w:sz="0" w:space="0"/>
          <w:right w:val="none" w:color="000000" w:sz="0" w:space="0"/>
        </w:pBdr>
        <w:spacing w:before="120" w:after="120" w:line="360" w:lineRule="auto"/>
        <w:jc w:val="center"/>
        <w:rPr>
          <w:rFonts w:ascii="宋体" w:hAnsi="宋体" w:eastAsia="宋体" w:cs="宋体"/>
          <w:highlight w:val="none"/>
        </w:rPr>
      </w:pPr>
      <w:r>
        <w:rPr>
          <w:rFonts w:hint="eastAsia" w:ascii="宋体" w:hAnsi="宋体" w:eastAsia="宋体" w:cs="宋体"/>
          <w:b/>
          <w:sz w:val="32"/>
          <w:highlight w:val="none"/>
        </w:rPr>
        <w:t>（专门面向中小企业）</w:t>
      </w:r>
    </w:p>
    <w:p w14:paraId="5A68FE2C">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sz w:val="24"/>
          <w:highlight w:val="none"/>
        </w:rPr>
        <w:t> </w:t>
      </w:r>
    </w:p>
    <w:p w14:paraId="71B62360">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sz w:val="24"/>
          <w:highlight w:val="none"/>
        </w:rPr>
        <w:t> </w:t>
      </w:r>
    </w:p>
    <w:p w14:paraId="73BAA3E9">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sz w:val="24"/>
          <w:highlight w:val="none"/>
        </w:rPr>
        <w:t> </w:t>
      </w:r>
    </w:p>
    <w:p w14:paraId="37E3717B">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sz w:val="24"/>
          <w:highlight w:val="none"/>
        </w:rPr>
        <w:t> </w:t>
      </w:r>
    </w:p>
    <w:p w14:paraId="01A042B1">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sz w:val="24"/>
          <w:highlight w:val="none"/>
        </w:rPr>
      </w:pPr>
      <w:r>
        <w:rPr>
          <w:rFonts w:hint="eastAsia" w:ascii="宋体" w:hAnsi="宋体" w:eastAsia="宋体" w:cs="宋体"/>
          <w:sz w:val="24"/>
          <w:highlight w:val="none"/>
        </w:rPr>
        <w:t> </w:t>
      </w:r>
    </w:p>
    <w:p w14:paraId="6296850E">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sz w:val="24"/>
          <w:highlight w:val="none"/>
        </w:rPr>
      </w:pPr>
    </w:p>
    <w:p w14:paraId="3DC1094F">
      <w:pPr>
        <w:pStyle w:val="15"/>
        <w:rPr>
          <w:highlight w:val="none"/>
        </w:rPr>
      </w:pPr>
    </w:p>
    <w:p w14:paraId="47D77D2A">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p>
    <w:p w14:paraId="17F8F299">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sz w:val="24"/>
          <w:highlight w:val="none"/>
        </w:rPr>
        <w:t> </w:t>
      </w:r>
    </w:p>
    <w:p w14:paraId="324E2F09">
      <w:pPr>
        <w:pBdr>
          <w:top w:val="none" w:color="000000" w:sz="0" w:space="0"/>
          <w:left w:val="none" w:color="000000" w:sz="0" w:space="0"/>
          <w:bottom w:val="none" w:color="000000" w:sz="0" w:space="0"/>
          <w:right w:val="none" w:color="000000" w:sz="0" w:space="0"/>
        </w:pBdr>
        <w:spacing w:before="120" w:after="120" w:line="360" w:lineRule="auto"/>
        <w:jc w:val="center"/>
        <w:rPr>
          <w:rFonts w:ascii="宋体" w:hAnsi="宋体" w:eastAsia="宋体" w:cs="宋体"/>
          <w:highlight w:val="none"/>
        </w:rPr>
      </w:pPr>
      <w:r>
        <w:rPr>
          <w:rFonts w:hint="eastAsia" w:ascii="宋体" w:hAnsi="宋体" w:eastAsia="宋体" w:cs="宋体"/>
          <w:b/>
          <w:sz w:val="32"/>
          <w:highlight w:val="none"/>
        </w:rPr>
        <w:t>采购单位：南京市公安局江宁分局</w:t>
      </w:r>
    </w:p>
    <w:p w14:paraId="33D379D2">
      <w:pPr>
        <w:pBdr>
          <w:top w:val="none" w:color="000000" w:sz="0" w:space="0"/>
          <w:left w:val="none" w:color="000000" w:sz="0" w:space="0"/>
          <w:bottom w:val="none" w:color="000000" w:sz="0" w:space="0"/>
          <w:right w:val="none" w:color="000000" w:sz="0" w:space="0"/>
        </w:pBdr>
        <w:spacing w:before="120" w:after="120" w:line="360" w:lineRule="auto"/>
        <w:jc w:val="center"/>
        <w:rPr>
          <w:rFonts w:ascii="宋体" w:hAnsi="宋体" w:eastAsia="宋体" w:cs="宋体"/>
          <w:highlight w:val="none"/>
        </w:rPr>
      </w:pPr>
      <w:r>
        <w:rPr>
          <w:rFonts w:hint="eastAsia" w:ascii="宋体" w:hAnsi="宋体" w:eastAsia="宋体" w:cs="宋体"/>
          <w:b/>
          <w:sz w:val="32"/>
          <w:highlight w:val="none"/>
        </w:rPr>
        <w:t>招标代理：南京陵新项目管理有限公司</w:t>
      </w:r>
    </w:p>
    <w:p w14:paraId="5CA14C1C">
      <w:pPr>
        <w:pBdr>
          <w:top w:val="none" w:color="000000" w:sz="0" w:space="0"/>
          <w:left w:val="none" w:color="000000" w:sz="0" w:space="0"/>
          <w:bottom w:val="none" w:color="000000" w:sz="0" w:space="0"/>
          <w:right w:val="none" w:color="000000" w:sz="0" w:space="0"/>
        </w:pBdr>
        <w:spacing w:before="120" w:after="120" w:line="360" w:lineRule="auto"/>
        <w:jc w:val="center"/>
        <w:rPr>
          <w:rFonts w:ascii="宋体" w:hAnsi="宋体" w:eastAsia="宋体" w:cs="宋体"/>
          <w:highlight w:val="none"/>
        </w:rPr>
      </w:pPr>
      <w:r>
        <w:rPr>
          <w:rFonts w:hint="eastAsia" w:ascii="宋体" w:hAnsi="宋体" w:eastAsia="宋体" w:cs="宋体"/>
          <w:b/>
          <w:sz w:val="32"/>
          <w:highlight w:val="none"/>
        </w:rPr>
        <w:t>日期：2026年</w:t>
      </w:r>
      <w:r>
        <w:rPr>
          <w:rFonts w:hint="eastAsia" w:ascii="宋体" w:hAnsi="宋体" w:eastAsia="宋体" w:cs="宋体"/>
          <w:b/>
          <w:sz w:val="32"/>
          <w:highlight w:val="none"/>
          <w:lang w:val="en-US" w:eastAsia="zh-CN"/>
        </w:rPr>
        <w:t>11</w:t>
      </w:r>
      <w:r>
        <w:rPr>
          <w:rFonts w:hint="eastAsia" w:ascii="宋体" w:hAnsi="宋体" w:eastAsia="宋体" w:cs="宋体"/>
          <w:b/>
          <w:sz w:val="32"/>
          <w:highlight w:val="none"/>
        </w:rPr>
        <w:t>月</w:t>
      </w:r>
    </w:p>
    <w:p w14:paraId="623CE492">
      <w:pPr>
        <w:pBdr>
          <w:top w:val="none" w:color="000000" w:sz="0" w:space="0"/>
          <w:left w:val="none" w:color="000000" w:sz="0" w:space="0"/>
          <w:bottom w:val="none" w:color="000000" w:sz="0" w:space="0"/>
          <w:right w:val="none" w:color="000000" w:sz="0" w:space="0"/>
        </w:pBdr>
        <w:jc w:val="both"/>
        <w:rPr>
          <w:rFonts w:ascii="宋体" w:hAnsi="宋体" w:eastAsia="宋体" w:cs="宋体"/>
          <w:highlight w:val="none"/>
        </w:rPr>
      </w:pPr>
      <w:r>
        <w:rPr>
          <w:rFonts w:hint="eastAsia" w:ascii="宋体" w:hAnsi="宋体" w:eastAsia="宋体" w:cs="宋体"/>
          <w:highlight w:val="none"/>
        </w:rPr>
        <w:t> </w:t>
      </w:r>
    </w:p>
    <w:p w14:paraId="4994E6A2">
      <w:pPr>
        <w:pBdr>
          <w:top w:val="none" w:color="000000" w:sz="0" w:space="0"/>
          <w:left w:val="none" w:color="000000" w:sz="0" w:space="0"/>
          <w:bottom w:val="none" w:color="000000" w:sz="0" w:space="0"/>
          <w:right w:val="none" w:color="000000" w:sz="0" w:space="0"/>
        </w:pBdr>
        <w:jc w:val="center"/>
        <w:rPr>
          <w:rFonts w:ascii="宋体" w:hAnsi="宋体" w:eastAsia="宋体" w:cs="宋体"/>
          <w:highlight w:val="none"/>
        </w:rPr>
        <w:sectPr>
          <w:pgSz w:w="11900" w:h="16840"/>
          <w:pgMar w:top="1134" w:right="1134" w:bottom="1134" w:left="1134" w:header="0" w:footer="1134" w:gutter="0"/>
          <w:cols w:space="720" w:num="1"/>
          <w:docGrid w:linePitch="360" w:charSpace="0"/>
        </w:sectPr>
      </w:pPr>
      <w:r>
        <w:rPr>
          <w:rFonts w:hint="eastAsia" w:ascii="宋体" w:hAnsi="宋体" w:eastAsia="宋体" w:cs="宋体"/>
          <w:highlight w:val="none"/>
        </w:rPr>
        <w:t> </w:t>
      </w:r>
    </w:p>
    <w:p w14:paraId="2EB1DC88">
      <w:pPr>
        <w:pBdr>
          <w:top w:val="none" w:color="000000" w:sz="0" w:space="0"/>
          <w:left w:val="none" w:color="000000" w:sz="0" w:space="0"/>
          <w:bottom w:val="none" w:color="000000" w:sz="0" w:space="0"/>
          <w:right w:val="none" w:color="000000" w:sz="0" w:space="0"/>
        </w:pBdr>
        <w:jc w:val="center"/>
        <w:rPr>
          <w:rFonts w:ascii="宋体" w:hAnsi="宋体" w:eastAsia="宋体" w:cs="宋体"/>
          <w:b/>
          <w:bCs/>
          <w:sz w:val="28"/>
          <w:szCs w:val="32"/>
          <w:highlight w:val="none"/>
        </w:rPr>
      </w:pPr>
      <w:r>
        <w:rPr>
          <w:rFonts w:hint="eastAsia" w:ascii="宋体" w:hAnsi="宋体" w:eastAsia="宋体" w:cs="宋体"/>
          <w:b/>
          <w:bCs/>
          <w:sz w:val="28"/>
          <w:szCs w:val="32"/>
          <w:highlight w:val="none"/>
        </w:rPr>
        <w:t>目  录</w:t>
      </w:r>
    </w:p>
    <w:p w14:paraId="74DD8A25">
      <w:pPr>
        <w:pStyle w:val="26"/>
        <w:tabs>
          <w:tab w:val="right" w:leader="hyphen" w:pos="9066"/>
        </w:tabs>
        <w:spacing w:line="360" w:lineRule="auto"/>
        <w:rPr>
          <w:highlight w:val="none"/>
        </w:rPr>
      </w:pPr>
    </w:p>
    <w:p w14:paraId="19D2FD17">
      <w:pPr>
        <w:pStyle w:val="26"/>
        <w:tabs>
          <w:tab w:val="right" w:leader="dot" w:pos="9638"/>
        </w:tabs>
        <w:rPr>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TOC \o "1-2" \h \u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_Toc21169 </w:instrText>
      </w:r>
      <w:r>
        <w:rPr>
          <w:rFonts w:hint="eastAsia" w:ascii="宋体" w:hAnsi="宋体" w:eastAsia="宋体" w:cs="宋体"/>
          <w:szCs w:val="24"/>
          <w:highlight w:val="none"/>
        </w:rPr>
        <w:fldChar w:fldCharType="separate"/>
      </w:r>
      <w:r>
        <w:rPr>
          <w:rFonts w:hint="eastAsia" w:ascii="宋体" w:hAnsi="宋体" w:eastAsia="宋体" w:cs="宋体"/>
          <w:bCs/>
          <w:highlight w:val="none"/>
        </w:rPr>
        <w:t>第一章  招标公告</w:t>
      </w:r>
      <w:r>
        <w:rPr>
          <w:highlight w:val="none"/>
        </w:rPr>
        <w:tab/>
      </w:r>
      <w:r>
        <w:rPr>
          <w:highlight w:val="none"/>
        </w:rPr>
        <w:fldChar w:fldCharType="begin"/>
      </w:r>
      <w:r>
        <w:rPr>
          <w:highlight w:val="none"/>
        </w:rPr>
        <w:instrText xml:space="preserve"> PAGEREF _Toc21169 \h </w:instrText>
      </w:r>
      <w:r>
        <w:rPr>
          <w:highlight w:val="none"/>
        </w:rPr>
        <w:fldChar w:fldCharType="separate"/>
      </w:r>
      <w:r>
        <w:rPr>
          <w:highlight w:val="none"/>
        </w:rPr>
        <w:t>1</w:t>
      </w:r>
      <w:r>
        <w:rPr>
          <w:highlight w:val="none"/>
        </w:rPr>
        <w:fldChar w:fldCharType="end"/>
      </w:r>
      <w:r>
        <w:rPr>
          <w:rFonts w:hint="eastAsia" w:ascii="宋体" w:hAnsi="宋体" w:eastAsia="宋体" w:cs="宋体"/>
          <w:szCs w:val="24"/>
          <w:highlight w:val="none"/>
        </w:rPr>
        <w:fldChar w:fldCharType="end"/>
      </w:r>
    </w:p>
    <w:p w14:paraId="3B7249CA">
      <w:pPr>
        <w:pStyle w:val="32"/>
        <w:tabs>
          <w:tab w:val="right" w:leader="dot" w:pos="9638"/>
        </w:tabs>
        <w:rPr>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_Toc16992 </w:instrText>
      </w:r>
      <w:r>
        <w:rPr>
          <w:rFonts w:hint="eastAsia" w:ascii="宋体" w:hAnsi="宋体" w:eastAsia="宋体" w:cs="宋体"/>
          <w:szCs w:val="24"/>
          <w:highlight w:val="none"/>
        </w:rPr>
        <w:fldChar w:fldCharType="separate"/>
      </w:r>
      <w:r>
        <w:rPr>
          <w:rFonts w:hint="eastAsia" w:ascii="宋体" w:hAnsi="宋体" w:eastAsia="宋体" w:cs="宋体"/>
          <w:bCs/>
          <w:szCs w:val="30"/>
          <w:highlight w:val="none"/>
        </w:rPr>
        <w:t>一、项目基本情况</w:t>
      </w:r>
      <w:r>
        <w:rPr>
          <w:highlight w:val="none"/>
        </w:rPr>
        <w:tab/>
      </w:r>
      <w:r>
        <w:rPr>
          <w:highlight w:val="none"/>
        </w:rPr>
        <w:fldChar w:fldCharType="begin"/>
      </w:r>
      <w:r>
        <w:rPr>
          <w:highlight w:val="none"/>
        </w:rPr>
        <w:instrText xml:space="preserve"> PAGEREF _Toc16992 \h </w:instrText>
      </w:r>
      <w:r>
        <w:rPr>
          <w:highlight w:val="none"/>
        </w:rPr>
        <w:fldChar w:fldCharType="separate"/>
      </w:r>
      <w:r>
        <w:rPr>
          <w:highlight w:val="none"/>
        </w:rPr>
        <w:t>1</w:t>
      </w:r>
      <w:r>
        <w:rPr>
          <w:highlight w:val="none"/>
        </w:rPr>
        <w:fldChar w:fldCharType="end"/>
      </w:r>
      <w:r>
        <w:rPr>
          <w:rFonts w:hint="eastAsia" w:ascii="宋体" w:hAnsi="宋体" w:eastAsia="宋体" w:cs="宋体"/>
          <w:szCs w:val="24"/>
          <w:highlight w:val="none"/>
        </w:rPr>
        <w:fldChar w:fldCharType="end"/>
      </w:r>
    </w:p>
    <w:p w14:paraId="2C70129F">
      <w:pPr>
        <w:pStyle w:val="32"/>
        <w:tabs>
          <w:tab w:val="right" w:leader="dot" w:pos="9638"/>
        </w:tabs>
        <w:rPr>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_Toc15372 </w:instrText>
      </w:r>
      <w:r>
        <w:rPr>
          <w:rFonts w:hint="eastAsia" w:ascii="宋体" w:hAnsi="宋体" w:eastAsia="宋体" w:cs="宋体"/>
          <w:szCs w:val="24"/>
          <w:highlight w:val="none"/>
        </w:rPr>
        <w:fldChar w:fldCharType="separate"/>
      </w:r>
      <w:r>
        <w:rPr>
          <w:rFonts w:hint="eastAsia" w:ascii="宋体" w:hAnsi="宋体" w:eastAsia="宋体" w:cs="宋体"/>
          <w:bCs/>
          <w:szCs w:val="30"/>
          <w:highlight w:val="none"/>
        </w:rPr>
        <w:t>二、申请人的资格要求</w:t>
      </w:r>
      <w:r>
        <w:rPr>
          <w:highlight w:val="none"/>
        </w:rPr>
        <w:tab/>
      </w:r>
      <w:r>
        <w:rPr>
          <w:highlight w:val="none"/>
        </w:rPr>
        <w:fldChar w:fldCharType="begin"/>
      </w:r>
      <w:r>
        <w:rPr>
          <w:highlight w:val="none"/>
        </w:rPr>
        <w:instrText xml:space="preserve"> PAGEREF _Toc15372 \h </w:instrText>
      </w:r>
      <w:r>
        <w:rPr>
          <w:highlight w:val="none"/>
        </w:rPr>
        <w:fldChar w:fldCharType="separate"/>
      </w:r>
      <w:r>
        <w:rPr>
          <w:highlight w:val="none"/>
        </w:rPr>
        <w:t>1</w:t>
      </w:r>
      <w:r>
        <w:rPr>
          <w:highlight w:val="none"/>
        </w:rPr>
        <w:fldChar w:fldCharType="end"/>
      </w:r>
      <w:r>
        <w:rPr>
          <w:rFonts w:hint="eastAsia" w:ascii="宋体" w:hAnsi="宋体" w:eastAsia="宋体" w:cs="宋体"/>
          <w:szCs w:val="24"/>
          <w:highlight w:val="none"/>
        </w:rPr>
        <w:fldChar w:fldCharType="end"/>
      </w:r>
    </w:p>
    <w:p w14:paraId="24466069">
      <w:pPr>
        <w:pStyle w:val="32"/>
        <w:tabs>
          <w:tab w:val="right" w:leader="dot" w:pos="9638"/>
        </w:tabs>
        <w:rPr>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_Toc4366 </w:instrText>
      </w:r>
      <w:r>
        <w:rPr>
          <w:rFonts w:hint="eastAsia" w:ascii="宋体" w:hAnsi="宋体" w:eastAsia="宋体" w:cs="宋体"/>
          <w:szCs w:val="24"/>
          <w:highlight w:val="none"/>
        </w:rPr>
        <w:fldChar w:fldCharType="separate"/>
      </w:r>
      <w:r>
        <w:rPr>
          <w:rFonts w:hint="eastAsia" w:ascii="宋体" w:hAnsi="宋体" w:eastAsia="宋体" w:cs="宋体"/>
          <w:bCs/>
          <w:szCs w:val="30"/>
          <w:highlight w:val="none"/>
        </w:rPr>
        <w:t>三、获取招标文件</w:t>
      </w:r>
      <w:r>
        <w:rPr>
          <w:highlight w:val="none"/>
        </w:rPr>
        <w:tab/>
      </w:r>
      <w:r>
        <w:rPr>
          <w:highlight w:val="none"/>
        </w:rPr>
        <w:fldChar w:fldCharType="begin"/>
      </w:r>
      <w:r>
        <w:rPr>
          <w:highlight w:val="none"/>
        </w:rPr>
        <w:instrText xml:space="preserve"> PAGEREF _Toc4366 \h </w:instrText>
      </w:r>
      <w:r>
        <w:rPr>
          <w:highlight w:val="none"/>
        </w:rPr>
        <w:fldChar w:fldCharType="separate"/>
      </w:r>
      <w:r>
        <w:rPr>
          <w:highlight w:val="none"/>
        </w:rPr>
        <w:t>2</w:t>
      </w:r>
      <w:r>
        <w:rPr>
          <w:highlight w:val="none"/>
        </w:rPr>
        <w:fldChar w:fldCharType="end"/>
      </w:r>
      <w:r>
        <w:rPr>
          <w:rFonts w:hint="eastAsia" w:ascii="宋体" w:hAnsi="宋体" w:eastAsia="宋体" w:cs="宋体"/>
          <w:szCs w:val="24"/>
          <w:highlight w:val="none"/>
        </w:rPr>
        <w:fldChar w:fldCharType="end"/>
      </w:r>
    </w:p>
    <w:p w14:paraId="6BE35772">
      <w:pPr>
        <w:pStyle w:val="32"/>
        <w:tabs>
          <w:tab w:val="right" w:leader="dot" w:pos="9638"/>
        </w:tabs>
        <w:rPr>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_Toc14186 </w:instrText>
      </w:r>
      <w:r>
        <w:rPr>
          <w:rFonts w:hint="eastAsia" w:ascii="宋体" w:hAnsi="宋体" w:eastAsia="宋体" w:cs="宋体"/>
          <w:szCs w:val="24"/>
          <w:highlight w:val="none"/>
        </w:rPr>
        <w:fldChar w:fldCharType="separate"/>
      </w:r>
      <w:r>
        <w:rPr>
          <w:rFonts w:hint="eastAsia" w:ascii="宋体" w:hAnsi="宋体" w:eastAsia="宋体" w:cs="宋体"/>
          <w:bCs/>
          <w:szCs w:val="30"/>
          <w:highlight w:val="none"/>
        </w:rPr>
        <w:t>四、提交投标文件截止时间、开标时间、地点</w:t>
      </w:r>
      <w:r>
        <w:rPr>
          <w:highlight w:val="none"/>
        </w:rPr>
        <w:tab/>
      </w:r>
      <w:r>
        <w:rPr>
          <w:highlight w:val="none"/>
        </w:rPr>
        <w:fldChar w:fldCharType="begin"/>
      </w:r>
      <w:r>
        <w:rPr>
          <w:highlight w:val="none"/>
        </w:rPr>
        <w:instrText xml:space="preserve"> PAGEREF _Toc14186 \h </w:instrText>
      </w:r>
      <w:r>
        <w:rPr>
          <w:highlight w:val="none"/>
        </w:rPr>
        <w:fldChar w:fldCharType="separate"/>
      </w:r>
      <w:r>
        <w:rPr>
          <w:highlight w:val="none"/>
        </w:rPr>
        <w:t>2</w:t>
      </w:r>
      <w:r>
        <w:rPr>
          <w:highlight w:val="none"/>
        </w:rPr>
        <w:fldChar w:fldCharType="end"/>
      </w:r>
      <w:r>
        <w:rPr>
          <w:rFonts w:hint="eastAsia" w:ascii="宋体" w:hAnsi="宋体" w:eastAsia="宋体" w:cs="宋体"/>
          <w:szCs w:val="24"/>
          <w:highlight w:val="none"/>
        </w:rPr>
        <w:fldChar w:fldCharType="end"/>
      </w:r>
    </w:p>
    <w:p w14:paraId="08071E11">
      <w:pPr>
        <w:pStyle w:val="32"/>
        <w:tabs>
          <w:tab w:val="right" w:leader="dot" w:pos="9638"/>
        </w:tabs>
        <w:rPr>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_Toc20957 </w:instrText>
      </w:r>
      <w:r>
        <w:rPr>
          <w:rFonts w:hint="eastAsia" w:ascii="宋体" w:hAnsi="宋体" w:eastAsia="宋体" w:cs="宋体"/>
          <w:szCs w:val="24"/>
          <w:highlight w:val="none"/>
        </w:rPr>
        <w:fldChar w:fldCharType="separate"/>
      </w:r>
      <w:r>
        <w:rPr>
          <w:rFonts w:hint="eastAsia" w:ascii="宋体" w:hAnsi="宋体" w:eastAsia="宋体" w:cs="宋体"/>
          <w:bCs/>
          <w:szCs w:val="30"/>
          <w:highlight w:val="none"/>
        </w:rPr>
        <w:t>五、公告期限</w:t>
      </w:r>
      <w:r>
        <w:rPr>
          <w:highlight w:val="none"/>
        </w:rPr>
        <w:tab/>
      </w:r>
      <w:r>
        <w:rPr>
          <w:highlight w:val="none"/>
        </w:rPr>
        <w:fldChar w:fldCharType="begin"/>
      </w:r>
      <w:r>
        <w:rPr>
          <w:highlight w:val="none"/>
        </w:rPr>
        <w:instrText xml:space="preserve"> PAGEREF _Toc20957 \h </w:instrText>
      </w:r>
      <w:r>
        <w:rPr>
          <w:highlight w:val="none"/>
        </w:rPr>
        <w:fldChar w:fldCharType="separate"/>
      </w:r>
      <w:r>
        <w:rPr>
          <w:highlight w:val="none"/>
        </w:rPr>
        <w:t>2</w:t>
      </w:r>
      <w:r>
        <w:rPr>
          <w:highlight w:val="none"/>
        </w:rPr>
        <w:fldChar w:fldCharType="end"/>
      </w:r>
      <w:r>
        <w:rPr>
          <w:rFonts w:hint="eastAsia" w:ascii="宋体" w:hAnsi="宋体" w:eastAsia="宋体" w:cs="宋体"/>
          <w:szCs w:val="24"/>
          <w:highlight w:val="none"/>
        </w:rPr>
        <w:fldChar w:fldCharType="end"/>
      </w:r>
    </w:p>
    <w:p w14:paraId="7731126F">
      <w:pPr>
        <w:pStyle w:val="32"/>
        <w:tabs>
          <w:tab w:val="right" w:leader="dot" w:pos="9638"/>
        </w:tabs>
        <w:rPr>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_Toc8420 </w:instrText>
      </w:r>
      <w:r>
        <w:rPr>
          <w:rFonts w:hint="eastAsia" w:ascii="宋体" w:hAnsi="宋体" w:eastAsia="宋体" w:cs="宋体"/>
          <w:szCs w:val="24"/>
          <w:highlight w:val="none"/>
        </w:rPr>
        <w:fldChar w:fldCharType="separate"/>
      </w:r>
      <w:r>
        <w:rPr>
          <w:rFonts w:hint="eastAsia" w:ascii="宋体" w:hAnsi="宋体" w:eastAsia="宋体" w:cs="宋体"/>
          <w:bCs/>
          <w:szCs w:val="30"/>
          <w:highlight w:val="none"/>
        </w:rPr>
        <w:t>六、其他事宜</w:t>
      </w:r>
      <w:r>
        <w:rPr>
          <w:highlight w:val="none"/>
        </w:rPr>
        <w:tab/>
      </w:r>
      <w:r>
        <w:rPr>
          <w:highlight w:val="none"/>
        </w:rPr>
        <w:fldChar w:fldCharType="begin"/>
      </w:r>
      <w:r>
        <w:rPr>
          <w:highlight w:val="none"/>
        </w:rPr>
        <w:instrText xml:space="preserve"> PAGEREF _Toc8420 \h </w:instrText>
      </w:r>
      <w:r>
        <w:rPr>
          <w:highlight w:val="none"/>
        </w:rPr>
        <w:fldChar w:fldCharType="separate"/>
      </w:r>
      <w:r>
        <w:rPr>
          <w:highlight w:val="none"/>
        </w:rPr>
        <w:t>2</w:t>
      </w:r>
      <w:r>
        <w:rPr>
          <w:highlight w:val="none"/>
        </w:rPr>
        <w:fldChar w:fldCharType="end"/>
      </w:r>
      <w:r>
        <w:rPr>
          <w:rFonts w:hint="eastAsia" w:ascii="宋体" w:hAnsi="宋体" w:eastAsia="宋体" w:cs="宋体"/>
          <w:szCs w:val="24"/>
          <w:highlight w:val="none"/>
        </w:rPr>
        <w:fldChar w:fldCharType="end"/>
      </w:r>
    </w:p>
    <w:p w14:paraId="4BCE093F">
      <w:pPr>
        <w:pStyle w:val="32"/>
        <w:tabs>
          <w:tab w:val="right" w:leader="dot" w:pos="9638"/>
        </w:tabs>
        <w:rPr>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_Toc17371 </w:instrText>
      </w:r>
      <w:r>
        <w:rPr>
          <w:rFonts w:hint="eastAsia" w:ascii="宋体" w:hAnsi="宋体" w:eastAsia="宋体" w:cs="宋体"/>
          <w:szCs w:val="24"/>
          <w:highlight w:val="none"/>
        </w:rPr>
        <w:fldChar w:fldCharType="separate"/>
      </w:r>
      <w:r>
        <w:rPr>
          <w:rFonts w:hint="eastAsia" w:ascii="宋体" w:hAnsi="宋体" w:eastAsia="宋体" w:cs="宋体"/>
          <w:bCs/>
          <w:szCs w:val="30"/>
          <w:highlight w:val="none"/>
        </w:rPr>
        <w:t>七、本次招标联系方式</w:t>
      </w:r>
      <w:r>
        <w:rPr>
          <w:highlight w:val="none"/>
        </w:rPr>
        <w:tab/>
      </w:r>
      <w:r>
        <w:rPr>
          <w:highlight w:val="none"/>
        </w:rPr>
        <w:fldChar w:fldCharType="begin"/>
      </w:r>
      <w:r>
        <w:rPr>
          <w:highlight w:val="none"/>
        </w:rPr>
        <w:instrText xml:space="preserve"> PAGEREF _Toc17371 \h </w:instrText>
      </w:r>
      <w:r>
        <w:rPr>
          <w:highlight w:val="none"/>
        </w:rPr>
        <w:fldChar w:fldCharType="separate"/>
      </w:r>
      <w:r>
        <w:rPr>
          <w:highlight w:val="none"/>
        </w:rPr>
        <w:t>3</w:t>
      </w:r>
      <w:r>
        <w:rPr>
          <w:highlight w:val="none"/>
        </w:rPr>
        <w:fldChar w:fldCharType="end"/>
      </w:r>
      <w:r>
        <w:rPr>
          <w:rFonts w:hint="eastAsia" w:ascii="宋体" w:hAnsi="宋体" w:eastAsia="宋体" w:cs="宋体"/>
          <w:szCs w:val="24"/>
          <w:highlight w:val="none"/>
        </w:rPr>
        <w:fldChar w:fldCharType="end"/>
      </w:r>
    </w:p>
    <w:p w14:paraId="59DC5822">
      <w:pPr>
        <w:pStyle w:val="26"/>
        <w:tabs>
          <w:tab w:val="right" w:leader="dot" w:pos="9638"/>
        </w:tabs>
        <w:rPr>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_Toc10561 </w:instrText>
      </w:r>
      <w:r>
        <w:rPr>
          <w:rFonts w:hint="eastAsia" w:ascii="宋体" w:hAnsi="宋体" w:eastAsia="宋体" w:cs="宋体"/>
          <w:szCs w:val="24"/>
          <w:highlight w:val="none"/>
        </w:rPr>
        <w:fldChar w:fldCharType="separate"/>
      </w:r>
      <w:r>
        <w:rPr>
          <w:rFonts w:hint="eastAsia" w:ascii="宋体" w:hAnsi="宋体" w:eastAsia="宋体" w:cs="宋体"/>
          <w:bCs/>
          <w:highlight w:val="none"/>
        </w:rPr>
        <w:t>第二章  投标人须知</w:t>
      </w:r>
      <w:r>
        <w:rPr>
          <w:highlight w:val="none"/>
        </w:rPr>
        <w:tab/>
      </w:r>
      <w:r>
        <w:rPr>
          <w:highlight w:val="none"/>
        </w:rPr>
        <w:fldChar w:fldCharType="begin"/>
      </w:r>
      <w:r>
        <w:rPr>
          <w:highlight w:val="none"/>
        </w:rPr>
        <w:instrText xml:space="preserve"> PAGEREF _Toc10561 \h </w:instrText>
      </w:r>
      <w:r>
        <w:rPr>
          <w:highlight w:val="none"/>
        </w:rPr>
        <w:fldChar w:fldCharType="separate"/>
      </w:r>
      <w:r>
        <w:rPr>
          <w:highlight w:val="none"/>
        </w:rPr>
        <w:t>4</w:t>
      </w:r>
      <w:r>
        <w:rPr>
          <w:highlight w:val="none"/>
        </w:rPr>
        <w:fldChar w:fldCharType="end"/>
      </w:r>
      <w:r>
        <w:rPr>
          <w:rFonts w:hint="eastAsia" w:ascii="宋体" w:hAnsi="宋体" w:eastAsia="宋体" w:cs="宋体"/>
          <w:szCs w:val="24"/>
          <w:highlight w:val="none"/>
        </w:rPr>
        <w:fldChar w:fldCharType="end"/>
      </w:r>
    </w:p>
    <w:p w14:paraId="175C2243">
      <w:pPr>
        <w:pStyle w:val="26"/>
        <w:tabs>
          <w:tab w:val="right" w:leader="dot" w:pos="9638"/>
        </w:tabs>
        <w:rPr>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_Toc21217 </w:instrText>
      </w:r>
      <w:r>
        <w:rPr>
          <w:rFonts w:hint="eastAsia" w:ascii="宋体" w:hAnsi="宋体" w:eastAsia="宋体" w:cs="宋体"/>
          <w:szCs w:val="24"/>
          <w:highlight w:val="none"/>
        </w:rPr>
        <w:fldChar w:fldCharType="separate"/>
      </w:r>
      <w:r>
        <w:rPr>
          <w:rFonts w:hint="eastAsia" w:ascii="宋体" w:hAnsi="宋体" w:eastAsia="宋体" w:cs="宋体"/>
          <w:bCs/>
          <w:highlight w:val="none"/>
        </w:rPr>
        <w:t>第三章  评标方法与评标标准</w:t>
      </w:r>
      <w:r>
        <w:rPr>
          <w:highlight w:val="none"/>
        </w:rPr>
        <w:tab/>
      </w:r>
      <w:r>
        <w:rPr>
          <w:highlight w:val="none"/>
        </w:rPr>
        <w:fldChar w:fldCharType="begin"/>
      </w:r>
      <w:r>
        <w:rPr>
          <w:highlight w:val="none"/>
        </w:rPr>
        <w:instrText xml:space="preserve"> PAGEREF _Toc21217 \h </w:instrText>
      </w:r>
      <w:r>
        <w:rPr>
          <w:highlight w:val="none"/>
        </w:rPr>
        <w:fldChar w:fldCharType="separate"/>
      </w:r>
      <w:r>
        <w:rPr>
          <w:highlight w:val="none"/>
        </w:rPr>
        <w:t>21</w:t>
      </w:r>
      <w:r>
        <w:rPr>
          <w:highlight w:val="none"/>
        </w:rPr>
        <w:fldChar w:fldCharType="end"/>
      </w:r>
      <w:r>
        <w:rPr>
          <w:rFonts w:hint="eastAsia" w:ascii="宋体" w:hAnsi="宋体" w:eastAsia="宋体" w:cs="宋体"/>
          <w:szCs w:val="24"/>
          <w:highlight w:val="none"/>
        </w:rPr>
        <w:fldChar w:fldCharType="end"/>
      </w:r>
    </w:p>
    <w:p w14:paraId="03958754">
      <w:pPr>
        <w:pStyle w:val="26"/>
        <w:tabs>
          <w:tab w:val="right" w:leader="dot" w:pos="9638"/>
        </w:tabs>
        <w:rPr>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_Toc14966 </w:instrText>
      </w:r>
      <w:r>
        <w:rPr>
          <w:rFonts w:hint="eastAsia" w:ascii="宋体" w:hAnsi="宋体" w:eastAsia="宋体" w:cs="宋体"/>
          <w:szCs w:val="24"/>
          <w:highlight w:val="none"/>
        </w:rPr>
        <w:fldChar w:fldCharType="separate"/>
      </w:r>
      <w:r>
        <w:rPr>
          <w:rFonts w:hint="eastAsia" w:ascii="宋体" w:hAnsi="宋体" w:eastAsia="宋体" w:cs="宋体"/>
          <w:bCs/>
          <w:highlight w:val="none"/>
        </w:rPr>
        <w:t>第四章  采购需求</w:t>
      </w:r>
      <w:r>
        <w:rPr>
          <w:highlight w:val="none"/>
        </w:rPr>
        <w:tab/>
      </w:r>
      <w:r>
        <w:rPr>
          <w:highlight w:val="none"/>
        </w:rPr>
        <w:fldChar w:fldCharType="begin"/>
      </w:r>
      <w:r>
        <w:rPr>
          <w:highlight w:val="none"/>
        </w:rPr>
        <w:instrText xml:space="preserve"> PAGEREF _Toc14966 \h </w:instrText>
      </w:r>
      <w:r>
        <w:rPr>
          <w:highlight w:val="none"/>
        </w:rPr>
        <w:fldChar w:fldCharType="separate"/>
      </w:r>
      <w:r>
        <w:rPr>
          <w:highlight w:val="none"/>
        </w:rPr>
        <w:t>28</w:t>
      </w:r>
      <w:r>
        <w:rPr>
          <w:highlight w:val="none"/>
        </w:rPr>
        <w:fldChar w:fldCharType="end"/>
      </w:r>
      <w:r>
        <w:rPr>
          <w:rFonts w:hint="eastAsia" w:ascii="宋体" w:hAnsi="宋体" w:eastAsia="宋体" w:cs="宋体"/>
          <w:szCs w:val="24"/>
          <w:highlight w:val="none"/>
        </w:rPr>
        <w:fldChar w:fldCharType="end"/>
      </w:r>
    </w:p>
    <w:p w14:paraId="2C93EDA9">
      <w:pPr>
        <w:pStyle w:val="32"/>
        <w:tabs>
          <w:tab w:val="right" w:leader="dot" w:pos="9638"/>
        </w:tabs>
        <w:rPr>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_Toc16522 </w:instrText>
      </w:r>
      <w:r>
        <w:rPr>
          <w:rFonts w:hint="eastAsia" w:ascii="宋体" w:hAnsi="宋体" w:eastAsia="宋体" w:cs="宋体"/>
          <w:szCs w:val="24"/>
          <w:highlight w:val="none"/>
        </w:rPr>
        <w:fldChar w:fldCharType="separate"/>
      </w:r>
      <w:r>
        <w:rPr>
          <w:rFonts w:hint="eastAsia" w:ascii="宋体" w:hAnsi="宋体" w:eastAsia="宋体" w:cs="宋体"/>
          <w:bCs/>
          <w:spacing w:val="7"/>
          <w:szCs w:val="24"/>
          <w:highlight w:val="none"/>
        </w:rPr>
        <w:t>一、项目基本情况</w:t>
      </w:r>
      <w:r>
        <w:rPr>
          <w:highlight w:val="none"/>
        </w:rPr>
        <w:tab/>
      </w:r>
      <w:r>
        <w:rPr>
          <w:highlight w:val="none"/>
        </w:rPr>
        <w:fldChar w:fldCharType="begin"/>
      </w:r>
      <w:r>
        <w:rPr>
          <w:highlight w:val="none"/>
        </w:rPr>
        <w:instrText xml:space="preserve"> PAGEREF _Toc16522 \h </w:instrText>
      </w:r>
      <w:r>
        <w:rPr>
          <w:highlight w:val="none"/>
        </w:rPr>
        <w:fldChar w:fldCharType="separate"/>
      </w:r>
      <w:r>
        <w:rPr>
          <w:highlight w:val="none"/>
        </w:rPr>
        <w:t>28</w:t>
      </w:r>
      <w:r>
        <w:rPr>
          <w:highlight w:val="none"/>
        </w:rPr>
        <w:fldChar w:fldCharType="end"/>
      </w:r>
      <w:r>
        <w:rPr>
          <w:rFonts w:hint="eastAsia" w:ascii="宋体" w:hAnsi="宋体" w:eastAsia="宋体" w:cs="宋体"/>
          <w:szCs w:val="24"/>
          <w:highlight w:val="none"/>
        </w:rPr>
        <w:fldChar w:fldCharType="end"/>
      </w:r>
    </w:p>
    <w:p w14:paraId="4D58A08E">
      <w:pPr>
        <w:pStyle w:val="32"/>
        <w:tabs>
          <w:tab w:val="right" w:leader="dot" w:pos="9638"/>
        </w:tabs>
        <w:rPr>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_Toc31048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二、项目报价要求</w:t>
      </w:r>
      <w:r>
        <w:rPr>
          <w:highlight w:val="none"/>
        </w:rPr>
        <w:tab/>
      </w:r>
      <w:r>
        <w:rPr>
          <w:highlight w:val="none"/>
        </w:rPr>
        <w:fldChar w:fldCharType="begin"/>
      </w:r>
      <w:r>
        <w:rPr>
          <w:highlight w:val="none"/>
        </w:rPr>
        <w:instrText xml:space="preserve"> PAGEREF _Toc31048 \h </w:instrText>
      </w:r>
      <w:r>
        <w:rPr>
          <w:highlight w:val="none"/>
        </w:rPr>
        <w:fldChar w:fldCharType="separate"/>
      </w:r>
      <w:r>
        <w:rPr>
          <w:highlight w:val="none"/>
        </w:rPr>
        <w:t>29</w:t>
      </w:r>
      <w:r>
        <w:rPr>
          <w:highlight w:val="none"/>
        </w:rPr>
        <w:fldChar w:fldCharType="end"/>
      </w:r>
      <w:r>
        <w:rPr>
          <w:rFonts w:hint="eastAsia" w:ascii="宋体" w:hAnsi="宋体" w:eastAsia="宋体" w:cs="宋体"/>
          <w:szCs w:val="24"/>
          <w:highlight w:val="none"/>
        </w:rPr>
        <w:fldChar w:fldCharType="end"/>
      </w:r>
    </w:p>
    <w:p w14:paraId="314C858D">
      <w:pPr>
        <w:pStyle w:val="32"/>
        <w:tabs>
          <w:tab w:val="right" w:leader="dot" w:pos="9638"/>
        </w:tabs>
        <w:rPr>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_Toc10700 </w:instrText>
      </w:r>
      <w:r>
        <w:rPr>
          <w:rFonts w:hint="eastAsia" w:ascii="宋体" w:hAnsi="宋体" w:eastAsia="宋体" w:cs="宋体"/>
          <w:szCs w:val="24"/>
          <w:highlight w:val="none"/>
        </w:rPr>
        <w:fldChar w:fldCharType="separate"/>
      </w:r>
      <w:r>
        <w:rPr>
          <w:rFonts w:hint="eastAsia" w:ascii="宋体" w:hAnsi="宋体" w:eastAsia="宋体" w:cs="宋体"/>
          <w:bCs/>
          <w:spacing w:val="6"/>
          <w:szCs w:val="24"/>
          <w:highlight w:val="none"/>
        </w:rPr>
        <w:t>三、项目要求</w:t>
      </w:r>
      <w:r>
        <w:rPr>
          <w:highlight w:val="none"/>
        </w:rPr>
        <w:tab/>
      </w:r>
      <w:r>
        <w:rPr>
          <w:highlight w:val="none"/>
        </w:rPr>
        <w:fldChar w:fldCharType="begin"/>
      </w:r>
      <w:r>
        <w:rPr>
          <w:highlight w:val="none"/>
        </w:rPr>
        <w:instrText xml:space="preserve"> PAGEREF _Toc10700 \h </w:instrText>
      </w:r>
      <w:r>
        <w:rPr>
          <w:highlight w:val="none"/>
        </w:rPr>
        <w:fldChar w:fldCharType="separate"/>
      </w:r>
      <w:r>
        <w:rPr>
          <w:highlight w:val="none"/>
        </w:rPr>
        <w:t>30</w:t>
      </w:r>
      <w:r>
        <w:rPr>
          <w:highlight w:val="none"/>
        </w:rPr>
        <w:fldChar w:fldCharType="end"/>
      </w:r>
      <w:r>
        <w:rPr>
          <w:rFonts w:hint="eastAsia" w:ascii="宋体" w:hAnsi="宋体" w:eastAsia="宋体" w:cs="宋体"/>
          <w:szCs w:val="24"/>
          <w:highlight w:val="none"/>
        </w:rPr>
        <w:fldChar w:fldCharType="end"/>
      </w:r>
    </w:p>
    <w:p w14:paraId="2152CA04">
      <w:pPr>
        <w:pStyle w:val="32"/>
        <w:tabs>
          <w:tab w:val="right" w:leader="dot" w:pos="9638"/>
        </w:tabs>
        <w:rPr>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_Toc5365 </w:instrText>
      </w:r>
      <w:r>
        <w:rPr>
          <w:rFonts w:hint="eastAsia" w:ascii="宋体" w:hAnsi="宋体" w:eastAsia="宋体" w:cs="宋体"/>
          <w:szCs w:val="24"/>
          <w:highlight w:val="none"/>
        </w:rPr>
        <w:fldChar w:fldCharType="separate"/>
      </w:r>
      <w:r>
        <w:rPr>
          <w:rFonts w:hint="eastAsia" w:ascii="宋体" w:hAnsi="宋体" w:eastAsia="宋体" w:cs="仿宋"/>
          <w:bCs/>
          <w:szCs w:val="24"/>
          <w:highlight w:val="none"/>
        </w:rPr>
        <w:t>四、总体服务要求</w:t>
      </w:r>
      <w:r>
        <w:rPr>
          <w:highlight w:val="none"/>
        </w:rPr>
        <w:tab/>
      </w:r>
      <w:r>
        <w:rPr>
          <w:highlight w:val="none"/>
        </w:rPr>
        <w:fldChar w:fldCharType="begin"/>
      </w:r>
      <w:r>
        <w:rPr>
          <w:highlight w:val="none"/>
        </w:rPr>
        <w:instrText xml:space="preserve"> PAGEREF _Toc5365 \h </w:instrText>
      </w:r>
      <w:r>
        <w:rPr>
          <w:highlight w:val="none"/>
        </w:rPr>
        <w:fldChar w:fldCharType="separate"/>
      </w:r>
      <w:r>
        <w:rPr>
          <w:highlight w:val="none"/>
        </w:rPr>
        <w:t>30</w:t>
      </w:r>
      <w:r>
        <w:rPr>
          <w:highlight w:val="none"/>
        </w:rPr>
        <w:fldChar w:fldCharType="end"/>
      </w:r>
      <w:r>
        <w:rPr>
          <w:rFonts w:hint="eastAsia" w:ascii="宋体" w:hAnsi="宋体" w:eastAsia="宋体" w:cs="宋体"/>
          <w:szCs w:val="24"/>
          <w:highlight w:val="none"/>
        </w:rPr>
        <w:fldChar w:fldCharType="end"/>
      </w:r>
    </w:p>
    <w:p w14:paraId="580E9CF6">
      <w:pPr>
        <w:pStyle w:val="32"/>
        <w:tabs>
          <w:tab w:val="right" w:leader="dot" w:pos="9638"/>
        </w:tabs>
        <w:rPr>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_Toc30347 </w:instrText>
      </w:r>
      <w:r>
        <w:rPr>
          <w:rFonts w:hint="eastAsia" w:ascii="宋体" w:hAnsi="宋体" w:eastAsia="宋体" w:cs="宋体"/>
          <w:szCs w:val="24"/>
          <w:highlight w:val="none"/>
        </w:rPr>
        <w:fldChar w:fldCharType="separate"/>
      </w:r>
      <w:r>
        <w:rPr>
          <w:rFonts w:hint="eastAsia" w:ascii="宋体" w:hAnsi="宋体" w:eastAsia="宋体" w:cs="宋体"/>
          <w:bCs/>
          <w:spacing w:val="7"/>
          <w:szCs w:val="24"/>
          <w:highlight w:val="none"/>
        </w:rPr>
        <w:t>五、各类食材要求</w:t>
      </w:r>
      <w:r>
        <w:rPr>
          <w:highlight w:val="none"/>
        </w:rPr>
        <w:tab/>
      </w:r>
      <w:r>
        <w:rPr>
          <w:highlight w:val="none"/>
        </w:rPr>
        <w:fldChar w:fldCharType="begin"/>
      </w:r>
      <w:r>
        <w:rPr>
          <w:highlight w:val="none"/>
        </w:rPr>
        <w:instrText xml:space="preserve"> PAGEREF _Toc30347 \h </w:instrText>
      </w:r>
      <w:r>
        <w:rPr>
          <w:highlight w:val="none"/>
        </w:rPr>
        <w:fldChar w:fldCharType="separate"/>
      </w:r>
      <w:r>
        <w:rPr>
          <w:highlight w:val="none"/>
        </w:rPr>
        <w:t>32</w:t>
      </w:r>
      <w:r>
        <w:rPr>
          <w:highlight w:val="none"/>
        </w:rPr>
        <w:fldChar w:fldCharType="end"/>
      </w:r>
      <w:r>
        <w:rPr>
          <w:rFonts w:hint="eastAsia" w:ascii="宋体" w:hAnsi="宋体" w:eastAsia="宋体" w:cs="宋体"/>
          <w:szCs w:val="24"/>
          <w:highlight w:val="none"/>
        </w:rPr>
        <w:fldChar w:fldCharType="end"/>
      </w:r>
    </w:p>
    <w:p w14:paraId="2CDF3F64">
      <w:pPr>
        <w:pStyle w:val="32"/>
        <w:tabs>
          <w:tab w:val="right" w:leader="dot" w:pos="9638"/>
        </w:tabs>
        <w:rPr>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_Toc23811 </w:instrText>
      </w:r>
      <w:r>
        <w:rPr>
          <w:rFonts w:hint="eastAsia" w:ascii="宋体" w:hAnsi="宋体" w:eastAsia="宋体" w:cs="宋体"/>
          <w:szCs w:val="24"/>
          <w:highlight w:val="none"/>
        </w:rPr>
        <w:fldChar w:fldCharType="separate"/>
      </w:r>
      <w:r>
        <w:rPr>
          <w:rFonts w:hint="eastAsia" w:ascii="宋体" w:hAnsi="宋体" w:eastAsia="宋体" w:cs="宋体"/>
          <w:bCs/>
          <w:spacing w:val="7"/>
          <w:szCs w:val="24"/>
          <w:highlight w:val="none"/>
        </w:rPr>
        <w:t>六、</w:t>
      </w:r>
      <w:r>
        <w:rPr>
          <w:rFonts w:hint="eastAsia" w:ascii="宋体" w:hAnsi="宋体" w:eastAsia="宋体" w:cs="宋体"/>
          <w:bCs/>
          <w:szCs w:val="24"/>
          <w:highlight w:val="none"/>
        </w:rPr>
        <w:t>供货及</w:t>
      </w:r>
      <w:r>
        <w:rPr>
          <w:rFonts w:hint="eastAsia" w:ascii="宋体" w:hAnsi="宋体" w:eastAsia="宋体" w:cs="宋体"/>
          <w:bCs/>
          <w:spacing w:val="7"/>
          <w:szCs w:val="24"/>
          <w:highlight w:val="none"/>
        </w:rPr>
        <w:t>质量</w:t>
      </w:r>
      <w:r>
        <w:rPr>
          <w:rFonts w:hint="eastAsia" w:ascii="宋体" w:hAnsi="宋体" w:eastAsia="宋体" w:cs="宋体"/>
          <w:bCs/>
          <w:szCs w:val="24"/>
          <w:highlight w:val="none"/>
        </w:rPr>
        <w:t>要求</w:t>
      </w:r>
      <w:r>
        <w:rPr>
          <w:highlight w:val="none"/>
        </w:rPr>
        <w:tab/>
      </w:r>
      <w:r>
        <w:rPr>
          <w:highlight w:val="none"/>
        </w:rPr>
        <w:fldChar w:fldCharType="begin"/>
      </w:r>
      <w:r>
        <w:rPr>
          <w:highlight w:val="none"/>
        </w:rPr>
        <w:instrText xml:space="preserve"> PAGEREF _Toc23811 \h </w:instrText>
      </w:r>
      <w:r>
        <w:rPr>
          <w:highlight w:val="none"/>
        </w:rPr>
        <w:fldChar w:fldCharType="separate"/>
      </w:r>
      <w:r>
        <w:rPr>
          <w:highlight w:val="none"/>
        </w:rPr>
        <w:t>37</w:t>
      </w:r>
      <w:r>
        <w:rPr>
          <w:highlight w:val="none"/>
        </w:rPr>
        <w:fldChar w:fldCharType="end"/>
      </w:r>
      <w:r>
        <w:rPr>
          <w:rFonts w:hint="eastAsia" w:ascii="宋体" w:hAnsi="宋体" w:eastAsia="宋体" w:cs="宋体"/>
          <w:szCs w:val="24"/>
          <w:highlight w:val="none"/>
        </w:rPr>
        <w:fldChar w:fldCharType="end"/>
      </w:r>
    </w:p>
    <w:p w14:paraId="36726F2D">
      <w:pPr>
        <w:pStyle w:val="32"/>
        <w:tabs>
          <w:tab w:val="right" w:leader="dot" w:pos="9638"/>
        </w:tabs>
        <w:rPr>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_Toc27297 </w:instrText>
      </w:r>
      <w:r>
        <w:rPr>
          <w:rFonts w:hint="eastAsia" w:ascii="宋体" w:hAnsi="宋体" w:eastAsia="宋体" w:cs="宋体"/>
          <w:szCs w:val="24"/>
          <w:highlight w:val="none"/>
        </w:rPr>
        <w:fldChar w:fldCharType="separate"/>
      </w:r>
      <w:r>
        <w:rPr>
          <w:rFonts w:hint="eastAsia" w:ascii="宋体" w:hAnsi="宋体" w:eastAsia="宋体" w:cs="仿宋"/>
          <w:bCs/>
          <w:szCs w:val="24"/>
          <w:highlight w:val="none"/>
        </w:rPr>
        <w:t>七、人员管理及配送要求</w:t>
      </w:r>
      <w:r>
        <w:rPr>
          <w:highlight w:val="none"/>
        </w:rPr>
        <w:tab/>
      </w:r>
      <w:r>
        <w:rPr>
          <w:highlight w:val="none"/>
        </w:rPr>
        <w:fldChar w:fldCharType="begin"/>
      </w:r>
      <w:r>
        <w:rPr>
          <w:highlight w:val="none"/>
        </w:rPr>
        <w:instrText xml:space="preserve"> PAGEREF _Toc27297 \h </w:instrText>
      </w:r>
      <w:r>
        <w:rPr>
          <w:highlight w:val="none"/>
        </w:rPr>
        <w:fldChar w:fldCharType="separate"/>
      </w:r>
      <w:r>
        <w:rPr>
          <w:highlight w:val="none"/>
        </w:rPr>
        <w:t>39</w:t>
      </w:r>
      <w:r>
        <w:rPr>
          <w:highlight w:val="none"/>
        </w:rPr>
        <w:fldChar w:fldCharType="end"/>
      </w:r>
      <w:r>
        <w:rPr>
          <w:rFonts w:hint="eastAsia" w:ascii="宋体" w:hAnsi="宋体" w:eastAsia="宋体" w:cs="宋体"/>
          <w:szCs w:val="24"/>
          <w:highlight w:val="none"/>
        </w:rPr>
        <w:fldChar w:fldCharType="end"/>
      </w:r>
    </w:p>
    <w:p w14:paraId="76FD597E">
      <w:pPr>
        <w:pStyle w:val="32"/>
        <w:tabs>
          <w:tab w:val="right" w:leader="dot" w:pos="9638"/>
        </w:tabs>
        <w:rPr>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_Toc5799 </w:instrText>
      </w:r>
      <w:r>
        <w:rPr>
          <w:rFonts w:hint="eastAsia" w:ascii="宋体" w:hAnsi="宋体" w:eastAsia="宋体" w:cs="宋体"/>
          <w:szCs w:val="24"/>
          <w:highlight w:val="none"/>
        </w:rPr>
        <w:fldChar w:fldCharType="separate"/>
      </w:r>
      <w:r>
        <w:rPr>
          <w:rFonts w:hint="eastAsia" w:ascii="宋体" w:hAnsi="宋体" w:eastAsia="宋体" w:cs="仿宋"/>
          <w:bCs/>
          <w:szCs w:val="24"/>
          <w:highlight w:val="none"/>
        </w:rPr>
        <w:t>八、食堂经营管理要求</w:t>
      </w:r>
      <w:r>
        <w:rPr>
          <w:highlight w:val="none"/>
        </w:rPr>
        <w:tab/>
      </w:r>
      <w:r>
        <w:rPr>
          <w:highlight w:val="none"/>
        </w:rPr>
        <w:fldChar w:fldCharType="begin"/>
      </w:r>
      <w:r>
        <w:rPr>
          <w:highlight w:val="none"/>
        </w:rPr>
        <w:instrText xml:space="preserve"> PAGEREF _Toc5799 \h </w:instrText>
      </w:r>
      <w:r>
        <w:rPr>
          <w:highlight w:val="none"/>
        </w:rPr>
        <w:fldChar w:fldCharType="separate"/>
      </w:r>
      <w:r>
        <w:rPr>
          <w:highlight w:val="none"/>
        </w:rPr>
        <w:t>40</w:t>
      </w:r>
      <w:r>
        <w:rPr>
          <w:highlight w:val="none"/>
        </w:rPr>
        <w:fldChar w:fldCharType="end"/>
      </w:r>
      <w:r>
        <w:rPr>
          <w:rFonts w:hint="eastAsia" w:ascii="宋体" w:hAnsi="宋体" w:eastAsia="宋体" w:cs="宋体"/>
          <w:szCs w:val="24"/>
          <w:highlight w:val="none"/>
        </w:rPr>
        <w:fldChar w:fldCharType="end"/>
      </w:r>
    </w:p>
    <w:p w14:paraId="0DACC516">
      <w:pPr>
        <w:pStyle w:val="32"/>
        <w:tabs>
          <w:tab w:val="right" w:leader="dot" w:pos="9638"/>
        </w:tabs>
        <w:rPr>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_Toc3109 </w:instrText>
      </w:r>
      <w:r>
        <w:rPr>
          <w:rFonts w:hint="eastAsia" w:ascii="宋体" w:hAnsi="宋体" w:eastAsia="宋体" w:cs="宋体"/>
          <w:szCs w:val="24"/>
          <w:highlight w:val="none"/>
        </w:rPr>
        <w:fldChar w:fldCharType="separate"/>
      </w:r>
      <w:r>
        <w:rPr>
          <w:rFonts w:hint="eastAsia" w:ascii="宋体" w:hAnsi="宋体" w:eastAsia="宋体" w:cs="宋体"/>
          <w:bCs/>
          <w:spacing w:val="8"/>
          <w:szCs w:val="24"/>
          <w:highlight w:val="none"/>
        </w:rPr>
        <w:t>九</w:t>
      </w:r>
      <w:r>
        <w:rPr>
          <w:rFonts w:hint="eastAsia" w:ascii="宋体" w:hAnsi="宋体" w:eastAsia="宋体" w:cs="宋体"/>
          <w:bCs/>
          <w:spacing w:val="8"/>
          <w:szCs w:val="24"/>
          <w:highlight w:val="none"/>
        </w:rPr>
        <w:t>、付款方式</w:t>
      </w:r>
      <w:r>
        <w:rPr>
          <w:highlight w:val="none"/>
        </w:rPr>
        <w:tab/>
      </w:r>
      <w:r>
        <w:rPr>
          <w:highlight w:val="none"/>
        </w:rPr>
        <w:fldChar w:fldCharType="begin"/>
      </w:r>
      <w:r>
        <w:rPr>
          <w:highlight w:val="none"/>
        </w:rPr>
        <w:instrText xml:space="preserve"> PAGEREF _Toc3109 \h </w:instrText>
      </w:r>
      <w:r>
        <w:rPr>
          <w:highlight w:val="none"/>
        </w:rPr>
        <w:fldChar w:fldCharType="separate"/>
      </w:r>
      <w:r>
        <w:rPr>
          <w:highlight w:val="none"/>
        </w:rPr>
        <w:t>42</w:t>
      </w:r>
      <w:r>
        <w:rPr>
          <w:highlight w:val="none"/>
        </w:rPr>
        <w:fldChar w:fldCharType="end"/>
      </w:r>
      <w:r>
        <w:rPr>
          <w:rFonts w:hint="eastAsia" w:ascii="宋体" w:hAnsi="宋体" w:eastAsia="宋体" w:cs="宋体"/>
          <w:szCs w:val="24"/>
          <w:highlight w:val="none"/>
        </w:rPr>
        <w:fldChar w:fldCharType="end"/>
      </w:r>
    </w:p>
    <w:p w14:paraId="5933CD60">
      <w:pPr>
        <w:pStyle w:val="32"/>
        <w:tabs>
          <w:tab w:val="right" w:leader="dot" w:pos="9638"/>
        </w:tabs>
        <w:rPr>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_Toc5740 </w:instrText>
      </w:r>
      <w:r>
        <w:rPr>
          <w:rFonts w:hint="eastAsia" w:ascii="宋体" w:hAnsi="宋体" w:eastAsia="宋体" w:cs="宋体"/>
          <w:szCs w:val="24"/>
          <w:highlight w:val="none"/>
        </w:rPr>
        <w:fldChar w:fldCharType="separate"/>
      </w:r>
      <w:r>
        <w:rPr>
          <w:rFonts w:hint="eastAsia" w:ascii="宋体" w:hAnsi="宋体" w:eastAsia="宋体" w:cs="宋体"/>
          <w:bCs/>
          <w:spacing w:val="8"/>
          <w:szCs w:val="24"/>
          <w:highlight w:val="none"/>
        </w:rPr>
        <w:t>十、服务考核</w:t>
      </w:r>
      <w:r>
        <w:rPr>
          <w:highlight w:val="none"/>
        </w:rPr>
        <w:tab/>
      </w:r>
      <w:r>
        <w:rPr>
          <w:highlight w:val="none"/>
        </w:rPr>
        <w:fldChar w:fldCharType="begin"/>
      </w:r>
      <w:r>
        <w:rPr>
          <w:highlight w:val="none"/>
        </w:rPr>
        <w:instrText xml:space="preserve"> PAGEREF _Toc5740 \h </w:instrText>
      </w:r>
      <w:r>
        <w:rPr>
          <w:highlight w:val="none"/>
        </w:rPr>
        <w:fldChar w:fldCharType="separate"/>
      </w:r>
      <w:r>
        <w:rPr>
          <w:highlight w:val="none"/>
        </w:rPr>
        <w:t>42</w:t>
      </w:r>
      <w:r>
        <w:rPr>
          <w:highlight w:val="none"/>
        </w:rPr>
        <w:fldChar w:fldCharType="end"/>
      </w:r>
      <w:r>
        <w:rPr>
          <w:rFonts w:hint="eastAsia" w:ascii="宋体" w:hAnsi="宋体" w:eastAsia="宋体" w:cs="宋体"/>
          <w:szCs w:val="24"/>
          <w:highlight w:val="none"/>
        </w:rPr>
        <w:fldChar w:fldCharType="end"/>
      </w:r>
    </w:p>
    <w:p w14:paraId="2E9777D8">
      <w:pPr>
        <w:pStyle w:val="26"/>
        <w:tabs>
          <w:tab w:val="right" w:leader="dot" w:pos="9638"/>
        </w:tabs>
        <w:rPr>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_Toc28927 </w:instrText>
      </w:r>
      <w:r>
        <w:rPr>
          <w:rFonts w:hint="eastAsia" w:ascii="宋体" w:hAnsi="宋体" w:eastAsia="宋体" w:cs="宋体"/>
          <w:szCs w:val="24"/>
          <w:highlight w:val="none"/>
        </w:rPr>
        <w:fldChar w:fldCharType="separate"/>
      </w:r>
      <w:r>
        <w:rPr>
          <w:rFonts w:hint="eastAsia" w:ascii="宋体" w:hAnsi="宋体" w:eastAsia="宋体" w:cs="宋体"/>
          <w:bCs/>
          <w:highlight w:val="none"/>
        </w:rPr>
        <w:t>第五章  合同条款及格式</w:t>
      </w:r>
      <w:r>
        <w:rPr>
          <w:highlight w:val="none"/>
        </w:rPr>
        <w:tab/>
      </w:r>
      <w:r>
        <w:rPr>
          <w:highlight w:val="none"/>
        </w:rPr>
        <w:fldChar w:fldCharType="begin"/>
      </w:r>
      <w:r>
        <w:rPr>
          <w:highlight w:val="none"/>
        </w:rPr>
        <w:instrText xml:space="preserve"> PAGEREF _Toc28927 \h </w:instrText>
      </w:r>
      <w:r>
        <w:rPr>
          <w:highlight w:val="none"/>
        </w:rPr>
        <w:fldChar w:fldCharType="separate"/>
      </w:r>
      <w:r>
        <w:rPr>
          <w:highlight w:val="none"/>
        </w:rPr>
        <w:t>45</w:t>
      </w:r>
      <w:r>
        <w:rPr>
          <w:highlight w:val="none"/>
        </w:rPr>
        <w:fldChar w:fldCharType="end"/>
      </w:r>
      <w:r>
        <w:rPr>
          <w:rFonts w:hint="eastAsia" w:ascii="宋体" w:hAnsi="宋体" w:eastAsia="宋体" w:cs="宋体"/>
          <w:szCs w:val="24"/>
          <w:highlight w:val="none"/>
        </w:rPr>
        <w:fldChar w:fldCharType="end"/>
      </w:r>
    </w:p>
    <w:p w14:paraId="55CDBF53">
      <w:pPr>
        <w:pStyle w:val="26"/>
        <w:tabs>
          <w:tab w:val="right" w:leader="dot" w:pos="9638"/>
        </w:tabs>
        <w:rPr>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_Toc2045 </w:instrText>
      </w:r>
      <w:r>
        <w:rPr>
          <w:rFonts w:hint="eastAsia" w:ascii="宋体" w:hAnsi="宋体" w:eastAsia="宋体" w:cs="宋体"/>
          <w:szCs w:val="24"/>
          <w:highlight w:val="none"/>
        </w:rPr>
        <w:fldChar w:fldCharType="separate"/>
      </w:r>
      <w:r>
        <w:rPr>
          <w:rFonts w:hint="eastAsia" w:ascii="宋体" w:hAnsi="宋体" w:eastAsia="宋体" w:cs="宋体"/>
          <w:bCs/>
          <w:highlight w:val="none"/>
        </w:rPr>
        <w:t>第六章  投标文件格式</w:t>
      </w:r>
      <w:r>
        <w:rPr>
          <w:highlight w:val="none"/>
        </w:rPr>
        <w:tab/>
      </w:r>
      <w:r>
        <w:rPr>
          <w:highlight w:val="none"/>
        </w:rPr>
        <w:fldChar w:fldCharType="begin"/>
      </w:r>
      <w:r>
        <w:rPr>
          <w:highlight w:val="none"/>
        </w:rPr>
        <w:instrText xml:space="preserve"> PAGEREF _Toc2045 \h </w:instrText>
      </w:r>
      <w:r>
        <w:rPr>
          <w:highlight w:val="none"/>
        </w:rPr>
        <w:fldChar w:fldCharType="separate"/>
      </w:r>
      <w:r>
        <w:rPr>
          <w:highlight w:val="none"/>
        </w:rPr>
        <w:t>53</w:t>
      </w:r>
      <w:r>
        <w:rPr>
          <w:highlight w:val="none"/>
        </w:rPr>
        <w:fldChar w:fldCharType="end"/>
      </w:r>
      <w:r>
        <w:rPr>
          <w:rFonts w:hint="eastAsia" w:ascii="宋体" w:hAnsi="宋体" w:eastAsia="宋体" w:cs="宋体"/>
          <w:szCs w:val="24"/>
          <w:highlight w:val="none"/>
        </w:rPr>
        <w:fldChar w:fldCharType="end"/>
      </w:r>
    </w:p>
    <w:p w14:paraId="60C3F892">
      <w:pPr>
        <w:pStyle w:val="32"/>
        <w:tabs>
          <w:tab w:val="right" w:leader="dot" w:pos="9638"/>
        </w:tabs>
        <w:rPr>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_Toc22027 </w:instrText>
      </w:r>
      <w:r>
        <w:rPr>
          <w:rFonts w:hint="eastAsia" w:ascii="宋体" w:hAnsi="宋体" w:eastAsia="宋体" w:cs="宋体"/>
          <w:szCs w:val="24"/>
          <w:highlight w:val="none"/>
        </w:rPr>
        <w:fldChar w:fldCharType="separate"/>
      </w:r>
      <w:r>
        <w:rPr>
          <w:rFonts w:hint="eastAsia" w:ascii="宋体" w:hAnsi="宋体" w:eastAsia="宋体" w:cs="Arial"/>
          <w:bCs/>
          <w:szCs w:val="21"/>
          <w:highlight w:val="none"/>
          <w:lang w:val="en-US" w:eastAsia="zh-CN"/>
        </w:rPr>
        <w:t>一</w:t>
      </w:r>
      <w:r>
        <w:rPr>
          <w:rFonts w:hint="eastAsia" w:ascii="宋体" w:hAnsi="宋体" w:eastAsia="宋体" w:cs="Arial"/>
          <w:bCs/>
          <w:szCs w:val="21"/>
          <w:highlight w:val="none"/>
        </w:rPr>
        <w:t>、法定代表人授权委托书</w:t>
      </w:r>
      <w:r>
        <w:rPr>
          <w:highlight w:val="none"/>
        </w:rPr>
        <w:tab/>
      </w:r>
      <w:r>
        <w:rPr>
          <w:highlight w:val="none"/>
        </w:rPr>
        <w:fldChar w:fldCharType="begin"/>
      </w:r>
      <w:r>
        <w:rPr>
          <w:highlight w:val="none"/>
        </w:rPr>
        <w:instrText xml:space="preserve"> PAGEREF _Toc22027 \h </w:instrText>
      </w:r>
      <w:r>
        <w:rPr>
          <w:highlight w:val="none"/>
        </w:rPr>
        <w:fldChar w:fldCharType="separate"/>
      </w:r>
      <w:r>
        <w:rPr>
          <w:highlight w:val="none"/>
        </w:rPr>
        <w:t>55</w:t>
      </w:r>
      <w:r>
        <w:rPr>
          <w:highlight w:val="none"/>
        </w:rPr>
        <w:fldChar w:fldCharType="end"/>
      </w:r>
      <w:r>
        <w:rPr>
          <w:rFonts w:hint="eastAsia" w:ascii="宋体" w:hAnsi="宋体" w:eastAsia="宋体" w:cs="宋体"/>
          <w:szCs w:val="24"/>
          <w:highlight w:val="none"/>
        </w:rPr>
        <w:fldChar w:fldCharType="end"/>
      </w:r>
    </w:p>
    <w:p w14:paraId="2345F6F0">
      <w:pPr>
        <w:pStyle w:val="32"/>
        <w:tabs>
          <w:tab w:val="right" w:leader="dot" w:pos="9638"/>
        </w:tabs>
        <w:rPr>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_Toc23866 </w:instrText>
      </w:r>
      <w:r>
        <w:rPr>
          <w:rFonts w:hint="eastAsia" w:ascii="宋体" w:hAnsi="宋体" w:eastAsia="宋体" w:cs="宋体"/>
          <w:szCs w:val="24"/>
          <w:highlight w:val="none"/>
        </w:rPr>
        <w:fldChar w:fldCharType="separate"/>
      </w:r>
      <w:r>
        <w:rPr>
          <w:rFonts w:hint="eastAsia" w:ascii="宋体" w:hAnsi="宋体" w:eastAsia="宋体" w:cs="Arial"/>
          <w:bCs/>
          <w:szCs w:val="21"/>
          <w:highlight w:val="none"/>
          <w:lang w:val="en-US" w:eastAsia="zh-CN"/>
        </w:rPr>
        <w:t>二</w:t>
      </w:r>
      <w:r>
        <w:rPr>
          <w:rFonts w:hint="eastAsia" w:ascii="宋体" w:hAnsi="宋体" w:eastAsia="宋体" w:cs="Arial"/>
          <w:bCs/>
          <w:szCs w:val="21"/>
          <w:highlight w:val="none"/>
        </w:rPr>
        <w:t>、投标申请及声明</w:t>
      </w:r>
      <w:r>
        <w:rPr>
          <w:highlight w:val="none"/>
        </w:rPr>
        <w:tab/>
      </w:r>
      <w:r>
        <w:rPr>
          <w:highlight w:val="none"/>
        </w:rPr>
        <w:fldChar w:fldCharType="begin"/>
      </w:r>
      <w:r>
        <w:rPr>
          <w:highlight w:val="none"/>
        </w:rPr>
        <w:instrText xml:space="preserve"> PAGEREF _Toc23866 \h </w:instrText>
      </w:r>
      <w:r>
        <w:rPr>
          <w:highlight w:val="none"/>
        </w:rPr>
        <w:fldChar w:fldCharType="separate"/>
      </w:r>
      <w:r>
        <w:rPr>
          <w:highlight w:val="none"/>
        </w:rPr>
        <w:t>56</w:t>
      </w:r>
      <w:r>
        <w:rPr>
          <w:highlight w:val="none"/>
        </w:rPr>
        <w:fldChar w:fldCharType="end"/>
      </w:r>
      <w:r>
        <w:rPr>
          <w:rFonts w:hint="eastAsia" w:ascii="宋体" w:hAnsi="宋体" w:eastAsia="宋体" w:cs="宋体"/>
          <w:szCs w:val="24"/>
          <w:highlight w:val="none"/>
        </w:rPr>
        <w:fldChar w:fldCharType="end"/>
      </w:r>
    </w:p>
    <w:p w14:paraId="0DDBE984">
      <w:pPr>
        <w:pStyle w:val="32"/>
        <w:tabs>
          <w:tab w:val="right" w:leader="dot" w:pos="9638"/>
        </w:tabs>
        <w:rPr>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_Toc13396 </w:instrText>
      </w:r>
      <w:r>
        <w:rPr>
          <w:rFonts w:hint="eastAsia" w:ascii="宋体" w:hAnsi="宋体" w:eastAsia="宋体" w:cs="宋体"/>
          <w:szCs w:val="24"/>
          <w:highlight w:val="none"/>
        </w:rPr>
        <w:fldChar w:fldCharType="separate"/>
      </w:r>
      <w:r>
        <w:rPr>
          <w:rFonts w:hint="eastAsia" w:ascii="宋体" w:hAnsi="宋体" w:eastAsia="宋体" w:cs="Arial"/>
          <w:bCs/>
          <w:szCs w:val="21"/>
          <w:highlight w:val="none"/>
          <w:lang w:val="en-US" w:eastAsia="zh-CN"/>
        </w:rPr>
        <w:t>三</w:t>
      </w:r>
      <w:r>
        <w:rPr>
          <w:rFonts w:hint="eastAsia" w:ascii="宋体" w:hAnsi="宋体" w:eastAsia="宋体" w:cs="Arial"/>
          <w:bCs/>
          <w:szCs w:val="21"/>
          <w:highlight w:val="none"/>
          <w:lang w:val="zh-CN"/>
        </w:rPr>
        <w:t>、</w:t>
      </w:r>
      <w:r>
        <w:rPr>
          <w:rFonts w:hint="eastAsia" w:ascii="宋体" w:hAnsi="宋体" w:eastAsia="宋体" w:cs="Arial"/>
          <w:bCs/>
          <w:szCs w:val="21"/>
          <w:highlight w:val="none"/>
        </w:rPr>
        <w:t>开标一览</w:t>
      </w:r>
      <w:r>
        <w:rPr>
          <w:rFonts w:hint="eastAsia" w:ascii="宋体" w:hAnsi="宋体" w:eastAsia="宋体" w:cs="Arial"/>
          <w:bCs/>
          <w:szCs w:val="21"/>
          <w:highlight w:val="none"/>
          <w:lang w:val="zh-CN"/>
        </w:rPr>
        <w:t>表</w:t>
      </w:r>
      <w:r>
        <w:rPr>
          <w:highlight w:val="none"/>
        </w:rPr>
        <w:tab/>
      </w:r>
      <w:r>
        <w:rPr>
          <w:highlight w:val="none"/>
        </w:rPr>
        <w:fldChar w:fldCharType="begin"/>
      </w:r>
      <w:r>
        <w:rPr>
          <w:highlight w:val="none"/>
        </w:rPr>
        <w:instrText xml:space="preserve"> PAGEREF _Toc13396 \h </w:instrText>
      </w:r>
      <w:r>
        <w:rPr>
          <w:highlight w:val="none"/>
        </w:rPr>
        <w:fldChar w:fldCharType="separate"/>
      </w:r>
      <w:r>
        <w:rPr>
          <w:highlight w:val="none"/>
        </w:rPr>
        <w:t>58</w:t>
      </w:r>
      <w:r>
        <w:rPr>
          <w:highlight w:val="none"/>
        </w:rPr>
        <w:fldChar w:fldCharType="end"/>
      </w:r>
      <w:r>
        <w:rPr>
          <w:rFonts w:hint="eastAsia" w:ascii="宋体" w:hAnsi="宋体" w:eastAsia="宋体" w:cs="宋体"/>
          <w:szCs w:val="24"/>
          <w:highlight w:val="none"/>
        </w:rPr>
        <w:fldChar w:fldCharType="end"/>
      </w:r>
    </w:p>
    <w:p w14:paraId="3D535AB1">
      <w:pPr>
        <w:pStyle w:val="32"/>
        <w:tabs>
          <w:tab w:val="right" w:leader="dot" w:pos="9638"/>
        </w:tabs>
        <w:rPr>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_Toc26372 </w:instrText>
      </w:r>
      <w:r>
        <w:rPr>
          <w:rFonts w:hint="eastAsia" w:ascii="宋体" w:hAnsi="宋体" w:eastAsia="宋体" w:cs="宋体"/>
          <w:szCs w:val="24"/>
          <w:highlight w:val="none"/>
        </w:rPr>
        <w:fldChar w:fldCharType="separate"/>
      </w:r>
      <w:r>
        <w:rPr>
          <w:rFonts w:hint="eastAsia" w:ascii="宋体" w:hAnsi="宋体" w:eastAsia="宋体" w:cs="Arial"/>
          <w:bCs/>
          <w:szCs w:val="21"/>
          <w:highlight w:val="none"/>
          <w:lang w:val="en-US" w:eastAsia="zh-CN"/>
        </w:rPr>
        <w:t>四、 资格证明材料</w:t>
      </w:r>
      <w:r>
        <w:rPr>
          <w:highlight w:val="none"/>
        </w:rPr>
        <w:tab/>
      </w:r>
      <w:r>
        <w:rPr>
          <w:highlight w:val="none"/>
        </w:rPr>
        <w:fldChar w:fldCharType="begin"/>
      </w:r>
      <w:r>
        <w:rPr>
          <w:highlight w:val="none"/>
        </w:rPr>
        <w:instrText xml:space="preserve"> PAGEREF _Toc26372 \h </w:instrText>
      </w:r>
      <w:r>
        <w:rPr>
          <w:highlight w:val="none"/>
        </w:rPr>
        <w:fldChar w:fldCharType="separate"/>
      </w:r>
      <w:r>
        <w:rPr>
          <w:highlight w:val="none"/>
        </w:rPr>
        <w:t>60</w:t>
      </w:r>
      <w:r>
        <w:rPr>
          <w:highlight w:val="none"/>
        </w:rPr>
        <w:fldChar w:fldCharType="end"/>
      </w:r>
      <w:r>
        <w:rPr>
          <w:rFonts w:hint="eastAsia" w:ascii="宋体" w:hAnsi="宋体" w:eastAsia="宋体" w:cs="宋体"/>
          <w:szCs w:val="24"/>
          <w:highlight w:val="none"/>
        </w:rPr>
        <w:fldChar w:fldCharType="end"/>
      </w:r>
    </w:p>
    <w:p w14:paraId="6BB85B63">
      <w:pPr>
        <w:pStyle w:val="32"/>
        <w:tabs>
          <w:tab w:val="right" w:leader="dot" w:pos="9638"/>
        </w:tabs>
        <w:rPr>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_Toc27953 </w:instrText>
      </w:r>
      <w:r>
        <w:rPr>
          <w:rFonts w:hint="eastAsia" w:ascii="宋体" w:hAnsi="宋体" w:eastAsia="宋体" w:cs="宋体"/>
          <w:szCs w:val="24"/>
          <w:highlight w:val="none"/>
        </w:rPr>
        <w:fldChar w:fldCharType="separate"/>
      </w:r>
      <w:r>
        <w:rPr>
          <w:rFonts w:hint="eastAsia" w:ascii="宋体" w:hAnsi="宋体" w:eastAsia="宋体" w:cs="Arial"/>
          <w:bCs/>
          <w:szCs w:val="21"/>
          <w:highlight w:val="none"/>
        </w:rPr>
        <w:t>五、技术条款偏离表</w:t>
      </w:r>
      <w:r>
        <w:rPr>
          <w:highlight w:val="none"/>
        </w:rPr>
        <w:tab/>
      </w:r>
      <w:r>
        <w:rPr>
          <w:highlight w:val="none"/>
        </w:rPr>
        <w:fldChar w:fldCharType="begin"/>
      </w:r>
      <w:r>
        <w:rPr>
          <w:highlight w:val="none"/>
        </w:rPr>
        <w:instrText xml:space="preserve"> PAGEREF _Toc27953 \h </w:instrText>
      </w:r>
      <w:r>
        <w:rPr>
          <w:highlight w:val="none"/>
        </w:rPr>
        <w:fldChar w:fldCharType="separate"/>
      </w:r>
      <w:r>
        <w:rPr>
          <w:highlight w:val="none"/>
        </w:rPr>
        <w:t>61</w:t>
      </w:r>
      <w:r>
        <w:rPr>
          <w:highlight w:val="none"/>
        </w:rPr>
        <w:fldChar w:fldCharType="end"/>
      </w:r>
      <w:r>
        <w:rPr>
          <w:rFonts w:hint="eastAsia" w:ascii="宋体" w:hAnsi="宋体" w:eastAsia="宋体" w:cs="宋体"/>
          <w:szCs w:val="24"/>
          <w:highlight w:val="none"/>
        </w:rPr>
        <w:fldChar w:fldCharType="end"/>
      </w:r>
    </w:p>
    <w:p w14:paraId="3BF6A4DF">
      <w:pPr>
        <w:pStyle w:val="32"/>
        <w:tabs>
          <w:tab w:val="right" w:leader="dot" w:pos="9638"/>
        </w:tabs>
        <w:rPr>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_Toc28003 </w:instrText>
      </w:r>
      <w:r>
        <w:rPr>
          <w:rFonts w:hint="eastAsia" w:ascii="宋体" w:hAnsi="宋体" w:eastAsia="宋体" w:cs="宋体"/>
          <w:szCs w:val="24"/>
          <w:highlight w:val="none"/>
        </w:rPr>
        <w:fldChar w:fldCharType="separate"/>
      </w:r>
      <w:r>
        <w:rPr>
          <w:rFonts w:hint="eastAsia" w:ascii="宋体" w:hAnsi="宋体" w:eastAsia="宋体" w:cs="Arial"/>
          <w:bCs/>
          <w:szCs w:val="21"/>
          <w:highlight w:val="none"/>
        </w:rPr>
        <w:t>六、商务条款偏离表</w:t>
      </w:r>
      <w:r>
        <w:rPr>
          <w:highlight w:val="none"/>
        </w:rPr>
        <w:tab/>
      </w:r>
      <w:r>
        <w:rPr>
          <w:highlight w:val="none"/>
        </w:rPr>
        <w:fldChar w:fldCharType="begin"/>
      </w:r>
      <w:r>
        <w:rPr>
          <w:highlight w:val="none"/>
        </w:rPr>
        <w:instrText xml:space="preserve"> PAGEREF _Toc28003 \h </w:instrText>
      </w:r>
      <w:r>
        <w:rPr>
          <w:highlight w:val="none"/>
        </w:rPr>
        <w:fldChar w:fldCharType="separate"/>
      </w:r>
      <w:r>
        <w:rPr>
          <w:highlight w:val="none"/>
        </w:rPr>
        <w:t>62</w:t>
      </w:r>
      <w:r>
        <w:rPr>
          <w:highlight w:val="none"/>
        </w:rPr>
        <w:fldChar w:fldCharType="end"/>
      </w:r>
      <w:r>
        <w:rPr>
          <w:rFonts w:hint="eastAsia" w:ascii="宋体" w:hAnsi="宋体" w:eastAsia="宋体" w:cs="宋体"/>
          <w:szCs w:val="24"/>
          <w:highlight w:val="none"/>
        </w:rPr>
        <w:fldChar w:fldCharType="end"/>
      </w:r>
    </w:p>
    <w:p w14:paraId="49BCA366">
      <w:pPr>
        <w:pStyle w:val="32"/>
        <w:tabs>
          <w:tab w:val="right" w:leader="dot" w:pos="9638"/>
        </w:tabs>
        <w:rPr>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_Toc11341 </w:instrText>
      </w:r>
      <w:r>
        <w:rPr>
          <w:rFonts w:hint="eastAsia" w:ascii="宋体" w:hAnsi="宋体" w:eastAsia="宋体" w:cs="宋体"/>
          <w:szCs w:val="24"/>
          <w:highlight w:val="none"/>
        </w:rPr>
        <w:fldChar w:fldCharType="separate"/>
      </w:r>
      <w:r>
        <w:rPr>
          <w:rFonts w:hint="eastAsia" w:ascii="宋体" w:hAnsi="宋体" w:eastAsia="宋体" w:cs="Arial"/>
          <w:bCs/>
          <w:szCs w:val="21"/>
          <w:highlight w:val="none"/>
        </w:rPr>
        <w:t>七、项目实施方案、服务承诺</w:t>
      </w:r>
      <w:r>
        <w:rPr>
          <w:highlight w:val="none"/>
        </w:rPr>
        <w:tab/>
      </w:r>
      <w:r>
        <w:rPr>
          <w:highlight w:val="none"/>
        </w:rPr>
        <w:fldChar w:fldCharType="begin"/>
      </w:r>
      <w:r>
        <w:rPr>
          <w:highlight w:val="none"/>
        </w:rPr>
        <w:instrText xml:space="preserve"> PAGEREF _Toc11341 \h </w:instrText>
      </w:r>
      <w:r>
        <w:rPr>
          <w:highlight w:val="none"/>
        </w:rPr>
        <w:fldChar w:fldCharType="separate"/>
      </w:r>
      <w:r>
        <w:rPr>
          <w:highlight w:val="none"/>
        </w:rPr>
        <w:t>63</w:t>
      </w:r>
      <w:r>
        <w:rPr>
          <w:highlight w:val="none"/>
        </w:rPr>
        <w:fldChar w:fldCharType="end"/>
      </w:r>
      <w:r>
        <w:rPr>
          <w:rFonts w:hint="eastAsia" w:ascii="宋体" w:hAnsi="宋体" w:eastAsia="宋体" w:cs="宋体"/>
          <w:szCs w:val="24"/>
          <w:highlight w:val="none"/>
        </w:rPr>
        <w:fldChar w:fldCharType="end"/>
      </w:r>
    </w:p>
    <w:p w14:paraId="1E8B6677">
      <w:pPr>
        <w:pStyle w:val="32"/>
        <w:tabs>
          <w:tab w:val="right" w:leader="dot" w:pos="9638"/>
        </w:tabs>
        <w:rPr>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_Toc2556 </w:instrText>
      </w:r>
      <w:r>
        <w:rPr>
          <w:rFonts w:hint="eastAsia" w:ascii="宋体" w:hAnsi="宋体" w:eastAsia="宋体" w:cs="宋体"/>
          <w:szCs w:val="24"/>
          <w:highlight w:val="none"/>
        </w:rPr>
        <w:fldChar w:fldCharType="separate"/>
      </w:r>
      <w:r>
        <w:rPr>
          <w:rFonts w:hint="eastAsia" w:ascii="宋体" w:hAnsi="宋体" w:eastAsia="宋体" w:cs="Arial"/>
          <w:bCs/>
          <w:szCs w:val="21"/>
          <w:highlight w:val="none"/>
        </w:rPr>
        <w:t>八、拟参与本项目服务人员一览表</w:t>
      </w:r>
      <w:r>
        <w:rPr>
          <w:highlight w:val="none"/>
        </w:rPr>
        <w:tab/>
      </w:r>
      <w:r>
        <w:rPr>
          <w:highlight w:val="none"/>
        </w:rPr>
        <w:fldChar w:fldCharType="begin"/>
      </w:r>
      <w:r>
        <w:rPr>
          <w:highlight w:val="none"/>
        </w:rPr>
        <w:instrText xml:space="preserve"> PAGEREF _Toc2556 \h </w:instrText>
      </w:r>
      <w:r>
        <w:rPr>
          <w:highlight w:val="none"/>
        </w:rPr>
        <w:fldChar w:fldCharType="separate"/>
      </w:r>
      <w:r>
        <w:rPr>
          <w:highlight w:val="none"/>
        </w:rPr>
        <w:t>63</w:t>
      </w:r>
      <w:r>
        <w:rPr>
          <w:highlight w:val="none"/>
        </w:rPr>
        <w:fldChar w:fldCharType="end"/>
      </w:r>
      <w:r>
        <w:rPr>
          <w:rFonts w:hint="eastAsia" w:ascii="宋体" w:hAnsi="宋体" w:eastAsia="宋体" w:cs="宋体"/>
          <w:szCs w:val="24"/>
          <w:highlight w:val="none"/>
        </w:rPr>
        <w:fldChar w:fldCharType="end"/>
      </w:r>
    </w:p>
    <w:p w14:paraId="3BF248EE">
      <w:pPr>
        <w:pStyle w:val="32"/>
        <w:tabs>
          <w:tab w:val="right" w:leader="dot" w:pos="9638"/>
        </w:tabs>
        <w:rPr>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_Toc22237 </w:instrText>
      </w:r>
      <w:r>
        <w:rPr>
          <w:rFonts w:hint="eastAsia" w:ascii="宋体" w:hAnsi="宋体" w:eastAsia="宋体" w:cs="宋体"/>
          <w:szCs w:val="24"/>
          <w:highlight w:val="none"/>
        </w:rPr>
        <w:fldChar w:fldCharType="separate"/>
      </w:r>
      <w:r>
        <w:rPr>
          <w:rFonts w:hint="eastAsia" w:ascii="宋体" w:hAnsi="宋体" w:eastAsia="宋体" w:cs="Arial"/>
          <w:bCs/>
          <w:szCs w:val="21"/>
          <w:highlight w:val="none"/>
        </w:rPr>
        <w:t>九、投标人类似业绩情况表</w:t>
      </w:r>
      <w:r>
        <w:rPr>
          <w:highlight w:val="none"/>
        </w:rPr>
        <w:tab/>
      </w:r>
      <w:r>
        <w:rPr>
          <w:highlight w:val="none"/>
        </w:rPr>
        <w:fldChar w:fldCharType="begin"/>
      </w:r>
      <w:r>
        <w:rPr>
          <w:highlight w:val="none"/>
        </w:rPr>
        <w:instrText xml:space="preserve"> PAGEREF _Toc22237 \h </w:instrText>
      </w:r>
      <w:r>
        <w:rPr>
          <w:highlight w:val="none"/>
        </w:rPr>
        <w:fldChar w:fldCharType="separate"/>
      </w:r>
      <w:r>
        <w:rPr>
          <w:highlight w:val="none"/>
        </w:rPr>
        <w:t>64</w:t>
      </w:r>
      <w:r>
        <w:rPr>
          <w:highlight w:val="none"/>
        </w:rPr>
        <w:fldChar w:fldCharType="end"/>
      </w:r>
      <w:r>
        <w:rPr>
          <w:rFonts w:hint="eastAsia" w:ascii="宋体" w:hAnsi="宋体" w:eastAsia="宋体" w:cs="宋体"/>
          <w:szCs w:val="24"/>
          <w:highlight w:val="none"/>
        </w:rPr>
        <w:fldChar w:fldCharType="end"/>
      </w:r>
    </w:p>
    <w:p w14:paraId="44927D9F">
      <w:pPr>
        <w:pStyle w:val="32"/>
        <w:tabs>
          <w:tab w:val="right" w:leader="dot" w:pos="9638"/>
        </w:tabs>
        <w:rPr>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_Toc24288 </w:instrText>
      </w:r>
      <w:r>
        <w:rPr>
          <w:rFonts w:hint="eastAsia" w:ascii="宋体" w:hAnsi="宋体" w:eastAsia="宋体" w:cs="宋体"/>
          <w:szCs w:val="24"/>
          <w:highlight w:val="none"/>
        </w:rPr>
        <w:fldChar w:fldCharType="separate"/>
      </w:r>
      <w:r>
        <w:rPr>
          <w:rFonts w:hint="eastAsia" w:ascii="宋体" w:hAnsi="宋体" w:eastAsia="宋体" w:cs="Arial"/>
          <w:szCs w:val="24"/>
          <w:highlight w:val="none"/>
        </w:rPr>
        <w:t>十</w:t>
      </w:r>
      <w:r>
        <w:rPr>
          <w:rFonts w:hint="eastAsia" w:ascii="宋体" w:hAnsi="宋体" w:eastAsia="宋体" w:cs="Arial"/>
          <w:bCs/>
          <w:szCs w:val="24"/>
          <w:highlight w:val="none"/>
        </w:rPr>
        <w:t>、企业声明函</w:t>
      </w:r>
      <w:r>
        <w:rPr>
          <w:highlight w:val="none"/>
        </w:rPr>
        <w:tab/>
      </w:r>
      <w:r>
        <w:rPr>
          <w:highlight w:val="none"/>
        </w:rPr>
        <w:fldChar w:fldCharType="begin"/>
      </w:r>
      <w:r>
        <w:rPr>
          <w:highlight w:val="none"/>
        </w:rPr>
        <w:instrText xml:space="preserve"> PAGEREF _Toc24288 \h </w:instrText>
      </w:r>
      <w:r>
        <w:rPr>
          <w:highlight w:val="none"/>
        </w:rPr>
        <w:fldChar w:fldCharType="separate"/>
      </w:r>
      <w:r>
        <w:rPr>
          <w:highlight w:val="none"/>
        </w:rPr>
        <w:t>65</w:t>
      </w:r>
      <w:r>
        <w:rPr>
          <w:highlight w:val="none"/>
        </w:rPr>
        <w:fldChar w:fldCharType="end"/>
      </w:r>
      <w:r>
        <w:rPr>
          <w:rFonts w:hint="eastAsia" w:ascii="宋体" w:hAnsi="宋体" w:eastAsia="宋体" w:cs="宋体"/>
          <w:szCs w:val="24"/>
          <w:highlight w:val="none"/>
        </w:rPr>
        <w:fldChar w:fldCharType="end"/>
      </w:r>
    </w:p>
    <w:p w14:paraId="1B3A450D">
      <w:pPr>
        <w:pStyle w:val="32"/>
        <w:tabs>
          <w:tab w:val="right" w:leader="dot" w:pos="9638"/>
        </w:tabs>
        <w:rPr>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_Toc22929 </w:instrText>
      </w:r>
      <w:r>
        <w:rPr>
          <w:rFonts w:hint="eastAsia" w:ascii="宋体" w:hAnsi="宋体" w:eastAsia="宋体" w:cs="宋体"/>
          <w:szCs w:val="24"/>
          <w:highlight w:val="none"/>
        </w:rPr>
        <w:fldChar w:fldCharType="separate"/>
      </w:r>
      <w:r>
        <w:rPr>
          <w:rFonts w:hint="eastAsia" w:ascii="宋体" w:hAnsi="宋体" w:eastAsia="宋体" w:cs="Arial"/>
          <w:szCs w:val="24"/>
          <w:highlight w:val="none"/>
        </w:rPr>
        <w:t>十一、无重大违法记录声明</w:t>
      </w:r>
      <w:r>
        <w:rPr>
          <w:highlight w:val="none"/>
        </w:rPr>
        <w:tab/>
      </w:r>
      <w:r>
        <w:rPr>
          <w:highlight w:val="none"/>
        </w:rPr>
        <w:fldChar w:fldCharType="begin"/>
      </w:r>
      <w:r>
        <w:rPr>
          <w:highlight w:val="none"/>
        </w:rPr>
        <w:instrText xml:space="preserve"> PAGEREF _Toc22929 \h </w:instrText>
      </w:r>
      <w:r>
        <w:rPr>
          <w:highlight w:val="none"/>
        </w:rPr>
        <w:fldChar w:fldCharType="separate"/>
      </w:r>
      <w:r>
        <w:rPr>
          <w:highlight w:val="none"/>
        </w:rPr>
        <w:t>66</w:t>
      </w:r>
      <w:r>
        <w:rPr>
          <w:highlight w:val="none"/>
        </w:rPr>
        <w:fldChar w:fldCharType="end"/>
      </w:r>
      <w:r>
        <w:rPr>
          <w:rFonts w:hint="eastAsia" w:ascii="宋体" w:hAnsi="宋体" w:eastAsia="宋体" w:cs="宋体"/>
          <w:szCs w:val="24"/>
          <w:highlight w:val="none"/>
        </w:rPr>
        <w:fldChar w:fldCharType="end"/>
      </w:r>
    </w:p>
    <w:p w14:paraId="16500B90">
      <w:pPr>
        <w:pStyle w:val="32"/>
        <w:tabs>
          <w:tab w:val="right" w:leader="dot" w:pos="9638"/>
        </w:tabs>
        <w:rPr>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_Toc21829 </w:instrText>
      </w:r>
      <w:r>
        <w:rPr>
          <w:rFonts w:hint="eastAsia" w:ascii="宋体" w:hAnsi="宋体" w:eastAsia="宋体" w:cs="宋体"/>
          <w:szCs w:val="24"/>
          <w:highlight w:val="none"/>
        </w:rPr>
        <w:fldChar w:fldCharType="separate"/>
      </w:r>
      <w:r>
        <w:rPr>
          <w:rFonts w:hint="eastAsia" w:ascii="宋体" w:hAnsi="宋体" w:eastAsia="宋体" w:cs="Times New Roman"/>
          <w:szCs w:val="24"/>
          <w:highlight w:val="none"/>
        </w:rPr>
        <w:t>十二</w:t>
      </w:r>
      <w:r>
        <w:rPr>
          <w:rFonts w:ascii="宋体" w:hAnsi="宋体" w:eastAsia="宋体" w:cs="Times New Roman"/>
          <w:szCs w:val="24"/>
          <w:highlight w:val="none"/>
        </w:rPr>
        <w:t>、具备履行合同所必需的设备和专业技术能力</w:t>
      </w:r>
      <w:r>
        <w:rPr>
          <w:highlight w:val="none"/>
        </w:rPr>
        <w:tab/>
      </w:r>
      <w:r>
        <w:rPr>
          <w:highlight w:val="none"/>
        </w:rPr>
        <w:fldChar w:fldCharType="begin"/>
      </w:r>
      <w:r>
        <w:rPr>
          <w:highlight w:val="none"/>
        </w:rPr>
        <w:instrText xml:space="preserve"> PAGEREF _Toc21829 \h </w:instrText>
      </w:r>
      <w:r>
        <w:rPr>
          <w:highlight w:val="none"/>
        </w:rPr>
        <w:fldChar w:fldCharType="separate"/>
      </w:r>
      <w:r>
        <w:rPr>
          <w:highlight w:val="none"/>
        </w:rPr>
        <w:t>67</w:t>
      </w:r>
      <w:r>
        <w:rPr>
          <w:highlight w:val="none"/>
        </w:rPr>
        <w:fldChar w:fldCharType="end"/>
      </w:r>
      <w:r>
        <w:rPr>
          <w:rFonts w:hint="eastAsia" w:ascii="宋体" w:hAnsi="宋体" w:eastAsia="宋体" w:cs="宋体"/>
          <w:szCs w:val="24"/>
          <w:highlight w:val="none"/>
        </w:rPr>
        <w:fldChar w:fldCharType="end"/>
      </w:r>
    </w:p>
    <w:p w14:paraId="32BB82CC">
      <w:pPr>
        <w:pStyle w:val="32"/>
        <w:tabs>
          <w:tab w:val="right" w:leader="dot" w:pos="9638"/>
        </w:tabs>
        <w:rPr>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_Toc29441 </w:instrText>
      </w:r>
      <w:r>
        <w:rPr>
          <w:rFonts w:hint="eastAsia" w:ascii="宋体" w:hAnsi="宋体" w:eastAsia="宋体" w:cs="宋体"/>
          <w:szCs w:val="24"/>
          <w:highlight w:val="none"/>
        </w:rPr>
        <w:fldChar w:fldCharType="separate"/>
      </w:r>
      <w:r>
        <w:rPr>
          <w:rFonts w:hint="eastAsia" w:ascii="宋体" w:hAnsi="宋体" w:eastAsia="宋体" w:cs="宋体"/>
          <w:bCs/>
          <w:highlight w:val="none"/>
        </w:rPr>
        <w:t>十三、南京市政府采购供应商信用承诺书</w:t>
      </w:r>
      <w:r>
        <w:rPr>
          <w:highlight w:val="none"/>
        </w:rPr>
        <w:tab/>
      </w:r>
      <w:r>
        <w:rPr>
          <w:highlight w:val="none"/>
        </w:rPr>
        <w:fldChar w:fldCharType="begin"/>
      </w:r>
      <w:r>
        <w:rPr>
          <w:highlight w:val="none"/>
        </w:rPr>
        <w:instrText xml:space="preserve"> PAGEREF _Toc29441 \h </w:instrText>
      </w:r>
      <w:r>
        <w:rPr>
          <w:highlight w:val="none"/>
        </w:rPr>
        <w:fldChar w:fldCharType="separate"/>
      </w:r>
      <w:r>
        <w:rPr>
          <w:highlight w:val="none"/>
        </w:rPr>
        <w:t>68</w:t>
      </w:r>
      <w:r>
        <w:rPr>
          <w:highlight w:val="none"/>
        </w:rPr>
        <w:fldChar w:fldCharType="end"/>
      </w:r>
      <w:r>
        <w:rPr>
          <w:rFonts w:hint="eastAsia" w:ascii="宋体" w:hAnsi="宋体" w:eastAsia="宋体" w:cs="宋体"/>
          <w:szCs w:val="24"/>
          <w:highlight w:val="none"/>
        </w:rPr>
        <w:fldChar w:fldCharType="end"/>
      </w:r>
    </w:p>
    <w:p w14:paraId="2E116B54">
      <w:pPr>
        <w:pStyle w:val="32"/>
        <w:tabs>
          <w:tab w:val="right" w:leader="dot" w:pos="9638"/>
        </w:tabs>
        <w:rPr>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_Toc10928 </w:instrText>
      </w:r>
      <w:r>
        <w:rPr>
          <w:rFonts w:hint="eastAsia" w:ascii="宋体" w:hAnsi="宋体" w:eastAsia="宋体" w:cs="宋体"/>
          <w:szCs w:val="24"/>
          <w:highlight w:val="none"/>
        </w:rPr>
        <w:fldChar w:fldCharType="separate"/>
      </w:r>
      <w:r>
        <w:rPr>
          <w:rFonts w:hint="eastAsia" w:ascii="宋体" w:hAnsi="宋体" w:eastAsia="宋体" w:cs="宋体"/>
          <w:bCs/>
          <w:highlight w:val="none"/>
        </w:rPr>
        <w:t>十</w:t>
      </w:r>
      <w:r>
        <w:rPr>
          <w:rFonts w:hint="eastAsia" w:ascii="宋体" w:hAnsi="宋体" w:eastAsia="宋体" w:cs="宋体"/>
          <w:bCs/>
          <w:highlight w:val="none"/>
          <w:lang w:val="en-US" w:eastAsia="zh-CN"/>
        </w:rPr>
        <w:t>四</w:t>
      </w:r>
      <w:r>
        <w:rPr>
          <w:rFonts w:hint="eastAsia" w:ascii="宋体" w:hAnsi="宋体" w:eastAsia="宋体" w:cs="宋体"/>
          <w:bCs/>
          <w:highlight w:val="none"/>
        </w:rPr>
        <w:t>、其他</w:t>
      </w:r>
      <w:r>
        <w:rPr>
          <w:highlight w:val="none"/>
        </w:rPr>
        <w:tab/>
      </w:r>
      <w:r>
        <w:rPr>
          <w:highlight w:val="none"/>
        </w:rPr>
        <w:fldChar w:fldCharType="begin"/>
      </w:r>
      <w:r>
        <w:rPr>
          <w:highlight w:val="none"/>
        </w:rPr>
        <w:instrText xml:space="preserve"> PAGEREF _Toc10928 \h </w:instrText>
      </w:r>
      <w:r>
        <w:rPr>
          <w:highlight w:val="none"/>
        </w:rPr>
        <w:fldChar w:fldCharType="separate"/>
      </w:r>
      <w:r>
        <w:rPr>
          <w:highlight w:val="none"/>
        </w:rPr>
        <w:t>69</w:t>
      </w:r>
      <w:r>
        <w:rPr>
          <w:highlight w:val="none"/>
        </w:rPr>
        <w:fldChar w:fldCharType="end"/>
      </w:r>
      <w:r>
        <w:rPr>
          <w:rFonts w:hint="eastAsia" w:ascii="宋体" w:hAnsi="宋体" w:eastAsia="宋体" w:cs="宋体"/>
          <w:szCs w:val="24"/>
          <w:highlight w:val="none"/>
        </w:rPr>
        <w:fldChar w:fldCharType="end"/>
      </w:r>
    </w:p>
    <w:p w14:paraId="3495A72F">
      <w:pPr>
        <w:spacing w:line="360" w:lineRule="auto"/>
        <w:jc w:val="center"/>
        <w:rPr>
          <w:rFonts w:ascii="宋体" w:hAnsi="宋体" w:eastAsia="宋体" w:cs="宋体"/>
          <w:szCs w:val="24"/>
          <w:highlight w:val="none"/>
        </w:rPr>
      </w:pPr>
      <w:r>
        <w:rPr>
          <w:rFonts w:hint="eastAsia" w:ascii="宋体" w:hAnsi="宋体" w:eastAsia="宋体" w:cs="宋体"/>
          <w:szCs w:val="24"/>
          <w:highlight w:val="none"/>
        </w:rPr>
        <w:fldChar w:fldCharType="end"/>
      </w:r>
    </w:p>
    <w:p w14:paraId="57B41CBB">
      <w:pPr>
        <w:spacing w:line="360" w:lineRule="auto"/>
        <w:jc w:val="center"/>
        <w:rPr>
          <w:rFonts w:ascii="宋体" w:hAnsi="宋体" w:eastAsia="宋体" w:cs="宋体"/>
          <w:b/>
          <w:bCs/>
          <w:sz w:val="36"/>
          <w:highlight w:val="none"/>
        </w:rPr>
        <w:sectPr>
          <w:footerReference r:id="rId3" w:type="default"/>
          <w:pgSz w:w="11906" w:h="16838"/>
          <w:pgMar w:top="1134" w:right="1134" w:bottom="1134" w:left="1134" w:header="709" w:footer="709" w:gutter="0"/>
          <w:pgNumType w:start="1"/>
          <w:cols w:space="1701" w:num="1"/>
          <w:docGrid w:linePitch="360" w:charSpace="0"/>
        </w:sectPr>
      </w:pPr>
    </w:p>
    <w:p w14:paraId="66FFE388">
      <w:pPr>
        <w:spacing w:line="360" w:lineRule="auto"/>
        <w:jc w:val="center"/>
        <w:outlineLvl w:val="0"/>
        <w:rPr>
          <w:rFonts w:ascii="宋体" w:hAnsi="宋体" w:eastAsia="宋体" w:cs="宋体"/>
          <w:b/>
          <w:bCs/>
          <w:highlight w:val="none"/>
        </w:rPr>
      </w:pPr>
      <w:bookmarkStart w:id="0" w:name="_Toc17042"/>
      <w:bookmarkStart w:id="1" w:name="_Toc9949"/>
      <w:bookmarkStart w:id="2" w:name="_Toc21169"/>
      <w:r>
        <w:rPr>
          <w:rFonts w:hint="eastAsia" w:ascii="宋体" w:hAnsi="宋体" w:eastAsia="宋体" w:cs="宋体"/>
          <w:b/>
          <w:bCs/>
          <w:sz w:val="36"/>
          <w:highlight w:val="none"/>
        </w:rPr>
        <w:t>第一章  招标公告</w:t>
      </w:r>
      <w:bookmarkEnd w:id="0"/>
      <w:bookmarkEnd w:id="1"/>
      <w:bookmarkEnd w:id="2"/>
    </w:p>
    <w:p w14:paraId="73958F5C">
      <w:pPr>
        <w:pBdr>
          <w:top w:val="none" w:color="000000" w:sz="0" w:space="0"/>
          <w:left w:val="none" w:color="000000" w:sz="0" w:space="0"/>
          <w:bottom w:val="none" w:color="000000" w:sz="0" w:space="0"/>
          <w:right w:val="none" w:color="000000" w:sz="0" w:space="0"/>
        </w:pBdr>
        <w:wordWrap w:val="0"/>
        <w:topLinePunct/>
        <w:spacing w:line="360" w:lineRule="auto"/>
        <w:ind w:firstLine="480" w:firstLineChars="200"/>
        <w:jc w:val="both"/>
        <w:rPr>
          <w:rFonts w:ascii="宋体" w:hAnsi="宋体" w:eastAsia="宋体" w:cs="宋体"/>
          <w:highlight w:val="none"/>
        </w:rPr>
      </w:pPr>
      <w:r>
        <w:rPr>
          <w:rFonts w:hint="eastAsia" w:ascii="宋体" w:hAnsi="宋体" w:eastAsia="宋体" w:cs="宋体"/>
          <w:sz w:val="24"/>
          <w:highlight w:val="none"/>
        </w:rPr>
        <w:t>受</w:t>
      </w:r>
      <w:r>
        <w:rPr>
          <w:rFonts w:hint="eastAsia" w:ascii="宋体" w:hAnsi="宋体" w:eastAsia="宋体" w:cs="宋体"/>
          <w:b/>
          <w:bCs/>
          <w:sz w:val="24"/>
          <w:highlight w:val="none"/>
        </w:rPr>
        <w:t>南京市公安局江宁分局</w:t>
      </w:r>
      <w:r>
        <w:rPr>
          <w:rFonts w:hint="eastAsia" w:ascii="宋体" w:hAnsi="宋体" w:eastAsia="宋体" w:cs="宋体"/>
          <w:sz w:val="24"/>
          <w:highlight w:val="none"/>
        </w:rPr>
        <w:t>（采购单位）委托，</w:t>
      </w:r>
      <w:r>
        <w:rPr>
          <w:rFonts w:hint="eastAsia" w:ascii="宋体" w:hAnsi="宋体" w:eastAsia="宋体" w:cs="宋体"/>
          <w:b/>
          <w:bCs/>
          <w:sz w:val="24"/>
          <w:highlight w:val="none"/>
        </w:rPr>
        <w:t>南京陵新项目管理有限公司</w:t>
      </w:r>
      <w:r>
        <w:rPr>
          <w:rFonts w:hint="eastAsia" w:ascii="宋体" w:hAnsi="宋体" w:eastAsia="宋体" w:cs="宋体"/>
          <w:sz w:val="24"/>
          <w:highlight w:val="none"/>
        </w:rPr>
        <w:t>（以下简称“采购代理机构”）就</w:t>
      </w:r>
      <w:r>
        <w:rPr>
          <w:rFonts w:hint="eastAsia" w:ascii="宋体" w:hAnsi="宋体" w:eastAsia="宋体" w:cs="宋体"/>
          <w:b/>
          <w:bCs/>
          <w:sz w:val="24"/>
          <w:highlight w:val="none"/>
          <w:lang w:eastAsia="zh-CN"/>
        </w:rPr>
        <w:t>南京市公安局江宁分局采购交警大队食堂和秦淮路机动中队食堂外包服务</w:t>
      </w:r>
      <w:r>
        <w:rPr>
          <w:rFonts w:hint="eastAsia" w:ascii="宋体" w:hAnsi="宋体" w:eastAsia="宋体" w:cs="宋体"/>
          <w:sz w:val="24"/>
          <w:highlight w:val="none"/>
        </w:rPr>
        <w:t>（项目名称）进行公开招标采购，欢迎符合条件的供应商投标。</w:t>
      </w:r>
    </w:p>
    <w:p w14:paraId="53E155D5">
      <w:pPr>
        <w:pStyle w:val="3"/>
        <w:pBdr>
          <w:top w:val="none" w:color="000000" w:sz="0" w:space="0"/>
          <w:left w:val="none" w:color="000000" w:sz="0" w:space="0"/>
          <w:bottom w:val="none" w:color="000000" w:sz="0" w:space="0"/>
          <w:right w:val="none" w:color="000000" w:sz="0" w:space="0"/>
        </w:pBdr>
        <w:spacing w:before="0" w:after="0" w:line="360" w:lineRule="auto"/>
        <w:jc w:val="both"/>
        <w:rPr>
          <w:rFonts w:ascii="宋体" w:hAnsi="宋体" w:eastAsia="宋体" w:cs="宋体"/>
          <w:b/>
          <w:bCs/>
          <w:sz w:val="30"/>
          <w:szCs w:val="30"/>
          <w:highlight w:val="none"/>
        </w:rPr>
      </w:pPr>
      <w:bookmarkStart w:id="3" w:name="_Toc32380"/>
      <w:bookmarkStart w:id="4" w:name="_Toc23034"/>
      <w:bookmarkStart w:id="5" w:name="_Toc16992"/>
      <w:bookmarkStart w:id="6" w:name="_Toc1084"/>
      <w:r>
        <w:rPr>
          <w:rFonts w:hint="eastAsia" w:ascii="宋体" w:hAnsi="宋体" w:eastAsia="宋体" w:cs="宋体"/>
          <w:b/>
          <w:bCs/>
          <w:sz w:val="30"/>
          <w:szCs w:val="30"/>
          <w:highlight w:val="none"/>
        </w:rPr>
        <w:t>一、项目基本情况</w:t>
      </w:r>
      <w:bookmarkEnd w:id="3"/>
      <w:bookmarkEnd w:id="4"/>
      <w:bookmarkEnd w:id="5"/>
      <w:bookmarkEnd w:id="6"/>
    </w:p>
    <w:p w14:paraId="740F65CE">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highlight w:val="none"/>
          <w:lang w:eastAsia="zh-CN"/>
        </w:rPr>
      </w:pPr>
      <w:r>
        <w:rPr>
          <w:rFonts w:hint="eastAsia" w:ascii="宋体" w:hAnsi="宋体" w:eastAsia="宋体" w:cs="宋体"/>
          <w:sz w:val="24"/>
          <w:highlight w:val="none"/>
        </w:rPr>
        <w:t>1、项目编号：</w:t>
      </w:r>
      <w:r>
        <w:rPr>
          <w:rFonts w:hint="eastAsia" w:ascii="宋体" w:hAnsi="宋体" w:eastAsia="宋体" w:cs="宋体"/>
          <w:sz w:val="24"/>
          <w:highlight w:val="none"/>
          <w:lang w:eastAsia="zh-CN"/>
        </w:rPr>
        <w:t>JSZC-320115-NJLX-G2026-0009</w:t>
      </w:r>
    </w:p>
    <w:p w14:paraId="77958A36">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highlight w:val="none"/>
          <w:lang w:eastAsia="zh-CN"/>
        </w:rPr>
      </w:pPr>
      <w:r>
        <w:rPr>
          <w:rFonts w:hint="eastAsia" w:ascii="宋体" w:hAnsi="宋体" w:eastAsia="宋体" w:cs="宋体"/>
          <w:sz w:val="24"/>
          <w:highlight w:val="none"/>
        </w:rPr>
        <w:t>2、项目</w:t>
      </w:r>
      <w:r>
        <w:rPr>
          <w:rFonts w:hint="eastAsia" w:ascii="宋体" w:hAnsi="宋体" w:eastAsia="宋体" w:cs="宋体"/>
          <w:sz w:val="24"/>
          <w:highlight w:val="none"/>
        </w:rPr>
        <w:t>名称：</w:t>
      </w:r>
      <w:r>
        <w:rPr>
          <w:rFonts w:hint="eastAsia" w:ascii="宋体" w:hAnsi="宋体" w:eastAsia="宋体" w:cs="宋体"/>
          <w:sz w:val="24"/>
          <w:highlight w:val="none"/>
          <w:lang w:eastAsia="zh-CN"/>
        </w:rPr>
        <w:t>南京市公安局江宁分局采购交警大队食堂和秦淮路机动中队食堂外包服务</w:t>
      </w:r>
    </w:p>
    <w:p w14:paraId="62CD1B3D">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sz w:val="24"/>
          <w:highlight w:val="none"/>
        </w:rPr>
      </w:pPr>
      <w:r>
        <w:rPr>
          <w:rFonts w:hint="eastAsia" w:ascii="宋体" w:hAnsi="宋体" w:eastAsia="宋体" w:cs="宋体"/>
          <w:sz w:val="24"/>
          <w:highlight w:val="none"/>
        </w:rPr>
        <w:t>3、预算金额：320万元</w:t>
      </w:r>
    </w:p>
    <w:p w14:paraId="7018ADBA">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 w:val="24"/>
          <w:highlight w:val="none"/>
          <w:lang w:eastAsia="zh-CN"/>
        </w:rPr>
      </w:pPr>
      <w:r>
        <w:rPr>
          <w:rFonts w:hint="eastAsia" w:ascii="宋体" w:hAnsi="宋体" w:eastAsia="宋体" w:cs="宋体"/>
          <w:sz w:val="24"/>
          <w:highlight w:val="none"/>
        </w:rPr>
        <w:t>4、最高限价：320万元</w:t>
      </w:r>
      <w:r>
        <w:rPr>
          <w:rFonts w:hint="eastAsia" w:ascii="宋体" w:hAnsi="宋体" w:eastAsia="宋体" w:cs="宋体"/>
          <w:sz w:val="24"/>
          <w:highlight w:val="none"/>
          <w:lang w:eastAsia="zh-CN"/>
        </w:rPr>
        <w:t>，</w:t>
      </w:r>
      <w:r>
        <w:rPr>
          <w:rFonts w:hint="eastAsia" w:ascii="宋体" w:hAnsi="宋体" w:eastAsia="宋体" w:cs="宋体"/>
          <w:sz w:val="24"/>
          <w:highlight w:val="none"/>
        </w:rPr>
        <w:t>最高限价</w:t>
      </w:r>
      <w:r>
        <w:rPr>
          <w:rFonts w:hint="eastAsia" w:ascii="宋体" w:hAnsi="宋体" w:eastAsia="宋体" w:cs="宋体"/>
          <w:sz w:val="24"/>
          <w:highlight w:val="none"/>
          <w:lang w:val="en-US" w:eastAsia="zh-CN"/>
        </w:rPr>
        <w:t>单价</w:t>
      </w:r>
      <w:r>
        <w:rPr>
          <w:rFonts w:hint="eastAsia" w:ascii="宋体" w:hAnsi="宋体" w:eastAsia="宋体" w:cs="宋体"/>
          <w:sz w:val="24"/>
          <w:highlight w:val="none"/>
        </w:rPr>
        <w:t>：</w:t>
      </w:r>
      <w:r>
        <w:rPr>
          <w:rFonts w:hint="eastAsia" w:ascii="宋体" w:hAnsi="宋体" w:eastAsia="宋体" w:cs="宋体"/>
          <w:sz w:val="24"/>
          <w:highlight w:val="none"/>
          <w:lang w:val="en-US" w:eastAsia="zh-CN"/>
        </w:rPr>
        <w:t>50.00</w:t>
      </w:r>
      <w:r>
        <w:rPr>
          <w:rFonts w:hint="eastAsia" w:ascii="宋体" w:hAnsi="宋体" w:eastAsia="宋体" w:cs="宋体"/>
          <w:sz w:val="24"/>
          <w:highlight w:val="none"/>
        </w:rPr>
        <w:t>元</w:t>
      </w:r>
    </w:p>
    <w:p w14:paraId="15AB4519">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ascii="宋体" w:hAnsi="宋体" w:eastAsia="宋体" w:cs="宋体"/>
          <w:highlight w:val="none"/>
        </w:rPr>
      </w:pPr>
      <w:r>
        <w:rPr>
          <w:rFonts w:hint="eastAsia" w:ascii="宋体" w:hAnsi="宋体" w:eastAsia="宋体" w:cs="宋体"/>
          <w:sz w:val="24"/>
          <w:highlight w:val="none"/>
        </w:rPr>
        <w:t>5、工作内容：食堂的经营管理，提供早餐、中餐、晚餐服务等，具体详见采购文件。项目地址为南京市江宁区临麒南路8号和南京市江宁区秦淮路18号。</w:t>
      </w:r>
    </w:p>
    <w:p w14:paraId="0345CCF0">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highlight w:val="none"/>
        </w:rPr>
      </w:pPr>
      <w:r>
        <w:rPr>
          <w:rFonts w:hint="eastAsia" w:ascii="宋体" w:hAnsi="宋体" w:eastAsia="宋体" w:cs="宋体"/>
          <w:sz w:val="24"/>
          <w:highlight w:val="none"/>
        </w:rPr>
        <w:t>6、合同履行期限：一年。</w:t>
      </w:r>
    </w:p>
    <w:p w14:paraId="6FB0C2B6">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highlight w:val="none"/>
        </w:rPr>
      </w:pPr>
      <w:r>
        <w:rPr>
          <w:rFonts w:hint="eastAsia" w:ascii="宋体" w:hAnsi="宋体" w:eastAsia="宋体" w:cs="宋体"/>
          <w:sz w:val="24"/>
          <w:highlight w:val="none"/>
        </w:rPr>
        <w:t>7、本项目不接受联合体投标。</w:t>
      </w:r>
    </w:p>
    <w:p w14:paraId="445D9158">
      <w:pPr>
        <w:pBdr>
          <w:top w:val="none" w:color="000000" w:sz="0" w:space="0"/>
          <w:left w:val="none" w:color="000000" w:sz="0" w:space="0"/>
          <w:bottom w:val="none" w:color="000000" w:sz="0" w:space="0"/>
          <w:right w:val="none" w:color="000000" w:sz="0" w:space="0"/>
        </w:pBdr>
        <w:spacing w:line="360" w:lineRule="auto"/>
        <w:ind w:firstLine="482"/>
        <w:jc w:val="both"/>
        <w:rPr>
          <w:rFonts w:ascii="宋体" w:hAnsi="宋体" w:eastAsia="宋体" w:cs="宋体"/>
          <w:sz w:val="24"/>
          <w:highlight w:val="none"/>
        </w:rPr>
      </w:pPr>
      <w:r>
        <w:rPr>
          <w:rFonts w:hint="eastAsia" w:ascii="宋体" w:hAnsi="宋体" w:eastAsia="宋体" w:cs="宋体"/>
          <w:sz w:val="24"/>
          <w:highlight w:val="none"/>
        </w:rPr>
        <w:t>8、本项目不接受进口产品。</w:t>
      </w:r>
    </w:p>
    <w:p w14:paraId="54EEDC75">
      <w:pPr>
        <w:pStyle w:val="36"/>
        <w:ind w:firstLine="480"/>
        <w:rPr>
          <w:rFonts w:cs="宋体"/>
          <w:sz w:val="24"/>
          <w:szCs w:val="22"/>
          <w:highlight w:val="none"/>
        </w:rPr>
      </w:pPr>
      <w:r>
        <w:rPr>
          <w:rFonts w:hint="eastAsia" w:cs="宋体"/>
          <w:sz w:val="24"/>
          <w:szCs w:val="22"/>
          <w:highlight w:val="none"/>
        </w:rPr>
        <w:t>9、本项目不允许分包。</w:t>
      </w:r>
    </w:p>
    <w:p w14:paraId="5E750D18">
      <w:pPr>
        <w:pStyle w:val="3"/>
        <w:pBdr>
          <w:top w:val="none" w:color="000000" w:sz="0" w:space="0"/>
          <w:left w:val="none" w:color="000000" w:sz="0" w:space="0"/>
          <w:bottom w:val="none" w:color="000000" w:sz="0" w:space="0"/>
          <w:right w:val="none" w:color="000000" w:sz="0" w:space="0"/>
        </w:pBdr>
        <w:spacing w:before="0" w:after="0" w:line="360" w:lineRule="auto"/>
        <w:jc w:val="both"/>
        <w:rPr>
          <w:rFonts w:ascii="宋体" w:hAnsi="宋体" w:eastAsia="宋体" w:cs="宋体"/>
          <w:b/>
          <w:bCs/>
          <w:sz w:val="30"/>
          <w:szCs w:val="30"/>
          <w:highlight w:val="none"/>
        </w:rPr>
      </w:pPr>
      <w:bookmarkStart w:id="7" w:name="_Toc15372"/>
      <w:bookmarkStart w:id="8" w:name="_Toc26238"/>
      <w:bookmarkStart w:id="9" w:name="_Toc19676"/>
      <w:bookmarkStart w:id="10" w:name="_Toc27866"/>
      <w:r>
        <w:rPr>
          <w:rFonts w:hint="eastAsia" w:ascii="宋体" w:hAnsi="宋体" w:eastAsia="宋体" w:cs="宋体"/>
          <w:b/>
          <w:bCs/>
          <w:sz w:val="30"/>
          <w:szCs w:val="30"/>
          <w:highlight w:val="none"/>
        </w:rPr>
        <w:t>二、申请人的资格要求</w:t>
      </w:r>
      <w:bookmarkEnd w:id="7"/>
      <w:bookmarkEnd w:id="8"/>
      <w:bookmarkEnd w:id="9"/>
      <w:bookmarkEnd w:id="10"/>
    </w:p>
    <w:p w14:paraId="1A279851">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（一）通用资格要求</w:t>
      </w:r>
    </w:p>
    <w:p w14:paraId="1A3D60D5">
      <w:pPr>
        <w:widowControl w:val="0"/>
        <w:adjustRightInd w:val="0"/>
        <w:snapToGrid w:val="0"/>
        <w:spacing w:line="360" w:lineRule="auto"/>
        <w:ind w:firstLine="480"/>
        <w:rPr>
          <w:rFonts w:hint="eastAsia" w:ascii="宋体" w:hAnsi="宋体" w:eastAsia="宋体" w:cs="宋体"/>
          <w:sz w:val="24"/>
          <w:highlight w:val="none"/>
          <w:lang w:val="zh-CN"/>
        </w:rPr>
      </w:pPr>
      <w:r>
        <w:rPr>
          <w:rFonts w:hint="eastAsia" w:ascii="宋体" w:hAnsi="宋体" w:eastAsia="宋体" w:cs="宋体"/>
          <w:sz w:val="24"/>
          <w:highlight w:val="none"/>
          <w:lang w:val="zh-CN"/>
        </w:rPr>
        <w:t>1、满足《中华人民共和国政府采购法》第二十二条规定：</w:t>
      </w:r>
    </w:p>
    <w:p w14:paraId="390712B3">
      <w:pPr>
        <w:widowControl w:val="0"/>
        <w:adjustRightInd w:val="0"/>
        <w:snapToGrid w:val="0"/>
        <w:spacing w:line="360" w:lineRule="auto"/>
        <w:ind w:firstLine="480"/>
        <w:rPr>
          <w:rFonts w:hint="eastAsia" w:ascii="宋体" w:hAnsi="宋体" w:eastAsia="宋体" w:cs="宋体"/>
          <w:sz w:val="24"/>
          <w:highlight w:val="none"/>
          <w:lang w:val="zh-CN"/>
        </w:rPr>
      </w:pPr>
      <w:r>
        <w:rPr>
          <w:rFonts w:hint="eastAsia" w:ascii="宋体" w:hAnsi="宋体" w:eastAsia="宋体" w:cs="宋体"/>
          <w:sz w:val="24"/>
          <w:highlight w:val="none"/>
          <w:lang w:val="zh-CN"/>
        </w:rPr>
        <w:t>（1）具有独立承担民事责任的能力（提供法人或者其他组织的营业执照，自然人的身份证明，复印件加盖公章）；</w:t>
      </w:r>
    </w:p>
    <w:p w14:paraId="2386CCF4">
      <w:pPr>
        <w:widowControl w:val="0"/>
        <w:adjustRightInd w:val="0"/>
        <w:snapToGrid w:val="0"/>
        <w:spacing w:line="360" w:lineRule="auto"/>
        <w:ind w:firstLine="480"/>
        <w:rPr>
          <w:rFonts w:hint="eastAsia" w:ascii="宋体" w:hAnsi="宋体" w:eastAsia="宋体" w:cs="宋体"/>
          <w:sz w:val="24"/>
          <w:highlight w:val="none"/>
          <w:lang w:val="zh-CN"/>
        </w:rPr>
      </w:pPr>
      <w:r>
        <w:rPr>
          <w:rFonts w:hint="eastAsia" w:ascii="宋体" w:hAnsi="宋体" w:eastAsia="宋体" w:cs="宋体"/>
          <w:sz w:val="24"/>
          <w:highlight w:val="none"/>
          <w:lang w:val="zh-CN"/>
        </w:rPr>
        <w:t>（2）具有良好的商业信誉和健全的财务会计制度（提供参加本次采购活动前半年内（至少一个月）的会计报表或2024年度经会计师事务所审计的审计报告，复印件加盖公章）；</w:t>
      </w:r>
    </w:p>
    <w:p w14:paraId="1B65A60C">
      <w:pPr>
        <w:widowControl w:val="0"/>
        <w:adjustRightInd w:val="0"/>
        <w:snapToGrid w:val="0"/>
        <w:spacing w:line="360" w:lineRule="auto"/>
        <w:ind w:firstLine="480"/>
        <w:rPr>
          <w:rFonts w:hint="eastAsia" w:ascii="宋体" w:hAnsi="宋体" w:eastAsia="宋体" w:cs="宋体"/>
          <w:sz w:val="24"/>
          <w:highlight w:val="none"/>
          <w:lang w:val="zh-CN"/>
        </w:rPr>
      </w:pPr>
      <w:r>
        <w:rPr>
          <w:rFonts w:hint="eastAsia" w:ascii="宋体" w:hAnsi="宋体" w:eastAsia="宋体" w:cs="宋体"/>
          <w:sz w:val="24"/>
          <w:highlight w:val="none"/>
          <w:lang w:val="zh-CN"/>
        </w:rPr>
        <w:t>（3）具备履行合同所必需的设备和专业技术能力的书面声明（根据项目需求提供履行合同所必需的设备和专业技术能力的书面声明及证明材料，复印件加盖公章）；</w:t>
      </w:r>
    </w:p>
    <w:p w14:paraId="2EE7DF0E">
      <w:pPr>
        <w:widowControl w:val="0"/>
        <w:adjustRightInd w:val="0"/>
        <w:snapToGrid w:val="0"/>
        <w:spacing w:line="360" w:lineRule="auto"/>
        <w:ind w:firstLine="480"/>
        <w:rPr>
          <w:rFonts w:hint="eastAsia" w:ascii="宋体" w:hAnsi="宋体" w:eastAsia="宋体" w:cs="宋体"/>
          <w:sz w:val="24"/>
          <w:highlight w:val="none"/>
          <w:lang w:val="zh-CN"/>
        </w:rPr>
      </w:pPr>
      <w:r>
        <w:rPr>
          <w:rFonts w:hint="eastAsia" w:ascii="宋体" w:hAnsi="宋体" w:eastAsia="宋体" w:cs="宋体"/>
          <w:sz w:val="24"/>
          <w:highlight w:val="none"/>
          <w:lang w:val="zh-CN"/>
        </w:rPr>
        <w:t>（4）有依法缴纳税收和社会保障资金的良好记录（提供参加本次采购活动前半年内（至少一个月）依法缴纳税收和社会保障资金的相关资料，复印件加盖公章）；</w:t>
      </w:r>
    </w:p>
    <w:p w14:paraId="347209EA">
      <w:pPr>
        <w:keepNext w:val="0"/>
        <w:keepLines w:val="0"/>
        <w:pageBreakBefore w:val="0"/>
        <w:widowControl w:val="0"/>
        <w:shd w:val="clear" w:color="auto" w:fill="auto"/>
        <w:spacing w:line="360" w:lineRule="auto"/>
        <w:ind w:left="0" w:firstLine="480"/>
        <w:rPr>
          <w:rFonts w:hint="eastAsia" w:ascii="宋体" w:hAnsi="宋体" w:eastAsia="宋体" w:cs="宋体"/>
          <w:sz w:val="24"/>
          <w:highlight w:val="none"/>
          <w:lang w:val="zh-CN"/>
        </w:rPr>
      </w:pPr>
      <w:r>
        <w:rPr>
          <w:rFonts w:hint="eastAsia" w:ascii="宋体" w:hAnsi="宋体" w:eastAsia="宋体" w:cs="宋体"/>
          <w:sz w:val="24"/>
          <w:highlight w:val="none"/>
          <w:lang w:val="zh-CN"/>
        </w:rPr>
        <w:t>（5）参加采购活动前三年内，在经营活动中没有重大违法记录（提供参加本次采购活动前 3 年内在经营活动中没有重大违法记录的书面声明的原件，加盖公章，格式见后附件）；</w:t>
      </w:r>
    </w:p>
    <w:p w14:paraId="58C78B02">
      <w:pPr>
        <w:widowControl w:val="0"/>
        <w:shd w:val="clear" w:color="auto" w:fill="auto"/>
        <w:adjustRightInd/>
        <w:snapToGrid/>
        <w:spacing w:line="360" w:lineRule="auto"/>
        <w:ind w:firstLine="480"/>
        <w:rPr>
          <w:rFonts w:ascii="宋体" w:hAnsi="宋体" w:eastAsia="宋体" w:cs="宋体"/>
          <w:sz w:val="24"/>
          <w:highlight w:val="none"/>
          <w:lang w:val="zh-CN"/>
        </w:rPr>
      </w:pPr>
      <w:r>
        <w:rPr>
          <w:rFonts w:hint="eastAsia" w:ascii="宋体" w:hAnsi="宋体" w:eastAsia="宋体" w:cs="宋体"/>
          <w:color w:val="000000"/>
          <w:sz w:val="24"/>
          <w:szCs w:val="24"/>
          <w:highlight w:val="none"/>
          <w:lang w:val="zh-CN"/>
        </w:rPr>
        <w:t>（6）法律、行政法规规定的其他条件。</w:t>
      </w:r>
    </w:p>
    <w:p w14:paraId="6329453B">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2、未被“信用中国”网站列入失信被执行人、重大税收违法失信主体名单、政</w:t>
      </w:r>
      <w:r>
        <w:rPr>
          <w:rFonts w:hint="eastAsia" w:ascii="宋体" w:hAnsi="宋体" w:eastAsia="宋体" w:cs="宋体"/>
          <w:sz w:val="24"/>
          <w:highlight w:val="none"/>
        </w:rPr>
        <w:t>府采购严重违法失信行为记录名单（提供网页截图）。</w:t>
      </w:r>
    </w:p>
    <w:p w14:paraId="0C33031D">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3、提供南京市政府采购供应商信用承诺书，法定代表人签字并加盖单位公章</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格式见第六章</w:t>
      </w:r>
      <w:r>
        <w:rPr>
          <w:rFonts w:hint="eastAsia" w:ascii="宋体" w:hAnsi="宋体" w:eastAsia="宋体" w:cs="宋体"/>
          <w:sz w:val="24"/>
          <w:highlight w:val="none"/>
          <w:lang w:eastAsia="zh-CN"/>
        </w:rPr>
        <w:t>）</w:t>
      </w:r>
      <w:r>
        <w:rPr>
          <w:rFonts w:hint="eastAsia" w:ascii="宋体" w:hAnsi="宋体" w:eastAsia="宋体" w:cs="宋体"/>
          <w:sz w:val="24"/>
          <w:highlight w:val="none"/>
        </w:rPr>
        <w:t>。</w:t>
      </w:r>
    </w:p>
    <w:p w14:paraId="65140100">
      <w:pPr>
        <w:spacing w:line="360" w:lineRule="auto"/>
        <w:ind w:firstLine="480"/>
        <w:rPr>
          <w:rFonts w:ascii="宋体" w:hAnsi="宋体" w:eastAsia="宋体" w:cs="宋体"/>
          <w:sz w:val="24"/>
          <w:highlight w:val="none"/>
        </w:rPr>
      </w:pPr>
      <w:r>
        <w:rPr>
          <w:rFonts w:hint="eastAsia" w:ascii="宋体" w:hAnsi="宋体" w:eastAsia="宋体" w:cs="宋体"/>
          <w:sz w:val="24"/>
          <w:highlight w:val="none"/>
        </w:rPr>
        <w:t>（二）</w:t>
      </w:r>
      <w:r>
        <w:rPr>
          <w:rFonts w:hint="eastAsia" w:ascii="宋体" w:hAnsi="宋体" w:eastAsia="宋体" w:cs="宋体"/>
          <w:sz w:val="24"/>
          <w:highlight w:val="none"/>
          <w:lang w:val="zh-CN"/>
        </w:rPr>
        <w:t>落实政府采购政策需满足的资格要求：</w:t>
      </w:r>
      <w:r>
        <w:rPr>
          <w:rFonts w:hint="eastAsia" w:ascii="宋体" w:hAnsi="宋体" w:eastAsia="宋体" w:cs="宋体"/>
          <w:sz w:val="24"/>
          <w:highlight w:val="none"/>
          <w:lang w:val="zh-CN"/>
        </w:rPr>
        <w:t>本项目专门面向中小企业，供应商须为中小企业（残疾人福利性单位、监狱企业视同中小企业）。</w:t>
      </w:r>
    </w:p>
    <w:p w14:paraId="0EE444A0">
      <w:pPr>
        <w:spacing w:line="360" w:lineRule="auto"/>
        <w:ind w:firstLine="480"/>
        <w:rPr>
          <w:rFonts w:ascii="宋体" w:hAnsi="宋体" w:eastAsia="宋体" w:cs="宋体"/>
          <w:b/>
          <w:bCs/>
          <w:sz w:val="24"/>
          <w:highlight w:val="none"/>
        </w:rPr>
      </w:pPr>
      <w:r>
        <w:rPr>
          <w:rFonts w:hint="eastAsia" w:ascii="宋体" w:hAnsi="宋体" w:eastAsia="宋体" w:cs="宋体"/>
          <w:b/>
          <w:bCs/>
          <w:sz w:val="24"/>
          <w:highlight w:val="none"/>
        </w:rPr>
        <w:t>（三）本项目的特定资格要求：</w:t>
      </w:r>
    </w:p>
    <w:p w14:paraId="74EEE32E">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sz w:val="24"/>
          <w:highlight w:val="none"/>
        </w:rPr>
      </w:pPr>
      <w:r>
        <w:rPr>
          <w:rFonts w:hint="eastAsia" w:ascii="宋体" w:hAnsi="宋体" w:eastAsia="宋体" w:cs="宋体"/>
          <w:b w:val="0"/>
          <w:bCs w:val="0"/>
          <w:sz w:val="24"/>
          <w:highlight w:val="none"/>
        </w:rPr>
        <w:t>1、供应商具有有效期内的餐饮服务许可证或食品经营许可证（上传证书原件扫描件）；</w:t>
      </w:r>
    </w:p>
    <w:p w14:paraId="1B9758AD">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sz w:val="24"/>
          <w:highlight w:val="none"/>
        </w:rPr>
      </w:pPr>
      <w:r>
        <w:rPr>
          <w:rFonts w:hint="eastAsia" w:ascii="宋体" w:hAnsi="宋体" w:eastAsia="宋体" w:cs="宋体"/>
          <w:sz w:val="24"/>
          <w:highlight w:val="none"/>
        </w:rPr>
        <w:t>2、近3年经营期内没有发生消防事故、生产安全事故、食品安全事故、人身伤亡事故和群体性罢餐、经济纠纷等影响社会和谐稳定事件的无事故声明（提供书面声明，格式自拟并加盖公章）。</w:t>
      </w:r>
    </w:p>
    <w:p w14:paraId="67F21B90">
      <w:pPr>
        <w:pStyle w:val="3"/>
        <w:pBdr>
          <w:top w:val="none" w:color="000000" w:sz="0" w:space="0"/>
          <w:left w:val="none" w:color="000000" w:sz="0" w:space="0"/>
          <w:bottom w:val="none" w:color="000000" w:sz="0" w:space="0"/>
          <w:right w:val="none" w:color="000000" w:sz="0" w:space="0"/>
        </w:pBdr>
        <w:spacing w:before="0" w:after="0" w:line="360" w:lineRule="auto"/>
        <w:jc w:val="both"/>
        <w:rPr>
          <w:rFonts w:ascii="宋体" w:hAnsi="宋体" w:eastAsia="宋体" w:cs="宋体"/>
          <w:b/>
          <w:bCs/>
          <w:sz w:val="30"/>
          <w:szCs w:val="30"/>
          <w:highlight w:val="none"/>
        </w:rPr>
      </w:pPr>
      <w:bookmarkStart w:id="11" w:name="_Toc15362"/>
      <w:bookmarkStart w:id="12" w:name="_Toc4366"/>
      <w:bookmarkStart w:id="13" w:name="_Toc30294"/>
      <w:bookmarkStart w:id="14" w:name="_Toc22031"/>
      <w:r>
        <w:rPr>
          <w:rFonts w:hint="eastAsia" w:ascii="宋体" w:hAnsi="宋体" w:eastAsia="宋体" w:cs="宋体"/>
          <w:b/>
          <w:bCs/>
          <w:sz w:val="30"/>
          <w:szCs w:val="30"/>
          <w:highlight w:val="none"/>
        </w:rPr>
        <w:t>三、获取招标文件</w:t>
      </w:r>
      <w:bookmarkEnd w:id="11"/>
      <w:bookmarkEnd w:id="12"/>
      <w:bookmarkEnd w:id="13"/>
      <w:bookmarkEnd w:id="14"/>
    </w:p>
    <w:p w14:paraId="511D5D4A">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highlight w:val="none"/>
        </w:rPr>
      </w:pPr>
      <w:r>
        <w:rPr>
          <w:rFonts w:hint="eastAsia" w:ascii="宋体" w:hAnsi="宋体" w:eastAsia="宋体" w:cs="宋体"/>
          <w:sz w:val="24"/>
          <w:highlight w:val="none"/>
        </w:rPr>
        <w:t>1、时间：</w:t>
      </w:r>
      <w:r>
        <w:rPr>
          <w:rFonts w:hint="eastAsia" w:ascii="宋体" w:hAnsi="宋体" w:cs="宋体"/>
          <w:sz w:val="24"/>
          <w:szCs w:val="24"/>
          <w:highlight w:val="none"/>
        </w:rPr>
        <w:t>自招标文件公告发布之日起</w:t>
      </w:r>
      <w:r>
        <w:rPr>
          <w:rFonts w:hint="eastAsia" w:ascii="宋体" w:hAnsi="宋体" w:eastAsia="宋体" w:cs="宋体"/>
          <w:sz w:val="24"/>
          <w:highlight w:val="none"/>
        </w:rPr>
        <w:t>。</w:t>
      </w:r>
    </w:p>
    <w:p w14:paraId="34D5E396">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highlight w:val="none"/>
        </w:rPr>
      </w:pPr>
      <w:r>
        <w:rPr>
          <w:rFonts w:hint="eastAsia" w:ascii="宋体" w:hAnsi="宋体" w:eastAsia="宋体" w:cs="宋体"/>
          <w:sz w:val="24"/>
          <w:highlight w:val="none"/>
        </w:rPr>
        <w:t>2、方式：</w:t>
      </w:r>
      <w:r>
        <w:rPr>
          <w:rFonts w:hint="eastAsia" w:ascii="宋体" w:hAnsi="宋体" w:cs="宋体"/>
          <w:sz w:val="24"/>
          <w:szCs w:val="24"/>
          <w:highlight w:val="none"/>
        </w:rPr>
        <w:t>在“江苏政府采购网”免费下载</w:t>
      </w:r>
      <w:r>
        <w:rPr>
          <w:rFonts w:hint="eastAsia" w:ascii="宋体" w:hAnsi="宋体" w:eastAsia="宋体" w:cs="宋体"/>
          <w:sz w:val="24"/>
          <w:highlight w:val="none"/>
        </w:rPr>
        <w:t>。</w:t>
      </w:r>
    </w:p>
    <w:p w14:paraId="5A2A2B69">
      <w:pPr>
        <w:widowControl w:val="0"/>
        <w:tabs>
          <w:tab w:val="left" w:pos="0"/>
          <w:tab w:val="left" w:pos="360"/>
          <w:tab w:val="left" w:pos="540"/>
        </w:tabs>
        <w:spacing w:line="360" w:lineRule="auto"/>
        <w:jc w:val="both"/>
        <w:outlineLvl w:val="1"/>
        <w:rPr>
          <w:rFonts w:ascii="宋体" w:hAnsi="宋体" w:eastAsia="宋体" w:cs="宋体"/>
          <w:b/>
          <w:bCs/>
          <w:sz w:val="30"/>
          <w:szCs w:val="30"/>
          <w:highlight w:val="none"/>
        </w:rPr>
      </w:pPr>
      <w:bookmarkStart w:id="15" w:name="_Toc14186"/>
      <w:bookmarkStart w:id="16" w:name="_Toc31652"/>
      <w:bookmarkStart w:id="17" w:name="_Toc11629"/>
      <w:bookmarkStart w:id="18" w:name="_Toc20964"/>
      <w:r>
        <w:rPr>
          <w:rFonts w:hint="eastAsia" w:ascii="宋体" w:hAnsi="宋体" w:eastAsia="宋体" w:cs="宋体"/>
          <w:b/>
          <w:bCs/>
          <w:sz w:val="30"/>
          <w:szCs w:val="30"/>
          <w:highlight w:val="none"/>
        </w:rPr>
        <w:t>四、提交投标文件截止时间、开标时间、地点</w:t>
      </w:r>
      <w:bookmarkEnd w:id="15"/>
      <w:bookmarkEnd w:id="16"/>
      <w:bookmarkEnd w:id="17"/>
      <w:bookmarkEnd w:id="18"/>
    </w:p>
    <w:p w14:paraId="79C64DAE">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sz w:val="24"/>
          <w:highlight w:val="none"/>
        </w:rPr>
      </w:pPr>
      <w:r>
        <w:rPr>
          <w:rFonts w:hint="eastAsia" w:ascii="宋体" w:hAnsi="宋体" w:eastAsia="宋体" w:cs="宋体"/>
          <w:sz w:val="24"/>
          <w:highlight w:val="none"/>
        </w:rPr>
        <w:t>1、</w:t>
      </w:r>
      <w:r>
        <w:rPr>
          <w:rFonts w:hint="eastAsia" w:ascii="宋体" w:hAnsi="宋体" w:cs="宋体"/>
          <w:sz w:val="24"/>
          <w:szCs w:val="24"/>
          <w:highlight w:val="none"/>
        </w:rPr>
        <w:t>提交投标文件截止时间、开标时间</w:t>
      </w:r>
      <w:r>
        <w:rPr>
          <w:rFonts w:hint="eastAsia" w:ascii="宋体" w:hAnsi="宋体" w:eastAsia="宋体" w:cs="宋体"/>
          <w:sz w:val="24"/>
          <w:highlight w:val="none"/>
        </w:rPr>
        <w:t>：2026年**月**日09点30分（北京时间）。</w:t>
      </w:r>
    </w:p>
    <w:p w14:paraId="3C81034D">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bCs/>
          <w:szCs w:val="21"/>
          <w:highlight w:val="none"/>
        </w:rPr>
      </w:pPr>
      <w:r>
        <w:rPr>
          <w:rFonts w:hint="eastAsia" w:ascii="宋体" w:hAnsi="宋体" w:eastAsia="宋体" w:cs="宋体"/>
          <w:sz w:val="24"/>
          <w:highlight w:val="none"/>
        </w:rPr>
        <w:t>2、地点：江苏省政府采购交易系统（以下简称“苏采云系统”）网上开标大厅。</w:t>
      </w:r>
    </w:p>
    <w:p w14:paraId="36F59C00">
      <w:pPr>
        <w:pStyle w:val="3"/>
        <w:pBdr>
          <w:top w:val="none" w:color="000000" w:sz="0" w:space="0"/>
          <w:left w:val="none" w:color="000000" w:sz="0" w:space="0"/>
          <w:bottom w:val="none" w:color="000000" w:sz="0" w:space="0"/>
          <w:right w:val="none" w:color="000000" w:sz="0" w:space="0"/>
        </w:pBdr>
        <w:wordWrap w:val="0"/>
        <w:topLinePunct/>
        <w:spacing w:before="0" w:after="0" w:line="360" w:lineRule="auto"/>
        <w:jc w:val="both"/>
        <w:rPr>
          <w:rFonts w:ascii="宋体" w:hAnsi="宋体" w:eastAsia="宋体" w:cs="宋体"/>
          <w:b/>
          <w:bCs/>
          <w:sz w:val="30"/>
          <w:szCs w:val="30"/>
          <w:highlight w:val="none"/>
        </w:rPr>
      </w:pPr>
      <w:bookmarkStart w:id="19" w:name="_Toc30235"/>
      <w:bookmarkStart w:id="20" w:name="_Toc810"/>
      <w:bookmarkStart w:id="21" w:name="_Toc20957"/>
      <w:bookmarkStart w:id="22" w:name="_Toc7841"/>
      <w:r>
        <w:rPr>
          <w:rFonts w:hint="eastAsia" w:ascii="宋体" w:hAnsi="宋体" w:eastAsia="宋体" w:cs="宋体"/>
          <w:b/>
          <w:bCs/>
          <w:sz w:val="30"/>
          <w:szCs w:val="30"/>
          <w:highlight w:val="none"/>
        </w:rPr>
        <w:t>五、公告期限</w:t>
      </w:r>
      <w:bookmarkEnd w:id="19"/>
      <w:bookmarkEnd w:id="20"/>
      <w:bookmarkEnd w:id="21"/>
      <w:bookmarkEnd w:id="22"/>
    </w:p>
    <w:p w14:paraId="3D49CB55">
      <w:pPr>
        <w:pBdr>
          <w:top w:val="none" w:color="000000" w:sz="0" w:space="0"/>
          <w:left w:val="none" w:color="000000" w:sz="0" w:space="0"/>
          <w:bottom w:val="none" w:color="000000" w:sz="0" w:space="0"/>
          <w:right w:val="none" w:color="000000" w:sz="0" w:space="0"/>
        </w:pBdr>
        <w:wordWrap w:val="0"/>
        <w:topLinePunct/>
        <w:spacing w:line="360" w:lineRule="auto"/>
        <w:ind w:firstLine="482"/>
        <w:jc w:val="both"/>
        <w:rPr>
          <w:rFonts w:ascii="宋体" w:hAnsi="宋体" w:eastAsia="宋体" w:cs="宋体"/>
          <w:highlight w:val="none"/>
        </w:rPr>
      </w:pPr>
      <w:r>
        <w:rPr>
          <w:rFonts w:hint="eastAsia" w:ascii="宋体" w:hAnsi="宋体" w:eastAsia="宋体" w:cs="宋体"/>
          <w:sz w:val="24"/>
          <w:highlight w:val="none"/>
        </w:rPr>
        <w:t>自本公告发布之日起5个工作日。</w:t>
      </w:r>
    </w:p>
    <w:p w14:paraId="11B0EB6D">
      <w:pPr>
        <w:pStyle w:val="3"/>
        <w:pBdr>
          <w:top w:val="none" w:color="000000" w:sz="0" w:space="0"/>
          <w:left w:val="none" w:color="000000" w:sz="0" w:space="0"/>
          <w:bottom w:val="none" w:color="000000" w:sz="0" w:space="0"/>
          <w:right w:val="none" w:color="000000" w:sz="0" w:space="0"/>
        </w:pBdr>
        <w:spacing w:before="0" w:after="0" w:line="360" w:lineRule="auto"/>
        <w:jc w:val="both"/>
        <w:rPr>
          <w:rFonts w:ascii="宋体" w:hAnsi="宋体" w:eastAsia="宋体" w:cs="宋体"/>
          <w:sz w:val="30"/>
          <w:szCs w:val="30"/>
          <w:highlight w:val="none"/>
        </w:rPr>
      </w:pPr>
      <w:bookmarkStart w:id="23" w:name="_Toc17524"/>
      <w:bookmarkStart w:id="24" w:name="_Toc8420"/>
      <w:bookmarkStart w:id="25" w:name="_Toc13455"/>
      <w:bookmarkStart w:id="26" w:name="_Toc18443"/>
      <w:r>
        <w:rPr>
          <w:rFonts w:hint="eastAsia" w:ascii="宋体" w:hAnsi="宋体" w:eastAsia="宋体" w:cs="宋体"/>
          <w:b/>
          <w:bCs/>
          <w:sz w:val="30"/>
          <w:szCs w:val="30"/>
          <w:highlight w:val="none"/>
        </w:rPr>
        <w:t>六、其他事宜</w:t>
      </w:r>
      <w:bookmarkEnd w:id="23"/>
      <w:bookmarkEnd w:id="24"/>
      <w:bookmarkEnd w:id="25"/>
      <w:bookmarkEnd w:id="26"/>
    </w:p>
    <w:p w14:paraId="0BC5F839">
      <w:pPr>
        <w:tabs>
          <w:tab w:val="left" w:pos="900"/>
        </w:tabs>
        <w:spacing w:line="360" w:lineRule="auto"/>
        <w:ind w:firstLine="480"/>
        <w:rPr>
          <w:rFonts w:ascii="宋体" w:hAnsi="宋体"/>
          <w:bCs/>
          <w:sz w:val="24"/>
          <w:szCs w:val="24"/>
          <w:highlight w:val="none"/>
        </w:rPr>
      </w:pPr>
      <w:r>
        <w:rPr>
          <w:rFonts w:hint="eastAsia" w:ascii="宋体" w:hAnsi="宋体" w:cs="宋体"/>
          <w:sz w:val="24"/>
          <w:szCs w:val="24"/>
          <w:highlight w:val="none"/>
        </w:rPr>
        <w:t>1、</w:t>
      </w:r>
      <w:r>
        <w:rPr>
          <w:rFonts w:hint="eastAsia" w:ascii="宋体" w:hAnsi="宋体"/>
          <w:bCs/>
          <w:sz w:val="24"/>
          <w:szCs w:val="24"/>
          <w:highlight w:val="none"/>
        </w:rPr>
        <w:t>本次招标不收取投标保证金。</w:t>
      </w:r>
    </w:p>
    <w:p w14:paraId="04E151A0">
      <w:pPr>
        <w:tabs>
          <w:tab w:val="left" w:pos="900"/>
        </w:tabs>
        <w:spacing w:line="360" w:lineRule="auto"/>
        <w:ind w:firstLine="480"/>
        <w:rPr>
          <w:rFonts w:ascii="宋体" w:hAnsi="宋体" w:cs="宋体"/>
          <w:sz w:val="24"/>
          <w:szCs w:val="24"/>
          <w:highlight w:val="none"/>
        </w:rPr>
      </w:pPr>
      <w:r>
        <w:rPr>
          <w:rFonts w:hint="eastAsia" w:ascii="宋体" w:hAnsi="宋体"/>
          <w:sz w:val="24"/>
          <w:szCs w:val="24"/>
          <w:highlight w:val="none"/>
        </w:rPr>
        <w:t>2、</w:t>
      </w:r>
      <w:r>
        <w:rPr>
          <w:rFonts w:hint="eastAsia" w:ascii="宋体" w:hAnsi="宋体" w:cs="宋体"/>
          <w:sz w:val="24"/>
          <w:szCs w:val="24"/>
          <w:highlight w:val="none"/>
        </w:rPr>
        <w:t>本项目不组织</w:t>
      </w:r>
      <w:r>
        <w:rPr>
          <w:rFonts w:hint="eastAsia" w:ascii="宋体" w:hAnsi="宋体"/>
          <w:sz w:val="24"/>
          <w:szCs w:val="24"/>
          <w:highlight w:val="none"/>
        </w:rPr>
        <w:t>勘察及答疑</w:t>
      </w:r>
      <w:r>
        <w:rPr>
          <w:rFonts w:hint="eastAsia" w:ascii="宋体" w:hAnsi="宋体" w:cs="宋体"/>
          <w:sz w:val="24"/>
          <w:szCs w:val="24"/>
          <w:highlight w:val="none"/>
        </w:rPr>
        <w:t xml:space="preserve">，供应商如对采购需求有疑问，请咨询采购单位联系人。 </w:t>
      </w:r>
    </w:p>
    <w:p w14:paraId="25326342">
      <w:pPr>
        <w:spacing w:line="360" w:lineRule="auto"/>
        <w:ind w:firstLine="480"/>
        <w:rPr>
          <w:rFonts w:ascii="宋体" w:hAnsi="宋体" w:cs="宋体"/>
          <w:sz w:val="24"/>
          <w:szCs w:val="24"/>
          <w:highlight w:val="none"/>
        </w:rPr>
      </w:pPr>
      <w:r>
        <w:rPr>
          <w:rFonts w:hint="eastAsia" w:ascii="宋体" w:hAnsi="宋体" w:cs="宋体"/>
          <w:sz w:val="24"/>
          <w:szCs w:val="24"/>
          <w:highlight w:val="none"/>
        </w:rPr>
        <w:t>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p>
    <w:p w14:paraId="16D6954A">
      <w:pPr>
        <w:wordWrap w:val="0"/>
        <w:topLinePunct/>
        <w:spacing w:line="360" w:lineRule="auto"/>
        <w:ind w:firstLine="482"/>
        <w:rPr>
          <w:rFonts w:ascii="宋体" w:hAnsi="宋体" w:cs="宋体"/>
          <w:sz w:val="24"/>
          <w:szCs w:val="24"/>
          <w:highlight w:val="none"/>
        </w:rPr>
      </w:pPr>
      <w:r>
        <w:rPr>
          <w:rFonts w:hint="eastAsia" w:ascii="宋体" w:hAnsi="宋体" w:cs="宋体"/>
          <w:sz w:val="24"/>
          <w:szCs w:val="24"/>
          <w:highlight w:val="none"/>
        </w:rPr>
        <w:t>4、有关本次招标的事项若存在变动或修改，请及时关注“江苏政府采购网”（www.ccgp-jiangsu.gov.cn）更正公告。</w:t>
      </w:r>
    </w:p>
    <w:p w14:paraId="29767B76">
      <w:pPr>
        <w:pStyle w:val="21"/>
        <w:ind w:firstLine="480" w:firstLineChars="200"/>
        <w:rPr>
          <w:highlight w:val="none"/>
        </w:rPr>
      </w:pPr>
      <w:r>
        <w:rPr>
          <w:rFonts w:hint="eastAsia" w:hAnsi="宋体" w:cs="宋体"/>
          <w:sz w:val="24"/>
          <w:szCs w:val="24"/>
          <w:highlight w:val="none"/>
        </w:rPr>
        <w:t>5、本项目所属行业：</w:t>
      </w:r>
      <w:r>
        <w:rPr>
          <w:rFonts w:hint="eastAsia" w:hAnsi="宋体"/>
          <w:sz w:val="24"/>
          <w:szCs w:val="24"/>
          <w:highlight w:val="none"/>
          <w:lang w:val="zh-CN"/>
        </w:rPr>
        <w:t>餐饮业</w:t>
      </w:r>
      <w:r>
        <w:rPr>
          <w:rFonts w:hint="eastAsia" w:hAnsi="宋体" w:cs="宋体"/>
          <w:sz w:val="24"/>
          <w:szCs w:val="24"/>
          <w:highlight w:val="none"/>
        </w:rPr>
        <w:t>。</w:t>
      </w:r>
    </w:p>
    <w:p w14:paraId="7B968B6E">
      <w:pPr>
        <w:pStyle w:val="3"/>
        <w:pBdr>
          <w:top w:val="none" w:color="000000" w:sz="0" w:space="0"/>
          <w:left w:val="none" w:color="000000" w:sz="0" w:space="0"/>
          <w:bottom w:val="none" w:color="000000" w:sz="0" w:space="0"/>
          <w:right w:val="none" w:color="000000" w:sz="0" w:space="0"/>
        </w:pBdr>
        <w:spacing w:before="0" w:after="0" w:line="360" w:lineRule="auto"/>
        <w:jc w:val="both"/>
        <w:rPr>
          <w:rFonts w:ascii="宋体" w:hAnsi="宋体" w:eastAsia="宋体" w:cs="宋体"/>
          <w:b/>
          <w:bCs/>
          <w:highlight w:val="none"/>
        </w:rPr>
      </w:pPr>
      <w:bookmarkStart w:id="27" w:name="_Toc17371"/>
      <w:bookmarkStart w:id="28" w:name="_Toc24183"/>
      <w:bookmarkStart w:id="29" w:name="_Toc1516"/>
      <w:bookmarkStart w:id="30" w:name="_Toc2011"/>
      <w:r>
        <w:rPr>
          <w:rFonts w:hint="eastAsia" w:ascii="宋体" w:hAnsi="宋体" w:eastAsia="宋体" w:cs="宋体"/>
          <w:b/>
          <w:bCs/>
          <w:sz w:val="30"/>
          <w:szCs w:val="30"/>
          <w:highlight w:val="none"/>
        </w:rPr>
        <w:t>七、本次招标联系方式</w:t>
      </w:r>
      <w:bookmarkEnd w:id="27"/>
      <w:bookmarkEnd w:id="28"/>
      <w:bookmarkEnd w:id="29"/>
      <w:bookmarkEnd w:id="30"/>
    </w:p>
    <w:p w14:paraId="730547EA">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highlight w:val="none"/>
        </w:rPr>
      </w:pPr>
      <w:r>
        <w:rPr>
          <w:rFonts w:hint="eastAsia" w:ascii="宋体" w:hAnsi="宋体" w:eastAsia="宋体" w:cs="宋体"/>
          <w:sz w:val="24"/>
          <w:highlight w:val="none"/>
        </w:rPr>
        <w:t>1、采购人信息</w:t>
      </w:r>
    </w:p>
    <w:p w14:paraId="6BD9E030">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highlight w:val="none"/>
        </w:rPr>
      </w:pPr>
      <w:r>
        <w:rPr>
          <w:rFonts w:hint="eastAsia" w:ascii="宋体" w:hAnsi="宋体" w:eastAsia="宋体" w:cs="宋体"/>
          <w:sz w:val="24"/>
          <w:highlight w:val="none"/>
        </w:rPr>
        <w:t>名称：南京市公安局江宁分局</w:t>
      </w:r>
    </w:p>
    <w:p w14:paraId="31B422F1">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highlight w:val="none"/>
        </w:rPr>
      </w:pPr>
      <w:r>
        <w:rPr>
          <w:rFonts w:hint="eastAsia" w:ascii="宋体" w:hAnsi="宋体" w:eastAsia="宋体" w:cs="宋体"/>
          <w:sz w:val="24"/>
          <w:highlight w:val="none"/>
        </w:rPr>
        <w:t>地址：南京市江宁区</w:t>
      </w:r>
    </w:p>
    <w:p w14:paraId="091FC366">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highlight w:val="none"/>
        </w:rPr>
      </w:pPr>
      <w:r>
        <w:rPr>
          <w:rFonts w:hint="eastAsia" w:ascii="宋体" w:hAnsi="宋体" w:eastAsia="宋体" w:cs="宋体"/>
          <w:sz w:val="24"/>
          <w:highlight w:val="none"/>
        </w:rPr>
        <w:t>联系人：郭主任</w:t>
      </w:r>
    </w:p>
    <w:p w14:paraId="1707606F">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highlight w:val="none"/>
        </w:rPr>
      </w:pPr>
      <w:r>
        <w:rPr>
          <w:rFonts w:hint="eastAsia" w:ascii="宋体" w:hAnsi="宋体" w:eastAsia="宋体" w:cs="宋体"/>
          <w:sz w:val="24"/>
          <w:highlight w:val="none"/>
        </w:rPr>
        <w:t xml:space="preserve">联系电话：025-84951247 </w:t>
      </w:r>
    </w:p>
    <w:p w14:paraId="78B00F0B">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highlight w:val="none"/>
        </w:rPr>
      </w:pPr>
      <w:r>
        <w:rPr>
          <w:rFonts w:hint="eastAsia" w:ascii="宋体" w:hAnsi="宋体" w:eastAsia="宋体" w:cs="宋体"/>
          <w:sz w:val="24"/>
          <w:highlight w:val="none"/>
        </w:rPr>
        <w:t>2、采购代理机构信息</w:t>
      </w:r>
    </w:p>
    <w:p w14:paraId="16479620">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highlight w:val="none"/>
        </w:rPr>
      </w:pPr>
      <w:r>
        <w:rPr>
          <w:rFonts w:hint="eastAsia" w:ascii="宋体" w:hAnsi="宋体" w:eastAsia="宋体" w:cs="宋体"/>
          <w:sz w:val="24"/>
          <w:highlight w:val="none"/>
        </w:rPr>
        <w:t>名称：南京陵新项目管理有限公司</w:t>
      </w:r>
    </w:p>
    <w:p w14:paraId="6B118FD9">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highlight w:val="none"/>
        </w:rPr>
      </w:pPr>
      <w:r>
        <w:rPr>
          <w:rFonts w:hint="eastAsia" w:ascii="宋体" w:hAnsi="宋体" w:eastAsia="宋体" w:cs="宋体"/>
          <w:sz w:val="24"/>
          <w:highlight w:val="none"/>
        </w:rPr>
        <w:t xml:space="preserve">地址：南京市江宁区龙眠大道568号MAX科技园9幢B座 </w:t>
      </w:r>
    </w:p>
    <w:p w14:paraId="2B50FECA">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highlight w:val="none"/>
        </w:rPr>
      </w:pPr>
      <w:r>
        <w:rPr>
          <w:rFonts w:hint="eastAsia" w:ascii="宋体" w:hAnsi="宋体" w:eastAsia="宋体" w:cs="宋体"/>
          <w:sz w:val="24"/>
          <w:highlight w:val="none"/>
        </w:rPr>
        <w:t>联系人：艾知恩</w:t>
      </w:r>
    </w:p>
    <w:p w14:paraId="3B096561">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sz w:val="24"/>
          <w:highlight w:val="none"/>
        </w:rPr>
      </w:pPr>
      <w:r>
        <w:rPr>
          <w:rFonts w:hint="eastAsia" w:ascii="宋体" w:hAnsi="宋体" w:eastAsia="宋体" w:cs="宋体"/>
          <w:sz w:val="24"/>
          <w:highlight w:val="none"/>
        </w:rPr>
        <w:t>联系电话：17327715917</w:t>
      </w:r>
    </w:p>
    <w:p w14:paraId="129F1236">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highlight w:val="none"/>
        </w:rPr>
      </w:pPr>
      <w:r>
        <w:rPr>
          <w:rFonts w:hint="eastAsia" w:ascii="宋体" w:hAnsi="宋体" w:eastAsia="宋体" w:cs="宋体"/>
          <w:sz w:val="24"/>
          <w:highlight w:val="none"/>
        </w:rPr>
        <w:t>3、项目联系方式</w:t>
      </w:r>
    </w:p>
    <w:p w14:paraId="5A9831EC">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highlight w:val="none"/>
        </w:rPr>
      </w:pPr>
      <w:r>
        <w:rPr>
          <w:rFonts w:hint="eastAsia" w:ascii="宋体" w:hAnsi="宋体" w:eastAsia="宋体" w:cs="宋体"/>
          <w:sz w:val="24"/>
          <w:highlight w:val="none"/>
        </w:rPr>
        <w:t>项目联系人：艾知恩</w:t>
      </w:r>
    </w:p>
    <w:p w14:paraId="19D751F8">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highlight w:val="none"/>
        </w:rPr>
      </w:pPr>
      <w:r>
        <w:rPr>
          <w:rFonts w:hint="eastAsia" w:ascii="宋体" w:hAnsi="宋体" w:eastAsia="宋体" w:cs="宋体"/>
          <w:sz w:val="24"/>
          <w:highlight w:val="none"/>
        </w:rPr>
        <w:t>电话：17327715917</w:t>
      </w:r>
    </w:p>
    <w:p w14:paraId="0311C7C6">
      <w:pPr>
        <w:rPr>
          <w:rFonts w:ascii="宋体" w:hAnsi="宋体" w:eastAsia="宋体" w:cs="宋体"/>
          <w:b/>
          <w:bCs/>
          <w:sz w:val="36"/>
          <w:highlight w:val="none"/>
        </w:rPr>
      </w:pPr>
      <w:r>
        <w:rPr>
          <w:rFonts w:hint="eastAsia" w:ascii="宋体" w:hAnsi="宋体" w:eastAsia="宋体" w:cs="宋体"/>
          <w:b/>
          <w:bCs/>
          <w:sz w:val="36"/>
          <w:highlight w:val="none"/>
        </w:rPr>
        <w:br w:type="page"/>
      </w:r>
    </w:p>
    <w:p w14:paraId="4ED2754C">
      <w:pPr>
        <w:pBdr>
          <w:top w:val="none" w:color="000000" w:sz="0" w:space="0"/>
          <w:left w:val="none" w:color="000000" w:sz="0" w:space="0"/>
          <w:bottom w:val="none" w:color="000000" w:sz="0" w:space="0"/>
          <w:right w:val="none" w:color="000000" w:sz="0" w:space="0"/>
        </w:pBdr>
        <w:jc w:val="center"/>
        <w:outlineLvl w:val="0"/>
        <w:rPr>
          <w:rFonts w:ascii="宋体" w:hAnsi="宋体" w:eastAsia="宋体" w:cs="宋体"/>
          <w:b/>
          <w:bCs/>
          <w:highlight w:val="none"/>
        </w:rPr>
      </w:pPr>
      <w:bookmarkStart w:id="31" w:name="_Toc1661"/>
      <w:bookmarkStart w:id="32" w:name="_Toc8936"/>
      <w:bookmarkStart w:id="33" w:name="_Toc10561"/>
      <w:bookmarkStart w:id="34" w:name="_Toc6564"/>
      <w:r>
        <w:rPr>
          <w:rFonts w:hint="eastAsia" w:ascii="宋体" w:hAnsi="宋体" w:eastAsia="宋体" w:cs="宋体"/>
          <w:b/>
          <w:bCs/>
          <w:sz w:val="36"/>
          <w:highlight w:val="none"/>
        </w:rPr>
        <w:t>第二章  投标人须知</w:t>
      </w:r>
      <w:bookmarkEnd w:id="31"/>
      <w:bookmarkEnd w:id="32"/>
      <w:bookmarkEnd w:id="33"/>
      <w:bookmarkEnd w:id="34"/>
    </w:p>
    <w:p w14:paraId="7F944153">
      <w:pPr>
        <w:shd w:val="clear" w:color="auto" w:fill="FFFFFF"/>
        <w:spacing w:line="360" w:lineRule="auto"/>
        <w:ind w:firstLine="484"/>
        <w:jc w:val="both"/>
        <w:rPr>
          <w:rFonts w:ascii="宋体" w:hAnsi="宋体" w:eastAsia="宋体" w:cs="Arial"/>
          <w:b/>
          <w:bCs/>
          <w:sz w:val="24"/>
          <w:szCs w:val="24"/>
          <w:highlight w:val="none"/>
        </w:rPr>
      </w:pPr>
    </w:p>
    <w:p w14:paraId="441960A7">
      <w:pPr>
        <w:shd w:val="clear" w:color="auto" w:fill="FFFFFF"/>
        <w:spacing w:line="360" w:lineRule="auto"/>
        <w:jc w:val="both"/>
        <w:rPr>
          <w:rFonts w:ascii="宋体" w:hAnsi="宋体" w:eastAsia="宋体" w:cs="Arial"/>
          <w:sz w:val="24"/>
          <w:szCs w:val="24"/>
          <w:highlight w:val="none"/>
        </w:rPr>
      </w:pPr>
      <w:r>
        <w:rPr>
          <w:rFonts w:hint="eastAsia" w:ascii="宋体" w:hAnsi="宋体" w:eastAsia="宋体" w:cs="Arial"/>
          <w:b/>
          <w:bCs/>
          <w:sz w:val="24"/>
          <w:szCs w:val="24"/>
          <w:highlight w:val="none"/>
        </w:rPr>
        <w:t>一、总则</w:t>
      </w:r>
    </w:p>
    <w:p w14:paraId="0951D4EE">
      <w:pPr>
        <w:widowControl w:val="0"/>
        <w:shd w:val="clear" w:color="auto" w:fill="FFFFFF"/>
        <w:spacing w:line="360" w:lineRule="auto"/>
        <w:ind w:firstLine="482" w:firstLineChars="200"/>
        <w:rPr>
          <w:rFonts w:ascii="宋体" w:hAnsi="宋体" w:eastAsia="宋体" w:cs="Arial"/>
          <w:b/>
          <w:bCs/>
          <w:sz w:val="24"/>
          <w:szCs w:val="24"/>
          <w:highlight w:val="none"/>
        </w:rPr>
      </w:pPr>
      <w:r>
        <w:rPr>
          <w:rFonts w:ascii="宋体" w:hAnsi="宋体" w:eastAsia="宋体" w:cs="Arial"/>
          <w:b/>
          <w:bCs/>
          <w:sz w:val="24"/>
          <w:szCs w:val="24"/>
          <w:highlight w:val="none"/>
        </w:rPr>
        <w:t>1</w:t>
      </w:r>
      <w:r>
        <w:rPr>
          <w:rFonts w:hint="eastAsia" w:ascii="宋体" w:hAnsi="宋体" w:eastAsia="宋体" w:cs="Arial"/>
          <w:b/>
          <w:bCs/>
          <w:sz w:val="24"/>
          <w:szCs w:val="24"/>
          <w:highlight w:val="none"/>
        </w:rPr>
        <w:t>、适用法律</w:t>
      </w:r>
    </w:p>
    <w:p w14:paraId="35E3CB25">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ascii="宋体" w:hAnsi="宋体" w:eastAsia="宋体" w:cs="Arial"/>
          <w:sz w:val="24"/>
          <w:szCs w:val="24"/>
          <w:highlight w:val="none"/>
        </w:rPr>
        <w:t>1.1</w:t>
      </w:r>
      <w:r>
        <w:rPr>
          <w:rFonts w:hint="eastAsia" w:ascii="宋体" w:hAnsi="宋体" w:eastAsia="宋体" w:cs="Arial"/>
          <w:sz w:val="24"/>
          <w:szCs w:val="24"/>
          <w:highlight w:val="none"/>
        </w:rPr>
        <w:t>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5F9AD471">
      <w:pPr>
        <w:widowControl w:val="0"/>
        <w:shd w:val="clear" w:color="auto" w:fill="FFFFFF"/>
        <w:spacing w:line="360" w:lineRule="auto"/>
        <w:ind w:firstLine="482" w:firstLineChars="200"/>
        <w:rPr>
          <w:rFonts w:ascii="宋体" w:hAnsi="宋体" w:eastAsia="宋体" w:cs="Arial"/>
          <w:b/>
          <w:bCs/>
          <w:sz w:val="24"/>
          <w:szCs w:val="24"/>
          <w:highlight w:val="none"/>
        </w:rPr>
      </w:pPr>
      <w:r>
        <w:rPr>
          <w:rFonts w:ascii="宋体" w:hAnsi="宋体" w:eastAsia="宋体" w:cs="Arial"/>
          <w:b/>
          <w:bCs/>
          <w:sz w:val="24"/>
          <w:szCs w:val="24"/>
          <w:highlight w:val="none"/>
        </w:rPr>
        <w:t>2</w:t>
      </w:r>
      <w:r>
        <w:rPr>
          <w:rFonts w:hint="eastAsia" w:ascii="宋体" w:hAnsi="宋体" w:eastAsia="宋体" w:cs="Arial"/>
          <w:b/>
          <w:bCs/>
          <w:sz w:val="24"/>
          <w:szCs w:val="24"/>
          <w:highlight w:val="none"/>
        </w:rPr>
        <w:t>、定义</w:t>
      </w:r>
    </w:p>
    <w:p w14:paraId="7E0B5B1C">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ascii="宋体" w:hAnsi="宋体" w:eastAsia="宋体" w:cs="Arial"/>
          <w:sz w:val="24"/>
          <w:szCs w:val="24"/>
          <w:highlight w:val="none"/>
        </w:rPr>
        <w:t>2.1“</w:t>
      </w:r>
      <w:r>
        <w:rPr>
          <w:rFonts w:hint="eastAsia" w:ascii="宋体" w:hAnsi="宋体" w:eastAsia="宋体" w:cs="Arial"/>
          <w:sz w:val="24"/>
          <w:szCs w:val="24"/>
          <w:highlight w:val="none"/>
        </w:rPr>
        <w:t>招标人（采购人）</w:t>
      </w:r>
      <w:r>
        <w:rPr>
          <w:rFonts w:ascii="宋体" w:hAnsi="宋体" w:eastAsia="宋体" w:cs="Arial"/>
          <w:sz w:val="24"/>
          <w:szCs w:val="24"/>
          <w:highlight w:val="none"/>
        </w:rPr>
        <w:t>”</w:t>
      </w:r>
      <w:r>
        <w:rPr>
          <w:rFonts w:hint="eastAsia" w:ascii="宋体" w:hAnsi="宋体" w:eastAsia="宋体" w:cs="Arial"/>
          <w:sz w:val="24"/>
          <w:szCs w:val="24"/>
          <w:highlight w:val="none"/>
        </w:rPr>
        <w:t>是指依法进行政府采购的国家机关、事业单位、团体组织。</w:t>
      </w:r>
    </w:p>
    <w:p w14:paraId="1E6B3284">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ascii="宋体" w:hAnsi="宋体" w:eastAsia="宋体" w:cs="Arial"/>
          <w:sz w:val="24"/>
          <w:szCs w:val="24"/>
          <w:highlight w:val="none"/>
        </w:rPr>
        <w:t>2.2“</w:t>
      </w:r>
      <w:r>
        <w:rPr>
          <w:rFonts w:hint="eastAsia" w:ascii="宋体" w:hAnsi="宋体" w:eastAsia="宋体" w:cs="Arial"/>
          <w:sz w:val="24"/>
          <w:szCs w:val="24"/>
          <w:highlight w:val="none"/>
        </w:rPr>
        <w:t>投标人（供应商）</w:t>
      </w:r>
      <w:r>
        <w:rPr>
          <w:rFonts w:ascii="宋体" w:hAnsi="宋体" w:eastAsia="宋体" w:cs="Arial"/>
          <w:sz w:val="24"/>
          <w:szCs w:val="24"/>
          <w:highlight w:val="none"/>
        </w:rPr>
        <w:t>”</w:t>
      </w:r>
      <w:r>
        <w:rPr>
          <w:rFonts w:hint="eastAsia" w:ascii="宋体" w:hAnsi="宋体" w:eastAsia="宋体" w:cs="Arial"/>
          <w:sz w:val="24"/>
          <w:szCs w:val="24"/>
          <w:highlight w:val="none"/>
        </w:rPr>
        <w:t>是指参加投标竞争，并符合招标文件规定资格条件的法人、其他组织或者自然人。</w:t>
      </w:r>
    </w:p>
    <w:p w14:paraId="356017C0">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ascii="宋体" w:hAnsi="宋体" w:eastAsia="宋体" w:cs="Arial"/>
          <w:sz w:val="24"/>
          <w:szCs w:val="24"/>
          <w:highlight w:val="none"/>
        </w:rPr>
        <w:t>2.3“</w:t>
      </w:r>
      <w:r>
        <w:rPr>
          <w:rFonts w:hint="eastAsia" w:ascii="宋体" w:hAnsi="宋体" w:eastAsia="宋体" w:cs="Arial"/>
          <w:sz w:val="24"/>
          <w:szCs w:val="24"/>
          <w:highlight w:val="none"/>
        </w:rPr>
        <w:t>招标代理机构（采购代理机构）</w:t>
      </w:r>
      <w:r>
        <w:rPr>
          <w:rFonts w:ascii="宋体" w:hAnsi="宋体" w:eastAsia="宋体" w:cs="Arial"/>
          <w:sz w:val="24"/>
          <w:szCs w:val="24"/>
          <w:highlight w:val="none"/>
        </w:rPr>
        <w:t>”</w:t>
      </w:r>
      <w:r>
        <w:rPr>
          <w:rFonts w:hint="eastAsia" w:ascii="宋体" w:hAnsi="宋体" w:eastAsia="宋体" w:cs="Arial"/>
          <w:sz w:val="24"/>
          <w:szCs w:val="24"/>
          <w:highlight w:val="none"/>
        </w:rPr>
        <w:t>是指集中采购机构和集中采购机构以外的采购代理机构，集中采购机构以外的招标（采购）代理机构，是从事招标（采购）代理业务的社会中介机构。</w:t>
      </w:r>
    </w:p>
    <w:p w14:paraId="2970B491">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ascii="宋体" w:hAnsi="宋体" w:eastAsia="宋体" w:cs="Arial"/>
          <w:sz w:val="24"/>
          <w:szCs w:val="24"/>
          <w:highlight w:val="none"/>
        </w:rPr>
        <w:t>2.4“</w:t>
      </w:r>
      <w:r>
        <w:rPr>
          <w:rFonts w:hint="eastAsia" w:ascii="宋体" w:hAnsi="宋体" w:eastAsia="宋体" w:cs="Arial"/>
          <w:sz w:val="24"/>
          <w:szCs w:val="24"/>
          <w:highlight w:val="none"/>
        </w:rPr>
        <w:t>货物和服务</w:t>
      </w:r>
      <w:r>
        <w:rPr>
          <w:rFonts w:ascii="宋体" w:hAnsi="宋体" w:eastAsia="宋体" w:cs="Arial"/>
          <w:sz w:val="24"/>
          <w:szCs w:val="24"/>
          <w:highlight w:val="none"/>
        </w:rPr>
        <w:t>”</w:t>
      </w:r>
      <w:r>
        <w:rPr>
          <w:rFonts w:hint="eastAsia" w:ascii="宋体" w:hAnsi="宋体" w:eastAsia="宋体" w:cs="Arial"/>
          <w:sz w:val="24"/>
          <w:szCs w:val="24"/>
          <w:highlight w:val="none"/>
        </w:rPr>
        <w:t>指本招标文件中所述产品及相关服务。</w:t>
      </w:r>
    </w:p>
    <w:p w14:paraId="4A444937">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ascii="宋体" w:hAnsi="宋体" w:eastAsia="宋体" w:cs="Arial"/>
          <w:sz w:val="24"/>
          <w:szCs w:val="24"/>
          <w:highlight w:val="none"/>
        </w:rPr>
        <w:t>2.5“</w:t>
      </w:r>
      <w:r>
        <w:rPr>
          <w:rFonts w:hint="eastAsia" w:ascii="宋体" w:hAnsi="宋体" w:eastAsia="宋体" w:cs="Arial"/>
          <w:sz w:val="24"/>
          <w:szCs w:val="24"/>
          <w:highlight w:val="none"/>
        </w:rPr>
        <w:t>用户或使用单位</w:t>
      </w:r>
      <w:r>
        <w:rPr>
          <w:rFonts w:ascii="宋体" w:hAnsi="宋体" w:eastAsia="宋体" w:cs="Arial"/>
          <w:sz w:val="24"/>
          <w:szCs w:val="24"/>
          <w:highlight w:val="none"/>
        </w:rPr>
        <w:t>”</w:t>
      </w:r>
      <w:r>
        <w:rPr>
          <w:rFonts w:hint="eastAsia" w:ascii="宋体" w:hAnsi="宋体" w:eastAsia="宋体" w:cs="Arial"/>
          <w:sz w:val="24"/>
          <w:szCs w:val="24"/>
          <w:highlight w:val="none"/>
        </w:rPr>
        <w:t>是指使用货物，接受服务的单位。</w:t>
      </w:r>
    </w:p>
    <w:p w14:paraId="0EA0E8F4">
      <w:pPr>
        <w:widowControl w:val="0"/>
        <w:shd w:val="clear" w:color="auto" w:fill="FFFFFF"/>
        <w:spacing w:line="360" w:lineRule="auto"/>
        <w:ind w:firstLine="482" w:firstLineChars="200"/>
        <w:rPr>
          <w:rFonts w:ascii="宋体" w:hAnsi="宋体" w:eastAsia="宋体" w:cs="Arial"/>
          <w:b/>
          <w:bCs/>
          <w:sz w:val="24"/>
          <w:szCs w:val="24"/>
          <w:highlight w:val="none"/>
        </w:rPr>
      </w:pPr>
      <w:r>
        <w:rPr>
          <w:rFonts w:ascii="宋体" w:hAnsi="宋体" w:eastAsia="宋体" w:cs="Arial"/>
          <w:b/>
          <w:bCs/>
          <w:sz w:val="24"/>
          <w:szCs w:val="24"/>
          <w:highlight w:val="none"/>
        </w:rPr>
        <w:t>3</w:t>
      </w:r>
      <w:r>
        <w:rPr>
          <w:rFonts w:hint="eastAsia" w:ascii="宋体" w:hAnsi="宋体" w:eastAsia="宋体" w:cs="Arial"/>
          <w:b/>
          <w:bCs/>
          <w:sz w:val="24"/>
          <w:szCs w:val="24"/>
          <w:highlight w:val="none"/>
        </w:rPr>
        <w:t>、政策功能</w:t>
      </w:r>
    </w:p>
    <w:p w14:paraId="72D0CCA3">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3.1 政府采购促进中小企业发展，在政府采购活动中，供应商提供的货物、工程或者服务符合下列情形的，享受中小企业扶持政策：</w:t>
      </w:r>
    </w:p>
    <w:p w14:paraId="2CCD7E7A">
      <w:pPr>
        <w:widowControl w:val="0"/>
        <w:shd w:val="clear" w:color="auto" w:fill="FFFFFF"/>
        <w:spacing w:line="360" w:lineRule="auto"/>
        <w:ind w:firstLine="420"/>
        <w:jc w:val="both"/>
        <w:rPr>
          <w:rFonts w:ascii="宋体" w:hAnsi="宋体" w:eastAsia="宋体" w:cs="Arial"/>
          <w:sz w:val="24"/>
          <w:szCs w:val="24"/>
          <w:highlight w:val="none"/>
        </w:rPr>
      </w:pPr>
      <w:r>
        <w:rPr>
          <w:rFonts w:hint="eastAsia" w:ascii="宋体" w:hAnsi="宋体" w:eastAsia="宋体" w:cs="Arial"/>
          <w:sz w:val="24"/>
          <w:szCs w:val="24"/>
          <w:highlight w:val="none"/>
        </w:rPr>
        <w:t>（1）在货物采购项目中，货物由中小企业制造，即货物由中小企业生产且使用该中小企业商号或者注册商标；</w:t>
      </w:r>
    </w:p>
    <w:p w14:paraId="27802BB7">
      <w:pPr>
        <w:widowControl w:val="0"/>
        <w:shd w:val="clear" w:color="auto" w:fill="FFFFFF"/>
        <w:spacing w:line="360" w:lineRule="auto"/>
        <w:ind w:firstLine="420"/>
        <w:jc w:val="both"/>
        <w:rPr>
          <w:rFonts w:ascii="宋体" w:hAnsi="宋体" w:eastAsia="宋体" w:cs="Arial"/>
          <w:sz w:val="24"/>
          <w:szCs w:val="24"/>
          <w:highlight w:val="none"/>
        </w:rPr>
      </w:pPr>
      <w:r>
        <w:rPr>
          <w:rFonts w:hint="eastAsia" w:ascii="宋体" w:hAnsi="宋体" w:eastAsia="宋体" w:cs="Arial"/>
          <w:sz w:val="24"/>
          <w:szCs w:val="24"/>
          <w:highlight w:val="none"/>
        </w:rPr>
        <w:t>（2）在工程采购项目中，工程由中小企业承建，即工程施工单位为中小企业；</w:t>
      </w:r>
    </w:p>
    <w:p w14:paraId="7E725CC7">
      <w:pPr>
        <w:widowControl w:val="0"/>
        <w:shd w:val="clear" w:color="auto" w:fill="FFFFFF"/>
        <w:spacing w:line="360" w:lineRule="auto"/>
        <w:ind w:firstLine="420"/>
        <w:jc w:val="both"/>
        <w:rPr>
          <w:rFonts w:ascii="宋体" w:hAnsi="宋体" w:eastAsia="宋体" w:cs="Arial"/>
          <w:sz w:val="24"/>
          <w:szCs w:val="24"/>
          <w:highlight w:val="none"/>
        </w:rPr>
      </w:pPr>
      <w:r>
        <w:rPr>
          <w:rFonts w:hint="eastAsia" w:ascii="宋体" w:hAnsi="宋体" w:eastAsia="宋体" w:cs="Arial"/>
          <w:sz w:val="24"/>
          <w:szCs w:val="24"/>
          <w:highlight w:val="none"/>
        </w:rPr>
        <w:t xml:space="preserve">（3）在服务采购项目中，服务由中小企业承接，即提供服务的人员为中小企业依照《中华人民共和国劳动合同法》订立劳动合同的从业人员。 </w:t>
      </w:r>
    </w:p>
    <w:p w14:paraId="18566821">
      <w:pPr>
        <w:widowControl w:val="0"/>
        <w:shd w:val="clear" w:color="auto" w:fill="FFFFFF"/>
        <w:spacing w:line="360" w:lineRule="auto"/>
        <w:ind w:firstLine="420"/>
        <w:jc w:val="both"/>
        <w:rPr>
          <w:rFonts w:ascii="宋体" w:hAnsi="宋体" w:eastAsia="宋体" w:cs="Arial"/>
          <w:sz w:val="24"/>
          <w:szCs w:val="24"/>
          <w:highlight w:val="none"/>
        </w:rPr>
      </w:pPr>
      <w:r>
        <w:rPr>
          <w:rFonts w:hint="eastAsia" w:ascii="宋体" w:hAnsi="宋体" w:eastAsia="宋体" w:cs="Arial"/>
          <w:sz w:val="24"/>
          <w:szCs w:val="24"/>
          <w:highlight w:val="none"/>
        </w:rPr>
        <w:t>在货物采购项目中，供应商提供的货物既有中小企业制造货物，也有大型企业制造货物的，不享受中小企业扶持政策。</w:t>
      </w:r>
    </w:p>
    <w:p w14:paraId="3A65C81A">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以联合体形式参加政府采购活动，联合体各方均为中小企业的，联合体视同中小企业。其中，联合体各方均为小微企业的，联合体视同小微企业。</w:t>
      </w:r>
    </w:p>
    <w:p w14:paraId="4B226231">
      <w:pPr>
        <w:widowControl w:val="0"/>
        <w:shd w:val="clear" w:color="auto" w:fill="FFFFFF"/>
        <w:spacing w:line="360" w:lineRule="auto"/>
        <w:ind w:firstLine="420"/>
        <w:jc w:val="both"/>
        <w:rPr>
          <w:rFonts w:ascii="宋体" w:hAnsi="宋体" w:eastAsia="宋体" w:cs="Arial"/>
          <w:sz w:val="24"/>
          <w:szCs w:val="24"/>
          <w:highlight w:val="none"/>
        </w:rPr>
      </w:pPr>
      <w:r>
        <w:rPr>
          <w:rFonts w:hint="eastAsia" w:ascii="宋体" w:hAnsi="宋体" w:eastAsia="宋体" w:cs="Arial"/>
          <w:sz w:val="24"/>
          <w:szCs w:val="24"/>
          <w:highlight w:val="none"/>
        </w:rPr>
        <w:t>中小企业供应商参加政府采购活动，应当出具《中小企业声明函》（格式见后附件），否则不得享受相关中小企业扶持政策。</w:t>
      </w:r>
    </w:p>
    <w:p w14:paraId="61918D09">
      <w:pPr>
        <w:widowControl w:val="0"/>
        <w:shd w:val="clear" w:color="auto" w:fill="FFFFFF"/>
        <w:spacing w:line="360" w:lineRule="auto"/>
        <w:ind w:firstLine="420"/>
        <w:jc w:val="both"/>
        <w:rPr>
          <w:rFonts w:ascii="宋体" w:hAnsi="宋体" w:eastAsia="宋体" w:cs="Arial"/>
          <w:sz w:val="24"/>
          <w:szCs w:val="24"/>
          <w:highlight w:val="none"/>
        </w:rPr>
      </w:pPr>
      <w:r>
        <w:rPr>
          <w:rFonts w:hint="eastAsia" w:ascii="宋体" w:hAnsi="宋体" w:eastAsia="宋体" w:cs="Arial"/>
          <w:sz w:val="24"/>
          <w:szCs w:val="24"/>
          <w:highlight w:val="none"/>
        </w:rPr>
        <w:t>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3731AAB0">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0C131AF7">
      <w:pPr>
        <w:widowControl w:val="0"/>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14:paraId="72BC40A4">
      <w:pPr>
        <w:widowControl w:val="0"/>
        <w:spacing w:line="360" w:lineRule="auto"/>
        <w:ind w:firstLine="480" w:firstLineChars="200"/>
        <w:jc w:val="both"/>
        <w:rPr>
          <w:rFonts w:ascii="宋体" w:hAnsi="宋体" w:eastAsia="宋体" w:cs="Arial"/>
          <w:sz w:val="24"/>
          <w:szCs w:val="24"/>
          <w:highlight w:val="none"/>
        </w:rPr>
      </w:pPr>
      <w:r>
        <w:rPr>
          <w:rFonts w:hint="eastAsia" w:ascii="宋体" w:hAnsi="宋体" w:eastAsia="宋体" w:cs="宋体"/>
          <w:sz w:val="24"/>
          <w:szCs w:val="24"/>
          <w:highlight w:val="none"/>
        </w:rPr>
        <w:t>3.4</w:t>
      </w:r>
      <w:r>
        <w:rPr>
          <w:rFonts w:ascii="宋体" w:hAnsi="宋体" w:eastAsia="宋体" w:cs="宋体"/>
          <w:sz w:val="24"/>
          <w:szCs w:val="24"/>
          <w:highlight w:val="none"/>
        </w:rPr>
        <w:t>强制采购节能产品，优先采购环境标志产品。节能产品是指列入财政部、国家发展和改革委员会制定的《节能产品政府采购品目清单》，且经过认定的节能产品；网络关键设备和网络安全专用产品是指列入《网络关键设备和网络安全专用产品目录》的产品；环境标志产品是指列入财政部、生态环境部制定的《环境标志产品政府采购品目清单》，且依据相关标准的最新版本认证的环境标志产品。</w:t>
      </w:r>
    </w:p>
    <w:p w14:paraId="68903EB8">
      <w:pPr>
        <w:widowControl w:val="0"/>
        <w:spacing w:line="360" w:lineRule="auto"/>
        <w:ind w:firstLine="480" w:firstLineChars="200"/>
        <w:jc w:val="both"/>
        <w:rPr>
          <w:rFonts w:ascii="宋体" w:hAnsi="宋体" w:eastAsia="宋体" w:cs="Arial"/>
          <w:sz w:val="24"/>
          <w:szCs w:val="24"/>
          <w:highlight w:val="none"/>
        </w:rPr>
      </w:pPr>
      <w:r>
        <w:rPr>
          <w:rFonts w:ascii="宋体" w:hAnsi="宋体" w:eastAsia="宋体" w:cs="宋体"/>
          <w:sz w:val="24"/>
          <w:szCs w:val="24"/>
          <w:highlight w:val="none"/>
        </w:rPr>
        <w:t>3.5 投标产品属于列入《网络关键设备和网络安全专用产品目录》内产品的，供应商所投产品应当具备网络安全认证合格证书或者网络安全检测合格报告，投标时提供相应有效证明材料复印件。</w:t>
      </w:r>
    </w:p>
    <w:p w14:paraId="6D5D61DF">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3.6 提供的产品属于政府强制采购节能产品的，供应商应当选择依据国家标准中二级能效（水效）指标认证的节能产品投标，并提供有效的节能产品认证证书复印件。</w:t>
      </w:r>
    </w:p>
    <w:p w14:paraId="54354FC3">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3.7 提供的产品属于环境标志产品的,供应商应当选择依据相关标准的最新版本认证的环境标志产品投标,并提供有效的环境标志产品认证证书复印件。</w:t>
      </w:r>
    </w:p>
    <w:p w14:paraId="75ED9046">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3.</w:t>
      </w:r>
      <w:r>
        <w:rPr>
          <w:rFonts w:ascii="宋体" w:hAnsi="宋体" w:eastAsia="宋体" w:cs="Arial"/>
          <w:sz w:val="24"/>
          <w:szCs w:val="24"/>
          <w:highlight w:val="none"/>
        </w:rPr>
        <w:t>8</w:t>
      </w:r>
      <w:r>
        <w:rPr>
          <w:rFonts w:hint="eastAsia" w:ascii="宋体" w:hAnsi="宋体" w:eastAsia="宋体" w:cs="Arial"/>
          <w:sz w:val="24"/>
          <w:szCs w:val="24"/>
          <w:highlight w:val="none"/>
        </w:rPr>
        <w:t>进口产品政策</w:t>
      </w:r>
    </w:p>
    <w:p w14:paraId="2FC7149B">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（1）除招标公告载明接受进口产品参加外，不允许进口产品参加。进口产品认定依照《财政部关于政府采购进口产品管理有关问题的通知》（财办库〔2008〕248号）的规定。</w:t>
      </w:r>
    </w:p>
    <w:p w14:paraId="11BBE1AF">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（2）允许进口产品参加的，满足需求的国内产品可以参加。</w:t>
      </w:r>
    </w:p>
    <w:p w14:paraId="1F1076B0">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（3）允许进口产品参加的，优先采购向我国企业转让技术、与我国企业签订消化吸收再创新方案的投标人的进口产品。</w:t>
      </w:r>
    </w:p>
    <w:p w14:paraId="596F6A53">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3.</w:t>
      </w:r>
      <w:r>
        <w:rPr>
          <w:rFonts w:ascii="宋体" w:hAnsi="宋体" w:eastAsia="宋体" w:cs="Arial"/>
          <w:sz w:val="24"/>
          <w:szCs w:val="24"/>
          <w:highlight w:val="none"/>
        </w:rPr>
        <w:t>9</w:t>
      </w:r>
      <w:r>
        <w:rPr>
          <w:rFonts w:hint="eastAsia" w:ascii="宋体" w:hAnsi="宋体" w:eastAsia="宋体" w:cs="Arial"/>
          <w:sz w:val="24"/>
          <w:szCs w:val="24"/>
          <w:highlight w:val="none"/>
        </w:rPr>
        <w:t>未按要求提供相关材料的，不享受相关政策。</w:t>
      </w:r>
    </w:p>
    <w:p w14:paraId="0D8D70A5">
      <w:pPr>
        <w:shd w:val="clear" w:color="auto" w:fill="FFFFFF"/>
        <w:spacing w:line="360" w:lineRule="auto"/>
        <w:jc w:val="both"/>
        <w:rPr>
          <w:rFonts w:ascii="宋体" w:hAnsi="宋体" w:eastAsia="宋体" w:cs="Arial"/>
          <w:sz w:val="24"/>
          <w:szCs w:val="24"/>
          <w:highlight w:val="none"/>
        </w:rPr>
      </w:pPr>
      <w:r>
        <w:rPr>
          <w:rFonts w:hint="eastAsia" w:ascii="宋体" w:hAnsi="宋体" w:eastAsia="宋体" w:cs="Arial"/>
          <w:b/>
          <w:bCs/>
          <w:sz w:val="24"/>
          <w:szCs w:val="24"/>
          <w:highlight w:val="none"/>
        </w:rPr>
        <w:t>二、招标文件</w:t>
      </w:r>
    </w:p>
    <w:p w14:paraId="6E7A7963">
      <w:pPr>
        <w:widowControl w:val="0"/>
        <w:shd w:val="clear" w:color="auto" w:fill="FFFFFF"/>
        <w:spacing w:line="360" w:lineRule="auto"/>
        <w:ind w:firstLine="482" w:firstLineChars="200"/>
        <w:rPr>
          <w:rFonts w:ascii="宋体" w:hAnsi="宋体" w:eastAsia="宋体" w:cs="Arial"/>
          <w:b/>
          <w:bCs/>
          <w:sz w:val="24"/>
          <w:szCs w:val="24"/>
          <w:highlight w:val="none"/>
        </w:rPr>
      </w:pPr>
      <w:r>
        <w:rPr>
          <w:rFonts w:ascii="宋体" w:hAnsi="宋体" w:eastAsia="宋体" w:cs="Arial"/>
          <w:b/>
          <w:bCs/>
          <w:sz w:val="24"/>
          <w:szCs w:val="24"/>
          <w:highlight w:val="none"/>
        </w:rPr>
        <w:t>4</w:t>
      </w:r>
      <w:r>
        <w:rPr>
          <w:rFonts w:hint="eastAsia" w:ascii="宋体" w:hAnsi="宋体" w:eastAsia="宋体" w:cs="Arial"/>
          <w:b/>
          <w:bCs/>
          <w:sz w:val="24"/>
          <w:szCs w:val="24"/>
          <w:highlight w:val="none"/>
        </w:rPr>
        <w:t>、招标文件组成</w:t>
      </w:r>
    </w:p>
    <w:p w14:paraId="6B88405C">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4.1招标文件由以下部分组成：</w:t>
      </w:r>
    </w:p>
    <w:p w14:paraId="4B623A3F">
      <w:pPr>
        <w:spacing w:line="360" w:lineRule="auto"/>
        <w:ind w:firstLine="480" w:firstLineChars="200"/>
        <w:rPr>
          <w:rFonts w:ascii="宋体" w:hAnsi="宋体"/>
          <w:sz w:val="24"/>
          <w:highlight w:val="none"/>
        </w:rPr>
      </w:pPr>
      <w:r>
        <w:rPr>
          <w:rFonts w:hint="eastAsia" w:ascii="宋体" w:hAnsi="宋体"/>
          <w:sz w:val="24"/>
          <w:highlight w:val="none"/>
        </w:rPr>
        <w:t>（1）投标公告；</w:t>
      </w:r>
    </w:p>
    <w:p w14:paraId="00A642A1">
      <w:pPr>
        <w:spacing w:line="360" w:lineRule="auto"/>
        <w:ind w:firstLine="480" w:firstLineChars="200"/>
        <w:rPr>
          <w:rFonts w:ascii="宋体" w:hAnsi="宋体"/>
          <w:sz w:val="24"/>
          <w:highlight w:val="none"/>
        </w:rPr>
      </w:pPr>
      <w:r>
        <w:rPr>
          <w:rFonts w:hint="eastAsia" w:ascii="宋体" w:hAnsi="宋体"/>
          <w:sz w:val="24"/>
          <w:highlight w:val="none"/>
        </w:rPr>
        <w:t>（2）投标人须知；</w:t>
      </w:r>
    </w:p>
    <w:p w14:paraId="26D0A75C">
      <w:pPr>
        <w:spacing w:line="360" w:lineRule="auto"/>
        <w:ind w:firstLine="480" w:firstLineChars="200"/>
        <w:rPr>
          <w:rFonts w:ascii="宋体" w:hAnsi="宋体"/>
          <w:sz w:val="24"/>
          <w:highlight w:val="none"/>
        </w:rPr>
      </w:pPr>
      <w:r>
        <w:rPr>
          <w:rFonts w:hint="eastAsia" w:ascii="宋体" w:hAnsi="宋体"/>
          <w:sz w:val="24"/>
          <w:highlight w:val="none"/>
        </w:rPr>
        <w:t>（3）评标方法与评标标准；</w:t>
      </w:r>
    </w:p>
    <w:p w14:paraId="2E941F44">
      <w:pPr>
        <w:spacing w:line="360" w:lineRule="auto"/>
        <w:ind w:firstLine="480" w:firstLineChars="200"/>
        <w:rPr>
          <w:rFonts w:ascii="宋体" w:hAnsi="宋体"/>
          <w:sz w:val="24"/>
          <w:highlight w:val="none"/>
        </w:rPr>
      </w:pPr>
      <w:r>
        <w:rPr>
          <w:rFonts w:hint="eastAsia" w:ascii="宋体" w:hAnsi="宋体"/>
          <w:sz w:val="24"/>
          <w:highlight w:val="none"/>
        </w:rPr>
        <w:t>（4）采购需求；</w:t>
      </w:r>
    </w:p>
    <w:p w14:paraId="6CBF5BB4">
      <w:pPr>
        <w:spacing w:line="360" w:lineRule="auto"/>
        <w:ind w:firstLine="480" w:firstLineChars="200"/>
        <w:rPr>
          <w:rFonts w:ascii="宋体" w:hAnsi="宋体"/>
          <w:sz w:val="24"/>
          <w:highlight w:val="none"/>
        </w:rPr>
      </w:pPr>
      <w:r>
        <w:rPr>
          <w:rFonts w:hint="eastAsia" w:ascii="宋体" w:hAnsi="宋体"/>
          <w:sz w:val="24"/>
          <w:highlight w:val="none"/>
        </w:rPr>
        <w:t>（5）合同文本；</w:t>
      </w:r>
    </w:p>
    <w:p w14:paraId="6BD974E4">
      <w:pPr>
        <w:spacing w:line="360" w:lineRule="auto"/>
        <w:ind w:firstLine="480" w:firstLineChars="200"/>
        <w:rPr>
          <w:rFonts w:ascii="宋体" w:hAnsi="宋体"/>
          <w:sz w:val="24"/>
          <w:highlight w:val="none"/>
        </w:rPr>
      </w:pPr>
      <w:r>
        <w:rPr>
          <w:rFonts w:hint="eastAsia" w:ascii="宋体" w:hAnsi="宋体"/>
          <w:sz w:val="24"/>
          <w:highlight w:val="none"/>
        </w:rPr>
        <w:t>（6）投标文件格式。</w:t>
      </w:r>
    </w:p>
    <w:p w14:paraId="3759A94B">
      <w:pPr>
        <w:widowControl w:val="0"/>
        <w:shd w:val="clear" w:color="auto" w:fill="FFFFFF"/>
        <w:spacing w:line="360" w:lineRule="auto"/>
        <w:ind w:firstLine="482" w:firstLineChars="200"/>
        <w:jc w:val="both"/>
        <w:rPr>
          <w:rFonts w:ascii="宋体" w:hAnsi="宋体" w:eastAsia="宋体" w:cs="Arial"/>
          <w:b/>
          <w:bCs/>
          <w:sz w:val="24"/>
          <w:szCs w:val="24"/>
          <w:highlight w:val="none"/>
        </w:rPr>
      </w:pPr>
      <w:r>
        <w:rPr>
          <w:rFonts w:hint="eastAsia" w:ascii="宋体" w:hAnsi="宋体"/>
          <w:b/>
          <w:bCs/>
          <w:sz w:val="24"/>
          <w:highlight w:val="none"/>
        </w:rPr>
        <w:t>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7E8C61C">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4.3 招标的最小单位是包。招标货物数量及技术要求中未分包的，投标人对要求提供的货物和服务不得部分投标；招标货物数量及技术要求中已经分包的，可以以包为单位投标。</w:t>
      </w:r>
    </w:p>
    <w:p w14:paraId="341E06F4">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4.4 招标代理机构如果要求投标人按照招标文件规定提交备选投标方案的，投标人可以提交备选方案；否则，备选方案将被拒绝。</w:t>
      </w:r>
    </w:p>
    <w:p w14:paraId="1AE7BFF5">
      <w:pPr>
        <w:widowControl w:val="0"/>
        <w:shd w:val="clear" w:color="auto" w:fill="FFFFFF"/>
        <w:spacing w:line="360" w:lineRule="auto"/>
        <w:ind w:firstLine="482" w:firstLineChars="200"/>
        <w:rPr>
          <w:rFonts w:ascii="宋体" w:hAnsi="宋体" w:eastAsia="宋体" w:cs="Arial"/>
          <w:b/>
          <w:bCs/>
          <w:sz w:val="24"/>
          <w:szCs w:val="24"/>
          <w:highlight w:val="none"/>
        </w:rPr>
      </w:pPr>
      <w:r>
        <w:rPr>
          <w:rFonts w:ascii="宋体" w:hAnsi="宋体" w:eastAsia="宋体" w:cs="Arial"/>
          <w:b/>
          <w:bCs/>
          <w:sz w:val="24"/>
          <w:szCs w:val="24"/>
          <w:highlight w:val="none"/>
        </w:rPr>
        <w:t>5</w:t>
      </w:r>
      <w:r>
        <w:rPr>
          <w:rFonts w:hint="eastAsia" w:ascii="宋体" w:hAnsi="宋体" w:eastAsia="宋体" w:cs="Arial"/>
          <w:b/>
          <w:bCs/>
          <w:sz w:val="24"/>
          <w:szCs w:val="24"/>
          <w:highlight w:val="none"/>
        </w:rPr>
        <w:t>、招标文件的澄清或修改</w:t>
      </w:r>
    </w:p>
    <w:p w14:paraId="5F747CA3">
      <w:pPr>
        <w:widowControl w:val="0"/>
        <w:shd w:val="clear" w:color="auto" w:fill="FFFFFF"/>
        <w:spacing w:line="360" w:lineRule="auto"/>
        <w:ind w:firstLine="480" w:firstLineChars="200"/>
        <w:jc w:val="both"/>
        <w:rPr>
          <w:rFonts w:ascii="宋体" w:hAnsi="宋体" w:eastAsia="宋体" w:cs="Times New Roman"/>
          <w:sz w:val="24"/>
          <w:highlight w:val="none"/>
        </w:rPr>
      </w:pPr>
      <w:r>
        <w:rPr>
          <w:rFonts w:hint="eastAsia" w:ascii="宋体" w:hAnsi="宋体" w:eastAsia="宋体" w:cs="Arial"/>
          <w:sz w:val="24"/>
          <w:szCs w:val="24"/>
          <w:highlight w:val="none"/>
        </w:rPr>
        <w:t>5.1</w:t>
      </w:r>
      <w:r>
        <w:rPr>
          <w:rFonts w:hint="eastAsia" w:ascii="宋体" w:hAnsi="宋体" w:eastAsia="宋体" w:cs="Times New Roman"/>
          <w:sz w:val="24"/>
          <w:highlight w:val="none"/>
        </w:rPr>
        <w:t>在投标截止时间前，</w:t>
      </w:r>
      <w:r>
        <w:rPr>
          <w:rFonts w:hint="eastAsia" w:ascii="宋体" w:hAnsi="宋体" w:eastAsia="宋体" w:cs="Arial"/>
          <w:sz w:val="24"/>
          <w:szCs w:val="24"/>
          <w:highlight w:val="none"/>
        </w:rPr>
        <w:t>招标人或者招标代理机构</w:t>
      </w:r>
      <w:r>
        <w:rPr>
          <w:rFonts w:hint="eastAsia" w:ascii="宋体" w:hAnsi="宋体" w:eastAsia="宋体" w:cs="Times New Roman"/>
          <w:sz w:val="24"/>
          <w:highlight w:val="none"/>
        </w:rPr>
        <w:t>可以对</w:t>
      </w:r>
      <w:r>
        <w:rPr>
          <w:rFonts w:hint="eastAsia" w:ascii="宋体" w:hAnsi="宋体" w:cs="Times New Roman"/>
          <w:sz w:val="24"/>
          <w:highlight w:val="none"/>
        </w:rPr>
        <w:t>已发出的</w:t>
      </w:r>
      <w:r>
        <w:rPr>
          <w:rFonts w:hint="eastAsia" w:ascii="宋体" w:hAnsi="宋体" w:eastAsia="宋体" w:cs="Times New Roman"/>
          <w:sz w:val="24"/>
          <w:highlight w:val="none"/>
        </w:rPr>
        <w:t>招标文件进行</w:t>
      </w:r>
      <w:r>
        <w:rPr>
          <w:rFonts w:hint="eastAsia" w:ascii="宋体" w:hAnsi="宋体"/>
          <w:sz w:val="24"/>
          <w:highlight w:val="none"/>
        </w:rPr>
        <w:t>必要的澄清或者</w:t>
      </w:r>
      <w:r>
        <w:rPr>
          <w:rFonts w:hint="eastAsia" w:ascii="宋体" w:hAnsi="宋体" w:eastAsia="宋体" w:cs="Times New Roman"/>
          <w:sz w:val="24"/>
          <w:highlight w:val="none"/>
        </w:rPr>
        <w:t>修改</w:t>
      </w:r>
      <w:r>
        <w:rPr>
          <w:rFonts w:hint="eastAsia" w:ascii="宋体" w:hAnsi="宋体" w:cs="Times New Roman"/>
          <w:sz w:val="24"/>
          <w:highlight w:val="none"/>
        </w:rPr>
        <w:t>，并</w:t>
      </w:r>
      <w:r>
        <w:rPr>
          <w:rFonts w:hint="eastAsia" w:ascii="宋体" w:hAnsi="宋体" w:eastAsia="宋体" w:cs="Times New Roman"/>
          <w:sz w:val="24"/>
          <w:highlight w:val="none"/>
        </w:rPr>
        <w:t>在原</w:t>
      </w:r>
      <w:r>
        <w:rPr>
          <w:rFonts w:ascii="宋体" w:hAnsi="宋体" w:eastAsia="宋体" w:cs="Times New Roman"/>
          <w:sz w:val="24"/>
          <w:highlight w:val="none"/>
        </w:rPr>
        <w:t>公告</w:t>
      </w:r>
      <w:r>
        <w:rPr>
          <w:rFonts w:hint="eastAsia" w:ascii="宋体" w:hAnsi="宋体" w:cs="Times New Roman"/>
          <w:sz w:val="24"/>
          <w:highlight w:val="none"/>
        </w:rPr>
        <w:t>发布</w:t>
      </w:r>
      <w:r>
        <w:rPr>
          <w:rFonts w:hint="eastAsia" w:ascii="宋体" w:hAnsi="宋体" w:eastAsia="宋体" w:cs="Times New Roman"/>
          <w:sz w:val="24"/>
          <w:highlight w:val="none"/>
        </w:rPr>
        <w:t>媒体发布更正公告，</w:t>
      </w:r>
      <w:r>
        <w:rPr>
          <w:rFonts w:hint="eastAsia" w:ascii="宋体" w:hAnsi="宋体"/>
          <w:sz w:val="24"/>
          <w:highlight w:val="none"/>
        </w:rPr>
        <w:t>澄清或者修改的</w:t>
      </w:r>
      <w:r>
        <w:rPr>
          <w:rFonts w:hint="eastAsia" w:ascii="宋体" w:hAnsi="宋体" w:eastAsia="宋体" w:cs="Times New Roman"/>
          <w:sz w:val="24"/>
          <w:highlight w:val="none"/>
        </w:rPr>
        <w:t>内容将作为招标文件的组成部分，并对投标人具有约束力。</w:t>
      </w:r>
    </w:p>
    <w:p w14:paraId="4B9BCD40">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5.2</w:t>
      </w:r>
      <w:r>
        <w:rPr>
          <w:rFonts w:hint="eastAsia" w:ascii="宋体" w:hAnsi="宋体" w:eastAsia="宋体" w:cs="Times New Roman"/>
          <w:sz w:val="24"/>
          <w:highlight w:val="none"/>
        </w:rPr>
        <w:t>投标人应在投标截止时间前，关注原公告</w:t>
      </w:r>
      <w:r>
        <w:rPr>
          <w:rFonts w:hint="eastAsia" w:ascii="宋体" w:hAnsi="宋体" w:cs="Times New Roman"/>
          <w:sz w:val="24"/>
          <w:highlight w:val="none"/>
        </w:rPr>
        <w:t>发布</w:t>
      </w:r>
      <w:r>
        <w:rPr>
          <w:rFonts w:hint="eastAsia" w:ascii="宋体" w:hAnsi="宋体" w:eastAsia="宋体" w:cs="Times New Roman"/>
          <w:sz w:val="24"/>
          <w:highlight w:val="none"/>
        </w:rPr>
        <w:t>媒体有关本项目的更正公告，根据更正公告内容自行决定是否需要重新制作和提交投标文件，并承担由此产生的相应责任。</w:t>
      </w:r>
    </w:p>
    <w:p w14:paraId="38251CE6">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5.3招标人或者招标代理机构</w:t>
      </w:r>
      <w:r>
        <w:rPr>
          <w:rFonts w:hint="eastAsia" w:ascii="宋体" w:hAnsi="宋体" w:eastAsia="宋体" w:cs="Times New Roman"/>
          <w:sz w:val="24"/>
          <w:highlight w:val="none"/>
        </w:rPr>
        <w:t>有权按照法定要求推迟投标截止日期和开标日期，并在原公告</w:t>
      </w:r>
      <w:r>
        <w:rPr>
          <w:rFonts w:hint="eastAsia" w:ascii="宋体" w:hAnsi="宋体" w:cs="Times New Roman"/>
          <w:sz w:val="24"/>
          <w:highlight w:val="none"/>
        </w:rPr>
        <w:t>发布</w:t>
      </w:r>
      <w:r>
        <w:rPr>
          <w:rFonts w:hint="eastAsia" w:ascii="宋体" w:hAnsi="宋体" w:eastAsia="宋体" w:cs="Times New Roman"/>
          <w:sz w:val="24"/>
          <w:highlight w:val="none"/>
        </w:rPr>
        <w:t>媒体发布更正公告。</w:t>
      </w:r>
    </w:p>
    <w:p w14:paraId="06DD4A8D">
      <w:pPr>
        <w:shd w:val="clear" w:color="auto" w:fill="FFFFFF"/>
        <w:spacing w:line="360" w:lineRule="auto"/>
        <w:jc w:val="both"/>
        <w:rPr>
          <w:rFonts w:ascii="宋体" w:hAnsi="宋体" w:eastAsia="宋体" w:cs="Arial"/>
          <w:sz w:val="24"/>
          <w:szCs w:val="24"/>
          <w:highlight w:val="none"/>
        </w:rPr>
      </w:pPr>
      <w:r>
        <w:rPr>
          <w:rFonts w:hint="eastAsia" w:ascii="宋体" w:hAnsi="宋体" w:eastAsia="宋体" w:cs="Arial"/>
          <w:b/>
          <w:bCs/>
          <w:sz w:val="24"/>
          <w:szCs w:val="24"/>
          <w:highlight w:val="none"/>
        </w:rPr>
        <w:t>三、投标文件的编制</w:t>
      </w:r>
    </w:p>
    <w:p w14:paraId="6BDDD55D">
      <w:pPr>
        <w:widowControl w:val="0"/>
        <w:shd w:val="clear" w:color="auto" w:fill="FFFFFF"/>
        <w:spacing w:line="360" w:lineRule="auto"/>
        <w:ind w:firstLine="482" w:firstLineChars="200"/>
        <w:rPr>
          <w:rFonts w:ascii="宋体" w:hAnsi="宋体" w:eastAsia="宋体" w:cs="Arial"/>
          <w:b/>
          <w:bCs/>
          <w:sz w:val="24"/>
          <w:szCs w:val="24"/>
          <w:highlight w:val="none"/>
        </w:rPr>
      </w:pPr>
      <w:r>
        <w:rPr>
          <w:rFonts w:ascii="宋体" w:hAnsi="宋体" w:eastAsia="宋体" w:cs="Arial"/>
          <w:b/>
          <w:bCs/>
          <w:sz w:val="24"/>
          <w:szCs w:val="24"/>
          <w:highlight w:val="none"/>
        </w:rPr>
        <w:t>6</w:t>
      </w:r>
      <w:r>
        <w:rPr>
          <w:rFonts w:hint="eastAsia" w:ascii="宋体" w:hAnsi="宋体" w:eastAsia="宋体" w:cs="Arial"/>
          <w:b/>
          <w:bCs/>
          <w:sz w:val="24"/>
          <w:szCs w:val="24"/>
          <w:highlight w:val="none"/>
        </w:rPr>
        <w:t>、投标文件的语言、计量单位、货币和编制</w:t>
      </w:r>
    </w:p>
    <w:p w14:paraId="1D36FE5E">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6.1投标人提交的投标文件、技术文件和资料，包括图纸中的说明，以及投标人与招标代理机构就有关投标的所有来往函电均应使用中文。投标文件中若有英文或其他语言文字的资料，应提供相应的中文翻译资料。对不同文本投标文件的解释发生异议的，以中文文本为准。</w:t>
      </w:r>
    </w:p>
    <w:p w14:paraId="578DDC21">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6.2投标人所使用的计量单位应为国家法定计量单位。</w:t>
      </w:r>
    </w:p>
    <w:p w14:paraId="691DDBDA">
      <w:pPr>
        <w:widowControl w:val="0"/>
        <w:shd w:val="clear" w:color="auto" w:fill="FFFFFF"/>
        <w:spacing w:line="360" w:lineRule="auto"/>
        <w:ind w:firstLine="480" w:firstLineChars="200"/>
        <w:jc w:val="both"/>
        <w:rPr>
          <w:rFonts w:ascii="宋体" w:hAnsi="宋体" w:eastAsia="宋体" w:cs="Arial"/>
          <w:b/>
          <w:bCs/>
          <w:sz w:val="24"/>
          <w:szCs w:val="24"/>
          <w:highlight w:val="none"/>
        </w:rPr>
      </w:pPr>
      <w:r>
        <w:rPr>
          <w:rFonts w:hint="eastAsia" w:ascii="宋体" w:hAnsi="宋体" w:eastAsia="宋体" w:cs="Arial"/>
          <w:sz w:val="24"/>
          <w:szCs w:val="24"/>
          <w:highlight w:val="none"/>
        </w:rPr>
        <w:t>6.3投标人应用人民币报价。投标产品如果是进口产品的，应提供人民币与</w:t>
      </w:r>
      <w:r>
        <w:rPr>
          <w:rFonts w:hint="eastAsia" w:ascii="宋体" w:hAnsi="宋体" w:eastAsia="宋体" w:cs="Arial"/>
          <w:b/>
          <w:bCs/>
          <w:sz w:val="24"/>
          <w:szCs w:val="24"/>
          <w:highlight w:val="none"/>
        </w:rPr>
        <w:t>外币之间的汇率；报价单位为“元”。</w:t>
      </w:r>
    </w:p>
    <w:p w14:paraId="73233FBE">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6.4投标人应在投标文件中写清相应的项目编号、项目名称、投标人全称、地址、电话、传真等。</w:t>
      </w:r>
    </w:p>
    <w:p w14:paraId="6FA4B113">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6.5投标人根据招标文件载明的标的采购项目实际情况，拟在中标后将中标项目的非主体、非关键性工作交由他人完成的，应当在投标文件中载明。</w:t>
      </w:r>
    </w:p>
    <w:p w14:paraId="302BDD00">
      <w:pPr>
        <w:widowControl w:val="0"/>
        <w:shd w:val="clear" w:color="auto" w:fill="FFFFFF"/>
        <w:spacing w:line="360" w:lineRule="auto"/>
        <w:ind w:firstLine="482" w:firstLineChars="200"/>
        <w:rPr>
          <w:rFonts w:ascii="宋体" w:hAnsi="宋体" w:eastAsia="宋体" w:cs="Arial"/>
          <w:b/>
          <w:bCs/>
          <w:sz w:val="24"/>
          <w:szCs w:val="24"/>
          <w:highlight w:val="none"/>
        </w:rPr>
      </w:pPr>
      <w:r>
        <w:rPr>
          <w:rFonts w:ascii="宋体" w:hAnsi="宋体" w:eastAsia="宋体" w:cs="Arial"/>
          <w:b/>
          <w:bCs/>
          <w:sz w:val="24"/>
          <w:szCs w:val="24"/>
          <w:highlight w:val="none"/>
        </w:rPr>
        <w:t>7</w:t>
      </w:r>
      <w:r>
        <w:rPr>
          <w:rFonts w:hint="eastAsia" w:ascii="宋体" w:hAnsi="宋体" w:eastAsia="宋体" w:cs="Arial"/>
          <w:b/>
          <w:bCs/>
          <w:sz w:val="24"/>
          <w:szCs w:val="24"/>
          <w:highlight w:val="none"/>
        </w:rPr>
        <w:t>、联合体投标</w:t>
      </w:r>
    </w:p>
    <w:p w14:paraId="7B1DC696">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7.1 两个以上的自然人、法人或者其他组织可以组成一个联合体，以一个投标人的身份共同参加政府采购。</w:t>
      </w:r>
    </w:p>
    <w:p w14:paraId="4CCE0ED0">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7.2 联合体中有同类资质的投标人按照联合体分工承担相同工作的，按照资质等级较低的投标人确定资质等级。</w:t>
      </w:r>
    </w:p>
    <w:p w14:paraId="03A55590">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7.3 联合体各方之间应当签订联合体协议，明确约定联合体各方承担的工作和相应的责任，并将联合体协议连同投标文件一同提交。</w:t>
      </w:r>
    </w:p>
    <w:p w14:paraId="47292508">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7.4 以联合体形式参加政府采购活动的，联合体各方不得再单独参加或者与其他投标人另外组成联合体参加同一合同项下的政府采购活动。</w:t>
      </w:r>
    </w:p>
    <w:p w14:paraId="061ED2AB">
      <w:pPr>
        <w:widowControl w:val="0"/>
        <w:shd w:val="clear" w:color="auto" w:fill="FFFFFF"/>
        <w:spacing w:line="360" w:lineRule="auto"/>
        <w:ind w:firstLine="482" w:firstLineChars="200"/>
        <w:rPr>
          <w:rFonts w:ascii="宋体" w:hAnsi="宋体" w:eastAsia="宋体" w:cs="Arial"/>
          <w:b/>
          <w:bCs/>
          <w:sz w:val="24"/>
          <w:szCs w:val="24"/>
          <w:highlight w:val="none"/>
        </w:rPr>
      </w:pPr>
      <w:r>
        <w:rPr>
          <w:rFonts w:ascii="宋体" w:hAnsi="宋体" w:eastAsia="宋体" w:cs="Arial"/>
          <w:b/>
          <w:bCs/>
          <w:sz w:val="24"/>
          <w:szCs w:val="24"/>
          <w:highlight w:val="none"/>
        </w:rPr>
        <w:t>8</w:t>
      </w:r>
      <w:r>
        <w:rPr>
          <w:rFonts w:hint="eastAsia" w:ascii="宋体" w:hAnsi="宋体" w:eastAsia="宋体" w:cs="Arial"/>
          <w:b/>
          <w:bCs/>
          <w:sz w:val="24"/>
          <w:szCs w:val="24"/>
          <w:highlight w:val="none"/>
        </w:rPr>
        <w:t>、投标文件的组成</w:t>
      </w:r>
    </w:p>
    <w:p w14:paraId="1E3C74E9">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8.1投标人应当根据招标文件要求编制投标文件，投标文件应对招标文件提出的要求和条件作出实质性响应，并在《商务条款偏离表》和《技术条款偏离表》等处逐条标明满足与否。</w:t>
      </w:r>
    </w:p>
    <w:p w14:paraId="5B0EE8ED">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8.2 投标文件由商务部分、技术部分、价格部分以及其他部分组成。</w:t>
      </w:r>
    </w:p>
    <w:p w14:paraId="7FE0D03E">
      <w:pPr>
        <w:widowControl w:val="0"/>
        <w:shd w:val="clear" w:color="auto" w:fill="FFFFFF"/>
        <w:spacing w:line="360" w:lineRule="auto"/>
        <w:ind w:firstLine="482" w:firstLineChars="200"/>
        <w:rPr>
          <w:rFonts w:ascii="宋体" w:hAnsi="宋体" w:eastAsia="宋体" w:cs="Arial"/>
          <w:b/>
          <w:bCs/>
          <w:sz w:val="24"/>
          <w:szCs w:val="24"/>
          <w:highlight w:val="none"/>
        </w:rPr>
      </w:pPr>
      <w:r>
        <w:rPr>
          <w:rFonts w:ascii="宋体" w:hAnsi="宋体" w:eastAsia="宋体" w:cs="Arial"/>
          <w:b/>
          <w:bCs/>
          <w:sz w:val="24"/>
          <w:szCs w:val="24"/>
          <w:highlight w:val="none"/>
        </w:rPr>
        <w:t>9</w:t>
      </w:r>
      <w:r>
        <w:rPr>
          <w:rFonts w:hint="eastAsia" w:ascii="宋体" w:hAnsi="宋体" w:eastAsia="宋体" w:cs="Arial"/>
          <w:b/>
          <w:bCs/>
          <w:sz w:val="24"/>
          <w:szCs w:val="24"/>
          <w:highlight w:val="none"/>
        </w:rPr>
        <w:t>、投标文件的商务部分</w:t>
      </w:r>
    </w:p>
    <w:p w14:paraId="7DC36B79">
      <w:pPr>
        <w:widowControl w:val="0"/>
        <w:shd w:val="clear" w:color="auto" w:fill="FFFFFF"/>
        <w:spacing w:line="360" w:lineRule="auto"/>
        <w:ind w:firstLine="480" w:firstLineChars="200"/>
        <w:jc w:val="both"/>
        <w:rPr>
          <w:rFonts w:ascii="宋体" w:hAnsi="宋体" w:eastAsia="宋体" w:cs="Arial"/>
          <w:b/>
          <w:bCs/>
          <w:sz w:val="24"/>
          <w:szCs w:val="24"/>
          <w:highlight w:val="none"/>
        </w:rPr>
      </w:pPr>
      <w:r>
        <w:rPr>
          <w:rFonts w:hint="eastAsia" w:ascii="宋体" w:hAnsi="宋体" w:eastAsia="宋体" w:cs="Arial"/>
          <w:sz w:val="24"/>
          <w:szCs w:val="24"/>
          <w:highlight w:val="none"/>
        </w:rPr>
        <w:t>9.1商务部分是证明投标人有资格参加投标和中标后有能力履行合同的文件，这些文件应能满足招标的要求，包括但不限于下列文件，</w:t>
      </w:r>
      <w:r>
        <w:rPr>
          <w:rFonts w:ascii="宋体" w:hAnsi="宋体" w:eastAsia="宋体" w:cs="Times New Roman"/>
          <w:sz w:val="24"/>
          <w:szCs w:val="24"/>
          <w:highlight w:val="none"/>
          <w:lang w:val="zh-CN"/>
        </w:rPr>
        <w:t>其中加“</w:t>
      </w:r>
      <w:r>
        <w:rPr>
          <w:rFonts w:hint="eastAsia" w:ascii="宋体" w:hAnsi="宋体" w:eastAsia="宋体" w:cs="宋体"/>
          <w:sz w:val="24"/>
          <w:szCs w:val="24"/>
          <w:highlight w:val="none"/>
          <w:lang w:val="zh-CN"/>
        </w:rPr>
        <w:t>★</w:t>
      </w:r>
      <w:r>
        <w:rPr>
          <w:rFonts w:ascii="宋体" w:hAnsi="宋体" w:eastAsia="宋体" w:cs="Times New Roman"/>
          <w:sz w:val="24"/>
          <w:szCs w:val="24"/>
          <w:highlight w:val="none"/>
          <w:lang w:val="zh-CN"/>
        </w:rPr>
        <w:t>”项目不得有缺失或无效：</w:t>
      </w:r>
    </w:p>
    <w:p w14:paraId="4C0AA9F5">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（1）</w:t>
      </w:r>
      <w:r>
        <w:rPr>
          <w:rFonts w:hint="eastAsia" w:ascii="宋体" w:hAnsi="宋体" w:eastAsia="宋体" w:cs="宋体"/>
          <w:sz w:val="24"/>
          <w:szCs w:val="24"/>
          <w:highlight w:val="none"/>
          <w:lang w:val="zh-CN"/>
        </w:rPr>
        <w:t>★</w:t>
      </w:r>
      <w:r>
        <w:rPr>
          <w:rFonts w:hint="eastAsia" w:ascii="宋体" w:hAnsi="宋体" w:eastAsia="宋体" w:cs="Arial"/>
          <w:sz w:val="24"/>
          <w:szCs w:val="24"/>
          <w:highlight w:val="none"/>
        </w:rPr>
        <w:t>投标函（投标申请及声明）</w:t>
      </w:r>
      <w:r>
        <w:rPr>
          <w:rFonts w:hint="eastAsia" w:ascii="宋体" w:hAnsi="宋体" w:eastAsia="宋体" w:cs="Arial"/>
          <w:b/>
          <w:bCs/>
          <w:sz w:val="24"/>
          <w:szCs w:val="24"/>
          <w:highlight w:val="none"/>
        </w:rPr>
        <w:t>（格式见第六章）</w:t>
      </w:r>
      <w:r>
        <w:rPr>
          <w:rFonts w:hint="eastAsia" w:ascii="宋体" w:hAnsi="宋体" w:eastAsia="宋体" w:cs="Arial"/>
          <w:sz w:val="24"/>
          <w:szCs w:val="24"/>
          <w:highlight w:val="none"/>
        </w:rPr>
        <w:t>；</w:t>
      </w:r>
    </w:p>
    <w:p w14:paraId="01870868">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（2）</w:t>
      </w:r>
      <w:r>
        <w:rPr>
          <w:rFonts w:hint="eastAsia" w:ascii="宋体" w:hAnsi="宋体" w:eastAsia="宋体" w:cs="宋体"/>
          <w:sz w:val="24"/>
          <w:szCs w:val="24"/>
          <w:highlight w:val="none"/>
          <w:lang w:val="zh-CN"/>
        </w:rPr>
        <w:t>★</w:t>
      </w:r>
      <w:r>
        <w:rPr>
          <w:rFonts w:hint="eastAsia" w:ascii="宋体" w:hAnsi="宋体" w:eastAsia="宋体" w:cs="Arial"/>
          <w:sz w:val="24"/>
          <w:szCs w:val="24"/>
          <w:highlight w:val="none"/>
        </w:rPr>
        <w:t>法定代表人授权委托书及委托代理人的身份证明文件的复印件</w:t>
      </w:r>
      <w:r>
        <w:rPr>
          <w:rFonts w:hint="eastAsia" w:ascii="宋体" w:hAnsi="宋体" w:eastAsia="宋体" w:cs="Arial"/>
          <w:b/>
          <w:bCs/>
          <w:sz w:val="24"/>
          <w:szCs w:val="24"/>
          <w:highlight w:val="none"/>
        </w:rPr>
        <w:t>（格式见第六章）</w:t>
      </w:r>
      <w:r>
        <w:rPr>
          <w:rFonts w:hint="eastAsia" w:ascii="宋体" w:hAnsi="宋体" w:eastAsia="宋体" w:cs="Arial"/>
          <w:sz w:val="24"/>
          <w:szCs w:val="24"/>
          <w:highlight w:val="none"/>
        </w:rPr>
        <w:t>；</w:t>
      </w:r>
    </w:p>
    <w:p w14:paraId="27651E33">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（3）</w:t>
      </w:r>
      <w:r>
        <w:rPr>
          <w:rFonts w:hint="eastAsia" w:ascii="宋体" w:hAnsi="宋体" w:eastAsia="宋体" w:cs="宋体"/>
          <w:sz w:val="24"/>
          <w:szCs w:val="24"/>
          <w:highlight w:val="none"/>
          <w:lang w:val="zh-CN"/>
        </w:rPr>
        <w:t>★</w:t>
      </w:r>
      <w:r>
        <w:rPr>
          <w:rFonts w:hint="eastAsia" w:ascii="宋体" w:hAnsi="宋体" w:eastAsia="宋体" w:cs="Arial"/>
          <w:sz w:val="24"/>
          <w:szCs w:val="24"/>
          <w:highlight w:val="none"/>
        </w:rPr>
        <w:t>投标人资格资信证明文件：</w:t>
      </w:r>
    </w:p>
    <w:p w14:paraId="46868277">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1）</w:t>
      </w:r>
      <w:r>
        <w:rPr>
          <w:rFonts w:hint="eastAsia" w:ascii="宋体" w:hAnsi="宋体" w:eastAsia="宋体" w:cs="宋体"/>
          <w:sz w:val="24"/>
          <w:szCs w:val="24"/>
          <w:highlight w:val="none"/>
          <w:lang w:val="zh-CN"/>
        </w:rPr>
        <w:t>★</w:t>
      </w:r>
      <w:r>
        <w:rPr>
          <w:rFonts w:hint="eastAsia" w:ascii="宋体" w:hAnsi="宋体" w:eastAsia="宋体" w:cs="Arial"/>
          <w:sz w:val="24"/>
          <w:szCs w:val="24"/>
          <w:highlight w:val="none"/>
        </w:rPr>
        <w:t>第一章招标公告中（一）《中华人民共和国政府采购法》规定的资格条件证明文件；</w:t>
      </w:r>
    </w:p>
    <w:p w14:paraId="049148FC">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2）</w:t>
      </w:r>
      <w:r>
        <w:rPr>
          <w:rFonts w:hint="eastAsia" w:ascii="宋体" w:hAnsi="宋体" w:eastAsia="宋体" w:cs="宋体"/>
          <w:sz w:val="24"/>
          <w:szCs w:val="24"/>
          <w:highlight w:val="none"/>
          <w:lang w:val="zh-CN"/>
        </w:rPr>
        <w:t>★</w:t>
      </w:r>
      <w:r>
        <w:rPr>
          <w:rFonts w:hint="eastAsia" w:ascii="宋体" w:hAnsi="宋体" w:eastAsia="宋体" w:cs="Arial"/>
          <w:sz w:val="24"/>
          <w:szCs w:val="24"/>
          <w:highlight w:val="none"/>
        </w:rPr>
        <w:t>第一章招标公告中（二）落实政府采购政策需满足的资格要求；</w:t>
      </w:r>
    </w:p>
    <w:p w14:paraId="0E9AEB48">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3）</w:t>
      </w:r>
      <w:r>
        <w:rPr>
          <w:rFonts w:hint="eastAsia" w:ascii="宋体" w:hAnsi="宋体" w:eastAsia="宋体" w:cs="宋体"/>
          <w:sz w:val="24"/>
          <w:szCs w:val="24"/>
          <w:highlight w:val="none"/>
          <w:lang w:val="zh-CN"/>
        </w:rPr>
        <w:t>★</w:t>
      </w:r>
      <w:r>
        <w:rPr>
          <w:rFonts w:hint="eastAsia" w:ascii="宋体" w:hAnsi="宋体" w:eastAsia="宋体" w:cs="Arial"/>
          <w:sz w:val="24"/>
          <w:szCs w:val="24"/>
          <w:highlight w:val="none"/>
        </w:rPr>
        <w:t>第一章招标公告中（三）采购人根据采购项目的特殊要求规定的特定条件证明文件。</w:t>
      </w:r>
    </w:p>
    <w:p w14:paraId="3604EDCA">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（4）★开标一览表</w:t>
      </w:r>
      <w:r>
        <w:rPr>
          <w:rFonts w:hint="eastAsia" w:ascii="宋体" w:hAnsi="宋体" w:eastAsia="宋体" w:cs="Arial"/>
          <w:b/>
          <w:bCs/>
          <w:sz w:val="24"/>
          <w:szCs w:val="24"/>
          <w:highlight w:val="none"/>
        </w:rPr>
        <w:t>（格式见第六章）</w:t>
      </w:r>
      <w:r>
        <w:rPr>
          <w:rFonts w:hint="eastAsia" w:ascii="宋体" w:hAnsi="宋体" w:eastAsia="宋体" w:cs="Arial"/>
          <w:sz w:val="24"/>
          <w:szCs w:val="24"/>
          <w:highlight w:val="none"/>
        </w:rPr>
        <w:t>；</w:t>
      </w:r>
    </w:p>
    <w:p w14:paraId="6C249E26">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（5）★《</w:t>
      </w:r>
      <w:r>
        <w:rPr>
          <w:rFonts w:hint="eastAsia" w:ascii="宋体" w:hAnsi="宋体" w:eastAsia="宋体" w:cs="Arial"/>
          <w:sz w:val="24"/>
          <w:szCs w:val="24"/>
          <w:highlight w:val="none"/>
          <w:lang w:eastAsia="zh-CN"/>
        </w:rPr>
        <w:t>南京市政府采购供应商信用承诺书</w:t>
      </w:r>
      <w:r>
        <w:rPr>
          <w:rFonts w:hint="eastAsia" w:ascii="宋体" w:hAnsi="宋体" w:eastAsia="宋体" w:cs="Arial"/>
          <w:sz w:val="24"/>
          <w:szCs w:val="24"/>
          <w:highlight w:val="none"/>
        </w:rPr>
        <w:t>》</w:t>
      </w:r>
      <w:r>
        <w:rPr>
          <w:rFonts w:hint="eastAsia" w:ascii="宋体" w:hAnsi="宋体" w:eastAsia="宋体" w:cs="Arial"/>
          <w:b/>
          <w:bCs/>
          <w:sz w:val="24"/>
          <w:szCs w:val="24"/>
          <w:highlight w:val="none"/>
        </w:rPr>
        <w:t>（格式见第六章）</w:t>
      </w:r>
      <w:r>
        <w:rPr>
          <w:rFonts w:hint="eastAsia" w:ascii="宋体" w:hAnsi="宋体" w:eastAsia="宋体" w:cs="Arial"/>
          <w:sz w:val="24"/>
          <w:szCs w:val="24"/>
          <w:highlight w:val="none"/>
          <w:lang w:val="zh-CN"/>
        </w:rPr>
        <w:t>；</w:t>
      </w:r>
    </w:p>
    <w:p w14:paraId="1925E1C5">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（6）《商务条款偏离表》</w:t>
      </w:r>
      <w:r>
        <w:rPr>
          <w:rFonts w:hint="eastAsia" w:ascii="宋体" w:hAnsi="宋体" w:eastAsia="宋体" w:cs="Arial"/>
          <w:b/>
          <w:bCs/>
          <w:sz w:val="24"/>
          <w:szCs w:val="24"/>
          <w:highlight w:val="none"/>
        </w:rPr>
        <w:t>（格式见第六章）</w:t>
      </w:r>
      <w:r>
        <w:rPr>
          <w:rFonts w:hint="eastAsia" w:ascii="宋体" w:hAnsi="宋体" w:eastAsia="宋体" w:cs="Arial"/>
          <w:sz w:val="24"/>
          <w:szCs w:val="24"/>
          <w:highlight w:val="none"/>
        </w:rPr>
        <w:t>；</w:t>
      </w:r>
    </w:p>
    <w:p w14:paraId="69203185">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（7）分项报价表（如有）；</w:t>
      </w:r>
    </w:p>
    <w:p w14:paraId="04EA10F2">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（8）第三章评标标准中对应的其它所需证明材料（如有自行添加）；</w:t>
      </w:r>
    </w:p>
    <w:p w14:paraId="101B103C">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（9）要求采购人提供的配合（如有自拟并自行添加）；</w:t>
      </w:r>
    </w:p>
    <w:p w14:paraId="5B9447D5">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（10）其它（投标人认为有必要提供的声明和文件，如有，自行拟定并添加）。</w:t>
      </w:r>
    </w:p>
    <w:p w14:paraId="00FCAF17">
      <w:pPr>
        <w:widowControl w:val="0"/>
        <w:shd w:val="clear" w:color="auto" w:fill="FFFFFF"/>
        <w:spacing w:line="360" w:lineRule="auto"/>
        <w:ind w:firstLine="482" w:firstLineChars="200"/>
        <w:rPr>
          <w:rFonts w:ascii="宋体" w:hAnsi="宋体" w:eastAsia="宋体" w:cs="Arial"/>
          <w:b/>
          <w:bCs/>
          <w:sz w:val="24"/>
          <w:szCs w:val="24"/>
          <w:highlight w:val="none"/>
        </w:rPr>
      </w:pPr>
      <w:r>
        <w:rPr>
          <w:rFonts w:ascii="宋体" w:hAnsi="宋体" w:eastAsia="宋体" w:cs="Arial"/>
          <w:b/>
          <w:bCs/>
          <w:sz w:val="24"/>
          <w:szCs w:val="24"/>
          <w:highlight w:val="none"/>
        </w:rPr>
        <w:t>10</w:t>
      </w:r>
      <w:r>
        <w:rPr>
          <w:rFonts w:hint="eastAsia" w:ascii="宋体" w:hAnsi="宋体" w:eastAsia="宋体" w:cs="Arial"/>
          <w:b/>
          <w:bCs/>
          <w:sz w:val="24"/>
          <w:szCs w:val="24"/>
          <w:highlight w:val="none"/>
        </w:rPr>
        <w:t>、投标文件的技术部分</w:t>
      </w:r>
    </w:p>
    <w:p w14:paraId="508910F8">
      <w:pPr>
        <w:widowControl w:val="0"/>
        <w:spacing w:line="360" w:lineRule="auto"/>
        <w:ind w:firstLine="480" w:firstLineChars="200"/>
        <w:rPr>
          <w:rFonts w:ascii="宋体" w:hAnsi="宋体" w:eastAsia="宋体" w:cs="Arial"/>
          <w:sz w:val="24"/>
          <w:szCs w:val="24"/>
          <w:highlight w:val="none"/>
          <w:lang w:val="zh-CN"/>
        </w:rPr>
      </w:pPr>
      <w:r>
        <w:rPr>
          <w:rFonts w:hint="eastAsia" w:ascii="宋体" w:hAnsi="宋体" w:eastAsia="宋体" w:cs="Arial"/>
          <w:sz w:val="24"/>
          <w:szCs w:val="24"/>
          <w:highlight w:val="none"/>
          <w:lang w:val="zh-CN"/>
        </w:rPr>
        <w:t>技术部分是证明</w:t>
      </w:r>
      <w:r>
        <w:rPr>
          <w:rFonts w:hint="eastAsia" w:ascii="宋体" w:hAnsi="宋体" w:eastAsia="宋体" w:cs="Arial"/>
          <w:sz w:val="24"/>
          <w:szCs w:val="24"/>
          <w:highlight w:val="none"/>
        </w:rPr>
        <w:t>投标人提供的货物和服务是合格的、并符合招标文件要求的证明文件，以及</w:t>
      </w:r>
      <w:r>
        <w:rPr>
          <w:rFonts w:hint="eastAsia" w:ascii="宋体" w:hAnsi="宋体" w:eastAsia="宋体" w:cs="Arial"/>
          <w:sz w:val="24"/>
          <w:szCs w:val="24"/>
          <w:highlight w:val="none"/>
          <w:lang w:val="zh-CN"/>
        </w:rPr>
        <w:t>对货物和服务的详细说明，这些文件可以是文字资料、图纸和数据等。提供的货物和服务如与招标文件要求有不符之处，应说明其差别之所在。包括但不限于下列文件，</w:t>
      </w:r>
      <w:r>
        <w:rPr>
          <w:rFonts w:ascii="宋体" w:hAnsi="宋体" w:eastAsia="宋体" w:cs="Times New Roman"/>
          <w:sz w:val="24"/>
          <w:szCs w:val="24"/>
          <w:highlight w:val="none"/>
          <w:lang w:val="zh-CN"/>
        </w:rPr>
        <w:t>其中加“</w:t>
      </w:r>
      <w:r>
        <w:rPr>
          <w:rFonts w:hint="eastAsia" w:ascii="宋体" w:hAnsi="宋体" w:eastAsia="宋体" w:cs="宋体"/>
          <w:sz w:val="24"/>
          <w:szCs w:val="24"/>
          <w:highlight w:val="none"/>
          <w:lang w:val="zh-CN"/>
        </w:rPr>
        <w:t>★</w:t>
      </w:r>
      <w:r>
        <w:rPr>
          <w:rFonts w:ascii="宋体" w:hAnsi="宋体" w:eastAsia="宋体" w:cs="Times New Roman"/>
          <w:sz w:val="24"/>
          <w:szCs w:val="24"/>
          <w:highlight w:val="none"/>
          <w:lang w:val="zh-CN"/>
        </w:rPr>
        <w:t>”项目不得有缺失或无效：</w:t>
      </w:r>
    </w:p>
    <w:p w14:paraId="2F9C31F7">
      <w:pPr>
        <w:widowControl w:val="0"/>
        <w:spacing w:line="360" w:lineRule="auto"/>
        <w:ind w:firstLine="420"/>
        <w:rPr>
          <w:rFonts w:ascii="宋体" w:hAnsi="宋体" w:eastAsia="宋体" w:cs="Arial"/>
          <w:sz w:val="24"/>
          <w:szCs w:val="24"/>
          <w:highlight w:val="none"/>
          <w:lang w:val="zh-CN"/>
        </w:rPr>
      </w:pPr>
      <w:r>
        <w:rPr>
          <w:rFonts w:hint="eastAsia" w:ascii="宋体" w:hAnsi="宋体" w:eastAsia="宋体" w:cs="Arial"/>
          <w:sz w:val="24"/>
          <w:szCs w:val="24"/>
          <w:highlight w:val="none"/>
          <w:lang w:val="zh-CN"/>
        </w:rPr>
        <w:t>（1）项目实施方案；</w:t>
      </w:r>
    </w:p>
    <w:p w14:paraId="1AF0412C">
      <w:pPr>
        <w:widowControl w:val="0"/>
        <w:spacing w:line="360" w:lineRule="auto"/>
        <w:ind w:firstLine="420"/>
        <w:rPr>
          <w:rFonts w:ascii="宋体" w:hAnsi="宋体" w:eastAsia="宋体" w:cs="Arial"/>
          <w:sz w:val="24"/>
          <w:szCs w:val="24"/>
          <w:highlight w:val="none"/>
          <w:lang w:val="zh-CN"/>
        </w:rPr>
      </w:pPr>
      <w:r>
        <w:rPr>
          <w:rFonts w:hint="eastAsia" w:ascii="宋体" w:hAnsi="宋体" w:eastAsia="宋体" w:cs="Arial"/>
          <w:sz w:val="24"/>
          <w:szCs w:val="24"/>
          <w:highlight w:val="none"/>
          <w:lang w:val="zh-CN"/>
        </w:rPr>
        <w:t>（2）★《技术条款偏离表》；</w:t>
      </w:r>
    </w:p>
    <w:p w14:paraId="69D94654">
      <w:pPr>
        <w:widowControl w:val="0"/>
        <w:spacing w:line="360" w:lineRule="auto"/>
        <w:ind w:firstLine="420"/>
        <w:rPr>
          <w:rFonts w:ascii="宋体" w:hAnsi="宋体" w:eastAsia="宋体" w:cs="Arial"/>
          <w:sz w:val="24"/>
          <w:szCs w:val="24"/>
          <w:highlight w:val="none"/>
          <w:lang w:val="zh-CN"/>
        </w:rPr>
      </w:pPr>
      <w:r>
        <w:rPr>
          <w:rFonts w:hint="eastAsia" w:ascii="宋体" w:hAnsi="宋体" w:eastAsia="宋体" w:cs="Arial"/>
          <w:sz w:val="24"/>
          <w:szCs w:val="24"/>
          <w:highlight w:val="none"/>
          <w:lang w:val="zh-CN"/>
        </w:rPr>
        <w:t>（3）服务承诺；</w:t>
      </w:r>
    </w:p>
    <w:p w14:paraId="79423BFF">
      <w:pPr>
        <w:widowControl w:val="0"/>
        <w:spacing w:line="360" w:lineRule="auto"/>
        <w:ind w:firstLine="420"/>
        <w:rPr>
          <w:rFonts w:ascii="宋体" w:hAnsi="宋体" w:eastAsia="宋体" w:cs="Arial"/>
          <w:sz w:val="24"/>
          <w:szCs w:val="24"/>
          <w:highlight w:val="none"/>
          <w:lang w:val="zh-CN"/>
        </w:rPr>
      </w:pPr>
      <w:r>
        <w:rPr>
          <w:rFonts w:hint="eastAsia" w:ascii="宋体" w:hAnsi="宋体" w:eastAsia="宋体" w:cs="Arial"/>
          <w:sz w:val="24"/>
          <w:szCs w:val="24"/>
          <w:highlight w:val="none"/>
          <w:lang w:val="zh-CN"/>
        </w:rPr>
        <w:t>（4）投标人拟投入本项目的设备、人员情况一览表；</w:t>
      </w:r>
    </w:p>
    <w:p w14:paraId="2F342A44">
      <w:pPr>
        <w:widowControl w:val="0"/>
        <w:spacing w:line="360" w:lineRule="auto"/>
        <w:ind w:firstLine="420"/>
        <w:rPr>
          <w:rFonts w:ascii="宋体" w:hAnsi="宋体" w:eastAsia="宋体" w:cs="Arial"/>
          <w:sz w:val="24"/>
          <w:szCs w:val="24"/>
          <w:highlight w:val="none"/>
          <w:lang w:val="zh-CN"/>
        </w:rPr>
      </w:pPr>
      <w:r>
        <w:rPr>
          <w:rFonts w:hint="eastAsia" w:ascii="宋体" w:hAnsi="宋体" w:eastAsia="宋体" w:cs="Arial"/>
          <w:sz w:val="24"/>
          <w:szCs w:val="24"/>
          <w:highlight w:val="none"/>
          <w:lang w:val="zh-CN"/>
        </w:rPr>
        <w:t>（5）投标人认为需要提供的其他技术资料。</w:t>
      </w:r>
    </w:p>
    <w:p w14:paraId="5DBA6F68">
      <w:pPr>
        <w:widowControl w:val="0"/>
        <w:shd w:val="clear" w:color="auto" w:fill="FFFFFF"/>
        <w:spacing w:line="360" w:lineRule="auto"/>
        <w:ind w:firstLine="482" w:firstLineChars="200"/>
        <w:rPr>
          <w:rFonts w:ascii="宋体" w:hAnsi="宋体" w:eastAsia="宋体" w:cs="Arial"/>
          <w:b/>
          <w:bCs/>
          <w:sz w:val="24"/>
          <w:szCs w:val="24"/>
          <w:highlight w:val="none"/>
        </w:rPr>
      </w:pPr>
      <w:r>
        <w:rPr>
          <w:rFonts w:ascii="宋体" w:hAnsi="宋体" w:eastAsia="宋体" w:cs="Arial"/>
          <w:b/>
          <w:bCs/>
          <w:sz w:val="24"/>
          <w:szCs w:val="24"/>
          <w:highlight w:val="none"/>
        </w:rPr>
        <w:t>11</w:t>
      </w:r>
      <w:r>
        <w:rPr>
          <w:rFonts w:hint="eastAsia" w:ascii="宋体" w:hAnsi="宋体" w:eastAsia="宋体" w:cs="Arial"/>
          <w:b/>
          <w:bCs/>
          <w:sz w:val="24"/>
          <w:szCs w:val="24"/>
          <w:highlight w:val="none"/>
        </w:rPr>
        <w:t>、投标文件的价格部分</w:t>
      </w:r>
    </w:p>
    <w:p w14:paraId="280D4F2B">
      <w:pPr>
        <w:spacing w:line="360" w:lineRule="auto"/>
        <w:ind w:firstLine="480" w:firstLineChars="200"/>
        <w:rPr>
          <w:rFonts w:ascii="宋体" w:hAnsi="宋体" w:eastAsia="宋体" w:cs="宋体"/>
          <w:sz w:val="24"/>
          <w:szCs w:val="24"/>
          <w:highlight w:val="none"/>
          <w:lang w:val="zh-CN"/>
        </w:rPr>
      </w:pPr>
      <w:r>
        <w:rPr>
          <w:rFonts w:hint="eastAsia" w:ascii="宋体" w:hAnsi="宋体" w:eastAsia="宋体" w:cs="宋体"/>
          <w:sz w:val="24"/>
          <w:szCs w:val="24"/>
          <w:highlight w:val="none"/>
        </w:rPr>
        <w:t>11</w:t>
      </w:r>
      <w:r>
        <w:rPr>
          <w:rFonts w:hint="eastAsia" w:ascii="宋体" w:hAnsi="宋体" w:eastAsia="宋体" w:cs="宋体"/>
          <w:sz w:val="24"/>
          <w:szCs w:val="24"/>
          <w:highlight w:val="none"/>
          <w:lang w:val="zh-CN"/>
        </w:rPr>
        <w:t>.1 价格部分是对投标货物及服务价格构成的说明，每一项服务仅接受一个价格。</w:t>
      </w:r>
    </w:p>
    <w:p w14:paraId="74A97F70">
      <w:pPr>
        <w:spacing w:line="360" w:lineRule="auto"/>
        <w:ind w:firstLine="482"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11</w:t>
      </w:r>
      <w:r>
        <w:rPr>
          <w:rFonts w:hint="eastAsia" w:ascii="宋体" w:hAnsi="宋体" w:eastAsia="宋体" w:cs="宋体"/>
          <w:b/>
          <w:bCs/>
          <w:sz w:val="24"/>
          <w:szCs w:val="24"/>
          <w:highlight w:val="none"/>
          <w:lang w:val="zh-CN"/>
        </w:rPr>
        <w:t>.2</w:t>
      </w:r>
      <w:r>
        <w:rPr>
          <w:rFonts w:hint="eastAsia" w:ascii="宋体" w:hAnsi="宋体" w:eastAsia="宋体" w:cs="宋体"/>
          <w:b/>
          <w:bCs/>
          <w:sz w:val="24"/>
          <w:szCs w:val="24"/>
          <w:highlight w:val="none"/>
        </w:rPr>
        <w:t>政府采购提倡公平竞争，反对低于成本、串通报价、哄抬价格等恶意竞争行为，任何盲目压价、低于成本报价、串通哄抬报价等价格将会被拒绝。报价应低于市场平均价。</w:t>
      </w:r>
    </w:p>
    <w:p w14:paraId="712EF07A">
      <w:pPr>
        <w:spacing w:line="360" w:lineRule="auto"/>
        <w:ind w:firstLine="480" w:firstLineChars="200"/>
        <w:rPr>
          <w:rFonts w:ascii="宋体" w:hAnsi="宋体" w:eastAsia="宋体" w:cs="宋体"/>
          <w:b/>
          <w:sz w:val="24"/>
          <w:szCs w:val="24"/>
          <w:highlight w:val="none"/>
          <w:lang w:val="zh-CN"/>
        </w:rPr>
      </w:pPr>
      <w:r>
        <w:rPr>
          <w:rFonts w:hint="eastAsia" w:ascii="宋体" w:hAnsi="宋体" w:eastAsia="宋体" w:cs="宋体"/>
          <w:sz w:val="24"/>
          <w:szCs w:val="24"/>
          <w:highlight w:val="none"/>
        </w:rPr>
        <w:t>11.3投标报价</w:t>
      </w:r>
      <w:r>
        <w:rPr>
          <w:rFonts w:hint="eastAsia" w:ascii="宋体" w:hAnsi="宋体" w:eastAsia="宋体" w:cs="宋体"/>
          <w:sz w:val="24"/>
          <w:szCs w:val="24"/>
          <w:highlight w:val="none"/>
          <w:lang w:val="zh-CN"/>
        </w:rPr>
        <w:t>是招标文件所确定的采购范围内的全部货物或服务的价格体现。</w:t>
      </w:r>
      <w:r>
        <w:rPr>
          <w:rFonts w:hint="eastAsia" w:ascii="宋体" w:hAnsi="宋体" w:eastAsia="宋体" w:cs="宋体"/>
          <w:b/>
          <w:sz w:val="24"/>
          <w:szCs w:val="24"/>
          <w:highlight w:val="none"/>
          <w:lang w:val="zh-CN"/>
        </w:rPr>
        <w:t>投标报价：包括但不限于完成文件所确定的服务范围所需的劳务、材料、设备、管理、维护、利润、税金（包含个人所得税）等全部费用，及政策性文件规定及实施过程中所有风险、责任等各项应有费用，不论其在采购文件中是否有提及。投标人应根据上述因素自行考虑含入投标报价。</w:t>
      </w:r>
    </w:p>
    <w:p w14:paraId="24EB55B1">
      <w:pPr>
        <w:spacing w:line="360" w:lineRule="auto"/>
        <w:ind w:firstLine="480" w:firstLineChars="200"/>
        <w:rPr>
          <w:rFonts w:ascii="宋体" w:hAnsi="宋体" w:eastAsia="宋体" w:cs="宋体"/>
          <w:b/>
          <w:sz w:val="24"/>
          <w:szCs w:val="24"/>
          <w:highlight w:val="none"/>
        </w:rPr>
      </w:pPr>
      <w:r>
        <w:rPr>
          <w:rFonts w:hint="eastAsia" w:ascii="宋体" w:hAnsi="宋体" w:eastAsia="宋体" w:cs="宋体"/>
          <w:sz w:val="24"/>
          <w:szCs w:val="24"/>
          <w:highlight w:val="none"/>
          <w:lang w:val="zh-CN"/>
        </w:rPr>
        <w:t>1</w:t>
      </w:r>
      <w:r>
        <w:rPr>
          <w:rFonts w:hint="eastAsia" w:ascii="宋体" w:hAnsi="宋体" w:eastAsia="宋体" w:cs="宋体"/>
          <w:sz w:val="24"/>
          <w:szCs w:val="24"/>
          <w:highlight w:val="none"/>
        </w:rPr>
        <w:t>1</w:t>
      </w:r>
      <w:r>
        <w:rPr>
          <w:rFonts w:hint="eastAsia" w:ascii="宋体" w:hAnsi="宋体" w:eastAsia="宋体" w:cs="宋体"/>
          <w:sz w:val="24"/>
          <w:szCs w:val="24"/>
          <w:highlight w:val="none"/>
          <w:lang w:val="zh-CN"/>
        </w:rPr>
        <w:t xml:space="preserve">.4 </w:t>
      </w:r>
      <w:r>
        <w:rPr>
          <w:rFonts w:hint="eastAsia" w:ascii="宋体" w:hAnsi="宋体" w:eastAsia="宋体" w:cs="宋体"/>
          <w:sz w:val="24"/>
          <w:szCs w:val="24"/>
          <w:highlight w:val="none"/>
        </w:rPr>
        <w:t>投标人的任何错漏、优惠、竞争性报价不得作为减轻责任、减少服务、增加收费、降低质量的理由。在验收过程中，如发现有漏项、缺件，投标方应无条件、无偿补齐，所发生的一切费用，视为已包含在投标方的最终投标报价中。</w:t>
      </w:r>
    </w:p>
    <w:p w14:paraId="12A09CCE">
      <w:pPr>
        <w:spacing w:line="360" w:lineRule="auto"/>
        <w:ind w:firstLine="480" w:firstLineChars="200"/>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1</w:t>
      </w:r>
      <w:r>
        <w:rPr>
          <w:rFonts w:hint="eastAsia" w:ascii="宋体" w:hAnsi="宋体" w:eastAsia="宋体" w:cs="宋体"/>
          <w:sz w:val="24"/>
          <w:szCs w:val="24"/>
          <w:highlight w:val="none"/>
        </w:rPr>
        <w:t>1</w:t>
      </w:r>
      <w:r>
        <w:rPr>
          <w:rFonts w:hint="eastAsia" w:ascii="宋体" w:hAnsi="宋体" w:eastAsia="宋体" w:cs="宋体"/>
          <w:sz w:val="24"/>
          <w:szCs w:val="24"/>
          <w:highlight w:val="none"/>
          <w:lang w:val="zh-CN"/>
        </w:rPr>
        <w:t>.5 投标人应在《开标一览表》等标明提供货物及服务的</w:t>
      </w:r>
      <w:r>
        <w:rPr>
          <w:rFonts w:hint="eastAsia" w:ascii="宋体" w:hAnsi="宋体" w:eastAsia="宋体" w:cs="宋体"/>
          <w:bCs/>
          <w:sz w:val="24"/>
          <w:szCs w:val="24"/>
          <w:highlight w:val="none"/>
          <w:lang w:val="zh-CN"/>
        </w:rPr>
        <w:t>投标</w:t>
      </w:r>
      <w:r>
        <w:rPr>
          <w:rFonts w:hint="eastAsia" w:ascii="宋体" w:hAnsi="宋体" w:eastAsia="宋体" w:cs="宋体"/>
          <w:sz w:val="24"/>
          <w:szCs w:val="24"/>
          <w:highlight w:val="none"/>
          <w:lang w:val="zh-CN"/>
        </w:rPr>
        <w:t>报价。投标人系</w:t>
      </w:r>
      <w:r>
        <w:rPr>
          <w:rFonts w:hint="eastAsia" w:ascii="宋体" w:hAnsi="宋体" w:eastAsia="宋体" w:cs="宋体"/>
          <w:b/>
          <w:sz w:val="24"/>
          <w:szCs w:val="24"/>
          <w:highlight w:val="none"/>
          <w:lang w:val="zh-CN"/>
        </w:rPr>
        <w:t>小企业（含小型、微型企业、</w:t>
      </w:r>
      <w:r>
        <w:rPr>
          <w:rFonts w:hint="eastAsia" w:ascii="宋体" w:hAnsi="宋体" w:eastAsia="宋体" w:cs="宋体"/>
          <w:b/>
          <w:sz w:val="24"/>
          <w:szCs w:val="24"/>
          <w:highlight w:val="none"/>
        </w:rPr>
        <w:t>监狱企业</w:t>
      </w:r>
      <w:r>
        <w:rPr>
          <w:rFonts w:hint="eastAsia" w:ascii="宋体" w:hAnsi="宋体" w:eastAsia="宋体" w:cs="宋体"/>
          <w:b/>
          <w:sz w:val="24"/>
          <w:szCs w:val="24"/>
          <w:highlight w:val="none"/>
          <w:lang w:val="zh-CN"/>
        </w:rPr>
        <w:t>），</w:t>
      </w:r>
      <w:r>
        <w:rPr>
          <w:rFonts w:hint="eastAsia" w:ascii="宋体" w:hAnsi="宋体" w:eastAsia="宋体" w:cs="宋体"/>
          <w:sz w:val="24"/>
          <w:szCs w:val="24"/>
          <w:highlight w:val="none"/>
        </w:rPr>
        <w:t>须在</w:t>
      </w:r>
      <w:r>
        <w:rPr>
          <w:rFonts w:hint="eastAsia" w:ascii="宋体" w:hAnsi="宋体" w:eastAsia="宋体" w:cs="宋体"/>
          <w:sz w:val="24"/>
          <w:szCs w:val="24"/>
          <w:highlight w:val="none"/>
          <w:lang w:val="zh-CN"/>
        </w:rPr>
        <w:t>《开标一览表》中注明，如无法划分计算的，将不予认可。</w:t>
      </w:r>
    </w:p>
    <w:p w14:paraId="1926BA71">
      <w:pPr>
        <w:spacing w:line="360" w:lineRule="auto"/>
        <w:ind w:firstLine="480" w:firstLineChars="200"/>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1</w:t>
      </w:r>
      <w:r>
        <w:rPr>
          <w:rFonts w:hint="eastAsia" w:ascii="宋体" w:hAnsi="宋体" w:eastAsia="宋体" w:cs="宋体"/>
          <w:sz w:val="24"/>
          <w:szCs w:val="24"/>
          <w:highlight w:val="none"/>
        </w:rPr>
        <w:t>1</w:t>
      </w:r>
      <w:r>
        <w:rPr>
          <w:rFonts w:hint="eastAsia" w:ascii="宋体" w:hAnsi="宋体" w:eastAsia="宋体" w:cs="宋体"/>
          <w:sz w:val="24"/>
          <w:szCs w:val="24"/>
          <w:highlight w:val="none"/>
          <w:lang w:val="zh-CN"/>
        </w:rPr>
        <w:t>.6 投标投标人应充分考虑到市场价格变动，以及项目实施过程中的不可预见因素，一旦成交，如果有漏项，视同让利。</w:t>
      </w:r>
    </w:p>
    <w:p w14:paraId="1CC0D960">
      <w:pPr>
        <w:spacing w:line="360" w:lineRule="auto"/>
        <w:ind w:firstLine="482" w:firstLineChars="200"/>
        <w:rPr>
          <w:rFonts w:ascii="宋体" w:hAnsi="宋体" w:eastAsia="宋体" w:cs="宋体"/>
          <w:b/>
          <w:sz w:val="24"/>
          <w:szCs w:val="24"/>
          <w:highlight w:val="none"/>
        </w:rPr>
      </w:pPr>
      <w:r>
        <w:rPr>
          <w:rFonts w:hint="eastAsia" w:ascii="宋体" w:hAnsi="宋体" w:eastAsia="宋体" w:cs="宋体"/>
          <w:b/>
          <w:sz w:val="24"/>
          <w:szCs w:val="24"/>
          <w:highlight w:val="none"/>
        </w:rPr>
        <w:t>11.7异常低价投标（响应）审查程序</w:t>
      </w:r>
    </w:p>
    <w:p w14:paraId="56F0A442">
      <w:pPr>
        <w:spacing w:line="360" w:lineRule="auto"/>
        <w:ind w:firstLine="422"/>
        <w:rPr>
          <w:rFonts w:ascii="宋体" w:hAnsi="宋体" w:eastAsia="宋体" w:cs="宋体"/>
          <w:b/>
          <w:sz w:val="24"/>
          <w:szCs w:val="24"/>
          <w:highlight w:val="none"/>
        </w:rPr>
      </w:pPr>
      <w:r>
        <w:rPr>
          <w:rFonts w:hint="eastAsia" w:ascii="宋体" w:hAnsi="宋体" w:eastAsia="宋体" w:cs="宋体"/>
          <w:b/>
          <w:sz w:val="24"/>
          <w:szCs w:val="24"/>
          <w:highlight w:val="none"/>
        </w:rPr>
        <w:t>政府采购提倡公平竞争，反对盲目压价参与磋商，任何盲目压价和低于成本报价将会被拒绝。</w:t>
      </w:r>
    </w:p>
    <w:p w14:paraId="391C70C8">
      <w:pPr>
        <w:spacing w:line="360" w:lineRule="auto"/>
        <w:ind w:firstLine="422"/>
        <w:rPr>
          <w:rFonts w:ascii="宋体" w:hAnsi="宋体" w:eastAsia="宋体" w:cs="宋体"/>
          <w:b/>
          <w:sz w:val="24"/>
          <w:szCs w:val="24"/>
          <w:highlight w:val="none"/>
        </w:rPr>
      </w:pPr>
      <w:r>
        <w:rPr>
          <w:rFonts w:hint="eastAsia" w:ascii="宋体" w:hAnsi="宋体" w:eastAsia="宋体" w:cs="宋体"/>
          <w:b/>
          <w:sz w:val="24"/>
          <w:szCs w:val="24"/>
          <w:highlight w:val="none"/>
        </w:rPr>
        <w:t>出现下列情形之一的，评审委员会应当启动异常低价投标（响应）审查程序： </w:t>
      </w:r>
    </w:p>
    <w:p w14:paraId="5DEC0D65">
      <w:pPr>
        <w:spacing w:line="360" w:lineRule="auto"/>
        <w:ind w:firstLine="422"/>
        <w:rPr>
          <w:rFonts w:ascii="宋体" w:hAnsi="宋体" w:eastAsia="宋体" w:cs="宋体"/>
          <w:b/>
          <w:sz w:val="24"/>
          <w:szCs w:val="24"/>
          <w:highlight w:val="none"/>
        </w:rPr>
      </w:pPr>
      <w:r>
        <w:rPr>
          <w:rFonts w:hint="eastAsia" w:ascii="宋体" w:hAnsi="宋体" w:eastAsia="宋体" w:cs="宋体"/>
          <w:b/>
          <w:sz w:val="24"/>
          <w:szCs w:val="24"/>
          <w:highlight w:val="none"/>
        </w:rPr>
        <w:t>1）投标（响应）报价低于全部通过符合性审查供应商投标（响应）报价平均值50%的，即投标（响应）报价&lt;全部通过符合性审查供应商投标（响应）报价平均值×50%； </w:t>
      </w:r>
    </w:p>
    <w:p w14:paraId="1D89269A">
      <w:pPr>
        <w:spacing w:line="360" w:lineRule="auto"/>
        <w:ind w:firstLine="422"/>
        <w:rPr>
          <w:rFonts w:ascii="宋体" w:hAnsi="宋体" w:eastAsia="宋体" w:cs="宋体"/>
          <w:b/>
          <w:sz w:val="24"/>
          <w:szCs w:val="24"/>
          <w:highlight w:val="none"/>
        </w:rPr>
      </w:pPr>
      <w:r>
        <w:rPr>
          <w:rFonts w:hint="eastAsia" w:ascii="宋体" w:hAnsi="宋体" w:eastAsia="宋体" w:cs="宋体"/>
          <w:b/>
          <w:sz w:val="24"/>
          <w:szCs w:val="24"/>
          <w:highlight w:val="none"/>
        </w:rPr>
        <w:t>2）投标（响应）报价低于通过符合性审查的次低报价供应商投标（响应）报价50%的，即投标（响应）报价&lt;通过符合性审查的次低报价供应商投标（响应）报价×50%； </w:t>
      </w:r>
    </w:p>
    <w:p w14:paraId="3413D6D6">
      <w:pPr>
        <w:spacing w:line="360" w:lineRule="auto"/>
        <w:ind w:firstLine="422"/>
        <w:rPr>
          <w:rFonts w:ascii="宋体" w:hAnsi="宋体" w:eastAsia="宋体" w:cs="宋体"/>
          <w:b/>
          <w:sz w:val="24"/>
          <w:szCs w:val="24"/>
          <w:highlight w:val="none"/>
        </w:rPr>
      </w:pPr>
      <w:r>
        <w:rPr>
          <w:rFonts w:hint="eastAsia" w:ascii="宋体" w:hAnsi="宋体" w:eastAsia="宋体" w:cs="宋体"/>
          <w:b/>
          <w:sz w:val="24"/>
          <w:szCs w:val="24"/>
          <w:highlight w:val="none"/>
        </w:rPr>
        <w:t>3）投标（响应）报价低于采购项目最高限价45%的，即投标（响应）报价&lt;采购项目最高限价×45%； </w:t>
      </w:r>
    </w:p>
    <w:p w14:paraId="6AA0DDFD">
      <w:pPr>
        <w:spacing w:line="360" w:lineRule="auto"/>
        <w:ind w:firstLine="422"/>
        <w:rPr>
          <w:rFonts w:ascii="宋体" w:hAnsi="宋体" w:eastAsia="宋体" w:cs="宋体"/>
          <w:b/>
          <w:sz w:val="24"/>
          <w:szCs w:val="24"/>
          <w:highlight w:val="none"/>
        </w:rPr>
      </w:pPr>
      <w:r>
        <w:rPr>
          <w:rFonts w:hint="eastAsia" w:ascii="宋体" w:hAnsi="宋体" w:eastAsia="宋体" w:cs="宋体"/>
          <w:b/>
          <w:sz w:val="24"/>
          <w:szCs w:val="24"/>
          <w:highlight w:val="none"/>
        </w:rPr>
        <w:t xml:space="preserve">评审委员会启动异常低价投标（响应）审查后，属于前述第1项、第2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提供说明的时间为30分钟。其中，属于第3项情形，供应商已随投标（响应）文件一并提交相关书面说明及必要的证明材料的，在评审现场可不再重复提交。 </w:t>
      </w:r>
    </w:p>
    <w:p w14:paraId="0B2C12ED">
      <w:pPr>
        <w:spacing w:line="360" w:lineRule="auto"/>
        <w:ind w:firstLine="422"/>
        <w:rPr>
          <w:rFonts w:ascii="宋体" w:hAnsi="宋体" w:eastAsia="宋体" w:cs="宋体"/>
          <w:b/>
          <w:sz w:val="24"/>
          <w:szCs w:val="24"/>
          <w:highlight w:val="none"/>
        </w:rPr>
      </w:pPr>
      <w:r>
        <w:rPr>
          <w:rFonts w:hint="eastAsia" w:ascii="宋体" w:hAnsi="宋体" w:eastAsia="宋体" w:cs="宋体"/>
          <w:b/>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0AE2966">
      <w:pPr>
        <w:widowControl w:val="0"/>
        <w:shd w:val="clear" w:color="auto" w:fill="FFFFFF"/>
        <w:spacing w:line="360" w:lineRule="auto"/>
        <w:ind w:firstLine="482" w:firstLineChars="200"/>
        <w:rPr>
          <w:rFonts w:ascii="宋体" w:hAnsi="宋体" w:eastAsia="宋体" w:cs="Arial"/>
          <w:b/>
          <w:bCs/>
          <w:sz w:val="24"/>
          <w:szCs w:val="24"/>
          <w:highlight w:val="none"/>
        </w:rPr>
      </w:pPr>
      <w:r>
        <w:rPr>
          <w:rFonts w:ascii="宋体" w:hAnsi="宋体" w:eastAsia="宋体" w:cs="Arial"/>
          <w:b/>
          <w:bCs/>
          <w:sz w:val="24"/>
          <w:szCs w:val="24"/>
          <w:highlight w:val="none"/>
        </w:rPr>
        <w:t>12</w:t>
      </w:r>
      <w:r>
        <w:rPr>
          <w:rFonts w:hint="eastAsia" w:ascii="宋体" w:hAnsi="宋体" w:eastAsia="宋体" w:cs="Arial"/>
          <w:b/>
          <w:bCs/>
          <w:sz w:val="24"/>
          <w:szCs w:val="24"/>
          <w:highlight w:val="none"/>
        </w:rPr>
        <w:t>、投标文件的其他部分</w:t>
      </w:r>
    </w:p>
    <w:p w14:paraId="25EFDBF3">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12.1其他部分由投标人根据编制投标文件需要提供的其他相关文件组成。</w:t>
      </w:r>
    </w:p>
    <w:p w14:paraId="595A854B">
      <w:pPr>
        <w:widowControl w:val="0"/>
        <w:shd w:val="clear" w:color="auto" w:fill="FFFFFF"/>
        <w:spacing w:line="360" w:lineRule="auto"/>
        <w:ind w:firstLine="482" w:firstLineChars="200"/>
        <w:rPr>
          <w:rFonts w:ascii="宋体" w:hAnsi="宋体" w:eastAsia="宋体" w:cs="Arial"/>
          <w:b/>
          <w:bCs/>
          <w:sz w:val="24"/>
          <w:szCs w:val="24"/>
          <w:highlight w:val="none"/>
        </w:rPr>
      </w:pPr>
      <w:r>
        <w:rPr>
          <w:rFonts w:ascii="宋体" w:hAnsi="宋体" w:eastAsia="宋体" w:cs="Arial"/>
          <w:b/>
          <w:bCs/>
          <w:sz w:val="24"/>
          <w:szCs w:val="24"/>
          <w:highlight w:val="none"/>
        </w:rPr>
        <w:t>13</w:t>
      </w:r>
      <w:r>
        <w:rPr>
          <w:rFonts w:hint="eastAsia" w:ascii="宋体" w:hAnsi="宋体" w:eastAsia="宋体" w:cs="Arial"/>
          <w:b/>
          <w:bCs/>
          <w:sz w:val="24"/>
          <w:szCs w:val="24"/>
          <w:highlight w:val="none"/>
        </w:rPr>
        <w:t>、投标保证金：本项目不收取投标保证金</w:t>
      </w:r>
    </w:p>
    <w:p w14:paraId="791920CE">
      <w:pPr>
        <w:widowControl w:val="0"/>
        <w:shd w:val="clear" w:color="auto" w:fill="FFFFFF"/>
        <w:spacing w:line="360" w:lineRule="auto"/>
        <w:ind w:firstLine="482" w:firstLineChars="200"/>
        <w:rPr>
          <w:rFonts w:ascii="宋体" w:hAnsi="宋体" w:eastAsia="宋体" w:cs="Arial"/>
          <w:b/>
          <w:bCs/>
          <w:sz w:val="24"/>
          <w:szCs w:val="24"/>
          <w:highlight w:val="none"/>
        </w:rPr>
      </w:pPr>
      <w:r>
        <w:rPr>
          <w:rFonts w:ascii="宋体" w:hAnsi="宋体" w:eastAsia="宋体" w:cs="Arial"/>
          <w:b/>
          <w:bCs/>
          <w:sz w:val="24"/>
          <w:szCs w:val="24"/>
          <w:highlight w:val="none"/>
        </w:rPr>
        <w:t>14</w:t>
      </w:r>
      <w:r>
        <w:rPr>
          <w:rFonts w:hint="eastAsia" w:ascii="宋体" w:hAnsi="宋体" w:eastAsia="宋体" w:cs="Arial"/>
          <w:b/>
          <w:bCs/>
          <w:sz w:val="24"/>
          <w:szCs w:val="24"/>
          <w:highlight w:val="none"/>
        </w:rPr>
        <w:t>、投标有效期</w:t>
      </w:r>
    </w:p>
    <w:p w14:paraId="1D2544F6">
      <w:pPr>
        <w:widowControl w:val="0"/>
        <w:shd w:val="clear" w:color="auto" w:fill="FFFFFF"/>
        <w:spacing w:line="360" w:lineRule="auto"/>
        <w:ind w:firstLine="480" w:firstLineChars="200"/>
        <w:jc w:val="both"/>
        <w:rPr>
          <w:rFonts w:ascii="宋体" w:hAnsi="宋体" w:eastAsia="宋体" w:cs="Arial"/>
          <w:b/>
          <w:bCs/>
          <w:sz w:val="24"/>
          <w:szCs w:val="24"/>
          <w:highlight w:val="none"/>
        </w:rPr>
      </w:pPr>
      <w:r>
        <w:rPr>
          <w:rFonts w:hint="eastAsia" w:ascii="宋体" w:hAnsi="宋体" w:eastAsia="宋体" w:cs="Arial"/>
          <w:sz w:val="24"/>
          <w:szCs w:val="24"/>
          <w:highlight w:val="none"/>
        </w:rPr>
        <w:t>14.1自开标之日起90天内投标有效，</w:t>
      </w:r>
      <w:r>
        <w:rPr>
          <w:rFonts w:hint="eastAsia" w:ascii="宋体" w:hAnsi="宋体" w:eastAsia="宋体" w:cs="Arial"/>
          <w:b/>
          <w:bCs/>
          <w:sz w:val="24"/>
          <w:szCs w:val="24"/>
          <w:highlight w:val="none"/>
        </w:rPr>
        <w:t>投标有效期从提交投标文件的截止之日起算。投标文件中承诺的投标有效期应当不少于招标文件中载明的投标有效期。</w:t>
      </w:r>
    </w:p>
    <w:p w14:paraId="18D93319">
      <w:pPr>
        <w:widowControl w:val="0"/>
        <w:shd w:val="clear" w:color="auto" w:fill="FFFFFF"/>
        <w:spacing w:line="360" w:lineRule="auto"/>
        <w:ind w:firstLine="420"/>
        <w:jc w:val="both"/>
        <w:rPr>
          <w:rFonts w:ascii="宋体" w:hAnsi="宋体" w:eastAsia="宋体" w:cs="Arial"/>
          <w:sz w:val="24"/>
          <w:szCs w:val="24"/>
          <w:highlight w:val="none"/>
        </w:rPr>
      </w:pPr>
      <w:r>
        <w:rPr>
          <w:rFonts w:hint="eastAsia" w:ascii="宋体" w:hAnsi="宋体" w:eastAsia="宋体" w:cs="Arial"/>
          <w:sz w:val="24"/>
          <w:szCs w:val="24"/>
          <w:highlight w:val="none"/>
        </w:rPr>
        <w:t xml:space="preserve">14.2 </w:t>
      </w:r>
      <w:bookmarkStart w:id="35" w:name="_Hlk70286168"/>
      <w:r>
        <w:rPr>
          <w:rFonts w:hint="eastAsia" w:ascii="宋体" w:hAnsi="宋体" w:eastAsia="宋体" w:cs="Arial"/>
          <w:sz w:val="24"/>
          <w:szCs w:val="24"/>
          <w:highlight w:val="none"/>
        </w:rPr>
        <w:t>特殊情况下，在原投标有效期截止之前，招标代理机构可要求投标人同意延长投标有效期，这种要求与答复均应以书面形式提交。接受延长投标有效期的投标人将不会要求和允许修正其投标。</w:t>
      </w:r>
      <w:bookmarkEnd w:id="35"/>
    </w:p>
    <w:p w14:paraId="049477C7">
      <w:pPr>
        <w:widowControl w:val="0"/>
        <w:shd w:val="clear" w:color="auto" w:fill="FFFFFF"/>
        <w:spacing w:line="360" w:lineRule="auto"/>
        <w:ind w:firstLine="482" w:firstLineChars="200"/>
        <w:rPr>
          <w:rFonts w:ascii="宋体" w:hAnsi="宋体" w:eastAsia="宋体" w:cs="Arial"/>
          <w:b/>
          <w:bCs/>
          <w:sz w:val="24"/>
          <w:szCs w:val="24"/>
          <w:highlight w:val="none"/>
        </w:rPr>
      </w:pPr>
      <w:r>
        <w:rPr>
          <w:rFonts w:hint="eastAsia" w:ascii="宋体" w:hAnsi="宋体" w:eastAsia="宋体" w:cs="Arial"/>
          <w:b/>
          <w:bCs/>
          <w:sz w:val="24"/>
          <w:szCs w:val="24"/>
          <w:highlight w:val="none"/>
        </w:rPr>
        <w:t>15、投标费用</w:t>
      </w:r>
    </w:p>
    <w:p w14:paraId="4B763921">
      <w:pPr>
        <w:shd w:val="clear" w:color="auto" w:fill="FFFFFF"/>
        <w:spacing w:line="360" w:lineRule="auto"/>
        <w:ind w:firstLine="420"/>
        <w:rPr>
          <w:rFonts w:ascii="宋体" w:hAnsi="宋体" w:eastAsia="宋体" w:cs="宋体"/>
          <w:sz w:val="24"/>
          <w:szCs w:val="24"/>
          <w:highlight w:val="none"/>
        </w:rPr>
      </w:pPr>
      <w:r>
        <w:rPr>
          <w:rFonts w:hint="eastAsia" w:ascii="宋体" w:hAnsi="宋体" w:eastAsia="宋体" w:cs="宋体"/>
          <w:sz w:val="24"/>
          <w:szCs w:val="24"/>
          <w:highlight w:val="none"/>
        </w:rPr>
        <w:t>15.1 投标人应承担所有与准备和参加投标有关的费用，无论招标结果如何，采购代理机构和采购人在任何情况下均无义务和责任承担这些费用。</w:t>
      </w:r>
    </w:p>
    <w:p w14:paraId="64FB1B44">
      <w:pPr>
        <w:shd w:val="clear" w:color="auto" w:fill="FFFFFF"/>
        <w:spacing w:line="360" w:lineRule="auto"/>
        <w:ind w:firstLine="420"/>
        <w:rPr>
          <w:rFonts w:ascii="宋体" w:hAnsi="宋体" w:eastAsia="宋体" w:cs="宋体"/>
          <w:bCs/>
          <w:sz w:val="24"/>
          <w:szCs w:val="24"/>
          <w:highlight w:val="none"/>
        </w:rPr>
      </w:pPr>
      <w:r>
        <w:rPr>
          <w:rFonts w:hint="eastAsia" w:ascii="宋体" w:hAnsi="宋体" w:eastAsia="宋体" w:cs="宋体"/>
          <w:bCs/>
          <w:sz w:val="24"/>
          <w:szCs w:val="24"/>
          <w:highlight w:val="none"/>
        </w:rPr>
        <w:t>15.2 招标代理服务费：</w:t>
      </w:r>
    </w:p>
    <w:p w14:paraId="7C7B0D5B">
      <w:pPr>
        <w:shd w:val="clear" w:color="auto" w:fill="FFFFFF"/>
        <w:spacing w:line="360" w:lineRule="auto"/>
        <w:ind w:firstLine="420"/>
        <w:rPr>
          <w:rFonts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本次招标代理服务费按《招标代理服务收费管理暂行办法》[2002]1980号文收费标准的70%执行。</w:t>
      </w:r>
      <w:r>
        <w:rPr>
          <w:rFonts w:hint="eastAsia" w:ascii="宋体" w:hAnsi="宋体" w:eastAsia="宋体" w:cs="宋体"/>
          <w:bCs/>
          <w:sz w:val="24"/>
          <w:szCs w:val="24"/>
          <w:highlight w:val="none"/>
        </w:rPr>
        <w:t>，</w:t>
      </w:r>
      <w:r>
        <w:rPr>
          <w:rFonts w:hint="eastAsia" w:ascii="宋体" w:hAnsi="宋体" w:eastAsia="宋体" w:cs="宋体"/>
          <w:bCs/>
          <w:sz w:val="24"/>
          <w:szCs w:val="24"/>
          <w:highlight w:val="none"/>
          <w:lang w:val="zh-CN"/>
        </w:rPr>
        <w:t>由中标单位在领取中标通知书时一次性支付</w:t>
      </w:r>
      <w:r>
        <w:rPr>
          <w:rFonts w:hint="eastAsia" w:ascii="宋体" w:hAnsi="宋体" w:cs="宋体"/>
          <w:bCs/>
          <w:sz w:val="24"/>
          <w:szCs w:val="24"/>
          <w:highlight w:val="none"/>
        </w:rPr>
        <w:t>相关服务费</w:t>
      </w:r>
      <w:r>
        <w:rPr>
          <w:rFonts w:hint="eastAsia" w:ascii="宋体" w:hAnsi="宋体" w:eastAsia="宋体" w:cs="宋体"/>
          <w:bCs/>
          <w:sz w:val="24"/>
          <w:szCs w:val="24"/>
          <w:highlight w:val="none"/>
          <w:lang w:val="zh-CN"/>
        </w:rPr>
        <w:t>。无论是否将该费用在报价中列明，均视为已含在总价中。</w:t>
      </w:r>
    </w:p>
    <w:p w14:paraId="0AB9A348">
      <w:pPr>
        <w:shd w:val="clear" w:color="auto" w:fill="FFFFFF"/>
        <w:spacing w:line="360" w:lineRule="auto"/>
        <w:jc w:val="both"/>
        <w:rPr>
          <w:rFonts w:ascii="宋体" w:hAnsi="宋体" w:eastAsia="宋体" w:cs="Arial"/>
          <w:sz w:val="24"/>
          <w:szCs w:val="24"/>
          <w:highlight w:val="none"/>
        </w:rPr>
      </w:pPr>
      <w:r>
        <w:rPr>
          <w:rFonts w:hint="eastAsia" w:ascii="宋体" w:hAnsi="宋体" w:eastAsia="宋体" w:cs="Arial"/>
          <w:b/>
          <w:bCs/>
          <w:sz w:val="24"/>
          <w:szCs w:val="24"/>
          <w:highlight w:val="none"/>
        </w:rPr>
        <w:t>四、投标文件的递交、撤回和修改</w:t>
      </w:r>
    </w:p>
    <w:p w14:paraId="5E2D8B57">
      <w:pPr>
        <w:widowControl w:val="0"/>
        <w:adjustRightInd w:val="0"/>
        <w:snapToGrid w:val="0"/>
        <w:spacing w:line="360" w:lineRule="auto"/>
        <w:ind w:firstLine="482"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16.投标文件的递交</w:t>
      </w:r>
    </w:p>
    <w:p w14:paraId="7AAA2A5F">
      <w:pPr>
        <w:widowControl w:val="0"/>
        <w:adjustRightInd w:val="0"/>
        <w:snapToGrid w:val="0"/>
        <w:spacing w:line="360" w:lineRule="auto"/>
        <w:ind w:firstLine="480" w:firstLineChars="200"/>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1</w:t>
      </w:r>
      <w:r>
        <w:rPr>
          <w:rFonts w:hint="eastAsia" w:ascii="宋体" w:hAnsi="宋体" w:eastAsia="宋体" w:cs="宋体"/>
          <w:sz w:val="24"/>
          <w:szCs w:val="24"/>
          <w:highlight w:val="none"/>
        </w:rPr>
        <w:t>6</w:t>
      </w:r>
      <w:r>
        <w:rPr>
          <w:rFonts w:hint="eastAsia" w:ascii="宋体" w:hAnsi="宋体" w:eastAsia="宋体" w:cs="宋体"/>
          <w:sz w:val="24"/>
          <w:szCs w:val="24"/>
          <w:highlight w:val="none"/>
          <w:lang w:val="zh-CN"/>
        </w:rPr>
        <w:t>.1 投标人应在招标公告规定的投标截止时间前制作并上传电子投标文件。投标截止时间后上传的投标文件将被拒绝。</w:t>
      </w:r>
    </w:p>
    <w:p w14:paraId="2AAC6C0E">
      <w:pPr>
        <w:widowControl w:val="0"/>
        <w:adjustRightInd w:val="0"/>
        <w:snapToGrid w:val="0"/>
        <w:spacing w:line="360" w:lineRule="auto"/>
        <w:ind w:firstLine="480" w:firstLineChars="200"/>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1</w:t>
      </w:r>
      <w:r>
        <w:rPr>
          <w:rFonts w:hint="eastAsia" w:ascii="宋体" w:hAnsi="宋体" w:eastAsia="宋体" w:cs="宋体"/>
          <w:sz w:val="24"/>
          <w:szCs w:val="24"/>
          <w:highlight w:val="none"/>
        </w:rPr>
        <w:t>6</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rPr>
        <w:t>2</w:t>
      </w:r>
      <w:r>
        <w:rPr>
          <w:rFonts w:hint="eastAsia" w:ascii="宋体" w:hAnsi="宋体" w:eastAsia="宋体" w:cs="宋体"/>
          <w:sz w:val="24"/>
          <w:szCs w:val="24"/>
          <w:highlight w:val="none"/>
          <w:lang w:val="zh-CN"/>
        </w:rPr>
        <w:t xml:space="preserve"> 投标人应充分考虑网络环境、网络带宽等因素</w:t>
      </w:r>
      <w:r>
        <w:rPr>
          <w:rFonts w:hint="eastAsia" w:ascii="宋体" w:hAnsi="宋体" w:eastAsia="宋体" w:cs="宋体"/>
          <w:sz w:val="24"/>
          <w:szCs w:val="24"/>
          <w:highlight w:val="none"/>
        </w:rPr>
        <w:t>可能对投标产生的影响</w:t>
      </w:r>
      <w:r>
        <w:rPr>
          <w:rFonts w:hint="eastAsia" w:ascii="宋体" w:hAnsi="宋体" w:eastAsia="宋体" w:cs="宋体"/>
          <w:sz w:val="24"/>
          <w:szCs w:val="24"/>
          <w:highlight w:val="none"/>
          <w:lang w:val="zh-CN"/>
        </w:rPr>
        <w:t>，如因投标人自身原因造成的电子投标文件上传不成功的，</w:t>
      </w:r>
      <w:r>
        <w:rPr>
          <w:rFonts w:hint="eastAsia" w:ascii="宋体" w:hAnsi="宋体" w:eastAsia="宋体" w:cs="宋体"/>
          <w:sz w:val="24"/>
          <w:szCs w:val="24"/>
          <w:highlight w:val="none"/>
        </w:rPr>
        <w:t>作</w:t>
      </w:r>
      <w:r>
        <w:rPr>
          <w:rFonts w:hint="eastAsia" w:ascii="宋体" w:hAnsi="宋体" w:eastAsia="宋体" w:cs="宋体"/>
          <w:sz w:val="24"/>
          <w:szCs w:val="24"/>
          <w:highlight w:val="none"/>
          <w:lang w:val="zh-CN"/>
        </w:rPr>
        <w:t>无效投标处理。</w:t>
      </w:r>
    </w:p>
    <w:p w14:paraId="0BE82EF8">
      <w:pPr>
        <w:widowControl w:val="0"/>
        <w:adjustRightInd w:val="0"/>
        <w:snapToGrid w:val="0"/>
        <w:spacing w:line="360" w:lineRule="auto"/>
        <w:ind w:firstLine="482"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17.投标文件的撤回和修改</w:t>
      </w:r>
    </w:p>
    <w:p w14:paraId="20D9328E">
      <w:pPr>
        <w:widowControl w:val="0"/>
        <w:adjustRightInd w:val="0"/>
        <w:snapToGrid w:val="0"/>
        <w:spacing w:line="360" w:lineRule="auto"/>
        <w:ind w:firstLine="480" w:firstLineChars="200"/>
        <w:rPr>
          <w:rFonts w:ascii="宋体" w:hAnsi="宋体" w:eastAsia="宋体" w:cs="宋体"/>
          <w:sz w:val="24"/>
          <w:highlight w:val="none"/>
          <w:lang w:val="zh-CN"/>
        </w:rPr>
      </w:pPr>
      <w:r>
        <w:rPr>
          <w:rFonts w:hint="eastAsia" w:ascii="宋体" w:hAnsi="宋体" w:eastAsia="宋体" w:cs="宋体"/>
          <w:sz w:val="24"/>
          <w:highlight w:val="none"/>
        </w:rPr>
        <w:t>17</w:t>
      </w:r>
      <w:r>
        <w:rPr>
          <w:rFonts w:hint="eastAsia" w:ascii="宋体" w:hAnsi="宋体" w:eastAsia="宋体" w:cs="宋体"/>
          <w:sz w:val="24"/>
          <w:highlight w:val="none"/>
          <w:lang w:val="zh-CN"/>
        </w:rPr>
        <w:t>.1 投标文件的撤回</w:t>
      </w:r>
    </w:p>
    <w:p w14:paraId="30D558A6">
      <w:pPr>
        <w:widowControl w:val="0"/>
        <w:adjustRightInd w:val="0"/>
        <w:snapToGrid w:val="0"/>
        <w:spacing w:line="360" w:lineRule="auto"/>
        <w:ind w:firstLine="480" w:firstLineChars="200"/>
        <w:rPr>
          <w:rFonts w:ascii="宋体" w:hAnsi="宋体" w:eastAsia="宋体" w:cs="宋体"/>
          <w:sz w:val="24"/>
          <w:highlight w:val="none"/>
          <w:lang w:val="zh-CN"/>
        </w:rPr>
      </w:pPr>
      <w:r>
        <w:rPr>
          <w:rFonts w:hint="eastAsia" w:ascii="宋体" w:hAnsi="宋体" w:eastAsia="宋体" w:cs="宋体"/>
          <w:sz w:val="24"/>
          <w:highlight w:val="none"/>
        </w:rPr>
        <w:t>17</w:t>
      </w:r>
      <w:r>
        <w:rPr>
          <w:rFonts w:hint="eastAsia" w:ascii="宋体" w:hAnsi="宋体" w:eastAsia="宋体" w:cs="宋体"/>
          <w:sz w:val="24"/>
          <w:highlight w:val="none"/>
          <w:lang w:val="zh-CN"/>
        </w:rPr>
        <w:t>.1.1</w:t>
      </w:r>
      <w:r>
        <w:rPr>
          <w:rFonts w:hint="eastAsia" w:ascii="宋体" w:hAnsi="宋体" w:eastAsia="宋体" w:cs="宋体"/>
          <w:sz w:val="24"/>
          <w:highlight w:val="none"/>
        </w:rPr>
        <w:t xml:space="preserve"> </w:t>
      </w:r>
      <w:r>
        <w:rPr>
          <w:rFonts w:hint="eastAsia" w:ascii="宋体" w:hAnsi="宋体" w:eastAsia="宋体" w:cs="宋体"/>
          <w:sz w:val="24"/>
          <w:highlight w:val="none"/>
          <w:lang w:val="zh-CN"/>
        </w:rPr>
        <w:t>投标人可在投标截止时间前撤回其电子投标文件。</w:t>
      </w:r>
    </w:p>
    <w:p w14:paraId="7E0B2561">
      <w:pPr>
        <w:widowControl w:val="0"/>
        <w:adjustRightInd w:val="0"/>
        <w:snapToGrid w:val="0"/>
        <w:spacing w:line="360" w:lineRule="auto"/>
        <w:ind w:firstLine="480" w:firstLineChars="200"/>
        <w:rPr>
          <w:rFonts w:ascii="宋体" w:hAnsi="宋体" w:eastAsia="宋体" w:cs="宋体"/>
          <w:sz w:val="24"/>
          <w:highlight w:val="none"/>
          <w:lang w:val="zh-CN"/>
        </w:rPr>
      </w:pPr>
      <w:r>
        <w:rPr>
          <w:rFonts w:hint="eastAsia" w:ascii="宋体" w:hAnsi="宋体" w:eastAsia="宋体" w:cs="宋体"/>
          <w:sz w:val="24"/>
          <w:highlight w:val="none"/>
        </w:rPr>
        <w:t>17</w:t>
      </w:r>
      <w:r>
        <w:rPr>
          <w:rFonts w:hint="eastAsia" w:ascii="宋体" w:hAnsi="宋体" w:eastAsia="宋体" w:cs="宋体"/>
          <w:sz w:val="24"/>
          <w:highlight w:val="none"/>
          <w:lang w:val="zh-CN"/>
        </w:rPr>
        <w:t>.1.2</w:t>
      </w:r>
      <w:r>
        <w:rPr>
          <w:rFonts w:hint="eastAsia" w:ascii="宋体" w:hAnsi="宋体" w:eastAsia="宋体" w:cs="宋体"/>
          <w:sz w:val="24"/>
          <w:highlight w:val="none"/>
        </w:rPr>
        <w:t xml:space="preserve"> </w:t>
      </w:r>
      <w:r>
        <w:rPr>
          <w:rFonts w:hint="eastAsia" w:ascii="宋体" w:hAnsi="宋体" w:eastAsia="宋体" w:cs="宋体"/>
          <w:sz w:val="24"/>
          <w:highlight w:val="none"/>
          <w:lang w:val="zh-CN"/>
        </w:rPr>
        <w:t>投标人撤回电子投标文件，则认为其不再参与本项目投标活动。</w:t>
      </w:r>
    </w:p>
    <w:p w14:paraId="66498B0E">
      <w:pPr>
        <w:widowControl w:val="0"/>
        <w:adjustRightInd w:val="0"/>
        <w:snapToGrid w:val="0"/>
        <w:spacing w:line="360" w:lineRule="auto"/>
        <w:ind w:firstLine="480" w:firstLineChars="200"/>
        <w:rPr>
          <w:rFonts w:ascii="宋体" w:hAnsi="宋体" w:eastAsia="宋体" w:cs="宋体"/>
          <w:sz w:val="24"/>
          <w:highlight w:val="none"/>
          <w:lang w:val="zh-CN"/>
        </w:rPr>
      </w:pPr>
      <w:r>
        <w:rPr>
          <w:rFonts w:hint="eastAsia" w:ascii="宋体" w:hAnsi="宋体" w:eastAsia="宋体" w:cs="宋体"/>
          <w:sz w:val="24"/>
          <w:highlight w:val="none"/>
        </w:rPr>
        <w:t>17</w:t>
      </w:r>
      <w:r>
        <w:rPr>
          <w:rFonts w:hint="eastAsia" w:ascii="宋体" w:hAnsi="宋体" w:eastAsia="宋体" w:cs="宋体"/>
          <w:sz w:val="24"/>
          <w:highlight w:val="none"/>
          <w:lang w:val="zh-CN"/>
        </w:rPr>
        <w:t>.1.</w:t>
      </w:r>
      <w:r>
        <w:rPr>
          <w:rFonts w:hint="eastAsia" w:ascii="宋体" w:hAnsi="宋体" w:eastAsia="宋体" w:cs="宋体"/>
          <w:sz w:val="24"/>
          <w:highlight w:val="none"/>
        </w:rPr>
        <w:t>3</w:t>
      </w:r>
      <w:r>
        <w:rPr>
          <w:rFonts w:hint="eastAsia" w:ascii="宋体" w:hAnsi="宋体" w:eastAsia="宋体" w:cs="宋体"/>
          <w:sz w:val="24"/>
          <w:highlight w:val="none"/>
          <w:lang w:val="zh-CN"/>
        </w:rPr>
        <w:t xml:space="preserve"> 在投标截止时间至招标文件中规定的投标有效期满之间的这段时间内，投标人不得撤回其投标。</w:t>
      </w:r>
    </w:p>
    <w:p w14:paraId="06E5FFE7">
      <w:pPr>
        <w:widowControl w:val="0"/>
        <w:adjustRightInd w:val="0"/>
        <w:snapToGrid w:val="0"/>
        <w:spacing w:line="360" w:lineRule="auto"/>
        <w:ind w:firstLine="480" w:firstLineChars="200"/>
        <w:rPr>
          <w:rFonts w:ascii="宋体" w:hAnsi="宋体" w:eastAsia="宋体" w:cs="宋体"/>
          <w:sz w:val="24"/>
          <w:highlight w:val="none"/>
          <w:lang w:val="zh-CN"/>
        </w:rPr>
      </w:pPr>
      <w:r>
        <w:rPr>
          <w:rFonts w:hint="eastAsia" w:ascii="宋体" w:hAnsi="宋体" w:eastAsia="宋体" w:cs="宋体"/>
          <w:sz w:val="24"/>
          <w:highlight w:val="none"/>
        </w:rPr>
        <w:t>17</w:t>
      </w:r>
      <w:r>
        <w:rPr>
          <w:rFonts w:hint="eastAsia" w:ascii="宋体" w:hAnsi="宋体" w:eastAsia="宋体" w:cs="宋体"/>
          <w:sz w:val="24"/>
          <w:highlight w:val="none"/>
          <w:lang w:val="zh-CN"/>
        </w:rPr>
        <w:t>.2 投标文件的修改</w:t>
      </w:r>
    </w:p>
    <w:p w14:paraId="3BBE1945">
      <w:pPr>
        <w:widowControl w:val="0"/>
        <w:adjustRightInd w:val="0"/>
        <w:snapToGrid w:val="0"/>
        <w:spacing w:line="360" w:lineRule="auto"/>
        <w:ind w:firstLine="480" w:firstLineChars="200"/>
        <w:rPr>
          <w:rFonts w:ascii="宋体" w:hAnsi="宋体" w:eastAsia="宋体" w:cs="宋体"/>
          <w:sz w:val="24"/>
          <w:highlight w:val="none"/>
          <w:lang w:val="zh-CN"/>
        </w:rPr>
      </w:pPr>
      <w:r>
        <w:rPr>
          <w:rFonts w:hint="eastAsia" w:ascii="宋体" w:hAnsi="宋体" w:eastAsia="宋体" w:cs="宋体"/>
          <w:sz w:val="24"/>
          <w:highlight w:val="none"/>
        </w:rPr>
        <w:t>17</w:t>
      </w:r>
      <w:r>
        <w:rPr>
          <w:rFonts w:hint="eastAsia" w:ascii="宋体" w:hAnsi="宋体" w:eastAsia="宋体" w:cs="宋体"/>
          <w:sz w:val="24"/>
          <w:highlight w:val="none"/>
          <w:lang w:val="zh-CN"/>
        </w:rPr>
        <w:t>.2.1</w:t>
      </w:r>
      <w:r>
        <w:rPr>
          <w:rFonts w:hint="eastAsia" w:ascii="宋体" w:hAnsi="宋体" w:eastAsia="宋体" w:cs="宋体"/>
          <w:sz w:val="24"/>
          <w:highlight w:val="none"/>
        </w:rPr>
        <w:t xml:space="preserve"> </w:t>
      </w:r>
      <w:r>
        <w:rPr>
          <w:rFonts w:hint="eastAsia" w:ascii="宋体" w:hAnsi="宋体" w:eastAsia="宋体" w:cs="宋体"/>
          <w:sz w:val="24"/>
          <w:highlight w:val="none"/>
          <w:lang w:val="zh-CN"/>
        </w:rPr>
        <w:t>投标人可在投标截止时间前对其电子投标文件进行修改。</w:t>
      </w:r>
    </w:p>
    <w:p w14:paraId="27A7A498">
      <w:pPr>
        <w:widowControl w:val="0"/>
        <w:adjustRightInd w:val="0"/>
        <w:snapToGrid w:val="0"/>
        <w:spacing w:line="360" w:lineRule="auto"/>
        <w:ind w:firstLine="480" w:firstLineChars="200"/>
        <w:rPr>
          <w:rFonts w:ascii="宋体" w:hAnsi="宋体" w:eastAsia="宋体" w:cs="Times New Roman"/>
          <w:sz w:val="24"/>
          <w:highlight w:val="none"/>
          <w:lang w:val="zh-CN"/>
        </w:rPr>
      </w:pPr>
      <w:r>
        <w:rPr>
          <w:rFonts w:hint="eastAsia" w:ascii="宋体" w:hAnsi="宋体" w:eastAsia="宋体" w:cs="宋体"/>
          <w:sz w:val="24"/>
          <w:highlight w:val="none"/>
        </w:rPr>
        <w:t>17</w:t>
      </w:r>
      <w:r>
        <w:rPr>
          <w:rFonts w:hint="eastAsia" w:ascii="宋体" w:hAnsi="宋体" w:eastAsia="宋体" w:cs="宋体"/>
          <w:sz w:val="24"/>
          <w:highlight w:val="none"/>
          <w:lang w:val="zh-CN"/>
        </w:rPr>
        <w:t>.2.2</w:t>
      </w:r>
      <w:r>
        <w:rPr>
          <w:rFonts w:hint="eastAsia" w:ascii="宋体" w:hAnsi="宋体" w:eastAsia="宋体" w:cs="宋体"/>
          <w:sz w:val="24"/>
          <w:highlight w:val="none"/>
        </w:rPr>
        <w:t xml:space="preserve"> </w:t>
      </w:r>
      <w:r>
        <w:rPr>
          <w:rFonts w:hint="eastAsia" w:ascii="宋体" w:hAnsi="宋体" w:eastAsia="宋体" w:cs="宋体"/>
          <w:sz w:val="24"/>
          <w:highlight w:val="none"/>
          <w:lang w:val="zh-CN"/>
        </w:rPr>
        <w:t>投标截止时间之后，投标人不得对其电子投标文件作任何修改。</w:t>
      </w:r>
    </w:p>
    <w:p w14:paraId="64680155">
      <w:pPr>
        <w:shd w:val="clear" w:color="auto" w:fill="FFFFFF"/>
        <w:spacing w:line="360" w:lineRule="auto"/>
        <w:jc w:val="both"/>
        <w:rPr>
          <w:rFonts w:ascii="宋体" w:hAnsi="宋体" w:eastAsia="宋体" w:cs="Arial"/>
          <w:sz w:val="24"/>
          <w:szCs w:val="24"/>
          <w:highlight w:val="none"/>
        </w:rPr>
      </w:pPr>
      <w:r>
        <w:rPr>
          <w:rFonts w:hint="eastAsia" w:ascii="宋体" w:hAnsi="宋体" w:eastAsia="宋体" w:cs="Arial"/>
          <w:b/>
          <w:bCs/>
          <w:sz w:val="24"/>
          <w:szCs w:val="24"/>
          <w:highlight w:val="none"/>
        </w:rPr>
        <w:t>五、开标、评标与定标</w:t>
      </w:r>
    </w:p>
    <w:p w14:paraId="33670762">
      <w:pPr>
        <w:widowControl w:val="0"/>
        <w:shd w:val="clear" w:color="auto" w:fill="FFFFFF"/>
        <w:spacing w:line="360" w:lineRule="auto"/>
        <w:ind w:firstLine="420"/>
        <w:rPr>
          <w:rFonts w:ascii="宋体" w:hAnsi="宋体" w:eastAsia="宋体" w:cs="Arial"/>
          <w:b/>
          <w:bCs/>
          <w:sz w:val="24"/>
          <w:szCs w:val="24"/>
          <w:highlight w:val="none"/>
        </w:rPr>
      </w:pPr>
      <w:r>
        <w:rPr>
          <w:rFonts w:hint="eastAsia" w:ascii="宋体" w:hAnsi="宋体" w:eastAsia="宋体" w:cs="Arial"/>
          <w:b/>
          <w:bCs/>
          <w:sz w:val="24"/>
          <w:szCs w:val="24"/>
          <w:highlight w:val="none"/>
        </w:rPr>
        <w:t>18、开标</w:t>
      </w:r>
    </w:p>
    <w:p w14:paraId="5918649D">
      <w:pPr>
        <w:widowControl w:val="0"/>
        <w:shd w:val="clear" w:color="auto" w:fill="FFFFFF"/>
        <w:spacing w:line="360" w:lineRule="auto"/>
        <w:ind w:firstLine="420"/>
        <w:jc w:val="both"/>
        <w:rPr>
          <w:rFonts w:ascii="宋体" w:hAnsi="宋体" w:eastAsia="宋体" w:cs="Arial"/>
          <w:sz w:val="24"/>
          <w:szCs w:val="24"/>
          <w:highlight w:val="none"/>
        </w:rPr>
      </w:pPr>
      <w:r>
        <w:rPr>
          <w:rFonts w:hint="eastAsia" w:ascii="宋体" w:hAnsi="宋体" w:eastAsia="宋体" w:cs="Arial"/>
          <w:sz w:val="24"/>
          <w:szCs w:val="24"/>
          <w:highlight w:val="none"/>
        </w:rPr>
        <w:t>18</w:t>
      </w:r>
      <w:r>
        <w:rPr>
          <w:rFonts w:ascii="宋体" w:hAnsi="宋体" w:eastAsia="宋体" w:cs="Arial"/>
          <w:sz w:val="24"/>
          <w:szCs w:val="24"/>
          <w:highlight w:val="none"/>
        </w:rPr>
        <w:t xml:space="preserve">.1 </w:t>
      </w:r>
      <w:r>
        <w:rPr>
          <w:rFonts w:hint="eastAsia" w:ascii="宋体" w:hAnsi="宋体" w:eastAsia="宋体" w:cs="Arial"/>
          <w:sz w:val="24"/>
          <w:szCs w:val="24"/>
          <w:highlight w:val="none"/>
        </w:rPr>
        <w:t>招标代理机构将在招标文件确定的时间和地点组织公开开标。</w:t>
      </w:r>
      <w:r>
        <w:rPr>
          <w:rFonts w:hint="eastAsia" w:ascii="宋体" w:hAnsi="宋体" w:eastAsia="宋体" w:cs="Times New Roman"/>
          <w:sz w:val="24"/>
          <w:highlight w:val="none"/>
          <w:lang w:val="zh-CN"/>
        </w:rPr>
        <w:t>投标人参加开标活动，并在苏采云系统规定的时间内对投标文件进行解密。苏采云系统公布各投标人名称和投标价格</w:t>
      </w:r>
      <w:r>
        <w:rPr>
          <w:rFonts w:hint="eastAsia" w:ascii="宋体" w:hAnsi="宋体" w:eastAsia="宋体" w:cs="Arial"/>
          <w:sz w:val="24"/>
          <w:szCs w:val="24"/>
          <w:highlight w:val="none"/>
        </w:rPr>
        <w:t>。</w:t>
      </w:r>
    </w:p>
    <w:p w14:paraId="2B0D3DEA">
      <w:pPr>
        <w:widowControl w:val="0"/>
        <w:shd w:val="clear" w:color="auto" w:fill="FFFFFF"/>
        <w:spacing w:line="360" w:lineRule="auto"/>
        <w:ind w:firstLine="420"/>
        <w:jc w:val="both"/>
        <w:rPr>
          <w:rFonts w:ascii="宋体" w:hAnsi="宋体" w:eastAsia="宋体" w:cs="Arial"/>
          <w:sz w:val="24"/>
          <w:szCs w:val="24"/>
          <w:highlight w:val="none"/>
        </w:rPr>
      </w:pPr>
      <w:r>
        <w:rPr>
          <w:rFonts w:hint="eastAsia" w:ascii="宋体" w:hAnsi="宋体" w:eastAsia="宋体" w:cs="Arial"/>
          <w:sz w:val="24"/>
          <w:szCs w:val="24"/>
          <w:highlight w:val="none"/>
        </w:rPr>
        <w:t>18</w:t>
      </w:r>
      <w:r>
        <w:rPr>
          <w:rFonts w:ascii="宋体" w:hAnsi="宋体" w:eastAsia="宋体" w:cs="Arial"/>
          <w:sz w:val="24"/>
          <w:szCs w:val="24"/>
          <w:highlight w:val="none"/>
        </w:rPr>
        <w:t>.2</w:t>
      </w:r>
      <w:r>
        <w:rPr>
          <w:rFonts w:hint="eastAsia" w:ascii="宋体" w:hAnsi="宋体" w:eastAsia="宋体" w:cs="Times New Roman"/>
          <w:sz w:val="24"/>
          <w:highlight w:val="none"/>
          <w:lang w:val="zh-CN"/>
        </w:rPr>
        <w:t>投标人在开标过程中</w:t>
      </w:r>
      <w:r>
        <w:rPr>
          <w:rFonts w:hint="eastAsia" w:ascii="宋体" w:hAnsi="宋体" w:cs="Times New Roman"/>
          <w:sz w:val="24"/>
          <w:highlight w:val="none"/>
        </w:rPr>
        <w:t>通过苏采云系统进行</w:t>
      </w:r>
      <w:r>
        <w:rPr>
          <w:rFonts w:hint="eastAsia" w:ascii="宋体" w:hAnsi="宋体" w:eastAsia="宋体" w:cs="Times New Roman"/>
          <w:sz w:val="24"/>
          <w:highlight w:val="none"/>
          <w:lang w:val="zh-CN"/>
        </w:rPr>
        <w:t>投标文件解密、开标结果确认等工作</w:t>
      </w:r>
      <w:r>
        <w:rPr>
          <w:rFonts w:hint="eastAsia" w:ascii="宋体" w:hAnsi="宋体" w:eastAsia="宋体" w:cs="Arial"/>
          <w:sz w:val="24"/>
          <w:szCs w:val="24"/>
          <w:highlight w:val="none"/>
        </w:rPr>
        <w:t>。</w:t>
      </w:r>
    </w:p>
    <w:p w14:paraId="7385094E">
      <w:pPr>
        <w:widowControl w:val="0"/>
        <w:shd w:val="clear" w:color="auto" w:fill="FFFFFF"/>
        <w:spacing w:line="360" w:lineRule="auto"/>
        <w:ind w:firstLine="420"/>
        <w:jc w:val="both"/>
        <w:rPr>
          <w:rFonts w:ascii="宋体" w:hAnsi="宋体" w:eastAsia="宋体" w:cs="Times New Roman"/>
          <w:sz w:val="24"/>
          <w:highlight w:val="none"/>
          <w:lang w:val="zh-CN"/>
        </w:rPr>
      </w:pPr>
      <w:r>
        <w:rPr>
          <w:rFonts w:hint="eastAsia" w:ascii="宋体" w:hAnsi="宋体" w:eastAsia="宋体" w:cs="Arial"/>
          <w:sz w:val="24"/>
          <w:szCs w:val="24"/>
          <w:highlight w:val="none"/>
        </w:rPr>
        <w:t>18</w:t>
      </w:r>
      <w:r>
        <w:rPr>
          <w:rFonts w:ascii="宋体" w:hAnsi="宋体" w:eastAsia="宋体" w:cs="Arial"/>
          <w:sz w:val="24"/>
          <w:szCs w:val="24"/>
          <w:highlight w:val="none"/>
        </w:rPr>
        <w:t>.3</w:t>
      </w:r>
      <w:r>
        <w:rPr>
          <w:rFonts w:hint="eastAsia" w:ascii="宋体" w:hAnsi="宋体" w:eastAsia="宋体" w:cs="Times New Roman"/>
          <w:sz w:val="24"/>
          <w:highlight w:val="none"/>
          <w:lang w:val="zh-CN"/>
        </w:rPr>
        <w:t>投标人如果对开标过程和开标结果有疑义，应</w:t>
      </w:r>
      <w:r>
        <w:rPr>
          <w:rFonts w:hint="eastAsia" w:ascii="宋体" w:hAnsi="宋体" w:cs="Times New Roman"/>
          <w:sz w:val="24"/>
          <w:highlight w:val="none"/>
        </w:rPr>
        <w:t>在</w:t>
      </w:r>
      <w:r>
        <w:rPr>
          <w:rFonts w:hint="eastAsia" w:ascii="宋体" w:hAnsi="宋体" w:eastAsia="宋体" w:cs="Times New Roman"/>
          <w:sz w:val="24"/>
          <w:highlight w:val="none"/>
          <w:lang w:val="zh-CN"/>
        </w:rPr>
        <w:t>苏采云系统提出，苏采云系统中《开标记录表》公布后5分钟内未提出的，视同认可开标结果。</w:t>
      </w:r>
    </w:p>
    <w:p w14:paraId="272FC3A0">
      <w:pPr>
        <w:widowControl w:val="0"/>
        <w:shd w:val="clear" w:color="auto" w:fill="FFFFFF"/>
        <w:spacing w:line="360" w:lineRule="auto"/>
        <w:ind w:firstLine="420"/>
        <w:jc w:val="both"/>
        <w:rPr>
          <w:rFonts w:ascii="宋体" w:hAnsi="宋体" w:eastAsia="宋体" w:cs="Times New Roman"/>
          <w:sz w:val="24"/>
          <w:highlight w:val="none"/>
          <w:lang w:val="zh-CN"/>
        </w:rPr>
      </w:pPr>
      <w:r>
        <w:rPr>
          <w:rFonts w:hint="eastAsia" w:ascii="宋体" w:hAnsi="宋体" w:eastAsia="宋体" w:cs="Times New Roman"/>
          <w:sz w:val="24"/>
          <w:highlight w:val="none"/>
          <w:lang w:val="zh-CN"/>
        </w:rPr>
        <w:t>18.4如出现投标截止时间递交投标文件的投标人不足三家的情况，按政府采购相关规定执行。</w:t>
      </w:r>
    </w:p>
    <w:p w14:paraId="71A27E55">
      <w:pPr>
        <w:widowControl w:val="0"/>
        <w:adjustRightInd w:val="0"/>
        <w:snapToGrid w:val="0"/>
        <w:spacing w:line="360" w:lineRule="auto"/>
        <w:ind w:firstLine="361" w:firstLineChars="150"/>
        <w:rPr>
          <w:rFonts w:ascii="宋体" w:hAnsi="宋体" w:eastAsia="宋体" w:cs="宋体"/>
          <w:b/>
          <w:bCs/>
          <w:sz w:val="24"/>
          <w:szCs w:val="24"/>
          <w:highlight w:val="none"/>
        </w:rPr>
      </w:pPr>
      <w:r>
        <w:rPr>
          <w:rFonts w:hint="eastAsia" w:ascii="宋体" w:hAnsi="宋体" w:eastAsia="宋体" w:cs="宋体"/>
          <w:b/>
          <w:bCs/>
          <w:sz w:val="24"/>
          <w:szCs w:val="24"/>
          <w:highlight w:val="none"/>
        </w:rPr>
        <w:t>19.评标过程的保密与公正</w:t>
      </w:r>
    </w:p>
    <w:p w14:paraId="71899FB8">
      <w:pPr>
        <w:widowControl w:val="0"/>
        <w:adjustRightInd w:val="0"/>
        <w:snapToGrid w:val="0"/>
        <w:spacing w:line="360" w:lineRule="auto"/>
        <w:ind w:firstLine="420" w:firstLineChars="175"/>
        <w:rPr>
          <w:rFonts w:ascii="宋体" w:hAnsi="宋体" w:eastAsia="宋体" w:cs="宋体"/>
          <w:sz w:val="24"/>
          <w:szCs w:val="24"/>
          <w:highlight w:val="none"/>
          <w:lang w:val="zh-CN"/>
        </w:rPr>
      </w:pPr>
      <w:r>
        <w:rPr>
          <w:rFonts w:hint="eastAsia" w:ascii="宋体" w:hAnsi="宋体" w:eastAsia="宋体" w:cs="宋体"/>
          <w:sz w:val="24"/>
          <w:szCs w:val="24"/>
          <w:highlight w:val="none"/>
        </w:rPr>
        <w:t>19</w:t>
      </w:r>
      <w:r>
        <w:rPr>
          <w:rFonts w:hint="eastAsia" w:ascii="宋体" w:hAnsi="宋体" w:eastAsia="宋体" w:cs="宋体"/>
          <w:sz w:val="24"/>
          <w:szCs w:val="24"/>
          <w:highlight w:val="none"/>
          <w:lang w:val="zh-CN"/>
        </w:rPr>
        <w:t>.1</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凡是与审查、澄清、评价和比较投标的有关资料以及授标建议等，</w:t>
      </w:r>
      <w:r>
        <w:rPr>
          <w:rFonts w:hint="eastAsia" w:ascii="宋体" w:hAnsi="宋体" w:eastAsia="宋体" w:cs="宋体"/>
          <w:sz w:val="24"/>
          <w:szCs w:val="24"/>
          <w:highlight w:val="none"/>
        </w:rPr>
        <w:t>招标</w:t>
      </w:r>
      <w:r>
        <w:rPr>
          <w:rFonts w:hint="eastAsia" w:ascii="宋体" w:hAnsi="宋体" w:eastAsia="宋体" w:cs="宋体"/>
          <w:sz w:val="24"/>
          <w:szCs w:val="24"/>
          <w:highlight w:val="none"/>
          <w:lang w:val="zh-CN"/>
        </w:rPr>
        <w:t>人</w:t>
      </w:r>
      <w:r>
        <w:rPr>
          <w:rFonts w:hint="eastAsia" w:ascii="宋体" w:hAnsi="宋体" w:eastAsia="宋体" w:cs="宋体"/>
          <w:sz w:val="24"/>
          <w:szCs w:val="24"/>
          <w:highlight w:val="none"/>
        </w:rPr>
        <w:t>、招标代理机构</w:t>
      </w:r>
      <w:r>
        <w:rPr>
          <w:rFonts w:hint="eastAsia" w:ascii="宋体" w:hAnsi="宋体" w:eastAsia="宋体" w:cs="宋体"/>
          <w:sz w:val="24"/>
          <w:szCs w:val="24"/>
          <w:highlight w:val="none"/>
          <w:lang w:val="zh-CN"/>
        </w:rPr>
        <w:t>、评委均不得向投标人或与评标无关的其他人员透露。</w:t>
      </w:r>
    </w:p>
    <w:p w14:paraId="4460600D">
      <w:pPr>
        <w:widowControl w:val="0"/>
        <w:adjustRightInd w:val="0"/>
        <w:snapToGrid w:val="0"/>
        <w:spacing w:line="360" w:lineRule="auto"/>
        <w:ind w:firstLine="420" w:firstLineChars="175"/>
        <w:rPr>
          <w:rFonts w:ascii="宋体" w:hAnsi="宋体" w:eastAsia="宋体" w:cs="宋体"/>
          <w:sz w:val="24"/>
          <w:szCs w:val="24"/>
          <w:highlight w:val="none"/>
          <w:lang w:val="zh-CN"/>
        </w:rPr>
      </w:pPr>
      <w:r>
        <w:rPr>
          <w:rFonts w:hint="eastAsia" w:ascii="宋体" w:hAnsi="宋体" w:eastAsia="宋体" w:cs="宋体"/>
          <w:sz w:val="24"/>
          <w:szCs w:val="24"/>
          <w:highlight w:val="none"/>
        </w:rPr>
        <w:t>19</w:t>
      </w:r>
      <w:r>
        <w:rPr>
          <w:rFonts w:hint="eastAsia" w:ascii="宋体" w:hAnsi="宋体" w:eastAsia="宋体" w:cs="宋体"/>
          <w:sz w:val="24"/>
          <w:szCs w:val="24"/>
          <w:highlight w:val="none"/>
          <w:lang w:val="zh-CN"/>
        </w:rPr>
        <w:t>.2</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投标人不得以任何方式影响评标。</w:t>
      </w:r>
    </w:p>
    <w:p w14:paraId="5E0674DA">
      <w:pPr>
        <w:widowControl w:val="0"/>
        <w:adjustRightInd w:val="0"/>
        <w:snapToGrid w:val="0"/>
        <w:spacing w:line="360" w:lineRule="auto"/>
        <w:ind w:firstLine="420" w:firstLineChars="175"/>
        <w:rPr>
          <w:rFonts w:ascii="宋体" w:hAnsi="宋体" w:eastAsia="宋体" w:cs="宋体"/>
          <w:sz w:val="24"/>
          <w:szCs w:val="24"/>
          <w:highlight w:val="none"/>
          <w:lang w:val="zh-CN"/>
        </w:rPr>
      </w:pPr>
      <w:r>
        <w:rPr>
          <w:rFonts w:hint="eastAsia" w:ascii="宋体" w:hAnsi="宋体" w:eastAsia="宋体" w:cs="宋体"/>
          <w:sz w:val="24"/>
          <w:szCs w:val="24"/>
          <w:highlight w:val="none"/>
        </w:rPr>
        <w:t>19</w:t>
      </w:r>
      <w:r>
        <w:rPr>
          <w:rFonts w:hint="eastAsia" w:ascii="宋体" w:hAnsi="宋体" w:eastAsia="宋体" w:cs="宋体"/>
          <w:sz w:val="24"/>
          <w:szCs w:val="24"/>
          <w:highlight w:val="none"/>
          <w:lang w:val="zh-CN"/>
        </w:rPr>
        <w:t xml:space="preserve">.3 </w:t>
      </w:r>
      <w:r>
        <w:rPr>
          <w:rFonts w:hint="eastAsia" w:ascii="宋体" w:hAnsi="宋体" w:eastAsia="宋体" w:cs="宋体"/>
          <w:sz w:val="24"/>
          <w:szCs w:val="24"/>
          <w:highlight w:val="none"/>
        </w:rPr>
        <w:t>招标人或者招标代理机构</w:t>
      </w:r>
      <w:r>
        <w:rPr>
          <w:rFonts w:hint="eastAsia" w:ascii="宋体" w:hAnsi="宋体" w:eastAsia="宋体" w:cs="宋体"/>
          <w:sz w:val="24"/>
          <w:szCs w:val="24"/>
          <w:highlight w:val="none"/>
          <w:lang w:val="zh-CN"/>
        </w:rPr>
        <w:t>和评委会不向未中标的投标人解释未中标原因，也不公布评标过程中的相关细节。</w:t>
      </w:r>
    </w:p>
    <w:p w14:paraId="3EDA9D76">
      <w:pPr>
        <w:widowControl w:val="0"/>
        <w:shd w:val="clear" w:color="auto" w:fill="FFFFFF"/>
        <w:spacing w:line="360" w:lineRule="auto"/>
        <w:ind w:firstLine="482" w:firstLineChars="200"/>
        <w:rPr>
          <w:rFonts w:ascii="宋体" w:hAnsi="宋体" w:eastAsia="宋体" w:cs="Arial"/>
          <w:b/>
          <w:bCs/>
          <w:sz w:val="24"/>
          <w:szCs w:val="24"/>
          <w:highlight w:val="none"/>
        </w:rPr>
      </w:pPr>
      <w:r>
        <w:rPr>
          <w:rFonts w:hint="eastAsia" w:ascii="宋体" w:hAnsi="宋体" w:eastAsia="宋体" w:cs="Arial"/>
          <w:b/>
          <w:bCs/>
          <w:sz w:val="24"/>
          <w:szCs w:val="24"/>
          <w:highlight w:val="none"/>
        </w:rPr>
        <w:t>20、评标</w:t>
      </w:r>
    </w:p>
    <w:p w14:paraId="7DCDD571">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20</w:t>
      </w:r>
      <w:r>
        <w:rPr>
          <w:rFonts w:ascii="宋体" w:hAnsi="宋体" w:eastAsia="宋体" w:cs="Arial"/>
          <w:sz w:val="24"/>
          <w:szCs w:val="24"/>
          <w:highlight w:val="none"/>
        </w:rPr>
        <w:t xml:space="preserve">.1 </w:t>
      </w:r>
      <w:r>
        <w:rPr>
          <w:rFonts w:hint="eastAsia" w:ascii="宋体" w:hAnsi="宋体" w:eastAsia="宋体" w:cs="Arial"/>
          <w:sz w:val="24"/>
          <w:szCs w:val="24"/>
          <w:highlight w:val="none"/>
        </w:rPr>
        <w:t>评标委员会</w:t>
      </w:r>
    </w:p>
    <w:p w14:paraId="4A733CF0">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20</w:t>
      </w:r>
      <w:r>
        <w:rPr>
          <w:rFonts w:ascii="宋体" w:hAnsi="宋体" w:eastAsia="宋体" w:cs="Arial"/>
          <w:sz w:val="24"/>
          <w:szCs w:val="24"/>
          <w:highlight w:val="none"/>
        </w:rPr>
        <w:t>.1.1</w:t>
      </w:r>
      <w:r>
        <w:rPr>
          <w:rFonts w:hint="eastAsia" w:ascii="宋体" w:hAnsi="宋体" w:eastAsia="宋体" w:cs="Arial"/>
          <w:sz w:val="24"/>
          <w:szCs w:val="24"/>
          <w:highlight w:val="none"/>
        </w:rPr>
        <w:t>评标委员会负责具体评标事务，并独立履行下列职责：</w:t>
      </w:r>
    </w:p>
    <w:p w14:paraId="5EF5FACA">
      <w:pPr>
        <w:widowControl w:val="0"/>
        <w:shd w:val="clear" w:color="auto" w:fill="FFFFFF"/>
        <w:spacing w:line="360" w:lineRule="auto"/>
        <w:ind w:firstLine="420"/>
        <w:jc w:val="both"/>
        <w:rPr>
          <w:rFonts w:ascii="宋体" w:hAnsi="宋体" w:eastAsia="宋体" w:cs="Arial"/>
          <w:sz w:val="24"/>
          <w:szCs w:val="24"/>
          <w:highlight w:val="none"/>
        </w:rPr>
      </w:pPr>
      <w:r>
        <w:rPr>
          <w:rFonts w:hint="eastAsia" w:ascii="宋体" w:hAnsi="宋体" w:eastAsia="宋体" w:cs="Arial"/>
          <w:sz w:val="24"/>
          <w:szCs w:val="24"/>
          <w:highlight w:val="none"/>
        </w:rPr>
        <w:t>（一）审查、评价投标文件是否符合招标文件的商务、技术等实质性要求；</w:t>
      </w:r>
    </w:p>
    <w:p w14:paraId="5AA0CE05">
      <w:pPr>
        <w:widowControl w:val="0"/>
        <w:shd w:val="clear" w:color="auto" w:fill="FFFFFF"/>
        <w:spacing w:line="360" w:lineRule="auto"/>
        <w:ind w:firstLine="420"/>
        <w:jc w:val="both"/>
        <w:rPr>
          <w:rFonts w:ascii="宋体" w:hAnsi="宋体" w:eastAsia="宋体" w:cs="Arial"/>
          <w:sz w:val="24"/>
          <w:szCs w:val="24"/>
          <w:highlight w:val="none"/>
        </w:rPr>
      </w:pPr>
      <w:r>
        <w:rPr>
          <w:rFonts w:hint="eastAsia" w:ascii="宋体" w:hAnsi="宋体" w:eastAsia="宋体" w:cs="Arial"/>
          <w:sz w:val="24"/>
          <w:szCs w:val="24"/>
          <w:highlight w:val="none"/>
        </w:rPr>
        <w:t>（二）要求投标人对投标文件有关事项作出澄清或者说明；</w:t>
      </w:r>
    </w:p>
    <w:p w14:paraId="63EE949D">
      <w:pPr>
        <w:widowControl w:val="0"/>
        <w:shd w:val="clear" w:color="auto" w:fill="FFFFFF"/>
        <w:spacing w:line="360" w:lineRule="auto"/>
        <w:ind w:firstLine="420"/>
        <w:jc w:val="both"/>
        <w:rPr>
          <w:rFonts w:ascii="宋体" w:hAnsi="宋体" w:eastAsia="宋体" w:cs="Arial"/>
          <w:sz w:val="24"/>
          <w:szCs w:val="24"/>
          <w:highlight w:val="none"/>
        </w:rPr>
      </w:pPr>
      <w:r>
        <w:rPr>
          <w:rFonts w:hint="eastAsia" w:ascii="宋体" w:hAnsi="宋体" w:eastAsia="宋体" w:cs="Arial"/>
          <w:sz w:val="24"/>
          <w:szCs w:val="24"/>
          <w:highlight w:val="none"/>
        </w:rPr>
        <w:t>（三）对投标文件进行比较和评价；</w:t>
      </w:r>
    </w:p>
    <w:p w14:paraId="79A9D8A7">
      <w:pPr>
        <w:widowControl w:val="0"/>
        <w:shd w:val="clear" w:color="auto" w:fill="FFFFFF"/>
        <w:spacing w:line="360" w:lineRule="auto"/>
        <w:ind w:firstLine="420"/>
        <w:jc w:val="both"/>
        <w:rPr>
          <w:rFonts w:ascii="宋体" w:hAnsi="宋体" w:eastAsia="宋体" w:cs="Arial"/>
          <w:sz w:val="24"/>
          <w:szCs w:val="24"/>
          <w:highlight w:val="none"/>
        </w:rPr>
      </w:pPr>
      <w:r>
        <w:rPr>
          <w:rFonts w:hint="eastAsia" w:ascii="宋体" w:hAnsi="宋体" w:eastAsia="宋体" w:cs="Arial"/>
          <w:sz w:val="24"/>
          <w:szCs w:val="24"/>
          <w:highlight w:val="none"/>
        </w:rPr>
        <w:t>（四）确定中标候选人名单，以及根据采购人委托直接确定中标人；</w:t>
      </w:r>
    </w:p>
    <w:p w14:paraId="737EE14C">
      <w:pPr>
        <w:widowControl w:val="0"/>
        <w:shd w:val="clear" w:color="auto" w:fill="FFFFFF"/>
        <w:spacing w:line="360" w:lineRule="auto"/>
        <w:ind w:firstLine="420"/>
        <w:jc w:val="both"/>
        <w:rPr>
          <w:rFonts w:ascii="宋体" w:hAnsi="宋体" w:eastAsia="宋体" w:cs="Arial"/>
          <w:sz w:val="24"/>
          <w:szCs w:val="24"/>
          <w:highlight w:val="none"/>
        </w:rPr>
      </w:pPr>
      <w:r>
        <w:rPr>
          <w:rFonts w:hint="eastAsia" w:ascii="宋体" w:hAnsi="宋体" w:eastAsia="宋体" w:cs="Arial"/>
          <w:sz w:val="24"/>
          <w:szCs w:val="24"/>
          <w:highlight w:val="none"/>
        </w:rPr>
        <w:t>（五）向招标人、招标代理机构或者有关部门报告评标中发现的违法行为。</w:t>
      </w:r>
    </w:p>
    <w:p w14:paraId="0EE8A40D">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20</w:t>
      </w:r>
      <w:r>
        <w:rPr>
          <w:rFonts w:ascii="宋体" w:hAnsi="宋体" w:eastAsia="宋体" w:cs="Arial"/>
          <w:sz w:val="24"/>
          <w:szCs w:val="24"/>
          <w:highlight w:val="none"/>
        </w:rPr>
        <w:t xml:space="preserve">.1.2 </w:t>
      </w:r>
      <w:r>
        <w:rPr>
          <w:rFonts w:hint="eastAsia" w:ascii="宋体" w:hAnsi="宋体" w:eastAsia="宋体" w:cs="Arial"/>
          <w:sz w:val="24"/>
          <w:szCs w:val="24"/>
          <w:highlight w:val="none"/>
        </w:rPr>
        <w:t>评标委员会由招标人代表和有关技术、经济等方面的专家组成，独立开展评审工作。</w:t>
      </w:r>
    </w:p>
    <w:p w14:paraId="55E75645">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20</w:t>
      </w:r>
      <w:r>
        <w:rPr>
          <w:rFonts w:ascii="宋体" w:hAnsi="宋体" w:eastAsia="宋体" w:cs="Arial"/>
          <w:sz w:val="24"/>
          <w:szCs w:val="24"/>
          <w:highlight w:val="none"/>
        </w:rPr>
        <w:t xml:space="preserve">.2 </w:t>
      </w:r>
      <w:r>
        <w:rPr>
          <w:rFonts w:hint="eastAsia" w:ascii="宋体" w:hAnsi="宋体" w:eastAsia="宋体" w:cs="Arial"/>
          <w:sz w:val="24"/>
          <w:szCs w:val="24"/>
          <w:highlight w:val="none"/>
        </w:rPr>
        <w:t>评标程序</w:t>
      </w:r>
    </w:p>
    <w:p w14:paraId="6661BD64">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20</w:t>
      </w:r>
      <w:r>
        <w:rPr>
          <w:rFonts w:ascii="宋体" w:hAnsi="宋体" w:eastAsia="宋体" w:cs="Arial"/>
          <w:sz w:val="24"/>
          <w:szCs w:val="24"/>
          <w:highlight w:val="none"/>
        </w:rPr>
        <w:t xml:space="preserve">.2.1 </w:t>
      </w:r>
      <w:r>
        <w:rPr>
          <w:rFonts w:hint="eastAsia" w:ascii="宋体" w:hAnsi="宋体" w:eastAsia="宋体" w:cs="Arial"/>
          <w:sz w:val="24"/>
          <w:szCs w:val="24"/>
          <w:highlight w:val="none"/>
        </w:rPr>
        <w:t>投标文件的资格性检查。公开招标采购项目开标结束后，招标人或者招标代理机构应当依法对投标人的资格进行审查。合格投标人不足</w:t>
      </w:r>
      <w:r>
        <w:rPr>
          <w:rFonts w:ascii="宋体" w:hAnsi="宋体" w:eastAsia="宋体" w:cs="Arial"/>
          <w:sz w:val="24"/>
          <w:szCs w:val="24"/>
          <w:highlight w:val="none"/>
        </w:rPr>
        <w:t>3</w:t>
      </w:r>
      <w:r>
        <w:rPr>
          <w:rFonts w:hint="eastAsia" w:ascii="宋体" w:hAnsi="宋体" w:eastAsia="宋体" w:cs="Arial"/>
          <w:sz w:val="24"/>
          <w:szCs w:val="24"/>
          <w:highlight w:val="none"/>
        </w:rPr>
        <w:t>家的，不得评标。</w:t>
      </w:r>
    </w:p>
    <w:p w14:paraId="4F3E89E3">
      <w:pPr>
        <w:widowControl w:val="0"/>
        <w:shd w:val="clear" w:color="auto" w:fill="FFFFFF"/>
        <w:wordWrap w:val="0"/>
        <w:topLinePunct/>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20.2.1.1在进行资格性审查的同时，将在“信用中国”网站（</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hint="eastAsia" w:ascii="宋体" w:hAnsi="宋体" w:eastAsia="宋体" w:cs="Arial"/>
          <w:sz w:val="24"/>
          <w:szCs w:val="24"/>
          <w:highlight w:val="none"/>
        </w:rPr>
        <w:t>www.creditchina.gov.cn</w:t>
      </w:r>
      <w:r>
        <w:rPr>
          <w:rFonts w:hint="eastAsia" w:ascii="宋体" w:hAnsi="宋体" w:eastAsia="宋体" w:cs="Arial"/>
          <w:sz w:val="24"/>
          <w:szCs w:val="24"/>
          <w:highlight w:val="none"/>
        </w:rPr>
        <w:fldChar w:fldCharType="end"/>
      </w:r>
      <w:r>
        <w:rPr>
          <w:rFonts w:hint="eastAsia" w:ascii="宋体" w:hAnsi="宋体" w:eastAsia="宋体" w:cs="Arial"/>
          <w:sz w:val="24"/>
          <w:szCs w:val="24"/>
          <w:highlight w:val="none"/>
        </w:rPr>
        <w:t>）、“中国政府采购网”（</w:t>
      </w:r>
      <w:r>
        <w:rPr>
          <w:highlight w:val="none"/>
        </w:rPr>
        <w:fldChar w:fldCharType="begin"/>
      </w:r>
      <w:r>
        <w:rPr>
          <w:highlight w:val="none"/>
        </w:rPr>
        <w:instrText xml:space="preserve"> HYPERLINK "http://www.ccgp.gov.cn" \o "http://www.ccgp.gov.cn" </w:instrText>
      </w:r>
      <w:r>
        <w:rPr>
          <w:highlight w:val="none"/>
        </w:rPr>
        <w:fldChar w:fldCharType="separate"/>
      </w:r>
      <w:r>
        <w:rPr>
          <w:rFonts w:hint="eastAsia" w:ascii="宋体" w:hAnsi="宋体" w:eastAsia="宋体" w:cs="Arial"/>
          <w:sz w:val="24"/>
          <w:szCs w:val="24"/>
          <w:highlight w:val="none"/>
        </w:rPr>
        <w:t>www.ccgp.gov.cn</w:t>
      </w:r>
      <w:r>
        <w:rPr>
          <w:rFonts w:hint="eastAsia" w:ascii="宋体" w:hAnsi="宋体" w:eastAsia="宋体" w:cs="Arial"/>
          <w:sz w:val="24"/>
          <w:szCs w:val="24"/>
          <w:highlight w:val="none"/>
        </w:rPr>
        <w:fldChar w:fldCharType="end"/>
      </w:r>
      <w:r>
        <w:rPr>
          <w:rFonts w:hint="eastAsia" w:ascii="宋体" w:hAnsi="宋体" w:eastAsia="宋体" w:cs="Arial"/>
          <w:sz w:val="24"/>
          <w:szCs w:val="24"/>
          <w:highlight w:val="none"/>
        </w:rPr>
        <w:t>）投标供应商是否被列入失信被执行人、重大税收违法案件当事人名单、政府采购严重违法失信行为记录名单的情况进行查询，以确定投标供应商是否具备投标资格。</w:t>
      </w:r>
    </w:p>
    <w:p w14:paraId="07699126">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 xml:space="preserve">20.2.1.2投标文件有下列情况之一的，在资格性审查时按照无效投标处理 </w:t>
      </w:r>
    </w:p>
    <w:p w14:paraId="607F0231">
      <w:pPr>
        <w:widowControl w:val="0"/>
        <w:shd w:val="clear" w:color="auto" w:fill="FFFFFF"/>
        <w:spacing w:line="360" w:lineRule="auto"/>
        <w:ind w:firstLine="420"/>
        <w:jc w:val="both"/>
        <w:rPr>
          <w:rFonts w:ascii="宋体" w:hAnsi="宋体" w:eastAsia="宋体" w:cs="Arial"/>
          <w:sz w:val="24"/>
          <w:szCs w:val="24"/>
          <w:highlight w:val="none"/>
        </w:rPr>
      </w:pPr>
      <w:r>
        <w:rPr>
          <w:rFonts w:hint="eastAsia" w:ascii="宋体" w:hAnsi="宋体" w:eastAsia="宋体" w:cs="Arial"/>
          <w:sz w:val="24"/>
          <w:szCs w:val="24"/>
          <w:highlight w:val="none"/>
        </w:rPr>
        <w:t>（1）不具备招标文件规定资格条件的；</w:t>
      </w:r>
    </w:p>
    <w:p w14:paraId="0D45BC0C">
      <w:pPr>
        <w:widowControl w:val="0"/>
        <w:shd w:val="clear" w:color="auto" w:fill="FFFFFF"/>
        <w:spacing w:line="360" w:lineRule="auto"/>
        <w:ind w:firstLine="420"/>
        <w:jc w:val="both"/>
        <w:rPr>
          <w:rFonts w:ascii="宋体" w:hAnsi="宋体" w:eastAsia="宋体" w:cs="Arial"/>
          <w:sz w:val="24"/>
          <w:szCs w:val="24"/>
          <w:highlight w:val="none"/>
        </w:rPr>
      </w:pPr>
      <w:r>
        <w:rPr>
          <w:rFonts w:hint="eastAsia" w:ascii="宋体" w:hAnsi="宋体" w:eastAsia="宋体" w:cs="Arial"/>
          <w:sz w:val="24"/>
          <w:szCs w:val="24"/>
          <w:highlight w:val="none"/>
        </w:rPr>
        <w:t>（2）供应商被“信用中国”网站（</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hint="eastAsia" w:ascii="宋体" w:hAnsi="宋体" w:eastAsia="宋体" w:cs="Arial"/>
          <w:sz w:val="24"/>
          <w:szCs w:val="24"/>
          <w:highlight w:val="none"/>
        </w:rPr>
        <w:t>www.creditchina.gov.cn</w:t>
      </w:r>
      <w:r>
        <w:rPr>
          <w:rFonts w:hint="eastAsia" w:ascii="宋体" w:hAnsi="宋体" w:eastAsia="宋体" w:cs="Arial"/>
          <w:sz w:val="24"/>
          <w:szCs w:val="24"/>
          <w:highlight w:val="none"/>
        </w:rPr>
        <w:fldChar w:fldCharType="end"/>
      </w:r>
      <w:r>
        <w:rPr>
          <w:rFonts w:hint="eastAsia" w:ascii="宋体" w:hAnsi="宋体" w:eastAsia="宋体" w:cs="Arial"/>
          <w:sz w:val="24"/>
          <w:szCs w:val="24"/>
          <w:highlight w:val="none"/>
        </w:rPr>
        <w:t>）、“中国政府采购网”（</w:t>
      </w:r>
      <w:r>
        <w:rPr>
          <w:highlight w:val="none"/>
        </w:rPr>
        <w:fldChar w:fldCharType="begin"/>
      </w:r>
      <w:r>
        <w:rPr>
          <w:highlight w:val="none"/>
        </w:rPr>
        <w:instrText xml:space="preserve"> HYPERLINK "http://www.ccgp.gov.cn" \o "http://www.ccgp.gov.cn" </w:instrText>
      </w:r>
      <w:r>
        <w:rPr>
          <w:highlight w:val="none"/>
        </w:rPr>
        <w:fldChar w:fldCharType="separate"/>
      </w:r>
      <w:r>
        <w:rPr>
          <w:rFonts w:hint="eastAsia" w:ascii="宋体" w:hAnsi="宋体" w:eastAsia="宋体" w:cs="Arial"/>
          <w:sz w:val="24"/>
          <w:szCs w:val="24"/>
          <w:highlight w:val="none"/>
        </w:rPr>
        <w:t>www.ccgp.gov.cn</w:t>
      </w:r>
      <w:r>
        <w:rPr>
          <w:rFonts w:hint="eastAsia" w:ascii="宋体" w:hAnsi="宋体" w:eastAsia="宋体" w:cs="Arial"/>
          <w:sz w:val="24"/>
          <w:szCs w:val="24"/>
          <w:highlight w:val="none"/>
        </w:rPr>
        <w:fldChar w:fldCharType="end"/>
      </w:r>
      <w:r>
        <w:rPr>
          <w:rFonts w:hint="eastAsia" w:ascii="宋体" w:hAnsi="宋体" w:eastAsia="宋体" w:cs="Arial"/>
          <w:sz w:val="24"/>
          <w:szCs w:val="24"/>
          <w:highlight w:val="none"/>
        </w:rPr>
        <w:t>）列入失信被执行人、重大税收违 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p>
    <w:p w14:paraId="51943DC7">
      <w:pPr>
        <w:widowControl w:val="0"/>
        <w:shd w:val="clear" w:color="auto" w:fill="FFFFFF"/>
        <w:spacing w:line="360" w:lineRule="auto"/>
        <w:ind w:firstLine="420"/>
        <w:jc w:val="both"/>
        <w:rPr>
          <w:rFonts w:ascii="宋体" w:hAnsi="宋体" w:eastAsia="宋体" w:cs="Arial"/>
          <w:sz w:val="24"/>
          <w:szCs w:val="24"/>
          <w:highlight w:val="none"/>
        </w:rPr>
      </w:pPr>
      <w:r>
        <w:rPr>
          <w:rFonts w:hint="eastAsia" w:ascii="宋体" w:hAnsi="宋体" w:eastAsia="宋体" w:cs="Arial"/>
          <w:sz w:val="24"/>
          <w:szCs w:val="24"/>
          <w:highlight w:val="none"/>
        </w:rPr>
        <w:t>（3）未提供《</w:t>
      </w:r>
      <w:r>
        <w:rPr>
          <w:rFonts w:hint="eastAsia" w:ascii="宋体" w:hAnsi="宋体" w:eastAsia="宋体" w:cs="Arial"/>
          <w:sz w:val="24"/>
          <w:szCs w:val="24"/>
          <w:highlight w:val="none"/>
          <w:lang w:eastAsia="zh-CN"/>
        </w:rPr>
        <w:t>南京市政府采购供应商信用承诺书</w:t>
      </w:r>
      <w:r>
        <w:rPr>
          <w:rFonts w:hint="eastAsia" w:ascii="宋体" w:hAnsi="宋体" w:eastAsia="宋体" w:cs="Arial"/>
          <w:sz w:val="24"/>
          <w:szCs w:val="24"/>
          <w:highlight w:val="none"/>
        </w:rPr>
        <w:t>》。</w:t>
      </w:r>
    </w:p>
    <w:p w14:paraId="1D880029">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20</w:t>
      </w:r>
      <w:r>
        <w:rPr>
          <w:rFonts w:ascii="宋体" w:hAnsi="宋体" w:eastAsia="宋体" w:cs="Arial"/>
          <w:sz w:val="24"/>
          <w:szCs w:val="24"/>
          <w:highlight w:val="none"/>
        </w:rPr>
        <w:t>.2.2</w:t>
      </w:r>
      <w:r>
        <w:rPr>
          <w:rFonts w:hint="eastAsia" w:ascii="宋体" w:hAnsi="宋体" w:eastAsia="宋体" w:cs="Arial"/>
          <w:sz w:val="24"/>
          <w:szCs w:val="24"/>
          <w:highlight w:val="none"/>
        </w:rPr>
        <w:t>投标文件的符合性审查。评标委员会对通过资格性检查的投标人的投标文件进行符合性审查，以确定其是否满足招标文件的实质性要求。投标文件有下列情况之一的，在符合性检查时按照无效投标处理：</w:t>
      </w:r>
    </w:p>
    <w:p w14:paraId="3371B11E">
      <w:pPr>
        <w:spacing w:line="360" w:lineRule="auto"/>
        <w:ind w:firstLine="482" w:firstLineChars="200"/>
        <w:rPr>
          <w:rFonts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w:t>
      </w:r>
      <w:r>
        <w:rPr>
          <w:rFonts w:hint="eastAsia" w:ascii="宋体" w:hAnsi="宋体" w:eastAsia="宋体" w:cs="宋体"/>
          <w:b/>
          <w:bCs/>
          <w:sz w:val="24"/>
          <w:szCs w:val="24"/>
          <w:highlight w:val="none"/>
        </w:rPr>
        <w:t>1</w:t>
      </w:r>
      <w:r>
        <w:rPr>
          <w:rFonts w:hint="eastAsia" w:ascii="宋体" w:hAnsi="宋体" w:eastAsia="宋体" w:cs="宋体"/>
          <w:b/>
          <w:bCs/>
          <w:sz w:val="24"/>
          <w:szCs w:val="24"/>
          <w:highlight w:val="none"/>
          <w:lang w:val="zh-CN"/>
        </w:rPr>
        <w:t>）投标人在苏采云系统规定的时间内未成功解密电子投标文件；</w:t>
      </w:r>
    </w:p>
    <w:p w14:paraId="5D3E7AE5">
      <w:pPr>
        <w:spacing w:line="360" w:lineRule="auto"/>
        <w:ind w:firstLine="482" w:firstLineChars="200"/>
        <w:rPr>
          <w:rFonts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w:t>
      </w:r>
      <w:r>
        <w:rPr>
          <w:rFonts w:hint="eastAsia" w:ascii="宋体" w:hAnsi="宋体" w:eastAsia="宋体" w:cs="宋体"/>
          <w:b/>
          <w:bCs/>
          <w:sz w:val="24"/>
          <w:szCs w:val="24"/>
          <w:highlight w:val="none"/>
        </w:rPr>
        <w:t>2</w:t>
      </w:r>
      <w:r>
        <w:rPr>
          <w:rFonts w:hint="eastAsia" w:ascii="宋体" w:hAnsi="宋体" w:eastAsia="宋体" w:cs="宋体"/>
          <w:b/>
          <w:bCs/>
          <w:sz w:val="24"/>
          <w:szCs w:val="24"/>
          <w:highlight w:val="none"/>
          <w:lang w:val="zh-CN"/>
        </w:rPr>
        <w:t>）投标人未按照招标文件要求上传电子投标文件；</w:t>
      </w:r>
    </w:p>
    <w:p w14:paraId="2D408E22">
      <w:pPr>
        <w:spacing w:line="360" w:lineRule="auto"/>
        <w:ind w:firstLine="482" w:firstLineChars="200"/>
        <w:rPr>
          <w:rFonts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w:t>
      </w:r>
      <w:r>
        <w:rPr>
          <w:rFonts w:hint="eastAsia" w:ascii="宋体" w:hAnsi="宋体" w:eastAsia="宋体" w:cs="宋体"/>
          <w:b/>
          <w:bCs/>
          <w:sz w:val="24"/>
          <w:szCs w:val="24"/>
          <w:highlight w:val="none"/>
        </w:rPr>
        <w:t>3</w:t>
      </w:r>
      <w:r>
        <w:rPr>
          <w:rFonts w:hint="eastAsia" w:ascii="宋体" w:hAnsi="宋体" w:eastAsia="宋体" w:cs="宋体"/>
          <w:b/>
          <w:bCs/>
          <w:sz w:val="24"/>
          <w:szCs w:val="24"/>
          <w:highlight w:val="none"/>
          <w:lang w:val="zh-CN"/>
        </w:rPr>
        <w:t>）同一投标人提交两个（含两个）以上不同的投标报价；</w:t>
      </w:r>
    </w:p>
    <w:p w14:paraId="16171424">
      <w:pPr>
        <w:spacing w:line="360" w:lineRule="auto"/>
        <w:ind w:firstLine="482" w:firstLineChars="200"/>
        <w:rPr>
          <w:rFonts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w:t>
      </w:r>
      <w:r>
        <w:rPr>
          <w:rFonts w:hint="eastAsia" w:ascii="宋体" w:hAnsi="宋体" w:eastAsia="宋体" w:cs="宋体"/>
          <w:b/>
          <w:bCs/>
          <w:sz w:val="24"/>
          <w:szCs w:val="24"/>
          <w:highlight w:val="none"/>
        </w:rPr>
        <w:t>4</w:t>
      </w:r>
      <w:r>
        <w:rPr>
          <w:rFonts w:hint="eastAsia" w:ascii="宋体" w:hAnsi="宋体" w:eastAsia="宋体" w:cs="宋体"/>
          <w:b/>
          <w:bCs/>
          <w:sz w:val="24"/>
          <w:szCs w:val="24"/>
          <w:highlight w:val="none"/>
          <w:lang w:val="zh-CN"/>
        </w:rPr>
        <w:t>）投标人的报价超过了采购预算或最高限价；</w:t>
      </w:r>
    </w:p>
    <w:p w14:paraId="350AB8C1">
      <w:pPr>
        <w:spacing w:line="360" w:lineRule="auto"/>
        <w:ind w:firstLine="482" w:firstLineChars="200"/>
        <w:rPr>
          <w:rFonts w:ascii="宋体" w:hAnsi="宋体" w:eastAsia="宋体" w:cs="宋体"/>
          <w:b/>
          <w:bCs/>
          <w:sz w:val="24"/>
          <w:szCs w:val="24"/>
          <w:highlight w:val="none"/>
          <w:lang w:val="zh-CN"/>
        </w:rPr>
      </w:pPr>
      <w:r>
        <w:rPr>
          <w:rFonts w:hint="eastAsia" w:ascii="宋体" w:hAnsi="宋体" w:eastAsia="宋体" w:cs="宋体"/>
          <w:b/>
          <w:bCs/>
          <w:sz w:val="24"/>
          <w:szCs w:val="24"/>
          <w:highlight w:val="none"/>
        </w:rPr>
        <w:t>（5）</w:t>
      </w:r>
      <w:r>
        <w:rPr>
          <w:rFonts w:hint="eastAsia" w:ascii="宋体" w:hAnsi="宋体" w:eastAsia="宋体" w:cs="宋体"/>
          <w:b/>
          <w:bCs/>
          <w:sz w:val="24"/>
          <w:szCs w:val="24"/>
          <w:highlight w:val="none"/>
          <w:lang w:val="zh-CN"/>
        </w:rPr>
        <w:t>评委会认为投标人的报价明显低于其他通过符合性审查投标人的报价，有可能影响</w:t>
      </w:r>
      <w:r>
        <w:rPr>
          <w:rFonts w:hint="eastAsia" w:ascii="宋体" w:hAnsi="宋体" w:eastAsia="宋体" w:cs="宋体"/>
          <w:b/>
          <w:bCs/>
          <w:sz w:val="24"/>
          <w:szCs w:val="24"/>
          <w:highlight w:val="none"/>
        </w:rPr>
        <w:t>服务</w:t>
      </w:r>
      <w:r>
        <w:rPr>
          <w:rFonts w:hint="eastAsia" w:ascii="宋体" w:hAnsi="宋体" w:eastAsia="宋体" w:cs="宋体"/>
          <w:b/>
          <w:bCs/>
          <w:sz w:val="24"/>
          <w:szCs w:val="24"/>
          <w:highlight w:val="none"/>
          <w:lang w:val="zh-CN"/>
        </w:rPr>
        <w:t>质量或者不能诚信履约的，将通过苏采云系统要求其在合理的时间内提供说明，必要时提交相关证明材料。投标人不能证明其报价合理性的，评委会应当将其作为无效投标处理；</w:t>
      </w:r>
    </w:p>
    <w:p w14:paraId="11FBE6BF">
      <w:pPr>
        <w:spacing w:line="360" w:lineRule="auto"/>
        <w:ind w:firstLine="482"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（6）不同投标人的响应文件由同一单位或者个人编制；</w:t>
      </w:r>
    </w:p>
    <w:p w14:paraId="30811A1A">
      <w:pPr>
        <w:spacing w:line="360" w:lineRule="auto"/>
        <w:ind w:firstLine="482"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（7）不同投标人委托同一单位或者个人办理投标事宜；</w:t>
      </w:r>
    </w:p>
    <w:p w14:paraId="348EA81A">
      <w:pPr>
        <w:spacing w:line="360" w:lineRule="auto"/>
        <w:ind w:firstLine="482"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（8）不同投标人的ip地址、MAC地址、标书制作工具客户端标识码一致的；</w:t>
      </w:r>
    </w:p>
    <w:p w14:paraId="3D230A5F">
      <w:pPr>
        <w:spacing w:line="360" w:lineRule="auto"/>
        <w:ind w:firstLine="482"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（9）</w:t>
      </w:r>
      <w:bookmarkStart w:id="36" w:name="OLE_LINK7"/>
      <w:r>
        <w:rPr>
          <w:rFonts w:hint="eastAsia" w:ascii="宋体" w:hAnsi="宋体" w:eastAsia="宋体" w:cs="宋体"/>
          <w:b/>
          <w:bCs/>
          <w:sz w:val="24"/>
          <w:szCs w:val="24"/>
          <w:highlight w:val="none"/>
        </w:rPr>
        <w:t>不同投标人的响应文件载明的项目管理成员或者联系人员为同一人</w:t>
      </w:r>
      <w:bookmarkEnd w:id="36"/>
      <w:r>
        <w:rPr>
          <w:rFonts w:hint="eastAsia" w:ascii="宋体" w:hAnsi="宋体" w:eastAsia="宋体" w:cs="宋体"/>
          <w:b/>
          <w:bCs/>
          <w:sz w:val="24"/>
          <w:szCs w:val="24"/>
          <w:highlight w:val="none"/>
        </w:rPr>
        <w:t>；</w:t>
      </w:r>
    </w:p>
    <w:p w14:paraId="4246207C">
      <w:pPr>
        <w:spacing w:line="360" w:lineRule="auto"/>
        <w:ind w:firstLine="482"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（10）不同投标人的响应文件异常一致或者投标报价呈规律性差异；</w:t>
      </w:r>
    </w:p>
    <w:p w14:paraId="389E983D">
      <w:pPr>
        <w:spacing w:line="360" w:lineRule="auto"/>
        <w:ind w:firstLine="482"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（11）不同投标人的法定代表人或委托代理人有夫妻、直系血亲关系的；</w:t>
      </w:r>
    </w:p>
    <w:p w14:paraId="294190A0">
      <w:pPr>
        <w:spacing w:line="360" w:lineRule="auto"/>
        <w:ind w:firstLine="482"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（12）不同投标人的负责人为同一人或者存在控股、管理关系的；</w:t>
      </w:r>
    </w:p>
    <w:p w14:paraId="5851F5FC">
      <w:pPr>
        <w:spacing w:line="360" w:lineRule="auto"/>
        <w:ind w:firstLine="482"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（13）不同投标人的委托代理人(或法定代表人、项目经理、项目总监、项目负责人等)在采购文件发布日上月至投标截止日当月在同一单位缴纳社会保险的；</w:t>
      </w:r>
    </w:p>
    <w:p w14:paraId="6710A5AB">
      <w:pPr>
        <w:spacing w:line="360" w:lineRule="auto"/>
        <w:ind w:firstLine="482" w:firstLineChars="200"/>
        <w:rPr>
          <w:rFonts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w:t>
      </w:r>
      <w:r>
        <w:rPr>
          <w:rFonts w:hint="eastAsia" w:ascii="宋体" w:hAnsi="宋体" w:eastAsia="宋体" w:cs="宋体"/>
          <w:b/>
          <w:bCs/>
          <w:sz w:val="24"/>
          <w:szCs w:val="24"/>
          <w:highlight w:val="none"/>
        </w:rPr>
        <w:t>14</w:t>
      </w:r>
      <w:r>
        <w:rPr>
          <w:rFonts w:hint="eastAsia" w:ascii="宋体" w:hAnsi="宋体" w:eastAsia="宋体" w:cs="宋体"/>
          <w:b/>
          <w:bCs/>
          <w:sz w:val="24"/>
          <w:szCs w:val="24"/>
          <w:highlight w:val="none"/>
          <w:lang w:val="zh-CN"/>
        </w:rPr>
        <w:t>）</w:t>
      </w:r>
      <w:r>
        <w:rPr>
          <w:rFonts w:hint="eastAsia" w:ascii="宋体" w:hAnsi="宋体" w:eastAsia="宋体" w:cs="宋体"/>
          <w:b/>
          <w:bCs/>
          <w:sz w:val="24"/>
          <w:szCs w:val="24"/>
          <w:highlight w:val="none"/>
        </w:rPr>
        <w:t>投标文件</w:t>
      </w:r>
      <w:r>
        <w:rPr>
          <w:rFonts w:hint="eastAsia" w:ascii="宋体" w:hAnsi="宋体" w:eastAsia="宋体" w:cs="宋体"/>
          <w:b/>
          <w:bCs/>
          <w:sz w:val="24"/>
          <w:szCs w:val="24"/>
          <w:highlight w:val="none"/>
          <w:lang w:val="zh-CN"/>
        </w:rPr>
        <w:t>未响应招标文件中实质性要求和条件的；</w:t>
      </w:r>
    </w:p>
    <w:p w14:paraId="1BA13FDC">
      <w:pPr>
        <w:spacing w:line="360" w:lineRule="auto"/>
        <w:ind w:firstLine="482" w:firstLineChars="200"/>
        <w:rPr>
          <w:rFonts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w:t>
      </w:r>
      <w:r>
        <w:rPr>
          <w:rFonts w:hint="eastAsia" w:ascii="宋体" w:hAnsi="宋体" w:eastAsia="宋体" w:cs="宋体"/>
          <w:b/>
          <w:bCs/>
          <w:sz w:val="24"/>
          <w:szCs w:val="24"/>
          <w:highlight w:val="none"/>
        </w:rPr>
        <w:t>15</w:t>
      </w:r>
      <w:r>
        <w:rPr>
          <w:rFonts w:hint="eastAsia" w:ascii="宋体" w:hAnsi="宋体" w:eastAsia="宋体" w:cs="宋体"/>
          <w:b/>
          <w:bCs/>
          <w:sz w:val="24"/>
          <w:szCs w:val="24"/>
          <w:highlight w:val="none"/>
          <w:lang w:val="zh-CN"/>
        </w:rPr>
        <w:t>）投标文件含有采购人不能接受的附加条件；</w:t>
      </w:r>
    </w:p>
    <w:p w14:paraId="2734D5B3">
      <w:pPr>
        <w:spacing w:line="360" w:lineRule="auto"/>
        <w:ind w:firstLine="482"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lang w:val="zh-CN"/>
        </w:rPr>
        <w:t>（</w:t>
      </w:r>
      <w:r>
        <w:rPr>
          <w:rFonts w:hint="eastAsia" w:ascii="宋体" w:hAnsi="宋体" w:eastAsia="宋体" w:cs="宋体"/>
          <w:b/>
          <w:bCs/>
          <w:sz w:val="24"/>
          <w:szCs w:val="24"/>
          <w:highlight w:val="none"/>
        </w:rPr>
        <w:t>16</w:t>
      </w:r>
      <w:r>
        <w:rPr>
          <w:rFonts w:hint="eastAsia" w:ascii="宋体" w:hAnsi="宋体" w:eastAsia="宋体" w:cs="宋体"/>
          <w:b/>
          <w:bCs/>
          <w:sz w:val="24"/>
          <w:szCs w:val="24"/>
          <w:highlight w:val="none"/>
          <w:lang w:val="zh-CN"/>
        </w:rPr>
        <w:t>）投标文件未按照招标文件要求加盖电子公章；</w:t>
      </w:r>
    </w:p>
    <w:p w14:paraId="69E1E974">
      <w:pPr>
        <w:spacing w:line="360" w:lineRule="auto"/>
        <w:ind w:firstLine="482" w:firstLineChars="200"/>
        <w:rPr>
          <w:rFonts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w:t>
      </w:r>
      <w:r>
        <w:rPr>
          <w:rFonts w:hint="eastAsia" w:ascii="宋体" w:hAnsi="宋体" w:eastAsia="宋体" w:cs="宋体"/>
          <w:b/>
          <w:bCs/>
          <w:sz w:val="24"/>
          <w:szCs w:val="24"/>
          <w:highlight w:val="none"/>
        </w:rPr>
        <w:t>17</w:t>
      </w:r>
      <w:r>
        <w:rPr>
          <w:rFonts w:hint="eastAsia" w:ascii="宋体" w:hAnsi="宋体" w:eastAsia="宋体" w:cs="宋体"/>
          <w:b/>
          <w:bCs/>
          <w:sz w:val="24"/>
          <w:szCs w:val="24"/>
          <w:highlight w:val="none"/>
          <w:lang w:val="zh-CN"/>
        </w:rPr>
        <w:t>）法律法规及本招标文件规定的</w:t>
      </w:r>
      <w:r>
        <w:rPr>
          <w:rFonts w:hint="eastAsia" w:ascii="宋体" w:hAnsi="宋体" w:eastAsia="宋体" w:cs="宋体"/>
          <w:b/>
          <w:bCs/>
          <w:sz w:val="24"/>
          <w:szCs w:val="24"/>
          <w:highlight w:val="none"/>
        </w:rPr>
        <w:t>其他</w:t>
      </w:r>
      <w:r>
        <w:rPr>
          <w:rFonts w:hint="eastAsia" w:ascii="宋体" w:hAnsi="宋体" w:eastAsia="宋体" w:cs="宋体"/>
          <w:b/>
          <w:bCs/>
          <w:sz w:val="24"/>
          <w:szCs w:val="24"/>
          <w:highlight w:val="none"/>
          <w:lang w:val="zh-CN"/>
        </w:rPr>
        <w:t>无效投标情形。</w:t>
      </w:r>
    </w:p>
    <w:p w14:paraId="735CB88E">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20.2.2.1 实质性要求是指本招标文件中用带星号（“★”）、“必须”或“应（应当）”等其他文字说明的商务和技术要求。</w:t>
      </w:r>
    </w:p>
    <w:p w14:paraId="0CCF3CA1">
      <w:pPr>
        <w:widowControl w:val="0"/>
        <w:shd w:val="clear" w:color="auto" w:fill="FFFFFF"/>
        <w:spacing w:line="360" w:lineRule="auto"/>
        <w:ind w:firstLine="480" w:firstLineChars="200"/>
        <w:jc w:val="both"/>
        <w:rPr>
          <w:rFonts w:ascii="宋体" w:hAnsi="宋体" w:eastAsia="宋体" w:cs="Arial"/>
          <w:b/>
          <w:bCs/>
          <w:sz w:val="24"/>
          <w:szCs w:val="24"/>
          <w:highlight w:val="none"/>
        </w:rPr>
      </w:pPr>
      <w:r>
        <w:rPr>
          <w:rFonts w:hint="eastAsia" w:ascii="宋体" w:hAnsi="宋体" w:eastAsia="宋体" w:cs="Arial"/>
          <w:sz w:val="24"/>
          <w:szCs w:val="24"/>
          <w:highlight w:val="none"/>
        </w:rPr>
        <w:t>20.2.2.2有下列情形之一的予以废标：</w:t>
      </w:r>
    </w:p>
    <w:p w14:paraId="617AE525">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（1）符合资格条件的投标人或者对招标文件作实质性响应的投标人不足三家的；</w:t>
      </w:r>
    </w:p>
    <w:p w14:paraId="6A91F82B">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（2）出现影响采购公正的违法、违规行为的；</w:t>
      </w:r>
    </w:p>
    <w:p w14:paraId="16833CB1">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（3）投标人的报价均超过了采购预算或最高限价，采购人不能支付的；</w:t>
      </w:r>
    </w:p>
    <w:p w14:paraId="5489052D">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（4）因重大变故，采购任务取消的。</w:t>
      </w:r>
    </w:p>
    <w:p w14:paraId="171462DC">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（5）招标文件存在歧义、重大缺陷，或者招标文件内容违反国家有关强制性规定的。</w:t>
      </w:r>
    </w:p>
    <w:p w14:paraId="15B622C0">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（6）预留份额的采购项目或采购包，通过发布公告方式邀请供应商后，符合资格条件的中小企业数量不足3家的。</w:t>
      </w:r>
    </w:p>
    <w:p w14:paraId="40A412A7">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20.2.3澄清有关问题。</w:t>
      </w:r>
    </w:p>
    <w:p w14:paraId="6BAFC733">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20.2.3.1对于投标文件中含义不明确、同类问题表述不一致或者有明显文字和计算错误的内容，评标委员会应当以书面形式要求投标人作出必要的澄清、说明或者补正。</w:t>
      </w:r>
    </w:p>
    <w:p w14:paraId="4DA421BE">
      <w:pPr>
        <w:widowControl w:val="0"/>
        <w:adjustRightInd w:val="0"/>
        <w:snapToGrid w:val="0"/>
        <w:ind w:firstLine="420" w:firstLineChars="175"/>
        <w:rPr>
          <w:rFonts w:ascii="宋体" w:hAnsi="宋体" w:eastAsia="宋体" w:cs="Times New Roman"/>
          <w:sz w:val="24"/>
          <w:highlight w:val="none"/>
          <w:lang w:val="zh-CN"/>
        </w:rPr>
      </w:pPr>
      <w:r>
        <w:rPr>
          <w:rFonts w:hint="eastAsia" w:ascii="宋体" w:hAnsi="宋体" w:eastAsia="宋体" w:cs="Times New Roman"/>
          <w:sz w:val="24"/>
          <w:highlight w:val="none"/>
          <w:lang w:val="zh-CN"/>
        </w:rPr>
        <w:t>投标人的澄清、说明或者补正不得超出投标文件的范围或者改变投标文件的实质性内容。</w:t>
      </w:r>
    </w:p>
    <w:p w14:paraId="02FDC0E1">
      <w:pPr>
        <w:widowControl w:val="0"/>
        <w:adjustRightInd w:val="0"/>
        <w:snapToGrid w:val="0"/>
        <w:spacing w:line="360" w:lineRule="auto"/>
        <w:ind w:firstLine="480" w:firstLineChars="200"/>
        <w:rPr>
          <w:rFonts w:ascii="宋体" w:hAnsi="宋体" w:eastAsia="宋体" w:cs="Times New Roman"/>
          <w:sz w:val="24"/>
          <w:highlight w:val="none"/>
          <w:lang w:val="zh-CN"/>
        </w:rPr>
      </w:pPr>
      <w:r>
        <w:rPr>
          <w:rFonts w:hint="eastAsia" w:ascii="宋体" w:hAnsi="宋体" w:eastAsia="宋体" w:cs="Times New Roman"/>
          <w:sz w:val="24"/>
          <w:highlight w:val="none"/>
          <w:lang w:val="zh-CN"/>
        </w:rPr>
        <w:t>评委会并非对每个投标人都做澄清要求。</w:t>
      </w:r>
    </w:p>
    <w:p w14:paraId="50D36720">
      <w:pPr>
        <w:widowControl w:val="0"/>
        <w:shd w:val="clear" w:color="auto" w:fill="FFFFFF"/>
        <w:spacing w:line="360" w:lineRule="auto"/>
        <w:ind w:firstLine="480" w:firstLineChars="200"/>
        <w:jc w:val="both"/>
        <w:rPr>
          <w:rFonts w:ascii="宋体" w:hAnsi="宋体" w:eastAsia="宋体" w:cs="Times New Roman"/>
          <w:sz w:val="24"/>
          <w:highlight w:val="none"/>
          <w:lang w:val="zh-CN"/>
        </w:rPr>
      </w:pPr>
      <w:r>
        <w:rPr>
          <w:rFonts w:hint="eastAsia" w:ascii="宋体" w:hAnsi="宋体" w:eastAsia="宋体" w:cs="Arial"/>
          <w:sz w:val="24"/>
          <w:szCs w:val="24"/>
          <w:highlight w:val="none"/>
        </w:rPr>
        <w:t>20.2.3.2</w:t>
      </w:r>
      <w:r>
        <w:rPr>
          <w:rFonts w:hint="eastAsia" w:ascii="宋体" w:hAnsi="宋体" w:eastAsia="宋体" w:cs="Times New Roman"/>
          <w:sz w:val="24"/>
          <w:highlight w:val="none"/>
          <w:lang w:val="zh-CN"/>
        </w:rPr>
        <w:t>需要</w:t>
      </w:r>
      <w:r>
        <w:rPr>
          <w:rFonts w:hint="eastAsia" w:ascii="宋体" w:hAnsi="宋体" w:cs="Times New Roman"/>
          <w:sz w:val="24"/>
          <w:highlight w:val="none"/>
        </w:rPr>
        <w:t>投标人</w:t>
      </w:r>
      <w:r>
        <w:rPr>
          <w:rFonts w:hint="eastAsia" w:ascii="宋体" w:hAnsi="宋体" w:eastAsia="宋体" w:cs="Times New Roman"/>
          <w:sz w:val="24"/>
          <w:highlight w:val="none"/>
          <w:lang w:val="zh-CN"/>
        </w:rPr>
        <w:t>进行澄清、说明和补正的，评委会将通过苏采云系统向</w:t>
      </w:r>
      <w:r>
        <w:rPr>
          <w:rFonts w:hint="eastAsia" w:ascii="宋体" w:hAnsi="宋体" w:eastAsia="宋体" w:cs="Times New Roman"/>
          <w:sz w:val="24"/>
          <w:highlight w:val="none"/>
        </w:rPr>
        <w:t>投标人</w:t>
      </w:r>
      <w:r>
        <w:rPr>
          <w:rFonts w:hint="eastAsia" w:ascii="宋体" w:hAnsi="宋体" w:eastAsia="宋体" w:cs="Times New Roman"/>
          <w:sz w:val="24"/>
          <w:highlight w:val="none"/>
          <w:lang w:val="zh-CN"/>
        </w:rPr>
        <w:t>发出《澄清要求函》，接到《澄清要求函》的</w:t>
      </w:r>
      <w:r>
        <w:rPr>
          <w:rFonts w:hint="eastAsia" w:ascii="宋体" w:hAnsi="宋体" w:eastAsia="宋体" w:cs="Times New Roman"/>
          <w:sz w:val="24"/>
          <w:highlight w:val="none"/>
        </w:rPr>
        <w:t>投标人</w:t>
      </w:r>
      <w:r>
        <w:rPr>
          <w:rFonts w:hint="eastAsia" w:ascii="宋体" w:hAnsi="宋体" w:eastAsia="宋体" w:cs="Times New Roman"/>
          <w:sz w:val="24"/>
          <w:highlight w:val="none"/>
          <w:lang w:val="zh-CN"/>
        </w:rPr>
        <w:t>应当按照要求在苏采云系统中提交《澄清响应函》并加盖电子公章。澄清、说明和补正的内容作为投标文件的补充部分。</w:t>
      </w:r>
    </w:p>
    <w:p w14:paraId="15D05C23">
      <w:pPr>
        <w:widowControl w:val="0"/>
        <w:shd w:val="clear" w:color="auto" w:fill="FFFFFF"/>
        <w:spacing w:line="360" w:lineRule="auto"/>
        <w:ind w:firstLine="480" w:firstLineChars="200"/>
        <w:jc w:val="both"/>
        <w:rPr>
          <w:rFonts w:ascii="宋体" w:hAnsi="宋体" w:eastAsia="宋体" w:cs="Times New Roman"/>
          <w:sz w:val="24"/>
          <w:highlight w:val="none"/>
          <w:lang w:val="zh-CN"/>
        </w:rPr>
      </w:pPr>
      <w:r>
        <w:rPr>
          <w:rFonts w:hint="eastAsia" w:ascii="宋体" w:hAnsi="宋体" w:eastAsia="宋体" w:cs="Times New Roman"/>
          <w:sz w:val="24"/>
          <w:highlight w:val="none"/>
        </w:rPr>
        <w:t>20</w:t>
      </w:r>
      <w:r>
        <w:rPr>
          <w:rFonts w:hint="eastAsia" w:ascii="宋体" w:hAnsi="宋体" w:eastAsia="宋体" w:cs="Times New Roman"/>
          <w:sz w:val="24"/>
          <w:highlight w:val="none"/>
          <w:lang w:val="zh-CN"/>
        </w:rPr>
        <w:t>.</w:t>
      </w:r>
      <w:r>
        <w:rPr>
          <w:rFonts w:hint="eastAsia" w:ascii="宋体" w:hAnsi="宋体" w:eastAsia="宋体" w:cs="Times New Roman"/>
          <w:sz w:val="24"/>
          <w:highlight w:val="none"/>
        </w:rPr>
        <w:t>2.3.3</w:t>
      </w:r>
      <w:r>
        <w:rPr>
          <w:rFonts w:hint="eastAsia" w:ascii="宋体" w:hAnsi="宋体" w:eastAsia="宋体" w:cs="Times New Roman"/>
          <w:sz w:val="24"/>
          <w:highlight w:val="none"/>
          <w:lang w:val="zh-CN"/>
        </w:rPr>
        <w:t xml:space="preserve"> 接到评委会澄清、说明和补正要求的，投标人如未按规定作出澄清、说明和补正，其风险由投标人自行承担。</w:t>
      </w:r>
    </w:p>
    <w:p w14:paraId="78A4104D">
      <w:pPr>
        <w:widowControl w:val="0"/>
        <w:shd w:val="clear" w:color="auto" w:fill="FFFFFF"/>
        <w:spacing w:line="360" w:lineRule="auto"/>
        <w:ind w:firstLine="420"/>
        <w:jc w:val="both"/>
        <w:rPr>
          <w:rFonts w:ascii="宋体" w:hAnsi="宋体" w:eastAsia="宋体" w:cs="Arial"/>
          <w:sz w:val="24"/>
          <w:szCs w:val="24"/>
          <w:highlight w:val="none"/>
        </w:rPr>
      </w:pPr>
      <w:r>
        <w:rPr>
          <w:rFonts w:hint="eastAsia" w:ascii="宋体" w:hAnsi="宋体" w:eastAsia="宋体" w:cs="Arial"/>
          <w:sz w:val="24"/>
          <w:szCs w:val="24"/>
          <w:highlight w:val="none"/>
        </w:rPr>
        <w:t>20.2.3.4投标文件报价出现前后不一致的，除招标文件另有规定外，按照下列规定修正：</w:t>
      </w:r>
    </w:p>
    <w:p w14:paraId="110C62E4">
      <w:pPr>
        <w:widowControl w:val="0"/>
        <w:shd w:val="clear" w:color="auto" w:fill="FFFFFF"/>
        <w:spacing w:line="360" w:lineRule="auto"/>
        <w:ind w:firstLine="420"/>
        <w:jc w:val="both"/>
        <w:rPr>
          <w:rFonts w:ascii="宋体" w:hAnsi="宋体" w:eastAsia="宋体" w:cs="Arial"/>
          <w:sz w:val="24"/>
          <w:szCs w:val="24"/>
          <w:highlight w:val="none"/>
        </w:rPr>
      </w:pPr>
      <w:r>
        <w:rPr>
          <w:rFonts w:hint="eastAsia" w:ascii="宋体" w:hAnsi="宋体" w:eastAsia="宋体" w:cs="Arial"/>
          <w:sz w:val="24"/>
          <w:szCs w:val="24"/>
          <w:highlight w:val="none"/>
        </w:rPr>
        <w:t>（1）投标文件中开标一览表（报价表）内容与投标文件中相应内容不一致的，以开标一览表（报价表）为准；</w:t>
      </w:r>
    </w:p>
    <w:p w14:paraId="5CBA7778">
      <w:pPr>
        <w:widowControl w:val="0"/>
        <w:shd w:val="clear" w:color="auto" w:fill="FFFFFF"/>
        <w:spacing w:line="360" w:lineRule="auto"/>
        <w:ind w:firstLine="420"/>
        <w:jc w:val="both"/>
        <w:rPr>
          <w:rFonts w:ascii="宋体" w:hAnsi="宋体" w:eastAsia="宋体" w:cs="Arial"/>
          <w:sz w:val="24"/>
          <w:szCs w:val="24"/>
          <w:highlight w:val="none"/>
        </w:rPr>
      </w:pPr>
      <w:r>
        <w:rPr>
          <w:rFonts w:hint="eastAsia" w:ascii="宋体" w:hAnsi="宋体" w:eastAsia="宋体" w:cs="Arial"/>
          <w:sz w:val="24"/>
          <w:szCs w:val="24"/>
          <w:highlight w:val="none"/>
        </w:rPr>
        <w:t>（2）大写金额和小写金额不一致的，以大写金额为准；</w:t>
      </w:r>
    </w:p>
    <w:p w14:paraId="75D3CA4F">
      <w:pPr>
        <w:widowControl w:val="0"/>
        <w:shd w:val="clear" w:color="auto" w:fill="FFFFFF"/>
        <w:spacing w:line="360" w:lineRule="auto"/>
        <w:ind w:firstLine="420"/>
        <w:jc w:val="both"/>
        <w:rPr>
          <w:rFonts w:ascii="宋体" w:hAnsi="宋体" w:eastAsia="宋体" w:cs="Arial"/>
          <w:sz w:val="24"/>
          <w:szCs w:val="24"/>
          <w:highlight w:val="none"/>
        </w:rPr>
      </w:pPr>
      <w:r>
        <w:rPr>
          <w:rFonts w:hint="eastAsia" w:ascii="宋体" w:hAnsi="宋体" w:eastAsia="宋体" w:cs="Arial"/>
          <w:sz w:val="24"/>
          <w:szCs w:val="24"/>
          <w:highlight w:val="none"/>
        </w:rPr>
        <w:t>（3）单价金额小数点或者百分比有明显错位的，以开标一览表的总价为准，并修改单价；</w:t>
      </w:r>
    </w:p>
    <w:p w14:paraId="15991A6F">
      <w:pPr>
        <w:widowControl w:val="0"/>
        <w:shd w:val="clear" w:color="auto" w:fill="FFFFFF"/>
        <w:spacing w:line="360" w:lineRule="auto"/>
        <w:ind w:firstLine="420"/>
        <w:jc w:val="both"/>
        <w:rPr>
          <w:rFonts w:ascii="宋体" w:hAnsi="宋体" w:eastAsia="宋体" w:cs="Arial"/>
          <w:sz w:val="24"/>
          <w:szCs w:val="24"/>
          <w:highlight w:val="none"/>
        </w:rPr>
      </w:pPr>
      <w:r>
        <w:rPr>
          <w:rFonts w:hint="eastAsia" w:ascii="宋体" w:hAnsi="宋体" w:eastAsia="宋体" w:cs="Arial"/>
          <w:sz w:val="24"/>
          <w:szCs w:val="24"/>
          <w:highlight w:val="none"/>
        </w:rPr>
        <w:t>（4）总价金额与按单价汇总金额不一致的，以单价金额计算结果为准。</w:t>
      </w:r>
    </w:p>
    <w:p w14:paraId="7450A38E">
      <w:pPr>
        <w:widowControl w:val="0"/>
        <w:shd w:val="clear" w:color="auto" w:fill="FFFFFF"/>
        <w:spacing w:line="360" w:lineRule="auto"/>
        <w:ind w:firstLine="420"/>
        <w:jc w:val="both"/>
        <w:rPr>
          <w:rFonts w:ascii="宋体" w:hAnsi="宋体" w:eastAsia="宋体" w:cs="Arial"/>
          <w:sz w:val="24"/>
          <w:szCs w:val="24"/>
          <w:highlight w:val="none"/>
        </w:rPr>
      </w:pPr>
      <w:r>
        <w:rPr>
          <w:rFonts w:hint="eastAsia" w:ascii="宋体" w:hAnsi="宋体" w:eastAsia="宋体" w:cs="Arial"/>
          <w:sz w:val="24"/>
          <w:szCs w:val="24"/>
          <w:highlight w:val="none"/>
        </w:rPr>
        <w:t>同时出现两种以上不一致的，按照前款规定的顺序修正。</w:t>
      </w:r>
    </w:p>
    <w:p w14:paraId="12DE5E52">
      <w:pPr>
        <w:widowControl w:val="0"/>
        <w:adjustRightInd w:val="0"/>
        <w:snapToGrid w:val="0"/>
        <w:spacing w:line="360" w:lineRule="auto"/>
        <w:ind w:firstLine="422" w:firstLineChars="175"/>
        <w:rPr>
          <w:rFonts w:ascii="宋体" w:hAnsi="宋体" w:eastAsia="宋体" w:cs="Times New Roman"/>
          <w:b/>
          <w:bCs/>
          <w:sz w:val="24"/>
          <w:highlight w:val="none"/>
          <w:lang w:val="zh-CN"/>
        </w:rPr>
      </w:pPr>
      <w:r>
        <w:rPr>
          <w:rFonts w:hint="eastAsia" w:ascii="宋体" w:hAnsi="宋体" w:eastAsia="宋体" w:cs="Times New Roman"/>
          <w:b/>
          <w:bCs/>
          <w:sz w:val="24"/>
          <w:highlight w:val="none"/>
          <w:lang w:val="zh-CN"/>
        </w:rPr>
        <w:t>评委会按上述</w:t>
      </w:r>
      <w:r>
        <w:rPr>
          <w:rFonts w:hint="eastAsia" w:ascii="宋体" w:hAnsi="宋体" w:eastAsia="宋体" w:cs="Times New Roman"/>
          <w:b/>
          <w:bCs/>
          <w:sz w:val="24"/>
          <w:highlight w:val="none"/>
        </w:rPr>
        <w:t>规定修正</w:t>
      </w:r>
      <w:r>
        <w:rPr>
          <w:rFonts w:hint="eastAsia" w:ascii="宋体" w:hAnsi="宋体" w:eastAsia="宋体" w:cs="Times New Roman"/>
          <w:b/>
          <w:bCs/>
          <w:sz w:val="24"/>
          <w:highlight w:val="none"/>
          <w:lang w:val="zh-CN"/>
        </w:rPr>
        <w:t>投标文件报价</w:t>
      </w:r>
      <w:r>
        <w:rPr>
          <w:rFonts w:hint="eastAsia" w:ascii="宋体" w:hAnsi="宋体" w:eastAsia="宋体" w:cs="Times New Roman"/>
          <w:b/>
          <w:bCs/>
          <w:sz w:val="24"/>
          <w:highlight w:val="none"/>
        </w:rPr>
        <w:t>的</w:t>
      </w:r>
      <w:r>
        <w:rPr>
          <w:rFonts w:hint="eastAsia" w:ascii="宋体" w:hAnsi="宋体" w:eastAsia="宋体" w:cs="Times New Roman"/>
          <w:b/>
          <w:bCs/>
          <w:sz w:val="24"/>
          <w:highlight w:val="none"/>
          <w:lang w:val="zh-CN"/>
        </w:rPr>
        <w:t>，</w:t>
      </w:r>
      <w:r>
        <w:rPr>
          <w:rFonts w:hint="eastAsia" w:ascii="宋体" w:hAnsi="宋体" w:eastAsia="宋体" w:cs="Times New Roman"/>
          <w:b/>
          <w:bCs/>
          <w:sz w:val="24"/>
          <w:highlight w:val="none"/>
        </w:rPr>
        <w:t>应</w:t>
      </w:r>
      <w:r>
        <w:rPr>
          <w:rFonts w:hint="eastAsia" w:ascii="宋体" w:hAnsi="宋体" w:eastAsia="宋体" w:cs="Times New Roman"/>
          <w:b/>
          <w:bCs/>
          <w:sz w:val="24"/>
          <w:highlight w:val="none"/>
          <w:lang w:val="zh-CN"/>
        </w:rPr>
        <w:t>通过苏采云系统</w:t>
      </w:r>
      <w:r>
        <w:rPr>
          <w:rFonts w:hint="eastAsia" w:ascii="宋体" w:hAnsi="宋体" w:eastAsia="宋体" w:cs="Times New Roman"/>
          <w:b/>
          <w:bCs/>
          <w:sz w:val="24"/>
          <w:highlight w:val="none"/>
        </w:rPr>
        <w:t>要求</w:t>
      </w:r>
      <w:r>
        <w:rPr>
          <w:rFonts w:hint="eastAsia" w:ascii="宋体" w:hAnsi="宋体" w:eastAsia="宋体" w:cs="Times New Roman"/>
          <w:b/>
          <w:bCs/>
          <w:sz w:val="24"/>
          <w:highlight w:val="none"/>
          <w:lang w:val="zh-CN"/>
        </w:rPr>
        <w:t>投标人</w:t>
      </w:r>
      <w:r>
        <w:rPr>
          <w:rFonts w:hint="eastAsia" w:ascii="宋体" w:hAnsi="宋体" w:eastAsia="宋体" w:cs="Times New Roman"/>
          <w:b/>
          <w:bCs/>
          <w:sz w:val="24"/>
          <w:highlight w:val="none"/>
        </w:rPr>
        <w:t>确认</w:t>
      </w:r>
      <w:r>
        <w:rPr>
          <w:rFonts w:hint="eastAsia" w:ascii="宋体" w:hAnsi="宋体" w:eastAsia="宋体" w:cs="Times New Roman"/>
          <w:b/>
          <w:bCs/>
          <w:sz w:val="24"/>
          <w:highlight w:val="none"/>
          <w:lang w:val="zh-CN"/>
        </w:rPr>
        <w:t>，</w:t>
      </w:r>
      <w:r>
        <w:rPr>
          <w:rFonts w:hint="eastAsia" w:ascii="宋体" w:hAnsi="宋体"/>
          <w:b/>
          <w:bCs/>
          <w:sz w:val="24"/>
          <w:highlight w:val="none"/>
        </w:rPr>
        <w:t>修正后的报价按照前款规定经投标人确认后产生约束力，投标人不确认的，其投标无效。</w:t>
      </w:r>
    </w:p>
    <w:p w14:paraId="43572EB7">
      <w:pPr>
        <w:widowControl w:val="0"/>
        <w:shd w:val="clear" w:color="auto" w:fill="FFFFFF"/>
        <w:spacing w:line="360" w:lineRule="auto"/>
        <w:ind w:firstLine="420"/>
        <w:jc w:val="both"/>
        <w:rPr>
          <w:rFonts w:ascii="宋体" w:hAnsi="宋体" w:eastAsia="宋体" w:cs="Arial"/>
          <w:sz w:val="24"/>
          <w:szCs w:val="24"/>
          <w:highlight w:val="none"/>
        </w:rPr>
      </w:pPr>
      <w:r>
        <w:rPr>
          <w:rFonts w:hint="eastAsia" w:ascii="宋体" w:hAnsi="宋体" w:eastAsia="宋体" w:cs="Arial"/>
          <w:sz w:val="24"/>
          <w:szCs w:val="24"/>
          <w:highlight w:val="none"/>
        </w:rPr>
        <w:t>20.2.3.5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p>
    <w:p w14:paraId="4828B548">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20.2.4比较与评价。评标委员会应当按照招标文件中规定的评标方法和标准，对符合性审查合格的投标文件进行商务和技术评估，综合比较与评价。</w:t>
      </w:r>
    </w:p>
    <w:p w14:paraId="186AB9BB">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20.2.5相同品牌产品的投标</w:t>
      </w:r>
    </w:p>
    <w:p w14:paraId="183EA54A">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14:paraId="7F04F84E">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14:paraId="78921310">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非单一产品采购项目，确定核心产品的方法在招标文件技术需求中载明。多家投标人提供的核心产品品牌相同的，按前两款规定处理。</w:t>
      </w:r>
    </w:p>
    <w:p w14:paraId="380D73BE">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20</w:t>
      </w:r>
      <w:r>
        <w:rPr>
          <w:rFonts w:ascii="宋体" w:hAnsi="宋体" w:eastAsia="宋体" w:cs="Arial"/>
          <w:sz w:val="24"/>
          <w:szCs w:val="24"/>
          <w:highlight w:val="none"/>
        </w:rPr>
        <w:t xml:space="preserve">.3 </w:t>
      </w:r>
      <w:r>
        <w:rPr>
          <w:rFonts w:hint="eastAsia" w:ascii="宋体" w:hAnsi="宋体" w:eastAsia="宋体" w:cs="Arial"/>
          <w:sz w:val="24"/>
          <w:szCs w:val="24"/>
          <w:highlight w:val="none"/>
        </w:rPr>
        <w:t>评标方法和标准</w:t>
      </w:r>
    </w:p>
    <w:p w14:paraId="4E6AA080">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20.3.1评标方法分为最低评标价法和综合评分法。本次招标的评标方法和标准，详见本招标文件第三章。</w:t>
      </w:r>
    </w:p>
    <w:p w14:paraId="42DBA399">
      <w:pPr>
        <w:widowControl w:val="0"/>
        <w:shd w:val="clear" w:color="auto" w:fill="FFFFFF"/>
        <w:spacing w:line="360" w:lineRule="auto"/>
        <w:ind w:firstLine="420"/>
        <w:jc w:val="both"/>
        <w:rPr>
          <w:rFonts w:ascii="宋体" w:hAnsi="宋体" w:eastAsia="宋体" w:cs="Arial"/>
          <w:sz w:val="24"/>
          <w:szCs w:val="24"/>
          <w:highlight w:val="none"/>
        </w:rPr>
      </w:pPr>
      <w:r>
        <w:rPr>
          <w:rFonts w:hint="eastAsia" w:ascii="宋体" w:hAnsi="宋体" w:eastAsia="宋体" w:cs="Arial"/>
          <w:sz w:val="24"/>
          <w:szCs w:val="24"/>
          <w:highlight w:val="none"/>
        </w:rPr>
        <w:t>20.3.2最低评标价法，是指投标文件满足招标文件全部实质性要求，且投标报价最低的投标人为中标候选人的评标方法。</w:t>
      </w:r>
    </w:p>
    <w:p w14:paraId="20867E7D">
      <w:pPr>
        <w:widowControl w:val="0"/>
        <w:shd w:val="clear" w:color="auto" w:fill="FFFFFF"/>
        <w:spacing w:line="360" w:lineRule="auto"/>
        <w:ind w:firstLine="420"/>
        <w:jc w:val="both"/>
        <w:rPr>
          <w:rFonts w:ascii="宋体" w:hAnsi="宋体" w:eastAsia="宋体" w:cs="Arial"/>
          <w:sz w:val="24"/>
          <w:szCs w:val="24"/>
          <w:highlight w:val="none"/>
        </w:rPr>
      </w:pPr>
      <w:r>
        <w:rPr>
          <w:rFonts w:hint="eastAsia" w:ascii="宋体" w:hAnsi="宋体" w:eastAsia="宋体" w:cs="Arial"/>
          <w:sz w:val="24"/>
          <w:szCs w:val="24"/>
          <w:highlight w:val="none"/>
        </w:rPr>
        <w:t>采用最低评标价法评标时，除了算术修正和落实政府采购政策需进行的价格扣除外，不对投标人的投标价格进行任何调整。</w:t>
      </w:r>
    </w:p>
    <w:p w14:paraId="2C8C0EAE">
      <w:pPr>
        <w:widowControl w:val="0"/>
        <w:shd w:val="clear" w:color="auto" w:fill="FFFFFF"/>
        <w:spacing w:line="360" w:lineRule="auto"/>
        <w:ind w:firstLine="420"/>
        <w:jc w:val="both"/>
        <w:rPr>
          <w:rFonts w:ascii="宋体" w:hAnsi="宋体" w:eastAsia="宋体" w:cs="Arial"/>
          <w:sz w:val="24"/>
          <w:szCs w:val="24"/>
          <w:highlight w:val="none"/>
        </w:rPr>
      </w:pPr>
      <w:r>
        <w:rPr>
          <w:rFonts w:hint="eastAsia" w:ascii="宋体" w:hAnsi="宋体" w:eastAsia="宋体" w:cs="Arial"/>
          <w:sz w:val="24"/>
          <w:szCs w:val="24"/>
          <w:highlight w:val="none"/>
        </w:rPr>
        <w:t>20.3.3综合评分法，是指投标文件满足招标文件全部实质性要求，且按照评审因素的量化指标评审得分最高的投标人为中标候选人的评标方法。</w:t>
      </w:r>
    </w:p>
    <w:p w14:paraId="4A803569">
      <w:pPr>
        <w:widowControl w:val="0"/>
        <w:shd w:val="clear" w:color="auto" w:fill="FFFFFF"/>
        <w:spacing w:line="360" w:lineRule="auto"/>
        <w:ind w:firstLine="420"/>
        <w:jc w:val="both"/>
        <w:rPr>
          <w:rFonts w:ascii="宋体" w:hAnsi="宋体" w:eastAsia="宋体" w:cs="Arial"/>
          <w:sz w:val="24"/>
          <w:szCs w:val="24"/>
          <w:highlight w:val="none"/>
        </w:rPr>
      </w:pPr>
      <w:r>
        <w:rPr>
          <w:rFonts w:hint="eastAsia" w:ascii="宋体" w:hAnsi="宋体" w:eastAsia="宋体" w:cs="Arial"/>
          <w:sz w:val="24"/>
          <w:szCs w:val="24"/>
          <w:highlight w:val="none"/>
        </w:rPr>
        <w:t>评审因素，包括价格、技术、商务等。</w:t>
      </w:r>
    </w:p>
    <w:p w14:paraId="29FD2393">
      <w:pPr>
        <w:widowControl w:val="0"/>
        <w:shd w:val="clear" w:color="auto" w:fill="FFFFFF"/>
        <w:spacing w:line="360" w:lineRule="auto"/>
        <w:ind w:firstLine="420"/>
        <w:jc w:val="both"/>
        <w:rPr>
          <w:rFonts w:ascii="宋体" w:hAnsi="宋体" w:eastAsia="宋体" w:cs="Arial"/>
          <w:sz w:val="24"/>
          <w:szCs w:val="24"/>
          <w:highlight w:val="none"/>
        </w:rPr>
      </w:pPr>
      <w:r>
        <w:rPr>
          <w:rFonts w:hint="eastAsia" w:ascii="宋体" w:hAnsi="宋体" w:eastAsia="宋体" w:cs="Arial"/>
          <w:sz w:val="24"/>
          <w:szCs w:val="24"/>
          <w:highlight w:val="none"/>
        </w:rPr>
        <w:t>评标时，评标委员会各成员应当独立对每个投标人的投标文件进行评价，并汇总每个投标人的得分。</w:t>
      </w:r>
    </w:p>
    <w:p w14:paraId="1BD3A3D2">
      <w:pPr>
        <w:widowControl w:val="0"/>
        <w:shd w:val="clear" w:color="auto" w:fill="FFFFFF"/>
        <w:spacing w:line="360" w:lineRule="auto"/>
        <w:ind w:firstLine="420"/>
        <w:jc w:val="both"/>
        <w:rPr>
          <w:rFonts w:ascii="宋体" w:hAnsi="宋体" w:eastAsia="宋体" w:cs="Arial"/>
          <w:sz w:val="24"/>
          <w:szCs w:val="24"/>
          <w:highlight w:val="none"/>
        </w:rPr>
      </w:pPr>
      <w:r>
        <w:rPr>
          <w:rFonts w:hint="eastAsia" w:ascii="宋体" w:hAnsi="宋体" w:eastAsia="宋体" w:cs="Arial"/>
          <w:sz w:val="24"/>
          <w:szCs w:val="24"/>
          <w:highlight w:val="none"/>
        </w:rPr>
        <w:t>价格分采用低价优先法计算，即满足招标文件要求且投标价格最低的投标报价为评标基准价，其价格分为满分。</w:t>
      </w:r>
    </w:p>
    <w:p w14:paraId="017F77AB">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评标总得分＝F1×A1＋F2×A2＋……＋Fn×An</w:t>
      </w:r>
    </w:p>
    <w:p w14:paraId="226FDAC3">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F1、F2……Fn分别为各项评审因素的得分；</w:t>
      </w:r>
    </w:p>
    <w:p w14:paraId="43D532B0">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A1、A2、……An 分别为各项评审因素所占的权重(A1＋A2＋……＋An＝1)。</w:t>
      </w:r>
    </w:p>
    <w:p w14:paraId="540F0055">
      <w:pPr>
        <w:widowControl w:val="0"/>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因落实政府采购政策进行价格调整的，以调整后的价格计算评标基准价和投标报价。</w:t>
      </w:r>
    </w:p>
    <w:p w14:paraId="64FF233F">
      <w:pPr>
        <w:widowControl w:val="0"/>
        <w:shd w:val="clear" w:color="auto" w:fill="FFFFFF"/>
        <w:spacing w:line="360" w:lineRule="auto"/>
        <w:ind w:firstLine="482" w:firstLineChars="200"/>
        <w:rPr>
          <w:rFonts w:ascii="宋体" w:hAnsi="宋体" w:eastAsia="宋体" w:cs="Arial"/>
          <w:b/>
          <w:bCs/>
          <w:sz w:val="24"/>
          <w:szCs w:val="24"/>
          <w:highlight w:val="none"/>
        </w:rPr>
      </w:pPr>
      <w:r>
        <w:rPr>
          <w:rFonts w:hint="eastAsia" w:ascii="宋体" w:hAnsi="宋体" w:eastAsia="宋体" w:cs="Arial"/>
          <w:b/>
          <w:bCs/>
          <w:sz w:val="24"/>
          <w:szCs w:val="24"/>
          <w:highlight w:val="none"/>
        </w:rPr>
        <w:t>21、确定中标人</w:t>
      </w:r>
    </w:p>
    <w:p w14:paraId="48161068">
      <w:pPr>
        <w:widowControl w:val="0"/>
        <w:adjustRightInd w:val="0"/>
        <w:snapToGrid w:val="0"/>
        <w:spacing w:line="360" w:lineRule="auto"/>
        <w:ind w:firstLine="480" w:firstLineChars="200"/>
        <w:rPr>
          <w:rFonts w:ascii="宋体" w:hAnsi="宋体" w:eastAsia="宋体" w:cs="Times New Roman"/>
          <w:sz w:val="24"/>
          <w:highlight w:val="none"/>
          <w:lang w:val="zh-CN"/>
        </w:rPr>
      </w:pPr>
      <w:r>
        <w:rPr>
          <w:rFonts w:hint="eastAsia" w:ascii="宋体" w:hAnsi="宋体" w:eastAsia="宋体" w:cs="Times New Roman"/>
          <w:sz w:val="24"/>
          <w:highlight w:val="none"/>
        </w:rPr>
        <w:t>21</w:t>
      </w:r>
      <w:r>
        <w:rPr>
          <w:rFonts w:hint="eastAsia" w:ascii="宋体" w:hAnsi="宋体" w:eastAsia="宋体" w:cs="Times New Roman"/>
          <w:sz w:val="24"/>
          <w:highlight w:val="none"/>
          <w:lang w:val="zh-CN"/>
        </w:rPr>
        <w:t>.1</w:t>
      </w:r>
      <w:r>
        <w:rPr>
          <w:rFonts w:hint="eastAsia" w:ascii="宋体" w:hAnsi="宋体" w:eastAsia="宋体" w:cs="Times New Roman"/>
          <w:sz w:val="24"/>
          <w:highlight w:val="none"/>
        </w:rPr>
        <w:t xml:space="preserve"> </w:t>
      </w:r>
      <w:r>
        <w:rPr>
          <w:rFonts w:hint="eastAsia" w:ascii="宋体" w:hAnsi="宋体" w:eastAsia="宋体" w:cs="Times New Roman"/>
          <w:sz w:val="24"/>
          <w:highlight w:val="none"/>
          <w:lang w:val="zh-CN"/>
        </w:rPr>
        <w:t>中标候选人的</w:t>
      </w:r>
      <w:r>
        <w:rPr>
          <w:rFonts w:hint="eastAsia" w:ascii="宋体" w:hAnsi="宋体" w:eastAsia="宋体" w:cs="Times New Roman"/>
          <w:sz w:val="24"/>
          <w:highlight w:val="none"/>
        </w:rPr>
        <w:t>确定</w:t>
      </w:r>
      <w:r>
        <w:rPr>
          <w:rFonts w:hint="eastAsia" w:ascii="宋体" w:hAnsi="宋体" w:eastAsia="宋体" w:cs="Times New Roman"/>
          <w:sz w:val="24"/>
          <w:highlight w:val="none"/>
          <w:lang w:val="zh-CN"/>
        </w:rPr>
        <w:t xml:space="preserve">原则和数量见招标文件第五章。 </w:t>
      </w:r>
    </w:p>
    <w:p w14:paraId="2985ECE0">
      <w:pPr>
        <w:widowControl w:val="0"/>
        <w:adjustRightInd w:val="0"/>
        <w:snapToGrid w:val="0"/>
        <w:spacing w:line="360" w:lineRule="auto"/>
        <w:ind w:firstLine="480" w:firstLineChars="200"/>
        <w:rPr>
          <w:rFonts w:ascii="宋体" w:hAnsi="宋体" w:eastAsia="宋体" w:cs="Times New Roman"/>
          <w:sz w:val="24"/>
          <w:highlight w:val="none"/>
          <w:lang w:val="zh-CN"/>
        </w:rPr>
      </w:pPr>
      <w:r>
        <w:rPr>
          <w:rFonts w:hint="eastAsia" w:ascii="宋体" w:hAnsi="宋体" w:eastAsia="宋体" w:cs="Times New Roman"/>
          <w:sz w:val="24"/>
          <w:highlight w:val="none"/>
        </w:rPr>
        <w:t>21</w:t>
      </w:r>
      <w:r>
        <w:rPr>
          <w:rFonts w:hint="eastAsia" w:ascii="宋体" w:hAnsi="宋体" w:eastAsia="宋体" w:cs="Times New Roman"/>
          <w:sz w:val="24"/>
          <w:highlight w:val="none"/>
          <w:lang w:val="zh-CN"/>
        </w:rPr>
        <w:t>.2 按以下第（</w:t>
      </w:r>
      <w:r>
        <w:rPr>
          <w:rFonts w:hint="eastAsia" w:ascii="宋体" w:hAnsi="宋体" w:cs="Times New Roman"/>
          <w:sz w:val="24"/>
          <w:highlight w:val="none"/>
        </w:rPr>
        <w:t>2</w:t>
      </w:r>
      <w:r>
        <w:rPr>
          <w:rFonts w:hint="eastAsia" w:ascii="宋体" w:hAnsi="宋体" w:eastAsia="宋体" w:cs="Times New Roman"/>
          <w:sz w:val="24"/>
          <w:highlight w:val="none"/>
          <w:lang w:val="zh-CN"/>
        </w:rPr>
        <w:t>）种方式确定中标人：</w:t>
      </w:r>
    </w:p>
    <w:p w14:paraId="453851EA">
      <w:pPr>
        <w:widowControl w:val="0"/>
        <w:adjustRightInd w:val="0"/>
        <w:snapToGrid w:val="0"/>
        <w:spacing w:line="360" w:lineRule="auto"/>
        <w:ind w:firstLine="420" w:firstLineChars="175"/>
        <w:rPr>
          <w:rFonts w:ascii="宋体" w:hAnsi="宋体" w:eastAsia="宋体" w:cs="Times New Roman"/>
          <w:sz w:val="24"/>
          <w:highlight w:val="none"/>
          <w:lang w:val="zh-CN"/>
        </w:rPr>
      </w:pPr>
      <w:r>
        <w:rPr>
          <w:rFonts w:hint="eastAsia" w:ascii="宋体" w:hAnsi="宋体" w:eastAsia="宋体" w:cs="Times New Roman"/>
          <w:sz w:val="24"/>
          <w:highlight w:val="none"/>
          <w:lang w:val="zh-CN"/>
        </w:rPr>
        <w:t>（1）评委会直接确定排名第一的中标候选人为中标人；</w:t>
      </w:r>
    </w:p>
    <w:p w14:paraId="7D105855">
      <w:pPr>
        <w:widowControl w:val="0"/>
        <w:adjustRightInd w:val="0"/>
        <w:snapToGrid w:val="0"/>
        <w:spacing w:line="360" w:lineRule="auto"/>
        <w:ind w:firstLine="420" w:firstLineChars="175"/>
        <w:rPr>
          <w:rFonts w:ascii="宋体" w:hAnsi="宋体" w:eastAsia="宋体" w:cs="Times New Roman"/>
          <w:sz w:val="24"/>
          <w:highlight w:val="none"/>
          <w:lang w:val="zh-CN"/>
        </w:rPr>
      </w:pPr>
      <w:r>
        <w:rPr>
          <w:rFonts w:hint="eastAsia" w:ascii="宋体" w:hAnsi="宋体" w:eastAsia="宋体" w:cs="Times New Roman"/>
          <w:sz w:val="24"/>
          <w:highlight w:val="none"/>
          <w:lang w:val="zh-CN"/>
        </w:rPr>
        <w:t>（2）采购人在评委会推荐的中标候选人中按顺序确定中标人。</w:t>
      </w:r>
    </w:p>
    <w:p w14:paraId="25DFAEA5">
      <w:pPr>
        <w:widowControl w:val="0"/>
        <w:adjustRightInd w:val="0"/>
        <w:snapToGrid w:val="0"/>
        <w:spacing w:line="360" w:lineRule="auto"/>
        <w:ind w:firstLine="420" w:firstLineChars="175"/>
        <w:rPr>
          <w:rFonts w:ascii="宋体" w:hAnsi="宋体" w:eastAsia="宋体" w:cs="Times New Roman"/>
          <w:sz w:val="24"/>
          <w:highlight w:val="none"/>
          <w:lang w:val="zh-CN"/>
        </w:rPr>
      </w:pPr>
      <w:r>
        <w:rPr>
          <w:rFonts w:hint="eastAsia" w:ascii="宋体" w:hAnsi="宋体" w:eastAsia="宋体" w:cs="Times New Roman"/>
          <w:sz w:val="24"/>
          <w:highlight w:val="none"/>
          <w:lang w:val="zh-CN"/>
        </w:rPr>
        <w:t>按第二种方式确定中标人的，自评审结束之日起两个工作日内将评审报告送</w:t>
      </w:r>
      <w:r>
        <w:rPr>
          <w:rFonts w:hint="eastAsia" w:ascii="宋体" w:hAnsi="宋体" w:eastAsia="宋体" w:cs="Times New Roman"/>
          <w:sz w:val="24"/>
          <w:highlight w:val="none"/>
        </w:rPr>
        <w:t>达</w:t>
      </w:r>
      <w:r>
        <w:rPr>
          <w:rFonts w:hint="eastAsia" w:ascii="宋体" w:hAnsi="宋体" w:eastAsia="宋体" w:cs="Times New Roman"/>
          <w:sz w:val="24"/>
          <w:highlight w:val="none"/>
          <w:lang w:val="zh-CN"/>
        </w:rPr>
        <w:t>采购人，采购人自收到评审报告之日起五个工作日内，在评审报告推荐的中标候选人中按顺序确定中标人。</w:t>
      </w:r>
    </w:p>
    <w:p w14:paraId="5BFD2EF1">
      <w:pPr>
        <w:widowControl w:val="0"/>
        <w:adjustRightInd w:val="0"/>
        <w:snapToGrid w:val="0"/>
        <w:spacing w:line="360" w:lineRule="auto"/>
        <w:ind w:firstLine="480" w:firstLineChars="200"/>
        <w:rPr>
          <w:rFonts w:ascii="宋体" w:hAnsi="宋体" w:eastAsia="宋体" w:cs="Times New Roman"/>
          <w:sz w:val="24"/>
          <w:highlight w:val="none"/>
          <w:lang w:val="zh-CN"/>
        </w:rPr>
      </w:pPr>
      <w:r>
        <w:rPr>
          <w:rFonts w:hint="eastAsia" w:ascii="宋体" w:hAnsi="宋体" w:eastAsia="宋体" w:cs="Times New Roman"/>
          <w:sz w:val="24"/>
          <w:highlight w:val="none"/>
          <w:lang w:val="zh-CN"/>
        </w:rPr>
        <w:t>2</w:t>
      </w:r>
      <w:r>
        <w:rPr>
          <w:rFonts w:hint="eastAsia" w:ascii="宋体" w:hAnsi="宋体" w:cs="Times New Roman"/>
          <w:sz w:val="24"/>
          <w:highlight w:val="none"/>
        </w:rPr>
        <w:t>1</w:t>
      </w:r>
      <w:r>
        <w:rPr>
          <w:rFonts w:hint="eastAsia" w:ascii="宋体" w:hAnsi="宋体" w:eastAsia="宋体" w:cs="Times New Roman"/>
          <w:sz w:val="24"/>
          <w:highlight w:val="none"/>
          <w:lang w:val="zh-CN"/>
        </w:rPr>
        <w:t>.3 在“江苏政府采购网”发布中标公告，公告期限为1个工作日。</w:t>
      </w:r>
    </w:p>
    <w:p w14:paraId="0F8EBB99">
      <w:pPr>
        <w:widowControl w:val="0"/>
        <w:adjustRightInd w:val="0"/>
        <w:snapToGrid w:val="0"/>
        <w:spacing w:line="360" w:lineRule="auto"/>
        <w:ind w:firstLine="480" w:firstLineChars="200"/>
        <w:rPr>
          <w:rFonts w:ascii="宋体" w:hAnsi="宋体" w:eastAsia="宋体" w:cs="Times New Roman"/>
          <w:b/>
          <w:bCs/>
          <w:sz w:val="24"/>
          <w:highlight w:val="none"/>
          <w:lang w:val="zh-CN"/>
        </w:rPr>
      </w:pPr>
      <w:r>
        <w:rPr>
          <w:rFonts w:hint="eastAsia" w:ascii="宋体" w:hAnsi="宋体" w:eastAsia="宋体" w:cs="Times New Roman"/>
          <w:sz w:val="24"/>
          <w:highlight w:val="none"/>
          <w:lang w:val="zh-CN"/>
        </w:rPr>
        <w:t>2</w:t>
      </w:r>
      <w:r>
        <w:rPr>
          <w:rFonts w:hint="eastAsia" w:ascii="宋体" w:hAnsi="宋体" w:cs="Times New Roman"/>
          <w:sz w:val="24"/>
          <w:highlight w:val="none"/>
        </w:rPr>
        <w:t>1</w:t>
      </w:r>
      <w:r>
        <w:rPr>
          <w:rFonts w:hint="eastAsia" w:ascii="宋体" w:hAnsi="宋体" w:eastAsia="宋体" w:cs="Times New Roman"/>
          <w:sz w:val="24"/>
          <w:highlight w:val="none"/>
          <w:lang w:val="zh-CN"/>
        </w:rPr>
        <w:t>.4</w:t>
      </w:r>
      <w:r>
        <w:rPr>
          <w:rFonts w:hint="eastAsia" w:ascii="宋体" w:hAnsi="宋体" w:eastAsia="宋体" w:cs="Times New Roman"/>
          <w:sz w:val="24"/>
          <w:highlight w:val="none"/>
        </w:rPr>
        <w:t xml:space="preserve"> </w:t>
      </w:r>
      <w:r>
        <w:rPr>
          <w:rFonts w:hint="eastAsia" w:ascii="宋体" w:hAnsi="宋体" w:eastAsia="宋体" w:cs="Times New Roman"/>
          <w:b/>
          <w:bCs/>
          <w:sz w:val="24"/>
          <w:highlight w:val="none"/>
          <w:lang w:val="zh-CN"/>
        </w:rPr>
        <w:t>若有充分证据证明中标人</w:t>
      </w:r>
      <w:r>
        <w:rPr>
          <w:rFonts w:hint="eastAsia" w:ascii="宋体" w:hAnsi="宋体" w:eastAsia="宋体" w:cs="Times New Roman"/>
          <w:b/>
          <w:bCs/>
          <w:sz w:val="24"/>
          <w:highlight w:val="none"/>
        </w:rPr>
        <w:t>有</w:t>
      </w:r>
      <w:r>
        <w:rPr>
          <w:rFonts w:hint="eastAsia" w:ascii="宋体" w:hAnsi="宋体" w:eastAsia="宋体" w:cs="Times New Roman"/>
          <w:b/>
          <w:bCs/>
          <w:sz w:val="24"/>
          <w:highlight w:val="none"/>
          <w:lang w:val="zh-CN"/>
        </w:rPr>
        <w:t>下列情况之一的，一经查实将被取消中标资格：</w:t>
      </w:r>
    </w:p>
    <w:p w14:paraId="5608A34F">
      <w:pPr>
        <w:widowControl w:val="0"/>
        <w:adjustRightInd w:val="0"/>
        <w:snapToGrid w:val="0"/>
        <w:spacing w:line="360" w:lineRule="auto"/>
        <w:ind w:firstLine="480" w:firstLineChars="200"/>
        <w:rPr>
          <w:rFonts w:ascii="宋体" w:hAnsi="宋体" w:eastAsia="宋体" w:cs="Times New Roman"/>
          <w:sz w:val="24"/>
          <w:highlight w:val="none"/>
          <w:lang w:val="zh-CN"/>
        </w:rPr>
      </w:pPr>
      <w:r>
        <w:rPr>
          <w:rFonts w:hint="eastAsia" w:ascii="宋体" w:hAnsi="宋体" w:eastAsia="宋体" w:cs="Times New Roman"/>
          <w:sz w:val="24"/>
          <w:highlight w:val="none"/>
          <w:lang w:val="zh-CN"/>
        </w:rPr>
        <w:t>2</w:t>
      </w:r>
      <w:r>
        <w:rPr>
          <w:rFonts w:hint="eastAsia" w:ascii="宋体" w:hAnsi="宋体" w:eastAsia="宋体" w:cs="Times New Roman"/>
          <w:sz w:val="24"/>
          <w:highlight w:val="none"/>
        </w:rPr>
        <w:t>1</w:t>
      </w:r>
      <w:r>
        <w:rPr>
          <w:rFonts w:hint="eastAsia" w:ascii="宋体" w:hAnsi="宋体" w:eastAsia="宋体" w:cs="Times New Roman"/>
          <w:sz w:val="24"/>
          <w:highlight w:val="none"/>
          <w:lang w:val="zh-CN"/>
        </w:rPr>
        <w:t>.4.1 提供虚假材料谋取中标。</w:t>
      </w:r>
    </w:p>
    <w:p w14:paraId="7748ACB7">
      <w:pPr>
        <w:widowControl w:val="0"/>
        <w:adjustRightInd w:val="0"/>
        <w:snapToGrid w:val="0"/>
        <w:spacing w:line="360" w:lineRule="auto"/>
        <w:ind w:firstLine="480" w:firstLineChars="200"/>
        <w:rPr>
          <w:rFonts w:ascii="宋体" w:hAnsi="宋体" w:eastAsia="宋体" w:cs="Times New Roman"/>
          <w:sz w:val="24"/>
          <w:highlight w:val="none"/>
          <w:lang w:val="zh-CN"/>
        </w:rPr>
      </w:pPr>
      <w:r>
        <w:rPr>
          <w:rFonts w:hint="eastAsia" w:ascii="宋体" w:hAnsi="宋体" w:eastAsia="宋体" w:cs="Times New Roman"/>
          <w:sz w:val="24"/>
          <w:highlight w:val="none"/>
          <w:lang w:val="zh-CN"/>
        </w:rPr>
        <w:t>2</w:t>
      </w:r>
      <w:r>
        <w:rPr>
          <w:rFonts w:hint="eastAsia" w:ascii="宋体" w:hAnsi="宋体" w:eastAsia="宋体" w:cs="Times New Roman"/>
          <w:sz w:val="24"/>
          <w:highlight w:val="none"/>
        </w:rPr>
        <w:t>1</w:t>
      </w:r>
      <w:r>
        <w:rPr>
          <w:rFonts w:hint="eastAsia" w:ascii="宋体" w:hAnsi="宋体" w:eastAsia="宋体" w:cs="Times New Roman"/>
          <w:sz w:val="24"/>
          <w:highlight w:val="none"/>
          <w:lang w:val="zh-CN"/>
        </w:rPr>
        <w:t>.4.2 向评审专家、采购人或交易中心工作人员行贿或者提供其他不正当利益。</w:t>
      </w:r>
    </w:p>
    <w:p w14:paraId="5D143AB5">
      <w:pPr>
        <w:widowControl w:val="0"/>
        <w:adjustRightInd w:val="0"/>
        <w:snapToGrid w:val="0"/>
        <w:spacing w:line="360" w:lineRule="auto"/>
        <w:ind w:firstLine="480" w:firstLineChars="200"/>
        <w:rPr>
          <w:rFonts w:ascii="宋体" w:hAnsi="宋体" w:eastAsia="宋体" w:cs="Times New Roman"/>
          <w:sz w:val="24"/>
          <w:highlight w:val="none"/>
          <w:lang w:val="zh-CN"/>
        </w:rPr>
      </w:pPr>
      <w:r>
        <w:rPr>
          <w:rFonts w:hint="eastAsia" w:ascii="宋体" w:hAnsi="宋体" w:eastAsia="宋体" w:cs="Times New Roman"/>
          <w:sz w:val="24"/>
          <w:highlight w:val="none"/>
          <w:lang w:val="zh-CN"/>
        </w:rPr>
        <w:t>2</w:t>
      </w:r>
      <w:r>
        <w:rPr>
          <w:rFonts w:hint="eastAsia" w:ascii="宋体" w:hAnsi="宋体" w:eastAsia="宋体" w:cs="Times New Roman"/>
          <w:sz w:val="24"/>
          <w:highlight w:val="none"/>
        </w:rPr>
        <w:t>1</w:t>
      </w:r>
      <w:r>
        <w:rPr>
          <w:rFonts w:hint="eastAsia" w:ascii="宋体" w:hAnsi="宋体" w:eastAsia="宋体" w:cs="Times New Roman"/>
          <w:sz w:val="24"/>
          <w:highlight w:val="none"/>
          <w:lang w:val="zh-CN"/>
        </w:rPr>
        <w:t>.4.3 与其他投标人、评审专家、采购人或交易中心工作人员恶意串通。</w:t>
      </w:r>
    </w:p>
    <w:p w14:paraId="5413529C">
      <w:pPr>
        <w:widowControl w:val="0"/>
        <w:adjustRightInd w:val="0"/>
        <w:snapToGrid w:val="0"/>
        <w:spacing w:line="360" w:lineRule="auto"/>
        <w:ind w:firstLine="480" w:firstLineChars="200"/>
        <w:rPr>
          <w:rFonts w:ascii="宋体" w:hAnsi="宋体" w:eastAsia="宋体" w:cs="Times New Roman"/>
          <w:sz w:val="24"/>
          <w:highlight w:val="none"/>
          <w:lang w:val="zh-CN"/>
        </w:rPr>
      </w:pPr>
      <w:r>
        <w:rPr>
          <w:rFonts w:hint="eastAsia" w:ascii="宋体" w:hAnsi="宋体" w:eastAsia="宋体" w:cs="Times New Roman"/>
          <w:sz w:val="24"/>
          <w:highlight w:val="none"/>
          <w:lang w:val="zh-CN"/>
        </w:rPr>
        <w:t>2</w:t>
      </w:r>
      <w:r>
        <w:rPr>
          <w:rFonts w:hint="eastAsia" w:ascii="宋体" w:hAnsi="宋体" w:eastAsia="宋体" w:cs="Times New Roman"/>
          <w:sz w:val="24"/>
          <w:highlight w:val="none"/>
        </w:rPr>
        <w:t>1</w:t>
      </w:r>
      <w:r>
        <w:rPr>
          <w:rFonts w:hint="eastAsia" w:ascii="宋体" w:hAnsi="宋体" w:eastAsia="宋体" w:cs="Times New Roman"/>
          <w:sz w:val="24"/>
          <w:highlight w:val="none"/>
          <w:lang w:val="zh-CN"/>
        </w:rPr>
        <w:t>.4.4 属于本文件规定的无效投标情形，但在评标过程中未被评委会发现。</w:t>
      </w:r>
    </w:p>
    <w:p w14:paraId="000475B2">
      <w:pPr>
        <w:widowControl w:val="0"/>
        <w:adjustRightInd w:val="0"/>
        <w:snapToGrid w:val="0"/>
        <w:spacing w:line="360" w:lineRule="auto"/>
        <w:ind w:firstLine="480" w:firstLineChars="200"/>
        <w:rPr>
          <w:rFonts w:ascii="宋体" w:hAnsi="宋体" w:eastAsia="宋体" w:cs="Times New Roman"/>
          <w:sz w:val="24"/>
          <w:highlight w:val="none"/>
          <w:lang w:val="zh-CN"/>
        </w:rPr>
      </w:pPr>
      <w:r>
        <w:rPr>
          <w:rFonts w:hint="eastAsia" w:ascii="宋体" w:hAnsi="宋体" w:eastAsia="宋体" w:cs="Times New Roman"/>
          <w:sz w:val="24"/>
          <w:highlight w:val="none"/>
          <w:lang w:val="zh-CN"/>
        </w:rPr>
        <w:t>2</w:t>
      </w:r>
      <w:r>
        <w:rPr>
          <w:rFonts w:hint="eastAsia" w:ascii="宋体" w:hAnsi="宋体" w:eastAsia="宋体" w:cs="Times New Roman"/>
          <w:sz w:val="24"/>
          <w:highlight w:val="none"/>
        </w:rPr>
        <w:t>1</w:t>
      </w:r>
      <w:r>
        <w:rPr>
          <w:rFonts w:hint="eastAsia" w:ascii="宋体" w:hAnsi="宋体" w:eastAsia="宋体" w:cs="Times New Roman"/>
          <w:sz w:val="24"/>
          <w:highlight w:val="none"/>
          <w:lang w:val="zh-CN"/>
        </w:rPr>
        <w:t>.4.5 采取不正当手段诋毁、排挤其他投标人。</w:t>
      </w:r>
    </w:p>
    <w:p w14:paraId="4D85A0F1">
      <w:pPr>
        <w:widowControl w:val="0"/>
        <w:shd w:val="clear" w:color="auto" w:fill="FFFFFF"/>
        <w:spacing w:line="360" w:lineRule="auto"/>
        <w:ind w:firstLine="482" w:firstLineChars="200"/>
        <w:jc w:val="both"/>
        <w:rPr>
          <w:rFonts w:ascii="宋体" w:hAnsi="宋体" w:eastAsia="宋体" w:cs="Arial"/>
          <w:b/>
          <w:bCs/>
          <w:sz w:val="24"/>
          <w:szCs w:val="24"/>
          <w:highlight w:val="none"/>
        </w:rPr>
      </w:pPr>
      <w:r>
        <w:rPr>
          <w:rFonts w:hint="eastAsia" w:ascii="宋体" w:hAnsi="宋体" w:eastAsia="宋体" w:cs="Arial"/>
          <w:b/>
          <w:bCs/>
          <w:sz w:val="24"/>
          <w:szCs w:val="24"/>
          <w:highlight w:val="none"/>
        </w:rPr>
        <w:t>22、中标通知书</w:t>
      </w:r>
    </w:p>
    <w:p w14:paraId="3CBA9383">
      <w:pPr>
        <w:widowControl w:val="0"/>
        <w:adjustRightInd w:val="0"/>
        <w:snapToGrid w:val="0"/>
        <w:spacing w:line="360" w:lineRule="auto"/>
        <w:ind w:firstLine="480" w:firstLineChars="200"/>
        <w:rPr>
          <w:rFonts w:ascii="宋体" w:hAnsi="宋体" w:eastAsia="宋体" w:cs="Times New Roman"/>
          <w:sz w:val="24"/>
          <w:highlight w:val="none"/>
          <w:lang w:val="zh-CN"/>
        </w:rPr>
      </w:pPr>
      <w:r>
        <w:rPr>
          <w:rFonts w:hint="eastAsia" w:ascii="宋体" w:hAnsi="宋体" w:eastAsia="宋体" w:cs="Times New Roman"/>
          <w:sz w:val="24"/>
          <w:highlight w:val="none"/>
          <w:lang w:val="zh-CN"/>
        </w:rPr>
        <w:t>2</w:t>
      </w:r>
      <w:r>
        <w:rPr>
          <w:rFonts w:hint="eastAsia" w:ascii="宋体" w:hAnsi="宋体" w:cs="Times New Roman"/>
          <w:sz w:val="24"/>
          <w:highlight w:val="none"/>
        </w:rPr>
        <w:t>2</w:t>
      </w:r>
      <w:r>
        <w:rPr>
          <w:rFonts w:hint="eastAsia" w:ascii="宋体" w:hAnsi="宋体" w:eastAsia="宋体" w:cs="Times New Roman"/>
          <w:sz w:val="24"/>
          <w:highlight w:val="none"/>
          <w:lang w:val="zh-CN"/>
        </w:rPr>
        <w:t>.</w:t>
      </w:r>
      <w:r>
        <w:rPr>
          <w:rFonts w:hint="eastAsia" w:ascii="宋体" w:hAnsi="宋体" w:cs="Times New Roman"/>
          <w:sz w:val="24"/>
          <w:highlight w:val="none"/>
        </w:rPr>
        <w:t>1</w:t>
      </w:r>
      <w:r>
        <w:rPr>
          <w:rFonts w:hint="eastAsia" w:ascii="宋体" w:hAnsi="宋体" w:eastAsia="宋体" w:cs="Times New Roman"/>
          <w:sz w:val="24"/>
          <w:highlight w:val="none"/>
          <w:lang w:val="zh-CN"/>
        </w:rPr>
        <w:t xml:space="preserve"> 中标结果确定后，</w:t>
      </w:r>
      <w:r>
        <w:rPr>
          <w:rFonts w:hint="eastAsia" w:ascii="宋体" w:hAnsi="宋体" w:eastAsia="宋体" w:cs="Times New Roman"/>
          <w:sz w:val="24"/>
          <w:highlight w:val="none"/>
        </w:rPr>
        <w:t>招标人或者招标代理机构</w:t>
      </w:r>
      <w:r>
        <w:rPr>
          <w:rFonts w:hint="eastAsia" w:ascii="宋体" w:hAnsi="宋体" w:eastAsia="宋体" w:cs="Times New Roman"/>
          <w:sz w:val="24"/>
          <w:highlight w:val="none"/>
          <w:lang w:val="zh-CN"/>
        </w:rPr>
        <w:t>向中标人发出《中标通知书》。中标人</w:t>
      </w:r>
      <w:r>
        <w:rPr>
          <w:rFonts w:hint="eastAsia" w:ascii="宋体" w:hAnsi="宋体" w:eastAsia="宋体" w:cs="Times New Roman"/>
          <w:sz w:val="24"/>
          <w:highlight w:val="none"/>
        </w:rPr>
        <w:t>可</w:t>
      </w:r>
      <w:r>
        <w:rPr>
          <w:rFonts w:hint="eastAsia" w:ascii="宋体" w:hAnsi="宋体" w:eastAsia="宋体" w:cs="Times New Roman"/>
          <w:sz w:val="24"/>
          <w:highlight w:val="none"/>
          <w:lang w:val="zh-CN"/>
        </w:rPr>
        <w:t>在中标结果公告届满之日起三十日内</w:t>
      </w:r>
      <w:r>
        <w:rPr>
          <w:rFonts w:hint="eastAsia" w:ascii="宋体" w:hAnsi="宋体" w:cs="Times New Roman"/>
          <w:sz w:val="24"/>
          <w:highlight w:val="none"/>
          <w:lang w:val="zh-CN"/>
        </w:rPr>
        <w:t>，</w:t>
      </w:r>
      <w:r>
        <w:rPr>
          <w:rFonts w:hint="eastAsia" w:ascii="宋体" w:hAnsi="宋体" w:eastAsia="宋体" w:cs="Times New Roman"/>
          <w:sz w:val="24"/>
          <w:highlight w:val="none"/>
          <w:lang w:val="zh-CN"/>
        </w:rPr>
        <w:t>登录苏采云系统下载。</w:t>
      </w:r>
    </w:p>
    <w:p w14:paraId="3391F4B2">
      <w:pPr>
        <w:widowControl w:val="0"/>
        <w:adjustRightInd w:val="0"/>
        <w:snapToGrid w:val="0"/>
        <w:spacing w:line="360" w:lineRule="auto"/>
        <w:ind w:firstLine="480" w:firstLineChars="200"/>
        <w:rPr>
          <w:rFonts w:ascii="宋体" w:hAnsi="宋体" w:eastAsia="宋体" w:cs="Times New Roman"/>
          <w:sz w:val="24"/>
          <w:highlight w:val="none"/>
          <w:lang w:val="zh-CN"/>
        </w:rPr>
      </w:pPr>
      <w:r>
        <w:rPr>
          <w:rFonts w:hint="eastAsia" w:ascii="宋体" w:hAnsi="宋体" w:eastAsia="宋体" w:cs="Times New Roman"/>
          <w:sz w:val="24"/>
          <w:highlight w:val="none"/>
          <w:lang w:val="zh-CN"/>
        </w:rPr>
        <w:t>因系统存储空间有限，中标结果公告届满之日起三十日后，苏采云系统不再保证提供下载《中标通知书》服务，因未及时下载而造成的不利后果由中标人自行承担。</w:t>
      </w:r>
    </w:p>
    <w:p w14:paraId="524FB627">
      <w:pPr>
        <w:widowControl w:val="0"/>
        <w:adjustRightInd w:val="0"/>
        <w:snapToGrid w:val="0"/>
        <w:spacing w:line="360" w:lineRule="auto"/>
        <w:ind w:firstLine="480" w:firstLineChars="200"/>
        <w:rPr>
          <w:rFonts w:ascii="宋体" w:hAnsi="宋体" w:eastAsia="宋体" w:cs="Times New Roman"/>
          <w:sz w:val="24"/>
          <w:highlight w:val="none"/>
          <w:lang w:val="zh-CN"/>
        </w:rPr>
      </w:pPr>
      <w:r>
        <w:rPr>
          <w:rFonts w:hint="eastAsia" w:ascii="宋体" w:hAnsi="宋体" w:eastAsia="宋体" w:cs="Times New Roman"/>
          <w:sz w:val="24"/>
          <w:highlight w:val="none"/>
          <w:lang w:val="zh-CN"/>
        </w:rPr>
        <w:t>2</w:t>
      </w:r>
      <w:r>
        <w:rPr>
          <w:rFonts w:hint="eastAsia" w:ascii="宋体" w:hAnsi="宋体" w:cs="Times New Roman"/>
          <w:sz w:val="24"/>
          <w:highlight w:val="none"/>
        </w:rPr>
        <w:t>2</w:t>
      </w:r>
      <w:r>
        <w:rPr>
          <w:rFonts w:hint="eastAsia" w:ascii="宋体" w:hAnsi="宋体" w:eastAsia="宋体" w:cs="Times New Roman"/>
          <w:sz w:val="24"/>
          <w:highlight w:val="none"/>
          <w:lang w:val="zh-CN"/>
        </w:rPr>
        <w:t>.2</w:t>
      </w:r>
      <w:r>
        <w:rPr>
          <w:rFonts w:hint="eastAsia" w:ascii="宋体" w:hAnsi="宋体" w:eastAsia="宋体" w:cs="Times New Roman"/>
          <w:sz w:val="24"/>
          <w:highlight w:val="none"/>
        </w:rPr>
        <w:t xml:space="preserve"> 《</w:t>
      </w:r>
      <w:r>
        <w:rPr>
          <w:rFonts w:hint="eastAsia" w:ascii="宋体" w:hAnsi="宋体" w:eastAsia="宋体" w:cs="Times New Roman"/>
          <w:sz w:val="24"/>
          <w:highlight w:val="none"/>
          <w:lang w:val="zh-CN"/>
        </w:rPr>
        <w:t>中标通知书</w:t>
      </w:r>
      <w:r>
        <w:rPr>
          <w:rFonts w:hint="eastAsia" w:ascii="宋体" w:hAnsi="宋体" w:eastAsia="宋体" w:cs="Times New Roman"/>
          <w:sz w:val="24"/>
          <w:highlight w:val="none"/>
        </w:rPr>
        <w:t>》</w:t>
      </w:r>
      <w:r>
        <w:rPr>
          <w:rFonts w:hint="eastAsia" w:ascii="宋体" w:hAnsi="宋体" w:eastAsia="宋体" w:cs="Times New Roman"/>
          <w:sz w:val="24"/>
          <w:highlight w:val="none"/>
          <w:lang w:val="zh-CN"/>
        </w:rPr>
        <w:t>是合同的一个组成部分，对采购人和中标人均具有法律效力。《中标通知书》发出后，采购人改变中标结果或者中标人放弃中标项目的，应当依法承担法律责任。</w:t>
      </w:r>
    </w:p>
    <w:p w14:paraId="387BA32E">
      <w:pPr>
        <w:shd w:val="clear" w:color="auto" w:fill="FFFFFF"/>
        <w:spacing w:line="360" w:lineRule="auto"/>
        <w:jc w:val="both"/>
        <w:rPr>
          <w:rFonts w:ascii="宋体" w:hAnsi="宋体" w:eastAsia="宋体" w:cs="Arial"/>
          <w:sz w:val="24"/>
          <w:szCs w:val="24"/>
          <w:highlight w:val="none"/>
        </w:rPr>
      </w:pPr>
      <w:r>
        <w:rPr>
          <w:rFonts w:hint="eastAsia" w:ascii="宋体" w:hAnsi="宋体" w:eastAsia="宋体" w:cs="Arial"/>
          <w:b/>
          <w:bCs/>
          <w:sz w:val="24"/>
          <w:szCs w:val="24"/>
          <w:highlight w:val="none"/>
        </w:rPr>
        <w:t>六、授予合同</w:t>
      </w:r>
    </w:p>
    <w:p w14:paraId="49CDF93B">
      <w:pPr>
        <w:widowControl w:val="0"/>
        <w:shd w:val="clear" w:color="auto" w:fill="FFFFFF"/>
        <w:spacing w:line="360" w:lineRule="auto"/>
        <w:ind w:firstLine="482" w:firstLineChars="200"/>
        <w:rPr>
          <w:rFonts w:ascii="宋体" w:hAnsi="宋体" w:eastAsia="宋体" w:cs="Arial"/>
          <w:b/>
          <w:bCs/>
          <w:sz w:val="24"/>
          <w:szCs w:val="24"/>
          <w:highlight w:val="none"/>
        </w:rPr>
      </w:pPr>
      <w:r>
        <w:rPr>
          <w:rFonts w:ascii="宋体" w:hAnsi="宋体" w:eastAsia="宋体" w:cs="Arial"/>
          <w:b/>
          <w:bCs/>
          <w:sz w:val="24"/>
          <w:szCs w:val="24"/>
          <w:highlight w:val="none"/>
        </w:rPr>
        <w:t>2</w:t>
      </w:r>
      <w:r>
        <w:rPr>
          <w:rFonts w:hint="eastAsia" w:ascii="宋体" w:hAnsi="宋体" w:eastAsia="宋体" w:cs="Arial"/>
          <w:b/>
          <w:bCs/>
          <w:sz w:val="24"/>
          <w:szCs w:val="24"/>
          <w:highlight w:val="none"/>
        </w:rPr>
        <w:t>3、签订合同</w:t>
      </w:r>
    </w:p>
    <w:p w14:paraId="113B4D0D">
      <w:pPr>
        <w:widowControl w:val="0"/>
        <w:adjustRightInd w:val="0"/>
        <w:snapToGrid w:val="0"/>
        <w:spacing w:line="360" w:lineRule="auto"/>
        <w:ind w:firstLine="480" w:firstLineChars="200"/>
        <w:rPr>
          <w:rFonts w:ascii="宋体" w:hAnsi="宋体" w:eastAsia="宋体" w:cs="Times New Roman"/>
          <w:sz w:val="24"/>
          <w:highlight w:val="none"/>
        </w:rPr>
      </w:pPr>
      <w:r>
        <w:rPr>
          <w:rFonts w:hint="eastAsia" w:ascii="宋体" w:hAnsi="宋体" w:eastAsia="宋体" w:cs="Times New Roman"/>
          <w:sz w:val="24"/>
          <w:highlight w:val="none"/>
          <w:lang w:val="zh-CN"/>
        </w:rPr>
        <w:t>2</w:t>
      </w:r>
      <w:r>
        <w:rPr>
          <w:rFonts w:hint="eastAsia" w:ascii="宋体" w:hAnsi="宋体" w:eastAsia="宋体" w:cs="Times New Roman"/>
          <w:sz w:val="24"/>
          <w:highlight w:val="none"/>
        </w:rPr>
        <w:t>3.1</w:t>
      </w:r>
      <w:r>
        <w:rPr>
          <w:rFonts w:hint="eastAsia" w:ascii="宋体" w:hAnsi="宋体" w:eastAsia="宋体" w:cs="Times New Roman"/>
          <w:sz w:val="24"/>
          <w:highlight w:val="none"/>
          <w:lang w:val="zh-CN"/>
        </w:rPr>
        <w:t xml:space="preserve"> </w:t>
      </w:r>
      <w:r>
        <w:rPr>
          <w:rFonts w:hint="eastAsia" w:ascii="宋体" w:hAnsi="宋体" w:eastAsia="宋体" w:cs="Times New Roman"/>
          <w:sz w:val="24"/>
          <w:highlight w:val="none"/>
        </w:rPr>
        <w:t>中标人应当</w:t>
      </w:r>
      <w:r>
        <w:rPr>
          <w:rFonts w:hint="eastAsia" w:ascii="宋体" w:hAnsi="宋体" w:eastAsia="宋体" w:cs="Times New Roman"/>
          <w:sz w:val="24"/>
          <w:highlight w:val="none"/>
          <w:lang w:val="zh-CN"/>
        </w:rPr>
        <w:t>在《</w:t>
      </w:r>
      <w:r>
        <w:rPr>
          <w:rFonts w:hint="eastAsia" w:ascii="宋体" w:hAnsi="宋体" w:eastAsia="宋体" w:cs="Times New Roman"/>
          <w:sz w:val="24"/>
          <w:highlight w:val="none"/>
        </w:rPr>
        <w:t>中标通知书</w:t>
      </w:r>
      <w:r>
        <w:rPr>
          <w:rFonts w:hint="eastAsia" w:ascii="宋体" w:hAnsi="宋体" w:eastAsia="宋体" w:cs="Times New Roman"/>
          <w:sz w:val="24"/>
          <w:highlight w:val="none"/>
          <w:lang w:val="zh-CN"/>
        </w:rPr>
        <w:t>》</w:t>
      </w:r>
      <w:r>
        <w:rPr>
          <w:rFonts w:hint="eastAsia" w:ascii="宋体" w:hAnsi="宋体" w:eastAsia="宋体" w:cs="Times New Roman"/>
          <w:sz w:val="24"/>
          <w:highlight w:val="none"/>
        </w:rPr>
        <w:t>发出之日起三十日内，按照招标文件确定的事项与采购人签订政府采购合同。</w:t>
      </w:r>
      <w:r>
        <w:rPr>
          <w:rFonts w:hint="eastAsia" w:ascii="宋体" w:hAnsi="宋体" w:eastAsia="宋体" w:cs="Times New Roman"/>
          <w:sz w:val="24"/>
          <w:highlight w:val="none"/>
          <w:lang w:val="zh-CN"/>
        </w:rPr>
        <w:t>采购人于合同签订后2个工作日内通过苏采云系统进行公示。</w:t>
      </w:r>
    </w:p>
    <w:p w14:paraId="0B95CF6B">
      <w:pPr>
        <w:widowControl w:val="0"/>
        <w:adjustRightInd w:val="0"/>
        <w:snapToGrid w:val="0"/>
        <w:spacing w:line="360" w:lineRule="auto"/>
        <w:ind w:firstLine="480" w:firstLineChars="200"/>
        <w:rPr>
          <w:rFonts w:ascii="宋体" w:hAnsi="宋体" w:eastAsia="宋体" w:cs="Times New Roman"/>
          <w:sz w:val="24"/>
          <w:highlight w:val="none"/>
        </w:rPr>
      </w:pPr>
      <w:r>
        <w:rPr>
          <w:rFonts w:hint="eastAsia" w:ascii="宋体" w:hAnsi="宋体" w:eastAsia="宋体" w:cs="Times New Roman"/>
          <w:sz w:val="24"/>
          <w:highlight w:val="none"/>
          <w:lang w:val="zh-CN"/>
        </w:rPr>
        <w:t>2</w:t>
      </w:r>
      <w:r>
        <w:rPr>
          <w:rFonts w:hint="eastAsia" w:ascii="宋体" w:hAnsi="宋体" w:eastAsia="宋体" w:cs="Times New Roman"/>
          <w:sz w:val="24"/>
          <w:highlight w:val="none"/>
        </w:rPr>
        <w:t>3.2 招标文件、中标人的投标文件及招标过程中有关澄清、承诺文件均作为合同附件。</w:t>
      </w:r>
    </w:p>
    <w:p w14:paraId="09F4F69B">
      <w:pPr>
        <w:widowControl w:val="0"/>
        <w:adjustRightInd w:val="0"/>
        <w:snapToGrid w:val="0"/>
        <w:spacing w:line="360" w:lineRule="auto"/>
        <w:ind w:firstLine="480" w:firstLineChars="200"/>
        <w:rPr>
          <w:rFonts w:ascii="宋体" w:hAnsi="宋体" w:eastAsia="宋体" w:cs="Times New Roman"/>
          <w:sz w:val="24"/>
          <w:highlight w:val="none"/>
        </w:rPr>
      </w:pPr>
      <w:r>
        <w:rPr>
          <w:rFonts w:hint="eastAsia" w:ascii="宋体" w:hAnsi="宋体" w:eastAsia="宋体" w:cs="Times New Roman"/>
          <w:sz w:val="24"/>
          <w:highlight w:val="none"/>
          <w:lang w:val="zh-CN"/>
        </w:rPr>
        <w:t>2</w:t>
      </w:r>
      <w:r>
        <w:rPr>
          <w:rFonts w:hint="eastAsia" w:ascii="宋体" w:hAnsi="宋体" w:eastAsia="宋体" w:cs="Times New Roman"/>
          <w:sz w:val="24"/>
          <w:highlight w:val="none"/>
        </w:rPr>
        <w:t>3.3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p>
    <w:p w14:paraId="6B8FC52D">
      <w:pPr>
        <w:widowControl w:val="0"/>
        <w:adjustRightInd w:val="0"/>
        <w:snapToGrid w:val="0"/>
        <w:spacing w:line="360" w:lineRule="auto"/>
        <w:ind w:firstLine="480" w:firstLineChars="200"/>
        <w:rPr>
          <w:rFonts w:ascii="宋体" w:hAnsi="宋体" w:eastAsia="宋体" w:cs="Times New Roman"/>
          <w:sz w:val="24"/>
          <w:highlight w:val="none"/>
        </w:rPr>
      </w:pPr>
      <w:r>
        <w:rPr>
          <w:rFonts w:hint="eastAsia" w:ascii="宋体" w:hAnsi="宋体" w:eastAsia="宋体" w:cs="Times New Roman"/>
          <w:sz w:val="24"/>
          <w:highlight w:val="none"/>
        </w:rPr>
        <w:t>23.4中标人不得将合同标的进行转包，否则采购人有权取消其中标资格或终止合同。转包造成采购人损失的，中标人应承担相应赔偿责任。</w:t>
      </w:r>
    </w:p>
    <w:p w14:paraId="6CD5D7C7">
      <w:pPr>
        <w:shd w:val="clear" w:color="auto" w:fill="FFFFFF"/>
        <w:spacing w:line="360" w:lineRule="auto"/>
        <w:ind w:firstLine="480" w:firstLineChars="200"/>
        <w:jc w:val="both"/>
        <w:rPr>
          <w:rFonts w:ascii="宋体" w:hAnsi="宋体" w:eastAsia="宋体" w:cs="Times New Roman"/>
          <w:sz w:val="24"/>
          <w:highlight w:val="none"/>
        </w:rPr>
      </w:pPr>
      <w:r>
        <w:rPr>
          <w:rFonts w:hint="eastAsia" w:ascii="宋体" w:hAnsi="宋体" w:eastAsia="宋体" w:cs="Times New Roman"/>
          <w:sz w:val="24"/>
          <w:highlight w:val="none"/>
          <w:lang w:val="zh-CN"/>
        </w:rPr>
        <w:t>2</w:t>
      </w:r>
      <w:r>
        <w:rPr>
          <w:rFonts w:hint="eastAsia" w:ascii="宋体" w:hAnsi="宋体" w:eastAsia="宋体" w:cs="Times New Roman"/>
          <w:sz w:val="24"/>
          <w:highlight w:val="none"/>
        </w:rPr>
        <w:t>3.5 中标人因自身原因拒绝与采购人签订合同的，不得参加采购人</w:t>
      </w:r>
      <w:r>
        <w:rPr>
          <w:rFonts w:hint="eastAsia" w:ascii="宋体" w:hAnsi="宋体" w:eastAsia="宋体" w:cs="Times New Roman"/>
          <w:sz w:val="24"/>
          <w:highlight w:val="none"/>
          <w:lang w:val="zh-CN"/>
        </w:rPr>
        <w:t>重新组织的</w:t>
      </w:r>
      <w:r>
        <w:rPr>
          <w:rFonts w:hint="eastAsia" w:ascii="宋体" w:hAnsi="宋体" w:eastAsia="宋体" w:cs="Times New Roman"/>
          <w:sz w:val="24"/>
          <w:highlight w:val="none"/>
        </w:rPr>
        <w:t>采购活动</w:t>
      </w:r>
      <w:r>
        <w:rPr>
          <w:rFonts w:hint="eastAsia" w:ascii="宋体" w:hAnsi="宋体" w:eastAsia="宋体" w:cs="Times New Roman"/>
          <w:sz w:val="24"/>
          <w:highlight w:val="none"/>
          <w:lang w:val="zh-CN"/>
        </w:rPr>
        <w:t>，且将可能被拒绝参加该采购人</w:t>
      </w:r>
      <w:r>
        <w:rPr>
          <w:rFonts w:hint="eastAsia" w:ascii="宋体" w:hAnsi="宋体" w:eastAsia="宋体" w:cs="Times New Roman"/>
          <w:sz w:val="24"/>
          <w:highlight w:val="none"/>
        </w:rPr>
        <w:t>一年内</w:t>
      </w:r>
      <w:r>
        <w:rPr>
          <w:rFonts w:hint="eastAsia" w:ascii="宋体" w:hAnsi="宋体" w:eastAsia="宋体" w:cs="Times New Roman"/>
          <w:sz w:val="24"/>
          <w:highlight w:val="none"/>
          <w:lang w:val="zh-CN"/>
        </w:rPr>
        <w:t>的其他</w:t>
      </w:r>
      <w:r>
        <w:rPr>
          <w:rFonts w:hint="eastAsia" w:ascii="宋体" w:hAnsi="宋体" w:eastAsia="宋体" w:cs="Times New Roman"/>
          <w:sz w:val="24"/>
          <w:highlight w:val="none"/>
        </w:rPr>
        <w:t>政府采购活动。</w:t>
      </w:r>
    </w:p>
    <w:p w14:paraId="6BC1F577">
      <w:pPr>
        <w:widowControl w:val="0"/>
        <w:adjustRightInd w:val="0"/>
        <w:snapToGrid w:val="0"/>
        <w:spacing w:line="360" w:lineRule="auto"/>
        <w:ind w:firstLine="482" w:firstLineChars="200"/>
        <w:rPr>
          <w:rFonts w:ascii="宋体" w:hAnsi="宋体" w:eastAsia="宋体" w:cs="Arial"/>
          <w:b/>
          <w:bCs/>
          <w:sz w:val="24"/>
          <w:szCs w:val="24"/>
          <w:highlight w:val="none"/>
        </w:rPr>
      </w:pPr>
      <w:r>
        <w:rPr>
          <w:rFonts w:hint="eastAsia" w:ascii="宋体" w:hAnsi="宋体" w:eastAsia="宋体" w:cs="Arial"/>
          <w:b/>
          <w:bCs/>
          <w:sz w:val="24"/>
          <w:szCs w:val="24"/>
          <w:highlight w:val="none"/>
        </w:rPr>
        <w:t>24.标的物的追加</w:t>
      </w:r>
    </w:p>
    <w:p w14:paraId="28DCE20B">
      <w:pPr>
        <w:widowControl w:val="0"/>
        <w:adjustRightInd w:val="0"/>
        <w:snapToGrid w:val="0"/>
        <w:spacing w:line="360" w:lineRule="auto"/>
        <w:ind w:firstLine="480" w:firstLineChars="200"/>
        <w:rPr>
          <w:rFonts w:ascii="宋体" w:hAnsi="宋体" w:eastAsia="宋体" w:cs="Times New Roman"/>
          <w:sz w:val="24"/>
          <w:highlight w:val="none"/>
        </w:rPr>
      </w:pPr>
      <w:r>
        <w:rPr>
          <w:rFonts w:hint="eastAsia" w:ascii="宋体" w:hAnsi="宋体" w:eastAsia="宋体" w:cs="Times New Roman"/>
          <w:sz w:val="24"/>
          <w:highlight w:val="none"/>
        </w:rPr>
        <w:t>24.1 合同履行中，采购人需追加与合同标的相同的服务（包含与服务相关的货物），在不改变合同其他条款的前提下，可以与中标人协商签订补充合同，但所有补充合同的金额不超过原合同金额的10%。</w:t>
      </w:r>
    </w:p>
    <w:p w14:paraId="1B6A2746">
      <w:pPr>
        <w:shd w:val="clear" w:color="auto" w:fill="FFFFFF"/>
        <w:spacing w:line="360" w:lineRule="auto"/>
        <w:jc w:val="both"/>
        <w:rPr>
          <w:rFonts w:ascii="宋体" w:hAnsi="宋体" w:eastAsia="宋体" w:cs="Arial"/>
          <w:sz w:val="24"/>
          <w:szCs w:val="24"/>
          <w:highlight w:val="none"/>
        </w:rPr>
      </w:pPr>
      <w:r>
        <w:rPr>
          <w:rFonts w:hint="eastAsia" w:ascii="宋体" w:hAnsi="宋体" w:eastAsia="宋体" w:cs="Arial"/>
          <w:b/>
          <w:bCs/>
          <w:sz w:val="24"/>
          <w:szCs w:val="24"/>
          <w:highlight w:val="none"/>
        </w:rPr>
        <w:t>七、质疑和投诉</w:t>
      </w:r>
    </w:p>
    <w:p w14:paraId="473C12EE">
      <w:pPr>
        <w:widowControl w:val="0"/>
        <w:shd w:val="clear" w:color="auto" w:fill="FFFFFF"/>
        <w:spacing w:line="360" w:lineRule="auto"/>
        <w:ind w:firstLine="482" w:firstLineChars="200"/>
        <w:rPr>
          <w:rFonts w:ascii="宋体" w:hAnsi="宋体" w:eastAsia="宋体" w:cs="Arial"/>
          <w:b/>
          <w:bCs/>
          <w:sz w:val="24"/>
          <w:szCs w:val="24"/>
          <w:highlight w:val="none"/>
        </w:rPr>
      </w:pPr>
      <w:r>
        <w:rPr>
          <w:rFonts w:hint="eastAsia" w:ascii="宋体" w:hAnsi="宋体" w:eastAsia="宋体" w:cs="Arial"/>
          <w:b/>
          <w:bCs/>
          <w:sz w:val="24"/>
          <w:szCs w:val="24"/>
          <w:highlight w:val="none"/>
        </w:rPr>
        <w:t>25、质疑</w:t>
      </w:r>
    </w:p>
    <w:p w14:paraId="467CD5F5">
      <w:pPr>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25.1供应商对招标活动事项有疑问的，可以向招标代理机构提出询问，招标代理机构将依法作出答复，但答复的内容不涉及商业秘密。</w:t>
      </w:r>
    </w:p>
    <w:p w14:paraId="6C3B6133">
      <w:pPr>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25.2提出质疑的供应商应当是参与所质疑项目采购活动的供应商。潜在供应商已依法获取其可质疑的采购文件的，可以对该文件提出质疑。</w:t>
      </w:r>
    </w:p>
    <w:p w14:paraId="45CE1370">
      <w:pPr>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以联合体形式参加政府采购活动的，其质疑应当由组成联合体的所有供应商共同提出。</w:t>
      </w:r>
    </w:p>
    <w:p w14:paraId="72AB4A16">
      <w:pPr>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25.3供应商认为采购文件、采购过程和中标结果使自己的合法权益受到损害的，可以在知道或者应知其权益受到损害之日起七个工作日内，将质疑文件原件送达采购人或采购代理机构。</w:t>
      </w:r>
    </w:p>
    <w:p w14:paraId="79E12A50">
      <w:pPr>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p>
    <w:p w14:paraId="5EF01FE4">
      <w:pPr>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供应商必须在法定质疑期内一次性提出针对同一采购程序环节的质疑。</w:t>
      </w:r>
    </w:p>
    <w:p w14:paraId="262241CE">
      <w:pPr>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25.4 供应商提出质疑应当提交质疑函和必要的证明材料。质疑函应当包括下列内容：</w:t>
      </w:r>
    </w:p>
    <w:p w14:paraId="496158E9">
      <w:pPr>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（一）供应商的姓名或者名称、地址、邮编、联系人及联系电话；</w:t>
      </w:r>
    </w:p>
    <w:p w14:paraId="5675928A">
      <w:pPr>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（二）质疑项目的名称、编号；</w:t>
      </w:r>
    </w:p>
    <w:p w14:paraId="0F6085B5">
      <w:pPr>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（三）具体、明确的质疑事项和与质疑事项相关的请求（具体条款）；</w:t>
      </w:r>
    </w:p>
    <w:p w14:paraId="156BF0C3">
      <w:pPr>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（四）事实依据（具体条款）；</w:t>
      </w:r>
    </w:p>
    <w:p w14:paraId="6FEB8F84">
      <w:pPr>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（五）必要的法律依据（具体条款）；</w:t>
      </w:r>
    </w:p>
    <w:p w14:paraId="330B8E47">
      <w:pPr>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（六）提出质疑的日期。</w:t>
      </w:r>
    </w:p>
    <w:p w14:paraId="5AABFA5A">
      <w:pPr>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58FE85C0">
      <w:pPr>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质疑函应当使用中文。相关当事人提供外文书证或者外国语视听资料的，应当附有中文译本，由翻译机构盖章或者翻译人员签名。</w:t>
      </w:r>
    </w:p>
    <w:p w14:paraId="5A396D4D">
      <w:pPr>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25.5质疑函应当现场提交至采购代理机构联系人处，提交时应出示有效身份证明。未按上述要求提交质疑函的，质疑不予受理。</w:t>
      </w:r>
    </w:p>
    <w:p w14:paraId="344FD151">
      <w:pPr>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25.6投标人不得虚假质疑和恶意质疑，并对质疑内容的真实性承担责任。投标人或者利害关系人通过捏造事实、伪造证明材料等方式提出异议或投诉，阻碍招投标活动正常进行的，属于严重不良行为，代理机构将提请财政部门将其列入不良行为记录名单，并依法予以处罚。</w:t>
      </w:r>
    </w:p>
    <w:p w14:paraId="0B508AFD">
      <w:pPr>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25.7采购代理机构在收到投标人的书面质疑后将及时组织调查核实，在七个工作日内作出答复，并以书面或在网站公告形式通知质疑投标人和其他有关投标人，答复的内容不涉及商业秘密。</w:t>
      </w:r>
    </w:p>
    <w:p w14:paraId="45096ACB">
      <w:pPr>
        <w:widowControl w:val="0"/>
        <w:adjustRightInd w:val="0"/>
        <w:snapToGrid w:val="0"/>
        <w:spacing w:line="360" w:lineRule="auto"/>
        <w:ind w:firstLine="480" w:firstLineChars="200"/>
        <w:rPr>
          <w:rFonts w:ascii="宋体" w:hAnsi="宋体" w:eastAsia="宋体" w:cs="Times New Roman"/>
          <w:sz w:val="24"/>
          <w:highlight w:val="none"/>
          <w:lang w:val="zh-CN"/>
        </w:rPr>
      </w:pPr>
      <w:r>
        <w:rPr>
          <w:rFonts w:hint="eastAsia" w:ascii="宋体" w:hAnsi="宋体" w:cs="Times New Roman"/>
          <w:sz w:val="24"/>
          <w:highlight w:val="none"/>
        </w:rPr>
        <w:t>25.8</w:t>
      </w:r>
      <w:r>
        <w:rPr>
          <w:rFonts w:hint="eastAsia" w:ascii="宋体" w:hAnsi="宋体" w:eastAsia="宋体" w:cs="Times New Roman"/>
          <w:sz w:val="24"/>
          <w:highlight w:val="none"/>
          <w:lang w:val="zh-CN"/>
        </w:rPr>
        <w:t>以下情形的质疑不予受理：</w:t>
      </w:r>
    </w:p>
    <w:p w14:paraId="1AB84D03">
      <w:pPr>
        <w:widowControl w:val="0"/>
        <w:adjustRightInd w:val="0"/>
        <w:snapToGrid w:val="0"/>
        <w:spacing w:line="360" w:lineRule="auto"/>
        <w:ind w:firstLine="480" w:firstLineChars="200"/>
        <w:rPr>
          <w:rFonts w:ascii="宋体" w:hAnsi="宋体" w:eastAsia="宋体" w:cs="Times New Roman"/>
          <w:sz w:val="24"/>
          <w:highlight w:val="none"/>
          <w:lang w:val="zh-CN"/>
        </w:rPr>
      </w:pPr>
      <w:r>
        <w:rPr>
          <w:rFonts w:hint="eastAsia" w:ascii="宋体" w:hAnsi="宋体" w:cs="Times New Roman"/>
          <w:sz w:val="24"/>
          <w:highlight w:val="none"/>
        </w:rPr>
        <w:t>25.8.1</w:t>
      </w:r>
      <w:r>
        <w:rPr>
          <w:rFonts w:hint="eastAsia" w:ascii="宋体" w:hAnsi="宋体" w:eastAsia="宋体" w:cs="Times New Roman"/>
          <w:sz w:val="24"/>
          <w:highlight w:val="none"/>
          <w:lang w:val="zh-CN"/>
        </w:rPr>
        <w:t xml:space="preserve"> 超出政府采购法定期限的质疑。</w:t>
      </w:r>
    </w:p>
    <w:p w14:paraId="587ED3FB">
      <w:pPr>
        <w:widowControl w:val="0"/>
        <w:adjustRightInd w:val="0"/>
        <w:snapToGrid w:val="0"/>
        <w:spacing w:line="360" w:lineRule="auto"/>
        <w:ind w:firstLine="480" w:firstLineChars="200"/>
        <w:rPr>
          <w:rFonts w:ascii="宋体" w:hAnsi="宋体" w:eastAsia="宋体" w:cs="Times New Roman"/>
          <w:sz w:val="24"/>
          <w:highlight w:val="none"/>
          <w:lang w:val="zh-CN"/>
        </w:rPr>
      </w:pPr>
      <w:r>
        <w:rPr>
          <w:rFonts w:hint="eastAsia" w:ascii="宋体" w:hAnsi="宋体" w:cs="Times New Roman"/>
          <w:sz w:val="24"/>
          <w:highlight w:val="none"/>
        </w:rPr>
        <w:t>25.8</w:t>
      </w:r>
      <w:r>
        <w:rPr>
          <w:rFonts w:hint="eastAsia" w:ascii="宋体" w:hAnsi="宋体" w:eastAsia="宋体" w:cs="Times New Roman"/>
          <w:sz w:val="24"/>
          <w:highlight w:val="none"/>
        </w:rPr>
        <w:t>.2属于第30条规定的对</w:t>
      </w:r>
      <w:r>
        <w:rPr>
          <w:rFonts w:hint="eastAsia" w:ascii="宋体" w:hAnsi="宋体" w:eastAsia="宋体" w:cs="Times New Roman"/>
          <w:sz w:val="24"/>
          <w:highlight w:val="none"/>
          <w:lang w:val="zh-CN"/>
        </w:rPr>
        <w:t>同一采购程序环节提出</w:t>
      </w:r>
      <w:r>
        <w:rPr>
          <w:rFonts w:hint="eastAsia" w:ascii="宋体" w:hAnsi="宋体" w:eastAsia="宋体" w:cs="Times New Roman"/>
          <w:sz w:val="24"/>
          <w:highlight w:val="none"/>
        </w:rPr>
        <w:t>的多次</w:t>
      </w:r>
      <w:r>
        <w:rPr>
          <w:rFonts w:hint="eastAsia" w:ascii="宋体" w:hAnsi="宋体" w:eastAsia="宋体" w:cs="Times New Roman"/>
          <w:sz w:val="24"/>
          <w:highlight w:val="none"/>
          <w:lang w:val="zh-CN"/>
        </w:rPr>
        <w:t>质疑。</w:t>
      </w:r>
    </w:p>
    <w:p w14:paraId="102F04BD">
      <w:pPr>
        <w:widowControl w:val="0"/>
        <w:adjustRightInd w:val="0"/>
        <w:snapToGrid w:val="0"/>
        <w:spacing w:line="360" w:lineRule="auto"/>
        <w:ind w:firstLine="480" w:firstLineChars="200"/>
        <w:rPr>
          <w:rFonts w:ascii="宋体" w:hAnsi="宋体" w:eastAsia="宋体" w:cs="Times New Roman"/>
          <w:sz w:val="24"/>
          <w:highlight w:val="none"/>
          <w:lang w:val="zh-CN"/>
        </w:rPr>
      </w:pPr>
      <w:r>
        <w:rPr>
          <w:rFonts w:hint="eastAsia" w:ascii="宋体" w:hAnsi="宋体" w:cs="Times New Roman"/>
          <w:sz w:val="24"/>
          <w:highlight w:val="none"/>
        </w:rPr>
        <w:t>25.8.3</w:t>
      </w:r>
      <w:r>
        <w:rPr>
          <w:rFonts w:hint="eastAsia" w:ascii="宋体" w:hAnsi="宋体" w:eastAsia="宋体" w:cs="Times New Roman"/>
          <w:sz w:val="24"/>
          <w:highlight w:val="none"/>
          <w:lang w:val="zh-CN"/>
        </w:rPr>
        <w:t xml:space="preserve"> 法律法规规定的</w:t>
      </w:r>
      <w:r>
        <w:rPr>
          <w:rFonts w:hint="eastAsia" w:ascii="宋体" w:hAnsi="宋体" w:eastAsia="宋体" w:cs="Times New Roman"/>
          <w:sz w:val="24"/>
          <w:highlight w:val="none"/>
        </w:rPr>
        <w:t>其他</w:t>
      </w:r>
      <w:r>
        <w:rPr>
          <w:rFonts w:hint="eastAsia" w:ascii="宋体" w:hAnsi="宋体" w:eastAsia="宋体" w:cs="Times New Roman"/>
          <w:sz w:val="24"/>
          <w:highlight w:val="none"/>
          <w:lang w:val="zh-CN"/>
        </w:rPr>
        <w:t>不予受理情形。</w:t>
      </w:r>
    </w:p>
    <w:p w14:paraId="5C354517">
      <w:pPr>
        <w:widowControl w:val="0"/>
        <w:adjustRightInd w:val="0"/>
        <w:snapToGrid w:val="0"/>
        <w:spacing w:line="360" w:lineRule="auto"/>
        <w:ind w:firstLine="480" w:firstLineChars="200"/>
        <w:rPr>
          <w:rFonts w:ascii="宋体" w:hAnsi="宋体" w:eastAsia="宋体" w:cs="Times New Roman"/>
          <w:sz w:val="24"/>
          <w:highlight w:val="none"/>
          <w:lang w:val="zh-CN"/>
        </w:rPr>
      </w:pPr>
      <w:r>
        <w:rPr>
          <w:rFonts w:hint="eastAsia" w:ascii="宋体" w:hAnsi="宋体" w:cs="Times New Roman"/>
          <w:sz w:val="24"/>
          <w:highlight w:val="none"/>
        </w:rPr>
        <w:t>25.9</w:t>
      </w:r>
      <w:r>
        <w:rPr>
          <w:rFonts w:hint="eastAsia" w:ascii="宋体" w:hAnsi="宋体" w:cs="Times New Roman"/>
          <w:sz w:val="24"/>
          <w:highlight w:val="none"/>
          <w:lang w:val="zh-CN"/>
        </w:rPr>
        <w:t>投标人</w:t>
      </w:r>
      <w:r>
        <w:rPr>
          <w:rFonts w:hint="eastAsia" w:ascii="宋体" w:hAnsi="宋体" w:eastAsia="宋体" w:cs="Times New Roman"/>
          <w:sz w:val="24"/>
          <w:highlight w:val="none"/>
          <w:lang w:val="zh-CN"/>
        </w:rPr>
        <w:t>提出书面质疑必须有理、有据，不得捏造事实、提供虚假材料进行恶意质疑。否则，一经查实，采购人有权依据政府采购的有关规定，报请政府采购监管部门对该</w:t>
      </w:r>
      <w:r>
        <w:rPr>
          <w:rFonts w:hint="eastAsia" w:ascii="宋体" w:hAnsi="宋体" w:cs="Times New Roman"/>
          <w:sz w:val="24"/>
          <w:highlight w:val="none"/>
          <w:lang w:val="zh-CN"/>
        </w:rPr>
        <w:t>投标人</w:t>
      </w:r>
      <w:r>
        <w:rPr>
          <w:rFonts w:hint="eastAsia" w:ascii="宋体" w:hAnsi="宋体" w:eastAsia="宋体" w:cs="Times New Roman"/>
          <w:sz w:val="24"/>
          <w:highlight w:val="none"/>
          <w:lang w:val="zh-CN"/>
        </w:rPr>
        <w:t>进行相应的行政处罚和记录该</w:t>
      </w:r>
      <w:r>
        <w:rPr>
          <w:rFonts w:hint="eastAsia" w:ascii="宋体" w:hAnsi="宋体" w:cs="Times New Roman"/>
          <w:sz w:val="24"/>
          <w:highlight w:val="none"/>
          <w:lang w:val="zh-CN"/>
        </w:rPr>
        <w:t>投标人</w:t>
      </w:r>
      <w:r>
        <w:rPr>
          <w:rFonts w:hint="eastAsia" w:ascii="宋体" w:hAnsi="宋体" w:eastAsia="宋体" w:cs="Times New Roman"/>
          <w:sz w:val="24"/>
          <w:highlight w:val="none"/>
          <w:lang w:val="zh-CN"/>
        </w:rPr>
        <w:t>的失信信息。</w:t>
      </w:r>
    </w:p>
    <w:p w14:paraId="4E84FCB6">
      <w:pPr>
        <w:widowControl w:val="0"/>
        <w:shd w:val="clear" w:color="auto" w:fill="FFFFFF"/>
        <w:spacing w:line="360" w:lineRule="auto"/>
        <w:ind w:firstLine="482" w:firstLineChars="200"/>
        <w:rPr>
          <w:rFonts w:ascii="宋体" w:hAnsi="宋体" w:eastAsia="宋体" w:cs="Arial"/>
          <w:b/>
          <w:bCs/>
          <w:sz w:val="24"/>
          <w:szCs w:val="24"/>
          <w:highlight w:val="none"/>
        </w:rPr>
      </w:pPr>
      <w:r>
        <w:rPr>
          <w:rFonts w:hint="eastAsia" w:ascii="宋体" w:hAnsi="宋体" w:eastAsia="宋体" w:cs="Arial"/>
          <w:b/>
          <w:bCs/>
          <w:sz w:val="24"/>
          <w:szCs w:val="24"/>
          <w:highlight w:val="none"/>
        </w:rPr>
        <w:t>26、投诉</w:t>
      </w:r>
    </w:p>
    <w:p w14:paraId="6E383B3B">
      <w:pPr>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26.1质疑供应商对采购代理机构的答复不满意或者采购代理机构未在规定的时间内作出答复的，可以在答复期满后十五个工作日内向同级政府采购监督管理部门投诉。</w:t>
      </w:r>
    </w:p>
    <w:p w14:paraId="1844716D">
      <w:pPr>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26.2供应商投诉应当有明确的请求和必要的证明材料。供应商投诉的事项不得超出已质疑事项的范围。</w:t>
      </w:r>
    </w:p>
    <w:p w14:paraId="0D479D37">
      <w:pPr>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26.3投诉人对政府采购监督管理部门的投诉处理决定不服或者政府采购监督管理部门逾期未作处理的，可以依法申请行政复议或者向人民法院提起行政诉讼。</w:t>
      </w:r>
    </w:p>
    <w:p w14:paraId="1316D4C2">
      <w:pPr>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26.4 投诉人有下列行为之一的，属于严重失信行为，由财政部门列入不良行为记录名单，禁止其一至三年内参加政府采购活动。</w:t>
      </w:r>
    </w:p>
    <w:p w14:paraId="309E770E">
      <w:pPr>
        <w:shd w:val="clear" w:color="auto" w:fill="FFFFFF"/>
        <w:spacing w:line="360" w:lineRule="auto"/>
        <w:ind w:firstLine="420"/>
        <w:jc w:val="both"/>
        <w:rPr>
          <w:rFonts w:ascii="宋体" w:hAnsi="宋体" w:eastAsia="宋体" w:cs="Arial"/>
          <w:sz w:val="24"/>
          <w:szCs w:val="24"/>
          <w:highlight w:val="none"/>
        </w:rPr>
      </w:pPr>
      <w:r>
        <w:rPr>
          <w:rFonts w:hint="eastAsia" w:ascii="宋体" w:hAnsi="宋体" w:eastAsia="宋体" w:cs="Arial"/>
          <w:sz w:val="24"/>
          <w:szCs w:val="24"/>
          <w:highlight w:val="none"/>
        </w:rPr>
        <w:t>（1）投诉人在全国范围12个月内三次以上投诉查无实据的；</w:t>
      </w:r>
    </w:p>
    <w:p w14:paraId="3C8EBE09">
      <w:pPr>
        <w:shd w:val="clear" w:color="auto" w:fill="FFFFFF"/>
        <w:spacing w:line="360" w:lineRule="auto"/>
        <w:ind w:firstLine="420"/>
        <w:jc w:val="both"/>
        <w:rPr>
          <w:rFonts w:ascii="宋体" w:hAnsi="宋体" w:eastAsia="宋体" w:cs="Arial"/>
          <w:sz w:val="24"/>
          <w:szCs w:val="24"/>
          <w:highlight w:val="none"/>
        </w:rPr>
      </w:pPr>
      <w:r>
        <w:rPr>
          <w:rFonts w:hint="eastAsia" w:ascii="宋体" w:hAnsi="宋体" w:eastAsia="宋体" w:cs="Arial"/>
          <w:sz w:val="24"/>
          <w:szCs w:val="24"/>
          <w:highlight w:val="none"/>
        </w:rPr>
        <w:t>（2）采用捏造事实、提供虚假材料或者以非法手段取得证明材料等方式进行虚假、恶意投诉。</w:t>
      </w:r>
    </w:p>
    <w:p w14:paraId="79BB7A21">
      <w:pPr>
        <w:shd w:val="clear" w:color="auto" w:fill="FFFFFF"/>
        <w:spacing w:line="360" w:lineRule="auto"/>
        <w:ind w:firstLine="420"/>
        <w:jc w:val="both"/>
        <w:rPr>
          <w:rFonts w:ascii="宋体" w:hAnsi="宋体" w:eastAsia="宋体" w:cs="Arial"/>
          <w:sz w:val="24"/>
          <w:szCs w:val="24"/>
          <w:highlight w:val="none"/>
        </w:rPr>
      </w:pPr>
      <w:r>
        <w:rPr>
          <w:rFonts w:hint="eastAsia" w:ascii="宋体" w:hAnsi="宋体" w:eastAsia="宋体" w:cs="Arial"/>
          <w:sz w:val="24"/>
          <w:szCs w:val="24"/>
          <w:highlight w:val="none"/>
        </w:rPr>
        <w:t>证据来源的合法性存在明显疑问，投诉人无法证明其取得方式合法的，视为以非法手段取得证明材料。</w:t>
      </w:r>
    </w:p>
    <w:p w14:paraId="1BF2B13B">
      <w:pPr>
        <w:widowControl w:val="0"/>
        <w:shd w:val="clear" w:color="auto" w:fill="FFFFFF"/>
        <w:spacing w:line="360" w:lineRule="auto"/>
        <w:ind w:firstLine="482" w:firstLineChars="200"/>
        <w:rPr>
          <w:rFonts w:ascii="宋体" w:hAnsi="宋体" w:eastAsia="宋体" w:cs="Arial"/>
          <w:b/>
          <w:bCs/>
          <w:sz w:val="24"/>
          <w:szCs w:val="24"/>
          <w:highlight w:val="none"/>
          <w:lang w:val="zh-CN"/>
        </w:rPr>
      </w:pPr>
      <w:r>
        <w:rPr>
          <w:rFonts w:hint="eastAsia" w:ascii="宋体" w:hAnsi="宋体" w:eastAsia="宋体" w:cs="Arial"/>
          <w:b/>
          <w:bCs/>
          <w:sz w:val="24"/>
          <w:szCs w:val="24"/>
          <w:highlight w:val="none"/>
          <w:lang w:val="zh-CN"/>
        </w:rPr>
        <w:t>2</w:t>
      </w:r>
      <w:r>
        <w:rPr>
          <w:rFonts w:hint="eastAsia" w:ascii="宋体" w:hAnsi="宋体" w:eastAsia="宋体" w:cs="Arial"/>
          <w:b/>
          <w:bCs/>
          <w:sz w:val="24"/>
          <w:szCs w:val="24"/>
          <w:highlight w:val="none"/>
        </w:rPr>
        <w:t>7</w:t>
      </w:r>
      <w:r>
        <w:rPr>
          <w:rFonts w:hint="eastAsia" w:ascii="宋体" w:hAnsi="宋体" w:eastAsia="宋体" w:cs="Arial"/>
          <w:b/>
          <w:bCs/>
          <w:sz w:val="24"/>
          <w:szCs w:val="24"/>
          <w:highlight w:val="none"/>
          <w:lang w:val="zh-CN"/>
        </w:rPr>
        <w:t>.诚实信用</w:t>
      </w:r>
    </w:p>
    <w:p w14:paraId="3A4D8A18">
      <w:pPr>
        <w:shd w:val="clear" w:color="auto" w:fill="FFFFFF"/>
        <w:spacing w:line="360" w:lineRule="auto"/>
        <w:ind w:firstLine="480" w:firstLineChars="200"/>
        <w:jc w:val="both"/>
        <w:rPr>
          <w:rFonts w:ascii="宋体" w:hAnsi="宋体" w:eastAsia="宋体" w:cs="Arial"/>
          <w:sz w:val="24"/>
          <w:szCs w:val="24"/>
          <w:highlight w:val="none"/>
          <w:lang w:val="zh-CN"/>
        </w:rPr>
      </w:pPr>
      <w:r>
        <w:rPr>
          <w:rFonts w:hint="eastAsia" w:ascii="宋体" w:hAnsi="宋体" w:eastAsia="宋体" w:cs="Arial"/>
          <w:sz w:val="24"/>
          <w:szCs w:val="24"/>
          <w:highlight w:val="none"/>
          <w:lang w:val="zh-CN"/>
        </w:rPr>
        <w:t>2</w:t>
      </w:r>
      <w:r>
        <w:rPr>
          <w:rFonts w:hint="eastAsia" w:ascii="宋体" w:hAnsi="宋体" w:eastAsia="宋体" w:cs="Arial"/>
          <w:sz w:val="24"/>
          <w:szCs w:val="24"/>
          <w:highlight w:val="none"/>
        </w:rPr>
        <w:t>7</w:t>
      </w:r>
      <w:r>
        <w:rPr>
          <w:rFonts w:hint="eastAsia" w:ascii="宋体" w:hAnsi="宋体" w:eastAsia="宋体" w:cs="Arial"/>
          <w:sz w:val="24"/>
          <w:szCs w:val="24"/>
          <w:highlight w:val="none"/>
          <w:lang w:val="zh-CN"/>
        </w:rPr>
        <w:t>.1 供应商之间不得相互串通报价，不得妨碍其他供应商的公平竞争，不得损害采购人和其他供应商的合法权益。</w:t>
      </w:r>
    </w:p>
    <w:p w14:paraId="35697BB8">
      <w:pPr>
        <w:shd w:val="clear" w:color="auto" w:fill="FFFFFF"/>
        <w:spacing w:line="360" w:lineRule="auto"/>
        <w:ind w:firstLine="480" w:firstLineChars="200"/>
        <w:jc w:val="both"/>
        <w:rPr>
          <w:rFonts w:ascii="宋体" w:hAnsi="宋体" w:eastAsia="宋体" w:cs="Arial"/>
          <w:sz w:val="24"/>
          <w:szCs w:val="24"/>
          <w:highlight w:val="none"/>
          <w:lang w:val="zh-CN"/>
        </w:rPr>
      </w:pPr>
      <w:r>
        <w:rPr>
          <w:rFonts w:hint="eastAsia" w:ascii="宋体" w:hAnsi="宋体" w:eastAsia="宋体" w:cs="Arial"/>
          <w:sz w:val="24"/>
          <w:szCs w:val="24"/>
          <w:highlight w:val="none"/>
          <w:lang w:val="zh-CN"/>
        </w:rPr>
        <w:t>2</w:t>
      </w:r>
      <w:r>
        <w:rPr>
          <w:rFonts w:hint="eastAsia" w:ascii="宋体" w:hAnsi="宋体" w:eastAsia="宋体" w:cs="Arial"/>
          <w:sz w:val="24"/>
          <w:szCs w:val="24"/>
          <w:highlight w:val="none"/>
        </w:rPr>
        <w:t>7</w:t>
      </w:r>
      <w:r>
        <w:rPr>
          <w:rFonts w:hint="eastAsia" w:ascii="宋体" w:hAnsi="宋体" w:eastAsia="宋体" w:cs="Arial"/>
          <w:sz w:val="24"/>
          <w:szCs w:val="24"/>
          <w:highlight w:val="none"/>
          <w:lang w:val="zh-CN"/>
        </w:rPr>
        <w:t>.2 供应商不得以向采购代理机构工作人员、评标委员会成员行贿或者采取其他不正当手段谋取成交。经查实供应商有此行为的，政府采购管理部门将供应商列入不良行为记录名单，按照《政府采</w:t>
      </w:r>
      <w:r>
        <w:rPr>
          <w:rFonts w:hint="eastAsia" w:ascii="宋体" w:hAnsi="宋体" w:eastAsia="宋体" w:cs="Arial"/>
          <w:sz w:val="24"/>
          <w:szCs w:val="24"/>
          <w:highlight w:val="none"/>
        </w:rPr>
        <w:t>购法》有关规定处理。</w:t>
      </w:r>
    </w:p>
    <w:p w14:paraId="7680A40E">
      <w:pPr>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lang w:val="zh-CN"/>
        </w:rPr>
        <w:t>2</w:t>
      </w:r>
      <w:r>
        <w:rPr>
          <w:rFonts w:hint="eastAsia" w:ascii="宋体" w:hAnsi="宋体" w:eastAsia="宋体" w:cs="Arial"/>
          <w:sz w:val="24"/>
          <w:szCs w:val="24"/>
          <w:highlight w:val="none"/>
        </w:rPr>
        <w:t>7</w:t>
      </w:r>
      <w:r>
        <w:rPr>
          <w:rFonts w:hint="eastAsia" w:ascii="宋体" w:hAnsi="宋体" w:eastAsia="宋体" w:cs="Arial"/>
          <w:sz w:val="24"/>
          <w:szCs w:val="24"/>
          <w:highlight w:val="none"/>
          <w:lang w:val="zh-CN"/>
        </w:rPr>
        <w:t>.3 供应商不得虚假质疑和恶意质疑，并对质疑内容的真实性承担责任。</w:t>
      </w:r>
      <w:r>
        <w:rPr>
          <w:rFonts w:hint="eastAsia" w:ascii="宋体" w:hAnsi="宋体" w:eastAsia="宋体" w:cs="Arial"/>
          <w:sz w:val="24"/>
          <w:szCs w:val="24"/>
          <w:highlight w:val="none"/>
        </w:rPr>
        <w:t>供应商或者其他利害关系人通过捏造事实、伪造证明材料等方式提出异议或投诉，阻碍政府采购活动正常进行的，属于严重不良行为，采购代理机构将提请财政部门将其列入不良行为记录名单，并依法予以处罚。</w:t>
      </w:r>
    </w:p>
    <w:p w14:paraId="3135E722">
      <w:pPr>
        <w:shd w:val="clear" w:color="auto" w:fill="FFFFFF"/>
        <w:spacing w:line="360" w:lineRule="auto"/>
        <w:ind w:firstLine="480" w:firstLineChars="200"/>
        <w:jc w:val="both"/>
        <w:rPr>
          <w:rFonts w:ascii="宋体" w:hAnsi="宋体" w:eastAsia="宋体" w:cs="Arial"/>
          <w:sz w:val="24"/>
          <w:szCs w:val="24"/>
          <w:highlight w:val="none"/>
          <w:lang w:val="zh-CN"/>
        </w:rPr>
      </w:pPr>
      <w:r>
        <w:rPr>
          <w:rFonts w:hint="eastAsia" w:ascii="宋体" w:hAnsi="宋体" w:eastAsia="宋体" w:cs="Arial"/>
          <w:sz w:val="24"/>
          <w:szCs w:val="24"/>
          <w:highlight w:val="none"/>
          <w:lang w:val="zh-CN"/>
        </w:rPr>
        <w:t>2</w:t>
      </w:r>
      <w:r>
        <w:rPr>
          <w:rFonts w:hint="eastAsia" w:ascii="宋体" w:hAnsi="宋体" w:eastAsia="宋体" w:cs="Arial"/>
          <w:sz w:val="24"/>
          <w:szCs w:val="24"/>
          <w:highlight w:val="none"/>
        </w:rPr>
        <w:t>7</w:t>
      </w:r>
      <w:r>
        <w:rPr>
          <w:rFonts w:hint="eastAsia" w:ascii="宋体" w:hAnsi="宋体" w:eastAsia="宋体" w:cs="Arial"/>
          <w:sz w:val="24"/>
          <w:szCs w:val="24"/>
          <w:highlight w:val="none"/>
          <w:lang w:val="zh-CN"/>
        </w:rPr>
        <w:t>.4 供应商不得虚假承诺，否则，按照提供虚假材料谋取成交处理。</w:t>
      </w:r>
    </w:p>
    <w:p w14:paraId="191B2C01">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ascii="宋体" w:hAnsi="宋体" w:eastAsia="宋体" w:cs="宋体"/>
          <w:highlight w:val="none"/>
        </w:rPr>
      </w:pPr>
      <w:r>
        <w:rPr>
          <w:rFonts w:hint="eastAsia" w:ascii="宋体" w:hAnsi="宋体" w:eastAsia="宋体" w:cs="Arial"/>
          <w:sz w:val="24"/>
          <w:szCs w:val="24"/>
          <w:highlight w:val="none"/>
          <w:lang w:val="zh-CN"/>
        </w:rPr>
        <w:t>2</w:t>
      </w:r>
      <w:r>
        <w:rPr>
          <w:rFonts w:hint="eastAsia" w:ascii="宋体" w:hAnsi="宋体" w:eastAsia="宋体" w:cs="Arial"/>
          <w:sz w:val="24"/>
          <w:szCs w:val="24"/>
          <w:highlight w:val="none"/>
        </w:rPr>
        <w:t>7</w:t>
      </w:r>
      <w:r>
        <w:rPr>
          <w:rFonts w:hint="eastAsia" w:ascii="宋体" w:hAnsi="宋体" w:eastAsia="宋体" w:cs="Arial"/>
          <w:sz w:val="24"/>
          <w:szCs w:val="24"/>
          <w:highlight w:val="none"/>
          <w:lang w:val="zh-CN"/>
        </w:rPr>
        <w:t>.5 供应商应自觉遵守开标、评标纪律，扰乱开标评标现场秩序的，属于失信行为，根据《江苏省政府采购供应商监督管理暂行办法》，失信行为将被记入供应商诚信档案。</w:t>
      </w:r>
    </w:p>
    <w:p w14:paraId="2B5D82AC">
      <w:pPr>
        <w:pBdr>
          <w:top w:val="none" w:color="000000" w:sz="0" w:space="0"/>
          <w:left w:val="none" w:color="000000" w:sz="0" w:space="0"/>
          <w:bottom w:val="none" w:color="000000" w:sz="0" w:space="0"/>
          <w:right w:val="none" w:color="000000" w:sz="0" w:space="0"/>
        </w:pBdr>
        <w:rPr>
          <w:rFonts w:ascii="宋体" w:hAnsi="宋体" w:eastAsia="宋体" w:cs="宋体"/>
          <w:highlight w:val="none"/>
        </w:rPr>
      </w:pPr>
      <w:r>
        <w:rPr>
          <w:rFonts w:hint="eastAsia" w:ascii="宋体" w:hAnsi="宋体" w:eastAsia="宋体" w:cs="宋体"/>
          <w:highlight w:val="none"/>
        </w:rPr>
        <w:br w:type="page" w:clear="all"/>
      </w:r>
    </w:p>
    <w:p w14:paraId="22A127CE">
      <w:pPr>
        <w:pBdr>
          <w:top w:val="none" w:color="000000" w:sz="0" w:space="0"/>
          <w:left w:val="none" w:color="000000" w:sz="0" w:space="0"/>
          <w:bottom w:val="none" w:color="000000" w:sz="0" w:space="0"/>
          <w:right w:val="none" w:color="000000" w:sz="0" w:space="0"/>
        </w:pBdr>
        <w:ind w:right="840"/>
        <w:jc w:val="center"/>
        <w:outlineLvl w:val="0"/>
        <w:rPr>
          <w:rFonts w:ascii="宋体" w:hAnsi="宋体" w:eastAsia="宋体" w:cs="宋体"/>
          <w:highlight w:val="none"/>
        </w:rPr>
      </w:pPr>
      <w:bookmarkStart w:id="37" w:name="_Toc21217"/>
      <w:bookmarkStart w:id="38" w:name="_Toc13066"/>
      <w:bookmarkStart w:id="39" w:name="_Toc15659"/>
      <w:bookmarkStart w:id="40" w:name="_Toc8301"/>
      <w:r>
        <w:rPr>
          <w:rFonts w:hint="eastAsia" w:ascii="宋体" w:hAnsi="宋体" w:eastAsia="宋体" w:cs="宋体"/>
          <w:b/>
          <w:bCs/>
          <w:sz w:val="36"/>
          <w:highlight w:val="none"/>
        </w:rPr>
        <w:t>第三章  评标方法与评标标准</w:t>
      </w:r>
      <w:bookmarkEnd w:id="37"/>
      <w:bookmarkEnd w:id="38"/>
      <w:bookmarkEnd w:id="39"/>
      <w:bookmarkEnd w:id="40"/>
    </w:p>
    <w:p w14:paraId="1BBE6046">
      <w:pPr>
        <w:pBdr>
          <w:top w:val="none" w:color="000000" w:sz="0" w:space="0"/>
          <w:left w:val="none" w:color="000000" w:sz="0" w:space="0"/>
          <w:bottom w:val="none" w:color="000000" w:sz="0" w:space="0"/>
          <w:right w:val="none" w:color="000000" w:sz="0" w:space="0"/>
        </w:pBdr>
        <w:spacing w:line="62" w:lineRule="atLeast"/>
        <w:ind w:firstLine="480"/>
        <w:jc w:val="both"/>
        <w:rPr>
          <w:rFonts w:ascii="宋体" w:hAnsi="宋体" w:eastAsia="宋体" w:cs="宋体"/>
          <w:highlight w:val="none"/>
        </w:rPr>
      </w:pPr>
      <w:r>
        <w:rPr>
          <w:rFonts w:hint="eastAsia" w:ascii="宋体" w:hAnsi="宋体" w:eastAsia="宋体" w:cs="宋体"/>
          <w:sz w:val="24"/>
          <w:highlight w:val="none"/>
        </w:rPr>
        <w:t> </w:t>
      </w:r>
    </w:p>
    <w:p w14:paraId="424B1EB9">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highlight w:val="none"/>
        </w:rPr>
      </w:pPr>
      <w:r>
        <w:rPr>
          <w:rFonts w:hint="eastAsia" w:ascii="宋体" w:hAnsi="宋体" w:eastAsia="宋体" w:cs="宋体"/>
          <w:sz w:val="24"/>
          <w:highlight w:val="none"/>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评标委员会根据排名确定中标候选人。     </w:t>
      </w:r>
    </w:p>
    <w:tbl>
      <w:tblPr>
        <w:tblStyle w:val="37"/>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37"/>
        <w:gridCol w:w="1249"/>
        <w:gridCol w:w="5863"/>
        <w:gridCol w:w="1093"/>
      </w:tblGrid>
      <w:tr w14:paraId="0BBF17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412" w:type="pct"/>
            <w:vAlign w:val="center"/>
          </w:tcPr>
          <w:p w14:paraId="4FC45FB9">
            <w:pPr>
              <w:widowControl w:val="0"/>
              <w:spacing w:line="360" w:lineRule="auto"/>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rPr>
              <w:t>序号</w:t>
            </w:r>
          </w:p>
        </w:tc>
        <w:tc>
          <w:tcPr>
            <w:tcW w:w="698" w:type="pct"/>
            <w:vAlign w:val="center"/>
          </w:tcPr>
          <w:p w14:paraId="27595D23">
            <w:pPr>
              <w:widowControl w:val="0"/>
              <w:spacing w:line="360" w:lineRule="auto"/>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rPr>
              <w:t>评审因素</w:t>
            </w:r>
          </w:p>
        </w:tc>
        <w:tc>
          <w:tcPr>
            <w:tcW w:w="3277" w:type="pct"/>
            <w:vAlign w:val="center"/>
          </w:tcPr>
          <w:p w14:paraId="696D01BF">
            <w:pPr>
              <w:widowControl w:val="0"/>
              <w:spacing w:line="360" w:lineRule="auto"/>
              <w:jc w:val="center"/>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rPr>
              <w:t>评审标准</w:t>
            </w:r>
          </w:p>
        </w:tc>
        <w:tc>
          <w:tcPr>
            <w:tcW w:w="611" w:type="pct"/>
            <w:vAlign w:val="center"/>
          </w:tcPr>
          <w:p w14:paraId="6296D472">
            <w:pPr>
              <w:widowControl w:val="0"/>
              <w:spacing w:line="360" w:lineRule="auto"/>
              <w:jc w:val="center"/>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rPr>
              <w:t>分值</w:t>
            </w:r>
          </w:p>
        </w:tc>
      </w:tr>
      <w:tr w14:paraId="0B1B03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412" w:type="pct"/>
            <w:vAlign w:val="center"/>
          </w:tcPr>
          <w:p w14:paraId="584D5102">
            <w:pPr>
              <w:widowControl w:val="0"/>
              <w:spacing w:line="360" w:lineRule="auto"/>
              <w:jc w:val="center"/>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rPr>
              <w:t>1</w:t>
            </w:r>
          </w:p>
        </w:tc>
        <w:tc>
          <w:tcPr>
            <w:tcW w:w="698" w:type="pct"/>
            <w:vAlign w:val="center"/>
          </w:tcPr>
          <w:p w14:paraId="1E2239D0">
            <w:pPr>
              <w:widowControl w:val="0"/>
              <w:spacing w:line="360" w:lineRule="auto"/>
              <w:jc w:val="center"/>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rPr>
              <w:t>价格</w:t>
            </w:r>
          </w:p>
        </w:tc>
        <w:tc>
          <w:tcPr>
            <w:tcW w:w="3277" w:type="pct"/>
            <w:vAlign w:val="center"/>
          </w:tcPr>
          <w:p w14:paraId="3C17032B">
            <w:pPr>
              <w:widowControl w:val="0"/>
              <w:spacing w:line="360" w:lineRule="auto"/>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rPr>
              <w:t>满足采购文件要求且投标单价最低的投标报价为评标基准价，其价格分为10分。其他供应商的价格分统一按下列公式计算：投标报价得分=（评标基准价/投标报价）×10（小数点保留两位）</w:t>
            </w:r>
          </w:p>
          <w:p w14:paraId="61756BEA">
            <w:pPr>
              <w:widowControl w:val="0"/>
              <w:spacing w:line="360" w:lineRule="auto"/>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rPr>
              <w:t>报价包含食材费和管理费，管理费用必须保障管理运营、人员工资最低费用。</w:t>
            </w:r>
          </w:p>
        </w:tc>
        <w:tc>
          <w:tcPr>
            <w:tcW w:w="611" w:type="pct"/>
            <w:vAlign w:val="center"/>
          </w:tcPr>
          <w:p w14:paraId="23F685AC">
            <w:pPr>
              <w:widowControl w:val="0"/>
              <w:spacing w:line="360" w:lineRule="auto"/>
              <w:jc w:val="center"/>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rPr>
              <w:t>10</w:t>
            </w:r>
          </w:p>
        </w:tc>
      </w:tr>
      <w:tr w14:paraId="5EDD29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412" w:type="pct"/>
            <w:vAlign w:val="center"/>
          </w:tcPr>
          <w:p w14:paraId="49F321CD">
            <w:pPr>
              <w:widowControl w:val="0"/>
              <w:spacing w:line="360" w:lineRule="auto"/>
              <w:jc w:val="center"/>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rPr>
              <w:t>2</w:t>
            </w:r>
          </w:p>
        </w:tc>
        <w:tc>
          <w:tcPr>
            <w:tcW w:w="698" w:type="pct"/>
            <w:vAlign w:val="center"/>
          </w:tcPr>
          <w:p w14:paraId="6F671801">
            <w:pPr>
              <w:widowControl w:val="0"/>
              <w:spacing w:line="360" w:lineRule="auto"/>
              <w:jc w:val="center"/>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rPr>
              <w:t>业绩</w:t>
            </w:r>
          </w:p>
        </w:tc>
        <w:tc>
          <w:tcPr>
            <w:tcW w:w="3277" w:type="pct"/>
            <w:vAlign w:val="center"/>
          </w:tcPr>
          <w:p w14:paraId="37E9260B">
            <w:pPr>
              <w:widowControl w:val="0"/>
              <w:spacing w:line="360" w:lineRule="auto"/>
              <w:rPr>
                <w:rFonts w:hint="eastAsia"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rPr>
              <w:t xml:space="preserve">供应商自 2023 年 11 月 1 日以来具有政府机关或企事业单位或园区食堂餐饮管理服务业绩的，每项业绩甲方须不重复，同一甲方仅计 1 次得分，每个 </w:t>
            </w:r>
            <w:r>
              <w:rPr>
                <w:rFonts w:hint="eastAsia" w:ascii="宋体" w:hAnsi="宋体" w:eastAsia="宋体" w:cs="黑体"/>
                <w:bCs/>
                <w:color w:val="000000"/>
                <w:sz w:val="24"/>
                <w:szCs w:val="24"/>
                <w:highlight w:val="none"/>
                <w:lang w:val="en-US" w:eastAsia="zh-CN"/>
              </w:rPr>
              <w:t>3</w:t>
            </w:r>
            <w:r>
              <w:rPr>
                <w:rFonts w:hint="eastAsia" w:ascii="宋体" w:hAnsi="宋体" w:eastAsia="宋体" w:cs="黑体"/>
                <w:bCs/>
                <w:color w:val="000000"/>
                <w:sz w:val="24"/>
                <w:szCs w:val="24"/>
                <w:highlight w:val="none"/>
              </w:rPr>
              <w:t xml:space="preserve"> 分，满分 </w:t>
            </w:r>
            <w:r>
              <w:rPr>
                <w:rFonts w:hint="eastAsia" w:ascii="宋体" w:hAnsi="宋体" w:eastAsia="宋体" w:cs="黑体"/>
                <w:bCs/>
                <w:color w:val="000000"/>
                <w:sz w:val="24"/>
                <w:szCs w:val="24"/>
                <w:highlight w:val="none"/>
                <w:lang w:val="en-US" w:eastAsia="zh-CN"/>
              </w:rPr>
              <w:t>9</w:t>
            </w:r>
            <w:r>
              <w:rPr>
                <w:rFonts w:hint="eastAsia" w:ascii="宋体" w:hAnsi="宋体" w:eastAsia="宋体" w:cs="黑体"/>
                <w:bCs/>
                <w:color w:val="000000"/>
                <w:sz w:val="24"/>
                <w:szCs w:val="24"/>
                <w:highlight w:val="none"/>
              </w:rPr>
              <w:t xml:space="preserve"> 分。(提供中标通知书、合同、相应发票、银行回单等证明文件原件扫描件，时间以合同签订时间为准，原件签订合同时备查)</w:t>
            </w:r>
          </w:p>
          <w:p w14:paraId="064CF6C5">
            <w:pPr>
              <w:widowControl w:val="0"/>
              <w:spacing w:line="360" w:lineRule="auto"/>
              <w:rPr>
                <w:rFonts w:hint="eastAsia"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rPr>
              <w:t>注：</w:t>
            </w:r>
          </w:p>
          <w:p w14:paraId="10544AA6">
            <w:pPr>
              <w:widowControl w:val="0"/>
              <w:spacing w:line="360" w:lineRule="auto"/>
              <w:rPr>
                <w:rFonts w:hint="eastAsia"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rPr>
              <w:t>1、同一甲方指同一独立法人单位；同一法人下属不同分支机构、分公司签订的合同，视为同一甲方，仅计取 1 次得分。</w:t>
            </w:r>
          </w:p>
          <w:p w14:paraId="5186A5D2">
            <w:pPr>
              <w:widowControl w:val="0"/>
              <w:spacing w:line="360" w:lineRule="auto"/>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rPr>
              <w:t>2、食堂餐饮管理服务业绩，指具有固定食堂场地，提供食堂现场托管、食堂整体运营管理服务的业绩；合同同时包含食材配送、食堂保洁等配套服务的可予认可，但仅提供食材配送、保洁维保、纯盒饭外送等业绩不属于本项认可业绩。</w:t>
            </w:r>
          </w:p>
        </w:tc>
        <w:tc>
          <w:tcPr>
            <w:tcW w:w="611" w:type="pct"/>
            <w:vAlign w:val="center"/>
          </w:tcPr>
          <w:p w14:paraId="07DC67A3">
            <w:pPr>
              <w:widowControl w:val="0"/>
              <w:spacing w:line="360" w:lineRule="auto"/>
              <w:jc w:val="center"/>
              <w:rPr>
                <w:rFonts w:hint="eastAsia" w:ascii="宋体" w:hAnsi="宋体" w:eastAsia="宋体" w:cs="黑体"/>
                <w:bCs/>
                <w:color w:val="000000"/>
                <w:sz w:val="24"/>
                <w:szCs w:val="24"/>
                <w:highlight w:val="none"/>
                <w:lang w:val="en-US" w:eastAsia="zh-CN"/>
              </w:rPr>
            </w:pPr>
          </w:p>
          <w:p w14:paraId="0BA2D1BE">
            <w:pPr>
              <w:widowControl w:val="0"/>
              <w:spacing w:line="360" w:lineRule="auto"/>
              <w:jc w:val="center"/>
              <w:rPr>
                <w:rFonts w:hint="eastAsia" w:ascii="宋体" w:hAnsi="宋体" w:eastAsia="宋体" w:cs="黑体"/>
                <w:bCs/>
                <w:color w:val="000000"/>
                <w:sz w:val="24"/>
                <w:szCs w:val="24"/>
                <w:highlight w:val="none"/>
                <w:lang w:eastAsia="zh-CN"/>
              </w:rPr>
            </w:pPr>
            <w:r>
              <w:rPr>
                <w:rFonts w:hint="eastAsia" w:ascii="宋体" w:hAnsi="宋体" w:eastAsia="宋体" w:cs="黑体"/>
                <w:bCs/>
                <w:color w:val="000000"/>
                <w:sz w:val="24"/>
                <w:szCs w:val="24"/>
                <w:highlight w:val="none"/>
                <w:lang w:val="en-US" w:eastAsia="zh-CN"/>
              </w:rPr>
              <w:t>9</w:t>
            </w:r>
          </w:p>
        </w:tc>
      </w:tr>
      <w:tr w14:paraId="176781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412" w:type="pct"/>
            <w:vAlign w:val="center"/>
          </w:tcPr>
          <w:p w14:paraId="51CAB30B">
            <w:pPr>
              <w:pStyle w:val="216"/>
              <w:spacing w:after="0" w:line="360" w:lineRule="auto"/>
              <w:jc w:val="center"/>
              <w:rPr>
                <w:rFonts w:eastAsia="宋体" w:cs="黑体"/>
                <w:bCs/>
                <w:sz w:val="24"/>
                <w:szCs w:val="24"/>
                <w:highlight w:val="none"/>
                <w:lang w:eastAsia="zh-CN"/>
              </w:rPr>
            </w:pPr>
            <w:r>
              <w:rPr>
                <w:rFonts w:hint="eastAsia" w:eastAsia="宋体" w:cs="黑体"/>
                <w:bCs/>
                <w:sz w:val="24"/>
                <w:szCs w:val="24"/>
                <w:highlight w:val="none"/>
                <w:lang w:eastAsia="zh-CN"/>
              </w:rPr>
              <w:t>3</w:t>
            </w:r>
          </w:p>
        </w:tc>
        <w:tc>
          <w:tcPr>
            <w:tcW w:w="698" w:type="pct"/>
            <w:vAlign w:val="center"/>
          </w:tcPr>
          <w:p w14:paraId="6C08F9F1">
            <w:pPr>
              <w:pStyle w:val="216"/>
              <w:spacing w:after="0" w:line="360" w:lineRule="auto"/>
              <w:jc w:val="center"/>
              <w:rPr>
                <w:rFonts w:eastAsia="宋体" w:cs="黑体"/>
                <w:bCs/>
                <w:sz w:val="24"/>
                <w:szCs w:val="24"/>
                <w:highlight w:val="none"/>
                <w:lang w:eastAsia="zh-CN"/>
              </w:rPr>
            </w:pPr>
            <w:r>
              <w:rPr>
                <w:rFonts w:hint="eastAsia" w:eastAsia="宋体" w:cs="黑体"/>
                <w:bCs/>
                <w:sz w:val="24"/>
                <w:szCs w:val="24"/>
                <w:highlight w:val="none"/>
                <w:lang w:eastAsia="zh-CN"/>
              </w:rPr>
              <w:t>食品安全责任</w:t>
            </w:r>
          </w:p>
        </w:tc>
        <w:tc>
          <w:tcPr>
            <w:tcW w:w="3277" w:type="pct"/>
            <w:vAlign w:val="center"/>
          </w:tcPr>
          <w:p w14:paraId="30C981C3">
            <w:pPr>
              <w:pStyle w:val="216"/>
              <w:spacing w:after="0" w:line="360" w:lineRule="auto"/>
              <w:rPr>
                <w:rFonts w:eastAsia="宋体" w:cs="黑体"/>
                <w:bCs/>
                <w:sz w:val="24"/>
                <w:szCs w:val="24"/>
                <w:highlight w:val="none"/>
                <w:lang w:eastAsia="zh-CN"/>
              </w:rPr>
            </w:pPr>
            <w:r>
              <w:rPr>
                <w:rFonts w:hint="eastAsia" w:eastAsia="宋体" w:cs="黑体"/>
                <w:bCs/>
                <w:sz w:val="24"/>
                <w:szCs w:val="24"/>
                <w:highlight w:val="none"/>
                <w:lang w:eastAsia="zh-CN"/>
              </w:rPr>
              <w:t>承诺中标后办理食堂经营场所公众责任险不低于 200万元的得</w:t>
            </w:r>
            <w:r>
              <w:rPr>
                <w:rFonts w:hint="eastAsia" w:eastAsia="宋体" w:cs="黑体"/>
                <w:bCs/>
                <w:sz w:val="24"/>
                <w:szCs w:val="24"/>
                <w:highlight w:val="none"/>
                <w:lang w:val="en-US" w:eastAsia="zh-CN"/>
              </w:rPr>
              <w:t>1</w:t>
            </w:r>
            <w:r>
              <w:rPr>
                <w:rFonts w:hint="eastAsia" w:eastAsia="宋体" w:cs="黑体"/>
                <w:bCs/>
                <w:sz w:val="24"/>
                <w:szCs w:val="24"/>
                <w:highlight w:val="none"/>
                <w:lang w:eastAsia="zh-CN"/>
              </w:rPr>
              <w:t>分；办理食品安全责任险保额不低于200万元的得</w:t>
            </w:r>
            <w:r>
              <w:rPr>
                <w:rFonts w:hint="eastAsia" w:eastAsia="宋体" w:cs="黑体"/>
                <w:bCs/>
                <w:sz w:val="24"/>
                <w:szCs w:val="24"/>
                <w:highlight w:val="none"/>
                <w:lang w:val="en-US" w:eastAsia="zh-CN"/>
              </w:rPr>
              <w:t>1</w:t>
            </w:r>
            <w:r>
              <w:rPr>
                <w:rFonts w:hint="eastAsia" w:eastAsia="宋体" w:cs="黑体"/>
                <w:bCs/>
                <w:sz w:val="24"/>
                <w:szCs w:val="24"/>
                <w:highlight w:val="none"/>
                <w:lang w:eastAsia="zh-CN"/>
              </w:rPr>
              <w:t>分。满分</w:t>
            </w:r>
            <w:r>
              <w:rPr>
                <w:rFonts w:hint="eastAsia" w:eastAsia="宋体" w:cs="黑体"/>
                <w:bCs/>
                <w:sz w:val="24"/>
                <w:szCs w:val="24"/>
                <w:highlight w:val="none"/>
                <w:lang w:val="en-US" w:eastAsia="zh-CN"/>
              </w:rPr>
              <w:t>2</w:t>
            </w:r>
            <w:r>
              <w:rPr>
                <w:rFonts w:hint="eastAsia" w:eastAsia="宋体" w:cs="黑体"/>
                <w:bCs/>
                <w:sz w:val="24"/>
                <w:szCs w:val="24"/>
                <w:highlight w:val="none"/>
                <w:lang w:eastAsia="zh-CN"/>
              </w:rPr>
              <w:t>分。(须提供承诺书原件，格式自拟)</w:t>
            </w:r>
          </w:p>
        </w:tc>
        <w:tc>
          <w:tcPr>
            <w:tcW w:w="611" w:type="pct"/>
            <w:vAlign w:val="center"/>
          </w:tcPr>
          <w:p w14:paraId="1B2A61B7">
            <w:pPr>
              <w:pStyle w:val="216"/>
              <w:spacing w:after="0" w:line="360" w:lineRule="auto"/>
              <w:jc w:val="center"/>
              <w:rPr>
                <w:rFonts w:eastAsia="宋体" w:cs="黑体"/>
                <w:bCs/>
                <w:sz w:val="24"/>
                <w:szCs w:val="24"/>
                <w:highlight w:val="none"/>
                <w:lang w:eastAsia="zh-CN"/>
              </w:rPr>
            </w:pPr>
            <w:r>
              <w:rPr>
                <w:rFonts w:hint="eastAsia" w:eastAsia="宋体" w:cs="黑体"/>
                <w:bCs/>
                <w:sz w:val="24"/>
                <w:szCs w:val="24"/>
                <w:highlight w:val="none"/>
                <w:lang w:val="en-US" w:eastAsia="zh-CN"/>
              </w:rPr>
              <w:t>2</w:t>
            </w:r>
          </w:p>
        </w:tc>
      </w:tr>
      <w:tr w14:paraId="4D6DC1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8" w:hRule="atLeast"/>
          <w:jc w:val="center"/>
        </w:trPr>
        <w:tc>
          <w:tcPr>
            <w:tcW w:w="412" w:type="pct"/>
            <w:vAlign w:val="center"/>
          </w:tcPr>
          <w:p w14:paraId="43792F2C">
            <w:pPr>
              <w:widowControl w:val="0"/>
              <w:spacing w:line="360" w:lineRule="auto"/>
              <w:jc w:val="center"/>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rPr>
              <w:t>4</w:t>
            </w:r>
          </w:p>
        </w:tc>
        <w:tc>
          <w:tcPr>
            <w:tcW w:w="698" w:type="pct"/>
            <w:vAlign w:val="center"/>
          </w:tcPr>
          <w:p w14:paraId="0480B950">
            <w:pPr>
              <w:widowControl w:val="0"/>
              <w:spacing w:line="360" w:lineRule="auto"/>
              <w:jc w:val="center"/>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rPr>
              <w:t>业绩评价</w:t>
            </w:r>
          </w:p>
        </w:tc>
        <w:tc>
          <w:tcPr>
            <w:tcW w:w="3277" w:type="pct"/>
            <w:vAlign w:val="center"/>
          </w:tcPr>
          <w:p w14:paraId="4F594EE2">
            <w:pPr>
              <w:widowControl w:val="0"/>
              <w:spacing w:line="360" w:lineRule="auto"/>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rPr>
              <w:t>投标人提供上述 2 业绩对应的服务单位出具的满意度证明材料（履约优秀、满意等同等级评价）1个得2分，最多6分。</w:t>
            </w:r>
          </w:p>
          <w:p w14:paraId="4122EEDB">
            <w:pPr>
              <w:widowControl w:val="0"/>
              <w:spacing w:line="360" w:lineRule="auto"/>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rPr>
              <w:t>注：本项满意度证明材料须为本章上述第 2 项业绩评审项中已提供的对应业绩项目；未在业绩项中提供的项目，其满意度证明不予计分。证明材料须加盖服务单位公章，缺项或未提供不得分</w:t>
            </w:r>
          </w:p>
        </w:tc>
        <w:tc>
          <w:tcPr>
            <w:tcW w:w="611" w:type="pct"/>
            <w:vAlign w:val="center"/>
          </w:tcPr>
          <w:p w14:paraId="293BF329">
            <w:pPr>
              <w:widowControl w:val="0"/>
              <w:spacing w:line="360" w:lineRule="auto"/>
              <w:jc w:val="center"/>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rPr>
              <w:t>6</w:t>
            </w:r>
          </w:p>
        </w:tc>
      </w:tr>
      <w:tr w14:paraId="3B224F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jc w:val="center"/>
        </w:trPr>
        <w:tc>
          <w:tcPr>
            <w:tcW w:w="412" w:type="pct"/>
            <w:vMerge w:val="restart"/>
            <w:vAlign w:val="center"/>
          </w:tcPr>
          <w:p w14:paraId="442D1906">
            <w:pPr>
              <w:widowControl w:val="0"/>
              <w:spacing w:line="360" w:lineRule="auto"/>
              <w:jc w:val="center"/>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rPr>
              <w:t>5</w:t>
            </w:r>
          </w:p>
        </w:tc>
        <w:tc>
          <w:tcPr>
            <w:tcW w:w="698" w:type="pct"/>
            <w:vMerge w:val="restart"/>
            <w:vAlign w:val="center"/>
          </w:tcPr>
          <w:p w14:paraId="4E04921B">
            <w:pPr>
              <w:widowControl w:val="0"/>
              <w:spacing w:line="360" w:lineRule="auto"/>
              <w:jc w:val="center"/>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rPr>
              <w:t>人员配备</w:t>
            </w:r>
          </w:p>
        </w:tc>
        <w:tc>
          <w:tcPr>
            <w:tcW w:w="3277" w:type="pct"/>
            <w:vAlign w:val="center"/>
          </w:tcPr>
          <w:p w14:paraId="538D6488">
            <w:pPr>
              <w:widowControl w:val="0"/>
              <w:spacing w:line="360" w:lineRule="auto"/>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rPr>
              <w:t>1、项目负责人</w:t>
            </w:r>
            <w:r>
              <w:rPr>
                <w:rFonts w:hint="eastAsia" w:ascii="宋体" w:hAnsi="宋体" w:eastAsia="宋体" w:cs="黑体"/>
                <w:bCs/>
                <w:color w:val="000000"/>
                <w:sz w:val="24"/>
                <w:szCs w:val="24"/>
                <w:highlight w:val="none"/>
                <w:lang w:eastAsia="zh-CN"/>
              </w:rPr>
              <w:t>（</w:t>
            </w:r>
            <w:r>
              <w:rPr>
                <w:rFonts w:hint="eastAsia" w:ascii="宋体" w:hAnsi="宋体" w:eastAsia="宋体" w:cs="黑体"/>
                <w:bCs/>
                <w:color w:val="000000"/>
                <w:sz w:val="24"/>
                <w:szCs w:val="24"/>
                <w:highlight w:val="none"/>
              </w:rPr>
              <w:t>年龄35-50（含）周岁</w:t>
            </w:r>
            <w:r>
              <w:rPr>
                <w:rFonts w:hint="eastAsia" w:ascii="宋体" w:hAnsi="宋体" w:eastAsia="宋体" w:cs="黑体"/>
                <w:bCs/>
                <w:color w:val="000000"/>
                <w:sz w:val="24"/>
                <w:szCs w:val="24"/>
                <w:highlight w:val="none"/>
                <w:lang w:eastAsia="zh-CN"/>
              </w:rPr>
              <w:t>）</w:t>
            </w:r>
            <w:r>
              <w:rPr>
                <w:rFonts w:hint="eastAsia" w:ascii="宋体" w:hAnsi="宋体" w:eastAsia="宋体" w:cs="黑体"/>
                <w:bCs/>
                <w:color w:val="000000"/>
                <w:sz w:val="24"/>
                <w:szCs w:val="24"/>
                <w:highlight w:val="none"/>
              </w:rPr>
              <w:t>：具有食堂服务经验5年及以上得2分；具有大专及以上学历得1分；具有食品安全管理员或食品安全管理师或食品安全总监证书得2分。满分5分。</w:t>
            </w:r>
          </w:p>
        </w:tc>
        <w:tc>
          <w:tcPr>
            <w:tcW w:w="611" w:type="pct"/>
            <w:vMerge w:val="restart"/>
            <w:vAlign w:val="center"/>
          </w:tcPr>
          <w:p w14:paraId="2826C1DA">
            <w:pPr>
              <w:widowControl w:val="0"/>
              <w:spacing w:line="360" w:lineRule="auto"/>
              <w:jc w:val="center"/>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rPr>
              <w:t>15</w:t>
            </w:r>
          </w:p>
        </w:tc>
      </w:tr>
      <w:tr w14:paraId="0DA8A7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6" w:hRule="atLeast"/>
          <w:jc w:val="center"/>
        </w:trPr>
        <w:tc>
          <w:tcPr>
            <w:tcW w:w="412" w:type="pct"/>
            <w:vMerge w:val="continue"/>
            <w:vAlign w:val="center"/>
          </w:tcPr>
          <w:p w14:paraId="731FF66F">
            <w:pPr>
              <w:widowControl w:val="0"/>
              <w:spacing w:line="360" w:lineRule="auto"/>
              <w:jc w:val="center"/>
              <w:rPr>
                <w:rFonts w:ascii="宋体" w:hAnsi="宋体" w:eastAsia="宋体" w:cs="黑体"/>
                <w:bCs/>
                <w:color w:val="000000"/>
                <w:sz w:val="24"/>
                <w:szCs w:val="24"/>
                <w:highlight w:val="none"/>
              </w:rPr>
            </w:pPr>
          </w:p>
        </w:tc>
        <w:tc>
          <w:tcPr>
            <w:tcW w:w="698" w:type="pct"/>
            <w:vMerge w:val="continue"/>
            <w:vAlign w:val="center"/>
          </w:tcPr>
          <w:p w14:paraId="2F08E0CB">
            <w:pPr>
              <w:widowControl w:val="0"/>
              <w:spacing w:line="360" w:lineRule="auto"/>
              <w:jc w:val="center"/>
              <w:rPr>
                <w:rFonts w:ascii="宋体" w:hAnsi="宋体" w:eastAsia="宋体" w:cs="黑体"/>
                <w:bCs/>
                <w:color w:val="000000"/>
                <w:sz w:val="24"/>
                <w:szCs w:val="24"/>
                <w:highlight w:val="none"/>
              </w:rPr>
            </w:pPr>
          </w:p>
        </w:tc>
        <w:tc>
          <w:tcPr>
            <w:tcW w:w="3277" w:type="pct"/>
            <w:vAlign w:val="center"/>
          </w:tcPr>
          <w:p w14:paraId="3C8D1DAA">
            <w:pPr>
              <w:widowControl w:val="0"/>
              <w:spacing w:line="360" w:lineRule="auto"/>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rPr>
              <w:t>2、厨师长</w:t>
            </w:r>
            <w:r>
              <w:rPr>
                <w:rFonts w:hint="eastAsia" w:ascii="宋体" w:hAnsi="宋体" w:eastAsia="宋体" w:cs="黑体"/>
                <w:bCs/>
                <w:color w:val="000000"/>
                <w:sz w:val="24"/>
                <w:szCs w:val="24"/>
                <w:highlight w:val="none"/>
                <w:lang w:eastAsia="zh-CN"/>
              </w:rPr>
              <w:t>（</w:t>
            </w:r>
            <w:r>
              <w:rPr>
                <w:rFonts w:hint="eastAsia" w:ascii="宋体" w:hAnsi="宋体" w:eastAsia="宋体" w:cs="黑体"/>
                <w:bCs/>
                <w:color w:val="000000"/>
                <w:sz w:val="24"/>
                <w:szCs w:val="24"/>
                <w:highlight w:val="none"/>
              </w:rPr>
              <w:t>年龄50周岁及以下</w:t>
            </w:r>
            <w:r>
              <w:rPr>
                <w:rFonts w:hint="eastAsia" w:ascii="宋体" w:hAnsi="宋体" w:eastAsia="宋体" w:cs="黑体"/>
                <w:bCs/>
                <w:color w:val="000000"/>
                <w:sz w:val="24"/>
                <w:szCs w:val="24"/>
                <w:highlight w:val="none"/>
                <w:lang w:eastAsia="zh-CN"/>
              </w:rPr>
              <w:t>）</w:t>
            </w:r>
            <w:r>
              <w:rPr>
                <w:rFonts w:hint="eastAsia" w:ascii="宋体" w:hAnsi="宋体" w:eastAsia="宋体" w:cs="黑体"/>
                <w:bCs/>
                <w:color w:val="000000"/>
                <w:sz w:val="24"/>
                <w:szCs w:val="24"/>
                <w:highlight w:val="none"/>
              </w:rPr>
              <w:t>：具有食堂服务经验3年及以上得2分；具有中式烹饪国家职业资格一级得2分，中式烹饪国家职业资格二级得1分，其他不得分。满分4分。</w:t>
            </w:r>
          </w:p>
        </w:tc>
        <w:tc>
          <w:tcPr>
            <w:tcW w:w="611" w:type="pct"/>
            <w:vMerge w:val="continue"/>
            <w:vAlign w:val="center"/>
          </w:tcPr>
          <w:p w14:paraId="2D88FA3D">
            <w:pPr>
              <w:widowControl w:val="0"/>
              <w:spacing w:line="360" w:lineRule="auto"/>
              <w:jc w:val="center"/>
              <w:rPr>
                <w:rFonts w:ascii="宋体" w:hAnsi="宋体" w:eastAsia="宋体" w:cs="黑体"/>
                <w:bCs/>
                <w:color w:val="000000"/>
                <w:sz w:val="24"/>
                <w:szCs w:val="24"/>
                <w:highlight w:val="none"/>
              </w:rPr>
            </w:pPr>
          </w:p>
        </w:tc>
      </w:tr>
      <w:tr w14:paraId="55E1D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6" w:hRule="atLeast"/>
          <w:jc w:val="center"/>
        </w:trPr>
        <w:tc>
          <w:tcPr>
            <w:tcW w:w="412" w:type="pct"/>
            <w:vMerge w:val="continue"/>
            <w:vAlign w:val="center"/>
          </w:tcPr>
          <w:p w14:paraId="50BC5554">
            <w:pPr>
              <w:widowControl w:val="0"/>
              <w:spacing w:line="360" w:lineRule="auto"/>
              <w:jc w:val="center"/>
              <w:rPr>
                <w:rFonts w:ascii="宋体" w:hAnsi="宋体" w:eastAsia="宋体" w:cs="黑体"/>
                <w:bCs/>
                <w:color w:val="000000"/>
                <w:sz w:val="24"/>
                <w:szCs w:val="24"/>
                <w:highlight w:val="none"/>
              </w:rPr>
            </w:pPr>
          </w:p>
        </w:tc>
        <w:tc>
          <w:tcPr>
            <w:tcW w:w="698" w:type="pct"/>
            <w:vMerge w:val="continue"/>
            <w:vAlign w:val="center"/>
          </w:tcPr>
          <w:p w14:paraId="3310C11D">
            <w:pPr>
              <w:widowControl w:val="0"/>
              <w:spacing w:line="360" w:lineRule="auto"/>
              <w:jc w:val="center"/>
              <w:rPr>
                <w:rFonts w:ascii="宋体" w:hAnsi="宋体" w:eastAsia="宋体" w:cs="黑体"/>
                <w:bCs/>
                <w:color w:val="000000"/>
                <w:sz w:val="24"/>
                <w:szCs w:val="24"/>
                <w:highlight w:val="none"/>
              </w:rPr>
            </w:pPr>
          </w:p>
        </w:tc>
        <w:tc>
          <w:tcPr>
            <w:tcW w:w="3277" w:type="pct"/>
            <w:vAlign w:val="center"/>
          </w:tcPr>
          <w:p w14:paraId="18004978">
            <w:pPr>
              <w:widowControl w:val="0"/>
              <w:spacing w:line="360" w:lineRule="auto"/>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rPr>
              <w:t>3、厨师：具有食堂服务经验3年及以上得1分；具有中式烹饪师国家职业资格四级及以上的，每提供一个得1分，本项最多得2分。满分3分。</w:t>
            </w:r>
          </w:p>
        </w:tc>
        <w:tc>
          <w:tcPr>
            <w:tcW w:w="611" w:type="pct"/>
            <w:vMerge w:val="continue"/>
            <w:vAlign w:val="center"/>
          </w:tcPr>
          <w:p w14:paraId="3799DD6C">
            <w:pPr>
              <w:widowControl w:val="0"/>
              <w:spacing w:line="360" w:lineRule="auto"/>
              <w:jc w:val="center"/>
              <w:rPr>
                <w:rFonts w:ascii="宋体" w:hAnsi="宋体" w:eastAsia="宋体" w:cs="黑体"/>
                <w:bCs/>
                <w:color w:val="000000"/>
                <w:sz w:val="24"/>
                <w:szCs w:val="24"/>
                <w:highlight w:val="none"/>
              </w:rPr>
            </w:pPr>
          </w:p>
        </w:tc>
      </w:tr>
      <w:tr w14:paraId="691A2F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jc w:val="center"/>
        </w:trPr>
        <w:tc>
          <w:tcPr>
            <w:tcW w:w="412" w:type="pct"/>
            <w:vMerge w:val="continue"/>
            <w:vAlign w:val="center"/>
          </w:tcPr>
          <w:p w14:paraId="37DCCC3E">
            <w:pPr>
              <w:widowControl w:val="0"/>
              <w:spacing w:line="360" w:lineRule="auto"/>
              <w:jc w:val="center"/>
              <w:rPr>
                <w:rFonts w:ascii="宋体" w:hAnsi="宋体" w:eastAsia="宋体" w:cs="黑体"/>
                <w:bCs/>
                <w:color w:val="000000"/>
                <w:sz w:val="24"/>
                <w:szCs w:val="24"/>
                <w:highlight w:val="none"/>
              </w:rPr>
            </w:pPr>
          </w:p>
        </w:tc>
        <w:tc>
          <w:tcPr>
            <w:tcW w:w="698" w:type="pct"/>
            <w:vMerge w:val="continue"/>
            <w:vAlign w:val="center"/>
          </w:tcPr>
          <w:p w14:paraId="40ADA066">
            <w:pPr>
              <w:widowControl w:val="0"/>
              <w:spacing w:line="360" w:lineRule="auto"/>
              <w:jc w:val="center"/>
              <w:rPr>
                <w:rFonts w:ascii="宋体" w:hAnsi="宋体" w:eastAsia="宋体" w:cs="黑体"/>
                <w:bCs/>
                <w:color w:val="000000"/>
                <w:sz w:val="24"/>
                <w:szCs w:val="24"/>
                <w:highlight w:val="none"/>
              </w:rPr>
            </w:pPr>
          </w:p>
        </w:tc>
        <w:tc>
          <w:tcPr>
            <w:tcW w:w="3277" w:type="pct"/>
            <w:vAlign w:val="center"/>
          </w:tcPr>
          <w:p w14:paraId="0A14C35B">
            <w:pPr>
              <w:widowControl w:val="0"/>
              <w:spacing w:line="360" w:lineRule="auto"/>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rPr>
              <w:t>4、面点师：具有食堂服务经验3年及以上得1分；具有四级及以上中式面点师证书的得2分。满分3分。</w:t>
            </w:r>
          </w:p>
        </w:tc>
        <w:tc>
          <w:tcPr>
            <w:tcW w:w="611" w:type="pct"/>
            <w:vMerge w:val="continue"/>
            <w:vAlign w:val="center"/>
          </w:tcPr>
          <w:p w14:paraId="27FD1AAA">
            <w:pPr>
              <w:widowControl w:val="0"/>
              <w:spacing w:line="360" w:lineRule="auto"/>
              <w:jc w:val="center"/>
              <w:rPr>
                <w:rFonts w:ascii="宋体" w:hAnsi="宋体" w:eastAsia="宋体" w:cs="黑体"/>
                <w:bCs/>
                <w:color w:val="000000"/>
                <w:sz w:val="24"/>
                <w:szCs w:val="24"/>
                <w:highlight w:val="none"/>
              </w:rPr>
            </w:pPr>
          </w:p>
        </w:tc>
      </w:tr>
      <w:tr w14:paraId="120679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1" w:hRule="atLeast"/>
          <w:jc w:val="center"/>
        </w:trPr>
        <w:tc>
          <w:tcPr>
            <w:tcW w:w="412" w:type="pct"/>
            <w:vMerge w:val="continue"/>
            <w:vAlign w:val="center"/>
          </w:tcPr>
          <w:p w14:paraId="22EF5B86">
            <w:pPr>
              <w:widowControl w:val="0"/>
              <w:spacing w:line="360" w:lineRule="auto"/>
              <w:jc w:val="center"/>
              <w:rPr>
                <w:rFonts w:ascii="宋体" w:hAnsi="宋体" w:eastAsia="宋体" w:cs="黑体"/>
                <w:bCs/>
                <w:color w:val="000000"/>
                <w:sz w:val="24"/>
                <w:szCs w:val="24"/>
                <w:highlight w:val="none"/>
              </w:rPr>
            </w:pPr>
          </w:p>
        </w:tc>
        <w:tc>
          <w:tcPr>
            <w:tcW w:w="698" w:type="pct"/>
            <w:vMerge w:val="continue"/>
            <w:vAlign w:val="center"/>
          </w:tcPr>
          <w:p w14:paraId="6AC7C653">
            <w:pPr>
              <w:widowControl w:val="0"/>
              <w:spacing w:line="360" w:lineRule="auto"/>
              <w:jc w:val="center"/>
              <w:rPr>
                <w:rFonts w:ascii="宋体" w:hAnsi="宋体" w:eastAsia="宋体" w:cs="黑体"/>
                <w:bCs/>
                <w:color w:val="000000"/>
                <w:sz w:val="24"/>
                <w:szCs w:val="24"/>
                <w:highlight w:val="none"/>
              </w:rPr>
            </w:pPr>
          </w:p>
        </w:tc>
        <w:tc>
          <w:tcPr>
            <w:tcW w:w="3277" w:type="pct"/>
            <w:vAlign w:val="center"/>
          </w:tcPr>
          <w:p w14:paraId="2EAF5FC2">
            <w:pPr>
              <w:widowControl w:val="0"/>
              <w:spacing w:line="360" w:lineRule="auto"/>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rPr>
              <w:t>上传以上人员证书、相关证明材料、社保证明原件扫描件，同一人员持有多种证书不重复计分，提供以上人员投标截止时间近半年内（2026年</w:t>
            </w:r>
            <w:r>
              <w:rPr>
                <w:rFonts w:hint="eastAsia" w:ascii="宋体" w:hAnsi="宋体" w:eastAsia="宋体" w:cs="黑体"/>
                <w:bCs/>
                <w:color w:val="000000"/>
                <w:sz w:val="24"/>
                <w:szCs w:val="24"/>
                <w:highlight w:val="none"/>
                <w:lang w:val="en-US" w:eastAsia="zh-CN"/>
              </w:rPr>
              <w:t>5</w:t>
            </w:r>
            <w:r>
              <w:rPr>
                <w:rFonts w:hint="eastAsia" w:ascii="宋体" w:hAnsi="宋体" w:eastAsia="宋体" w:cs="黑体"/>
                <w:bCs/>
                <w:color w:val="000000"/>
                <w:sz w:val="24"/>
                <w:szCs w:val="24"/>
                <w:highlight w:val="none"/>
              </w:rPr>
              <w:t>月至2026年10月）的社保证明，未提供社保证明不得分。</w:t>
            </w:r>
          </w:p>
        </w:tc>
        <w:tc>
          <w:tcPr>
            <w:tcW w:w="611" w:type="pct"/>
            <w:vMerge w:val="continue"/>
            <w:vAlign w:val="center"/>
          </w:tcPr>
          <w:p w14:paraId="2DC06879">
            <w:pPr>
              <w:widowControl w:val="0"/>
              <w:spacing w:line="360" w:lineRule="auto"/>
              <w:jc w:val="center"/>
              <w:rPr>
                <w:rFonts w:ascii="宋体" w:hAnsi="宋体" w:eastAsia="宋体" w:cs="黑体"/>
                <w:bCs/>
                <w:color w:val="000000"/>
                <w:sz w:val="24"/>
                <w:szCs w:val="24"/>
                <w:highlight w:val="none"/>
              </w:rPr>
            </w:pPr>
          </w:p>
        </w:tc>
      </w:tr>
      <w:tr w14:paraId="01C375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1" w:hRule="atLeast"/>
          <w:jc w:val="center"/>
        </w:trPr>
        <w:tc>
          <w:tcPr>
            <w:tcW w:w="412" w:type="pct"/>
            <w:vAlign w:val="center"/>
          </w:tcPr>
          <w:p w14:paraId="78343105">
            <w:pPr>
              <w:widowControl w:val="0"/>
              <w:spacing w:line="360" w:lineRule="auto"/>
              <w:jc w:val="center"/>
              <w:rPr>
                <w:rFonts w:hint="eastAsia" w:ascii="宋体" w:hAnsi="宋体" w:eastAsia="宋体" w:cs="黑体"/>
                <w:bCs/>
                <w:color w:val="000000"/>
                <w:sz w:val="24"/>
                <w:szCs w:val="24"/>
                <w:highlight w:val="none"/>
                <w:lang w:val="en-US" w:eastAsia="zh-CN"/>
              </w:rPr>
            </w:pPr>
            <w:r>
              <w:rPr>
                <w:rFonts w:hint="eastAsia" w:ascii="宋体" w:hAnsi="宋体" w:eastAsia="宋体" w:cs="黑体"/>
                <w:bCs/>
                <w:color w:val="000000"/>
                <w:sz w:val="24"/>
                <w:szCs w:val="24"/>
                <w:highlight w:val="none"/>
                <w:lang w:val="en-US" w:eastAsia="zh-CN"/>
              </w:rPr>
              <w:t>6</w:t>
            </w:r>
          </w:p>
        </w:tc>
        <w:tc>
          <w:tcPr>
            <w:tcW w:w="698" w:type="pct"/>
            <w:shd w:val="clear" w:color="auto" w:fill="auto"/>
            <w:vAlign w:val="center"/>
          </w:tcPr>
          <w:p w14:paraId="2EE54376">
            <w:pPr>
              <w:keepNext w:val="0"/>
              <w:keepLines w:val="0"/>
              <w:pageBreakBefore w:val="0"/>
              <w:kinsoku/>
              <w:wordWrap/>
              <w:overflowPunct/>
              <w:topLinePunct w:val="0"/>
              <w:autoSpaceDE/>
              <w:autoSpaceDN/>
              <w:bidi w:val="0"/>
              <w:adjustRightInd/>
              <w:snapToGrid/>
              <w:spacing w:after="0"/>
              <w:jc w:val="center"/>
              <w:textAlignment w:val="auto"/>
              <w:rPr>
                <w:rFonts w:hint="eastAsia" w:ascii="宋体" w:hAnsi="宋体" w:eastAsia="宋体" w:cs="宋体"/>
                <w:sz w:val="24"/>
                <w:szCs w:val="24"/>
                <w:highlight w:val="none"/>
                <w:lang w:val="en-US" w:eastAsia="zh-CN" w:bidi="ar-SA"/>
              </w:rPr>
            </w:pPr>
            <w:r>
              <w:rPr>
                <w:rFonts w:hint="eastAsia"/>
                <w:color w:val="000000" w:themeColor="text1"/>
                <w:sz w:val="24"/>
                <w:szCs w:val="24"/>
                <w:highlight w:val="none"/>
                <w14:textFill>
                  <w14:solidFill>
                    <w14:schemeClr w14:val="tx1"/>
                  </w14:solidFill>
                </w14:textFill>
              </w:rPr>
              <w:t>食品原材料质量保证</w:t>
            </w:r>
          </w:p>
        </w:tc>
        <w:tc>
          <w:tcPr>
            <w:tcW w:w="3277" w:type="pct"/>
            <w:shd w:val="clear" w:color="auto" w:fill="auto"/>
            <w:vAlign w:val="center"/>
          </w:tcPr>
          <w:p w14:paraId="7328C255">
            <w:pPr>
              <w:keepNext w:val="0"/>
              <w:keepLines w:val="0"/>
              <w:pageBreakBefore w:val="0"/>
              <w:kinsoku/>
              <w:wordWrap/>
              <w:overflowPunct/>
              <w:topLinePunct w:val="0"/>
              <w:autoSpaceDE/>
              <w:autoSpaceDN/>
              <w:bidi w:val="0"/>
              <w:adjustRightInd/>
              <w:snapToGrid/>
              <w:spacing w:after="0"/>
              <w:textAlignment w:val="auto"/>
              <w:rPr>
                <w:rFonts w:hint="eastAsia" w:ascii="宋体" w:hAnsi="宋体" w:eastAsia="宋体" w:cs="宋体"/>
                <w:sz w:val="24"/>
                <w:szCs w:val="24"/>
                <w:highlight w:val="none"/>
                <w:lang w:val="zh-CN" w:eastAsia="zh-CN"/>
              </w:rPr>
            </w:pPr>
            <w:r>
              <w:rPr>
                <w:rFonts w:hint="eastAsia" w:ascii="宋体" w:hAnsi="宋体" w:cs="宋体"/>
                <w:sz w:val="24"/>
                <w:szCs w:val="24"/>
                <w:highlight w:val="none"/>
                <w:lang w:val="en-US" w:eastAsia="zh-CN"/>
              </w:rPr>
              <w:t>投标人</w:t>
            </w:r>
            <w:r>
              <w:rPr>
                <w:rFonts w:hint="eastAsia" w:ascii="宋体" w:hAnsi="宋体" w:eastAsia="宋体" w:cs="宋体"/>
                <w:sz w:val="24"/>
                <w:szCs w:val="24"/>
                <w:highlight w:val="none"/>
                <w:lang w:val="zh-CN" w:eastAsia="zh-CN"/>
              </w:rPr>
              <w:t>有伙食原材料供应基地或合作的伙食原材料供应渠道的，有1个得1分，最高得</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zh-CN" w:eastAsia="zh-CN"/>
              </w:rPr>
              <w:t>分（提供相关证明资料）；</w:t>
            </w:r>
          </w:p>
          <w:p w14:paraId="605BF8DC">
            <w:pPr>
              <w:keepNext w:val="0"/>
              <w:keepLines w:val="0"/>
              <w:pageBreakBefore w:val="0"/>
              <w:kinsoku/>
              <w:wordWrap/>
              <w:overflowPunct/>
              <w:topLinePunct w:val="0"/>
              <w:autoSpaceDE/>
              <w:autoSpaceDN/>
              <w:bidi w:val="0"/>
              <w:adjustRightInd/>
              <w:snapToGrid/>
              <w:spacing w:after="0"/>
              <w:textAlignment w:val="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未提供得0分。</w:t>
            </w:r>
          </w:p>
          <w:p w14:paraId="6BAEC9AA">
            <w:pPr>
              <w:keepNext w:val="0"/>
              <w:keepLines w:val="0"/>
              <w:pageBreakBefore w:val="0"/>
              <w:kinsoku/>
              <w:wordWrap/>
              <w:overflowPunct/>
              <w:topLinePunct w:val="0"/>
              <w:autoSpaceDE/>
              <w:autoSpaceDN/>
              <w:bidi w:val="0"/>
              <w:adjustRightInd/>
              <w:snapToGrid/>
              <w:spacing w:after="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注：1.</w:t>
            </w:r>
            <w:r>
              <w:rPr>
                <w:rFonts w:hint="eastAsia" w:ascii="宋体" w:hAnsi="宋体" w:eastAsia="宋体" w:cs="宋体"/>
                <w:sz w:val="24"/>
                <w:szCs w:val="24"/>
                <w:highlight w:val="none"/>
                <w:lang w:val="zh-CN" w:eastAsia="zh-CN"/>
              </w:rPr>
              <w:t>证明资料</w:t>
            </w:r>
            <w:r>
              <w:rPr>
                <w:rFonts w:hint="eastAsia" w:ascii="宋体" w:hAnsi="宋体" w:eastAsia="宋体" w:cs="宋体"/>
                <w:sz w:val="24"/>
                <w:szCs w:val="24"/>
                <w:highlight w:val="none"/>
                <w:lang w:val="en-US" w:eastAsia="zh-CN"/>
              </w:rPr>
              <w:t>中应明确种类（</w:t>
            </w:r>
            <w:bookmarkStart w:id="163" w:name="_GoBack"/>
            <w:bookmarkEnd w:id="163"/>
            <w:r>
              <w:rPr>
                <w:rFonts w:hint="eastAsia" w:ascii="宋体" w:hAnsi="宋体" w:eastAsia="宋体" w:cs="宋体"/>
                <w:sz w:val="24"/>
                <w:szCs w:val="24"/>
                <w:highlight w:val="none"/>
                <w:lang w:val="en-US" w:eastAsia="zh-CN"/>
              </w:rPr>
              <w:t>如：蔬菜、禽肉、水产品、调味品等）；</w:t>
            </w:r>
          </w:p>
          <w:p w14:paraId="1FBCDE45">
            <w:pPr>
              <w:keepNext w:val="0"/>
              <w:keepLines w:val="0"/>
              <w:pageBreakBefore w:val="0"/>
              <w:kinsoku/>
              <w:wordWrap/>
              <w:overflowPunct/>
              <w:topLinePunct w:val="0"/>
              <w:autoSpaceDE/>
              <w:autoSpaceDN/>
              <w:bidi w:val="0"/>
              <w:adjustRightInd/>
              <w:snapToGrid/>
              <w:spacing w:after="0"/>
              <w:textAlignment w:val="auto"/>
              <w:rPr>
                <w:rFonts w:hint="eastAsia" w:asciiTheme="minorHAnsi" w:hAnsiTheme="minorHAnsi" w:eastAsiaTheme="minorEastAsia" w:cstheme="minorBidi"/>
                <w:sz w:val="24"/>
                <w:szCs w:val="24"/>
                <w:highlight w:val="none"/>
                <w:lang w:val="en-US" w:eastAsia="zh-CN" w:bidi="ar-SA"/>
              </w:rPr>
            </w:pPr>
            <w:r>
              <w:rPr>
                <w:rFonts w:hint="eastAsia" w:ascii="宋体" w:hAnsi="宋体" w:eastAsia="宋体" w:cs="宋体"/>
                <w:sz w:val="24"/>
                <w:szCs w:val="24"/>
                <w:highlight w:val="none"/>
                <w:lang w:val="en-US" w:eastAsia="zh-CN"/>
              </w:rPr>
              <w:t>2.提供各供应渠道的供货合同或者合作协议并加盖投标人公章</w:t>
            </w:r>
          </w:p>
        </w:tc>
        <w:tc>
          <w:tcPr>
            <w:tcW w:w="611" w:type="pct"/>
            <w:shd w:val="clear" w:color="auto" w:fill="auto"/>
            <w:vAlign w:val="center"/>
          </w:tcPr>
          <w:p w14:paraId="2AC155BE">
            <w:pPr>
              <w:keepNext w:val="0"/>
              <w:keepLines w:val="0"/>
              <w:pageBreakBefore w:val="0"/>
              <w:kinsoku/>
              <w:wordWrap/>
              <w:overflowPunct/>
              <w:topLinePunct w:val="0"/>
              <w:autoSpaceDE/>
              <w:autoSpaceDN/>
              <w:bidi w:val="0"/>
              <w:adjustRightInd/>
              <w:snapToGrid/>
              <w:spacing w:after="0"/>
              <w:textAlignment w:val="auto"/>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4</w:t>
            </w:r>
          </w:p>
        </w:tc>
      </w:tr>
      <w:tr w14:paraId="46BD20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412" w:type="pct"/>
            <w:vAlign w:val="center"/>
          </w:tcPr>
          <w:p w14:paraId="3D3517F8">
            <w:pPr>
              <w:widowControl w:val="0"/>
              <w:spacing w:line="360" w:lineRule="auto"/>
              <w:jc w:val="center"/>
              <w:rPr>
                <w:rFonts w:hint="eastAsia" w:ascii="宋体" w:hAnsi="宋体" w:eastAsia="宋体" w:cs="黑体"/>
                <w:bCs/>
                <w:color w:val="000000"/>
                <w:sz w:val="24"/>
                <w:szCs w:val="24"/>
                <w:highlight w:val="none"/>
                <w:lang w:val="en-US" w:eastAsia="zh-CN"/>
              </w:rPr>
            </w:pPr>
            <w:r>
              <w:rPr>
                <w:rFonts w:hint="eastAsia" w:ascii="宋体" w:hAnsi="宋体" w:eastAsia="宋体" w:cs="黑体"/>
                <w:bCs/>
                <w:color w:val="000000"/>
                <w:sz w:val="24"/>
                <w:szCs w:val="24"/>
                <w:highlight w:val="none"/>
                <w:lang w:val="en-US" w:eastAsia="zh-CN"/>
              </w:rPr>
              <w:t>7</w:t>
            </w:r>
          </w:p>
        </w:tc>
        <w:tc>
          <w:tcPr>
            <w:tcW w:w="698" w:type="pct"/>
            <w:vAlign w:val="center"/>
          </w:tcPr>
          <w:p w14:paraId="556DBE95">
            <w:pPr>
              <w:widowControl w:val="0"/>
              <w:spacing w:line="360" w:lineRule="auto"/>
              <w:jc w:val="center"/>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rPr>
              <w:t>总体方案</w:t>
            </w:r>
          </w:p>
        </w:tc>
        <w:tc>
          <w:tcPr>
            <w:tcW w:w="3277" w:type="pct"/>
          </w:tcPr>
          <w:p w14:paraId="586C95BF">
            <w:pPr>
              <w:widowControl w:val="0"/>
              <w:spacing w:line="360" w:lineRule="auto"/>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rPr>
              <w:t>根据采购人需求，对供应商服务方案横向比较，包括总体服务方案、食品质量控制方案、服务质量控制方案、卫生管理控制方案（食品卫生、人员卫生、环境卫生、垃圾处理方案等）、餐厅环境管理方案、原材料采购管理方案、成本控制方案、投诉处理方案、消防治安及意外事故处理方案、营养健康食堂创建方案以及其他服务措施、质量管理措施的合理性、合规性进行综合评审。</w:t>
            </w:r>
          </w:p>
          <w:p w14:paraId="1010C424">
            <w:pPr>
              <w:widowControl w:val="0"/>
              <w:spacing w:line="360" w:lineRule="auto"/>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lang w:val="en-US" w:eastAsia="zh-CN"/>
              </w:rPr>
              <w:t>1、</w:t>
            </w:r>
            <w:r>
              <w:rPr>
                <w:rFonts w:hint="eastAsia" w:ascii="宋体" w:hAnsi="宋体" w:eastAsia="宋体" w:cs="黑体"/>
                <w:bCs/>
                <w:color w:val="000000"/>
                <w:sz w:val="24"/>
                <w:szCs w:val="24"/>
                <w:highlight w:val="none"/>
              </w:rPr>
              <w:t>完整包含全部11项子方案内容；全部内容结合本项目食堂实际场景编制，有具体管控流程、管控节点、管控手段，可直接落地执行；不存在照搬通用模板、无项目针对性的内容。</w:t>
            </w:r>
            <w:r>
              <w:rPr>
                <w:rFonts w:hint="eastAsia" w:ascii="宋体" w:hAnsi="宋体" w:eastAsia="宋体" w:cs="黑体"/>
                <w:b/>
                <w:bCs w:val="0"/>
                <w:color w:val="000000"/>
                <w:sz w:val="24"/>
                <w:szCs w:val="24"/>
                <w:highlight w:val="none"/>
              </w:rPr>
              <w:t>得8分；</w:t>
            </w:r>
          </w:p>
          <w:p w14:paraId="6470642F">
            <w:pPr>
              <w:widowControl w:val="0"/>
              <w:spacing w:line="360" w:lineRule="auto"/>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lang w:val="en-US" w:eastAsia="zh-CN"/>
              </w:rPr>
              <w:t>2、缺少1-2项子方案；其余方案内容完整，具备明确工作流程与管控手段，大部分内容结合本项目实际，少量内容为通用模板，整体可以落地实施。</w:t>
            </w:r>
            <w:r>
              <w:rPr>
                <w:rFonts w:hint="eastAsia" w:ascii="宋体" w:hAnsi="宋体" w:eastAsia="宋体" w:cs="黑体"/>
                <w:b/>
                <w:bCs w:val="0"/>
                <w:color w:val="000000"/>
                <w:sz w:val="24"/>
                <w:szCs w:val="24"/>
                <w:highlight w:val="none"/>
              </w:rPr>
              <w:t>得6分；</w:t>
            </w:r>
          </w:p>
          <w:p w14:paraId="55BEAB82">
            <w:pPr>
              <w:widowControl w:val="0"/>
              <w:spacing w:line="360" w:lineRule="auto"/>
              <w:rPr>
                <w:rFonts w:ascii="宋体" w:hAnsi="宋体" w:eastAsia="宋体" w:cs="黑体"/>
                <w:b/>
                <w:bCs w:val="0"/>
                <w:color w:val="000000"/>
                <w:sz w:val="24"/>
                <w:szCs w:val="24"/>
                <w:highlight w:val="none"/>
              </w:rPr>
            </w:pPr>
            <w:r>
              <w:rPr>
                <w:rFonts w:hint="eastAsia" w:ascii="宋体" w:hAnsi="宋体" w:eastAsia="宋体" w:cs="黑体"/>
                <w:bCs/>
                <w:color w:val="000000"/>
                <w:sz w:val="24"/>
                <w:szCs w:val="24"/>
                <w:highlight w:val="none"/>
                <w:lang w:val="en-US" w:eastAsia="zh-CN"/>
              </w:rPr>
              <w:t>3、</w:t>
            </w:r>
            <w:r>
              <w:rPr>
                <w:rFonts w:hint="eastAsia" w:ascii="宋体" w:hAnsi="宋体" w:eastAsia="宋体" w:cs="黑体"/>
                <w:bCs/>
                <w:color w:val="000000"/>
                <w:sz w:val="24"/>
                <w:szCs w:val="24"/>
                <w:highlight w:val="none"/>
              </w:rPr>
              <w:t>缺少3-4项子方案；现有方案仅有框架条目，缺少具体流程、管控手段；较多内容为通用模板，针对本项目的定制化内容少，落地存在较多条件限制。</w:t>
            </w:r>
            <w:r>
              <w:rPr>
                <w:rFonts w:hint="eastAsia" w:ascii="宋体" w:hAnsi="宋体" w:eastAsia="宋体" w:cs="黑体"/>
                <w:b/>
                <w:bCs w:val="0"/>
                <w:color w:val="000000"/>
                <w:sz w:val="24"/>
                <w:szCs w:val="24"/>
                <w:highlight w:val="none"/>
              </w:rPr>
              <w:t xml:space="preserve">得4分； </w:t>
            </w:r>
          </w:p>
          <w:p w14:paraId="721D1504">
            <w:pPr>
              <w:widowControl w:val="0"/>
              <w:spacing w:line="360" w:lineRule="auto"/>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lang w:val="en-US" w:eastAsia="zh-CN"/>
              </w:rPr>
              <w:t>4、缺少5项及以上子方案；仅有简单条目罗列，无流程、无管控措施；几乎没有针对本项目的定制内容，方案仅为通用文本，不具备落地条件。</w:t>
            </w:r>
            <w:r>
              <w:rPr>
                <w:rFonts w:hint="eastAsia" w:ascii="宋体" w:hAnsi="宋体" w:eastAsia="宋体" w:cs="黑体"/>
                <w:b/>
                <w:bCs w:val="0"/>
                <w:color w:val="000000"/>
                <w:sz w:val="24"/>
                <w:szCs w:val="24"/>
                <w:highlight w:val="none"/>
              </w:rPr>
              <w:t>得2分；</w:t>
            </w:r>
            <w:r>
              <w:rPr>
                <w:rFonts w:hint="eastAsia" w:ascii="宋体" w:hAnsi="宋体" w:eastAsia="宋体" w:cs="黑体"/>
                <w:bCs/>
                <w:color w:val="000000"/>
                <w:sz w:val="24"/>
                <w:szCs w:val="24"/>
                <w:highlight w:val="none"/>
              </w:rPr>
              <w:t xml:space="preserve"> </w:t>
            </w:r>
          </w:p>
          <w:p w14:paraId="5893D291">
            <w:pPr>
              <w:widowControl w:val="0"/>
              <w:spacing w:line="360" w:lineRule="auto"/>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lang w:val="en-US" w:eastAsia="zh-CN"/>
              </w:rPr>
              <w:t>5、</w:t>
            </w:r>
            <w:r>
              <w:rPr>
                <w:rFonts w:hint="eastAsia" w:ascii="宋体" w:hAnsi="宋体" w:eastAsia="宋体" w:cs="黑体"/>
                <w:bCs/>
                <w:color w:val="000000"/>
                <w:sz w:val="24"/>
                <w:szCs w:val="24"/>
                <w:highlight w:val="none"/>
              </w:rPr>
              <w:t>未提供不得分。</w:t>
            </w:r>
          </w:p>
        </w:tc>
        <w:tc>
          <w:tcPr>
            <w:tcW w:w="611" w:type="pct"/>
            <w:vAlign w:val="center"/>
          </w:tcPr>
          <w:p w14:paraId="131E84DE">
            <w:pPr>
              <w:widowControl w:val="0"/>
              <w:spacing w:line="360" w:lineRule="auto"/>
              <w:jc w:val="center"/>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rPr>
              <w:t>8</w:t>
            </w:r>
          </w:p>
        </w:tc>
      </w:tr>
      <w:tr w14:paraId="747CC6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412" w:type="pct"/>
            <w:vAlign w:val="center"/>
          </w:tcPr>
          <w:p w14:paraId="03A331B4">
            <w:pPr>
              <w:widowControl w:val="0"/>
              <w:spacing w:line="360" w:lineRule="auto"/>
              <w:jc w:val="center"/>
              <w:rPr>
                <w:rFonts w:hint="eastAsia" w:ascii="宋体" w:hAnsi="宋体" w:eastAsia="宋体" w:cs="黑体"/>
                <w:bCs/>
                <w:color w:val="000000"/>
                <w:sz w:val="24"/>
                <w:szCs w:val="24"/>
                <w:highlight w:val="none"/>
                <w:lang w:val="en-US" w:eastAsia="zh-CN"/>
              </w:rPr>
            </w:pPr>
            <w:r>
              <w:rPr>
                <w:rFonts w:hint="eastAsia" w:ascii="宋体" w:hAnsi="宋体" w:eastAsia="宋体" w:cs="黑体"/>
                <w:bCs/>
                <w:color w:val="000000"/>
                <w:sz w:val="24"/>
                <w:szCs w:val="24"/>
                <w:highlight w:val="none"/>
                <w:lang w:val="en-US" w:eastAsia="zh-CN"/>
              </w:rPr>
              <w:t>8</w:t>
            </w:r>
          </w:p>
        </w:tc>
        <w:tc>
          <w:tcPr>
            <w:tcW w:w="698" w:type="pct"/>
            <w:vAlign w:val="center"/>
          </w:tcPr>
          <w:p w14:paraId="763BA717">
            <w:pPr>
              <w:widowControl w:val="0"/>
              <w:spacing w:line="360" w:lineRule="auto"/>
              <w:jc w:val="center"/>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rPr>
              <w:t>餐饮服务方案</w:t>
            </w:r>
          </w:p>
        </w:tc>
        <w:tc>
          <w:tcPr>
            <w:tcW w:w="3277" w:type="pct"/>
          </w:tcPr>
          <w:p w14:paraId="7A195DFF">
            <w:pPr>
              <w:widowControl w:val="0"/>
              <w:spacing w:line="360" w:lineRule="auto"/>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rPr>
              <w:t>根据供应商针对项目实际情况制定工作人员餐饮服务方案，结合供餐品种设计及营养搭配情况、供餐服务及操作管理流程控制方案等进行综合评分。</w:t>
            </w:r>
          </w:p>
          <w:p w14:paraId="4A5D55A2">
            <w:pPr>
              <w:widowControl w:val="0"/>
              <w:spacing w:line="360" w:lineRule="auto"/>
              <w:rPr>
                <w:rFonts w:ascii="宋体" w:hAnsi="宋体" w:eastAsia="宋体" w:cs="黑体"/>
                <w:b/>
                <w:bCs w:val="0"/>
                <w:color w:val="000000"/>
                <w:sz w:val="24"/>
                <w:szCs w:val="24"/>
                <w:highlight w:val="none"/>
              </w:rPr>
            </w:pPr>
            <w:r>
              <w:rPr>
                <w:rFonts w:hint="eastAsia" w:ascii="宋体" w:hAnsi="宋体" w:eastAsia="宋体" w:cs="黑体"/>
                <w:bCs/>
                <w:color w:val="000000"/>
                <w:sz w:val="24"/>
                <w:szCs w:val="24"/>
                <w:highlight w:val="none"/>
                <w:lang w:val="en-US" w:eastAsia="zh-CN"/>
              </w:rPr>
              <w:t>1、</w:t>
            </w:r>
            <w:r>
              <w:rPr>
                <w:rFonts w:hint="eastAsia" w:ascii="宋体" w:hAnsi="宋体" w:eastAsia="宋体" w:cs="黑体"/>
                <w:bCs/>
                <w:color w:val="000000"/>
                <w:sz w:val="24"/>
                <w:szCs w:val="24"/>
                <w:highlight w:val="none"/>
              </w:rPr>
              <w:t>包含供餐品种设计、营养搭配、供餐服务流程、后厨操作管控全模块；品种、营养搭配贴合本项目就餐人员特点；各环节明确岗位、操作步骤、时间节点、质量要求，全部内容为本项目定制，可直接执行。</w:t>
            </w:r>
            <w:r>
              <w:rPr>
                <w:rFonts w:hint="eastAsia" w:ascii="宋体" w:hAnsi="宋体" w:eastAsia="宋体" w:cs="黑体"/>
                <w:b/>
                <w:bCs w:val="0"/>
                <w:color w:val="000000"/>
                <w:sz w:val="24"/>
                <w:szCs w:val="24"/>
                <w:highlight w:val="none"/>
              </w:rPr>
              <w:t>得8分；</w:t>
            </w:r>
          </w:p>
          <w:p w14:paraId="4B0DE0C0">
            <w:pPr>
              <w:widowControl w:val="0"/>
              <w:spacing w:line="360" w:lineRule="auto"/>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lang w:val="en-US" w:eastAsia="zh-CN"/>
              </w:rPr>
              <w:t>2、完整覆盖全部评审模块；品种及营养搭配有基础规划；具备完整操作与服务流程；少量内容属于通用模板，整体能够适配本项目实施。</w:t>
            </w:r>
            <w:r>
              <w:rPr>
                <w:rFonts w:hint="eastAsia" w:ascii="宋体" w:hAnsi="宋体" w:eastAsia="宋体" w:cs="黑体"/>
                <w:b/>
                <w:bCs w:val="0"/>
                <w:color w:val="000000"/>
                <w:sz w:val="24"/>
                <w:szCs w:val="24"/>
                <w:highlight w:val="none"/>
              </w:rPr>
              <w:t>得6分；</w:t>
            </w:r>
          </w:p>
          <w:p w14:paraId="49F2ED94">
            <w:pPr>
              <w:widowControl w:val="0"/>
              <w:spacing w:line="360" w:lineRule="auto"/>
              <w:rPr>
                <w:rFonts w:ascii="宋体" w:hAnsi="宋体" w:eastAsia="宋体" w:cs="黑体"/>
                <w:b/>
                <w:bCs w:val="0"/>
                <w:color w:val="000000"/>
                <w:sz w:val="24"/>
                <w:szCs w:val="24"/>
                <w:highlight w:val="none"/>
              </w:rPr>
            </w:pPr>
            <w:r>
              <w:rPr>
                <w:rFonts w:hint="eastAsia" w:ascii="宋体" w:hAnsi="宋体" w:eastAsia="宋体" w:cs="黑体"/>
                <w:bCs/>
                <w:color w:val="000000"/>
                <w:sz w:val="24"/>
                <w:szCs w:val="24"/>
                <w:highlight w:val="none"/>
                <w:lang w:val="en-US" w:eastAsia="zh-CN"/>
              </w:rPr>
              <w:t>3、</w:t>
            </w:r>
            <w:r>
              <w:rPr>
                <w:rFonts w:hint="eastAsia" w:ascii="宋体" w:hAnsi="宋体" w:eastAsia="宋体" w:cs="黑体"/>
                <w:bCs/>
                <w:color w:val="000000"/>
                <w:sz w:val="24"/>
                <w:szCs w:val="24"/>
                <w:highlight w:val="none"/>
              </w:rPr>
              <w:t>模块无缺失，但品种营养规划简单笼统，流程仅写框架，缺少岗位、时间节点、质量标准；定制化内容有限，实施需要大量补充完善。</w:t>
            </w:r>
            <w:r>
              <w:rPr>
                <w:rFonts w:hint="eastAsia" w:ascii="宋体" w:hAnsi="宋体" w:eastAsia="宋体" w:cs="黑体"/>
                <w:b/>
                <w:bCs w:val="0"/>
                <w:color w:val="000000"/>
                <w:sz w:val="24"/>
                <w:szCs w:val="24"/>
                <w:highlight w:val="none"/>
              </w:rPr>
              <w:t xml:space="preserve">得4分； </w:t>
            </w:r>
          </w:p>
          <w:p w14:paraId="7E47C95C">
            <w:pPr>
              <w:widowControl w:val="0"/>
              <w:spacing w:line="360" w:lineRule="auto"/>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lang w:val="en-US" w:eastAsia="zh-CN"/>
              </w:rPr>
              <w:t>4、关键模块存在缺失；仅简单文字描述，无具体品种规划、无明确操作流程；基本为通用模板，无法直接用于本项目实施。</w:t>
            </w:r>
            <w:r>
              <w:rPr>
                <w:rFonts w:hint="eastAsia" w:ascii="宋体" w:hAnsi="宋体" w:eastAsia="宋体" w:cs="黑体"/>
                <w:b/>
                <w:bCs w:val="0"/>
                <w:color w:val="000000"/>
                <w:sz w:val="24"/>
                <w:szCs w:val="24"/>
                <w:highlight w:val="none"/>
              </w:rPr>
              <w:t>得2分；</w:t>
            </w:r>
            <w:r>
              <w:rPr>
                <w:rFonts w:hint="eastAsia" w:ascii="宋体" w:hAnsi="宋体" w:eastAsia="宋体" w:cs="黑体"/>
                <w:bCs/>
                <w:color w:val="000000"/>
                <w:sz w:val="24"/>
                <w:szCs w:val="24"/>
                <w:highlight w:val="none"/>
              </w:rPr>
              <w:t xml:space="preserve"> </w:t>
            </w:r>
          </w:p>
          <w:p w14:paraId="26F794BE">
            <w:pPr>
              <w:widowControl w:val="0"/>
              <w:spacing w:line="360" w:lineRule="auto"/>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lang w:val="en-US" w:eastAsia="zh-CN"/>
              </w:rPr>
              <w:t>5、</w:t>
            </w:r>
            <w:r>
              <w:rPr>
                <w:rFonts w:hint="eastAsia" w:ascii="宋体" w:hAnsi="宋体" w:eastAsia="宋体" w:cs="黑体"/>
                <w:bCs/>
                <w:color w:val="000000"/>
                <w:sz w:val="24"/>
                <w:szCs w:val="24"/>
                <w:highlight w:val="none"/>
              </w:rPr>
              <w:t>未提供不得分。</w:t>
            </w:r>
          </w:p>
        </w:tc>
        <w:tc>
          <w:tcPr>
            <w:tcW w:w="611" w:type="pct"/>
            <w:vAlign w:val="center"/>
          </w:tcPr>
          <w:p w14:paraId="108158B7">
            <w:pPr>
              <w:widowControl w:val="0"/>
              <w:spacing w:line="360" w:lineRule="auto"/>
              <w:jc w:val="center"/>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rPr>
              <w:t>8</w:t>
            </w:r>
          </w:p>
        </w:tc>
      </w:tr>
      <w:tr w14:paraId="6B81D4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412" w:type="pct"/>
            <w:vAlign w:val="center"/>
          </w:tcPr>
          <w:p w14:paraId="464657DB">
            <w:pPr>
              <w:widowControl w:val="0"/>
              <w:spacing w:line="360" w:lineRule="auto"/>
              <w:jc w:val="center"/>
              <w:rPr>
                <w:rFonts w:hint="eastAsia" w:ascii="宋体" w:hAnsi="宋体" w:eastAsia="宋体" w:cs="黑体"/>
                <w:bCs/>
                <w:color w:val="000000"/>
                <w:sz w:val="24"/>
                <w:szCs w:val="24"/>
                <w:highlight w:val="none"/>
                <w:lang w:val="en-US" w:eastAsia="zh-CN"/>
              </w:rPr>
            </w:pPr>
            <w:r>
              <w:rPr>
                <w:rFonts w:hint="eastAsia" w:ascii="宋体" w:hAnsi="宋体" w:eastAsia="宋体" w:cs="黑体"/>
                <w:bCs/>
                <w:color w:val="000000"/>
                <w:sz w:val="24"/>
                <w:szCs w:val="24"/>
                <w:highlight w:val="none"/>
                <w:lang w:val="en-US" w:eastAsia="zh-CN"/>
              </w:rPr>
              <w:t>9</w:t>
            </w:r>
          </w:p>
        </w:tc>
        <w:tc>
          <w:tcPr>
            <w:tcW w:w="698" w:type="pct"/>
            <w:vAlign w:val="center"/>
          </w:tcPr>
          <w:p w14:paraId="1A34CC58">
            <w:pPr>
              <w:widowControl w:val="0"/>
              <w:spacing w:line="360" w:lineRule="auto"/>
              <w:jc w:val="center"/>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rPr>
              <w:t>服务团队</w:t>
            </w:r>
          </w:p>
        </w:tc>
        <w:tc>
          <w:tcPr>
            <w:tcW w:w="3277" w:type="pct"/>
          </w:tcPr>
          <w:p w14:paraId="1330BBF6">
            <w:pPr>
              <w:widowControl w:val="0"/>
              <w:spacing w:line="360" w:lineRule="auto"/>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rPr>
              <w:t>根据供应商针对本项目配备的服务团队情况进行综合评分，包括但不限于项目组织架构、岗位配备数量及职责分工、服务人员的相关经验和资历等。</w:t>
            </w:r>
          </w:p>
          <w:p w14:paraId="26F34320">
            <w:pPr>
              <w:widowControl w:val="0"/>
              <w:spacing w:line="360" w:lineRule="auto"/>
              <w:rPr>
                <w:rFonts w:ascii="宋体" w:hAnsi="宋体" w:eastAsia="宋体" w:cs="黑体"/>
                <w:b/>
                <w:bCs w:val="0"/>
                <w:color w:val="000000"/>
                <w:sz w:val="24"/>
                <w:szCs w:val="24"/>
                <w:highlight w:val="none"/>
              </w:rPr>
            </w:pPr>
            <w:r>
              <w:rPr>
                <w:rFonts w:hint="eastAsia" w:ascii="宋体" w:hAnsi="宋体" w:eastAsia="宋体" w:cs="黑体"/>
                <w:bCs/>
                <w:color w:val="000000"/>
                <w:sz w:val="24"/>
                <w:szCs w:val="24"/>
                <w:highlight w:val="none"/>
                <w:lang w:val="en-US" w:eastAsia="zh-CN"/>
              </w:rPr>
              <w:t>1、</w:t>
            </w:r>
            <w:r>
              <w:rPr>
                <w:rFonts w:hint="eastAsia" w:ascii="宋体" w:hAnsi="宋体" w:eastAsia="宋体" w:cs="黑体"/>
                <w:bCs/>
                <w:color w:val="000000"/>
                <w:sz w:val="24"/>
                <w:szCs w:val="24"/>
                <w:highlight w:val="none"/>
              </w:rPr>
              <w:t>提供完整项目组织架构图；本项目所有岗位人员数量配置满足食堂实际运营需要；每个岗位均明确岗位职责、工作边界；主要岗位人员写明同类食堂项目工作履历经验，人员配置完全匹配本项目需求。</w:t>
            </w:r>
            <w:r>
              <w:rPr>
                <w:rFonts w:hint="eastAsia" w:ascii="宋体" w:hAnsi="宋体" w:eastAsia="宋体" w:cs="黑体"/>
                <w:b/>
                <w:bCs w:val="0"/>
                <w:color w:val="000000"/>
                <w:sz w:val="24"/>
                <w:szCs w:val="24"/>
                <w:highlight w:val="none"/>
              </w:rPr>
              <w:t>得8分；</w:t>
            </w:r>
          </w:p>
          <w:p w14:paraId="78FA4660">
            <w:pPr>
              <w:widowControl w:val="0"/>
              <w:spacing w:line="360" w:lineRule="auto"/>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lang w:val="en-US" w:eastAsia="zh-CN"/>
              </w:rPr>
              <w:t>2、提供完整组织架构；岗位设置齐全、人员数量基本满足项目需要；大部分岗位明确岗位职责；部分主要人员提供同类项目经验；个别岗位职责描述简略。</w:t>
            </w:r>
            <w:r>
              <w:rPr>
                <w:rFonts w:hint="eastAsia" w:ascii="宋体" w:hAnsi="宋体" w:eastAsia="宋体" w:cs="黑体"/>
                <w:b/>
                <w:bCs w:val="0"/>
                <w:color w:val="000000"/>
                <w:sz w:val="24"/>
                <w:szCs w:val="24"/>
                <w:highlight w:val="none"/>
              </w:rPr>
              <w:t>得6分；</w:t>
            </w:r>
          </w:p>
          <w:p w14:paraId="25FE84B2">
            <w:pPr>
              <w:widowControl w:val="0"/>
              <w:spacing w:line="360" w:lineRule="auto"/>
              <w:rPr>
                <w:rFonts w:ascii="宋体" w:hAnsi="宋体" w:eastAsia="宋体" w:cs="黑体"/>
                <w:b/>
                <w:bCs w:val="0"/>
                <w:color w:val="000000"/>
                <w:sz w:val="24"/>
                <w:szCs w:val="24"/>
                <w:highlight w:val="none"/>
              </w:rPr>
            </w:pPr>
            <w:r>
              <w:rPr>
                <w:rFonts w:hint="eastAsia" w:ascii="宋体" w:hAnsi="宋体" w:eastAsia="宋体" w:cs="黑体"/>
                <w:bCs/>
                <w:color w:val="000000"/>
                <w:sz w:val="24"/>
                <w:szCs w:val="24"/>
                <w:highlight w:val="none"/>
                <w:lang w:val="en-US" w:eastAsia="zh-CN"/>
              </w:rPr>
              <w:t>3、</w:t>
            </w:r>
            <w:r>
              <w:rPr>
                <w:rFonts w:hint="eastAsia" w:ascii="宋体" w:hAnsi="宋体" w:eastAsia="宋体" w:cs="黑体"/>
                <w:bCs/>
                <w:color w:val="000000"/>
                <w:sz w:val="24"/>
                <w:szCs w:val="24"/>
                <w:highlight w:val="none"/>
              </w:rPr>
              <w:t>提供组织架构，但部分岗位人员配置数量不足；岗位职责描述笼统，部分岗位未划分工作边界；仅少量人员体现同类项目经验，整体配置勉强满足最低服务要求。</w:t>
            </w:r>
            <w:r>
              <w:rPr>
                <w:rFonts w:hint="eastAsia" w:ascii="宋体" w:hAnsi="宋体" w:eastAsia="宋体" w:cs="黑体"/>
                <w:b/>
                <w:bCs w:val="0"/>
                <w:color w:val="000000"/>
                <w:sz w:val="24"/>
                <w:szCs w:val="24"/>
                <w:highlight w:val="none"/>
              </w:rPr>
              <w:t xml:space="preserve">得4分； </w:t>
            </w:r>
          </w:p>
          <w:p w14:paraId="77423962">
            <w:pPr>
              <w:widowControl w:val="0"/>
              <w:spacing w:line="360" w:lineRule="auto"/>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lang w:val="en-US" w:eastAsia="zh-CN"/>
              </w:rPr>
              <w:t>4、组织架构不完整，关键运营岗位缺失；岗位职责只有简单几句话；未体现人员同类项目经验；人员配置无法满足食堂正常运营需要。</w:t>
            </w:r>
            <w:r>
              <w:rPr>
                <w:rFonts w:hint="eastAsia" w:ascii="宋体" w:hAnsi="宋体" w:eastAsia="宋体" w:cs="黑体"/>
                <w:b/>
                <w:bCs w:val="0"/>
                <w:color w:val="000000"/>
                <w:sz w:val="24"/>
                <w:szCs w:val="24"/>
                <w:highlight w:val="none"/>
              </w:rPr>
              <w:t>得2分；</w:t>
            </w:r>
            <w:r>
              <w:rPr>
                <w:rFonts w:hint="eastAsia" w:ascii="宋体" w:hAnsi="宋体" w:eastAsia="宋体" w:cs="黑体"/>
                <w:bCs/>
                <w:color w:val="000000"/>
                <w:sz w:val="24"/>
                <w:szCs w:val="24"/>
                <w:highlight w:val="none"/>
              </w:rPr>
              <w:t xml:space="preserve"> </w:t>
            </w:r>
          </w:p>
          <w:p w14:paraId="1B465D19">
            <w:pPr>
              <w:widowControl w:val="0"/>
              <w:spacing w:line="360" w:lineRule="auto"/>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lang w:val="en-US" w:eastAsia="zh-CN"/>
              </w:rPr>
              <w:t>5、</w:t>
            </w:r>
            <w:r>
              <w:rPr>
                <w:rFonts w:hint="eastAsia" w:ascii="宋体" w:hAnsi="宋体" w:eastAsia="宋体" w:cs="黑体"/>
                <w:bCs/>
                <w:color w:val="000000"/>
                <w:sz w:val="24"/>
                <w:szCs w:val="24"/>
                <w:highlight w:val="none"/>
              </w:rPr>
              <w:t>未提供不得分。</w:t>
            </w:r>
          </w:p>
        </w:tc>
        <w:tc>
          <w:tcPr>
            <w:tcW w:w="611" w:type="pct"/>
            <w:vAlign w:val="center"/>
          </w:tcPr>
          <w:p w14:paraId="288FF30A">
            <w:pPr>
              <w:widowControl w:val="0"/>
              <w:spacing w:line="360" w:lineRule="auto"/>
              <w:jc w:val="center"/>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rPr>
              <w:t>8</w:t>
            </w:r>
          </w:p>
        </w:tc>
      </w:tr>
      <w:tr w14:paraId="3F509E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412" w:type="pct"/>
            <w:vAlign w:val="center"/>
          </w:tcPr>
          <w:p w14:paraId="1CBABE18">
            <w:pPr>
              <w:widowControl w:val="0"/>
              <w:spacing w:line="360" w:lineRule="auto"/>
              <w:jc w:val="center"/>
              <w:rPr>
                <w:rFonts w:hint="default" w:ascii="宋体" w:hAnsi="宋体" w:eastAsia="宋体" w:cs="黑体"/>
                <w:bCs/>
                <w:color w:val="000000"/>
                <w:sz w:val="24"/>
                <w:szCs w:val="24"/>
                <w:highlight w:val="none"/>
                <w:lang w:val="en-US" w:eastAsia="zh-CN"/>
              </w:rPr>
            </w:pPr>
            <w:r>
              <w:rPr>
                <w:rFonts w:hint="eastAsia" w:ascii="宋体" w:hAnsi="宋体" w:eastAsia="宋体" w:cs="黑体"/>
                <w:bCs/>
                <w:color w:val="000000"/>
                <w:sz w:val="24"/>
                <w:szCs w:val="24"/>
                <w:highlight w:val="none"/>
                <w:lang w:val="en-US" w:eastAsia="zh-CN"/>
              </w:rPr>
              <w:t>10</w:t>
            </w:r>
          </w:p>
        </w:tc>
        <w:tc>
          <w:tcPr>
            <w:tcW w:w="698" w:type="pct"/>
            <w:vAlign w:val="center"/>
          </w:tcPr>
          <w:p w14:paraId="27554C49">
            <w:pPr>
              <w:widowControl w:val="0"/>
              <w:spacing w:line="360" w:lineRule="auto"/>
              <w:jc w:val="center"/>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rPr>
              <w:t>卫生安全方案</w:t>
            </w:r>
          </w:p>
        </w:tc>
        <w:tc>
          <w:tcPr>
            <w:tcW w:w="3277" w:type="pct"/>
          </w:tcPr>
          <w:p w14:paraId="36E181F2">
            <w:pPr>
              <w:widowControl w:val="0"/>
              <w:spacing w:line="360" w:lineRule="auto"/>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rPr>
              <w:t>根据供应商提供的厨房与就餐区域卫生管理、食品安全管理措施、安全生产措施等进行综合评分。</w:t>
            </w:r>
          </w:p>
          <w:p w14:paraId="5BF8C88B">
            <w:pPr>
              <w:widowControl w:val="0"/>
              <w:spacing w:line="360" w:lineRule="auto"/>
              <w:rPr>
                <w:rFonts w:ascii="宋体" w:hAnsi="宋体" w:eastAsia="宋体" w:cs="黑体"/>
                <w:b/>
                <w:bCs w:val="0"/>
                <w:color w:val="000000"/>
                <w:sz w:val="24"/>
                <w:szCs w:val="24"/>
                <w:highlight w:val="none"/>
              </w:rPr>
            </w:pPr>
            <w:r>
              <w:rPr>
                <w:rFonts w:hint="eastAsia" w:ascii="宋体" w:hAnsi="宋体" w:eastAsia="宋体" w:cs="黑体"/>
                <w:bCs/>
                <w:color w:val="000000"/>
                <w:sz w:val="24"/>
                <w:szCs w:val="24"/>
                <w:highlight w:val="none"/>
                <w:lang w:val="en-US" w:eastAsia="zh-CN"/>
              </w:rPr>
              <w:t>1、</w:t>
            </w:r>
            <w:r>
              <w:rPr>
                <w:rFonts w:hint="eastAsia" w:ascii="宋体" w:hAnsi="宋体" w:eastAsia="宋体" w:cs="黑体"/>
                <w:bCs/>
                <w:color w:val="000000"/>
                <w:sz w:val="24"/>
                <w:szCs w:val="24"/>
                <w:highlight w:val="none"/>
              </w:rPr>
              <w:t>完整覆盖厨房卫生、就餐区卫生、全流程食品安全管控、安全生产管理；明确各区域清洁频次、操作规范、检查机制、隐患整改流程；结合食堂现场风险点制定管控措施，可直接落地执行。</w:t>
            </w:r>
            <w:r>
              <w:rPr>
                <w:rFonts w:hint="eastAsia" w:ascii="宋体" w:hAnsi="宋体" w:eastAsia="宋体" w:cs="黑体"/>
                <w:b/>
                <w:bCs w:val="0"/>
                <w:color w:val="000000"/>
                <w:sz w:val="24"/>
                <w:szCs w:val="24"/>
                <w:highlight w:val="none"/>
              </w:rPr>
              <w:t>得8分；</w:t>
            </w:r>
          </w:p>
          <w:p w14:paraId="4E0F89CF">
            <w:pPr>
              <w:widowControl w:val="0"/>
              <w:spacing w:line="360" w:lineRule="auto"/>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lang w:val="en-US" w:eastAsia="zh-CN"/>
              </w:rPr>
              <w:t>2、覆盖全部评审模块；具备卫生、食品安全、安全生产的管理制度和操作要求；部分管控指标、检查机制描述简略，整体可适配本项目执行。</w:t>
            </w:r>
            <w:r>
              <w:rPr>
                <w:rFonts w:hint="eastAsia" w:ascii="宋体" w:hAnsi="宋体" w:eastAsia="宋体" w:cs="黑体"/>
                <w:b/>
                <w:bCs w:val="0"/>
                <w:color w:val="000000"/>
                <w:sz w:val="24"/>
                <w:szCs w:val="24"/>
                <w:highlight w:val="none"/>
              </w:rPr>
              <w:t>得6分；</w:t>
            </w:r>
          </w:p>
          <w:p w14:paraId="443F6EF2">
            <w:pPr>
              <w:widowControl w:val="0"/>
              <w:spacing w:line="360" w:lineRule="auto"/>
              <w:rPr>
                <w:rFonts w:ascii="宋体" w:hAnsi="宋体" w:eastAsia="宋体" w:cs="黑体"/>
                <w:b/>
                <w:bCs w:val="0"/>
                <w:color w:val="000000"/>
                <w:sz w:val="24"/>
                <w:szCs w:val="24"/>
                <w:highlight w:val="none"/>
              </w:rPr>
            </w:pPr>
            <w:r>
              <w:rPr>
                <w:rFonts w:hint="eastAsia" w:ascii="宋体" w:hAnsi="宋体" w:eastAsia="宋体" w:cs="黑体"/>
                <w:bCs/>
                <w:color w:val="000000"/>
                <w:sz w:val="24"/>
                <w:szCs w:val="24"/>
                <w:highlight w:val="none"/>
                <w:lang w:val="en-US" w:eastAsia="zh-CN"/>
              </w:rPr>
              <w:t>3、</w:t>
            </w:r>
            <w:r>
              <w:rPr>
                <w:rFonts w:hint="eastAsia" w:ascii="宋体" w:hAnsi="宋体" w:eastAsia="宋体" w:cs="黑体"/>
                <w:bCs/>
                <w:color w:val="000000"/>
                <w:sz w:val="24"/>
                <w:szCs w:val="24"/>
                <w:highlight w:val="none"/>
              </w:rPr>
              <w:t>模块齐全，但只罗列制度标题，缺少清洁频次、检查流程、整改闭环等实操要求；风险点针对性措施不足，实施需要补充细化。</w:t>
            </w:r>
            <w:r>
              <w:rPr>
                <w:rFonts w:hint="eastAsia" w:ascii="宋体" w:hAnsi="宋体" w:eastAsia="宋体" w:cs="黑体"/>
                <w:b/>
                <w:bCs w:val="0"/>
                <w:color w:val="000000"/>
                <w:sz w:val="24"/>
                <w:szCs w:val="24"/>
                <w:highlight w:val="none"/>
              </w:rPr>
              <w:t xml:space="preserve">得4分； </w:t>
            </w:r>
          </w:p>
          <w:p w14:paraId="67820885">
            <w:pPr>
              <w:widowControl w:val="0"/>
              <w:spacing w:line="360" w:lineRule="auto"/>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lang w:val="en-US" w:eastAsia="zh-CN"/>
              </w:rPr>
              <w:t>4、关键管控模块缺失；仅有简单文字表述，无具体操作标准、检查及整改机制；无项目针对性，不具备落地条件。</w:t>
            </w:r>
            <w:r>
              <w:rPr>
                <w:rFonts w:hint="eastAsia" w:ascii="宋体" w:hAnsi="宋体" w:eastAsia="宋体" w:cs="黑体"/>
                <w:b/>
                <w:bCs w:val="0"/>
                <w:color w:val="000000"/>
                <w:sz w:val="24"/>
                <w:szCs w:val="24"/>
                <w:highlight w:val="none"/>
              </w:rPr>
              <w:t>得2分；</w:t>
            </w:r>
            <w:r>
              <w:rPr>
                <w:rFonts w:hint="eastAsia" w:ascii="宋体" w:hAnsi="宋体" w:eastAsia="宋体" w:cs="黑体"/>
                <w:bCs/>
                <w:color w:val="000000"/>
                <w:sz w:val="24"/>
                <w:szCs w:val="24"/>
                <w:highlight w:val="none"/>
              </w:rPr>
              <w:t xml:space="preserve"> </w:t>
            </w:r>
          </w:p>
          <w:p w14:paraId="0A2734BE">
            <w:pPr>
              <w:widowControl w:val="0"/>
              <w:spacing w:line="360" w:lineRule="auto"/>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lang w:val="en-US" w:eastAsia="zh-CN"/>
              </w:rPr>
              <w:t>5、</w:t>
            </w:r>
            <w:r>
              <w:rPr>
                <w:rFonts w:hint="eastAsia" w:ascii="宋体" w:hAnsi="宋体" w:eastAsia="宋体" w:cs="黑体"/>
                <w:bCs/>
                <w:color w:val="000000"/>
                <w:sz w:val="24"/>
                <w:szCs w:val="24"/>
                <w:highlight w:val="none"/>
              </w:rPr>
              <w:t>未提供不得分。</w:t>
            </w:r>
          </w:p>
        </w:tc>
        <w:tc>
          <w:tcPr>
            <w:tcW w:w="611" w:type="pct"/>
            <w:vAlign w:val="center"/>
          </w:tcPr>
          <w:p w14:paraId="084D3155">
            <w:pPr>
              <w:widowControl w:val="0"/>
              <w:spacing w:line="360" w:lineRule="auto"/>
              <w:jc w:val="center"/>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rPr>
              <w:t>8</w:t>
            </w:r>
          </w:p>
        </w:tc>
      </w:tr>
      <w:tr w14:paraId="329088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412" w:type="pct"/>
            <w:vAlign w:val="center"/>
          </w:tcPr>
          <w:p w14:paraId="1190D823">
            <w:pPr>
              <w:widowControl w:val="0"/>
              <w:spacing w:line="360" w:lineRule="auto"/>
              <w:jc w:val="center"/>
              <w:rPr>
                <w:rFonts w:hint="default" w:ascii="宋体" w:hAnsi="宋体" w:eastAsia="宋体" w:cs="黑体"/>
                <w:bCs/>
                <w:color w:val="000000"/>
                <w:sz w:val="24"/>
                <w:szCs w:val="24"/>
                <w:highlight w:val="none"/>
                <w:lang w:val="en-US" w:eastAsia="zh-CN"/>
              </w:rPr>
            </w:pPr>
            <w:r>
              <w:rPr>
                <w:rFonts w:hint="eastAsia" w:ascii="宋体" w:hAnsi="宋体" w:eastAsia="宋体" w:cs="黑体"/>
                <w:bCs/>
                <w:color w:val="000000"/>
                <w:sz w:val="24"/>
                <w:szCs w:val="24"/>
                <w:highlight w:val="none"/>
                <w:lang w:val="en-US" w:eastAsia="zh-CN"/>
              </w:rPr>
              <w:t>11</w:t>
            </w:r>
          </w:p>
        </w:tc>
        <w:tc>
          <w:tcPr>
            <w:tcW w:w="698" w:type="pct"/>
            <w:vAlign w:val="center"/>
          </w:tcPr>
          <w:p w14:paraId="182726FF">
            <w:pPr>
              <w:widowControl w:val="0"/>
              <w:spacing w:line="360" w:lineRule="auto"/>
              <w:jc w:val="center"/>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rPr>
              <w:t>应急措施</w:t>
            </w:r>
          </w:p>
        </w:tc>
        <w:tc>
          <w:tcPr>
            <w:tcW w:w="3277" w:type="pct"/>
          </w:tcPr>
          <w:p w14:paraId="71DDB168">
            <w:pPr>
              <w:widowControl w:val="0"/>
              <w:spacing w:line="360" w:lineRule="auto"/>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rPr>
              <w:t>根据供应商拟定的针对招标单位特别需求及突发状况制定的应急措施等情况进行评价。</w:t>
            </w:r>
          </w:p>
          <w:p w14:paraId="65660FFD">
            <w:pPr>
              <w:widowControl w:val="0"/>
              <w:spacing w:line="360" w:lineRule="auto"/>
              <w:rPr>
                <w:rFonts w:ascii="宋体" w:hAnsi="宋体" w:eastAsia="宋体" w:cs="黑体"/>
                <w:b/>
                <w:bCs w:val="0"/>
                <w:color w:val="000000"/>
                <w:sz w:val="24"/>
                <w:szCs w:val="24"/>
                <w:highlight w:val="none"/>
              </w:rPr>
            </w:pPr>
            <w:r>
              <w:rPr>
                <w:rFonts w:hint="eastAsia" w:ascii="宋体" w:hAnsi="宋体" w:eastAsia="宋体" w:cs="黑体"/>
                <w:bCs/>
                <w:color w:val="000000"/>
                <w:sz w:val="24"/>
                <w:szCs w:val="24"/>
                <w:highlight w:val="none"/>
                <w:lang w:val="en-US" w:eastAsia="zh-CN"/>
              </w:rPr>
              <w:t>1、</w:t>
            </w:r>
            <w:r>
              <w:rPr>
                <w:rFonts w:hint="eastAsia" w:ascii="宋体" w:hAnsi="宋体" w:eastAsia="宋体" w:cs="黑体"/>
                <w:bCs/>
                <w:color w:val="000000"/>
                <w:sz w:val="24"/>
                <w:szCs w:val="24"/>
                <w:highlight w:val="none"/>
              </w:rPr>
              <w:t>覆盖食物中毒、停水停电、设备故障、食材断供、人员突发缺位、舆情及特殊就餐保障等主要食堂突发场景；每个突发事件包含风险预判、应急处置流程、岗位分工、处置时限、善后处理；全部措施贴合本项目实际，具备可操作性。</w:t>
            </w:r>
            <w:r>
              <w:rPr>
                <w:rFonts w:hint="eastAsia" w:ascii="宋体" w:hAnsi="宋体" w:eastAsia="宋体" w:cs="黑体"/>
                <w:b/>
                <w:bCs w:val="0"/>
                <w:color w:val="000000"/>
                <w:sz w:val="24"/>
                <w:szCs w:val="24"/>
                <w:highlight w:val="none"/>
              </w:rPr>
              <w:t>得8分；</w:t>
            </w:r>
          </w:p>
          <w:p w14:paraId="24FD457E">
            <w:pPr>
              <w:widowControl w:val="0"/>
              <w:spacing w:line="360" w:lineRule="auto"/>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lang w:val="en-US" w:eastAsia="zh-CN"/>
              </w:rPr>
              <w:t>2、覆盖主要突发应急场景；各场景具备处置流程、岗位分工；部分场景缺少处置时限或善后环节；少量内容为通用模板，整体可实施。</w:t>
            </w:r>
            <w:r>
              <w:rPr>
                <w:rFonts w:hint="eastAsia" w:ascii="宋体" w:hAnsi="宋体" w:eastAsia="宋体" w:cs="黑体"/>
                <w:b/>
                <w:bCs w:val="0"/>
                <w:color w:val="000000"/>
                <w:sz w:val="24"/>
                <w:szCs w:val="24"/>
                <w:highlight w:val="none"/>
              </w:rPr>
              <w:t>得6分；</w:t>
            </w:r>
          </w:p>
          <w:p w14:paraId="45445175">
            <w:pPr>
              <w:widowControl w:val="0"/>
              <w:spacing w:line="360" w:lineRule="auto"/>
              <w:rPr>
                <w:rFonts w:ascii="宋体" w:hAnsi="宋体" w:eastAsia="宋体" w:cs="黑体"/>
                <w:b/>
                <w:bCs w:val="0"/>
                <w:color w:val="000000"/>
                <w:sz w:val="24"/>
                <w:szCs w:val="24"/>
                <w:highlight w:val="none"/>
              </w:rPr>
            </w:pPr>
            <w:r>
              <w:rPr>
                <w:rFonts w:hint="eastAsia" w:ascii="宋体" w:hAnsi="宋体" w:eastAsia="宋体" w:cs="黑体"/>
                <w:bCs/>
                <w:color w:val="000000"/>
                <w:sz w:val="24"/>
                <w:szCs w:val="24"/>
                <w:highlight w:val="none"/>
                <w:lang w:val="en-US" w:eastAsia="zh-CN"/>
              </w:rPr>
              <w:t>3、</w:t>
            </w:r>
            <w:r>
              <w:rPr>
                <w:rFonts w:hint="eastAsia" w:ascii="宋体" w:hAnsi="宋体" w:eastAsia="宋体" w:cs="黑体"/>
                <w:bCs/>
                <w:color w:val="000000"/>
                <w:sz w:val="24"/>
                <w:szCs w:val="24"/>
                <w:highlight w:val="none"/>
              </w:rPr>
              <w:t>应急场景存在1-2类重要场景缺失；处置仅有简单步骤，缺少岗位分工、时限、善后闭环；定制化内容较少，实施需进一步完善。</w:t>
            </w:r>
            <w:r>
              <w:rPr>
                <w:rFonts w:hint="eastAsia" w:ascii="宋体" w:hAnsi="宋体" w:eastAsia="宋体" w:cs="黑体"/>
                <w:b/>
                <w:bCs w:val="0"/>
                <w:color w:val="000000"/>
                <w:sz w:val="24"/>
                <w:szCs w:val="24"/>
                <w:highlight w:val="none"/>
              </w:rPr>
              <w:t xml:space="preserve">得4分； </w:t>
            </w:r>
          </w:p>
          <w:p w14:paraId="388A67A0">
            <w:pPr>
              <w:widowControl w:val="0"/>
              <w:spacing w:line="360" w:lineRule="auto"/>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lang w:val="en-US" w:eastAsia="zh-CN"/>
              </w:rPr>
              <w:t>4、缺失多项关键突发场景；仅简单文字描述，没有处置流程、人员分工；基本为通用模板，无法直接用于项目应急处置。</w:t>
            </w:r>
            <w:r>
              <w:rPr>
                <w:rFonts w:hint="eastAsia" w:ascii="宋体" w:hAnsi="宋体" w:eastAsia="宋体" w:cs="黑体"/>
                <w:b/>
                <w:bCs w:val="0"/>
                <w:color w:val="000000"/>
                <w:sz w:val="24"/>
                <w:szCs w:val="24"/>
                <w:highlight w:val="none"/>
              </w:rPr>
              <w:t>得2分；</w:t>
            </w:r>
            <w:r>
              <w:rPr>
                <w:rFonts w:hint="eastAsia" w:ascii="宋体" w:hAnsi="宋体" w:eastAsia="宋体" w:cs="黑体"/>
                <w:bCs/>
                <w:color w:val="000000"/>
                <w:sz w:val="24"/>
                <w:szCs w:val="24"/>
                <w:highlight w:val="none"/>
              </w:rPr>
              <w:t xml:space="preserve"> </w:t>
            </w:r>
          </w:p>
          <w:p w14:paraId="4B53A69E">
            <w:pPr>
              <w:widowControl w:val="0"/>
              <w:spacing w:line="360" w:lineRule="auto"/>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lang w:val="en-US" w:eastAsia="zh-CN"/>
              </w:rPr>
              <w:t>5、</w:t>
            </w:r>
            <w:r>
              <w:rPr>
                <w:rFonts w:hint="eastAsia" w:ascii="宋体" w:hAnsi="宋体" w:eastAsia="宋体" w:cs="黑体"/>
                <w:bCs/>
                <w:color w:val="000000"/>
                <w:sz w:val="24"/>
                <w:szCs w:val="24"/>
                <w:highlight w:val="none"/>
              </w:rPr>
              <w:t>未提供不得分。</w:t>
            </w:r>
          </w:p>
        </w:tc>
        <w:tc>
          <w:tcPr>
            <w:tcW w:w="611" w:type="pct"/>
            <w:vAlign w:val="center"/>
          </w:tcPr>
          <w:p w14:paraId="378C657C">
            <w:pPr>
              <w:widowControl w:val="0"/>
              <w:spacing w:line="360" w:lineRule="auto"/>
              <w:jc w:val="center"/>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rPr>
              <w:t>8</w:t>
            </w:r>
          </w:p>
        </w:tc>
      </w:tr>
      <w:tr w14:paraId="5F38CB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412" w:type="pct"/>
            <w:vAlign w:val="center"/>
          </w:tcPr>
          <w:p w14:paraId="4AA150B9">
            <w:pPr>
              <w:widowControl w:val="0"/>
              <w:spacing w:line="360" w:lineRule="auto"/>
              <w:jc w:val="center"/>
              <w:rPr>
                <w:rFonts w:hint="default" w:ascii="宋体" w:hAnsi="宋体" w:eastAsia="宋体" w:cs="黑体"/>
                <w:bCs/>
                <w:color w:val="000000"/>
                <w:sz w:val="24"/>
                <w:szCs w:val="24"/>
                <w:highlight w:val="none"/>
                <w:lang w:val="en-US" w:eastAsia="zh-CN"/>
              </w:rPr>
            </w:pPr>
            <w:r>
              <w:rPr>
                <w:rFonts w:hint="eastAsia" w:ascii="宋体" w:hAnsi="宋体" w:eastAsia="宋体" w:cs="黑体"/>
                <w:bCs/>
                <w:color w:val="000000"/>
                <w:sz w:val="24"/>
                <w:szCs w:val="24"/>
                <w:highlight w:val="none"/>
                <w:lang w:val="en-US" w:eastAsia="zh-CN"/>
              </w:rPr>
              <w:t>12</w:t>
            </w:r>
          </w:p>
        </w:tc>
        <w:tc>
          <w:tcPr>
            <w:tcW w:w="698" w:type="pct"/>
            <w:vAlign w:val="center"/>
          </w:tcPr>
          <w:p w14:paraId="1759A397">
            <w:pPr>
              <w:widowControl w:val="0"/>
              <w:spacing w:line="360" w:lineRule="auto"/>
              <w:jc w:val="center"/>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rPr>
              <w:t>食材配送方案</w:t>
            </w:r>
          </w:p>
        </w:tc>
        <w:tc>
          <w:tcPr>
            <w:tcW w:w="3277" w:type="pct"/>
          </w:tcPr>
          <w:p w14:paraId="42B0C447">
            <w:pPr>
              <w:widowControl w:val="0"/>
              <w:spacing w:line="360" w:lineRule="auto"/>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rPr>
              <w:t>根据供应商针对本项目食材配送制定的方案进行综合评分，包括但不限于食材配送渠道与配送供应商管理、配送车辆及人员配备、配送时效与保鲜措施、冷链配送管理、食材验收与质量保障、食品安全可追溯等。</w:t>
            </w:r>
          </w:p>
          <w:p w14:paraId="178922C8">
            <w:pPr>
              <w:widowControl w:val="0"/>
              <w:spacing w:line="360" w:lineRule="auto"/>
              <w:rPr>
                <w:rFonts w:ascii="宋体" w:hAnsi="宋体" w:eastAsia="宋体" w:cs="黑体"/>
                <w:b/>
                <w:bCs w:val="0"/>
                <w:color w:val="000000"/>
                <w:sz w:val="24"/>
                <w:szCs w:val="24"/>
                <w:highlight w:val="none"/>
              </w:rPr>
            </w:pPr>
            <w:r>
              <w:rPr>
                <w:rFonts w:hint="eastAsia" w:ascii="宋体" w:hAnsi="宋体" w:eastAsia="宋体" w:cs="黑体"/>
                <w:bCs/>
                <w:color w:val="000000"/>
                <w:sz w:val="24"/>
                <w:szCs w:val="24"/>
                <w:highlight w:val="none"/>
                <w:lang w:val="en-US" w:eastAsia="zh-CN"/>
              </w:rPr>
              <w:t>1、</w:t>
            </w:r>
            <w:r>
              <w:rPr>
                <w:rFonts w:hint="eastAsia" w:ascii="宋体" w:hAnsi="宋体" w:eastAsia="宋体" w:cs="黑体"/>
                <w:bCs/>
                <w:color w:val="000000"/>
                <w:sz w:val="24"/>
                <w:szCs w:val="24"/>
                <w:highlight w:val="none"/>
              </w:rPr>
              <w:t>完整包含供应商管理、配送人员车辆配置、配送时效、保鲜及冷链管控、到货验收、溯源管理全部模块；明确配送时间窗口、温湿度管控标准、验收项目、溯源查询方式；为本项目定制，流程完整可落地。</w:t>
            </w:r>
            <w:r>
              <w:rPr>
                <w:rFonts w:hint="eastAsia" w:ascii="宋体" w:hAnsi="宋体" w:eastAsia="宋体" w:cs="黑体"/>
                <w:b/>
                <w:bCs w:val="0"/>
                <w:color w:val="000000"/>
                <w:sz w:val="24"/>
                <w:szCs w:val="24"/>
                <w:highlight w:val="none"/>
              </w:rPr>
              <w:t>得8分；</w:t>
            </w:r>
          </w:p>
          <w:p w14:paraId="10DAC9F6">
            <w:pPr>
              <w:widowControl w:val="0"/>
              <w:spacing w:line="360" w:lineRule="auto"/>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lang w:val="en-US" w:eastAsia="zh-CN"/>
              </w:rPr>
              <w:t>2、全部评审模块齐全；配送、冷链、验收、溯源具备明确要求；部分参数、管控细节描述简略；少量通用模板内容，整体可实施。</w:t>
            </w:r>
            <w:r>
              <w:rPr>
                <w:rFonts w:hint="eastAsia" w:ascii="宋体" w:hAnsi="宋体" w:eastAsia="宋体" w:cs="黑体"/>
                <w:b/>
                <w:bCs w:val="0"/>
                <w:color w:val="000000"/>
                <w:sz w:val="24"/>
                <w:szCs w:val="24"/>
                <w:highlight w:val="none"/>
              </w:rPr>
              <w:t>得6分；</w:t>
            </w:r>
          </w:p>
          <w:p w14:paraId="2395EB96">
            <w:pPr>
              <w:widowControl w:val="0"/>
              <w:spacing w:line="360" w:lineRule="auto"/>
              <w:rPr>
                <w:rFonts w:ascii="宋体" w:hAnsi="宋体" w:eastAsia="宋体" w:cs="黑体"/>
                <w:b/>
                <w:bCs w:val="0"/>
                <w:color w:val="000000"/>
                <w:sz w:val="24"/>
                <w:szCs w:val="24"/>
                <w:highlight w:val="none"/>
              </w:rPr>
            </w:pPr>
            <w:r>
              <w:rPr>
                <w:rFonts w:hint="eastAsia" w:ascii="宋体" w:hAnsi="宋体" w:eastAsia="宋体" w:cs="黑体"/>
                <w:bCs/>
                <w:color w:val="000000"/>
                <w:sz w:val="24"/>
                <w:szCs w:val="24"/>
                <w:highlight w:val="none"/>
                <w:lang w:val="en-US" w:eastAsia="zh-CN"/>
              </w:rPr>
              <w:t>3、</w:t>
            </w:r>
            <w:r>
              <w:rPr>
                <w:rFonts w:hint="eastAsia" w:ascii="宋体" w:hAnsi="宋体" w:eastAsia="宋体" w:cs="黑体"/>
                <w:bCs/>
                <w:color w:val="000000"/>
                <w:sz w:val="24"/>
                <w:szCs w:val="24"/>
                <w:highlight w:val="none"/>
              </w:rPr>
              <w:t>模块齐全，但缺少关键管控参数（如配送时限、冷链温度、验收细则）；流程只有框架，项目定制化内容少，实施需要补充细化。</w:t>
            </w:r>
            <w:r>
              <w:rPr>
                <w:rFonts w:hint="eastAsia" w:ascii="宋体" w:hAnsi="宋体" w:eastAsia="宋体" w:cs="黑体"/>
                <w:b/>
                <w:bCs w:val="0"/>
                <w:color w:val="000000"/>
                <w:sz w:val="24"/>
                <w:szCs w:val="24"/>
                <w:highlight w:val="none"/>
              </w:rPr>
              <w:t xml:space="preserve">得4分； </w:t>
            </w:r>
          </w:p>
          <w:p w14:paraId="392D9966">
            <w:pPr>
              <w:widowControl w:val="0"/>
              <w:spacing w:line="360" w:lineRule="auto"/>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lang w:val="en-US" w:eastAsia="zh-CN"/>
              </w:rPr>
              <w:t>4、关键模块缺失；仅简单文字说明，无车辆人员配置、时效、温控、验收、溯源具体要求，方案为通用文本，不具备落地条件。</w:t>
            </w:r>
            <w:r>
              <w:rPr>
                <w:rFonts w:hint="eastAsia" w:ascii="宋体" w:hAnsi="宋体" w:eastAsia="宋体" w:cs="黑体"/>
                <w:b/>
                <w:bCs w:val="0"/>
                <w:color w:val="000000"/>
                <w:sz w:val="24"/>
                <w:szCs w:val="24"/>
                <w:highlight w:val="none"/>
              </w:rPr>
              <w:t>得2分；</w:t>
            </w:r>
            <w:r>
              <w:rPr>
                <w:rFonts w:hint="eastAsia" w:ascii="宋体" w:hAnsi="宋体" w:eastAsia="宋体" w:cs="黑体"/>
                <w:bCs/>
                <w:color w:val="000000"/>
                <w:sz w:val="24"/>
                <w:szCs w:val="24"/>
                <w:highlight w:val="none"/>
              </w:rPr>
              <w:t xml:space="preserve"> </w:t>
            </w:r>
          </w:p>
          <w:p w14:paraId="7C18AEB5">
            <w:pPr>
              <w:widowControl w:val="0"/>
              <w:spacing w:line="360" w:lineRule="auto"/>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lang w:val="en-US" w:eastAsia="zh-CN"/>
              </w:rPr>
              <w:t>5、</w:t>
            </w:r>
            <w:r>
              <w:rPr>
                <w:rFonts w:hint="eastAsia" w:ascii="宋体" w:hAnsi="宋体" w:eastAsia="宋体" w:cs="黑体"/>
                <w:bCs/>
                <w:color w:val="000000"/>
                <w:sz w:val="24"/>
                <w:szCs w:val="24"/>
                <w:highlight w:val="none"/>
              </w:rPr>
              <w:t>未提供不得分。</w:t>
            </w:r>
          </w:p>
        </w:tc>
        <w:tc>
          <w:tcPr>
            <w:tcW w:w="611" w:type="pct"/>
            <w:vAlign w:val="center"/>
          </w:tcPr>
          <w:p w14:paraId="6A853C72">
            <w:pPr>
              <w:widowControl w:val="0"/>
              <w:spacing w:line="360" w:lineRule="auto"/>
              <w:jc w:val="center"/>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rPr>
              <w:t>8</w:t>
            </w:r>
          </w:p>
        </w:tc>
      </w:tr>
      <w:tr w14:paraId="1D4ECA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412" w:type="pct"/>
            <w:vAlign w:val="center"/>
          </w:tcPr>
          <w:p w14:paraId="47CDD1FA">
            <w:pPr>
              <w:widowControl w:val="0"/>
              <w:spacing w:line="360" w:lineRule="auto"/>
              <w:jc w:val="center"/>
              <w:rPr>
                <w:rFonts w:hint="default" w:ascii="宋体" w:hAnsi="宋体" w:eastAsia="宋体" w:cs="黑体"/>
                <w:bCs/>
                <w:color w:val="000000"/>
                <w:sz w:val="24"/>
                <w:szCs w:val="24"/>
                <w:highlight w:val="none"/>
                <w:lang w:val="en-US" w:eastAsia="zh-CN"/>
              </w:rPr>
            </w:pPr>
            <w:r>
              <w:rPr>
                <w:rFonts w:hint="eastAsia" w:ascii="宋体" w:hAnsi="宋体" w:eastAsia="宋体" w:cs="黑体"/>
                <w:bCs/>
                <w:color w:val="000000"/>
                <w:sz w:val="24"/>
                <w:szCs w:val="24"/>
                <w:highlight w:val="none"/>
                <w:lang w:val="en-US" w:eastAsia="zh-CN"/>
              </w:rPr>
              <w:t>13</w:t>
            </w:r>
          </w:p>
        </w:tc>
        <w:tc>
          <w:tcPr>
            <w:tcW w:w="698" w:type="pct"/>
            <w:vAlign w:val="center"/>
          </w:tcPr>
          <w:p w14:paraId="3A76B096">
            <w:pPr>
              <w:widowControl w:val="0"/>
              <w:spacing w:line="360" w:lineRule="auto"/>
              <w:jc w:val="center"/>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rPr>
              <w:t>增值服务方案</w:t>
            </w:r>
          </w:p>
        </w:tc>
        <w:tc>
          <w:tcPr>
            <w:tcW w:w="3277" w:type="pct"/>
          </w:tcPr>
          <w:p w14:paraId="0658F207">
            <w:pPr>
              <w:widowControl w:val="0"/>
              <w:spacing w:line="360" w:lineRule="auto"/>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rPr>
              <w:t>根据供应商提供的增值服务方案的全面性、合理性及可行性进行综合评分。</w:t>
            </w:r>
          </w:p>
          <w:p w14:paraId="289D27D8">
            <w:pPr>
              <w:widowControl w:val="0"/>
              <w:spacing w:line="360" w:lineRule="auto"/>
              <w:rPr>
                <w:rFonts w:ascii="宋体" w:hAnsi="宋体" w:eastAsia="宋体" w:cs="黑体"/>
                <w:b/>
                <w:bCs w:val="0"/>
                <w:color w:val="000000"/>
                <w:sz w:val="24"/>
                <w:szCs w:val="24"/>
                <w:highlight w:val="none"/>
              </w:rPr>
            </w:pPr>
            <w:r>
              <w:rPr>
                <w:rFonts w:hint="eastAsia" w:ascii="宋体" w:hAnsi="宋体" w:eastAsia="宋体" w:cs="黑体"/>
                <w:bCs/>
                <w:color w:val="000000"/>
                <w:sz w:val="24"/>
                <w:szCs w:val="24"/>
                <w:highlight w:val="none"/>
                <w:lang w:val="en-US" w:eastAsia="zh-CN"/>
              </w:rPr>
              <w:t>1、</w:t>
            </w:r>
            <w:r>
              <w:rPr>
                <w:rFonts w:hint="eastAsia" w:ascii="宋体" w:hAnsi="宋体" w:eastAsia="宋体" w:cs="黑体"/>
                <w:bCs/>
                <w:color w:val="000000"/>
                <w:sz w:val="24"/>
                <w:szCs w:val="24"/>
                <w:highlight w:val="none"/>
              </w:rPr>
              <w:t>提供</w:t>
            </w:r>
            <w:r>
              <w:rPr>
                <w:rFonts w:hint="eastAsia" w:ascii="宋体" w:hAnsi="宋体" w:eastAsia="宋体" w:cs="黑体"/>
                <w:bCs/>
                <w:color w:val="000000"/>
                <w:sz w:val="24"/>
                <w:szCs w:val="24"/>
                <w:highlight w:val="none"/>
                <w:lang w:val="en-US" w:eastAsia="zh-CN"/>
              </w:rPr>
              <w:t>的方案</w:t>
            </w:r>
            <w:r>
              <w:rPr>
                <w:rFonts w:hint="eastAsia" w:ascii="宋体" w:hAnsi="宋体" w:eastAsia="宋体" w:cs="黑体"/>
                <w:bCs/>
                <w:color w:val="000000"/>
                <w:sz w:val="24"/>
                <w:szCs w:val="24"/>
                <w:highlight w:val="none"/>
              </w:rPr>
              <w:t>贴合本食堂就餐人员实际需求的增值服务；每项增值服务写明服务内容、实施方式、频次、保障条件；内容具体，可直接落地实施。</w:t>
            </w:r>
            <w:r>
              <w:rPr>
                <w:rFonts w:hint="eastAsia" w:ascii="宋体" w:hAnsi="宋体" w:eastAsia="宋体" w:cs="黑体"/>
                <w:b/>
                <w:bCs w:val="0"/>
                <w:color w:val="000000"/>
                <w:sz w:val="24"/>
                <w:szCs w:val="24"/>
                <w:highlight w:val="none"/>
              </w:rPr>
              <w:t>得</w:t>
            </w:r>
            <w:r>
              <w:rPr>
                <w:rFonts w:hint="eastAsia" w:ascii="宋体" w:hAnsi="宋体" w:eastAsia="宋体" w:cs="黑体"/>
                <w:b/>
                <w:bCs w:val="0"/>
                <w:color w:val="000000"/>
                <w:sz w:val="24"/>
                <w:szCs w:val="24"/>
                <w:highlight w:val="none"/>
                <w:lang w:val="en-US" w:eastAsia="zh-CN"/>
              </w:rPr>
              <w:t>6</w:t>
            </w:r>
            <w:r>
              <w:rPr>
                <w:rFonts w:hint="eastAsia" w:ascii="宋体" w:hAnsi="宋体" w:eastAsia="宋体" w:cs="黑体"/>
                <w:b/>
                <w:bCs w:val="0"/>
                <w:color w:val="000000"/>
                <w:sz w:val="24"/>
                <w:szCs w:val="24"/>
                <w:highlight w:val="none"/>
              </w:rPr>
              <w:t>分；</w:t>
            </w:r>
          </w:p>
          <w:p w14:paraId="767F81D1">
            <w:pPr>
              <w:widowControl w:val="0"/>
              <w:spacing w:line="360" w:lineRule="auto"/>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lang w:val="en-US" w:eastAsia="zh-CN"/>
              </w:rPr>
              <w:t>2、提供方案贴合本项目需求的增值服务；写明服务内容与实施方式；部分实施细节简略，整体具备可行性。</w:t>
            </w:r>
            <w:r>
              <w:rPr>
                <w:rFonts w:hint="eastAsia" w:ascii="宋体" w:hAnsi="宋体" w:eastAsia="宋体" w:cs="黑体"/>
                <w:b/>
                <w:bCs w:val="0"/>
                <w:color w:val="000000"/>
                <w:sz w:val="24"/>
                <w:szCs w:val="24"/>
                <w:highlight w:val="none"/>
              </w:rPr>
              <w:t>得</w:t>
            </w:r>
            <w:r>
              <w:rPr>
                <w:rFonts w:hint="eastAsia" w:ascii="宋体" w:hAnsi="宋体" w:eastAsia="宋体" w:cs="黑体"/>
                <w:b/>
                <w:bCs w:val="0"/>
                <w:color w:val="000000"/>
                <w:sz w:val="24"/>
                <w:szCs w:val="24"/>
                <w:highlight w:val="none"/>
                <w:lang w:val="en-US" w:eastAsia="zh-CN"/>
              </w:rPr>
              <w:t>4</w:t>
            </w:r>
            <w:r>
              <w:rPr>
                <w:rFonts w:hint="eastAsia" w:ascii="宋体" w:hAnsi="宋体" w:eastAsia="宋体" w:cs="黑体"/>
                <w:b/>
                <w:bCs w:val="0"/>
                <w:color w:val="000000"/>
                <w:sz w:val="24"/>
                <w:szCs w:val="24"/>
                <w:highlight w:val="none"/>
              </w:rPr>
              <w:t>分；</w:t>
            </w:r>
          </w:p>
          <w:p w14:paraId="5F5304BC">
            <w:pPr>
              <w:widowControl w:val="0"/>
              <w:spacing w:line="360" w:lineRule="auto"/>
              <w:rPr>
                <w:rFonts w:ascii="宋体" w:hAnsi="宋体" w:eastAsia="宋体" w:cs="黑体"/>
                <w:b/>
                <w:bCs w:val="0"/>
                <w:color w:val="000000"/>
                <w:sz w:val="24"/>
                <w:szCs w:val="24"/>
                <w:highlight w:val="none"/>
              </w:rPr>
            </w:pPr>
            <w:r>
              <w:rPr>
                <w:rFonts w:hint="eastAsia" w:ascii="宋体" w:hAnsi="宋体" w:eastAsia="宋体" w:cs="黑体"/>
                <w:bCs/>
                <w:color w:val="000000"/>
                <w:sz w:val="24"/>
                <w:szCs w:val="24"/>
                <w:highlight w:val="none"/>
                <w:lang w:val="en-US" w:eastAsia="zh-CN"/>
              </w:rPr>
              <w:t>3、</w:t>
            </w:r>
            <w:r>
              <w:rPr>
                <w:rFonts w:hint="eastAsia" w:ascii="宋体" w:hAnsi="宋体" w:eastAsia="宋体" w:cs="黑体"/>
                <w:bCs/>
                <w:color w:val="000000"/>
                <w:sz w:val="24"/>
                <w:szCs w:val="24"/>
                <w:highlight w:val="none"/>
              </w:rPr>
              <w:t>提供增值服务</w:t>
            </w:r>
            <w:r>
              <w:rPr>
                <w:rFonts w:hint="eastAsia" w:ascii="宋体" w:hAnsi="宋体" w:eastAsia="宋体" w:cs="黑体"/>
                <w:bCs/>
                <w:color w:val="000000"/>
                <w:sz w:val="24"/>
                <w:szCs w:val="24"/>
                <w:highlight w:val="none"/>
                <w:lang w:val="en-US" w:eastAsia="zh-CN"/>
              </w:rPr>
              <w:t>中</w:t>
            </w:r>
            <w:r>
              <w:rPr>
                <w:rFonts w:hint="eastAsia" w:ascii="宋体" w:hAnsi="宋体" w:eastAsia="宋体" w:cs="黑体"/>
                <w:bCs/>
                <w:color w:val="000000"/>
                <w:sz w:val="24"/>
                <w:szCs w:val="24"/>
                <w:highlight w:val="none"/>
              </w:rPr>
              <w:t>仅有服务名称，实施方式、频次、保障条件描述简单，落地存在较多不确定条件。</w:t>
            </w:r>
            <w:r>
              <w:rPr>
                <w:rFonts w:hint="eastAsia" w:ascii="宋体" w:hAnsi="宋体" w:eastAsia="宋体" w:cs="黑体"/>
                <w:b/>
                <w:bCs w:val="0"/>
                <w:color w:val="000000"/>
                <w:sz w:val="24"/>
                <w:szCs w:val="24"/>
                <w:highlight w:val="none"/>
              </w:rPr>
              <w:t>得</w:t>
            </w:r>
            <w:r>
              <w:rPr>
                <w:rFonts w:hint="eastAsia" w:ascii="宋体" w:hAnsi="宋体" w:eastAsia="宋体" w:cs="黑体"/>
                <w:b/>
                <w:bCs w:val="0"/>
                <w:color w:val="000000"/>
                <w:sz w:val="24"/>
                <w:szCs w:val="24"/>
                <w:highlight w:val="none"/>
                <w:lang w:val="en-US" w:eastAsia="zh-CN"/>
              </w:rPr>
              <w:t>2</w:t>
            </w:r>
            <w:r>
              <w:rPr>
                <w:rFonts w:hint="eastAsia" w:ascii="宋体" w:hAnsi="宋体" w:eastAsia="宋体" w:cs="黑体"/>
                <w:b/>
                <w:bCs w:val="0"/>
                <w:color w:val="000000"/>
                <w:sz w:val="24"/>
                <w:szCs w:val="24"/>
                <w:highlight w:val="none"/>
              </w:rPr>
              <w:t xml:space="preserve">分； </w:t>
            </w:r>
          </w:p>
          <w:p w14:paraId="063C4786">
            <w:pPr>
              <w:widowControl w:val="0"/>
              <w:spacing w:line="360" w:lineRule="auto"/>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lang w:val="en-US" w:eastAsia="zh-CN"/>
              </w:rPr>
              <w:t>4、提供增值服务，但服务内容与本项目食堂场景无关；或仅有概念性描述，无任何实施安排，可行性差。</w:t>
            </w:r>
            <w:r>
              <w:rPr>
                <w:rFonts w:hint="eastAsia" w:ascii="宋体" w:hAnsi="宋体" w:eastAsia="宋体" w:cs="黑体"/>
                <w:b/>
                <w:bCs w:val="0"/>
                <w:color w:val="000000"/>
                <w:sz w:val="24"/>
                <w:szCs w:val="24"/>
                <w:highlight w:val="none"/>
              </w:rPr>
              <w:t>得</w:t>
            </w:r>
            <w:r>
              <w:rPr>
                <w:rFonts w:hint="eastAsia" w:ascii="宋体" w:hAnsi="宋体" w:eastAsia="宋体" w:cs="黑体"/>
                <w:b/>
                <w:bCs w:val="0"/>
                <w:color w:val="000000"/>
                <w:sz w:val="24"/>
                <w:szCs w:val="24"/>
                <w:highlight w:val="none"/>
                <w:lang w:val="en-US" w:eastAsia="zh-CN"/>
              </w:rPr>
              <w:t>1</w:t>
            </w:r>
            <w:r>
              <w:rPr>
                <w:rFonts w:hint="eastAsia" w:ascii="宋体" w:hAnsi="宋体" w:eastAsia="宋体" w:cs="黑体"/>
                <w:b/>
                <w:bCs w:val="0"/>
                <w:color w:val="000000"/>
                <w:sz w:val="24"/>
                <w:szCs w:val="24"/>
                <w:highlight w:val="none"/>
              </w:rPr>
              <w:t>分；</w:t>
            </w:r>
            <w:r>
              <w:rPr>
                <w:rFonts w:hint="eastAsia" w:ascii="宋体" w:hAnsi="宋体" w:eastAsia="宋体" w:cs="黑体"/>
                <w:bCs/>
                <w:color w:val="000000"/>
                <w:sz w:val="24"/>
                <w:szCs w:val="24"/>
                <w:highlight w:val="none"/>
              </w:rPr>
              <w:t xml:space="preserve"> </w:t>
            </w:r>
          </w:p>
          <w:p w14:paraId="583BA2FB">
            <w:pPr>
              <w:widowControl w:val="0"/>
              <w:spacing w:line="360" w:lineRule="auto"/>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lang w:val="en-US" w:eastAsia="zh-CN"/>
              </w:rPr>
              <w:t>5、</w:t>
            </w:r>
            <w:r>
              <w:rPr>
                <w:rFonts w:hint="eastAsia" w:ascii="宋体" w:hAnsi="宋体" w:eastAsia="宋体" w:cs="黑体"/>
                <w:bCs/>
                <w:color w:val="000000"/>
                <w:sz w:val="24"/>
                <w:szCs w:val="24"/>
                <w:highlight w:val="none"/>
              </w:rPr>
              <w:t>未提供不得分。</w:t>
            </w:r>
          </w:p>
        </w:tc>
        <w:tc>
          <w:tcPr>
            <w:tcW w:w="611" w:type="pct"/>
            <w:vAlign w:val="center"/>
          </w:tcPr>
          <w:p w14:paraId="125F56BB">
            <w:pPr>
              <w:widowControl w:val="0"/>
              <w:spacing w:line="360" w:lineRule="auto"/>
              <w:jc w:val="center"/>
              <w:rPr>
                <w:rFonts w:ascii="宋体" w:hAnsi="宋体" w:eastAsia="宋体" w:cs="黑体"/>
                <w:bCs/>
                <w:color w:val="000000"/>
                <w:sz w:val="24"/>
                <w:szCs w:val="24"/>
                <w:highlight w:val="none"/>
              </w:rPr>
            </w:pPr>
            <w:r>
              <w:rPr>
                <w:rFonts w:hint="eastAsia" w:ascii="宋体" w:hAnsi="宋体" w:eastAsia="宋体" w:cs="黑体"/>
                <w:bCs/>
                <w:color w:val="000000"/>
                <w:sz w:val="24"/>
                <w:szCs w:val="24"/>
                <w:highlight w:val="none"/>
              </w:rPr>
              <w:t>6</w:t>
            </w:r>
          </w:p>
        </w:tc>
      </w:tr>
    </w:tbl>
    <w:p w14:paraId="203B48C2">
      <w:pPr>
        <w:pBdr>
          <w:top w:val="none" w:color="000000" w:sz="0" w:space="0"/>
          <w:left w:val="none" w:color="000000" w:sz="0" w:space="0"/>
          <w:bottom w:val="none" w:color="000000" w:sz="0" w:space="0"/>
          <w:right w:val="none" w:color="000000" w:sz="0" w:space="0"/>
        </w:pBdr>
        <w:spacing w:line="360" w:lineRule="auto"/>
        <w:jc w:val="both"/>
        <w:rPr>
          <w:rFonts w:ascii="宋体" w:hAnsi="宋体" w:eastAsia="宋体" w:cs="宋体"/>
          <w:sz w:val="24"/>
          <w:szCs w:val="24"/>
          <w:highlight w:val="none"/>
        </w:rPr>
      </w:pPr>
      <w:r>
        <w:rPr>
          <w:rFonts w:hint="eastAsia" w:ascii="宋体" w:hAnsi="宋体" w:eastAsia="宋体" w:cs="宋体"/>
          <w:sz w:val="24"/>
          <w:szCs w:val="24"/>
          <w:highlight w:val="none"/>
        </w:rPr>
        <w:t xml:space="preserve"> </w:t>
      </w:r>
    </w:p>
    <w:p w14:paraId="598C2FA1">
      <w:pPr>
        <w:spacing w:line="360" w:lineRule="auto"/>
        <w:rPr>
          <w:rFonts w:ascii="宋体" w:hAnsi="宋体" w:eastAsia="宋体" w:cs="宋体"/>
          <w:sz w:val="36"/>
          <w:highlight w:val="none"/>
        </w:rPr>
      </w:pPr>
      <w:r>
        <w:rPr>
          <w:rFonts w:hint="eastAsia" w:ascii="宋体" w:hAnsi="宋体" w:eastAsia="宋体" w:cs="宋体"/>
          <w:sz w:val="24"/>
          <w:szCs w:val="24"/>
          <w:highlight w:val="none"/>
        </w:rPr>
        <w:br w:type="page" w:clear="all"/>
      </w:r>
    </w:p>
    <w:p w14:paraId="4968BB6A">
      <w:pPr>
        <w:pBdr>
          <w:top w:val="none" w:color="000000" w:sz="0" w:space="0"/>
          <w:left w:val="none" w:color="000000" w:sz="0" w:space="0"/>
          <w:bottom w:val="none" w:color="000000" w:sz="0" w:space="0"/>
          <w:right w:val="none" w:color="000000" w:sz="0" w:space="0"/>
        </w:pBdr>
        <w:spacing w:before="120" w:after="120"/>
        <w:jc w:val="center"/>
        <w:outlineLvl w:val="0"/>
        <w:rPr>
          <w:rFonts w:ascii="宋体" w:hAnsi="宋体" w:eastAsia="宋体" w:cs="宋体"/>
          <w:sz w:val="24"/>
          <w:highlight w:val="none"/>
        </w:rPr>
      </w:pPr>
      <w:bookmarkStart w:id="41" w:name="_Toc6670"/>
      <w:bookmarkStart w:id="42" w:name="_Toc14966"/>
      <w:bookmarkStart w:id="43" w:name="_Toc31249"/>
      <w:bookmarkStart w:id="44" w:name="_Toc19601"/>
      <w:r>
        <w:rPr>
          <w:rFonts w:hint="eastAsia" w:ascii="宋体" w:hAnsi="宋体" w:eastAsia="宋体" w:cs="宋体"/>
          <w:b/>
          <w:bCs/>
          <w:sz w:val="36"/>
          <w:highlight w:val="none"/>
        </w:rPr>
        <w:t>第四章  采购需求</w:t>
      </w:r>
      <w:bookmarkEnd w:id="41"/>
      <w:bookmarkEnd w:id="42"/>
      <w:bookmarkEnd w:id="43"/>
      <w:bookmarkEnd w:id="44"/>
    </w:p>
    <w:p w14:paraId="5BA539EC">
      <w:pPr>
        <w:widowControl w:val="0"/>
        <w:spacing w:line="360" w:lineRule="auto"/>
        <w:ind w:firstLine="482"/>
        <w:outlineLvl w:val="1"/>
        <w:rPr>
          <w:rFonts w:ascii="宋体" w:hAnsi="宋体" w:cs="黑体"/>
          <w:b/>
          <w:color w:val="000000"/>
          <w:sz w:val="36"/>
          <w:szCs w:val="36"/>
          <w:highlight w:val="none"/>
        </w:rPr>
      </w:pPr>
      <w:bookmarkStart w:id="45" w:name="_Toc31705"/>
      <w:bookmarkStart w:id="46" w:name="_Toc25764"/>
      <w:bookmarkStart w:id="47" w:name="_Toc16522"/>
      <w:r>
        <w:rPr>
          <w:rFonts w:hint="eastAsia" w:ascii="宋体" w:hAnsi="宋体" w:eastAsia="宋体" w:cs="宋体"/>
          <w:b/>
          <w:bCs/>
          <w:color w:val="000000"/>
          <w:spacing w:val="7"/>
          <w:sz w:val="24"/>
          <w:szCs w:val="24"/>
          <w:highlight w:val="none"/>
        </w:rPr>
        <w:t>一、项目基本情况</w:t>
      </w:r>
      <w:bookmarkEnd w:id="45"/>
      <w:bookmarkEnd w:id="46"/>
      <w:bookmarkEnd w:id="47"/>
    </w:p>
    <w:p w14:paraId="266C2783">
      <w:pPr>
        <w:widowControl w:val="0"/>
        <w:spacing w:line="360" w:lineRule="auto"/>
        <w:ind w:firstLine="482"/>
        <w:rPr>
          <w:rFonts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（一）项目概况</w:t>
      </w:r>
    </w:p>
    <w:p w14:paraId="18084F08">
      <w:pPr>
        <w:widowControl w:val="0"/>
        <w:spacing w:line="360" w:lineRule="auto"/>
        <w:ind w:firstLine="480"/>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为进一步规范管理，提升后勤保障能力，对南京市公安局江宁分局采购交警大队食堂和秦淮路机动中队食堂进行外包服务，若逢节假日或者特殊时期根据采购人要求需提供用餐保障。</w:t>
      </w:r>
    </w:p>
    <w:p w14:paraId="24371CA6">
      <w:pPr>
        <w:widowControl w:val="0"/>
        <w:spacing w:line="360" w:lineRule="auto"/>
        <w:ind w:firstLine="480"/>
        <w:rPr>
          <w:rFonts w:ascii="宋体" w:hAnsi="宋体" w:eastAsia="宋体" w:cs="仿宋"/>
          <w:b/>
          <w:bCs/>
          <w:color w:val="000000"/>
          <w:sz w:val="24"/>
          <w:szCs w:val="24"/>
          <w:highlight w:val="none"/>
        </w:rPr>
      </w:pPr>
      <w:r>
        <w:rPr>
          <w:rFonts w:hint="eastAsia" w:ascii="宋体" w:hAnsi="宋体" w:eastAsia="宋体" w:cs="仿宋"/>
          <w:color w:val="000000"/>
          <w:sz w:val="24"/>
          <w:szCs w:val="24"/>
          <w:highlight w:val="none"/>
        </w:rPr>
        <w:t>本次项目服务有效期为一年</w:t>
      </w:r>
      <w:r>
        <w:rPr>
          <w:rFonts w:ascii="宋体" w:hAnsi="宋体" w:eastAsia="宋体" w:cs="仿宋"/>
          <w:color w:val="000000"/>
          <w:sz w:val="24"/>
          <w:szCs w:val="24"/>
          <w:highlight w:val="none"/>
        </w:rPr>
        <w:t>。</w:t>
      </w:r>
    </w:p>
    <w:p w14:paraId="66B85839">
      <w:pPr>
        <w:widowControl w:val="0"/>
        <w:spacing w:line="360" w:lineRule="auto"/>
        <w:ind w:firstLine="482"/>
        <w:rPr>
          <w:rFonts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（二）服务内容</w:t>
      </w:r>
    </w:p>
    <w:p w14:paraId="5F8D37E3">
      <w:pPr>
        <w:widowControl w:val="0"/>
        <w:spacing w:line="360" w:lineRule="auto"/>
        <w:ind w:firstLine="480"/>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1、承</w:t>
      </w:r>
      <w:r>
        <w:rPr>
          <w:rFonts w:hint="eastAsia" w:ascii="宋体" w:hAnsi="宋体" w:eastAsia="宋体" w:cs="仿宋"/>
          <w:color w:val="000000"/>
          <w:sz w:val="24"/>
          <w:szCs w:val="24"/>
          <w:highlight w:val="none"/>
        </w:rPr>
        <w:t>担</w:t>
      </w:r>
      <w:r>
        <w:rPr>
          <w:rFonts w:hint="eastAsia" w:ascii="宋体" w:hAnsi="宋体" w:eastAsia="宋体" w:cs="仿宋"/>
          <w:color w:val="000000"/>
          <w:sz w:val="24"/>
          <w:szCs w:val="24"/>
          <w:highlight w:val="none"/>
          <w:lang w:eastAsia="zh-CN"/>
        </w:rPr>
        <w:t>南京市公安局江宁分局采购交警大队食堂和秦淮路机动中队食堂外包服务</w:t>
      </w:r>
      <w:r>
        <w:rPr>
          <w:rFonts w:hint="eastAsia" w:ascii="宋体" w:hAnsi="宋体" w:eastAsia="宋体" w:cs="仿宋"/>
          <w:color w:val="000000"/>
          <w:sz w:val="24"/>
          <w:szCs w:val="24"/>
          <w:highlight w:val="none"/>
        </w:rPr>
        <w:t>，</w:t>
      </w:r>
      <w:r>
        <w:rPr>
          <w:rFonts w:hint="eastAsia" w:ascii="宋体" w:hAnsi="宋体"/>
          <w:color w:val="000000"/>
          <w:sz w:val="24"/>
          <w:highlight w:val="none"/>
          <w:lang w:val="zh-CN"/>
        </w:rPr>
        <w:t>项目地</w:t>
      </w:r>
      <w:r>
        <w:rPr>
          <w:rFonts w:hint="eastAsia" w:ascii="宋体" w:hAnsi="宋体"/>
          <w:color w:val="000000"/>
          <w:sz w:val="24"/>
          <w:highlight w:val="none"/>
          <w:lang w:val="zh-CN"/>
        </w:rPr>
        <w:t>址为</w:t>
      </w:r>
      <w:r>
        <w:rPr>
          <w:rFonts w:hint="eastAsia" w:ascii="宋体" w:hAnsi="宋体"/>
          <w:color w:val="000000"/>
          <w:sz w:val="24"/>
          <w:highlight w:val="none"/>
        </w:rPr>
        <w:t>南京市江宁区临麒南路8号和南京市江宁区秦淮路18号。（具体项目地址以甲方需求为主，若后期服务人数、服务地址或设备变动，中标人需遵从甲方意见。）</w:t>
      </w:r>
      <w:r>
        <w:rPr>
          <w:rFonts w:hint="eastAsia" w:ascii="宋体" w:hAnsi="宋体" w:eastAsia="宋体" w:cs="仿宋"/>
          <w:color w:val="000000"/>
          <w:sz w:val="24"/>
          <w:szCs w:val="24"/>
          <w:highlight w:val="none"/>
        </w:rPr>
        <w:t>包括但不限于食材采购、保存、加工、制作、食品留样、餐具清洗消毒以及环境卫生、食品卫生、除四害</w:t>
      </w:r>
      <w:r>
        <w:rPr>
          <w:rFonts w:hint="eastAsia" w:ascii="宋体" w:hAnsi="宋体" w:eastAsia="宋体" w:cs="仿宋"/>
          <w:color w:val="000000"/>
          <w:sz w:val="24"/>
          <w:szCs w:val="24"/>
          <w:highlight w:val="none"/>
          <w:lang w:eastAsia="zh-CN"/>
        </w:rPr>
        <w:t>、</w:t>
      </w:r>
      <w:r>
        <w:rPr>
          <w:rFonts w:hint="eastAsia" w:ascii="宋体" w:hAnsi="宋体" w:eastAsia="宋体" w:cs="仿宋"/>
          <w:color w:val="000000"/>
          <w:sz w:val="24"/>
          <w:szCs w:val="24"/>
          <w:highlight w:val="none"/>
          <w:lang w:eastAsia="zh-CN"/>
        </w:rPr>
        <w:t>厨余垃圾清运</w:t>
      </w:r>
      <w:r>
        <w:rPr>
          <w:rFonts w:hint="eastAsia" w:ascii="宋体" w:hAnsi="宋体" w:eastAsia="宋体" w:cs="仿宋"/>
          <w:color w:val="000000"/>
          <w:sz w:val="24"/>
          <w:szCs w:val="24"/>
          <w:highlight w:val="none"/>
        </w:rPr>
        <w:t>等</w:t>
      </w:r>
      <w:r>
        <w:rPr>
          <w:rFonts w:hint="eastAsia" w:ascii="宋体" w:hAnsi="宋体" w:eastAsia="宋体" w:cs="仿宋"/>
          <w:color w:val="000000"/>
          <w:sz w:val="24"/>
          <w:szCs w:val="24"/>
          <w:highlight w:val="none"/>
          <w:lang w:val="en-US" w:eastAsia="zh-CN"/>
        </w:rPr>
        <w:t>工作</w:t>
      </w:r>
      <w:r>
        <w:rPr>
          <w:rFonts w:hint="eastAsia" w:ascii="宋体" w:hAnsi="宋体" w:eastAsia="宋体" w:cs="仿宋"/>
          <w:color w:val="000000"/>
          <w:sz w:val="24"/>
          <w:szCs w:val="24"/>
          <w:highlight w:val="none"/>
        </w:rPr>
        <w:t>；须在确保服务质量的前提下，厉行节约、控制成本，杜绝浪费；须严格执行《食品安全法》等相关法律法规要求，严格落实食品安全管理制度，如因食品安全、餐饮质量等问题而产生任何后果，一切损失和责任均由中标人承担。情节严重的，依法追究责任。</w:t>
      </w:r>
    </w:p>
    <w:p w14:paraId="68CD1A88">
      <w:pPr>
        <w:widowControl w:val="0"/>
        <w:spacing w:line="360" w:lineRule="auto"/>
        <w:ind w:firstLine="480"/>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2、两处早餐约200人、午餐约240人、晚餐约90人。</w:t>
      </w:r>
      <w:r>
        <w:rPr>
          <w:rFonts w:hint="eastAsia" w:ascii="宋体" w:hAnsi="宋体" w:eastAsia="宋体" w:cs="仿宋"/>
          <w:b/>
          <w:bCs/>
          <w:color w:val="000000"/>
          <w:sz w:val="24"/>
          <w:szCs w:val="24"/>
          <w:highlight w:val="none"/>
        </w:rPr>
        <w:t>最高限价餐标50</w:t>
      </w:r>
      <w:r>
        <w:rPr>
          <w:rFonts w:ascii="宋体" w:hAnsi="宋体" w:eastAsia="宋体" w:cs="仿宋"/>
          <w:b/>
          <w:bCs/>
          <w:color w:val="000000"/>
          <w:sz w:val="24"/>
          <w:szCs w:val="24"/>
          <w:highlight w:val="none"/>
        </w:rPr>
        <w:t>元</w:t>
      </w:r>
      <w:r>
        <w:rPr>
          <w:rFonts w:hint="eastAsia" w:ascii="宋体" w:hAnsi="宋体" w:eastAsia="宋体" w:cs="仿宋"/>
          <w:b/>
          <w:bCs/>
          <w:color w:val="000000"/>
          <w:sz w:val="24"/>
          <w:szCs w:val="24"/>
          <w:highlight w:val="none"/>
        </w:rPr>
        <w:t>/人/日（早餐餐标约</w:t>
      </w:r>
      <w:r>
        <w:rPr>
          <w:rFonts w:ascii="宋体" w:hAnsi="宋体" w:eastAsia="宋体" w:cs="仿宋"/>
          <w:b/>
          <w:bCs/>
          <w:color w:val="000000"/>
          <w:sz w:val="24"/>
          <w:szCs w:val="24"/>
          <w:highlight w:val="none"/>
        </w:rPr>
        <w:t>1</w:t>
      </w:r>
      <w:r>
        <w:rPr>
          <w:rFonts w:hint="eastAsia" w:ascii="宋体" w:hAnsi="宋体" w:eastAsia="宋体" w:cs="仿宋"/>
          <w:b/>
          <w:bCs/>
          <w:color w:val="000000"/>
          <w:sz w:val="24"/>
          <w:szCs w:val="24"/>
          <w:highlight w:val="none"/>
        </w:rPr>
        <w:t>0元/</w:t>
      </w:r>
      <w:r>
        <w:rPr>
          <w:rFonts w:ascii="宋体" w:hAnsi="宋体" w:eastAsia="宋体" w:cs="仿宋"/>
          <w:b/>
          <w:bCs/>
          <w:color w:val="000000"/>
          <w:sz w:val="24"/>
          <w:szCs w:val="24"/>
          <w:highlight w:val="none"/>
        </w:rPr>
        <w:t>人、</w:t>
      </w:r>
      <w:r>
        <w:rPr>
          <w:rFonts w:hint="eastAsia" w:ascii="宋体" w:hAnsi="宋体" w:eastAsia="宋体" w:cs="仿宋"/>
          <w:b/>
          <w:bCs/>
          <w:color w:val="000000"/>
          <w:sz w:val="24"/>
          <w:szCs w:val="24"/>
          <w:highlight w:val="none"/>
        </w:rPr>
        <w:t>中餐餐标约20元/</w:t>
      </w:r>
      <w:r>
        <w:rPr>
          <w:rFonts w:ascii="宋体" w:hAnsi="宋体" w:eastAsia="宋体" w:cs="仿宋"/>
          <w:b/>
          <w:bCs/>
          <w:color w:val="000000"/>
          <w:sz w:val="24"/>
          <w:szCs w:val="24"/>
          <w:highlight w:val="none"/>
        </w:rPr>
        <w:t>人、</w:t>
      </w:r>
      <w:r>
        <w:rPr>
          <w:rFonts w:hint="eastAsia" w:ascii="宋体" w:hAnsi="宋体" w:eastAsia="宋体" w:cs="仿宋"/>
          <w:b/>
          <w:bCs/>
          <w:color w:val="000000"/>
          <w:sz w:val="24"/>
          <w:szCs w:val="24"/>
          <w:highlight w:val="none"/>
        </w:rPr>
        <w:t>晚餐餐标约20元/</w:t>
      </w:r>
      <w:r>
        <w:rPr>
          <w:rFonts w:ascii="宋体" w:hAnsi="宋体" w:eastAsia="宋体" w:cs="仿宋"/>
          <w:b/>
          <w:bCs/>
          <w:color w:val="000000"/>
          <w:sz w:val="24"/>
          <w:szCs w:val="24"/>
          <w:highlight w:val="none"/>
        </w:rPr>
        <w:t>人</w:t>
      </w:r>
      <w:r>
        <w:rPr>
          <w:rFonts w:hint="eastAsia" w:ascii="宋体" w:hAnsi="宋体" w:eastAsia="宋体" w:cs="仿宋"/>
          <w:color w:val="000000"/>
          <w:sz w:val="24"/>
          <w:szCs w:val="24"/>
          <w:highlight w:val="none"/>
        </w:rPr>
        <w:t>，具体中标后按照和甲方协商的餐标标准实际分配</w:t>
      </w:r>
      <w:r>
        <w:rPr>
          <w:rFonts w:ascii="宋体" w:hAnsi="宋体" w:eastAsia="宋体" w:cs="仿宋"/>
          <w:color w:val="000000"/>
          <w:sz w:val="24"/>
          <w:szCs w:val="24"/>
          <w:highlight w:val="none"/>
        </w:rPr>
        <w:t>）。</w:t>
      </w:r>
    </w:p>
    <w:p w14:paraId="7C4E2DAC">
      <w:pPr>
        <w:widowControl w:val="0"/>
        <w:spacing w:line="360" w:lineRule="auto"/>
        <w:ind w:firstLine="480"/>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3、安排接待工作用餐以及临时勤务保障等，总服务人数不可少于12人。</w:t>
      </w:r>
    </w:p>
    <w:p w14:paraId="3B1317F6">
      <w:pPr>
        <w:widowControl w:val="0"/>
        <w:spacing w:line="360" w:lineRule="auto"/>
        <w:ind w:firstLine="480"/>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4、人员成本及管理费用不可超过总结算费用的30%。</w:t>
      </w:r>
    </w:p>
    <w:p w14:paraId="4BBB57E6">
      <w:pPr>
        <w:widowControl w:val="0"/>
        <w:spacing w:line="360" w:lineRule="auto"/>
        <w:ind w:firstLine="482"/>
        <w:rPr>
          <w:rFonts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（三）服务要求</w:t>
      </w:r>
    </w:p>
    <w:p w14:paraId="369DA9FA">
      <w:pPr>
        <w:widowControl w:val="0"/>
        <w:spacing w:line="360" w:lineRule="auto"/>
        <w:ind w:firstLine="480"/>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1、早餐品种要求：</w:t>
      </w:r>
    </w:p>
    <w:p w14:paraId="474F595F">
      <w:pPr>
        <w:widowControl w:val="0"/>
        <w:spacing w:line="360" w:lineRule="auto"/>
        <w:ind w:firstLine="480"/>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至少提供8类10个品种，其中蒸类1种（包子、烧卖等）、煎烤类1种（煎饼、麻团、油条、蛋糕等）、杂粮1种（红薯、山药等）、蛋类1种（煎蛋、茶叶蛋等）、主食3种（面条、水饺、稀饭、炒饭等）、饮品1种（牛奶、豆浆）、蔬菜1种、自制咸菜2种。</w:t>
      </w:r>
    </w:p>
    <w:p w14:paraId="19B61117">
      <w:pPr>
        <w:widowControl w:val="0"/>
        <w:spacing w:line="360" w:lineRule="auto"/>
        <w:ind w:firstLine="480"/>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2.中餐、晚餐模式及标准：</w:t>
      </w:r>
    </w:p>
    <w:p w14:paraId="48848BDE">
      <w:pPr>
        <w:widowControl w:val="0"/>
        <w:spacing w:line="360" w:lineRule="auto"/>
        <w:ind w:firstLine="480"/>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中餐和晚餐主食为米饭，搭配馒头、花卷、杂粮，实行五菜一汤，大荤两个（二选一）、小荤两个、素菜（蔬菜或豆制品）两个、汤一份、水果或酸奶一份，每周大荤需提供两次以上牛肉、活虾等健康伙食，每周提供一次以上拉面、火锅、米线等风味菜品，传统佳节提供适宜传统美食，夏季高温提供酸梅汤、绿豆汤等降暑饮品。</w:t>
      </w:r>
    </w:p>
    <w:p w14:paraId="46316B09">
      <w:pPr>
        <w:widowControl w:val="0"/>
        <w:spacing w:line="360" w:lineRule="auto"/>
        <w:ind w:firstLine="480"/>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3．供餐时间：每日早餐7:30-8:50；中餐12:00-13:00；晚餐18:00-19:00。餐饮全年供应，周末、节假日供应商应调配好人员做好就餐保障工作，时间不变。重大节日或特殊原因需要调整提供就餐服务时，供应商根据采购人通知执行。</w:t>
      </w:r>
    </w:p>
    <w:p w14:paraId="4376A89D">
      <w:pPr>
        <w:widowControl w:val="0"/>
        <w:spacing w:line="360" w:lineRule="auto"/>
        <w:ind w:firstLine="480"/>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就餐时间采购人可根据自身情况另行调整，收到调整通知后供应商应无条件配合，不增加费用。</w:t>
      </w:r>
    </w:p>
    <w:p w14:paraId="619DAC6E">
      <w:pPr>
        <w:widowControl w:val="0"/>
        <w:spacing w:line="360" w:lineRule="auto"/>
        <w:ind w:firstLine="480"/>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提供紧急工作用餐以及临时勤务保障，所提供的菜品须经采购人确认。</w:t>
      </w:r>
    </w:p>
    <w:p w14:paraId="206FE98E">
      <w:pPr>
        <w:widowControl w:val="0"/>
        <w:spacing w:line="360" w:lineRule="auto"/>
        <w:ind w:firstLine="480"/>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因工作特性，不定期有临时外出任务，人员无法按时到食堂就餐的，中标人无条件预留餐食，并做好保温存放，确保归队人员随时能吃上热菜热饭。</w:t>
      </w:r>
    </w:p>
    <w:p w14:paraId="54064EDF">
      <w:pPr>
        <w:widowControl w:val="0"/>
        <w:spacing w:line="360" w:lineRule="auto"/>
        <w:ind w:firstLine="480"/>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员工以刷卡形式就餐，中标人配合采购人现场刷卡管理。</w:t>
      </w:r>
    </w:p>
    <w:p w14:paraId="3C3551F4">
      <w:pPr>
        <w:widowControl w:val="0"/>
        <w:spacing w:line="360" w:lineRule="auto"/>
        <w:ind w:firstLine="480"/>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在接到采购人临时加班要求时，须全力配合，迅速调度人员，完成采购人指定的加班等应急任务供餐需要。</w:t>
      </w:r>
    </w:p>
    <w:p w14:paraId="542AE826">
      <w:pPr>
        <w:widowControl w:val="0"/>
        <w:spacing w:line="360" w:lineRule="auto"/>
        <w:ind w:firstLine="502"/>
        <w:rPr>
          <w:rFonts w:ascii="宋体" w:hAnsi="宋体" w:eastAsia="宋体" w:cs="宋体"/>
          <w:b/>
          <w:bCs/>
          <w:color w:val="000000"/>
          <w:sz w:val="24"/>
          <w:szCs w:val="24"/>
          <w:highlight w:val="none"/>
        </w:rPr>
      </w:pPr>
      <w:r>
        <w:rPr>
          <w:rFonts w:hint="eastAsia" w:ascii="宋体" w:hAnsi="宋体" w:eastAsia="宋体" w:cs="宋体"/>
          <w:b/>
          <w:bCs/>
          <w:color w:val="000000"/>
          <w:spacing w:val="5"/>
          <w:sz w:val="24"/>
          <w:szCs w:val="24"/>
          <w:highlight w:val="none"/>
        </w:rPr>
        <w:t>（四）正常就餐以外的服务</w:t>
      </w:r>
    </w:p>
    <w:p w14:paraId="7302A11E">
      <w:pPr>
        <w:widowControl w:val="0"/>
        <w:spacing w:line="360" w:lineRule="auto"/>
        <w:ind w:firstLine="508"/>
        <w:rPr>
          <w:rFonts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1、遇重大活动、安保等，需保障现场执勤警力就餐，一般模式保障主要为盒饭；特殊模式为协</w:t>
      </w:r>
      <w:r>
        <w:rPr>
          <w:rFonts w:hint="eastAsia" w:ascii="宋体" w:hAnsi="宋体" w:eastAsia="宋体" w:cs="宋体"/>
          <w:color w:val="000000"/>
          <w:spacing w:val="6"/>
          <w:sz w:val="24"/>
          <w:szCs w:val="24"/>
          <w:highlight w:val="none"/>
        </w:rPr>
        <w:t>调社会</w:t>
      </w:r>
      <w:r>
        <w:rPr>
          <w:rFonts w:hint="eastAsia" w:ascii="宋体" w:hAnsi="宋体" w:eastAsia="宋体" w:cs="宋体"/>
          <w:color w:val="000000"/>
          <w:spacing w:val="9"/>
          <w:sz w:val="24"/>
          <w:szCs w:val="24"/>
          <w:highlight w:val="none"/>
        </w:rPr>
        <w:t>餐饮供应（例如安保任务现场等</w:t>
      </w:r>
      <w:r>
        <w:rPr>
          <w:rFonts w:hint="eastAsia" w:ascii="宋体" w:hAnsi="宋体" w:eastAsia="宋体" w:cs="宋体"/>
          <w:color w:val="000000"/>
          <w:sz w:val="24"/>
          <w:szCs w:val="24"/>
          <w:highlight w:val="none"/>
        </w:rPr>
        <w:t>）；</w:t>
      </w:r>
    </w:p>
    <w:p w14:paraId="549F9737">
      <w:pPr>
        <w:widowControl w:val="0"/>
        <w:spacing w:line="360" w:lineRule="auto"/>
        <w:ind w:firstLine="528"/>
        <w:rPr>
          <w:rFonts w:ascii="宋体" w:hAnsi="宋体" w:eastAsia="宋体" w:cs="宋体"/>
          <w:color w:val="000000"/>
          <w:sz w:val="24"/>
          <w:szCs w:val="24"/>
          <w:highlight w:val="none"/>
        </w:rPr>
      </w:pPr>
      <w:r>
        <w:rPr>
          <w:rFonts w:hint="eastAsia" w:ascii="宋体" w:hAnsi="宋体" w:eastAsia="宋体" w:cs="宋体"/>
          <w:color w:val="000000"/>
          <w:spacing w:val="12"/>
          <w:sz w:val="24"/>
          <w:szCs w:val="24"/>
          <w:highlight w:val="none"/>
        </w:rPr>
        <w:t>2、</w:t>
      </w:r>
      <w:r>
        <w:rPr>
          <w:rFonts w:hint="eastAsia" w:ascii="宋体" w:hAnsi="宋体" w:eastAsia="宋体"/>
          <w:color w:val="000000"/>
          <w:sz w:val="24"/>
          <w:szCs w:val="24"/>
          <w:highlight w:val="none"/>
        </w:rPr>
        <w:t>在接到甲方临时加班要求时，须全力配合，迅速调度人员，完成甲方指定的加班等应急任务供餐</w:t>
      </w:r>
      <w:r>
        <w:rPr>
          <w:rFonts w:hint="eastAsia" w:ascii="宋体" w:hAnsi="宋体" w:eastAsia="宋体" w:cs="宋体"/>
          <w:color w:val="000000"/>
          <w:spacing w:val="12"/>
          <w:sz w:val="24"/>
          <w:szCs w:val="24"/>
          <w:highlight w:val="none"/>
        </w:rPr>
        <w:t>需要</w:t>
      </w:r>
      <w:r>
        <w:rPr>
          <w:rFonts w:hint="eastAsia" w:ascii="宋体" w:hAnsi="宋体" w:eastAsia="宋体" w:cs="宋体"/>
          <w:color w:val="000000"/>
          <w:spacing w:val="6"/>
          <w:sz w:val="24"/>
          <w:szCs w:val="24"/>
          <w:highlight w:val="none"/>
        </w:rPr>
        <w:t>。</w:t>
      </w:r>
    </w:p>
    <w:p w14:paraId="55E84311">
      <w:pPr>
        <w:pStyle w:val="217"/>
        <w:widowControl w:val="0"/>
        <w:rPr>
          <w:rFonts w:cs="宋体"/>
          <w:color w:val="000000"/>
          <w:spacing w:val="6"/>
          <w:sz w:val="24"/>
          <w:szCs w:val="24"/>
          <w:highlight w:val="none"/>
        </w:rPr>
      </w:pPr>
      <w:r>
        <w:rPr>
          <w:rFonts w:hint="eastAsia" w:cs="宋体"/>
          <w:color w:val="000000"/>
          <w:spacing w:val="6"/>
          <w:sz w:val="24"/>
          <w:szCs w:val="24"/>
          <w:highlight w:val="none"/>
        </w:rPr>
        <w:t>3、如果出现设备损坏、食堂无法开火的情况，</w:t>
      </w:r>
      <w:r>
        <w:rPr>
          <w:rFonts w:hint="eastAsia" w:cs="仿宋"/>
          <w:color w:val="000000"/>
          <w:sz w:val="24"/>
          <w:szCs w:val="24"/>
          <w:highlight w:val="none"/>
        </w:rPr>
        <w:t>中标人</w:t>
      </w:r>
      <w:r>
        <w:rPr>
          <w:rFonts w:hint="eastAsia" w:cs="宋体"/>
          <w:color w:val="000000"/>
          <w:spacing w:val="6"/>
          <w:sz w:val="24"/>
          <w:szCs w:val="24"/>
          <w:highlight w:val="none"/>
        </w:rPr>
        <w:t>需有应急方案，例如调配其他食堂的盒饭等。</w:t>
      </w:r>
    </w:p>
    <w:p w14:paraId="41B97D68">
      <w:pPr>
        <w:widowControl w:val="0"/>
        <w:spacing w:line="360" w:lineRule="auto"/>
        <w:ind w:firstLine="482"/>
        <w:outlineLvl w:val="1"/>
        <w:rPr>
          <w:rFonts w:ascii="宋体" w:hAnsi="宋体" w:eastAsia="宋体" w:cs="宋体"/>
          <w:bCs/>
          <w:color w:val="000000"/>
          <w:sz w:val="24"/>
          <w:szCs w:val="24"/>
          <w:highlight w:val="none"/>
        </w:rPr>
      </w:pPr>
      <w:bookmarkStart w:id="48" w:name="_Toc26406"/>
      <w:bookmarkStart w:id="49" w:name="_Toc84"/>
      <w:bookmarkStart w:id="50" w:name="_Toc31048"/>
      <w:r>
        <w:rPr>
          <w:rFonts w:hint="eastAsia" w:ascii="宋体" w:hAnsi="宋体" w:eastAsia="宋体" w:cs="宋体"/>
          <w:b/>
          <w:color w:val="000000"/>
          <w:sz w:val="24"/>
          <w:szCs w:val="24"/>
          <w:highlight w:val="none"/>
        </w:rPr>
        <w:t>二、项目报价要求</w:t>
      </w:r>
      <w:bookmarkEnd w:id="48"/>
      <w:bookmarkEnd w:id="49"/>
      <w:bookmarkEnd w:id="50"/>
    </w:p>
    <w:p w14:paraId="23D4D83E">
      <w:pPr>
        <w:widowControl w:val="0"/>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1、就餐费用：费用以实际就餐人数（区别早中晚餐）结算，包括且不限于为完成本项目所发生的原材料费用、派驻人员工资、人员保险、福利、服装、社保、劳保用品、防护用品、管理费、风险评估费、招标文件要求的所有费用及利润、税金、政策性文件规定及合同内的所有风险、责任等各项应有费用。对餐饮服务正常运行应当具有的物资和服务理解不一致的以采购人理解为准。</w:t>
      </w:r>
    </w:p>
    <w:p w14:paraId="01672B8C">
      <w:pPr>
        <w:widowControl w:val="0"/>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2、投标人的任何错漏、优惠、竞争性报价不得作为减轻责任、减少服务、增加收费、降低质量的理由。   </w:t>
      </w:r>
    </w:p>
    <w:p w14:paraId="6D07A1A7">
      <w:pPr>
        <w:widowControl w:val="0"/>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3、投标人应充分考虑所有可能影响到报价的价格及政策等风险因素，一旦成交，采购人不再向</w:t>
      </w:r>
      <w:r>
        <w:rPr>
          <w:rFonts w:hint="eastAsia" w:ascii="宋体" w:hAnsi="宋体" w:eastAsia="宋体" w:cs="宋体"/>
          <w:color w:val="000000"/>
          <w:spacing w:val="9"/>
          <w:sz w:val="24"/>
          <w:szCs w:val="24"/>
          <w:highlight w:val="none"/>
        </w:rPr>
        <w:t>中标人</w:t>
      </w:r>
      <w:r>
        <w:rPr>
          <w:rFonts w:hint="eastAsia" w:ascii="宋体" w:hAnsi="宋体" w:eastAsia="宋体" w:cs="宋体"/>
          <w:color w:val="000000"/>
          <w:sz w:val="24"/>
          <w:szCs w:val="24"/>
          <w:highlight w:val="none"/>
        </w:rPr>
        <w:t>支付其他任何费用。</w:t>
      </w:r>
    </w:p>
    <w:p w14:paraId="637010ED">
      <w:pPr>
        <w:widowControl w:val="0"/>
        <w:spacing w:line="360" w:lineRule="auto"/>
        <w:ind w:firstLine="480"/>
        <w:rPr>
          <w:rFonts w:ascii="宋体" w:hAnsi="宋体" w:eastAsia="宋体" w:cs="宋体"/>
          <w:color w:val="000000"/>
          <w:spacing w:val="6"/>
          <w:sz w:val="24"/>
          <w:szCs w:val="24"/>
          <w:highlight w:val="none"/>
        </w:rPr>
      </w:pPr>
      <w:r>
        <w:rPr>
          <w:rFonts w:hint="eastAsia" w:ascii="宋体" w:hAnsi="宋体" w:eastAsia="宋体" w:cs="宋体"/>
          <w:color w:val="000000"/>
          <w:sz w:val="24"/>
          <w:szCs w:val="24"/>
          <w:highlight w:val="none"/>
        </w:rPr>
        <w:t>4、</w:t>
      </w:r>
      <w:r>
        <w:rPr>
          <w:rFonts w:hint="eastAsia" w:ascii="宋体" w:hAnsi="宋体" w:eastAsia="宋体" w:cs="宋体"/>
          <w:color w:val="000000"/>
          <w:spacing w:val="9"/>
          <w:sz w:val="24"/>
          <w:szCs w:val="24"/>
          <w:highlight w:val="none"/>
        </w:rPr>
        <w:t>中标人</w:t>
      </w:r>
      <w:r>
        <w:rPr>
          <w:rFonts w:hint="eastAsia" w:ascii="宋体" w:hAnsi="宋体" w:eastAsia="宋体" w:cs="宋体"/>
          <w:color w:val="000000"/>
          <w:sz w:val="24"/>
          <w:szCs w:val="24"/>
          <w:highlight w:val="none"/>
        </w:rPr>
        <w:t>在经营过程中发生的所有债权、债务及相关费用均与采购人无关，如：员工工资、加班费、员工伤病、保险、意外事故、安全生产等。</w:t>
      </w:r>
    </w:p>
    <w:p w14:paraId="4A4C0261">
      <w:pPr>
        <w:widowControl w:val="0"/>
        <w:spacing w:line="360" w:lineRule="auto"/>
        <w:ind w:firstLine="482"/>
        <w:outlineLvl w:val="1"/>
        <w:rPr>
          <w:rFonts w:ascii="宋体" w:hAnsi="宋体" w:eastAsia="宋体" w:cs="宋体"/>
          <w:color w:val="000000"/>
          <w:sz w:val="24"/>
          <w:szCs w:val="24"/>
          <w:highlight w:val="none"/>
        </w:rPr>
      </w:pPr>
      <w:bookmarkStart w:id="51" w:name="_Toc10700"/>
      <w:bookmarkStart w:id="52" w:name="_Toc21851"/>
      <w:bookmarkStart w:id="53" w:name="_Toc29599"/>
      <w:r>
        <w:rPr>
          <w:rFonts w:hint="eastAsia" w:ascii="宋体" w:hAnsi="宋体" w:eastAsia="宋体" w:cs="宋体"/>
          <w:b/>
          <w:bCs/>
          <w:color w:val="000000"/>
          <w:spacing w:val="6"/>
          <w:sz w:val="24"/>
          <w:szCs w:val="24"/>
          <w:highlight w:val="none"/>
        </w:rPr>
        <w:t>三、项目要求</w:t>
      </w:r>
      <w:bookmarkEnd w:id="51"/>
      <w:bookmarkEnd w:id="52"/>
      <w:bookmarkEnd w:id="53"/>
    </w:p>
    <w:p w14:paraId="0CD3FB87">
      <w:pPr>
        <w:widowControl w:val="0"/>
        <w:spacing w:line="360" w:lineRule="auto"/>
        <w:ind w:firstLine="514"/>
        <w:rPr>
          <w:rFonts w:ascii="宋体" w:hAnsi="宋体" w:eastAsia="宋体" w:cs="宋体"/>
          <w:b/>
          <w:bCs/>
          <w:color w:val="000000"/>
          <w:sz w:val="24"/>
          <w:szCs w:val="24"/>
          <w:highlight w:val="none"/>
        </w:rPr>
      </w:pPr>
      <w:r>
        <w:rPr>
          <w:rFonts w:hint="eastAsia" w:ascii="宋体" w:hAnsi="宋体" w:eastAsia="宋体" w:cs="宋体"/>
          <w:b/>
          <w:bCs/>
          <w:color w:val="000000"/>
          <w:spacing w:val="8"/>
          <w:sz w:val="24"/>
          <w:szCs w:val="24"/>
          <w:highlight w:val="none"/>
        </w:rPr>
        <w:t>（一）项目组成（包含但不限于以下内容）</w:t>
      </w:r>
    </w:p>
    <w:p w14:paraId="6BC11F0D">
      <w:pPr>
        <w:widowControl w:val="0"/>
        <w:spacing w:line="360" w:lineRule="auto"/>
        <w:ind w:firstLine="500"/>
        <w:rPr>
          <w:rFonts w:ascii="宋体" w:hAnsi="宋体" w:eastAsia="宋体" w:cs="宋体"/>
          <w:color w:val="000000"/>
          <w:sz w:val="24"/>
          <w:szCs w:val="24"/>
          <w:highlight w:val="none"/>
        </w:rPr>
      </w:pPr>
      <w:r>
        <w:rPr>
          <w:rFonts w:hint="eastAsia" w:ascii="宋体" w:hAnsi="宋体" w:eastAsia="宋体" w:cs="宋体"/>
          <w:color w:val="000000"/>
          <w:spacing w:val="5"/>
          <w:sz w:val="24"/>
          <w:szCs w:val="24"/>
          <w:highlight w:val="none"/>
        </w:rPr>
        <w:t>1、食材采购、制作加工售卖；</w:t>
      </w:r>
    </w:p>
    <w:p w14:paraId="11865E2A">
      <w:pPr>
        <w:widowControl w:val="0"/>
        <w:spacing w:line="360" w:lineRule="auto"/>
        <w:ind w:firstLine="500"/>
        <w:rPr>
          <w:rFonts w:ascii="宋体" w:hAnsi="宋体" w:eastAsia="宋体" w:cs="宋体"/>
          <w:color w:val="000000"/>
          <w:sz w:val="24"/>
          <w:szCs w:val="24"/>
          <w:highlight w:val="none"/>
        </w:rPr>
      </w:pPr>
      <w:r>
        <w:rPr>
          <w:rFonts w:hint="eastAsia" w:ascii="宋体" w:hAnsi="宋体" w:eastAsia="宋体" w:cs="宋体"/>
          <w:color w:val="000000"/>
          <w:spacing w:val="5"/>
          <w:sz w:val="24"/>
          <w:szCs w:val="24"/>
          <w:highlight w:val="none"/>
        </w:rPr>
        <w:t>2、餐饮服务；</w:t>
      </w:r>
    </w:p>
    <w:p w14:paraId="5C874866">
      <w:pPr>
        <w:widowControl w:val="0"/>
        <w:spacing w:line="360" w:lineRule="auto"/>
        <w:ind w:firstLine="492"/>
        <w:rPr>
          <w:rFonts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3、餐具洗涤</w:t>
      </w:r>
      <w:r>
        <w:rPr>
          <w:rFonts w:hint="eastAsia" w:ascii="宋体" w:hAnsi="宋体" w:eastAsia="宋体" w:cs="宋体"/>
          <w:color w:val="000000"/>
          <w:spacing w:val="3"/>
          <w:sz w:val="24"/>
          <w:szCs w:val="24"/>
          <w:highlight w:val="none"/>
        </w:rPr>
        <w:t>；</w:t>
      </w:r>
    </w:p>
    <w:p w14:paraId="2B569FAD">
      <w:pPr>
        <w:widowControl w:val="0"/>
        <w:spacing w:line="360" w:lineRule="auto"/>
        <w:ind w:firstLine="492"/>
        <w:rPr>
          <w:rFonts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4、保洁消毒；</w:t>
      </w:r>
    </w:p>
    <w:p w14:paraId="27F64673">
      <w:pPr>
        <w:widowControl w:val="0"/>
        <w:spacing w:line="360" w:lineRule="auto"/>
        <w:ind w:firstLine="488"/>
        <w:rPr>
          <w:rFonts w:ascii="宋体" w:hAnsi="宋体" w:eastAsia="宋体" w:cs="宋体"/>
          <w:color w:val="000000"/>
          <w:spacing w:val="7"/>
          <w:sz w:val="24"/>
          <w:szCs w:val="24"/>
          <w:highlight w:val="none"/>
        </w:rPr>
      </w:pPr>
      <w:r>
        <w:rPr>
          <w:rFonts w:hint="eastAsia" w:ascii="宋体" w:hAnsi="宋体" w:eastAsia="宋体" w:cs="宋体"/>
          <w:color w:val="000000"/>
          <w:spacing w:val="2"/>
          <w:sz w:val="24"/>
          <w:szCs w:val="24"/>
          <w:highlight w:val="none"/>
        </w:rPr>
        <w:t>5、清洁卫生</w:t>
      </w:r>
      <w:r>
        <w:rPr>
          <w:rFonts w:hint="eastAsia" w:ascii="宋体" w:hAnsi="宋体" w:eastAsia="宋体" w:cs="宋体"/>
          <w:color w:val="000000"/>
          <w:spacing w:val="2"/>
          <w:sz w:val="24"/>
          <w:szCs w:val="24"/>
          <w:highlight w:val="none"/>
          <w:lang w:eastAsia="zh-CN"/>
        </w:rPr>
        <w:t>、厨余垃圾清运</w:t>
      </w:r>
      <w:r>
        <w:rPr>
          <w:rFonts w:hint="eastAsia" w:ascii="宋体" w:hAnsi="宋体" w:eastAsia="宋体" w:cs="宋体"/>
          <w:color w:val="000000"/>
          <w:spacing w:val="7"/>
          <w:sz w:val="24"/>
          <w:szCs w:val="24"/>
          <w:highlight w:val="none"/>
        </w:rPr>
        <w:t>等。</w:t>
      </w:r>
    </w:p>
    <w:p w14:paraId="178C36E9">
      <w:pPr>
        <w:widowControl w:val="0"/>
        <w:spacing w:line="360" w:lineRule="auto"/>
        <w:ind w:firstLine="508"/>
        <w:rPr>
          <w:rFonts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6、每月四害防治；</w:t>
      </w:r>
    </w:p>
    <w:p w14:paraId="2CFFDE51">
      <w:pPr>
        <w:widowControl w:val="0"/>
        <w:spacing w:line="360" w:lineRule="auto"/>
        <w:ind w:firstLine="506"/>
        <w:rPr>
          <w:rFonts w:ascii="宋体" w:hAnsi="宋体" w:eastAsia="宋体" w:cs="宋体"/>
          <w:b/>
          <w:bCs/>
          <w:color w:val="000000"/>
          <w:sz w:val="24"/>
          <w:szCs w:val="24"/>
          <w:highlight w:val="none"/>
        </w:rPr>
      </w:pPr>
      <w:r>
        <w:rPr>
          <w:rFonts w:hint="eastAsia" w:ascii="宋体" w:hAnsi="宋体" w:eastAsia="宋体" w:cs="宋体"/>
          <w:b/>
          <w:bCs/>
          <w:color w:val="000000"/>
          <w:spacing w:val="6"/>
          <w:sz w:val="24"/>
          <w:szCs w:val="24"/>
          <w:highlight w:val="none"/>
        </w:rPr>
        <w:t>（二）就餐时间:</w:t>
      </w:r>
    </w:p>
    <w:p w14:paraId="31427B2C">
      <w:pPr>
        <w:widowControl w:val="0"/>
        <w:spacing w:line="360" w:lineRule="auto"/>
        <w:ind w:firstLine="508"/>
        <w:rPr>
          <w:rFonts w:ascii="宋体" w:hAnsi="宋体" w:eastAsia="宋体" w:cs="宋体"/>
          <w:color w:val="000000"/>
          <w:spacing w:val="6"/>
          <w:sz w:val="24"/>
          <w:szCs w:val="24"/>
          <w:highlight w:val="none"/>
        </w:rPr>
      </w:pPr>
      <w:r>
        <w:rPr>
          <w:rFonts w:hint="eastAsia" w:ascii="宋体" w:hAnsi="宋体" w:eastAsia="宋体" w:cs="宋体"/>
          <w:color w:val="000000"/>
          <w:spacing w:val="7"/>
          <w:sz w:val="24"/>
          <w:szCs w:val="24"/>
          <w:highlight w:val="none"/>
        </w:rPr>
        <w:t>早餐：</w:t>
      </w:r>
      <w:r>
        <w:rPr>
          <w:rFonts w:hint="eastAsia" w:ascii="宋体" w:hAnsi="宋体" w:eastAsia="宋体" w:cs="仿宋"/>
          <w:color w:val="000000"/>
          <w:sz w:val="24"/>
          <w:szCs w:val="24"/>
          <w:highlight w:val="none"/>
          <w:u w:val="single"/>
        </w:rPr>
        <w:t>7:30-8:50</w:t>
      </w:r>
      <w:r>
        <w:rPr>
          <w:rFonts w:hint="eastAsia" w:ascii="宋体" w:hAnsi="宋体" w:eastAsia="宋体" w:cs="宋体"/>
          <w:color w:val="000000"/>
          <w:spacing w:val="7"/>
          <w:sz w:val="24"/>
          <w:szCs w:val="24"/>
          <w:highlight w:val="none"/>
        </w:rPr>
        <w:t>；中餐：</w:t>
      </w:r>
      <w:r>
        <w:rPr>
          <w:rFonts w:hint="eastAsia" w:ascii="宋体" w:hAnsi="宋体" w:eastAsia="宋体" w:cs="宋体"/>
          <w:color w:val="000000"/>
          <w:spacing w:val="7"/>
          <w:sz w:val="24"/>
          <w:szCs w:val="24"/>
          <w:highlight w:val="none"/>
          <w:u w:val="single"/>
        </w:rPr>
        <w:t>12:00—13</w:t>
      </w:r>
      <w:r>
        <w:rPr>
          <w:rFonts w:hint="eastAsia" w:ascii="宋体" w:hAnsi="宋体" w:eastAsia="宋体" w:cs="宋体"/>
          <w:color w:val="000000"/>
          <w:spacing w:val="6"/>
          <w:sz w:val="24"/>
          <w:szCs w:val="24"/>
          <w:highlight w:val="none"/>
          <w:u w:val="single"/>
        </w:rPr>
        <w:t>:00</w:t>
      </w:r>
      <w:r>
        <w:rPr>
          <w:rFonts w:hint="eastAsia" w:ascii="宋体" w:hAnsi="宋体" w:eastAsia="宋体" w:cs="宋体"/>
          <w:color w:val="000000"/>
          <w:spacing w:val="6"/>
          <w:sz w:val="24"/>
          <w:szCs w:val="24"/>
          <w:highlight w:val="none"/>
        </w:rPr>
        <w:t>；晚餐：</w:t>
      </w:r>
      <w:r>
        <w:rPr>
          <w:rFonts w:hint="eastAsia" w:ascii="宋体" w:hAnsi="宋体" w:eastAsia="宋体" w:cs="宋体"/>
          <w:color w:val="000000"/>
          <w:spacing w:val="6"/>
          <w:sz w:val="24"/>
          <w:szCs w:val="24"/>
          <w:highlight w:val="none"/>
          <w:u w:val="single"/>
        </w:rPr>
        <w:t>18:00-19:00</w:t>
      </w:r>
      <w:r>
        <w:rPr>
          <w:rFonts w:hint="eastAsia" w:ascii="宋体" w:hAnsi="宋体" w:eastAsia="宋体" w:cs="宋体"/>
          <w:color w:val="000000"/>
          <w:spacing w:val="6"/>
          <w:sz w:val="24"/>
          <w:szCs w:val="24"/>
          <w:highlight w:val="none"/>
        </w:rPr>
        <w:t>。</w:t>
      </w:r>
    </w:p>
    <w:p w14:paraId="3B18294D">
      <w:pPr>
        <w:widowControl w:val="0"/>
        <w:spacing w:line="360" w:lineRule="auto"/>
        <w:ind w:firstLine="504"/>
        <w:rPr>
          <w:rFonts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(以各单位实际要求为准</w:t>
      </w:r>
      <w:r>
        <w:rPr>
          <w:rFonts w:hint="eastAsia" w:ascii="宋体" w:hAnsi="宋体" w:eastAsia="宋体" w:cs="宋体"/>
          <w:color w:val="000000"/>
          <w:sz w:val="24"/>
          <w:szCs w:val="24"/>
          <w:highlight w:val="none"/>
        </w:rPr>
        <w:t>)。</w:t>
      </w:r>
    </w:p>
    <w:p w14:paraId="2C77A687">
      <w:pPr>
        <w:widowControl w:val="0"/>
        <w:spacing w:line="360" w:lineRule="auto"/>
        <w:ind w:firstLine="506"/>
        <w:rPr>
          <w:rFonts w:ascii="宋体" w:hAnsi="宋体" w:eastAsia="宋体" w:cs="宋体"/>
          <w:b/>
          <w:bCs/>
          <w:color w:val="000000"/>
          <w:sz w:val="24"/>
          <w:szCs w:val="24"/>
          <w:highlight w:val="none"/>
        </w:rPr>
      </w:pPr>
      <w:r>
        <w:rPr>
          <w:rFonts w:hint="eastAsia" w:ascii="宋体" w:hAnsi="宋体" w:eastAsia="宋体" w:cs="宋体"/>
          <w:b/>
          <w:bCs/>
          <w:color w:val="000000"/>
          <w:spacing w:val="6"/>
          <w:sz w:val="24"/>
          <w:szCs w:val="24"/>
          <w:highlight w:val="none"/>
        </w:rPr>
        <w:t>（三）工作内容:</w:t>
      </w:r>
    </w:p>
    <w:p w14:paraId="36827FF7">
      <w:pPr>
        <w:widowControl w:val="0"/>
        <w:spacing w:line="360" w:lineRule="auto"/>
        <w:ind w:firstLine="508"/>
        <w:rPr>
          <w:rFonts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1、负责食品制作、餐饮服务、餐厅清洁及管理工作。</w:t>
      </w:r>
    </w:p>
    <w:p w14:paraId="193173BB">
      <w:pPr>
        <w:widowControl w:val="0"/>
        <w:spacing w:line="360" w:lineRule="auto"/>
        <w:ind w:firstLine="512"/>
        <w:rPr>
          <w:rFonts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2、负责厨房食品制作任务和餐厅工作协调，确保员工关系和谐。</w:t>
      </w:r>
    </w:p>
    <w:p w14:paraId="37A2CC03">
      <w:pPr>
        <w:widowControl w:val="0"/>
        <w:spacing w:line="360" w:lineRule="auto"/>
        <w:ind w:firstLine="504"/>
        <w:rPr>
          <w:rFonts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3、负责菜单的拟定和更换。</w:t>
      </w:r>
    </w:p>
    <w:p w14:paraId="7B6E5C54">
      <w:pPr>
        <w:widowControl w:val="0"/>
        <w:spacing w:line="360" w:lineRule="auto"/>
        <w:ind w:firstLine="512"/>
        <w:rPr>
          <w:rFonts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4、按照要求保证菜肴质量、服务水平。</w:t>
      </w:r>
    </w:p>
    <w:p w14:paraId="6576A32F">
      <w:pPr>
        <w:widowControl w:val="0"/>
        <w:spacing w:line="360" w:lineRule="auto"/>
        <w:ind w:firstLine="512"/>
        <w:rPr>
          <w:rFonts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5、定期征求客户对菜品质量的意见，并按照要求及时改善。</w:t>
      </w:r>
    </w:p>
    <w:p w14:paraId="42DBF743">
      <w:pPr>
        <w:widowControl w:val="0"/>
        <w:spacing w:line="360" w:lineRule="auto"/>
        <w:ind w:firstLine="508"/>
        <w:rPr>
          <w:rFonts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6、负责食品卫生安全、消防安全工作。</w:t>
      </w:r>
    </w:p>
    <w:p w14:paraId="2F6A37D3">
      <w:pPr>
        <w:widowControl w:val="0"/>
        <w:spacing w:line="360" w:lineRule="auto"/>
        <w:ind w:firstLine="504"/>
        <w:rPr>
          <w:rFonts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7、其他满足甲方合理需求。</w:t>
      </w:r>
    </w:p>
    <w:p w14:paraId="59EA0513">
      <w:pPr>
        <w:widowControl w:val="0"/>
        <w:spacing w:line="360" w:lineRule="auto"/>
        <w:ind w:firstLine="510"/>
        <w:rPr>
          <w:rFonts w:ascii="宋体" w:hAnsi="宋体" w:eastAsia="宋体" w:cs="宋体"/>
          <w:b/>
          <w:bCs/>
          <w:color w:val="000000"/>
          <w:sz w:val="24"/>
          <w:szCs w:val="24"/>
          <w:highlight w:val="none"/>
        </w:rPr>
      </w:pPr>
      <w:r>
        <w:rPr>
          <w:rFonts w:hint="eastAsia" w:ascii="宋体" w:hAnsi="宋体" w:eastAsia="宋体" w:cs="宋体"/>
          <w:b/>
          <w:bCs/>
          <w:color w:val="000000"/>
          <w:spacing w:val="7"/>
          <w:sz w:val="24"/>
          <w:szCs w:val="24"/>
          <w:highlight w:val="none"/>
        </w:rPr>
        <w:t>（四）食材送货时间：</w:t>
      </w:r>
    </w:p>
    <w:p w14:paraId="3E71C520">
      <w:pPr>
        <w:widowControl w:val="0"/>
        <w:spacing w:line="360" w:lineRule="auto"/>
        <w:ind w:firstLine="492"/>
        <w:rPr>
          <w:rFonts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食材每天上午6:30—8:00新鲜配送，不得使用冻肉，除水产类应尽可能减少冻品比例，采购人可安排监督人员与供应商共同参与原材料验收和查验，供应商每月提供食材采购报表，填写物品名称、数量、价格，便于采购人掌握入口率。</w:t>
      </w:r>
    </w:p>
    <w:p w14:paraId="06E369AB">
      <w:pPr>
        <w:widowControl w:val="0"/>
        <w:spacing w:line="360" w:lineRule="auto"/>
        <w:ind w:firstLine="482"/>
        <w:outlineLvl w:val="1"/>
        <w:rPr>
          <w:rFonts w:ascii="宋体" w:hAnsi="宋体" w:eastAsia="宋体" w:cs="仿宋"/>
          <w:b/>
          <w:bCs/>
          <w:color w:val="000000"/>
          <w:sz w:val="24"/>
          <w:szCs w:val="24"/>
          <w:highlight w:val="none"/>
        </w:rPr>
      </w:pPr>
      <w:bookmarkStart w:id="54" w:name="_Toc26559"/>
      <w:bookmarkStart w:id="55" w:name="_Toc5365"/>
      <w:bookmarkStart w:id="56" w:name="_Toc31997"/>
      <w:r>
        <w:rPr>
          <w:rFonts w:hint="eastAsia" w:ascii="宋体" w:hAnsi="宋体" w:eastAsia="宋体" w:cs="仿宋"/>
          <w:b/>
          <w:bCs/>
          <w:color w:val="000000"/>
          <w:sz w:val="24"/>
          <w:szCs w:val="24"/>
          <w:highlight w:val="none"/>
        </w:rPr>
        <w:t>四、总体服务要求</w:t>
      </w:r>
      <w:bookmarkEnd w:id="54"/>
      <w:bookmarkEnd w:id="55"/>
      <w:bookmarkEnd w:id="56"/>
    </w:p>
    <w:p w14:paraId="2BAA1037">
      <w:pPr>
        <w:widowControl w:val="0"/>
        <w:spacing w:line="360" w:lineRule="auto"/>
        <w:ind w:firstLine="492"/>
        <w:rPr>
          <w:rFonts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1、遵守《食品安全法实施条例》、《公共场所卫生指标及限值要求》（GB37488-2019）及国家、江苏省相关法律、法规与标准。</w:t>
      </w:r>
    </w:p>
    <w:p w14:paraId="7E9F857A">
      <w:pPr>
        <w:widowControl w:val="0"/>
        <w:spacing w:line="360" w:lineRule="auto"/>
        <w:ind w:firstLine="492"/>
        <w:rPr>
          <w:rFonts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2、所有服务人员均需提供身份证、缴纳社会保险证明、健康证、无犯罪记录证明，进场前提供相关材料。</w:t>
      </w:r>
    </w:p>
    <w:p w14:paraId="3E3AA54E">
      <w:pPr>
        <w:widowControl w:val="0"/>
        <w:spacing w:line="360" w:lineRule="auto"/>
        <w:ind w:firstLine="492"/>
        <w:rPr>
          <w:rFonts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3、成交供应商必须自行做好安全、防火和食品卫生等工作；划分消防责任区、指定消防责任人，负责食堂经营范围内的防火安全，负责培训员工熟练掌握消防设施、器材的使用方法，如发生火灾、食物中毒等事故，造成的一切损失均由成交供应商自行承担。在处理特殊事件和紧急、突然事故时，采购人对供应商派遣的工作人员有直接指挥权。</w:t>
      </w:r>
    </w:p>
    <w:p w14:paraId="6CBD855D">
      <w:pPr>
        <w:widowControl w:val="0"/>
        <w:spacing w:line="360" w:lineRule="auto"/>
        <w:ind w:firstLine="492" w:firstLineChars="200"/>
        <w:jc w:val="both"/>
        <w:rPr>
          <w:rFonts w:ascii="宋体" w:hAnsi="宋体" w:cs="仿宋"/>
          <w:sz w:val="24"/>
          <w:szCs w:val="24"/>
          <w:highlight w:val="none"/>
        </w:rPr>
      </w:pPr>
      <w:r>
        <w:rPr>
          <w:rFonts w:hint="eastAsia" w:ascii="宋体" w:hAnsi="宋体" w:eastAsia="宋体" w:cs="宋体"/>
          <w:color w:val="000000"/>
          <w:spacing w:val="3"/>
          <w:sz w:val="24"/>
          <w:szCs w:val="24"/>
          <w:highlight w:val="none"/>
        </w:rPr>
        <w:t>4、每周四向采购人上报下周食谱，食谱经采购人审核通过后执行。</w:t>
      </w:r>
      <w:r>
        <w:rPr>
          <w:rFonts w:hint="eastAsia" w:ascii="宋体" w:hAnsi="宋体" w:cs="宋体"/>
          <w:spacing w:val="7"/>
          <w:sz w:val="24"/>
          <w:szCs w:val="24"/>
          <w:highlight w:val="none"/>
        </w:rPr>
        <w:t>中标人每天填写采购清单，填写物品名称、数量、价格，每月初汇总上月价</w:t>
      </w:r>
      <w:r>
        <w:rPr>
          <w:rFonts w:hint="eastAsia" w:ascii="宋体" w:hAnsi="宋体" w:cs="宋体"/>
          <w:spacing w:val="8"/>
          <w:sz w:val="24"/>
          <w:szCs w:val="24"/>
          <w:highlight w:val="none"/>
        </w:rPr>
        <w:t>款，经相关负责人审核签字，以便甲方调查入口率。</w:t>
      </w:r>
    </w:p>
    <w:p w14:paraId="24743538">
      <w:pPr>
        <w:widowControl w:val="0"/>
        <w:spacing w:line="360" w:lineRule="auto"/>
        <w:ind w:firstLine="492"/>
        <w:rPr>
          <w:rFonts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5、必须确保饮食卫生和水、电、气的使用安全，严格执行国家食品加工的卫生标准，并接受相关部门的检查；工作人员服装统一，服装费由供应商自行承担，保持卫生整洁；服务过程中要文明礼貌，热情服务，杜绝与服务对象发生争吵等不良行为。</w:t>
      </w:r>
    </w:p>
    <w:p w14:paraId="092CF6F7">
      <w:pPr>
        <w:widowControl w:val="0"/>
        <w:spacing w:line="360" w:lineRule="auto"/>
        <w:ind w:firstLine="492"/>
        <w:rPr>
          <w:rFonts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6、成交供应商各类服务人员应爱护和正确使用采购人的厨具、设施设备等公物，若因人为原因或操作不当损坏，成交供应商照价赔偿。服务期内，如需添置或更换厨房设备，须经采购人同意后由采购人负责购置。</w:t>
      </w:r>
    </w:p>
    <w:p w14:paraId="6806C927">
      <w:pPr>
        <w:widowControl w:val="0"/>
        <w:spacing w:line="360" w:lineRule="auto"/>
        <w:ind w:firstLine="492"/>
        <w:rPr>
          <w:rFonts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7、成交供应商应该制定有效的节约措施和成本控制措施。供应商在做好工作的同时，有责任向采购人提供合理化建议，以提高管理效率和管理质量。</w:t>
      </w:r>
    </w:p>
    <w:p w14:paraId="5FA3DCB8">
      <w:pPr>
        <w:widowControl w:val="0"/>
        <w:spacing w:line="360" w:lineRule="auto"/>
        <w:ind w:firstLine="492"/>
        <w:rPr>
          <w:rFonts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8、成交供应商服务人员必须遵守采购人的规章制度，服从采购人管理和工作安排，积极响应采购人要求。在确保各类饮食安全、卫生的基础上，不断提高菜肴质量，确保菜肴质量的稳定，坚持厉行节约原则，增收节支，把好菜肴质量关。</w:t>
      </w:r>
    </w:p>
    <w:p w14:paraId="130DBB62">
      <w:pPr>
        <w:widowControl w:val="0"/>
        <w:spacing w:line="360" w:lineRule="auto"/>
        <w:ind w:firstLine="492"/>
        <w:rPr>
          <w:rFonts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9、做好厨房与就餐区域内的清洁工作、虫鼠害控制工作并建立台账。所有卫生用品及耗材(包括餐巾纸、一次性餐盒、食品袋、保鲜盒、留样盒、清洁工具、消毒剂、垃圾袋、口罩、鞋套、手套以及劳保用品等)由供应商自备，费用包含在本项目报价中。</w:t>
      </w:r>
    </w:p>
    <w:p w14:paraId="48A900C4">
      <w:pPr>
        <w:widowControl w:val="0"/>
        <w:spacing w:line="360" w:lineRule="auto"/>
        <w:ind w:firstLine="492"/>
        <w:rPr>
          <w:rFonts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10、做好厨房与就餐区域内的消杀工作。</w:t>
      </w:r>
    </w:p>
    <w:p w14:paraId="5261D053">
      <w:pPr>
        <w:widowControl w:val="0"/>
        <w:spacing w:line="360" w:lineRule="auto"/>
        <w:ind w:firstLine="492"/>
        <w:rPr>
          <w:rFonts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11、采购人对成交供应商提供的管理服务按季度进行考核，并根据季度考核结果按月向成交供应商支付服务费。</w:t>
      </w:r>
    </w:p>
    <w:p w14:paraId="47EFD781">
      <w:pPr>
        <w:widowControl w:val="0"/>
        <w:spacing w:line="360" w:lineRule="auto"/>
        <w:ind w:firstLine="492"/>
        <w:rPr>
          <w:rFonts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12、本项目不得转包或分包，一经发现有转包或分包现象，立即终止合同，给采购人造成损失的，成交供应商应当对损失予以赔偿，并承担相应的法律责任。</w:t>
      </w:r>
    </w:p>
    <w:p w14:paraId="6D4361EC">
      <w:pPr>
        <w:widowControl w:val="0"/>
        <w:spacing w:line="360" w:lineRule="auto"/>
        <w:ind w:firstLine="492"/>
        <w:rPr>
          <w:rFonts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13、经营期内水费、电费、燃气费用由采购人负担。</w:t>
      </w:r>
    </w:p>
    <w:p w14:paraId="0A93F226">
      <w:pPr>
        <w:widowControl w:val="0"/>
        <w:spacing w:line="360" w:lineRule="auto"/>
        <w:ind w:firstLine="492"/>
        <w:rPr>
          <w:rFonts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14、建立和健全一整套生产管理、卫生管理和安全管理制度；制定防断餐应急预案，建立加工制作人员与售卖人员的信息沟通渠道；制定突发公共卫生安全、食品安全事件、停电、停水、停气等情况应急预案，并定期演练。</w:t>
      </w:r>
    </w:p>
    <w:p w14:paraId="7016F1B9">
      <w:pPr>
        <w:widowControl w:val="0"/>
        <w:spacing w:line="360" w:lineRule="auto"/>
        <w:ind w:firstLine="492"/>
        <w:rPr>
          <w:rFonts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15、成交供应商必须接受采购人的监督与管理，积极配合开展工作，自觉接受对食材管理及储存、生产流程、卫生消毒、供应价格、服务规范等方面的全方位监控。</w:t>
      </w:r>
    </w:p>
    <w:p w14:paraId="65D601EA">
      <w:pPr>
        <w:widowControl w:val="0"/>
        <w:spacing w:line="360" w:lineRule="auto"/>
        <w:ind w:firstLine="492"/>
        <w:rPr>
          <w:rFonts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16、采购人拥有食堂内采购人投资的设施设备的所有权。成交供应商负责售卖间、操作间及后堂所有设施设备的管理与维护。</w:t>
      </w:r>
    </w:p>
    <w:p w14:paraId="12EB17EE">
      <w:pPr>
        <w:widowControl w:val="0"/>
        <w:spacing w:line="360" w:lineRule="auto"/>
        <w:ind w:firstLine="492"/>
        <w:rPr>
          <w:rFonts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17、合同终止后，中标人必须保证所有设施设备的完好（自然损耗的除外）。</w:t>
      </w:r>
    </w:p>
    <w:p w14:paraId="29FB2557">
      <w:pPr>
        <w:widowControl w:val="0"/>
        <w:spacing w:line="360" w:lineRule="auto"/>
        <w:ind w:firstLine="492"/>
        <w:rPr>
          <w:rFonts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18、经营场所、灶具、桌椅、刷卡系统等由采购人无偿提供使用，但成交供应商须负责维护保养。</w:t>
      </w:r>
    </w:p>
    <w:p w14:paraId="1F94518D">
      <w:pPr>
        <w:widowControl w:val="0"/>
        <w:spacing w:line="360" w:lineRule="auto"/>
        <w:ind w:firstLine="492"/>
        <w:rPr>
          <w:rFonts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19、配合完成油烟机管道、隔油池等定期清洗清理工作，建立台账。</w:t>
      </w:r>
    </w:p>
    <w:p w14:paraId="30613A14">
      <w:pPr>
        <w:widowControl w:val="0"/>
        <w:spacing w:line="360" w:lineRule="auto"/>
        <w:ind w:firstLine="480" w:firstLineChars="200"/>
        <w:rPr>
          <w:rFonts w:ascii="宋体" w:hAnsi="宋体" w:eastAsia="宋体" w:cs="宋体"/>
          <w:color w:val="000000"/>
          <w:spacing w:val="3"/>
          <w:sz w:val="24"/>
          <w:szCs w:val="24"/>
          <w:highlight w:val="none"/>
        </w:rPr>
      </w:pPr>
      <w:r>
        <w:rPr>
          <w:rFonts w:hint="eastAsia" w:ascii="宋体" w:hAnsi="宋体" w:cs="仿宋"/>
          <w:sz w:val="24"/>
          <w:szCs w:val="24"/>
          <w:highlight w:val="none"/>
        </w:rPr>
        <w:t>20、供应商外派人员参照公安内部人员管理规定，严格落实保密工作要求。中标人应组织派驻本项目人员开展保密教育，签订保密承诺书；服务过程中知悉、接触的采购人工作秘密、警务信息、人员信息、食堂经营管理数据等涉密信息，未经采购人书面同意，不得以任何形式泄露、传播、复制或用于本项目以外的用途；服务期满或合同终止后，保密义务继续有效。违反保密规定的，采购人有权追究中标人及相关人员责任；构成犯罪的，依法移送司法机关处理。</w:t>
      </w:r>
    </w:p>
    <w:p w14:paraId="60555D8C">
      <w:pPr>
        <w:widowControl w:val="0"/>
        <w:spacing w:line="360" w:lineRule="auto"/>
        <w:ind w:firstLine="492"/>
        <w:rPr>
          <w:rFonts w:ascii="宋体" w:hAnsi="宋体" w:eastAsia="宋体" w:cs="宋体"/>
          <w:highlight w:val="none"/>
        </w:rPr>
      </w:pPr>
      <w:r>
        <w:rPr>
          <w:rFonts w:hint="eastAsia" w:ascii="宋体" w:hAnsi="宋体" w:eastAsia="宋体" w:cs="宋体"/>
          <w:color w:val="000000"/>
          <w:spacing w:val="3"/>
          <w:sz w:val="24"/>
          <w:szCs w:val="24"/>
          <w:highlight w:val="none"/>
        </w:rPr>
        <w:t>21、中标人有义务协助采购人落实国家相关政策。</w:t>
      </w:r>
    </w:p>
    <w:p w14:paraId="789ED75B">
      <w:pPr>
        <w:widowControl w:val="0"/>
        <w:spacing w:line="360" w:lineRule="auto"/>
        <w:ind w:firstLine="482"/>
        <w:outlineLvl w:val="1"/>
        <w:rPr>
          <w:rFonts w:ascii="宋体" w:hAnsi="宋体" w:eastAsia="宋体" w:cs="宋体"/>
          <w:color w:val="000000"/>
          <w:sz w:val="24"/>
          <w:szCs w:val="24"/>
          <w:highlight w:val="none"/>
        </w:rPr>
      </w:pPr>
      <w:bookmarkStart w:id="57" w:name="_Toc18132"/>
      <w:bookmarkStart w:id="58" w:name="_Toc30347"/>
      <w:bookmarkStart w:id="59" w:name="_Toc7931"/>
      <w:r>
        <w:rPr>
          <w:rFonts w:hint="eastAsia" w:ascii="宋体" w:hAnsi="宋体" w:eastAsia="宋体" w:cs="宋体"/>
          <w:b/>
          <w:bCs/>
          <w:color w:val="000000"/>
          <w:spacing w:val="7"/>
          <w:sz w:val="24"/>
          <w:szCs w:val="24"/>
          <w:highlight w:val="none"/>
        </w:rPr>
        <w:t>五、各类食材要求</w:t>
      </w:r>
      <w:bookmarkEnd w:id="57"/>
      <w:bookmarkEnd w:id="58"/>
      <w:bookmarkEnd w:id="59"/>
    </w:p>
    <w:p w14:paraId="72C5D13A">
      <w:pPr>
        <w:widowControl w:val="0"/>
        <w:spacing w:line="360" w:lineRule="auto"/>
        <w:ind w:firstLine="492"/>
        <w:rPr>
          <w:rFonts w:ascii="宋体" w:hAnsi="宋体" w:eastAsia="宋体" w:cs="宋体"/>
          <w:color w:val="000000"/>
          <w:sz w:val="24"/>
          <w:szCs w:val="24"/>
          <w:highlight w:val="none"/>
        </w:rPr>
      </w:pPr>
      <w:bookmarkStart w:id="60" w:name="bookmark36"/>
      <w:bookmarkEnd w:id="60"/>
      <w:bookmarkStart w:id="61" w:name="bookmark40"/>
      <w:bookmarkEnd w:id="61"/>
      <w:bookmarkStart w:id="62" w:name="bookmark39"/>
      <w:bookmarkEnd w:id="62"/>
      <w:r>
        <w:rPr>
          <w:rFonts w:hint="eastAsia" w:ascii="宋体" w:hAnsi="宋体" w:eastAsia="宋体" w:cs="宋体"/>
          <w:color w:val="000000"/>
          <w:sz w:val="24"/>
          <w:szCs w:val="24"/>
          <w:highlight w:val="none"/>
        </w:rPr>
        <w:t>中标人供应的各类食品必须符合《中华人民共和国产品质量法》、《中华人民共和国食品安全法》和有关食品管理规定；符合国家有关安全卫生、环境保护、知识产权等方面的法律要求；符合地方卫生防疫部门、检验检疫部门的各项指标要求。满足食品安全国家标准，包括但不限于</w:t>
      </w:r>
      <w:bookmarkStart w:id="63" w:name="OLE_LINK16"/>
      <w:r>
        <w:rPr>
          <w:rFonts w:hint="eastAsia" w:ascii="宋体" w:hAnsi="宋体" w:eastAsia="宋体" w:cs="宋体"/>
          <w:color w:val="000000"/>
          <w:sz w:val="24"/>
          <w:szCs w:val="24"/>
          <w:highlight w:val="none"/>
        </w:rPr>
        <w:t>GB31650-2019</w:t>
      </w:r>
      <w:bookmarkEnd w:id="63"/>
      <w:r>
        <w:rPr>
          <w:rFonts w:hint="eastAsia" w:ascii="宋体" w:hAnsi="宋体" w:eastAsia="宋体" w:cs="宋体"/>
          <w:color w:val="000000"/>
          <w:sz w:val="24"/>
          <w:szCs w:val="24"/>
          <w:highlight w:val="none"/>
        </w:rPr>
        <w:t>食品安全国家标准食品中兽药最大残留限量等。确保食品来源可追溯、去向可查询、风险可控制、权责可明确。具体要求包括但不限于：</w:t>
      </w:r>
    </w:p>
    <w:p w14:paraId="1BDA2CD2">
      <w:pPr>
        <w:widowControl w:val="0"/>
        <w:spacing w:line="360" w:lineRule="auto"/>
        <w:ind w:firstLine="482"/>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1、蔬菜、水果类</w:t>
      </w:r>
    </w:p>
    <w:p w14:paraId="2CE4A09A">
      <w:pPr>
        <w:widowControl w:val="0"/>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（1）蔬菜、水果供应要保证是当季，各类蔬菜要新鲜、色泽翠绿，不得有泡水现象。</w:t>
      </w:r>
    </w:p>
    <w:p w14:paraId="5620C2B3">
      <w:pPr>
        <w:widowControl w:val="0"/>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（3）必须保证无黄叶、枯死叶、无虫、无杂质，须48小时内采摘供应。</w:t>
      </w:r>
    </w:p>
    <w:p w14:paraId="713D1F84">
      <w:pPr>
        <w:widowControl w:val="0"/>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（3）不得配送过老、泛黄、当天售不完的陈菜、水果，以次充好、以陈充新。</w:t>
      </w:r>
    </w:p>
    <w:p w14:paraId="4882C1AE">
      <w:pPr>
        <w:widowControl w:val="0"/>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（4）蔬菜水果须保证菜面干净，无明显泥土，无破损，大小、长短基本统一，不得过熟。</w:t>
      </w:r>
    </w:p>
    <w:p w14:paraId="6B9AFB84">
      <w:pPr>
        <w:widowControl w:val="0"/>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（5）不得有质变的蔬菜、水果（如土豆黑斑和变绿）。</w:t>
      </w:r>
    </w:p>
    <w:p w14:paraId="154C26D3">
      <w:pPr>
        <w:widowControl w:val="0"/>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（6）半成品（净菜）无腐败变质、无异味、无掺假、无霉变、无毒害、外包装完好、在保质期内或距临保期三个月以上。</w:t>
      </w:r>
    </w:p>
    <w:p w14:paraId="1BF5F44B">
      <w:pPr>
        <w:widowControl w:val="0"/>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（7）叶菜类还必须要有一定的比对尺寸标准。</w:t>
      </w:r>
    </w:p>
    <w:p w14:paraId="288E4668">
      <w:pPr>
        <w:widowControl w:val="0"/>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（8）根茎类蔬菜茎络不得过粗过老，如四季豆等。</w:t>
      </w:r>
    </w:p>
    <w:p w14:paraId="5D117188">
      <w:pPr>
        <w:widowControl w:val="0"/>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（9）部分叶菜类所报价格必须要有相应尺寸，实物价格要相符，蔬菜报价还必须要有具体种类的分别（如苏州青、上海青等），不能一概以青菜混淆之。</w:t>
      </w:r>
    </w:p>
    <w:p w14:paraId="3C49E5E3">
      <w:pPr>
        <w:widowControl w:val="0"/>
        <w:spacing w:line="360" w:lineRule="auto"/>
        <w:ind w:firstLine="504"/>
        <w:jc w:val="center"/>
        <w:rPr>
          <w:rFonts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蔬菜感官质量要求</w:t>
      </w:r>
    </w:p>
    <w:tbl>
      <w:tblPr>
        <w:tblStyle w:val="37"/>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986"/>
        <w:gridCol w:w="2640"/>
        <w:gridCol w:w="5113"/>
      </w:tblGrid>
      <w:tr w14:paraId="687F2F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64" w:type="pct"/>
            <w:vAlign w:val="center"/>
          </w:tcPr>
          <w:p w14:paraId="69D17A1D">
            <w:pPr>
              <w:pStyle w:val="216"/>
              <w:widowControl w:val="0"/>
              <w:spacing w:after="0" w:line="360" w:lineRule="auto"/>
              <w:jc w:val="center"/>
              <w:rPr>
                <w:rFonts w:eastAsia="宋体"/>
                <w:sz w:val="24"/>
                <w:szCs w:val="24"/>
                <w:highlight w:val="none"/>
              </w:rPr>
            </w:pPr>
            <w:r>
              <w:rPr>
                <w:rFonts w:hint="eastAsia" w:eastAsia="宋体"/>
                <w:spacing w:val="4"/>
                <w:sz w:val="24"/>
                <w:szCs w:val="24"/>
                <w:highlight w:val="none"/>
              </w:rPr>
              <w:t>类别</w:t>
            </w:r>
          </w:p>
        </w:tc>
        <w:tc>
          <w:tcPr>
            <w:tcW w:w="1510" w:type="pct"/>
            <w:vAlign w:val="center"/>
          </w:tcPr>
          <w:p w14:paraId="240581CD">
            <w:pPr>
              <w:pStyle w:val="216"/>
              <w:widowControl w:val="0"/>
              <w:spacing w:after="0" w:line="360" w:lineRule="auto"/>
              <w:jc w:val="center"/>
              <w:rPr>
                <w:rFonts w:eastAsia="宋体"/>
                <w:sz w:val="24"/>
                <w:szCs w:val="24"/>
                <w:highlight w:val="none"/>
              </w:rPr>
            </w:pPr>
            <w:r>
              <w:rPr>
                <w:rFonts w:hint="eastAsia" w:eastAsia="宋体"/>
                <w:spacing w:val="7"/>
                <w:sz w:val="24"/>
                <w:szCs w:val="24"/>
                <w:highlight w:val="none"/>
              </w:rPr>
              <w:t>包含品种</w:t>
            </w:r>
          </w:p>
        </w:tc>
        <w:tc>
          <w:tcPr>
            <w:tcW w:w="2924" w:type="pct"/>
            <w:vAlign w:val="center"/>
          </w:tcPr>
          <w:p w14:paraId="0146D3AF">
            <w:pPr>
              <w:pStyle w:val="216"/>
              <w:widowControl w:val="0"/>
              <w:spacing w:after="0" w:line="360" w:lineRule="auto"/>
              <w:jc w:val="center"/>
              <w:rPr>
                <w:rFonts w:eastAsia="宋体"/>
                <w:sz w:val="24"/>
                <w:szCs w:val="24"/>
                <w:highlight w:val="none"/>
              </w:rPr>
            </w:pPr>
            <w:r>
              <w:rPr>
                <w:rFonts w:hint="eastAsia" w:eastAsia="宋体"/>
                <w:spacing w:val="7"/>
                <w:sz w:val="24"/>
                <w:szCs w:val="24"/>
                <w:highlight w:val="none"/>
              </w:rPr>
              <w:t>质量要求</w:t>
            </w:r>
          </w:p>
        </w:tc>
      </w:tr>
      <w:tr w14:paraId="5D6BF0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64" w:type="pct"/>
            <w:vAlign w:val="center"/>
          </w:tcPr>
          <w:p w14:paraId="0EF4C635">
            <w:pPr>
              <w:pStyle w:val="216"/>
              <w:widowControl w:val="0"/>
              <w:spacing w:after="0" w:line="360" w:lineRule="auto"/>
              <w:jc w:val="center"/>
              <w:rPr>
                <w:rFonts w:eastAsia="宋体"/>
                <w:sz w:val="24"/>
                <w:szCs w:val="24"/>
                <w:highlight w:val="none"/>
              </w:rPr>
            </w:pPr>
            <w:r>
              <w:rPr>
                <w:rFonts w:hint="eastAsia" w:eastAsia="宋体"/>
                <w:spacing w:val="2"/>
                <w:sz w:val="24"/>
                <w:szCs w:val="24"/>
                <w:highlight w:val="none"/>
              </w:rPr>
              <w:t>叶菜类</w:t>
            </w:r>
          </w:p>
        </w:tc>
        <w:tc>
          <w:tcPr>
            <w:tcW w:w="1510" w:type="pct"/>
            <w:vAlign w:val="center"/>
          </w:tcPr>
          <w:p w14:paraId="086E55C0">
            <w:pPr>
              <w:pStyle w:val="216"/>
              <w:widowControl w:val="0"/>
              <w:spacing w:after="0" w:line="360" w:lineRule="auto"/>
              <w:jc w:val="center"/>
              <w:rPr>
                <w:rFonts w:eastAsia="宋体"/>
                <w:sz w:val="24"/>
                <w:szCs w:val="24"/>
                <w:highlight w:val="none"/>
                <w:lang w:eastAsia="zh-CN"/>
              </w:rPr>
            </w:pPr>
            <w:r>
              <w:rPr>
                <w:rFonts w:hint="eastAsia" w:eastAsia="宋体"/>
                <w:spacing w:val="6"/>
                <w:sz w:val="24"/>
                <w:szCs w:val="24"/>
                <w:highlight w:val="none"/>
                <w:lang w:eastAsia="zh-CN"/>
              </w:rPr>
              <w:t>白菜类、甘蓝类和绿叶菜类</w:t>
            </w:r>
            <w:r>
              <w:rPr>
                <w:rFonts w:hint="eastAsia" w:eastAsia="宋体"/>
                <w:spacing w:val="4"/>
                <w:sz w:val="24"/>
                <w:szCs w:val="24"/>
                <w:highlight w:val="none"/>
                <w:lang w:eastAsia="zh-CN"/>
              </w:rPr>
              <w:t>的各种蔬菜</w:t>
            </w:r>
          </w:p>
        </w:tc>
        <w:tc>
          <w:tcPr>
            <w:tcW w:w="2924" w:type="pct"/>
            <w:vAlign w:val="center"/>
          </w:tcPr>
          <w:p w14:paraId="5F94E341">
            <w:pPr>
              <w:pStyle w:val="216"/>
              <w:widowControl w:val="0"/>
              <w:spacing w:after="0" w:line="360" w:lineRule="auto"/>
              <w:rPr>
                <w:rFonts w:eastAsia="宋体"/>
                <w:sz w:val="24"/>
                <w:szCs w:val="24"/>
                <w:highlight w:val="none"/>
                <w:lang w:eastAsia="zh-CN"/>
              </w:rPr>
            </w:pPr>
            <w:r>
              <w:rPr>
                <w:rFonts w:hint="eastAsia" w:eastAsia="宋体"/>
                <w:spacing w:val="-6"/>
                <w:sz w:val="24"/>
                <w:szCs w:val="24"/>
                <w:highlight w:val="none"/>
                <w:lang w:eastAsia="zh-CN"/>
              </w:rPr>
              <w:t>肉质鲜嫩，形态好，色泽正常；茎基部削平，无枯黄</w:t>
            </w:r>
            <w:r>
              <w:rPr>
                <w:rFonts w:hint="eastAsia" w:eastAsia="宋体"/>
                <w:spacing w:val="-7"/>
                <w:sz w:val="24"/>
                <w:szCs w:val="24"/>
                <w:highlight w:val="none"/>
                <w:lang w:eastAsia="zh-CN"/>
              </w:rPr>
              <w:t>叶、病叶、</w:t>
            </w:r>
            <w:r>
              <w:rPr>
                <w:rFonts w:hint="eastAsia" w:eastAsia="宋体"/>
                <w:spacing w:val="1"/>
                <w:sz w:val="24"/>
                <w:szCs w:val="24"/>
                <w:highlight w:val="none"/>
                <w:lang w:eastAsia="zh-CN"/>
              </w:rPr>
              <w:t>泥土、明显机械伤和病虫害伤；无烧心、焦边、腐烂等现象，</w:t>
            </w:r>
            <w:r>
              <w:rPr>
                <w:rFonts w:hint="eastAsia" w:eastAsia="宋体"/>
                <w:spacing w:val="-2"/>
                <w:sz w:val="24"/>
                <w:szCs w:val="24"/>
                <w:highlight w:val="none"/>
                <w:lang w:eastAsia="zh-CN"/>
              </w:rPr>
              <w:t>无</w:t>
            </w:r>
            <w:bookmarkStart w:id="64" w:name="OLE_LINK12"/>
            <w:r>
              <w:rPr>
                <w:rFonts w:hint="eastAsia" w:eastAsia="宋体"/>
                <w:spacing w:val="-2"/>
                <w:sz w:val="24"/>
                <w:szCs w:val="24"/>
                <w:highlight w:val="none"/>
                <w:lang w:eastAsia="zh-CN"/>
              </w:rPr>
              <w:t>抽薹</w:t>
            </w:r>
            <w:bookmarkEnd w:id="64"/>
            <w:r>
              <w:rPr>
                <w:rFonts w:hint="eastAsia" w:eastAsia="宋体"/>
                <w:spacing w:val="-2"/>
                <w:sz w:val="24"/>
                <w:szCs w:val="24"/>
                <w:highlight w:val="none"/>
                <w:lang w:eastAsia="zh-CN"/>
              </w:rPr>
              <w:t>(菜心除外)；结球的叶菜应结球紧实；菠菜和本地芹菜</w:t>
            </w:r>
            <w:r>
              <w:rPr>
                <w:rFonts w:hint="eastAsia" w:eastAsia="宋体"/>
                <w:spacing w:val="-19"/>
                <w:sz w:val="24"/>
                <w:szCs w:val="24"/>
                <w:highlight w:val="none"/>
                <w:lang w:eastAsia="zh-CN"/>
              </w:rPr>
              <w:t>可带根。花椰菜、青花菜属于同一品种，形状正常肉质致密、新鲜，不带叶柄，茎基部削平，无腐烂、病虫害机械伤；花椰菜花球洁白，</w:t>
            </w:r>
            <w:r>
              <w:rPr>
                <w:rFonts w:hint="eastAsia" w:eastAsia="宋体"/>
                <w:spacing w:val="-1"/>
                <w:sz w:val="24"/>
                <w:szCs w:val="24"/>
                <w:highlight w:val="none"/>
                <w:lang w:eastAsia="zh-CN"/>
              </w:rPr>
              <w:t>无毛花，青花菜无托叶，可带主茎，花球青绿色，无紫花、无</w:t>
            </w:r>
            <w:r>
              <w:rPr>
                <w:rFonts w:hint="eastAsia" w:eastAsia="宋体"/>
                <w:spacing w:val="3"/>
                <w:sz w:val="24"/>
                <w:szCs w:val="24"/>
                <w:highlight w:val="none"/>
                <w:lang w:eastAsia="zh-CN"/>
              </w:rPr>
              <w:t>枯蕾现象。</w:t>
            </w:r>
          </w:p>
        </w:tc>
      </w:tr>
      <w:tr w14:paraId="0B9DF7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64" w:type="pct"/>
            <w:vAlign w:val="center"/>
          </w:tcPr>
          <w:p w14:paraId="1C094D92">
            <w:pPr>
              <w:pStyle w:val="216"/>
              <w:widowControl w:val="0"/>
              <w:spacing w:after="0" w:line="360" w:lineRule="auto"/>
              <w:jc w:val="center"/>
              <w:rPr>
                <w:rFonts w:eastAsia="宋体"/>
                <w:sz w:val="24"/>
                <w:szCs w:val="24"/>
                <w:highlight w:val="none"/>
              </w:rPr>
            </w:pPr>
            <w:r>
              <w:rPr>
                <w:rFonts w:hint="eastAsia" w:eastAsia="宋体"/>
                <w:spacing w:val="6"/>
                <w:sz w:val="24"/>
                <w:szCs w:val="24"/>
                <w:highlight w:val="none"/>
              </w:rPr>
              <w:t>茄果类</w:t>
            </w:r>
          </w:p>
        </w:tc>
        <w:tc>
          <w:tcPr>
            <w:tcW w:w="1510" w:type="pct"/>
            <w:vAlign w:val="center"/>
          </w:tcPr>
          <w:p w14:paraId="5FF2EDF7">
            <w:pPr>
              <w:pStyle w:val="216"/>
              <w:widowControl w:val="0"/>
              <w:spacing w:after="0" w:line="360" w:lineRule="auto"/>
              <w:jc w:val="center"/>
              <w:rPr>
                <w:rFonts w:eastAsia="宋体"/>
                <w:sz w:val="24"/>
                <w:szCs w:val="24"/>
                <w:highlight w:val="none"/>
              </w:rPr>
            </w:pPr>
            <w:r>
              <w:rPr>
                <w:rFonts w:hint="eastAsia" w:eastAsia="宋体"/>
                <w:spacing w:val="8"/>
                <w:sz w:val="24"/>
                <w:szCs w:val="24"/>
                <w:highlight w:val="none"/>
              </w:rPr>
              <w:t>番茄、茄子、甜椒、辣椒等</w:t>
            </w:r>
          </w:p>
        </w:tc>
        <w:tc>
          <w:tcPr>
            <w:tcW w:w="2924" w:type="pct"/>
            <w:vAlign w:val="center"/>
          </w:tcPr>
          <w:p w14:paraId="18E67435">
            <w:pPr>
              <w:pStyle w:val="216"/>
              <w:widowControl w:val="0"/>
              <w:spacing w:after="0" w:line="360" w:lineRule="auto"/>
              <w:rPr>
                <w:rFonts w:eastAsia="宋体"/>
                <w:sz w:val="24"/>
                <w:szCs w:val="24"/>
                <w:highlight w:val="none"/>
                <w:lang w:eastAsia="zh-CN"/>
              </w:rPr>
            </w:pPr>
            <w:r>
              <w:rPr>
                <w:rFonts w:hint="eastAsia" w:eastAsia="宋体"/>
                <w:spacing w:val="-13"/>
                <w:sz w:val="24"/>
                <w:szCs w:val="24"/>
                <w:highlight w:val="none"/>
                <w:lang w:eastAsia="zh-CN"/>
              </w:rPr>
              <w:t>色鲜，果实圆整、光洁，成熟度适中，整齐，无烂果、异味病虫害</w:t>
            </w:r>
            <w:r>
              <w:rPr>
                <w:rFonts w:hint="eastAsia" w:eastAsia="宋体"/>
                <w:spacing w:val="7"/>
                <w:sz w:val="24"/>
                <w:szCs w:val="24"/>
                <w:highlight w:val="none"/>
                <w:lang w:eastAsia="zh-CN"/>
              </w:rPr>
              <w:t>和明显机械损伤。</w:t>
            </w:r>
          </w:p>
        </w:tc>
      </w:tr>
      <w:tr w14:paraId="4DF9D8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64" w:type="pct"/>
            <w:vAlign w:val="center"/>
          </w:tcPr>
          <w:p w14:paraId="60CBE802">
            <w:pPr>
              <w:pStyle w:val="216"/>
              <w:widowControl w:val="0"/>
              <w:spacing w:after="0" w:line="360" w:lineRule="auto"/>
              <w:jc w:val="center"/>
              <w:rPr>
                <w:rFonts w:eastAsia="宋体"/>
                <w:sz w:val="24"/>
                <w:szCs w:val="24"/>
                <w:highlight w:val="none"/>
              </w:rPr>
            </w:pPr>
            <w:r>
              <w:rPr>
                <w:rFonts w:hint="eastAsia" w:eastAsia="宋体"/>
                <w:spacing w:val="4"/>
                <w:sz w:val="24"/>
                <w:szCs w:val="24"/>
                <w:highlight w:val="none"/>
              </w:rPr>
              <w:t>瓜类</w:t>
            </w:r>
          </w:p>
        </w:tc>
        <w:tc>
          <w:tcPr>
            <w:tcW w:w="1510" w:type="pct"/>
            <w:vAlign w:val="center"/>
          </w:tcPr>
          <w:p w14:paraId="17567BFA">
            <w:pPr>
              <w:pStyle w:val="216"/>
              <w:widowControl w:val="0"/>
              <w:spacing w:after="0" w:line="360" w:lineRule="auto"/>
              <w:jc w:val="center"/>
              <w:rPr>
                <w:rFonts w:eastAsia="宋体"/>
                <w:sz w:val="24"/>
                <w:szCs w:val="24"/>
                <w:highlight w:val="none"/>
                <w:lang w:eastAsia="zh-CN"/>
              </w:rPr>
            </w:pPr>
            <w:r>
              <w:rPr>
                <w:rFonts w:hint="eastAsia" w:eastAsia="宋体"/>
                <w:spacing w:val="7"/>
                <w:sz w:val="24"/>
                <w:szCs w:val="24"/>
                <w:highlight w:val="none"/>
                <w:lang w:eastAsia="zh-CN"/>
              </w:rPr>
              <w:t>黄瓜、瓠瓜、越瓜、丝瓜、</w:t>
            </w:r>
            <w:r>
              <w:rPr>
                <w:rFonts w:hint="eastAsia" w:eastAsia="宋体"/>
                <w:spacing w:val="9"/>
                <w:sz w:val="24"/>
                <w:szCs w:val="24"/>
                <w:highlight w:val="none"/>
                <w:lang w:eastAsia="zh-CN"/>
              </w:rPr>
              <w:t>苦瓜、冬瓜、毛节瓜、南瓜</w:t>
            </w:r>
            <w:r>
              <w:rPr>
                <w:rFonts w:hint="eastAsia" w:eastAsia="宋体"/>
                <w:spacing w:val="10"/>
                <w:sz w:val="24"/>
                <w:szCs w:val="24"/>
                <w:highlight w:val="none"/>
                <w:lang w:eastAsia="zh-CN"/>
              </w:rPr>
              <w:t>佛手瓜等</w:t>
            </w:r>
          </w:p>
        </w:tc>
        <w:tc>
          <w:tcPr>
            <w:tcW w:w="2924" w:type="pct"/>
            <w:vAlign w:val="center"/>
          </w:tcPr>
          <w:p w14:paraId="22C5F879">
            <w:pPr>
              <w:pStyle w:val="216"/>
              <w:widowControl w:val="0"/>
              <w:spacing w:after="0" w:line="360" w:lineRule="auto"/>
              <w:rPr>
                <w:rFonts w:eastAsia="宋体"/>
                <w:sz w:val="24"/>
                <w:szCs w:val="24"/>
                <w:highlight w:val="none"/>
                <w:lang w:eastAsia="zh-CN"/>
              </w:rPr>
            </w:pPr>
            <w:r>
              <w:rPr>
                <w:rFonts w:hint="eastAsia" w:eastAsia="宋体"/>
                <w:spacing w:val="1"/>
                <w:sz w:val="24"/>
                <w:szCs w:val="24"/>
                <w:highlight w:val="none"/>
                <w:lang w:eastAsia="zh-CN"/>
              </w:rPr>
              <w:t>形状、色泽一致，瓜条均匀，无疤点，无断裂，不带泥土，无</w:t>
            </w:r>
            <w:r>
              <w:rPr>
                <w:rFonts w:hint="eastAsia" w:eastAsia="宋体"/>
                <w:spacing w:val="2"/>
                <w:sz w:val="24"/>
                <w:szCs w:val="24"/>
                <w:highlight w:val="none"/>
                <w:lang w:eastAsia="zh-CN"/>
              </w:rPr>
              <w:t>畸形瓜、病虫害瓜、烂瓜，无明显机械伤。</w:t>
            </w:r>
          </w:p>
        </w:tc>
      </w:tr>
      <w:tr w14:paraId="1752B4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64" w:type="pct"/>
            <w:vAlign w:val="center"/>
          </w:tcPr>
          <w:p w14:paraId="533BD277">
            <w:pPr>
              <w:pStyle w:val="216"/>
              <w:widowControl w:val="0"/>
              <w:spacing w:after="0" w:line="360" w:lineRule="auto"/>
              <w:jc w:val="center"/>
              <w:rPr>
                <w:rFonts w:eastAsia="宋体"/>
                <w:sz w:val="24"/>
                <w:szCs w:val="24"/>
                <w:highlight w:val="none"/>
              </w:rPr>
            </w:pPr>
            <w:r>
              <w:rPr>
                <w:rFonts w:hint="eastAsia" w:eastAsia="宋体"/>
                <w:spacing w:val="6"/>
                <w:sz w:val="24"/>
                <w:szCs w:val="24"/>
                <w:highlight w:val="none"/>
              </w:rPr>
              <w:t>根菜类</w:t>
            </w:r>
          </w:p>
        </w:tc>
        <w:tc>
          <w:tcPr>
            <w:tcW w:w="1510" w:type="pct"/>
            <w:vAlign w:val="center"/>
          </w:tcPr>
          <w:p w14:paraId="575F7BC2">
            <w:pPr>
              <w:pStyle w:val="216"/>
              <w:widowControl w:val="0"/>
              <w:spacing w:after="0" w:line="360" w:lineRule="auto"/>
              <w:jc w:val="center"/>
              <w:rPr>
                <w:rFonts w:eastAsia="宋体"/>
                <w:sz w:val="24"/>
                <w:szCs w:val="24"/>
                <w:highlight w:val="none"/>
                <w:lang w:eastAsia="zh-CN"/>
              </w:rPr>
            </w:pPr>
            <w:r>
              <w:rPr>
                <w:rFonts w:hint="eastAsia" w:eastAsia="宋体"/>
                <w:spacing w:val="-7"/>
                <w:sz w:val="24"/>
                <w:szCs w:val="24"/>
                <w:highlight w:val="none"/>
                <w:lang w:eastAsia="zh-CN"/>
              </w:rPr>
              <w:t>萝卜、胡萝卜、大头菜、芜</w:t>
            </w:r>
            <w:r>
              <w:rPr>
                <w:rFonts w:hint="eastAsia" w:eastAsia="宋体"/>
                <w:spacing w:val="6"/>
                <w:sz w:val="24"/>
                <w:szCs w:val="24"/>
                <w:highlight w:val="none"/>
                <w:lang w:eastAsia="zh-CN"/>
              </w:rPr>
              <w:t>菁甘蓝等</w:t>
            </w:r>
          </w:p>
        </w:tc>
        <w:tc>
          <w:tcPr>
            <w:tcW w:w="2924" w:type="pct"/>
            <w:vAlign w:val="center"/>
          </w:tcPr>
          <w:p w14:paraId="35982EF6">
            <w:pPr>
              <w:pStyle w:val="216"/>
              <w:widowControl w:val="0"/>
              <w:spacing w:after="0" w:line="360" w:lineRule="auto"/>
              <w:rPr>
                <w:rFonts w:eastAsia="宋体"/>
                <w:sz w:val="24"/>
                <w:szCs w:val="24"/>
                <w:highlight w:val="none"/>
                <w:lang w:eastAsia="zh-CN"/>
              </w:rPr>
            </w:pPr>
            <w:r>
              <w:rPr>
                <w:rFonts w:hint="eastAsia" w:eastAsia="宋体"/>
                <w:spacing w:val="3"/>
                <w:sz w:val="24"/>
                <w:szCs w:val="24"/>
                <w:highlight w:val="none"/>
                <w:lang w:eastAsia="zh-CN"/>
              </w:rPr>
              <w:t>皮细光滑，色泽良好，大小均匀，肉质脆嫩致密。新鲜，无</w:t>
            </w:r>
            <w:r>
              <w:rPr>
                <w:rFonts w:hint="eastAsia" w:eastAsia="宋体"/>
                <w:spacing w:val="-14"/>
                <w:sz w:val="24"/>
                <w:szCs w:val="24"/>
                <w:highlight w:val="none"/>
                <w:lang w:eastAsia="zh-CN"/>
              </w:rPr>
              <w:t>畸形、裂痕、糠心、病虫害斑，不带泥沙，不带茎叶、须根。</w:t>
            </w:r>
          </w:p>
        </w:tc>
      </w:tr>
      <w:tr w14:paraId="1C8FB4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64" w:type="pct"/>
            <w:vAlign w:val="center"/>
          </w:tcPr>
          <w:p w14:paraId="022B9322">
            <w:pPr>
              <w:pStyle w:val="216"/>
              <w:widowControl w:val="0"/>
              <w:spacing w:after="0" w:line="360" w:lineRule="auto"/>
              <w:jc w:val="center"/>
              <w:rPr>
                <w:rFonts w:eastAsia="宋体"/>
                <w:sz w:val="24"/>
                <w:szCs w:val="24"/>
                <w:highlight w:val="none"/>
              </w:rPr>
            </w:pPr>
            <w:r>
              <w:rPr>
                <w:rFonts w:hint="eastAsia" w:eastAsia="宋体"/>
                <w:spacing w:val="6"/>
                <w:sz w:val="24"/>
                <w:szCs w:val="24"/>
                <w:highlight w:val="none"/>
              </w:rPr>
              <w:t>薯芋类</w:t>
            </w:r>
          </w:p>
        </w:tc>
        <w:tc>
          <w:tcPr>
            <w:tcW w:w="1510" w:type="pct"/>
            <w:vAlign w:val="center"/>
          </w:tcPr>
          <w:p w14:paraId="64B922AE">
            <w:pPr>
              <w:pStyle w:val="216"/>
              <w:widowControl w:val="0"/>
              <w:spacing w:after="0" w:line="360" w:lineRule="auto"/>
              <w:jc w:val="center"/>
              <w:rPr>
                <w:rFonts w:eastAsia="宋体"/>
                <w:sz w:val="24"/>
                <w:szCs w:val="24"/>
                <w:highlight w:val="none"/>
                <w:lang w:eastAsia="zh-CN"/>
              </w:rPr>
            </w:pPr>
            <w:r>
              <w:rPr>
                <w:rFonts w:hint="eastAsia" w:eastAsia="宋体"/>
                <w:spacing w:val="8"/>
                <w:sz w:val="24"/>
                <w:szCs w:val="24"/>
                <w:highlight w:val="none"/>
                <w:lang w:eastAsia="zh-CN"/>
              </w:rPr>
              <w:t>马铃薯、薯蓣、芋、姜、豆</w:t>
            </w:r>
            <w:r>
              <w:rPr>
                <w:rFonts w:hint="eastAsia" w:eastAsia="宋体"/>
                <w:spacing w:val="3"/>
                <w:sz w:val="24"/>
                <w:szCs w:val="24"/>
                <w:highlight w:val="none"/>
                <w:lang w:eastAsia="zh-CN"/>
              </w:rPr>
              <w:t>薯等</w:t>
            </w:r>
          </w:p>
        </w:tc>
        <w:tc>
          <w:tcPr>
            <w:tcW w:w="2924" w:type="pct"/>
            <w:vAlign w:val="center"/>
          </w:tcPr>
          <w:p w14:paraId="454BE992">
            <w:pPr>
              <w:pStyle w:val="216"/>
              <w:widowControl w:val="0"/>
              <w:spacing w:after="0" w:line="360" w:lineRule="auto"/>
              <w:rPr>
                <w:rFonts w:eastAsia="宋体"/>
                <w:sz w:val="24"/>
                <w:szCs w:val="24"/>
                <w:highlight w:val="none"/>
                <w:lang w:eastAsia="zh-CN"/>
              </w:rPr>
            </w:pPr>
            <w:r>
              <w:rPr>
                <w:rFonts w:hint="eastAsia" w:eastAsia="宋体"/>
                <w:spacing w:val="-14"/>
                <w:sz w:val="24"/>
                <w:szCs w:val="24"/>
                <w:highlight w:val="none"/>
                <w:lang w:eastAsia="zh-CN"/>
              </w:rPr>
              <w:t>色泽一致，不带泥沙，不带茎叶、须根，无机械和病虫害斑</w:t>
            </w:r>
            <w:r>
              <w:rPr>
                <w:rFonts w:hint="eastAsia" w:eastAsia="宋体"/>
                <w:spacing w:val="8"/>
                <w:sz w:val="24"/>
                <w:szCs w:val="24"/>
                <w:highlight w:val="none"/>
                <w:lang w:eastAsia="zh-CN"/>
              </w:rPr>
              <w:t>无腐烂、干瘪。马铃薯皮不能变绿色。</w:t>
            </w:r>
          </w:p>
        </w:tc>
      </w:tr>
      <w:tr w14:paraId="7A4D3D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64" w:type="pct"/>
            <w:vAlign w:val="center"/>
          </w:tcPr>
          <w:p w14:paraId="04EFBFE8">
            <w:pPr>
              <w:pStyle w:val="216"/>
              <w:widowControl w:val="0"/>
              <w:spacing w:after="0" w:line="360" w:lineRule="auto"/>
              <w:jc w:val="center"/>
              <w:rPr>
                <w:rFonts w:eastAsia="宋体"/>
                <w:sz w:val="24"/>
                <w:szCs w:val="24"/>
                <w:highlight w:val="none"/>
              </w:rPr>
            </w:pPr>
            <w:r>
              <w:rPr>
                <w:rFonts w:hint="eastAsia" w:eastAsia="宋体"/>
                <w:spacing w:val="4"/>
                <w:sz w:val="24"/>
                <w:szCs w:val="24"/>
                <w:highlight w:val="none"/>
              </w:rPr>
              <w:t>葱蒜类</w:t>
            </w:r>
          </w:p>
        </w:tc>
        <w:tc>
          <w:tcPr>
            <w:tcW w:w="1510" w:type="pct"/>
            <w:vAlign w:val="center"/>
          </w:tcPr>
          <w:p w14:paraId="5009E12C">
            <w:pPr>
              <w:pStyle w:val="216"/>
              <w:widowControl w:val="0"/>
              <w:spacing w:after="0" w:line="360" w:lineRule="auto"/>
              <w:jc w:val="center"/>
              <w:rPr>
                <w:rFonts w:eastAsia="宋体"/>
                <w:sz w:val="24"/>
                <w:szCs w:val="24"/>
                <w:highlight w:val="none"/>
                <w:lang w:eastAsia="zh-CN"/>
              </w:rPr>
            </w:pPr>
            <w:r>
              <w:rPr>
                <w:rFonts w:hint="eastAsia" w:eastAsia="宋体"/>
                <w:spacing w:val="8"/>
                <w:sz w:val="24"/>
                <w:szCs w:val="24"/>
                <w:highlight w:val="none"/>
                <w:lang w:eastAsia="zh-CN"/>
              </w:rPr>
              <w:t>大葱、分葱、四季葱等</w:t>
            </w:r>
          </w:p>
        </w:tc>
        <w:tc>
          <w:tcPr>
            <w:tcW w:w="2924" w:type="pct"/>
            <w:vAlign w:val="center"/>
          </w:tcPr>
          <w:p w14:paraId="3A5ACCEA">
            <w:pPr>
              <w:pStyle w:val="216"/>
              <w:widowControl w:val="0"/>
              <w:spacing w:after="0" w:line="360" w:lineRule="auto"/>
              <w:rPr>
                <w:rFonts w:eastAsia="宋体"/>
                <w:sz w:val="24"/>
                <w:szCs w:val="24"/>
                <w:highlight w:val="none"/>
                <w:lang w:eastAsia="zh-CN"/>
              </w:rPr>
            </w:pPr>
            <w:r>
              <w:rPr>
                <w:rFonts w:hint="eastAsia" w:eastAsia="宋体"/>
                <w:spacing w:val="1"/>
                <w:sz w:val="24"/>
                <w:szCs w:val="24"/>
                <w:highlight w:val="none"/>
                <w:lang w:eastAsia="zh-CN"/>
              </w:rPr>
              <w:t>允许葱和大蒜的青蒜保留干净须根，去老叶，</w:t>
            </w:r>
            <w:r>
              <w:rPr>
                <w:rFonts w:hint="eastAsia" w:eastAsia="宋体"/>
                <w:sz w:val="24"/>
                <w:szCs w:val="24"/>
                <w:highlight w:val="none"/>
                <w:lang w:eastAsia="zh-CN"/>
              </w:rPr>
              <w:t>韭菜去根去老</w:t>
            </w:r>
            <w:r>
              <w:rPr>
                <w:rFonts w:hint="eastAsia" w:eastAsia="宋体"/>
                <w:spacing w:val="-6"/>
                <w:sz w:val="24"/>
                <w:szCs w:val="24"/>
                <w:highlight w:val="none"/>
                <w:lang w:eastAsia="zh-CN"/>
              </w:rPr>
              <w:t>叶，蒜头、洋葱要去枯叶；可食部分质地细嫩，不带泥沙杂质，</w:t>
            </w:r>
            <w:r>
              <w:rPr>
                <w:rFonts w:hint="eastAsia" w:eastAsia="宋体"/>
                <w:sz w:val="24"/>
                <w:szCs w:val="24"/>
                <w:highlight w:val="none"/>
                <w:lang w:eastAsia="zh-CN"/>
              </w:rPr>
              <w:t>无病虫害斑。</w:t>
            </w:r>
          </w:p>
        </w:tc>
      </w:tr>
      <w:tr w14:paraId="6333A5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64" w:type="pct"/>
            <w:vAlign w:val="center"/>
          </w:tcPr>
          <w:p w14:paraId="54E143E4">
            <w:pPr>
              <w:pStyle w:val="216"/>
              <w:widowControl w:val="0"/>
              <w:spacing w:after="0" w:line="360" w:lineRule="auto"/>
              <w:jc w:val="center"/>
              <w:rPr>
                <w:rFonts w:eastAsia="宋体"/>
                <w:sz w:val="24"/>
                <w:szCs w:val="24"/>
                <w:highlight w:val="none"/>
              </w:rPr>
            </w:pPr>
            <w:r>
              <w:rPr>
                <w:rFonts w:hint="eastAsia" w:eastAsia="宋体"/>
                <w:spacing w:val="4"/>
                <w:sz w:val="24"/>
                <w:szCs w:val="24"/>
                <w:highlight w:val="none"/>
              </w:rPr>
              <w:t>豆类</w:t>
            </w:r>
          </w:p>
        </w:tc>
        <w:tc>
          <w:tcPr>
            <w:tcW w:w="1510" w:type="pct"/>
            <w:vAlign w:val="center"/>
          </w:tcPr>
          <w:p w14:paraId="38F7DFC6">
            <w:pPr>
              <w:pStyle w:val="216"/>
              <w:widowControl w:val="0"/>
              <w:spacing w:after="0" w:line="360" w:lineRule="auto"/>
              <w:jc w:val="center"/>
              <w:rPr>
                <w:rFonts w:eastAsia="宋体"/>
                <w:sz w:val="24"/>
                <w:szCs w:val="24"/>
                <w:highlight w:val="none"/>
              </w:rPr>
            </w:pPr>
            <w:r>
              <w:rPr>
                <w:rFonts w:hint="eastAsia" w:eastAsia="宋体"/>
                <w:spacing w:val="6"/>
                <w:sz w:val="24"/>
                <w:szCs w:val="24"/>
                <w:highlight w:val="none"/>
              </w:rPr>
              <w:t>豇豆、菜豆、豌豆、蚕豆、</w:t>
            </w:r>
            <w:r>
              <w:rPr>
                <w:rFonts w:hint="eastAsia" w:eastAsia="宋体"/>
                <w:spacing w:val="8"/>
                <w:sz w:val="24"/>
                <w:szCs w:val="24"/>
                <w:highlight w:val="none"/>
              </w:rPr>
              <w:t>刀豆、毛豆、扁豆等</w:t>
            </w:r>
          </w:p>
        </w:tc>
        <w:tc>
          <w:tcPr>
            <w:tcW w:w="2924" w:type="pct"/>
            <w:vAlign w:val="center"/>
          </w:tcPr>
          <w:p w14:paraId="5C08ECEB">
            <w:pPr>
              <w:pStyle w:val="216"/>
              <w:widowControl w:val="0"/>
              <w:spacing w:after="0" w:line="360" w:lineRule="auto"/>
              <w:rPr>
                <w:rFonts w:eastAsia="宋体"/>
                <w:sz w:val="24"/>
                <w:szCs w:val="24"/>
                <w:highlight w:val="none"/>
              </w:rPr>
            </w:pPr>
            <w:r>
              <w:rPr>
                <w:rFonts w:hint="eastAsia" w:eastAsia="宋体"/>
                <w:spacing w:val="-6"/>
                <w:sz w:val="24"/>
                <w:szCs w:val="24"/>
                <w:highlight w:val="none"/>
                <w:lang w:eastAsia="zh-CN"/>
              </w:rPr>
              <w:t>形态完整，成熟度适中，无病虫害斑。食荚类：豆荚新鲜幼嫩、</w:t>
            </w:r>
            <w:r>
              <w:rPr>
                <w:rFonts w:hint="eastAsia" w:eastAsia="宋体"/>
                <w:spacing w:val="-14"/>
                <w:sz w:val="24"/>
                <w:szCs w:val="24"/>
                <w:highlight w:val="none"/>
                <w:lang w:eastAsia="zh-CN"/>
              </w:rPr>
              <w:t>均匀。食豆仁类：籽粒饱满较均匀，无发芽。</w:t>
            </w:r>
            <w:r>
              <w:rPr>
                <w:rFonts w:hint="eastAsia" w:eastAsia="宋体"/>
                <w:spacing w:val="-14"/>
                <w:sz w:val="24"/>
                <w:szCs w:val="24"/>
                <w:highlight w:val="none"/>
              </w:rPr>
              <w:t>不带泥土</w:t>
            </w:r>
            <w:r>
              <w:rPr>
                <w:rFonts w:hint="eastAsia" w:eastAsia="宋体"/>
                <w:spacing w:val="2"/>
                <w:sz w:val="24"/>
                <w:szCs w:val="24"/>
                <w:highlight w:val="none"/>
              </w:rPr>
              <w:t>杂质。</w:t>
            </w:r>
          </w:p>
        </w:tc>
      </w:tr>
      <w:tr w14:paraId="6C458D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64" w:type="pct"/>
            <w:vAlign w:val="center"/>
          </w:tcPr>
          <w:p w14:paraId="31C05F78">
            <w:pPr>
              <w:pStyle w:val="216"/>
              <w:widowControl w:val="0"/>
              <w:spacing w:after="0" w:line="360" w:lineRule="auto"/>
              <w:jc w:val="center"/>
              <w:rPr>
                <w:rFonts w:eastAsia="宋体"/>
                <w:sz w:val="24"/>
                <w:szCs w:val="24"/>
                <w:highlight w:val="none"/>
              </w:rPr>
            </w:pPr>
            <w:r>
              <w:rPr>
                <w:rFonts w:hint="eastAsia" w:eastAsia="宋体"/>
                <w:spacing w:val="6"/>
                <w:sz w:val="24"/>
                <w:szCs w:val="24"/>
                <w:highlight w:val="none"/>
              </w:rPr>
              <w:t>水生类</w:t>
            </w:r>
          </w:p>
        </w:tc>
        <w:tc>
          <w:tcPr>
            <w:tcW w:w="1510" w:type="pct"/>
            <w:vAlign w:val="center"/>
          </w:tcPr>
          <w:p w14:paraId="40B6B9F2">
            <w:pPr>
              <w:pStyle w:val="216"/>
              <w:widowControl w:val="0"/>
              <w:spacing w:after="0" w:line="360" w:lineRule="auto"/>
              <w:jc w:val="center"/>
              <w:rPr>
                <w:rFonts w:eastAsia="宋体"/>
                <w:sz w:val="24"/>
                <w:szCs w:val="24"/>
                <w:highlight w:val="none"/>
                <w:lang w:eastAsia="zh-CN"/>
              </w:rPr>
            </w:pPr>
            <w:r>
              <w:rPr>
                <w:rFonts w:hint="eastAsia" w:eastAsia="宋体"/>
                <w:spacing w:val="8"/>
                <w:sz w:val="24"/>
                <w:szCs w:val="24"/>
                <w:highlight w:val="none"/>
                <w:lang w:eastAsia="zh-CN"/>
              </w:rPr>
              <w:t>茭白、藕、荸荠、慈菇、菱</w:t>
            </w:r>
            <w:r>
              <w:rPr>
                <w:rFonts w:hint="eastAsia" w:eastAsia="宋体"/>
                <w:spacing w:val="3"/>
                <w:sz w:val="24"/>
                <w:szCs w:val="24"/>
                <w:highlight w:val="none"/>
                <w:lang w:eastAsia="zh-CN"/>
              </w:rPr>
              <w:t>角等</w:t>
            </w:r>
          </w:p>
        </w:tc>
        <w:tc>
          <w:tcPr>
            <w:tcW w:w="2924" w:type="pct"/>
            <w:vAlign w:val="center"/>
          </w:tcPr>
          <w:p w14:paraId="5D6B8763">
            <w:pPr>
              <w:pStyle w:val="216"/>
              <w:widowControl w:val="0"/>
              <w:spacing w:after="0" w:line="360" w:lineRule="auto"/>
              <w:rPr>
                <w:rFonts w:eastAsia="宋体"/>
                <w:sz w:val="24"/>
                <w:szCs w:val="24"/>
                <w:highlight w:val="none"/>
                <w:lang w:eastAsia="zh-CN"/>
              </w:rPr>
            </w:pPr>
            <w:r>
              <w:rPr>
                <w:rFonts w:hint="eastAsia" w:eastAsia="宋体"/>
                <w:spacing w:val="1"/>
                <w:sz w:val="24"/>
                <w:szCs w:val="24"/>
                <w:highlight w:val="none"/>
                <w:lang w:eastAsia="zh-CN"/>
              </w:rPr>
              <w:t>属同一品种规格，肉质鲜嫩，成熟度适中，无泥土、杂质、机</w:t>
            </w:r>
            <w:r>
              <w:rPr>
                <w:rFonts w:hint="eastAsia" w:eastAsia="宋体"/>
                <w:spacing w:val="2"/>
                <w:sz w:val="24"/>
                <w:szCs w:val="24"/>
                <w:highlight w:val="none"/>
                <w:lang w:eastAsia="zh-CN"/>
              </w:rPr>
              <w:t>械伤，不干瘪，不腐烂霉变，茭白不黑心。</w:t>
            </w:r>
          </w:p>
        </w:tc>
      </w:tr>
      <w:tr w14:paraId="18E297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64" w:type="pct"/>
            <w:vAlign w:val="center"/>
          </w:tcPr>
          <w:p w14:paraId="6E47E76F">
            <w:pPr>
              <w:pStyle w:val="216"/>
              <w:widowControl w:val="0"/>
              <w:spacing w:after="0" w:line="360" w:lineRule="auto"/>
              <w:jc w:val="center"/>
              <w:rPr>
                <w:rFonts w:eastAsia="宋体"/>
                <w:sz w:val="24"/>
                <w:szCs w:val="24"/>
                <w:highlight w:val="none"/>
              </w:rPr>
            </w:pPr>
            <w:r>
              <w:rPr>
                <w:rFonts w:hint="eastAsia" w:eastAsia="宋体"/>
                <w:spacing w:val="4"/>
                <w:sz w:val="24"/>
                <w:szCs w:val="24"/>
                <w:highlight w:val="none"/>
              </w:rPr>
              <w:t>多年生类</w:t>
            </w:r>
          </w:p>
        </w:tc>
        <w:tc>
          <w:tcPr>
            <w:tcW w:w="1510" w:type="pct"/>
            <w:vAlign w:val="center"/>
          </w:tcPr>
          <w:p w14:paraId="35324276">
            <w:pPr>
              <w:pStyle w:val="216"/>
              <w:widowControl w:val="0"/>
              <w:spacing w:after="0" w:line="360" w:lineRule="auto"/>
              <w:jc w:val="center"/>
              <w:rPr>
                <w:rFonts w:eastAsia="宋体"/>
                <w:sz w:val="24"/>
                <w:szCs w:val="24"/>
                <w:highlight w:val="none"/>
                <w:lang w:eastAsia="zh-CN"/>
              </w:rPr>
            </w:pPr>
            <w:r>
              <w:rPr>
                <w:rFonts w:hint="eastAsia" w:eastAsia="宋体"/>
                <w:spacing w:val="8"/>
                <w:sz w:val="24"/>
                <w:szCs w:val="24"/>
                <w:highlight w:val="none"/>
                <w:lang w:eastAsia="zh-CN"/>
              </w:rPr>
              <w:t>竹笋、黄花菜、芦笋等</w:t>
            </w:r>
          </w:p>
        </w:tc>
        <w:tc>
          <w:tcPr>
            <w:tcW w:w="2924" w:type="pct"/>
            <w:vAlign w:val="center"/>
          </w:tcPr>
          <w:p w14:paraId="2A71D666">
            <w:pPr>
              <w:pStyle w:val="216"/>
              <w:widowControl w:val="0"/>
              <w:spacing w:after="0" w:line="360" w:lineRule="auto"/>
              <w:rPr>
                <w:rFonts w:eastAsia="宋体"/>
                <w:sz w:val="24"/>
                <w:szCs w:val="24"/>
                <w:highlight w:val="none"/>
              </w:rPr>
            </w:pPr>
            <w:r>
              <w:rPr>
                <w:rFonts w:hint="eastAsia" w:eastAsia="宋体"/>
                <w:spacing w:val="4"/>
                <w:sz w:val="24"/>
                <w:szCs w:val="24"/>
                <w:highlight w:val="none"/>
                <w:lang w:eastAsia="zh-CN"/>
              </w:rPr>
              <w:t>属同一品种规格，幼嫩，无病虫害斑，无明显</w:t>
            </w:r>
            <w:r>
              <w:rPr>
                <w:rFonts w:hint="eastAsia" w:eastAsia="宋体"/>
                <w:spacing w:val="3"/>
                <w:sz w:val="24"/>
                <w:szCs w:val="24"/>
                <w:highlight w:val="none"/>
                <w:lang w:eastAsia="zh-CN"/>
              </w:rPr>
              <w:t>机械伤、</w:t>
            </w:r>
            <w:r>
              <w:rPr>
                <w:rFonts w:hint="eastAsia" w:eastAsia="宋体"/>
                <w:spacing w:val="3"/>
                <w:sz w:val="24"/>
                <w:szCs w:val="24"/>
                <w:highlight w:val="none"/>
              </w:rPr>
              <w:t>黄花</w:t>
            </w:r>
            <w:r>
              <w:rPr>
                <w:rFonts w:hint="eastAsia" w:eastAsia="宋体"/>
                <w:spacing w:val="3"/>
                <w:sz w:val="24"/>
                <w:szCs w:val="24"/>
                <w:highlight w:val="none"/>
                <w:lang w:eastAsia="zh-CN"/>
              </w:rPr>
              <w:t>。</w:t>
            </w:r>
          </w:p>
        </w:tc>
      </w:tr>
    </w:tbl>
    <w:p w14:paraId="6763C153">
      <w:pPr>
        <w:widowControl w:val="0"/>
        <w:spacing w:line="360" w:lineRule="auto"/>
        <w:ind w:firstLine="482"/>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2、鲜肉类（猪、牛、羊等）</w:t>
      </w:r>
    </w:p>
    <w:p w14:paraId="4C42A2D1">
      <w:pPr>
        <w:widowControl w:val="0"/>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（1）鲜肉类及其制品必须符合国家标准。</w:t>
      </w:r>
    </w:p>
    <w:p w14:paraId="75BBB07A">
      <w:pPr>
        <w:widowControl w:val="0"/>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（2）色泽：具有其固有的正常颜色、肌肉红色均匀，有光泽，脂肪洁白。</w:t>
      </w:r>
    </w:p>
    <w:p w14:paraId="01E0993C">
      <w:pPr>
        <w:widowControl w:val="0"/>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（3）外表：无泥污、无血污、无毛、无粘液渗出或很干的表皮，无点状，灰白色寄生虫。</w:t>
      </w:r>
    </w:p>
    <w:p w14:paraId="15359320">
      <w:pPr>
        <w:widowControl w:val="0"/>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（4）气味：具有其固有的正常气味（猪肉微腥、牛肉微膻、羊肉重膻）、无臭味、腊味等异味；</w:t>
      </w:r>
    </w:p>
    <w:p w14:paraId="5C242CAE">
      <w:pPr>
        <w:widowControl w:val="0"/>
        <w:spacing w:line="360" w:lineRule="auto"/>
        <w:ind w:firstLine="480"/>
        <w:jc w:val="both"/>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（5）弹性：指压后凹陷、能恢复原状。</w:t>
      </w:r>
    </w:p>
    <w:p w14:paraId="61F75438">
      <w:pPr>
        <w:widowControl w:val="0"/>
        <w:spacing w:line="360" w:lineRule="auto"/>
        <w:ind w:firstLine="480"/>
        <w:jc w:val="both"/>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（6）冷鲜肉标准：活畜屠宰后，经冷却处理使中心温度降至0℃～4℃，并在后续贮运中始终维持该温度的生鲜肉。保质期通常为3～7天，需尽快食用。</w:t>
      </w:r>
    </w:p>
    <w:p w14:paraId="250064C0">
      <w:pPr>
        <w:widowControl w:val="0"/>
        <w:spacing w:line="360" w:lineRule="auto"/>
        <w:ind w:firstLine="504"/>
        <w:jc w:val="center"/>
        <w:rPr>
          <w:rFonts w:ascii="宋体" w:hAnsi="宋体" w:eastAsia="宋体" w:cs="宋体"/>
          <w:color w:val="000000"/>
          <w:sz w:val="24"/>
          <w:szCs w:val="24"/>
          <w:highlight w:val="none"/>
        </w:rPr>
      </w:pPr>
      <w:bookmarkStart w:id="65" w:name="OLE_LINK15"/>
      <w:r>
        <w:rPr>
          <w:rFonts w:hint="eastAsia" w:ascii="宋体" w:hAnsi="宋体" w:eastAsia="宋体" w:cs="宋体"/>
          <w:color w:val="000000"/>
          <w:spacing w:val="6"/>
          <w:sz w:val="24"/>
          <w:szCs w:val="24"/>
          <w:highlight w:val="none"/>
        </w:rPr>
        <w:t>鲜肉感官质量要求</w:t>
      </w:r>
    </w:p>
    <w:tbl>
      <w:tblPr>
        <w:tblStyle w:val="220"/>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832"/>
        <w:gridCol w:w="7113"/>
      </w:tblGrid>
      <w:tr w14:paraId="4B6B0D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024" w:type="pct"/>
            <w:vAlign w:val="center"/>
          </w:tcPr>
          <w:p w14:paraId="28D51806">
            <w:pPr>
              <w:widowControl w:val="0"/>
              <w:spacing w:line="360" w:lineRule="auto"/>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品名</w:t>
            </w:r>
          </w:p>
        </w:tc>
        <w:tc>
          <w:tcPr>
            <w:tcW w:w="3975" w:type="pct"/>
            <w:vAlign w:val="center"/>
          </w:tcPr>
          <w:p w14:paraId="615E1868">
            <w:pPr>
              <w:widowControl w:val="0"/>
              <w:spacing w:line="360" w:lineRule="auto"/>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质量标准</w:t>
            </w:r>
          </w:p>
        </w:tc>
      </w:tr>
      <w:tr w14:paraId="0DA5C9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024" w:type="pct"/>
            <w:vAlign w:val="center"/>
          </w:tcPr>
          <w:p w14:paraId="58218B2B">
            <w:pPr>
              <w:widowControl w:val="0"/>
              <w:spacing w:line="360" w:lineRule="auto"/>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鲜猪肉</w:t>
            </w:r>
          </w:p>
        </w:tc>
        <w:tc>
          <w:tcPr>
            <w:tcW w:w="3975" w:type="pct"/>
            <w:vAlign w:val="center"/>
          </w:tcPr>
          <w:p w14:paraId="3C0242FD">
            <w:pPr>
              <w:widowControl w:val="0"/>
              <w:spacing w:line="360" w:lineRule="auto"/>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肉质有弹性，手指轻按、陷地方马上按复、脂肪为白色或乳白色、整体色泽光滑、切面红色、微微湿润但不粘手、无淤血、无注水、无寄虫。</w:t>
            </w:r>
          </w:p>
        </w:tc>
      </w:tr>
      <w:tr w14:paraId="7A3698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024" w:type="pct"/>
            <w:vAlign w:val="center"/>
          </w:tcPr>
          <w:p w14:paraId="60464970">
            <w:pPr>
              <w:widowControl w:val="0"/>
              <w:spacing w:line="360" w:lineRule="auto"/>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鲜牛肉</w:t>
            </w:r>
          </w:p>
        </w:tc>
        <w:tc>
          <w:tcPr>
            <w:tcW w:w="3975" w:type="pct"/>
            <w:vAlign w:val="center"/>
          </w:tcPr>
          <w:p w14:paraId="6A550B37">
            <w:pPr>
              <w:widowControl w:val="0"/>
              <w:spacing w:line="360" w:lineRule="auto"/>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肉色深红、肉质有弹性、指压陷部分立刻恢复，切面有光泽及微湿润，极小渗出物；真有浓郁的牛肉气味，脂肪白色或乳白色，无寄生</w:t>
            </w:r>
            <w:r>
              <w:rPr>
                <w:rFonts w:hint="eastAsia" w:ascii="宋体" w:hAnsi="宋体" w:eastAsia="宋体" w:cs="宋体"/>
                <w:color w:val="000000"/>
                <w:sz w:val="24"/>
                <w:szCs w:val="24"/>
                <w:highlight w:val="none"/>
                <w:lang w:val="en-US" w:eastAsia="zh-CN"/>
              </w:rPr>
              <w:t>虫</w:t>
            </w:r>
            <w:r>
              <w:rPr>
                <w:rFonts w:hint="eastAsia" w:ascii="宋体" w:hAnsi="宋体" w:eastAsia="宋体" w:cs="宋体"/>
                <w:color w:val="000000"/>
                <w:sz w:val="24"/>
                <w:szCs w:val="24"/>
                <w:highlight w:val="none"/>
              </w:rPr>
              <w:t>，无注水。</w:t>
            </w:r>
          </w:p>
        </w:tc>
      </w:tr>
      <w:tr w14:paraId="0B2C6A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024" w:type="pct"/>
            <w:vAlign w:val="center"/>
          </w:tcPr>
          <w:p w14:paraId="36F4065D">
            <w:pPr>
              <w:widowControl w:val="0"/>
              <w:spacing w:line="360" w:lineRule="auto"/>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鲜羊肉</w:t>
            </w:r>
          </w:p>
        </w:tc>
        <w:tc>
          <w:tcPr>
            <w:tcW w:w="3975" w:type="pct"/>
            <w:vAlign w:val="center"/>
          </w:tcPr>
          <w:p w14:paraId="42608B2F">
            <w:pPr>
              <w:widowControl w:val="0"/>
              <w:spacing w:line="360" w:lineRule="auto"/>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肉质有弹性，手指轻按、陷地方马上按复、脂肪为白色或乳白色、整体色泽光滑、切面红色、微湿润但不粘手、无淤血、无注水、无寄虫。</w:t>
            </w:r>
          </w:p>
        </w:tc>
      </w:tr>
      <w:bookmarkEnd w:id="65"/>
    </w:tbl>
    <w:p w14:paraId="5DC69A36">
      <w:pPr>
        <w:widowControl w:val="0"/>
        <w:spacing w:line="360" w:lineRule="auto"/>
        <w:ind w:firstLine="482"/>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3、禽类（鸡、鸭等）</w:t>
      </w:r>
    </w:p>
    <w:p w14:paraId="08965CBC">
      <w:pPr>
        <w:widowControl w:val="0"/>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表面光滑而有光泽，肉质弹性好且丰满，表皮无毛或少毛，无破皮，无明显淤块，无污水，无血水，无异味。</w:t>
      </w:r>
    </w:p>
    <w:p w14:paraId="4FDF57CE">
      <w:pPr>
        <w:widowControl w:val="0"/>
        <w:spacing w:line="360" w:lineRule="auto"/>
        <w:ind w:firstLine="504"/>
        <w:jc w:val="center"/>
        <w:rPr>
          <w:rFonts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家禽感官质量要求</w:t>
      </w:r>
    </w:p>
    <w:tbl>
      <w:tblPr>
        <w:tblStyle w:val="22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789"/>
        <w:gridCol w:w="6940"/>
      </w:tblGrid>
      <w:tr w14:paraId="0A000A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789" w:type="dxa"/>
            <w:vAlign w:val="center"/>
          </w:tcPr>
          <w:p w14:paraId="578F009A">
            <w:pPr>
              <w:widowControl w:val="0"/>
              <w:spacing w:line="360" w:lineRule="auto"/>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品名</w:t>
            </w:r>
          </w:p>
        </w:tc>
        <w:tc>
          <w:tcPr>
            <w:tcW w:w="6940" w:type="dxa"/>
            <w:vAlign w:val="center"/>
          </w:tcPr>
          <w:p w14:paraId="7CB008E8">
            <w:pPr>
              <w:widowControl w:val="0"/>
              <w:spacing w:line="360" w:lineRule="auto"/>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质量标准</w:t>
            </w:r>
          </w:p>
        </w:tc>
      </w:tr>
      <w:tr w14:paraId="0275D9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789" w:type="dxa"/>
            <w:vAlign w:val="center"/>
          </w:tcPr>
          <w:p w14:paraId="640454FE">
            <w:pPr>
              <w:widowControl w:val="0"/>
              <w:spacing w:line="360" w:lineRule="auto"/>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鲜鸡</w:t>
            </w:r>
          </w:p>
        </w:tc>
        <w:tc>
          <w:tcPr>
            <w:tcW w:w="6940" w:type="dxa"/>
            <w:vAlign w:val="center"/>
          </w:tcPr>
          <w:p w14:paraId="49ECF58E">
            <w:pPr>
              <w:widowControl w:val="0"/>
              <w:spacing w:line="360" w:lineRule="auto"/>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指压后的凹陷立即恢复，具有鲜鸡肉正常气味，淤血斑无或极少，无打水症状、无破皮、鸡的翼部或鸡关节，不能有骨折和因骨折破皮而使骨头外露。</w:t>
            </w:r>
          </w:p>
        </w:tc>
      </w:tr>
      <w:tr w14:paraId="79759B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789" w:type="dxa"/>
            <w:vAlign w:val="center"/>
          </w:tcPr>
          <w:p w14:paraId="54D82580">
            <w:pPr>
              <w:widowControl w:val="0"/>
              <w:spacing w:line="360" w:lineRule="auto"/>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鲜鸭</w:t>
            </w:r>
          </w:p>
        </w:tc>
        <w:tc>
          <w:tcPr>
            <w:tcW w:w="6940" w:type="dxa"/>
            <w:vAlign w:val="center"/>
          </w:tcPr>
          <w:p w14:paraId="33741FB5">
            <w:pPr>
              <w:widowControl w:val="0"/>
              <w:spacing w:line="360" w:lineRule="auto"/>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表皮光滑而有光泽、 肉质弹性好且丰满、 表皮无毛或少毛、鲜</w:t>
            </w:r>
          </w:p>
          <w:p w14:paraId="48F85391">
            <w:pPr>
              <w:widowControl w:val="0"/>
              <w:spacing w:line="360" w:lineRule="auto"/>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鸭无破皮、无花皮、无显眼淤块;无注水、肚内无一切内脏、无血水、无异味。</w:t>
            </w:r>
          </w:p>
        </w:tc>
      </w:tr>
    </w:tbl>
    <w:p w14:paraId="6F29BBD3">
      <w:pPr>
        <w:widowControl w:val="0"/>
        <w:spacing w:line="360" w:lineRule="auto"/>
        <w:ind w:firstLine="482"/>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4、水产类</w:t>
      </w:r>
    </w:p>
    <w:p w14:paraId="68AE51E2">
      <w:pPr>
        <w:widowControl w:val="0"/>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（1）必须符合国家相关标准。产品的感观、安全、卫生、稳定性等指标符合相关规定。</w:t>
      </w:r>
    </w:p>
    <w:p w14:paraId="67F89F6E">
      <w:pPr>
        <w:widowControl w:val="0"/>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（2）水产必须鲜活、新鲜、无污染、无异味、无畸形，来源要清楚。</w:t>
      </w:r>
    </w:p>
    <w:p w14:paraId="5D5D38AF">
      <w:pPr>
        <w:widowControl w:val="0"/>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（3）过称前必须滤净水分，无泥砂、无杂质。虾类头尾完整、有一定弯曲度、虾身较挺、肉质坚实、虾壳发亮、发硬，呈青绿色或青白色；贝类肉质新鲜、无臭味、两贝壳相碰发出实响，且响声均匀。</w:t>
      </w:r>
    </w:p>
    <w:p w14:paraId="7616896E">
      <w:pPr>
        <w:widowControl w:val="0"/>
        <w:spacing w:line="360" w:lineRule="auto"/>
        <w:ind w:firstLine="482"/>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5、干货类</w:t>
      </w:r>
    </w:p>
    <w:p w14:paraId="79C6CC24">
      <w:pPr>
        <w:widowControl w:val="0"/>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（1）在质保期内。</w:t>
      </w:r>
    </w:p>
    <w:p w14:paraId="3DF6B6EE">
      <w:pPr>
        <w:widowControl w:val="0"/>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（2）外观：包装完好无损，无破损，封口严密。产品色泽正常、形态完整，无气孔。具有该品种应有的滋味和气味，无异味，无可见杂质。</w:t>
      </w:r>
    </w:p>
    <w:p w14:paraId="1F6DB76C">
      <w:pPr>
        <w:widowControl w:val="0"/>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（3）标识：有产品名称，生产厂名及地址，净含量，生产日期，配料表，保存条件，保质期，食用方法。</w:t>
      </w:r>
    </w:p>
    <w:p w14:paraId="7F01110A">
      <w:pPr>
        <w:widowControl w:val="0"/>
        <w:spacing w:line="360" w:lineRule="auto"/>
        <w:ind w:firstLine="482"/>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6、米面粮油调味品类</w:t>
      </w:r>
    </w:p>
    <w:p w14:paraId="7D85A8C9">
      <w:pPr>
        <w:widowControl w:val="0"/>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6.1大米标准</w:t>
      </w:r>
    </w:p>
    <w:p w14:paraId="3485448F">
      <w:pPr>
        <w:widowControl w:val="0"/>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（1）色泽呈透明玉色状。</w:t>
      </w:r>
    </w:p>
    <w:p w14:paraId="06BC9425">
      <w:pPr>
        <w:widowControl w:val="0"/>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（2）有股大米特有的浓浓的清香味。</w:t>
      </w:r>
    </w:p>
    <w:p w14:paraId="35AD252C">
      <w:pPr>
        <w:widowControl w:val="0"/>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（3）含水量较高，吃口较松，齿间留香。</w:t>
      </w:r>
    </w:p>
    <w:p w14:paraId="2D6AF4BF">
      <w:pPr>
        <w:widowControl w:val="0"/>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（4）必须符合相关国家标准，有“QS”食品质量安全认证或“SC食品生产许可证”。</w:t>
      </w:r>
    </w:p>
    <w:p w14:paraId="1114DF9F">
      <w:pPr>
        <w:widowControl w:val="0"/>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6.2面粉标准</w:t>
      </w:r>
    </w:p>
    <w:p w14:paraId="46EEFA7E">
      <w:pPr>
        <w:widowControl w:val="0"/>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（1）色泽：呈白色或微黄色，不发暗，色泽均匀，无杂质混入的颜色。</w:t>
      </w:r>
    </w:p>
    <w:p w14:paraId="74B7173E">
      <w:pPr>
        <w:widowControl w:val="0"/>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（2）形态：呈细粉末状，不含杂质，手指捏时无粗粒感，无虫子和结块，置手中紧握后放开不成团。</w:t>
      </w:r>
    </w:p>
    <w:p w14:paraId="27E48DE1">
      <w:pPr>
        <w:widowControl w:val="0"/>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（3）气味：具有正常的面粉气味，无其他异味。</w:t>
      </w:r>
    </w:p>
    <w:p w14:paraId="23E67D32">
      <w:pPr>
        <w:widowControl w:val="0"/>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（4）湿度：用手握面粉，松手后松散，不成团。</w:t>
      </w:r>
    </w:p>
    <w:p w14:paraId="4714D205">
      <w:pPr>
        <w:widowControl w:val="0"/>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（5）口感：味道正常，无发酸、刺喉，咀嚼时没有牙碜感.</w:t>
      </w:r>
    </w:p>
    <w:p w14:paraId="357E400E">
      <w:pPr>
        <w:widowControl w:val="0"/>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（6）包装：封口严密，防潮材质；外包装描述清楚，必须符合相关国家标准，且一定要有“QS”标识，无破损。</w:t>
      </w:r>
    </w:p>
    <w:p w14:paraId="1C94F8AC">
      <w:pPr>
        <w:widowControl w:val="0"/>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6.3食用油标准（非转基因）</w:t>
      </w:r>
    </w:p>
    <w:p w14:paraId="0DD4FC54">
      <w:pPr>
        <w:widowControl w:val="0"/>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（1）色泽：棕黄色至橙黄色。</w:t>
      </w:r>
    </w:p>
    <w:p w14:paraId="318AA64F">
      <w:pPr>
        <w:widowControl w:val="0"/>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（2）透明度：澄清、透明。</w:t>
      </w:r>
    </w:p>
    <w:p w14:paraId="405DE6A2">
      <w:pPr>
        <w:widowControl w:val="0"/>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（3）气味、滋味：具有食用植物油特有的气味和辛辣滋味。</w:t>
      </w:r>
    </w:p>
    <w:p w14:paraId="07A14E42">
      <w:pPr>
        <w:widowControl w:val="0"/>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（4）必须符合相关国家标准，并具有“QS”食品质量安全认证或“SC食品生产许可证”。</w:t>
      </w:r>
    </w:p>
    <w:p w14:paraId="44735D9F">
      <w:pPr>
        <w:widowControl w:val="0"/>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6.4调味品标准</w:t>
      </w:r>
    </w:p>
    <w:p w14:paraId="33632611">
      <w:pPr>
        <w:widowControl w:val="0"/>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（1）调料、香料、食品添加剂等原材料不含国家禁止使用的非食用化学物质。</w:t>
      </w:r>
    </w:p>
    <w:p w14:paraId="247154F8">
      <w:pPr>
        <w:widowControl w:val="0"/>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（2）无掺假、无过期、无霉变、无虫蛀、无异味、无杂质、无毒害。</w:t>
      </w:r>
    </w:p>
    <w:p w14:paraId="341640DF">
      <w:pPr>
        <w:widowControl w:val="0"/>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（3）符合国家食品标准。</w:t>
      </w:r>
    </w:p>
    <w:p w14:paraId="6D37C293">
      <w:pPr>
        <w:widowControl w:val="0"/>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（4）严禁有人工食素染色原材料，如有发现，予以没收销毁处理。</w:t>
      </w:r>
    </w:p>
    <w:p w14:paraId="435EB331">
      <w:pPr>
        <w:pStyle w:val="217"/>
        <w:widowControl w:val="0"/>
        <w:rPr>
          <w:rFonts w:cs="宋体"/>
          <w:color w:val="000000"/>
          <w:spacing w:val="6"/>
          <w:sz w:val="24"/>
          <w:szCs w:val="24"/>
          <w:highlight w:val="none"/>
        </w:rPr>
      </w:pPr>
      <w:r>
        <w:rPr>
          <w:rFonts w:hint="eastAsia" w:cs="宋体"/>
          <w:b/>
          <w:bCs/>
          <w:color w:val="000000"/>
          <w:sz w:val="24"/>
          <w:szCs w:val="24"/>
          <w:highlight w:val="none"/>
        </w:rPr>
        <w:t>注:在供应商供货期间，国家质量标准、食品安全标准和卫生标准均应符合现行国家或行业标准。招标人要求的标准若已废止或有调整的，以最新标准执行。</w:t>
      </w:r>
    </w:p>
    <w:p w14:paraId="386298AA">
      <w:pPr>
        <w:widowControl w:val="0"/>
        <w:spacing w:line="360" w:lineRule="auto"/>
        <w:ind w:firstLine="482"/>
        <w:outlineLvl w:val="1"/>
        <w:rPr>
          <w:rFonts w:ascii="宋体" w:hAnsi="宋体" w:eastAsia="宋体" w:cs="宋体"/>
          <w:color w:val="000000"/>
          <w:sz w:val="24"/>
          <w:szCs w:val="24"/>
          <w:highlight w:val="none"/>
        </w:rPr>
      </w:pPr>
      <w:bookmarkStart w:id="66" w:name="_Toc18543"/>
      <w:bookmarkStart w:id="67" w:name="_Toc23811"/>
      <w:bookmarkStart w:id="68" w:name="_Toc24000"/>
      <w:r>
        <w:rPr>
          <w:rFonts w:hint="eastAsia" w:ascii="宋体" w:hAnsi="宋体" w:eastAsia="宋体" w:cs="宋体"/>
          <w:b/>
          <w:bCs/>
          <w:color w:val="000000"/>
          <w:spacing w:val="7"/>
          <w:sz w:val="24"/>
          <w:szCs w:val="24"/>
          <w:highlight w:val="none"/>
        </w:rPr>
        <w:t>六、</w:t>
      </w:r>
      <w:r>
        <w:rPr>
          <w:rFonts w:hint="eastAsia" w:ascii="宋体" w:hAnsi="宋体" w:eastAsia="宋体" w:cs="宋体"/>
          <w:b/>
          <w:bCs/>
          <w:color w:val="000000"/>
          <w:sz w:val="24"/>
          <w:szCs w:val="24"/>
          <w:highlight w:val="none"/>
        </w:rPr>
        <w:t>供货及</w:t>
      </w:r>
      <w:r>
        <w:rPr>
          <w:rFonts w:hint="eastAsia" w:ascii="宋体" w:hAnsi="宋体" w:eastAsia="宋体" w:cs="宋体"/>
          <w:b/>
          <w:bCs/>
          <w:color w:val="000000"/>
          <w:spacing w:val="7"/>
          <w:sz w:val="24"/>
          <w:szCs w:val="24"/>
          <w:highlight w:val="none"/>
        </w:rPr>
        <w:t>质量</w:t>
      </w:r>
      <w:r>
        <w:rPr>
          <w:rFonts w:hint="eastAsia" w:ascii="宋体" w:hAnsi="宋体" w:eastAsia="宋体" w:cs="宋体"/>
          <w:b/>
          <w:bCs/>
          <w:color w:val="000000"/>
          <w:sz w:val="24"/>
          <w:szCs w:val="24"/>
          <w:highlight w:val="none"/>
        </w:rPr>
        <w:t>要求</w:t>
      </w:r>
      <w:bookmarkEnd w:id="66"/>
      <w:bookmarkEnd w:id="67"/>
      <w:bookmarkEnd w:id="68"/>
    </w:p>
    <w:p w14:paraId="4AA08F51">
      <w:pPr>
        <w:widowControl w:val="0"/>
        <w:numPr>
          <w:ilvl w:val="0"/>
          <w:numId w:val="1"/>
        </w:numPr>
        <w:spacing w:line="360" w:lineRule="auto"/>
        <w:ind w:firstLine="508"/>
        <w:rPr>
          <w:rFonts w:ascii="宋体" w:hAnsi="宋体" w:eastAsia="宋体" w:cs="宋体"/>
          <w:color w:val="000000"/>
          <w:spacing w:val="9"/>
          <w:sz w:val="24"/>
          <w:szCs w:val="24"/>
          <w:highlight w:val="none"/>
        </w:rPr>
      </w:pPr>
      <w:r>
        <w:rPr>
          <w:rFonts w:hint="eastAsia" w:ascii="宋体" w:hAnsi="宋体" w:eastAsia="宋体" w:cs="宋体"/>
          <w:color w:val="000000"/>
          <w:spacing w:val="7"/>
          <w:sz w:val="24"/>
          <w:szCs w:val="24"/>
          <w:highlight w:val="none"/>
        </w:rPr>
        <w:t>采购食堂蔬菜等必须坚持质优价廉的原则，不采购人情食品和蔬菜，不采购腐烂变质食品和</w:t>
      </w:r>
      <w:r>
        <w:rPr>
          <w:rFonts w:hint="eastAsia" w:ascii="宋体" w:hAnsi="宋体" w:eastAsia="宋体" w:cs="宋体"/>
          <w:color w:val="000000"/>
          <w:spacing w:val="6"/>
          <w:sz w:val="24"/>
          <w:szCs w:val="24"/>
          <w:highlight w:val="none"/>
        </w:rPr>
        <w:t>蔬菜，肉</w:t>
      </w:r>
      <w:r>
        <w:rPr>
          <w:rFonts w:hint="eastAsia" w:ascii="宋体" w:hAnsi="宋体" w:eastAsia="宋体" w:cs="宋体"/>
          <w:color w:val="000000"/>
          <w:spacing w:val="9"/>
          <w:sz w:val="24"/>
          <w:szCs w:val="24"/>
          <w:highlight w:val="none"/>
        </w:rPr>
        <w:t>类、禽蛋等大件、批量、常用物资定点购买，多渠道购进，确保安全、卫生、质优。</w:t>
      </w:r>
    </w:p>
    <w:p w14:paraId="5B713867">
      <w:pPr>
        <w:widowControl w:val="0"/>
        <w:numPr>
          <w:ilvl w:val="0"/>
          <w:numId w:val="1"/>
        </w:numPr>
        <w:spacing w:line="360" w:lineRule="auto"/>
        <w:ind w:firstLine="508"/>
        <w:rPr>
          <w:rFonts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要把好质量关，严禁</w:t>
      </w:r>
      <w:r>
        <w:rPr>
          <w:rFonts w:hint="eastAsia" w:ascii="宋体" w:hAnsi="宋体" w:eastAsia="宋体" w:cs="宋体"/>
          <w:color w:val="000000"/>
          <w:spacing w:val="9"/>
          <w:sz w:val="24"/>
          <w:szCs w:val="24"/>
          <w:highlight w:val="none"/>
        </w:rPr>
        <w:t>购进低质、变质、有毒、有害，过期和无生产许可证厂家的食物。</w:t>
      </w:r>
    </w:p>
    <w:p w14:paraId="54D39315">
      <w:pPr>
        <w:widowControl w:val="0"/>
        <w:numPr>
          <w:ilvl w:val="0"/>
          <w:numId w:val="1"/>
        </w:numPr>
        <w:spacing w:line="360" w:lineRule="auto"/>
        <w:ind w:firstLine="508"/>
        <w:rPr>
          <w:rFonts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调味品、罐、袋装食品必须从正规厂家进货，食品经营许可证、出厂日期等必须标识齐全，严禁使用</w:t>
      </w:r>
      <w:r>
        <w:rPr>
          <w:rFonts w:hint="eastAsia" w:ascii="宋体" w:hAnsi="宋体" w:eastAsia="宋体" w:cs="宋体"/>
          <w:color w:val="000000"/>
          <w:spacing w:val="9"/>
          <w:sz w:val="24"/>
          <w:szCs w:val="24"/>
          <w:highlight w:val="none"/>
        </w:rPr>
        <w:t>无食品经营许可证、过期或标识不齐全的物品，调味品必须验收入库。</w:t>
      </w:r>
    </w:p>
    <w:p w14:paraId="1FB4567C">
      <w:pPr>
        <w:widowControl w:val="0"/>
        <w:numPr>
          <w:ilvl w:val="0"/>
          <w:numId w:val="1"/>
        </w:numPr>
        <w:spacing w:line="360" w:lineRule="auto"/>
        <w:ind w:firstLine="508"/>
        <w:rPr>
          <w:rFonts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对不合格的食品和蔬菜，采购人及厨师有</w:t>
      </w:r>
      <w:r>
        <w:rPr>
          <w:rFonts w:hint="eastAsia" w:ascii="宋体" w:hAnsi="宋体" w:eastAsia="宋体" w:cs="宋体"/>
          <w:color w:val="000000"/>
          <w:spacing w:val="6"/>
          <w:sz w:val="24"/>
          <w:szCs w:val="24"/>
          <w:highlight w:val="none"/>
        </w:rPr>
        <w:t>权阻止使用。</w:t>
      </w:r>
    </w:p>
    <w:p w14:paraId="1C29CC24">
      <w:pPr>
        <w:widowControl w:val="0"/>
        <w:numPr>
          <w:ilvl w:val="0"/>
          <w:numId w:val="1"/>
        </w:numPr>
        <w:spacing w:line="360" w:lineRule="auto"/>
        <w:ind w:firstLine="480"/>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所有食材均按照采购人订单内容包括名称、种类、规格、数量、运送时间、送达地点、订单联系人等具体要求配送，食材质量标准必须符合国家相应的安全卫生标准。提供食材未达到规定要求，且对采购人造成损失的，由中标人承担一切责任，并赔偿所造成损失。</w:t>
      </w:r>
      <w:r>
        <w:rPr>
          <w:rFonts w:hint="eastAsia" w:ascii="宋体" w:hAnsi="宋体" w:eastAsia="宋体" w:cs="宋体"/>
          <w:color w:val="000000"/>
          <w:sz w:val="24"/>
          <w:szCs w:val="24"/>
          <w:highlight w:val="none"/>
        </w:rPr>
        <w:t>如有调整以采购方通知为准。</w:t>
      </w:r>
    </w:p>
    <w:p w14:paraId="4811577D">
      <w:pPr>
        <w:widowControl w:val="0"/>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6、因市场特殊原因，个别食材品种不能及时提供，中标人应主动与采购人沟通协调，更换品种，满足需要。 </w:t>
      </w:r>
    </w:p>
    <w:p w14:paraId="0DF7C06D">
      <w:pPr>
        <w:widowControl w:val="0"/>
        <w:numPr>
          <w:ilvl w:val="0"/>
          <w:numId w:val="1"/>
        </w:numPr>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所有商品因验收货物时不能直接判断质量的，在使用过程中发现不合格商品，中标人应作退货处理，不作签收。</w:t>
      </w:r>
    </w:p>
    <w:p w14:paraId="45068175">
      <w:pPr>
        <w:widowControl w:val="0"/>
        <w:numPr>
          <w:ilvl w:val="0"/>
          <w:numId w:val="1"/>
        </w:numPr>
        <w:spacing w:line="360" w:lineRule="auto"/>
        <w:ind w:firstLine="480"/>
        <w:rPr>
          <w:rFonts w:ascii="宋体" w:hAnsi="宋体" w:eastAsia="宋体" w:cs="宋体"/>
          <w:b/>
          <w:bCs/>
          <w:color w:val="000000"/>
          <w:spacing w:val="7"/>
          <w:sz w:val="24"/>
          <w:szCs w:val="24"/>
          <w:highlight w:val="none"/>
        </w:rPr>
      </w:pPr>
      <w:r>
        <w:rPr>
          <w:rFonts w:hint="eastAsia" w:ascii="宋体" w:hAnsi="宋体" w:eastAsia="宋体" w:cs="宋体"/>
          <w:color w:val="000000"/>
          <w:sz w:val="24"/>
          <w:szCs w:val="24"/>
          <w:highlight w:val="none"/>
        </w:rPr>
        <w:t xml:space="preserve">物资验收中不合格产品，中标人应按照采购人规定时间内调换，以不影响正常工作。 </w:t>
      </w:r>
    </w:p>
    <w:p w14:paraId="13C5BBEE">
      <w:pPr>
        <w:widowControl w:val="0"/>
        <w:numPr>
          <w:ilvl w:val="0"/>
          <w:numId w:val="1"/>
        </w:numPr>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因配送物资质量导致出现食品安全事故，中标人有义务协助处理相关事宜。</w:t>
      </w:r>
    </w:p>
    <w:p w14:paraId="6EDA1294">
      <w:pPr>
        <w:widowControl w:val="0"/>
        <w:numPr>
          <w:ilvl w:val="0"/>
          <w:numId w:val="1"/>
        </w:numPr>
        <w:spacing w:line="360" w:lineRule="auto"/>
        <w:ind w:firstLine="512"/>
        <w:rPr>
          <w:rFonts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采购人可不定期对食材进行抽检</w:t>
      </w:r>
      <w:r>
        <w:rPr>
          <w:rFonts w:hint="eastAsia" w:ascii="宋体" w:hAnsi="宋体" w:eastAsia="宋体" w:cs="宋体"/>
          <w:color w:val="000000"/>
          <w:spacing w:val="6"/>
          <w:sz w:val="24"/>
          <w:szCs w:val="24"/>
          <w:highlight w:val="none"/>
        </w:rPr>
        <w:t>，所产生的费用由中标人负责。</w:t>
      </w:r>
    </w:p>
    <w:p w14:paraId="404302ED">
      <w:pPr>
        <w:widowControl w:val="0"/>
        <w:numPr>
          <w:ilvl w:val="0"/>
          <w:numId w:val="1"/>
        </w:numPr>
        <w:spacing w:line="360" w:lineRule="auto"/>
        <w:ind w:firstLine="512"/>
        <w:rPr>
          <w:rFonts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所供的物品须符合《中华人民共和国食品安全法》要求,符合国家行业生产及经营标准，货真</w:t>
      </w:r>
      <w:r>
        <w:rPr>
          <w:rFonts w:hint="eastAsia" w:ascii="宋体" w:hAnsi="宋体" w:eastAsia="宋体" w:cs="宋体"/>
          <w:color w:val="000000"/>
          <w:spacing w:val="7"/>
          <w:sz w:val="24"/>
          <w:szCs w:val="24"/>
          <w:highlight w:val="none"/>
        </w:rPr>
        <w:t>价实，</w:t>
      </w:r>
      <w:r>
        <w:rPr>
          <w:rFonts w:hint="eastAsia" w:ascii="宋体" w:hAnsi="宋体" w:eastAsia="宋体" w:cs="宋体"/>
          <w:color w:val="000000"/>
          <w:spacing w:val="9"/>
          <w:sz w:val="24"/>
          <w:szCs w:val="24"/>
          <w:highlight w:val="none"/>
        </w:rPr>
        <w:t>均能提供相应批次的合格检验证明,各项技术指标完全符合国家质量检测、环保标准及产品出厂标准。</w:t>
      </w:r>
    </w:p>
    <w:p w14:paraId="5F18A15D">
      <w:pPr>
        <w:widowControl w:val="0"/>
        <w:numPr>
          <w:ilvl w:val="0"/>
          <w:numId w:val="1"/>
        </w:numPr>
        <w:spacing w:line="360" w:lineRule="auto"/>
        <w:ind w:firstLine="520"/>
        <w:rPr>
          <w:rFonts w:ascii="宋体" w:hAnsi="宋体" w:eastAsia="宋体" w:cs="宋体"/>
          <w:color w:val="000000"/>
          <w:spacing w:val="8"/>
          <w:sz w:val="24"/>
          <w:szCs w:val="24"/>
          <w:highlight w:val="none"/>
        </w:rPr>
      </w:pPr>
      <w:r>
        <w:rPr>
          <w:rFonts w:hint="eastAsia" w:ascii="宋体" w:hAnsi="宋体" w:eastAsia="宋体" w:cs="宋体"/>
          <w:color w:val="000000"/>
          <w:spacing w:val="10"/>
          <w:sz w:val="24"/>
          <w:szCs w:val="24"/>
          <w:highlight w:val="none"/>
        </w:rPr>
        <w:t>中标人应保证所供的物品无异味、无霉烂变质，如不符合投标文件所描述的质量标准，</w:t>
      </w:r>
      <w:r>
        <w:rPr>
          <w:rFonts w:hint="eastAsia" w:ascii="宋体" w:hAnsi="宋体" w:eastAsia="宋体" w:cs="宋体"/>
          <w:color w:val="000000"/>
          <w:spacing w:val="9"/>
          <w:sz w:val="24"/>
          <w:szCs w:val="24"/>
          <w:highlight w:val="none"/>
        </w:rPr>
        <w:t>须退货并承</w:t>
      </w:r>
      <w:r>
        <w:rPr>
          <w:rFonts w:hint="eastAsia" w:ascii="宋体" w:hAnsi="宋体" w:eastAsia="宋体" w:cs="宋体"/>
          <w:color w:val="000000"/>
          <w:spacing w:val="7"/>
          <w:sz w:val="24"/>
          <w:szCs w:val="24"/>
          <w:highlight w:val="none"/>
        </w:rPr>
        <w:t>担违约责任；保证合同货品均为正规生产的新鲜（冰鲜除外）、检验合格、无</w:t>
      </w:r>
      <w:r>
        <w:rPr>
          <w:rFonts w:hint="eastAsia" w:ascii="宋体" w:hAnsi="宋体" w:eastAsia="宋体" w:cs="宋体"/>
          <w:color w:val="000000"/>
          <w:spacing w:val="6"/>
          <w:sz w:val="24"/>
          <w:szCs w:val="24"/>
          <w:highlight w:val="none"/>
        </w:rPr>
        <w:t>毒、无辐射、无侵权货品，</w:t>
      </w:r>
      <w:r>
        <w:rPr>
          <w:rFonts w:hint="eastAsia" w:ascii="宋体" w:hAnsi="宋体" w:eastAsia="宋体" w:cs="宋体"/>
          <w:color w:val="000000"/>
          <w:spacing w:val="10"/>
          <w:sz w:val="24"/>
          <w:szCs w:val="24"/>
          <w:highlight w:val="none"/>
        </w:rPr>
        <w:t>符合国家卫生、质量、包装和保质标准，有使用有效期的货品，其剩余有效期不得少于标注有效期的三</w:t>
      </w:r>
      <w:r>
        <w:rPr>
          <w:rFonts w:hint="eastAsia" w:ascii="宋体" w:hAnsi="宋体" w:eastAsia="宋体" w:cs="宋体"/>
          <w:color w:val="000000"/>
          <w:spacing w:val="4"/>
          <w:sz w:val="24"/>
          <w:szCs w:val="24"/>
          <w:highlight w:val="none"/>
        </w:rPr>
        <w:t>分之二。</w:t>
      </w:r>
    </w:p>
    <w:p w14:paraId="07D32F2C">
      <w:pPr>
        <w:widowControl w:val="0"/>
        <w:numPr>
          <w:ilvl w:val="0"/>
          <w:numId w:val="1"/>
        </w:numPr>
        <w:spacing w:line="360" w:lineRule="auto"/>
        <w:ind w:firstLine="512"/>
        <w:rPr>
          <w:rFonts w:ascii="宋体" w:hAnsi="宋体" w:eastAsia="宋体" w:cs="宋体"/>
          <w:color w:val="000000"/>
          <w:spacing w:val="8"/>
          <w:sz w:val="24"/>
          <w:szCs w:val="24"/>
          <w:highlight w:val="none"/>
        </w:rPr>
      </w:pPr>
      <w:r>
        <w:rPr>
          <w:rFonts w:hint="eastAsia" w:ascii="宋体" w:hAnsi="宋体" w:eastAsia="宋体" w:cs="宋体"/>
          <w:color w:val="000000"/>
          <w:spacing w:val="8"/>
          <w:sz w:val="24"/>
          <w:szCs w:val="24"/>
          <w:highlight w:val="none"/>
        </w:rPr>
        <w:t>中标人须清晰地列出产品品牌、名称、制造商名称和厂址、型号、生产日期和保质期限、包装类型、包装方式、包装净重量、含冰量等相关参数。包装容器(框、箱、袋)要求清洁、干燥、牢固、透气，无污染、无异味、无霉变现象。严禁采购有害、有毒、腐烂变质、酸败、霉变、生虫、污垢、不洁、混有异物或其他感官性状异常的食品。禁止采购超过保质期限的食品。</w:t>
      </w:r>
    </w:p>
    <w:p w14:paraId="7A5698CC">
      <w:pPr>
        <w:widowControl w:val="0"/>
        <w:numPr>
          <w:ilvl w:val="0"/>
          <w:numId w:val="1"/>
        </w:numPr>
        <w:spacing w:line="360" w:lineRule="auto"/>
        <w:ind w:firstLine="512"/>
        <w:rPr>
          <w:rFonts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货物有包装的，货物的包装必须完整清洁（无损、无污、无皱），采购人有权拒收包装不整齐、已拆封的商品。采购的食品不得存放在有害、有毒的容器内。</w:t>
      </w:r>
    </w:p>
    <w:p w14:paraId="3665DF76">
      <w:pPr>
        <w:widowControl w:val="0"/>
        <w:numPr>
          <w:ilvl w:val="0"/>
          <w:numId w:val="1"/>
        </w:numPr>
        <w:spacing w:line="360" w:lineRule="auto"/>
        <w:ind w:firstLine="520"/>
        <w:rPr>
          <w:rFonts w:ascii="宋体" w:hAnsi="宋体" w:eastAsia="宋体" w:cs="宋体"/>
          <w:color w:val="000000"/>
          <w:sz w:val="24"/>
          <w:szCs w:val="24"/>
          <w:highlight w:val="none"/>
        </w:rPr>
      </w:pPr>
      <w:r>
        <w:rPr>
          <w:rFonts w:hint="eastAsia" w:ascii="宋体" w:hAnsi="宋体" w:eastAsia="宋体" w:cs="宋体"/>
          <w:color w:val="000000"/>
          <w:spacing w:val="10"/>
          <w:sz w:val="24"/>
          <w:szCs w:val="24"/>
          <w:highlight w:val="none"/>
        </w:rPr>
        <w:t>食品应清洁，并符合企业验收标准；食品应无损伤、腐烂现象，无寄生虫或已受虫害现象；对温度</w:t>
      </w:r>
      <w:r>
        <w:rPr>
          <w:rFonts w:hint="eastAsia" w:ascii="宋体" w:hAnsi="宋体" w:eastAsia="宋体" w:cs="宋体"/>
          <w:color w:val="000000"/>
          <w:spacing w:val="9"/>
          <w:sz w:val="24"/>
          <w:szCs w:val="24"/>
          <w:highlight w:val="none"/>
        </w:rPr>
        <w:t>有要求的食品应确定食品的温度与包装上指示温度一致。</w:t>
      </w:r>
    </w:p>
    <w:p w14:paraId="31974EDF">
      <w:pPr>
        <w:widowControl w:val="0"/>
        <w:numPr>
          <w:ilvl w:val="0"/>
          <w:numId w:val="1"/>
        </w:numPr>
        <w:spacing w:line="360" w:lineRule="auto"/>
        <w:ind w:firstLine="508"/>
        <w:rPr>
          <w:rFonts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中标人供应的产品不能为政府部门已公布质量不合格的品牌产品。</w:t>
      </w:r>
    </w:p>
    <w:p w14:paraId="7EA3B1A4">
      <w:pPr>
        <w:widowControl w:val="0"/>
        <w:numPr>
          <w:ilvl w:val="0"/>
          <w:numId w:val="1"/>
        </w:numPr>
        <w:spacing w:line="360" w:lineRule="auto"/>
        <w:ind w:firstLine="516"/>
        <w:rPr>
          <w:rFonts w:ascii="宋体" w:hAnsi="宋体" w:eastAsia="宋体" w:cs="宋体"/>
          <w:color w:val="000000"/>
          <w:sz w:val="24"/>
          <w:szCs w:val="24"/>
          <w:highlight w:val="none"/>
        </w:rPr>
      </w:pPr>
      <w:r>
        <w:rPr>
          <w:rFonts w:hint="eastAsia" w:ascii="宋体" w:hAnsi="宋体" w:eastAsia="宋体" w:cs="宋体"/>
          <w:color w:val="000000"/>
          <w:spacing w:val="9"/>
          <w:sz w:val="24"/>
          <w:szCs w:val="24"/>
          <w:highlight w:val="none"/>
        </w:rPr>
        <w:t>中标人</w:t>
      </w:r>
      <w:r>
        <w:rPr>
          <w:rFonts w:hint="eastAsia" w:ascii="宋体" w:hAnsi="宋体" w:eastAsia="宋体" w:cs="宋体"/>
          <w:color w:val="000000"/>
          <w:spacing w:val="7"/>
          <w:sz w:val="24"/>
          <w:szCs w:val="24"/>
          <w:highlight w:val="none"/>
        </w:rPr>
        <w:t>需有健全的管理制度，主要包括厨房纪律、厨房进出品制度、清洁卫生制度、员</w:t>
      </w:r>
      <w:r>
        <w:rPr>
          <w:rFonts w:hint="eastAsia" w:ascii="宋体" w:hAnsi="宋体" w:eastAsia="宋体" w:cs="宋体"/>
          <w:color w:val="000000"/>
          <w:spacing w:val="6"/>
          <w:sz w:val="24"/>
          <w:szCs w:val="24"/>
          <w:highlight w:val="none"/>
        </w:rPr>
        <w:t>工考勤休</w:t>
      </w:r>
      <w:r>
        <w:rPr>
          <w:rFonts w:hint="eastAsia" w:ascii="宋体" w:hAnsi="宋体" w:eastAsia="宋体" w:cs="宋体"/>
          <w:color w:val="000000"/>
          <w:spacing w:val="9"/>
          <w:sz w:val="24"/>
          <w:szCs w:val="24"/>
          <w:highlight w:val="none"/>
        </w:rPr>
        <w:t>假制度、食堂设施设备使用维护制度、厨房会议制度、厨房日常工作检查制度等。</w:t>
      </w:r>
    </w:p>
    <w:p w14:paraId="1163FAE8">
      <w:pPr>
        <w:widowControl w:val="0"/>
        <w:numPr>
          <w:ilvl w:val="0"/>
          <w:numId w:val="1"/>
        </w:numPr>
        <w:spacing w:line="360" w:lineRule="auto"/>
        <w:ind w:firstLine="512"/>
        <w:rPr>
          <w:rFonts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在符合国家、地方和行业的餐饮、食品卫生质量标准的前提下，有服务质量和加工标准化管理办法，</w:t>
      </w:r>
      <w:r>
        <w:rPr>
          <w:rFonts w:hint="eastAsia" w:ascii="宋体" w:hAnsi="宋体" w:eastAsia="宋体" w:cs="宋体"/>
          <w:color w:val="000000"/>
          <w:spacing w:val="9"/>
          <w:sz w:val="24"/>
          <w:szCs w:val="24"/>
          <w:highlight w:val="none"/>
        </w:rPr>
        <w:t>设立原材料加工标准、配制标准、烹调标准、卫生标准等，生产加工过程统一标准、规格、程序。</w:t>
      </w:r>
    </w:p>
    <w:p w14:paraId="53A1BFEE">
      <w:pPr>
        <w:widowControl w:val="0"/>
        <w:numPr>
          <w:ilvl w:val="0"/>
          <w:numId w:val="1"/>
        </w:numPr>
        <w:spacing w:line="360" w:lineRule="auto"/>
        <w:ind w:firstLine="508"/>
        <w:rPr>
          <w:color w:val="000000"/>
          <w:highlight w:val="none"/>
        </w:rPr>
      </w:pPr>
      <w:r>
        <w:rPr>
          <w:rFonts w:hint="eastAsia" w:ascii="宋体" w:hAnsi="宋体" w:eastAsia="宋体" w:cs="宋体"/>
          <w:color w:val="000000"/>
          <w:spacing w:val="7"/>
          <w:sz w:val="24"/>
          <w:szCs w:val="24"/>
          <w:highlight w:val="none"/>
        </w:rPr>
        <w:t>服务人员应明确各岗位的目标和责任，对生产过程和物料处理实施管理，提高工作效率，确保饮食安</w:t>
      </w:r>
      <w:r>
        <w:rPr>
          <w:rFonts w:hint="eastAsia" w:ascii="宋体" w:hAnsi="宋体" w:eastAsia="宋体" w:cs="宋体"/>
          <w:color w:val="000000"/>
          <w:sz w:val="24"/>
          <w:szCs w:val="24"/>
          <w:highlight w:val="none"/>
        </w:rPr>
        <w:t>全。</w:t>
      </w:r>
    </w:p>
    <w:p w14:paraId="2A092420">
      <w:pPr>
        <w:pStyle w:val="217"/>
        <w:ind w:firstLine="516" w:firstLineChars="200"/>
        <w:rPr>
          <w:rFonts w:cs="宋体"/>
          <w:color w:val="000000"/>
          <w:sz w:val="24"/>
          <w:szCs w:val="24"/>
          <w:highlight w:val="none"/>
        </w:rPr>
      </w:pPr>
      <w:r>
        <w:rPr>
          <w:rFonts w:hint="eastAsia" w:cs="宋体"/>
          <w:color w:val="000000"/>
          <w:spacing w:val="9"/>
          <w:sz w:val="24"/>
          <w:szCs w:val="24"/>
          <w:highlight w:val="none"/>
        </w:rPr>
        <w:t>19、中标人应负责对厨房及餐厅设施、设备的正常使用与管理，严格</w:t>
      </w:r>
      <w:r>
        <w:rPr>
          <w:rFonts w:hint="eastAsia" w:cs="宋体"/>
          <w:color w:val="000000"/>
          <w:spacing w:val="8"/>
          <w:sz w:val="24"/>
          <w:szCs w:val="24"/>
          <w:highlight w:val="none"/>
        </w:rPr>
        <w:t>按使用规程操作，</w:t>
      </w:r>
      <w:r>
        <w:rPr>
          <w:rFonts w:hint="eastAsia" w:cs="仿宋"/>
          <w:color w:val="000000"/>
          <w:sz w:val="24"/>
          <w:szCs w:val="24"/>
          <w:highlight w:val="none"/>
        </w:rPr>
        <w:t>仅限于合同范围内使用，不得用于对外生产加工。</w:t>
      </w:r>
    </w:p>
    <w:p w14:paraId="5CDE156A">
      <w:pPr>
        <w:widowControl w:val="0"/>
        <w:spacing w:line="360" w:lineRule="auto"/>
        <w:ind w:firstLine="516"/>
        <w:rPr>
          <w:rFonts w:ascii="宋体" w:hAnsi="宋体" w:eastAsia="宋体" w:cs="宋体"/>
          <w:color w:val="000000"/>
          <w:sz w:val="24"/>
          <w:szCs w:val="24"/>
          <w:highlight w:val="none"/>
        </w:rPr>
      </w:pPr>
      <w:bookmarkStart w:id="69" w:name="OLE_LINK24"/>
      <w:r>
        <w:rPr>
          <w:rFonts w:hint="eastAsia" w:ascii="宋体" w:hAnsi="宋体" w:eastAsia="宋体" w:cs="宋体"/>
          <w:color w:val="000000"/>
          <w:spacing w:val="9"/>
          <w:sz w:val="24"/>
          <w:szCs w:val="24"/>
          <w:highlight w:val="none"/>
        </w:rPr>
        <w:t>20、中标人</w:t>
      </w:r>
      <w:bookmarkEnd w:id="69"/>
      <w:r>
        <w:rPr>
          <w:rFonts w:hint="eastAsia" w:ascii="宋体" w:hAnsi="宋体" w:eastAsia="宋体" w:cs="宋体"/>
          <w:color w:val="000000"/>
          <w:spacing w:val="9"/>
          <w:sz w:val="24"/>
          <w:szCs w:val="24"/>
          <w:highlight w:val="none"/>
        </w:rPr>
        <w:t>签订合同后应按采购人的各项要求按时保质保量完成所承担事项，不得将项目</w:t>
      </w:r>
      <w:r>
        <w:rPr>
          <w:rFonts w:hint="eastAsia" w:ascii="宋体" w:hAnsi="宋体" w:eastAsia="宋体" w:cs="宋体"/>
          <w:color w:val="000000"/>
          <w:spacing w:val="8"/>
          <w:sz w:val="24"/>
          <w:szCs w:val="24"/>
          <w:highlight w:val="none"/>
        </w:rPr>
        <w:t>分包和转让。</w:t>
      </w:r>
    </w:p>
    <w:p w14:paraId="43941ED5">
      <w:pPr>
        <w:widowControl w:val="0"/>
        <w:spacing w:line="360" w:lineRule="auto"/>
        <w:ind w:firstLine="512"/>
        <w:rPr>
          <w:rFonts w:ascii="宋体" w:hAnsi="宋体" w:eastAsia="宋体" w:cs="宋体"/>
          <w:color w:val="000000"/>
          <w:spacing w:val="6"/>
          <w:sz w:val="24"/>
          <w:szCs w:val="24"/>
          <w:highlight w:val="none"/>
        </w:rPr>
      </w:pPr>
      <w:r>
        <w:rPr>
          <w:rFonts w:hint="eastAsia" w:ascii="宋体" w:hAnsi="宋体" w:eastAsia="宋体" w:cs="宋体"/>
          <w:color w:val="000000"/>
          <w:spacing w:val="8"/>
          <w:sz w:val="24"/>
          <w:szCs w:val="24"/>
          <w:highlight w:val="none"/>
        </w:rPr>
        <w:t>21、中标人所生产和加工的食品须按《中华人民共和</w:t>
      </w:r>
      <w:r>
        <w:rPr>
          <w:rFonts w:hint="eastAsia" w:ascii="宋体" w:hAnsi="宋体" w:eastAsia="宋体" w:cs="宋体"/>
          <w:color w:val="000000"/>
          <w:spacing w:val="7"/>
          <w:sz w:val="24"/>
          <w:szCs w:val="24"/>
          <w:highlight w:val="none"/>
        </w:rPr>
        <w:t>国食品安全法》要求执行每餐留样，以便安全卫生检查。</w:t>
      </w:r>
    </w:p>
    <w:p w14:paraId="45CE4B0B">
      <w:pPr>
        <w:widowControl w:val="0"/>
        <w:spacing w:line="360" w:lineRule="auto"/>
        <w:ind w:firstLine="516"/>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9"/>
          <w:sz w:val="24"/>
          <w:szCs w:val="24"/>
          <w:highlight w:val="none"/>
        </w:rPr>
        <w:t>22、经营活动及餐饮服务人员须符合《中华人民共</w:t>
      </w:r>
      <w:r>
        <w:rPr>
          <w:rFonts w:hint="eastAsia" w:ascii="宋体" w:hAnsi="宋体" w:eastAsia="宋体" w:cs="宋体"/>
          <w:color w:val="000000"/>
          <w:spacing w:val="8"/>
          <w:sz w:val="24"/>
          <w:szCs w:val="24"/>
          <w:highlight w:val="none"/>
        </w:rPr>
        <w:t>和国食品安全法》的相关规定。</w:t>
      </w:r>
    </w:p>
    <w:p w14:paraId="147A275E">
      <w:pPr>
        <w:widowControl w:val="0"/>
        <w:spacing w:line="360" w:lineRule="auto"/>
        <w:ind w:firstLine="516"/>
        <w:rPr>
          <w:rFonts w:hint="eastAsia" w:ascii="宋体" w:hAnsi="宋体" w:eastAsia="宋体" w:cs="宋体"/>
          <w:color w:val="000000"/>
          <w:spacing w:val="8"/>
          <w:sz w:val="24"/>
          <w:szCs w:val="24"/>
          <w:highlight w:val="none"/>
        </w:rPr>
      </w:pPr>
      <w:r>
        <w:rPr>
          <w:rFonts w:hint="eastAsia" w:ascii="宋体" w:hAnsi="宋体" w:eastAsia="宋体" w:cs="宋体"/>
          <w:b/>
          <w:bCs/>
          <w:color w:val="000000"/>
          <w:spacing w:val="8"/>
          <w:sz w:val="24"/>
          <w:szCs w:val="24"/>
          <w:highlight w:val="none"/>
          <w:lang w:val="en-US" w:eastAsia="zh-CN"/>
        </w:rPr>
        <w:t>23、</w:t>
      </w:r>
      <w:r>
        <w:rPr>
          <w:rFonts w:hint="eastAsia" w:ascii="宋体" w:hAnsi="宋体" w:eastAsia="宋体" w:cs="宋体"/>
          <w:b/>
          <w:bCs/>
          <w:color w:val="000000"/>
          <w:spacing w:val="8"/>
          <w:sz w:val="24"/>
          <w:szCs w:val="24"/>
          <w:highlight w:val="none"/>
        </w:rPr>
        <w:t>每次送货时必须提供动物产品检疫合格证及肉品品质检验合格证，严禁供应冷冻肉类。</w:t>
      </w:r>
    </w:p>
    <w:p w14:paraId="1ED7242C">
      <w:pPr>
        <w:widowControl w:val="0"/>
        <w:spacing w:line="360" w:lineRule="auto"/>
        <w:ind w:firstLine="480"/>
        <w:outlineLvl w:val="1"/>
        <w:rPr>
          <w:rFonts w:ascii="宋体" w:hAnsi="宋体" w:eastAsia="宋体" w:cs="仿宋"/>
          <w:color w:val="000000"/>
          <w:sz w:val="24"/>
          <w:szCs w:val="24"/>
          <w:highlight w:val="none"/>
        </w:rPr>
      </w:pPr>
      <w:bookmarkStart w:id="70" w:name="_Toc13160"/>
      <w:bookmarkStart w:id="71" w:name="_Toc27297"/>
      <w:bookmarkStart w:id="72" w:name="_Toc9465"/>
      <w:r>
        <w:rPr>
          <w:rFonts w:hint="eastAsia" w:ascii="宋体" w:hAnsi="宋体" w:eastAsia="宋体" w:cs="仿宋"/>
          <w:b/>
          <w:bCs/>
          <w:color w:val="000000"/>
          <w:sz w:val="24"/>
          <w:szCs w:val="24"/>
          <w:highlight w:val="none"/>
        </w:rPr>
        <w:t>七、人员管理及配送要求</w:t>
      </w:r>
      <w:bookmarkEnd w:id="70"/>
      <w:bookmarkEnd w:id="71"/>
      <w:bookmarkEnd w:id="72"/>
    </w:p>
    <w:p w14:paraId="5C897E2B">
      <w:pPr>
        <w:widowControl w:val="0"/>
        <w:numPr>
          <w:ilvl w:val="0"/>
          <w:numId w:val="2"/>
        </w:numPr>
        <w:spacing w:line="360" w:lineRule="auto"/>
        <w:ind w:firstLine="480"/>
        <w:rPr>
          <w:rFonts w:ascii="宋体" w:hAnsi="宋体" w:eastAsia="宋体" w:cs="宋体"/>
          <w:color w:val="000000"/>
          <w:sz w:val="24"/>
          <w:szCs w:val="24"/>
          <w:highlight w:val="none"/>
        </w:rPr>
      </w:pPr>
      <w:r>
        <w:rPr>
          <w:rFonts w:hint="eastAsia" w:ascii="宋体" w:hAnsi="宋体" w:eastAsia="宋体" w:cs="仿宋"/>
          <w:color w:val="000000"/>
          <w:sz w:val="24"/>
          <w:szCs w:val="24"/>
          <w:highlight w:val="none"/>
        </w:rPr>
        <w:t>项目负责人、厨师长、厨师、面点师、勤杂岗位需配备齐全，具体人数由中标供应商满足项目需求的情况下自行安排，负责人、厨师长等重要岗位工作人员必须相对固定，岗位人员经确定后，中标人不得随意更换，除采购方提出，调整需提前与采购方沟通，取得同意后方可调整。</w:t>
      </w:r>
    </w:p>
    <w:p w14:paraId="7A2C5092">
      <w:pPr>
        <w:widowControl w:val="0"/>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2、中标人须配备采购配送人员、采购配送车，实行专人专车进行配送，并负责人员和车辆的安全和管理，保证人员和车辆遵守采购人的相关规定，配送过程中发生交通等安全事故由中标人负责。</w:t>
      </w:r>
    </w:p>
    <w:p w14:paraId="6E0E067C">
      <w:pPr>
        <w:widowControl w:val="0"/>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3、配送人员必须取得卫生部门出具的健康证，工作时做到个人仪表整洁，送货时必须佩带经营单位的食品配送上岗证。</w:t>
      </w:r>
    </w:p>
    <w:p w14:paraId="43167AB0">
      <w:pPr>
        <w:widowControl w:val="0"/>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4、配送车辆上必须粘贴配送标识，车辆要保持清洁，在食材配送过程中不得与其他产品混装。</w:t>
      </w:r>
    </w:p>
    <w:p w14:paraId="7F93E0E4">
      <w:pPr>
        <w:widowControl w:val="0"/>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5、中标人必须需按采购人指定时间、地点送货，并将货物运送到采购人指定位置。</w:t>
      </w:r>
    </w:p>
    <w:p w14:paraId="585B0C49">
      <w:pPr>
        <w:widowControl w:val="0"/>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6、</w:t>
      </w:r>
      <w:r>
        <w:rPr>
          <w:rFonts w:hint="eastAsia" w:ascii="宋体" w:hAnsi="宋体" w:eastAsia="宋体" w:cs="宋体"/>
          <w:color w:val="000000"/>
          <w:spacing w:val="10"/>
          <w:sz w:val="24"/>
          <w:szCs w:val="24"/>
          <w:highlight w:val="none"/>
        </w:rPr>
        <w:t>货物配送人员必须遵纪守法、品行良好，</w:t>
      </w:r>
      <w:r>
        <w:rPr>
          <w:rFonts w:hint="eastAsia" w:ascii="宋体" w:hAnsi="宋体" w:eastAsia="宋体" w:cs="仿宋"/>
          <w:color w:val="000000"/>
          <w:sz w:val="24"/>
          <w:szCs w:val="24"/>
          <w:highlight w:val="none"/>
        </w:rPr>
        <w:t>需提供身份证、健康证、无犯罪记录证明，进场前提供相关材料。</w:t>
      </w:r>
    </w:p>
    <w:p w14:paraId="6274BDAF">
      <w:pPr>
        <w:widowControl w:val="0"/>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7、中标人选用食材配送供应商（含配送企业、食材生产基地、批发市场经营户等）供应食材的，所选配送供应商必须具备合法经营资质：持有有效的营业执照、食品经营许可证（或食品生产许可证），经营范围涵盖本项目所需食材的销售及配送；配备符合食品安全要求的仓储、冷链运输设施设备和配送车辆；配送人员持有有效健康证及食品配送上岗证。中标人应在进场服务前将所选食材配送供应商的营业执照、食品经营许可证（或食品生产许可证）、配送人员健康证及无犯罪记录证明等资质材料报采购人审核备案，经采购人书面同意后方可开展配送；配送供应商资质情况发生变化或更换配送供应商的，须提前书面报采购人重新审核。因配送供应商资质不全、违法违规经营或发生食品安全事故的，由中标人承担全部责任。</w:t>
      </w:r>
    </w:p>
    <w:p w14:paraId="79DFBC70">
      <w:pPr>
        <w:widowControl w:val="0"/>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8、中标人在配送服务过程中应遵守采购人单位的各项规章制度，不得与采购人单位或人员发生各种不文明行为，如遇不可解决之矛盾应以沟通为主，相互谅解。</w:t>
      </w:r>
    </w:p>
    <w:p w14:paraId="3F760F39">
      <w:pPr>
        <w:widowControl w:val="0"/>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9、中标人应不断对其人员进行专业培训，以完成工作任务。</w:t>
      </w:r>
    </w:p>
    <w:p w14:paraId="5D47D4A7">
      <w:pPr>
        <w:widowControl w:val="0"/>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10、中标人必须给上述人员按照国家有关规定支付工资、缴纳社会保险等，所有从业人员年龄符合相关政策要求。中标人要充分考虑所有工作人员的值休、轮休、法定假日休息以及岗位顶班、日常机动人员的配备，以上所有费用均计入投标价中。</w:t>
      </w:r>
    </w:p>
    <w:p w14:paraId="77BB1A97">
      <w:pPr>
        <w:widowControl w:val="0"/>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11、中标人须加强人员普法教育，倡导全体人员遵守宪法和法律，不断提高法治意识，服务过程中严禁违法违纪行为。服务期间，中标人工作人员发生违法犯罪问题的，中标人须立即将其调离本项目岗位，并按照法律规定及相关司法、行政机关处理结果承担相应责任；因员工违法犯罪给采购人造成损失或不良影响的，由中标人承担相应责任，情节严重的，采购人有权解除合同。</w:t>
      </w:r>
    </w:p>
    <w:p w14:paraId="2C5678AC">
      <w:pPr>
        <w:widowControl w:val="0"/>
        <w:spacing w:line="360" w:lineRule="auto"/>
        <w:ind w:firstLine="482"/>
        <w:outlineLvl w:val="1"/>
        <w:rPr>
          <w:rFonts w:ascii="宋体" w:hAnsi="宋体" w:eastAsia="宋体" w:cs="仿宋"/>
          <w:b/>
          <w:bCs/>
          <w:color w:val="000000"/>
          <w:sz w:val="24"/>
          <w:szCs w:val="24"/>
          <w:highlight w:val="none"/>
        </w:rPr>
      </w:pPr>
      <w:bookmarkStart w:id="73" w:name="_Toc15243"/>
      <w:bookmarkStart w:id="74" w:name="_Toc29152"/>
      <w:bookmarkStart w:id="75" w:name="_Toc5799"/>
      <w:r>
        <w:rPr>
          <w:rFonts w:hint="eastAsia" w:ascii="宋体" w:hAnsi="宋体" w:eastAsia="宋体" w:cs="仿宋"/>
          <w:b/>
          <w:bCs/>
          <w:color w:val="000000"/>
          <w:sz w:val="24"/>
          <w:szCs w:val="24"/>
          <w:highlight w:val="none"/>
        </w:rPr>
        <w:t>八、食堂经营管理要求</w:t>
      </w:r>
      <w:bookmarkEnd w:id="73"/>
      <w:bookmarkEnd w:id="74"/>
      <w:bookmarkEnd w:id="75"/>
    </w:p>
    <w:p w14:paraId="4DE85730">
      <w:pPr>
        <w:widowControl w:val="0"/>
        <w:spacing w:line="360" w:lineRule="auto"/>
        <w:ind w:firstLine="480"/>
        <w:rPr>
          <w:rFonts w:ascii="宋体" w:hAnsi="宋体" w:eastAsia="宋体" w:cs="宋体"/>
          <w:bCs/>
          <w:color w:val="000000"/>
          <w:sz w:val="24"/>
          <w:szCs w:val="24"/>
          <w:highlight w:val="none"/>
        </w:rPr>
      </w:pPr>
      <w:bookmarkStart w:id="76" w:name="bookmark37"/>
      <w:bookmarkEnd w:id="76"/>
      <w:bookmarkStart w:id="77" w:name="bookmark38"/>
      <w:bookmarkEnd w:id="77"/>
      <w:r>
        <w:rPr>
          <w:rFonts w:hint="eastAsia" w:ascii="宋体" w:hAnsi="宋体" w:eastAsia="宋体" w:cs="宋体"/>
          <w:bCs/>
          <w:color w:val="000000"/>
          <w:sz w:val="24"/>
          <w:szCs w:val="24"/>
          <w:highlight w:val="none"/>
        </w:rPr>
        <w:t>1、服务对接要求</w:t>
      </w:r>
    </w:p>
    <w:p w14:paraId="292AB6A2">
      <w:pPr>
        <w:widowControl w:val="0"/>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（1）专人负责食堂的日常工作用餐，提前与采购人确认用餐菜品。</w:t>
      </w:r>
    </w:p>
    <w:p w14:paraId="45A15884">
      <w:pPr>
        <w:widowControl w:val="0"/>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（2）专人负责食堂日常紧急用餐事宜，及时落实用餐菜品、服务人员等事宜。</w:t>
      </w:r>
    </w:p>
    <w:p w14:paraId="3A2B5CEE">
      <w:pPr>
        <w:widowControl w:val="0"/>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（3）如遇紧急事项及用餐需求，须在一小时内完成菜品的配送和制作。</w:t>
      </w:r>
    </w:p>
    <w:p w14:paraId="528CF75C">
      <w:pPr>
        <w:widowControl w:val="0"/>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（4）专人负责协助采购人单位员工刷卡就餐。</w:t>
      </w:r>
    </w:p>
    <w:p w14:paraId="0DCB0224">
      <w:pPr>
        <w:widowControl w:val="0"/>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2、质量要求</w:t>
      </w:r>
    </w:p>
    <w:p w14:paraId="28E6511F">
      <w:pPr>
        <w:widowControl w:val="0"/>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（1）确保原料新鲜、干净。伪劣、过期及腐烂物品一律不予使用。</w:t>
      </w:r>
    </w:p>
    <w:p w14:paraId="609589E8">
      <w:pPr>
        <w:widowControl w:val="0"/>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（2）应以色、香、味、形俱佳为原则，做到咸淡适中。</w:t>
      </w:r>
    </w:p>
    <w:p w14:paraId="75A67244">
      <w:pPr>
        <w:widowControl w:val="0"/>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（3）厨师长须对每道成品进行尝试，确认无误后出品。</w:t>
      </w:r>
    </w:p>
    <w:p w14:paraId="4589344B">
      <w:pPr>
        <w:widowControl w:val="0"/>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（4）由于人为原因造成投诉或不良影响，直接追究厨师长责任。如引起严重投诉的，项目负责人及厨师长需负全部责任，采购人有权解除合同。</w:t>
      </w:r>
    </w:p>
    <w:p w14:paraId="08E522DA">
      <w:pPr>
        <w:widowControl w:val="0"/>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（5）隔夜饭菜一律禁用。</w:t>
      </w:r>
    </w:p>
    <w:p w14:paraId="45AB1684">
      <w:pPr>
        <w:widowControl w:val="0"/>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（6）按照相关部门要求对食品进行留样。</w:t>
      </w:r>
    </w:p>
    <w:p w14:paraId="2D8AB011">
      <w:pPr>
        <w:widowControl w:val="0"/>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3、卫生要求</w:t>
      </w:r>
    </w:p>
    <w:p w14:paraId="04CC009F">
      <w:pPr>
        <w:widowControl w:val="0"/>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（1）以“一浸二泡三清洗”为原则，做到无黄叶、无烂叶、无杂物异物等。</w:t>
      </w:r>
    </w:p>
    <w:p w14:paraId="1755929C">
      <w:pPr>
        <w:widowControl w:val="0"/>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（2）所有日常用厨具每天在工作后都必须进行严格消毒，清洗时要做到一洗、二刷、三冲、四消毒、五保洁，在消毒后要加盖保管，防止再污染，未经消毒的厨具不得使用。</w:t>
      </w:r>
    </w:p>
    <w:p w14:paraId="41EBC77F">
      <w:pPr>
        <w:widowControl w:val="0"/>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（3）洗菜池、洗肉池、洗厨具池要分开，不得混合使用。</w:t>
      </w:r>
    </w:p>
    <w:p w14:paraId="37CAE2E0">
      <w:pPr>
        <w:widowControl w:val="0"/>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（4）下水道要定期进行清洁、彻底清除菜渣等杂物，保证排水畅通及无异味（因未进行彻底清洁，乱排菜渣、油污造成的下水道阻塞，通渠费用由供应商承担）。</w:t>
      </w:r>
    </w:p>
    <w:p w14:paraId="0C7D35E3">
      <w:pPr>
        <w:widowControl w:val="0"/>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（5）保证桌椅、地面、门窗清洁、干净、无油迹。</w:t>
      </w:r>
    </w:p>
    <w:p w14:paraId="2A513DAC">
      <w:pPr>
        <w:widowControl w:val="0"/>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（6）食堂工作人员一律戴工作帽、着工作服、戴卫生口罩，接触食物时必须戴卫生手套。</w:t>
      </w:r>
    </w:p>
    <w:p w14:paraId="0B8656DB">
      <w:pPr>
        <w:widowControl w:val="0"/>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（7）清除卫生死角，防止蚊蝇滋生，防鼠、防霉，每月至少一次进行灭老鼠、蟑螂、苍蝇、蚊子等防四害工作，建立防四害台账备查，做到空气清新，桌面、地面整洁。</w:t>
      </w:r>
    </w:p>
    <w:p w14:paraId="41E2C4A4">
      <w:pPr>
        <w:widowControl w:val="0"/>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（8）炉灶、工作台、锅头用具使用后及时清理，保持干净整洁。</w:t>
      </w:r>
    </w:p>
    <w:p w14:paraId="621819ED">
      <w:pPr>
        <w:widowControl w:val="0"/>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（9）仓库物品要摆放整齐，保持室内空气流通，防止物品发霉变质。</w:t>
      </w:r>
    </w:p>
    <w:p w14:paraId="26E97182">
      <w:pPr>
        <w:widowControl w:val="0"/>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（10）早、午、晚分别清理一次垃圾，垃圾不过夜、无灰尘、无污迹、无积水、保持整体工作区域的光亮洁净。</w:t>
      </w:r>
    </w:p>
    <w:p w14:paraId="70711321">
      <w:pPr>
        <w:widowControl w:val="0"/>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4、服务要求</w:t>
      </w:r>
    </w:p>
    <w:p w14:paraId="0E928D2C">
      <w:pPr>
        <w:widowControl w:val="0"/>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（1）以用餐者为中心，绝不允许讲粗话、脏话，做到热情待客、微笑服务。</w:t>
      </w:r>
    </w:p>
    <w:p w14:paraId="63EE3179">
      <w:pPr>
        <w:widowControl w:val="0"/>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（2）注意炒菜时间及数量，根据需求来炒菜，做到充分计划。</w:t>
      </w:r>
    </w:p>
    <w:p w14:paraId="307FAFD7">
      <w:pPr>
        <w:widowControl w:val="0"/>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（3）确保食堂及服务处的清洁，避免在单位人员用餐时做清洁工作；勿置任何东西在干净的桌布上，避免造成污损。</w:t>
      </w:r>
    </w:p>
    <w:p w14:paraId="7F763C06">
      <w:pPr>
        <w:widowControl w:val="0"/>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（4）菜谱应按时令季节进行更换。</w:t>
      </w:r>
    </w:p>
    <w:p w14:paraId="2F48A150">
      <w:pPr>
        <w:widowControl w:val="0"/>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（5）平时多征求采购人的要求与意见，及时将信息反馈相关管理人员，并对服务作出相应调整。</w:t>
      </w:r>
    </w:p>
    <w:p w14:paraId="543FADA8">
      <w:pPr>
        <w:widowControl w:val="0"/>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（6）供应商应负责对厨房及餐厅设施、设备的正常使用与管理，严格按使用规程操作，仅限于合同范围内使用，不得用于对外生产加工。</w:t>
      </w:r>
    </w:p>
    <w:p w14:paraId="5C996CF9">
      <w:pPr>
        <w:widowControl w:val="0"/>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5、安全要求</w:t>
      </w:r>
    </w:p>
    <w:p w14:paraId="1255AA98">
      <w:pPr>
        <w:widowControl w:val="0"/>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（1）每天上、下班要认真检查是否关好水、电、煤气、门窗等。</w:t>
      </w:r>
    </w:p>
    <w:p w14:paraId="1B6E8A06">
      <w:pPr>
        <w:widowControl w:val="0"/>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（2）自觉遵守服务行业的相关规定，严格遵守规章制度。供应商各类人员如携带物品出入南京市公安局交管局江宁大队，须通过南京市公安局</w:t>
      </w:r>
      <w:bookmarkStart w:id="78" w:name="OLE_LINK5"/>
      <w:r>
        <w:rPr>
          <w:rFonts w:hint="eastAsia" w:ascii="宋体" w:hAnsi="宋体" w:eastAsia="宋体" w:cs="宋体"/>
          <w:bCs/>
          <w:color w:val="000000"/>
          <w:sz w:val="24"/>
          <w:szCs w:val="24"/>
          <w:highlight w:val="none"/>
        </w:rPr>
        <w:t>交管局江宁大队</w:t>
      </w:r>
      <w:bookmarkEnd w:id="78"/>
      <w:r>
        <w:rPr>
          <w:rFonts w:hint="eastAsia" w:ascii="宋体" w:hAnsi="宋体" w:eastAsia="宋体" w:cs="宋体"/>
          <w:bCs/>
          <w:color w:val="000000"/>
          <w:sz w:val="24"/>
          <w:szCs w:val="24"/>
          <w:highlight w:val="none"/>
        </w:rPr>
        <w:t>有关人员检查后方可放行。</w:t>
      </w:r>
    </w:p>
    <w:p w14:paraId="3DBBEEA1">
      <w:pPr>
        <w:widowControl w:val="0"/>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（3）如发生由供应商导致的火灾，食物中毒或其他食源性疾患事件，由供应商承担责任；如有争议，以相关专业部门调查意见为准。</w:t>
      </w:r>
    </w:p>
    <w:p w14:paraId="34329019">
      <w:pPr>
        <w:widowControl w:val="0"/>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（4）加工制作过程中对安全隐患较大的设备，如和面机、压面机、切菜机、烤箱等机械设备应专人操作，上岗前培训到位。</w:t>
      </w:r>
    </w:p>
    <w:p w14:paraId="6A629BEC">
      <w:pPr>
        <w:widowControl w:val="0"/>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（5）若采购人为中标供应商提供临时休息场所，该场所的日常安全教育培训、现场管理及全部安全责任，均由中标供应商独立承担。</w:t>
      </w:r>
    </w:p>
    <w:p w14:paraId="16089AD2">
      <w:pPr>
        <w:widowControl w:val="0"/>
        <w:spacing w:line="360" w:lineRule="auto"/>
        <w:ind w:firstLine="482"/>
        <w:outlineLvl w:val="1"/>
        <w:rPr>
          <w:rFonts w:ascii="宋体" w:hAnsi="宋体" w:eastAsia="宋体" w:cs="宋体"/>
          <w:b/>
          <w:bCs/>
          <w:color w:val="000000"/>
          <w:spacing w:val="8"/>
          <w:sz w:val="24"/>
          <w:szCs w:val="24"/>
          <w:highlight w:val="none"/>
        </w:rPr>
      </w:pPr>
      <w:bookmarkStart w:id="79" w:name="_Toc16042"/>
      <w:bookmarkStart w:id="80" w:name="_Toc23521"/>
      <w:bookmarkStart w:id="81" w:name="_Toc3109"/>
      <w:r>
        <w:rPr>
          <w:rFonts w:hint="eastAsia" w:ascii="宋体" w:hAnsi="宋体" w:eastAsia="宋体" w:cs="宋体"/>
          <w:b/>
          <w:bCs/>
          <w:color w:val="000000"/>
          <w:spacing w:val="8"/>
          <w:sz w:val="24"/>
          <w:szCs w:val="24"/>
          <w:highlight w:val="none"/>
        </w:rPr>
        <w:t>九</w:t>
      </w:r>
      <w:r>
        <w:rPr>
          <w:rFonts w:hint="eastAsia" w:ascii="宋体" w:hAnsi="宋体" w:eastAsia="宋体" w:cs="宋体"/>
          <w:b/>
          <w:bCs/>
          <w:color w:val="000000"/>
          <w:spacing w:val="8"/>
          <w:sz w:val="24"/>
          <w:szCs w:val="24"/>
          <w:highlight w:val="none"/>
        </w:rPr>
        <w:t>、付款方式</w:t>
      </w:r>
      <w:bookmarkEnd w:id="79"/>
      <w:bookmarkEnd w:id="80"/>
      <w:bookmarkEnd w:id="81"/>
    </w:p>
    <w:p w14:paraId="115D11C5">
      <w:pPr>
        <w:widowControl w:val="0"/>
        <w:spacing w:line="360" w:lineRule="auto"/>
        <w:ind w:firstLine="480"/>
        <w:rPr>
          <w:rFonts w:ascii="宋体" w:hAnsi="宋体" w:eastAsia="宋体" w:cs="宋体"/>
          <w:color w:val="000000"/>
          <w:spacing w:val="6"/>
          <w:sz w:val="24"/>
          <w:szCs w:val="24"/>
          <w:highlight w:val="none"/>
        </w:rPr>
      </w:pPr>
      <w:bookmarkStart w:id="82" w:name="OLE_LINK26"/>
      <w:r>
        <w:rPr>
          <w:rFonts w:hint="eastAsia" w:ascii="宋体" w:hAnsi="宋体" w:eastAsia="宋体" w:cs="宋体"/>
          <w:color w:val="000000"/>
          <w:sz w:val="24"/>
          <w:highlight w:val="none"/>
        </w:rPr>
        <w:t>采购人按月向中标供应商支付餐饮服务费，月度服务费计算方式为：月度服务费 = 当月实际餐饮刷卡人数 × 中标餐标单价，每月应付金额以双方共同核定的当月实际服务费为准，按月先行支付。 季度考核对应的扣减金额，在本季度考核完成后的最近一期月度应付款中一并扣除。</w:t>
      </w:r>
    </w:p>
    <w:p w14:paraId="414DB3EB">
      <w:pPr>
        <w:widowControl w:val="0"/>
        <w:spacing w:line="360" w:lineRule="auto"/>
        <w:ind w:firstLine="504"/>
        <w:rPr>
          <w:rFonts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注：</w:t>
      </w:r>
    </w:p>
    <w:p w14:paraId="3CDDCA5A">
      <w:pPr>
        <w:widowControl w:val="0"/>
        <w:spacing w:line="360" w:lineRule="auto"/>
        <w:ind w:firstLine="504"/>
        <w:rPr>
          <w:rFonts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1、供应商向采购人开具发票。</w:t>
      </w:r>
    </w:p>
    <w:p w14:paraId="0A1A77FA">
      <w:pPr>
        <w:widowControl w:val="0"/>
        <w:spacing w:line="360" w:lineRule="auto"/>
        <w:ind w:firstLine="504"/>
        <w:rPr>
          <w:rFonts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2、供应商于合同履行期次月开始，根据双方核定的金额每月10日前开具发票，向采购人申请付款。 </w:t>
      </w:r>
    </w:p>
    <w:p w14:paraId="39047D7C">
      <w:pPr>
        <w:widowControl w:val="0"/>
        <w:spacing w:line="360" w:lineRule="auto"/>
        <w:ind w:firstLine="504"/>
        <w:rPr>
          <w:rFonts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3、采购人对供应商提供的付款资料审核通过后当月月底前以转账方式向供应商支付采购资金。 </w:t>
      </w:r>
    </w:p>
    <w:p w14:paraId="483CDA19">
      <w:pPr>
        <w:widowControl w:val="0"/>
        <w:spacing w:line="360" w:lineRule="auto"/>
        <w:ind w:firstLine="504"/>
        <w:rPr>
          <w:rFonts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4、考核以季度为周期进行，合同价款根据每个季度考核结果支付，按如下原则确定调整比例：85分（含）以上为100%，80分（含）～85分为95%，75分（含）～80分为85%，70分（含）～75分为70%，70分以下经责令整改不到位，解除采购合同。季度考核对应的扣减金额，在本季度考核完成后的最近一期月度应付款中一并扣除。</w:t>
      </w:r>
    </w:p>
    <w:p w14:paraId="606F99ED">
      <w:pPr>
        <w:widowControl w:val="0"/>
        <w:spacing w:line="360" w:lineRule="auto"/>
        <w:ind w:firstLine="504"/>
        <w:rPr>
          <w:rFonts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5、所使用货币币制如未作特别说明均为人民币。</w:t>
      </w:r>
      <w:bookmarkEnd w:id="82"/>
    </w:p>
    <w:p w14:paraId="0ABDBB5D">
      <w:pPr>
        <w:widowControl w:val="0"/>
        <w:spacing w:line="360" w:lineRule="auto"/>
        <w:ind w:firstLine="482"/>
        <w:outlineLvl w:val="1"/>
        <w:rPr>
          <w:rFonts w:ascii="宋体" w:hAnsi="宋体" w:eastAsia="宋体" w:cs="宋体"/>
          <w:b/>
          <w:bCs/>
          <w:color w:val="000000"/>
          <w:spacing w:val="8"/>
          <w:sz w:val="24"/>
          <w:szCs w:val="24"/>
          <w:highlight w:val="none"/>
        </w:rPr>
      </w:pPr>
      <w:bookmarkStart w:id="83" w:name="_Toc5740"/>
      <w:bookmarkStart w:id="84" w:name="_Toc20163"/>
      <w:bookmarkStart w:id="85" w:name="_Toc17005"/>
      <w:r>
        <w:rPr>
          <w:rFonts w:hint="eastAsia" w:ascii="宋体" w:hAnsi="宋体" w:eastAsia="宋体" w:cs="宋体"/>
          <w:b/>
          <w:bCs/>
          <w:color w:val="000000"/>
          <w:spacing w:val="8"/>
          <w:sz w:val="24"/>
          <w:szCs w:val="24"/>
          <w:highlight w:val="none"/>
        </w:rPr>
        <w:t>十、服务考核</w:t>
      </w:r>
      <w:bookmarkEnd w:id="83"/>
      <w:bookmarkEnd w:id="84"/>
      <w:bookmarkEnd w:id="85"/>
    </w:p>
    <w:p w14:paraId="3306534B">
      <w:pPr>
        <w:widowControl w:val="0"/>
        <w:spacing w:line="360" w:lineRule="auto"/>
        <w:ind w:firstLine="504"/>
        <w:rPr>
          <w:rFonts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服务考核以季度为周期进行，采购人每季度对中标供应商本季度服务情况进行综合考核评分，日常检查记录按月开展、季度末汇总评定。合同价款根据每个季度考核结果支付，按如下原则确定调整比例：85分（含）以上为100%，80分（含）～85分为95%，75分（含）～80分为85%，70分（含）～75分为70%，70分以下经责令整改不到位，解除采购合同。</w:t>
      </w:r>
    </w:p>
    <w:p w14:paraId="4559A0DE">
      <w:pPr>
        <w:widowControl w:val="0"/>
        <w:spacing w:line="360" w:lineRule="auto"/>
        <w:ind w:firstLine="504"/>
        <w:jc w:val="center"/>
        <w:rPr>
          <w:rFonts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lang w:val="en-US" w:eastAsia="zh-CN"/>
        </w:rPr>
        <w:t>季</w:t>
      </w:r>
      <w:r>
        <w:rPr>
          <w:rFonts w:hint="eastAsia" w:ascii="宋体" w:hAnsi="宋体" w:eastAsia="宋体" w:cs="宋体"/>
          <w:color w:val="000000"/>
          <w:spacing w:val="6"/>
          <w:sz w:val="24"/>
          <w:szCs w:val="24"/>
          <w:highlight w:val="none"/>
        </w:rPr>
        <w:t>度考核表</w:t>
      </w:r>
    </w:p>
    <w:tbl>
      <w:tblPr>
        <w:tblStyle w:val="37"/>
        <w:tblW w:w="89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2"/>
        <w:gridCol w:w="778"/>
        <w:gridCol w:w="4773"/>
        <w:gridCol w:w="1940"/>
        <w:gridCol w:w="737"/>
      </w:tblGrid>
      <w:tr w14:paraId="3C4060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21" w:type="dxa"/>
            <w:tcBorders>
              <w:top w:val="single" w:color="000000" w:sz="4" w:space="0"/>
              <w:left w:val="single" w:color="000000" w:sz="4" w:space="0"/>
              <w:bottom w:val="single" w:color="000000" w:sz="4" w:space="0"/>
              <w:right w:val="single" w:color="000000" w:sz="4" w:space="0"/>
            </w:tcBorders>
            <w:vAlign w:val="center"/>
          </w:tcPr>
          <w:p w14:paraId="2D0B5578">
            <w:pPr>
              <w:pStyle w:val="222"/>
              <w:widowControl w:val="0"/>
              <w:spacing w:after="0"/>
              <w:ind w:firstLine="0"/>
              <w:jc w:val="center"/>
              <w:rPr>
                <w:b/>
                <w:bCs/>
                <w:color w:val="000000"/>
                <w:kern w:val="2"/>
                <w:sz w:val="24"/>
                <w:szCs w:val="24"/>
                <w:highlight w:val="none"/>
              </w:rPr>
            </w:pPr>
            <w:r>
              <w:rPr>
                <w:rFonts w:hint="eastAsia"/>
                <w:b/>
                <w:bCs/>
                <w:color w:val="000000"/>
                <w:kern w:val="2"/>
                <w:sz w:val="24"/>
                <w:szCs w:val="24"/>
                <w:highlight w:val="none"/>
              </w:rPr>
              <w:t>项目</w:t>
            </w:r>
          </w:p>
        </w:tc>
        <w:tc>
          <w:tcPr>
            <w:tcW w:w="5548" w:type="dxa"/>
            <w:gridSpan w:val="2"/>
            <w:tcBorders>
              <w:top w:val="single" w:color="000000" w:sz="4" w:space="0"/>
              <w:left w:val="single" w:color="000000" w:sz="4" w:space="0"/>
              <w:bottom w:val="single" w:color="000000" w:sz="4" w:space="0"/>
              <w:right w:val="single" w:color="000000" w:sz="4" w:space="0"/>
            </w:tcBorders>
            <w:vAlign w:val="center"/>
          </w:tcPr>
          <w:p w14:paraId="4E04D7AE">
            <w:pPr>
              <w:pStyle w:val="222"/>
              <w:widowControl w:val="0"/>
              <w:spacing w:after="0"/>
              <w:ind w:firstLine="0"/>
              <w:jc w:val="center"/>
              <w:rPr>
                <w:b/>
                <w:bCs/>
                <w:color w:val="000000"/>
                <w:kern w:val="2"/>
                <w:sz w:val="24"/>
                <w:szCs w:val="24"/>
                <w:highlight w:val="none"/>
              </w:rPr>
            </w:pPr>
            <w:r>
              <w:rPr>
                <w:rFonts w:hint="eastAsia"/>
                <w:b/>
                <w:bCs/>
                <w:color w:val="000000"/>
                <w:kern w:val="2"/>
                <w:sz w:val="24"/>
                <w:szCs w:val="24"/>
                <w:highlight w:val="none"/>
              </w:rPr>
              <w:t>检查具体内容</w:t>
            </w:r>
          </w:p>
        </w:tc>
        <w:tc>
          <w:tcPr>
            <w:tcW w:w="1939" w:type="dxa"/>
            <w:tcBorders>
              <w:top w:val="single" w:color="000000" w:sz="4" w:space="0"/>
              <w:left w:val="single" w:color="000000" w:sz="4" w:space="0"/>
              <w:bottom w:val="single" w:color="000000" w:sz="4" w:space="0"/>
              <w:right w:val="single" w:color="000000" w:sz="4" w:space="0"/>
            </w:tcBorders>
            <w:vAlign w:val="center"/>
          </w:tcPr>
          <w:p w14:paraId="4C961A85">
            <w:pPr>
              <w:pStyle w:val="222"/>
              <w:widowControl w:val="0"/>
              <w:spacing w:after="0"/>
              <w:ind w:firstLine="0"/>
              <w:jc w:val="center"/>
              <w:rPr>
                <w:b/>
                <w:bCs/>
                <w:color w:val="000000"/>
                <w:kern w:val="2"/>
                <w:sz w:val="24"/>
                <w:szCs w:val="24"/>
                <w:highlight w:val="none"/>
              </w:rPr>
            </w:pPr>
            <w:r>
              <w:rPr>
                <w:rFonts w:hint="eastAsia"/>
                <w:b/>
                <w:bCs/>
                <w:color w:val="000000"/>
                <w:kern w:val="2"/>
                <w:sz w:val="24"/>
                <w:szCs w:val="24"/>
                <w:highlight w:val="none"/>
              </w:rPr>
              <w:t>评分标准</w:t>
            </w:r>
          </w:p>
        </w:tc>
        <w:tc>
          <w:tcPr>
            <w:tcW w:w="737" w:type="dxa"/>
            <w:tcBorders>
              <w:top w:val="single" w:color="000000" w:sz="4" w:space="0"/>
              <w:left w:val="single" w:color="000000" w:sz="4" w:space="0"/>
              <w:bottom w:val="single" w:color="000000" w:sz="4" w:space="0"/>
              <w:right w:val="single" w:color="000000" w:sz="4" w:space="0"/>
            </w:tcBorders>
            <w:vAlign w:val="center"/>
          </w:tcPr>
          <w:p w14:paraId="53D05448">
            <w:pPr>
              <w:pStyle w:val="222"/>
              <w:widowControl w:val="0"/>
              <w:spacing w:after="0"/>
              <w:ind w:firstLine="0"/>
              <w:jc w:val="center"/>
              <w:rPr>
                <w:b/>
                <w:bCs/>
                <w:color w:val="000000"/>
                <w:kern w:val="2"/>
                <w:sz w:val="24"/>
                <w:szCs w:val="24"/>
                <w:highlight w:val="none"/>
              </w:rPr>
            </w:pPr>
            <w:r>
              <w:rPr>
                <w:rFonts w:hint="eastAsia"/>
                <w:b/>
                <w:bCs/>
                <w:color w:val="000000"/>
                <w:kern w:val="2"/>
                <w:sz w:val="24"/>
                <w:szCs w:val="24"/>
                <w:highlight w:val="none"/>
              </w:rPr>
              <w:t>分值</w:t>
            </w:r>
          </w:p>
        </w:tc>
      </w:tr>
      <w:tr w14:paraId="6884FA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21" w:type="dxa"/>
            <w:vMerge w:val="restart"/>
            <w:tcBorders>
              <w:top w:val="single" w:color="000000" w:sz="4" w:space="0"/>
              <w:left w:val="single" w:color="000000" w:sz="4" w:space="0"/>
              <w:bottom w:val="single" w:color="000000" w:sz="4" w:space="0"/>
              <w:right w:val="single" w:color="000000" w:sz="4" w:space="0"/>
            </w:tcBorders>
            <w:vAlign w:val="center"/>
          </w:tcPr>
          <w:p w14:paraId="08DF23D5">
            <w:pPr>
              <w:pStyle w:val="222"/>
              <w:widowControl w:val="0"/>
              <w:spacing w:after="0"/>
              <w:ind w:firstLine="0"/>
              <w:jc w:val="center"/>
              <w:rPr>
                <w:color w:val="000000"/>
                <w:kern w:val="2"/>
                <w:sz w:val="24"/>
                <w:szCs w:val="24"/>
                <w:highlight w:val="none"/>
              </w:rPr>
            </w:pPr>
            <w:r>
              <w:rPr>
                <w:rFonts w:hint="eastAsia"/>
                <w:color w:val="000000"/>
                <w:kern w:val="2"/>
                <w:sz w:val="24"/>
                <w:szCs w:val="24"/>
                <w:highlight w:val="none"/>
              </w:rPr>
              <w:t>伙食质量</w:t>
            </w:r>
            <w:r>
              <w:rPr>
                <w:color w:val="000000"/>
                <w:kern w:val="2"/>
                <w:sz w:val="24"/>
                <w:szCs w:val="24"/>
                <w:highlight w:val="none"/>
              </w:rPr>
              <w:t>18</w:t>
            </w:r>
            <w:r>
              <w:rPr>
                <w:rFonts w:hint="eastAsia"/>
                <w:color w:val="000000"/>
                <w:spacing w:val="-35"/>
                <w:kern w:val="2"/>
                <w:sz w:val="24"/>
                <w:szCs w:val="24"/>
                <w:highlight w:val="none"/>
              </w:rPr>
              <w:t>分</w:t>
            </w:r>
          </w:p>
        </w:tc>
        <w:tc>
          <w:tcPr>
            <w:tcW w:w="778" w:type="dxa"/>
            <w:tcBorders>
              <w:top w:val="single" w:color="000000" w:sz="4" w:space="0"/>
              <w:left w:val="single" w:color="000000" w:sz="4" w:space="0"/>
              <w:bottom w:val="single" w:color="000000" w:sz="4" w:space="0"/>
              <w:right w:val="single" w:color="000000" w:sz="4" w:space="0"/>
            </w:tcBorders>
            <w:vAlign w:val="center"/>
          </w:tcPr>
          <w:p w14:paraId="6DE46C00">
            <w:pPr>
              <w:pStyle w:val="222"/>
              <w:widowControl w:val="0"/>
              <w:spacing w:after="0"/>
              <w:ind w:firstLine="0"/>
              <w:jc w:val="center"/>
              <w:rPr>
                <w:color w:val="000000"/>
                <w:kern w:val="2"/>
                <w:sz w:val="24"/>
                <w:szCs w:val="24"/>
                <w:highlight w:val="none"/>
              </w:rPr>
            </w:pPr>
            <w:r>
              <w:rPr>
                <w:rFonts w:hint="eastAsia"/>
                <w:color w:val="000000"/>
                <w:kern w:val="2"/>
                <w:sz w:val="24"/>
                <w:szCs w:val="24"/>
                <w:highlight w:val="none"/>
              </w:rPr>
              <w:t>打饭</w:t>
            </w:r>
          </w:p>
        </w:tc>
        <w:tc>
          <w:tcPr>
            <w:tcW w:w="4770" w:type="dxa"/>
            <w:tcBorders>
              <w:top w:val="single" w:color="000000" w:sz="4" w:space="0"/>
              <w:left w:val="single" w:color="000000" w:sz="4" w:space="0"/>
              <w:bottom w:val="single" w:color="000000" w:sz="4" w:space="0"/>
              <w:right w:val="single" w:color="000000" w:sz="4" w:space="0"/>
            </w:tcBorders>
            <w:vAlign w:val="center"/>
          </w:tcPr>
          <w:p w14:paraId="004C6BB4">
            <w:pPr>
              <w:pStyle w:val="211"/>
              <w:widowControl w:val="0"/>
              <w:rPr>
                <w:color w:val="000000"/>
                <w:kern w:val="2"/>
                <w:sz w:val="24"/>
                <w:szCs w:val="24"/>
                <w:highlight w:val="none"/>
              </w:rPr>
            </w:pPr>
            <w:r>
              <w:rPr>
                <w:color w:val="000000"/>
                <w:kern w:val="2"/>
                <w:sz w:val="24"/>
                <w:szCs w:val="24"/>
                <w:highlight w:val="none"/>
              </w:rPr>
              <w:t>1</w:t>
            </w:r>
            <w:r>
              <w:rPr>
                <w:rFonts w:hint="eastAsia"/>
                <w:color w:val="000000"/>
                <w:kern w:val="2"/>
                <w:sz w:val="24"/>
                <w:szCs w:val="24"/>
                <w:highlight w:val="none"/>
              </w:rPr>
              <w:t>、饭菜不热或口感较差现象；</w:t>
            </w:r>
          </w:p>
          <w:p w14:paraId="43337C78">
            <w:pPr>
              <w:pStyle w:val="211"/>
              <w:widowControl w:val="0"/>
              <w:rPr>
                <w:color w:val="000000"/>
                <w:kern w:val="2"/>
                <w:sz w:val="24"/>
                <w:szCs w:val="24"/>
                <w:highlight w:val="none"/>
              </w:rPr>
            </w:pPr>
            <w:r>
              <w:rPr>
                <w:color w:val="000000"/>
                <w:kern w:val="2"/>
                <w:sz w:val="24"/>
                <w:szCs w:val="24"/>
                <w:highlight w:val="none"/>
              </w:rPr>
              <w:t>2</w:t>
            </w:r>
            <w:r>
              <w:rPr>
                <w:rFonts w:hint="eastAsia"/>
                <w:color w:val="000000"/>
                <w:kern w:val="2"/>
                <w:sz w:val="24"/>
                <w:szCs w:val="24"/>
                <w:highlight w:val="none"/>
              </w:rPr>
              <w:t>、饭菜内发现异物、杂物；</w:t>
            </w:r>
          </w:p>
          <w:p w14:paraId="27C8DB60">
            <w:pPr>
              <w:pStyle w:val="211"/>
              <w:widowControl w:val="0"/>
              <w:rPr>
                <w:color w:val="000000"/>
                <w:kern w:val="2"/>
                <w:sz w:val="24"/>
                <w:szCs w:val="24"/>
                <w:highlight w:val="none"/>
              </w:rPr>
            </w:pPr>
            <w:r>
              <w:rPr>
                <w:color w:val="000000"/>
                <w:kern w:val="2"/>
                <w:sz w:val="24"/>
                <w:szCs w:val="24"/>
                <w:highlight w:val="none"/>
              </w:rPr>
              <w:t>3</w:t>
            </w:r>
            <w:r>
              <w:rPr>
                <w:rFonts w:hint="eastAsia"/>
                <w:color w:val="000000"/>
                <w:kern w:val="2"/>
                <w:sz w:val="24"/>
                <w:szCs w:val="24"/>
                <w:highlight w:val="none"/>
              </w:rPr>
              <w:t>、供应隔夜饭菜；</w:t>
            </w:r>
          </w:p>
          <w:p w14:paraId="3D0554B4">
            <w:pPr>
              <w:pStyle w:val="222"/>
              <w:widowControl w:val="0"/>
              <w:spacing w:after="0"/>
              <w:ind w:firstLine="0"/>
              <w:rPr>
                <w:color w:val="000000"/>
                <w:kern w:val="2"/>
                <w:sz w:val="24"/>
                <w:szCs w:val="24"/>
                <w:highlight w:val="none"/>
              </w:rPr>
            </w:pPr>
            <w:r>
              <w:rPr>
                <w:color w:val="000000"/>
                <w:kern w:val="2"/>
                <w:sz w:val="24"/>
                <w:szCs w:val="24"/>
                <w:highlight w:val="none"/>
              </w:rPr>
              <w:t>4</w:t>
            </w:r>
            <w:r>
              <w:rPr>
                <w:rFonts w:hint="eastAsia"/>
                <w:color w:val="000000"/>
                <w:kern w:val="2"/>
                <w:sz w:val="24"/>
                <w:szCs w:val="24"/>
                <w:highlight w:val="none"/>
              </w:rPr>
              <w:t>、打菜打饭分量明显不足；</w:t>
            </w:r>
          </w:p>
          <w:p w14:paraId="6C447637">
            <w:pPr>
              <w:pStyle w:val="222"/>
              <w:widowControl w:val="0"/>
              <w:spacing w:after="0"/>
              <w:ind w:firstLine="0"/>
              <w:rPr>
                <w:color w:val="000000"/>
                <w:kern w:val="2"/>
                <w:sz w:val="24"/>
                <w:szCs w:val="24"/>
                <w:highlight w:val="none"/>
              </w:rPr>
            </w:pPr>
            <w:r>
              <w:rPr>
                <w:color w:val="000000"/>
                <w:kern w:val="2"/>
                <w:sz w:val="24"/>
                <w:szCs w:val="24"/>
                <w:highlight w:val="none"/>
              </w:rPr>
              <w:t>5</w:t>
            </w:r>
            <w:r>
              <w:rPr>
                <w:rFonts w:hint="eastAsia"/>
                <w:color w:val="000000"/>
                <w:kern w:val="2"/>
                <w:sz w:val="24"/>
                <w:szCs w:val="24"/>
                <w:highlight w:val="none"/>
              </w:rPr>
              <w:t>、菜品供应出现不及时或长时间中断；</w:t>
            </w:r>
          </w:p>
        </w:tc>
        <w:tc>
          <w:tcPr>
            <w:tcW w:w="1939" w:type="dxa"/>
            <w:tcBorders>
              <w:top w:val="single" w:color="000000" w:sz="4" w:space="0"/>
              <w:left w:val="single" w:color="000000" w:sz="4" w:space="0"/>
              <w:bottom w:val="single" w:color="000000" w:sz="4" w:space="0"/>
              <w:right w:val="single" w:color="000000" w:sz="4" w:space="0"/>
            </w:tcBorders>
            <w:vAlign w:val="center"/>
          </w:tcPr>
          <w:p w14:paraId="6C061353">
            <w:pPr>
              <w:pStyle w:val="222"/>
              <w:widowControl w:val="0"/>
              <w:spacing w:after="0"/>
              <w:ind w:firstLine="0"/>
              <w:jc w:val="center"/>
              <w:rPr>
                <w:color w:val="000000"/>
                <w:kern w:val="2"/>
                <w:sz w:val="24"/>
                <w:szCs w:val="24"/>
                <w:highlight w:val="none"/>
              </w:rPr>
            </w:pPr>
            <w:r>
              <w:rPr>
                <w:rFonts w:hint="eastAsia"/>
                <w:color w:val="000000"/>
                <w:kern w:val="2"/>
                <w:sz w:val="24"/>
                <w:szCs w:val="24"/>
                <w:highlight w:val="none"/>
              </w:rPr>
              <w:t>发现一次或者有人举</w:t>
            </w:r>
            <w:r>
              <w:rPr>
                <w:rFonts w:hint="eastAsia"/>
                <w:color w:val="000000"/>
                <w:spacing w:val="-5"/>
                <w:kern w:val="2"/>
                <w:sz w:val="24"/>
                <w:szCs w:val="24"/>
                <w:highlight w:val="none"/>
              </w:rPr>
              <w:t>报</w:t>
            </w:r>
            <w:r>
              <w:rPr>
                <w:rFonts w:hint="eastAsia"/>
                <w:color w:val="000000"/>
                <w:kern w:val="2"/>
                <w:sz w:val="24"/>
                <w:szCs w:val="24"/>
                <w:highlight w:val="none"/>
              </w:rPr>
              <w:t>（经核实后</w:t>
            </w:r>
            <w:r>
              <w:rPr>
                <w:rFonts w:hint="eastAsia"/>
                <w:color w:val="000000"/>
                <w:spacing w:val="-6"/>
                <w:kern w:val="2"/>
                <w:sz w:val="24"/>
                <w:szCs w:val="24"/>
                <w:highlight w:val="none"/>
              </w:rPr>
              <w:t>）</w:t>
            </w:r>
            <w:r>
              <w:rPr>
                <w:rFonts w:hint="eastAsia"/>
                <w:color w:val="000000"/>
                <w:spacing w:val="-29"/>
                <w:kern w:val="2"/>
                <w:sz w:val="24"/>
                <w:szCs w:val="24"/>
                <w:highlight w:val="none"/>
              </w:rPr>
              <w:t>扣</w:t>
            </w:r>
            <w:r>
              <w:rPr>
                <w:color w:val="000000"/>
                <w:kern w:val="2"/>
                <w:sz w:val="24"/>
                <w:szCs w:val="24"/>
                <w:highlight w:val="none"/>
              </w:rPr>
              <w:t>2</w:t>
            </w:r>
            <w:r>
              <w:rPr>
                <w:rFonts w:hint="eastAsia"/>
                <w:color w:val="000000"/>
                <w:spacing w:val="-34"/>
                <w:kern w:val="2"/>
                <w:sz w:val="24"/>
                <w:szCs w:val="24"/>
                <w:highlight w:val="none"/>
              </w:rPr>
              <w:t>分</w:t>
            </w:r>
          </w:p>
        </w:tc>
        <w:tc>
          <w:tcPr>
            <w:tcW w:w="737" w:type="dxa"/>
            <w:tcBorders>
              <w:top w:val="single" w:color="000000" w:sz="4" w:space="0"/>
              <w:left w:val="single" w:color="000000" w:sz="4" w:space="0"/>
              <w:bottom w:val="single" w:color="000000" w:sz="4" w:space="0"/>
              <w:right w:val="single" w:color="000000" w:sz="4" w:space="0"/>
            </w:tcBorders>
            <w:vAlign w:val="center"/>
          </w:tcPr>
          <w:p w14:paraId="4094E7CC">
            <w:pPr>
              <w:pStyle w:val="222"/>
              <w:widowControl w:val="0"/>
              <w:spacing w:after="0"/>
              <w:ind w:firstLine="0"/>
              <w:jc w:val="center"/>
              <w:rPr>
                <w:rFonts w:eastAsia="宋体"/>
                <w:color w:val="000000"/>
                <w:kern w:val="2"/>
                <w:sz w:val="24"/>
                <w:szCs w:val="24"/>
                <w:highlight w:val="none"/>
              </w:rPr>
            </w:pPr>
            <w:r>
              <w:rPr>
                <w:color w:val="000000"/>
                <w:kern w:val="2"/>
                <w:sz w:val="24"/>
                <w:szCs w:val="24"/>
                <w:highlight w:val="none"/>
              </w:rPr>
              <w:t>12</w:t>
            </w:r>
          </w:p>
        </w:tc>
      </w:tr>
      <w:tr w14:paraId="09267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vAlign w:val="center"/>
          </w:tcPr>
          <w:p w14:paraId="694192D5">
            <w:pPr>
              <w:rPr>
                <w:color w:val="000000"/>
                <w:kern w:val="2"/>
                <w:sz w:val="24"/>
                <w:szCs w:val="24"/>
                <w:highlight w:val="none"/>
              </w:rPr>
            </w:pPr>
          </w:p>
        </w:tc>
        <w:tc>
          <w:tcPr>
            <w:tcW w:w="778" w:type="dxa"/>
            <w:tcBorders>
              <w:top w:val="single" w:color="000000" w:sz="4" w:space="0"/>
              <w:left w:val="single" w:color="000000" w:sz="4" w:space="0"/>
              <w:bottom w:val="single" w:color="000000" w:sz="4" w:space="0"/>
              <w:right w:val="single" w:color="000000" w:sz="4" w:space="0"/>
            </w:tcBorders>
            <w:vAlign w:val="center"/>
          </w:tcPr>
          <w:p w14:paraId="3471B52C">
            <w:pPr>
              <w:pStyle w:val="222"/>
              <w:widowControl w:val="0"/>
              <w:spacing w:after="0"/>
              <w:ind w:firstLine="0"/>
              <w:jc w:val="center"/>
              <w:rPr>
                <w:color w:val="000000"/>
                <w:kern w:val="2"/>
                <w:sz w:val="24"/>
                <w:szCs w:val="24"/>
                <w:highlight w:val="none"/>
              </w:rPr>
            </w:pPr>
            <w:r>
              <w:rPr>
                <w:rFonts w:hint="eastAsia"/>
                <w:color w:val="000000"/>
                <w:kern w:val="2"/>
                <w:sz w:val="24"/>
                <w:szCs w:val="24"/>
                <w:highlight w:val="none"/>
              </w:rPr>
              <w:t>菜谱</w:t>
            </w:r>
          </w:p>
        </w:tc>
        <w:tc>
          <w:tcPr>
            <w:tcW w:w="4770" w:type="dxa"/>
            <w:tcBorders>
              <w:top w:val="single" w:color="000000" w:sz="4" w:space="0"/>
              <w:left w:val="single" w:color="000000" w:sz="4" w:space="0"/>
              <w:bottom w:val="single" w:color="000000" w:sz="4" w:space="0"/>
              <w:right w:val="single" w:color="000000" w:sz="4" w:space="0"/>
            </w:tcBorders>
            <w:vAlign w:val="center"/>
          </w:tcPr>
          <w:p w14:paraId="7600E80D">
            <w:pPr>
              <w:pStyle w:val="222"/>
              <w:widowControl w:val="0"/>
              <w:spacing w:after="0"/>
              <w:ind w:firstLine="0"/>
              <w:rPr>
                <w:color w:val="000000"/>
                <w:kern w:val="2"/>
                <w:sz w:val="24"/>
                <w:szCs w:val="24"/>
                <w:highlight w:val="none"/>
              </w:rPr>
            </w:pPr>
            <w:r>
              <w:rPr>
                <w:color w:val="000000"/>
                <w:kern w:val="2"/>
                <w:sz w:val="24"/>
                <w:szCs w:val="24"/>
                <w:highlight w:val="none"/>
              </w:rPr>
              <w:t>1</w:t>
            </w:r>
            <w:r>
              <w:rPr>
                <w:rFonts w:hint="eastAsia"/>
                <w:color w:val="000000"/>
                <w:kern w:val="2"/>
                <w:sz w:val="24"/>
                <w:szCs w:val="24"/>
                <w:highlight w:val="none"/>
              </w:rPr>
              <w:t>、菜谱报备不及时，不符合合同约定种类要求；</w:t>
            </w:r>
          </w:p>
          <w:p w14:paraId="6EEAF847">
            <w:pPr>
              <w:pStyle w:val="222"/>
              <w:widowControl w:val="0"/>
              <w:spacing w:after="0"/>
              <w:ind w:firstLine="0"/>
              <w:rPr>
                <w:rFonts w:eastAsia="宋体"/>
                <w:color w:val="000000"/>
                <w:kern w:val="2"/>
                <w:sz w:val="24"/>
                <w:szCs w:val="24"/>
                <w:highlight w:val="none"/>
              </w:rPr>
            </w:pPr>
            <w:r>
              <w:rPr>
                <w:color w:val="000000"/>
                <w:kern w:val="2"/>
                <w:sz w:val="24"/>
                <w:szCs w:val="24"/>
                <w:highlight w:val="none"/>
              </w:rPr>
              <w:t>2</w:t>
            </w:r>
            <w:r>
              <w:rPr>
                <w:rFonts w:hint="eastAsia"/>
                <w:color w:val="000000"/>
                <w:kern w:val="2"/>
                <w:sz w:val="24"/>
                <w:szCs w:val="24"/>
                <w:highlight w:val="none"/>
              </w:rPr>
              <w:t>、实际饭菜是否于菜谱吻合；</w:t>
            </w:r>
          </w:p>
        </w:tc>
        <w:tc>
          <w:tcPr>
            <w:tcW w:w="1939" w:type="dxa"/>
            <w:tcBorders>
              <w:top w:val="single" w:color="000000" w:sz="4" w:space="0"/>
              <w:left w:val="single" w:color="000000" w:sz="4" w:space="0"/>
              <w:bottom w:val="single" w:color="000000" w:sz="4" w:space="0"/>
              <w:right w:val="single" w:color="000000" w:sz="4" w:space="0"/>
            </w:tcBorders>
            <w:vAlign w:val="center"/>
          </w:tcPr>
          <w:p w14:paraId="31BFA019">
            <w:pPr>
              <w:pStyle w:val="222"/>
              <w:widowControl w:val="0"/>
              <w:spacing w:after="0"/>
              <w:ind w:firstLine="0"/>
              <w:jc w:val="center"/>
              <w:rPr>
                <w:color w:val="000000"/>
                <w:kern w:val="2"/>
                <w:sz w:val="24"/>
                <w:szCs w:val="24"/>
                <w:highlight w:val="none"/>
              </w:rPr>
            </w:pPr>
            <w:r>
              <w:rPr>
                <w:rFonts w:hint="eastAsia"/>
                <w:color w:val="000000"/>
                <w:kern w:val="2"/>
                <w:sz w:val="24"/>
                <w:szCs w:val="24"/>
                <w:highlight w:val="none"/>
              </w:rPr>
              <w:t>发现一次扣</w:t>
            </w:r>
            <w:r>
              <w:rPr>
                <w:color w:val="000000"/>
                <w:kern w:val="2"/>
                <w:sz w:val="24"/>
                <w:szCs w:val="24"/>
                <w:highlight w:val="none"/>
              </w:rPr>
              <w:t>2</w:t>
            </w:r>
            <w:r>
              <w:rPr>
                <w:rFonts w:hint="eastAsia"/>
                <w:color w:val="000000"/>
                <w:kern w:val="2"/>
                <w:sz w:val="24"/>
                <w:szCs w:val="24"/>
                <w:highlight w:val="none"/>
              </w:rPr>
              <w:t>分</w:t>
            </w:r>
          </w:p>
        </w:tc>
        <w:tc>
          <w:tcPr>
            <w:tcW w:w="737" w:type="dxa"/>
            <w:tcBorders>
              <w:top w:val="single" w:color="000000" w:sz="4" w:space="0"/>
              <w:left w:val="single" w:color="000000" w:sz="4" w:space="0"/>
              <w:bottom w:val="single" w:color="000000" w:sz="4" w:space="0"/>
              <w:right w:val="single" w:color="000000" w:sz="4" w:space="0"/>
            </w:tcBorders>
            <w:vAlign w:val="center"/>
          </w:tcPr>
          <w:p w14:paraId="0D448DCC">
            <w:pPr>
              <w:pStyle w:val="222"/>
              <w:widowControl w:val="0"/>
              <w:spacing w:after="0"/>
              <w:ind w:firstLine="0"/>
              <w:jc w:val="center"/>
              <w:rPr>
                <w:rFonts w:eastAsia="宋体"/>
                <w:color w:val="000000"/>
                <w:kern w:val="2"/>
                <w:sz w:val="24"/>
                <w:szCs w:val="24"/>
                <w:highlight w:val="none"/>
              </w:rPr>
            </w:pPr>
            <w:r>
              <w:rPr>
                <w:color w:val="000000"/>
                <w:kern w:val="2"/>
                <w:sz w:val="24"/>
                <w:szCs w:val="24"/>
                <w:highlight w:val="none"/>
              </w:rPr>
              <w:t>6</w:t>
            </w:r>
          </w:p>
        </w:tc>
      </w:tr>
      <w:tr w14:paraId="767ACF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21" w:type="dxa"/>
            <w:vMerge w:val="restart"/>
            <w:tcBorders>
              <w:top w:val="single" w:color="000000" w:sz="4" w:space="0"/>
              <w:left w:val="single" w:color="000000" w:sz="4" w:space="0"/>
              <w:bottom w:val="single" w:color="000000" w:sz="4" w:space="0"/>
              <w:right w:val="single" w:color="000000" w:sz="4" w:space="0"/>
            </w:tcBorders>
            <w:vAlign w:val="center"/>
          </w:tcPr>
          <w:p w14:paraId="51ABC9AE">
            <w:pPr>
              <w:pStyle w:val="222"/>
              <w:widowControl w:val="0"/>
              <w:spacing w:after="0"/>
              <w:ind w:firstLine="0"/>
              <w:jc w:val="center"/>
              <w:rPr>
                <w:color w:val="000000"/>
                <w:kern w:val="2"/>
                <w:sz w:val="24"/>
                <w:szCs w:val="24"/>
                <w:highlight w:val="none"/>
              </w:rPr>
            </w:pPr>
            <w:r>
              <w:rPr>
                <w:rFonts w:hint="eastAsia"/>
                <w:color w:val="000000"/>
                <w:kern w:val="2"/>
                <w:sz w:val="24"/>
                <w:szCs w:val="24"/>
                <w:highlight w:val="none"/>
              </w:rPr>
              <w:t>服务质量</w:t>
            </w:r>
            <w:r>
              <w:rPr>
                <w:color w:val="000000"/>
                <w:kern w:val="2"/>
                <w:sz w:val="24"/>
                <w:szCs w:val="24"/>
                <w:highlight w:val="none"/>
              </w:rPr>
              <w:t>12</w:t>
            </w:r>
            <w:r>
              <w:rPr>
                <w:rFonts w:hint="eastAsia"/>
                <w:color w:val="000000"/>
                <w:spacing w:val="-35"/>
                <w:kern w:val="2"/>
                <w:sz w:val="24"/>
                <w:szCs w:val="24"/>
                <w:highlight w:val="none"/>
              </w:rPr>
              <w:t>分</w:t>
            </w:r>
          </w:p>
        </w:tc>
        <w:tc>
          <w:tcPr>
            <w:tcW w:w="778" w:type="dxa"/>
            <w:tcBorders>
              <w:top w:val="single" w:color="000000" w:sz="4" w:space="0"/>
              <w:left w:val="single" w:color="000000" w:sz="4" w:space="0"/>
              <w:bottom w:val="single" w:color="000000" w:sz="4" w:space="0"/>
              <w:right w:val="single" w:color="000000" w:sz="4" w:space="0"/>
            </w:tcBorders>
            <w:vAlign w:val="center"/>
          </w:tcPr>
          <w:p w14:paraId="57DD1D6B">
            <w:pPr>
              <w:pStyle w:val="222"/>
              <w:widowControl w:val="0"/>
              <w:spacing w:after="0"/>
              <w:ind w:firstLine="0"/>
              <w:jc w:val="center"/>
              <w:rPr>
                <w:color w:val="000000"/>
                <w:kern w:val="2"/>
                <w:sz w:val="24"/>
                <w:szCs w:val="24"/>
                <w:highlight w:val="none"/>
              </w:rPr>
            </w:pPr>
            <w:r>
              <w:rPr>
                <w:rFonts w:hint="eastAsia"/>
                <w:color w:val="000000"/>
                <w:kern w:val="2"/>
                <w:sz w:val="24"/>
                <w:szCs w:val="24"/>
                <w:highlight w:val="none"/>
              </w:rPr>
              <w:t>仪容仪表</w:t>
            </w:r>
          </w:p>
        </w:tc>
        <w:tc>
          <w:tcPr>
            <w:tcW w:w="4770" w:type="dxa"/>
            <w:tcBorders>
              <w:top w:val="single" w:color="000000" w:sz="4" w:space="0"/>
              <w:left w:val="single" w:color="000000" w:sz="4" w:space="0"/>
              <w:bottom w:val="single" w:color="000000" w:sz="4" w:space="0"/>
              <w:right w:val="single" w:color="000000" w:sz="4" w:space="0"/>
            </w:tcBorders>
            <w:vAlign w:val="center"/>
          </w:tcPr>
          <w:p w14:paraId="2B9C86CE">
            <w:pPr>
              <w:pStyle w:val="211"/>
              <w:widowControl w:val="0"/>
              <w:rPr>
                <w:color w:val="000000"/>
                <w:kern w:val="2"/>
                <w:sz w:val="24"/>
                <w:szCs w:val="24"/>
                <w:highlight w:val="none"/>
              </w:rPr>
            </w:pPr>
            <w:r>
              <w:rPr>
                <w:color w:val="000000"/>
                <w:kern w:val="2"/>
                <w:sz w:val="24"/>
                <w:szCs w:val="24"/>
                <w:highlight w:val="none"/>
              </w:rPr>
              <w:t>1</w:t>
            </w:r>
            <w:r>
              <w:rPr>
                <w:rFonts w:hint="eastAsia"/>
                <w:color w:val="000000"/>
                <w:kern w:val="2"/>
                <w:sz w:val="24"/>
                <w:szCs w:val="24"/>
                <w:highlight w:val="none"/>
              </w:rPr>
              <w:t>、</w:t>
            </w:r>
            <w:r>
              <w:rPr>
                <w:rFonts w:hint="eastAsia"/>
                <w:color w:val="000000"/>
                <w:spacing w:val="-14"/>
                <w:kern w:val="2"/>
                <w:sz w:val="24"/>
                <w:szCs w:val="24"/>
                <w:highlight w:val="none"/>
              </w:rPr>
              <w:t>厨工</w:t>
            </w:r>
            <w:r>
              <w:rPr>
                <w:rFonts w:hint="eastAsia"/>
                <w:color w:val="000000"/>
                <w:kern w:val="2"/>
                <w:sz w:val="24"/>
                <w:szCs w:val="24"/>
                <w:highlight w:val="none"/>
              </w:rPr>
              <w:t>工作期间需着整洁干净的工作服、工作帽；</w:t>
            </w:r>
          </w:p>
          <w:p w14:paraId="4057D931">
            <w:pPr>
              <w:pStyle w:val="211"/>
              <w:widowControl w:val="0"/>
              <w:rPr>
                <w:color w:val="000000"/>
                <w:kern w:val="2"/>
                <w:sz w:val="24"/>
                <w:szCs w:val="24"/>
                <w:highlight w:val="none"/>
              </w:rPr>
            </w:pPr>
            <w:bookmarkStart w:id="86" w:name="OLE_LINK4"/>
            <w:bookmarkStart w:id="87" w:name="OLE_LINK3"/>
            <w:r>
              <w:rPr>
                <w:color w:val="000000"/>
                <w:kern w:val="2"/>
                <w:sz w:val="24"/>
                <w:szCs w:val="24"/>
                <w:highlight w:val="none"/>
              </w:rPr>
              <w:t>2</w:t>
            </w:r>
            <w:r>
              <w:rPr>
                <w:rFonts w:hint="eastAsia"/>
                <w:color w:val="000000"/>
                <w:spacing w:val="-14"/>
                <w:kern w:val="2"/>
                <w:sz w:val="24"/>
                <w:szCs w:val="24"/>
                <w:highlight w:val="none"/>
              </w:rPr>
              <w:t>、</w:t>
            </w:r>
            <w:bookmarkEnd w:id="86"/>
            <w:bookmarkEnd w:id="87"/>
            <w:r>
              <w:rPr>
                <w:rFonts w:hint="eastAsia"/>
                <w:color w:val="000000"/>
                <w:spacing w:val="-14"/>
                <w:kern w:val="2"/>
                <w:sz w:val="24"/>
                <w:szCs w:val="24"/>
                <w:highlight w:val="none"/>
              </w:rPr>
              <w:t>厨工必须保持整洁，手、腕部不允许佩戴首饰、双手干净；</w:t>
            </w:r>
          </w:p>
          <w:p w14:paraId="036C68ED">
            <w:pPr>
              <w:pStyle w:val="211"/>
              <w:widowControl w:val="0"/>
              <w:rPr>
                <w:color w:val="000000"/>
                <w:kern w:val="2"/>
                <w:sz w:val="24"/>
                <w:szCs w:val="24"/>
                <w:highlight w:val="none"/>
                <w:lang w:eastAsia="zh-CN"/>
              </w:rPr>
            </w:pPr>
            <w:r>
              <w:rPr>
                <w:color w:val="000000"/>
                <w:kern w:val="2"/>
                <w:sz w:val="24"/>
                <w:szCs w:val="24"/>
                <w:highlight w:val="none"/>
              </w:rPr>
              <w:t>3</w:t>
            </w:r>
            <w:r>
              <w:rPr>
                <w:rFonts w:hint="eastAsia"/>
                <w:color w:val="000000"/>
                <w:kern w:val="2"/>
                <w:sz w:val="24"/>
                <w:szCs w:val="24"/>
                <w:highlight w:val="none"/>
              </w:rPr>
              <w:t>、食堂工作区、用餐区禁止吸烟；</w:t>
            </w:r>
          </w:p>
          <w:p w14:paraId="71AF51F6">
            <w:pPr>
              <w:pStyle w:val="222"/>
              <w:widowControl w:val="0"/>
              <w:spacing w:after="0"/>
              <w:ind w:firstLine="0"/>
              <w:rPr>
                <w:color w:val="000000"/>
                <w:kern w:val="2"/>
                <w:sz w:val="24"/>
                <w:szCs w:val="24"/>
                <w:highlight w:val="none"/>
              </w:rPr>
            </w:pPr>
            <w:r>
              <w:rPr>
                <w:color w:val="000000"/>
                <w:kern w:val="2"/>
                <w:sz w:val="24"/>
                <w:szCs w:val="24"/>
                <w:highlight w:val="none"/>
              </w:rPr>
              <w:t>4</w:t>
            </w:r>
            <w:r>
              <w:rPr>
                <w:rFonts w:hint="eastAsia"/>
                <w:color w:val="000000"/>
                <w:kern w:val="2"/>
                <w:sz w:val="24"/>
                <w:szCs w:val="24"/>
                <w:highlight w:val="none"/>
              </w:rPr>
              <w:t>、供应食品时不能用手直接接触食品；</w:t>
            </w:r>
          </w:p>
        </w:tc>
        <w:tc>
          <w:tcPr>
            <w:tcW w:w="1939" w:type="dxa"/>
            <w:tcBorders>
              <w:top w:val="single" w:color="000000" w:sz="4" w:space="0"/>
              <w:left w:val="single" w:color="000000" w:sz="4" w:space="0"/>
              <w:bottom w:val="single" w:color="000000" w:sz="4" w:space="0"/>
              <w:right w:val="single" w:color="000000" w:sz="4" w:space="0"/>
            </w:tcBorders>
            <w:vAlign w:val="center"/>
          </w:tcPr>
          <w:p w14:paraId="1477CF4A">
            <w:pPr>
              <w:pStyle w:val="222"/>
              <w:widowControl w:val="0"/>
              <w:spacing w:after="0"/>
              <w:ind w:firstLine="0"/>
              <w:jc w:val="center"/>
              <w:rPr>
                <w:color w:val="000000"/>
                <w:kern w:val="2"/>
                <w:sz w:val="24"/>
                <w:szCs w:val="24"/>
                <w:highlight w:val="none"/>
              </w:rPr>
            </w:pPr>
            <w:r>
              <w:rPr>
                <w:rFonts w:hint="eastAsia"/>
                <w:color w:val="000000"/>
                <w:kern w:val="2"/>
                <w:sz w:val="24"/>
                <w:szCs w:val="24"/>
                <w:highlight w:val="none"/>
              </w:rPr>
              <w:t>发现一次扣</w:t>
            </w:r>
            <w:r>
              <w:rPr>
                <w:color w:val="000000"/>
                <w:kern w:val="2"/>
                <w:sz w:val="24"/>
                <w:szCs w:val="24"/>
                <w:highlight w:val="none"/>
              </w:rPr>
              <w:t>1</w:t>
            </w:r>
            <w:r>
              <w:rPr>
                <w:rFonts w:hint="eastAsia"/>
                <w:color w:val="000000"/>
                <w:kern w:val="2"/>
                <w:sz w:val="24"/>
                <w:szCs w:val="24"/>
                <w:highlight w:val="none"/>
              </w:rPr>
              <w:t>分</w:t>
            </w:r>
          </w:p>
        </w:tc>
        <w:tc>
          <w:tcPr>
            <w:tcW w:w="737" w:type="dxa"/>
            <w:tcBorders>
              <w:top w:val="single" w:color="000000" w:sz="4" w:space="0"/>
              <w:left w:val="single" w:color="000000" w:sz="4" w:space="0"/>
              <w:bottom w:val="single" w:color="000000" w:sz="4" w:space="0"/>
              <w:right w:val="single" w:color="000000" w:sz="4" w:space="0"/>
            </w:tcBorders>
            <w:vAlign w:val="center"/>
          </w:tcPr>
          <w:p w14:paraId="3ABEEC56">
            <w:pPr>
              <w:pStyle w:val="222"/>
              <w:widowControl w:val="0"/>
              <w:spacing w:after="0"/>
              <w:ind w:firstLine="0"/>
              <w:jc w:val="center"/>
              <w:rPr>
                <w:color w:val="000000"/>
                <w:kern w:val="2"/>
                <w:sz w:val="24"/>
                <w:szCs w:val="24"/>
                <w:highlight w:val="none"/>
              </w:rPr>
            </w:pPr>
            <w:r>
              <w:rPr>
                <w:color w:val="000000"/>
                <w:kern w:val="2"/>
                <w:sz w:val="24"/>
                <w:szCs w:val="24"/>
                <w:highlight w:val="none"/>
              </w:rPr>
              <w:t>5</w:t>
            </w:r>
          </w:p>
        </w:tc>
      </w:tr>
      <w:tr w14:paraId="2EDC24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vAlign w:val="center"/>
          </w:tcPr>
          <w:p w14:paraId="4C1DAE9C">
            <w:pPr>
              <w:rPr>
                <w:color w:val="000000"/>
                <w:kern w:val="2"/>
                <w:sz w:val="24"/>
                <w:szCs w:val="24"/>
                <w:highlight w:val="none"/>
              </w:rPr>
            </w:pPr>
          </w:p>
        </w:tc>
        <w:tc>
          <w:tcPr>
            <w:tcW w:w="778" w:type="dxa"/>
            <w:tcBorders>
              <w:top w:val="single" w:color="000000" w:sz="4" w:space="0"/>
              <w:left w:val="single" w:color="000000" w:sz="4" w:space="0"/>
              <w:bottom w:val="single" w:color="000000" w:sz="4" w:space="0"/>
              <w:right w:val="single" w:color="000000" w:sz="4" w:space="0"/>
            </w:tcBorders>
            <w:vAlign w:val="center"/>
          </w:tcPr>
          <w:p w14:paraId="650B1CD2">
            <w:pPr>
              <w:pStyle w:val="222"/>
              <w:widowControl w:val="0"/>
              <w:spacing w:after="0"/>
              <w:ind w:firstLine="0"/>
              <w:jc w:val="center"/>
              <w:rPr>
                <w:color w:val="000000"/>
                <w:kern w:val="2"/>
                <w:sz w:val="24"/>
                <w:szCs w:val="24"/>
                <w:highlight w:val="none"/>
              </w:rPr>
            </w:pPr>
            <w:r>
              <w:rPr>
                <w:rFonts w:hint="eastAsia"/>
                <w:color w:val="000000"/>
                <w:kern w:val="2"/>
                <w:sz w:val="24"/>
                <w:szCs w:val="24"/>
                <w:highlight w:val="none"/>
              </w:rPr>
              <w:t>服务</w:t>
            </w:r>
          </w:p>
        </w:tc>
        <w:tc>
          <w:tcPr>
            <w:tcW w:w="4770" w:type="dxa"/>
            <w:tcBorders>
              <w:top w:val="single" w:color="000000" w:sz="4" w:space="0"/>
              <w:left w:val="single" w:color="000000" w:sz="4" w:space="0"/>
              <w:bottom w:val="single" w:color="000000" w:sz="4" w:space="0"/>
              <w:right w:val="single" w:color="000000" w:sz="4" w:space="0"/>
            </w:tcBorders>
            <w:vAlign w:val="center"/>
          </w:tcPr>
          <w:p w14:paraId="2ED6FE9E">
            <w:pPr>
              <w:pStyle w:val="211"/>
              <w:widowControl w:val="0"/>
              <w:rPr>
                <w:color w:val="000000"/>
                <w:kern w:val="2"/>
                <w:sz w:val="24"/>
                <w:szCs w:val="24"/>
                <w:highlight w:val="none"/>
              </w:rPr>
            </w:pPr>
            <w:r>
              <w:rPr>
                <w:color w:val="000000"/>
                <w:kern w:val="2"/>
                <w:sz w:val="24"/>
                <w:szCs w:val="24"/>
                <w:highlight w:val="none"/>
              </w:rPr>
              <w:t>1</w:t>
            </w:r>
            <w:r>
              <w:rPr>
                <w:rFonts w:hint="eastAsia"/>
                <w:color w:val="000000"/>
                <w:kern w:val="2"/>
                <w:sz w:val="24"/>
                <w:szCs w:val="24"/>
                <w:highlight w:val="none"/>
              </w:rPr>
              <w:t>、食堂服务人员要微笑、文明服务；</w:t>
            </w:r>
          </w:p>
          <w:p w14:paraId="79BB8327">
            <w:pPr>
              <w:pStyle w:val="222"/>
              <w:widowControl w:val="0"/>
              <w:spacing w:after="0"/>
              <w:ind w:firstLine="0"/>
              <w:rPr>
                <w:color w:val="000000"/>
                <w:kern w:val="2"/>
                <w:sz w:val="24"/>
                <w:szCs w:val="24"/>
                <w:highlight w:val="none"/>
              </w:rPr>
            </w:pPr>
            <w:r>
              <w:rPr>
                <w:color w:val="000000"/>
                <w:kern w:val="2"/>
                <w:sz w:val="24"/>
                <w:szCs w:val="24"/>
                <w:highlight w:val="none"/>
              </w:rPr>
              <w:t>2</w:t>
            </w:r>
            <w:r>
              <w:rPr>
                <w:rFonts w:hint="eastAsia"/>
                <w:color w:val="000000"/>
                <w:kern w:val="2"/>
                <w:sz w:val="24"/>
                <w:szCs w:val="24"/>
                <w:highlight w:val="none"/>
              </w:rPr>
              <w:t>、不得发生吵架、打骂不文明行为；</w:t>
            </w:r>
          </w:p>
          <w:p w14:paraId="54A28C38">
            <w:pPr>
              <w:pStyle w:val="222"/>
              <w:widowControl w:val="0"/>
              <w:spacing w:after="0"/>
              <w:ind w:firstLine="0"/>
              <w:rPr>
                <w:rFonts w:eastAsia="宋体"/>
                <w:color w:val="000000"/>
                <w:kern w:val="2"/>
                <w:sz w:val="24"/>
                <w:szCs w:val="24"/>
                <w:highlight w:val="none"/>
              </w:rPr>
            </w:pPr>
            <w:r>
              <w:rPr>
                <w:color w:val="000000"/>
                <w:kern w:val="2"/>
                <w:sz w:val="24"/>
                <w:szCs w:val="24"/>
                <w:highlight w:val="none"/>
              </w:rPr>
              <w:t>3</w:t>
            </w:r>
            <w:r>
              <w:rPr>
                <w:rFonts w:hint="eastAsia"/>
                <w:color w:val="000000"/>
                <w:kern w:val="2"/>
                <w:sz w:val="24"/>
                <w:szCs w:val="24"/>
                <w:highlight w:val="none"/>
              </w:rPr>
              <w:t>、出现用餐投诉及时处理</w:t>
            </w:r>
            <w:bookmarkStart w:id="88" w:name="OLE_LINK6"/>
            <w:r>
              <w:rPr>
                <w:rFonts w:hint="eastAsia"/>
                <w:color w:val="000000"/>
                <w:kern w:val="2"/>
                <w:sz w:val="24"/>
                <w:szCs w:val="24"/>
                <w:highlight w:val="none"/>
              </w:rPr>
              <w:t>；</w:t>
            </w:r>
            <w:bookmarkEnd w:id="88"/>
          </w:p>
        </w:tc>
        <w:tc>
          <w:tcPr>
            <w:tcW w:w="1939" w:type="dxa"/>
            <w:tcBorders>
              <w:top w:val="single" w:color="000000" w:sz="4" w:space="0"/>
              <w:left w:val="single" w:color="000000" w:sz="4" w:space="0"/>
              <w:bottom w:val="single" w:color="000000" w:sz="4" w:space="0"/>
              <w:right w:val="single" w:color="000000" w:sz="4" w:space="0"/>
            </w:tcBorders>
            <w:vAlign w:val="center"/>
          </w:tcPr>
          <w:p w14:paraId="1046F921">
            <w:pPr>
              <w:pStyle w:val="211"/>
              <w:widowControl w:val="0"/>
              <w:jc w:val="center"/>
              <w:rPr>
                <w:color w:val="000000"/>
                <w:kern w:val="2"/>
                <w:sz w:val="24"/>
                <w:szCs w:val="24"/>
                <w:highlight w:val="none"/>
              </w:rPr>
            </w:pPr>
            <w:r>
              <w:rPr>
                <w:rFonts w:hint="eastAsia"/>
                <w:color w:val="000000"/>
                <w:spacing w:val="-2"/>
                <w:kern w:val="2"/>
                <w:sz w:val="24"/>
                <w:szCs w:val="24"/>
                <w:highlight w:val="none"/>
              </w:rPr>
              <w:t>第一条发现一次扣</w:t>
            </w:r>
            <w:r>
              <w:rPr>
                <w:color w:val="000000"/>
                <w:kern w:val="2"/>
                <w:sz w:val="24"/>
                <w:szCs w:val="24"/>
                <w:highlight w:val="none"/>
              </w:rPr>
              <w:t>1</w:t>
            </w:r>
            <w:r>
              <w:rPr>
                <w:rFonts w:hint="eastAsia"/>
                <w:color w:val="000000"/>
                <w:spacing w:val="-4"/>
                <w:kern w:val="2"/>
                <w:sz w:val="24"/>
                <w:szCs w:val="24"/>
                <w:highlight w:val="none"/>
              </w:rPr>
              <w:t>分，第二</w:t>
            </w:r>
            <w:r>
              <w:rPr>
                <w:rFonts w:hint="eastAsia"/>
                <w:color w:val="000000"/>
                <w:spacing w:val="-4"/>
                <w:kern w:val="2"/>
                <w:sz w:val="24"/>
                <w:szCs w:val="24"/>
                <w:highlight w:val="none"/>
                <w:lang w:eastAsia="zh-CN"/>
              </w:rPr>
              <w:t>、三</w:t>
            </w:r>
            <w:r>
              <w:rPr>
                <w:rFonts w:hint="eastAsia"/>
                <w:color w:val="000000"/>
                <w:spacing w:val="-4"/>
                <w:kern w:val="2"/>
                <w:sz w:val="24"/>
                <w:szCs w:val="24"/>
                <w:highlight w:val="none"/>
              </w:rPr>
              <w:t>条发现一次扣</w:t>
            </w:r>
            <w:r>
              <w:rPr>
                <w:color w:val="000000"/>
                <w:kern w:val="2"/>
                <w:sz w:val="24"/>
                <w:szCs w:val="24"/>
                <w:highlight w:val="none"/>
                <w:lang w:eastAsia="zh-CN"/>
              </w:rPr>
              <w:t>3</w:t>
            </w:r>
            <w:r>
              <w:rPr>
                <w:rFonts w:hint="eastAsia"/>
                <w:color w:val="000000"/>
                <w:kern w:val="2"/>
                <w:sz w:val="24"/>
                <w:szCs w:val="24"/>
                <w:highlight w:val="none"/>
              </w:rPr>
              <w:t>分</w:t>
            </w:r>
          </w:p>
        </w:tc>
        <w:tc>
          <w:tcPr>
            <w:tcW w:w="737" w:type="dxa"/>
            <w:tcBorders>
              <w:top w:val="single" w:color="000000" w:sz="4" w:space="0"/>
              <w:left w:val="single" w:color="000000" w:sz="4" w:space="0"/>
              <w:bottom w:val="single" w:color="000000" w:sz="4" w:space="0"/>
              <w:right w:val="single" w:color="000000" w:sz="4" w:space="0"/>
            </w:tcBorders>
            <w:vAlign w:val="center"/>
          </w:tcPr>
          <w:p w14:paraId="3AD70929">
            <w:pPr>
              <w:pStyle w:val="222"/>
              <w:widowControl w:val="0"/>
              <w:spacing w:after="0"/>
              <w:ind w:firstLine="0"/>
              <w:jc w:val="center"/>
              <w:rPr>
                <w:rFonts w:eastAsia="宋体"/>
                <w:color w:val="000000"/>
                <w:kern w:val="2"/>
                <w:sz w:val="24"/>
                <w:szCs w:val="24"/>
                <w:highlight w:val="none"/>
              </w:rPr>
            </w:pPr>
            <w:r>
              <w:rPr>
                <w:color w:val="000000"/>
                <w:kern w:val="2"/>
                <w:sz w:val="24"/>
                <w:szCs w:val="24"/>
                <w:highlight w:val="none"/>
              </w:rPr>
              <w:t>7</w:t>
            </w:r>
          </w:p>
        </w:tc>
      </w:tr>
      <w:tr w14:paraId="2487DE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21" w:type="dxa"/>
            <w:vMerge w:val="restart"/>
            <w:tcBorders>
              <w:top w:val="single" w:color="000000" w:sz="4" w:space="0"/>
              <w:left w:val="single" w:color="000000" w:sz="4" w:space="0"/>
              <w:bottom w:val="single" w:color="000000" w:sz="4" w:space="0"/>
              <w:right w:val="single" w:color="000000" w:sz="4" w:space="0"/>
            </w:tcBorders>
            <w:vAlign w:val="center"/>
          </w:tcPr>
          <w:p w14:paraId="5C6A5E95">
            <w:pPr>
              <w:pStyle w:val="222"/>
              <w:widowControl w:val="0"/>
              <w:spacing w:after="0"/>
              <w:ind w:firstLine="0"/>
              <w:jc w:val="center"/>
              <w:rPr>
                <w:color w:val="000000"/>
                <w:kern w:val="2"/>
                <w:sz w:val="24"/>
                <w:szCs w:val="24"/>
                <w:highlight w:val="none"/>
              </w:rPr>
            </w:pPr>
            <w:r>
              <w:rPr>
                <w:rFonts w:hint="eastAsia"/>
                <w:color w:val="000000"/>
                <w:kern w:val="2"/>
                <w:sz w:val="24"/>
                <w:szCs w:val="24"/>
                <w:highlight w:val="none"/>
              </w:rPr>
              <w:t>卫生标准</w:t>
            </w:r>
            <w:r>
              <w:rPr>
                <w:color w:val="000000"/>
                <w:kern w:val="2"/>
                <w:sz w:val="24"/>
                <w:szCs w:val="24"/>
                <w:highlight w:val="none"/>
              </w:rPr>
              <w:t>33</w:t>
            </w:r>
            <w:r>
              <w:rPr>
                <w:rFonts w:hint="eastAsia"/>
                <w:color w:val="000000"/>
                <w:kern w:val="2"/>
                <w:sz w:val="24"/>
                <w:szCs w:val="24"/>
                <w:highlight w:val="none"/>
              </w:rPr>
              <w:t>分</w:t>
            </w:r>
          </w:p>
        </w:tc>
        <w:tc>
          <w:tcPr>
            <w:tcW w:w="778" w:type="dxa"/>
            <w:tcBorders>
              <w:top w:val="single" w:color="000000" w:sz="4" w:space="0"/>
              <w:left w:val="single" w:color="000000" w:sz="4" w:space="0"/>
              <w:bottom w:val="single" w:color="000000" w:sz="4" w:space="0"/>
              <w:right w:val="single" w:color="000000" w:sz="4" w:space="0"/>
            </w:tcBorders>
            <w:vAlign w:val="center"/>
          </w:tcPr>
          <w:p w14:paraId="5BD38D80">
            <w:pPr>
              <w:pStyle w:val="222"/>
              <w:widowControl w:val="0"/>
              <w:spacing w:after="0"/>
              <w:ind w:firstLine="0"/>
              <w:jc w:val="center"/>
              <w:rPr>
                <w:color w:val="000000"/>
                <w:kern w:val="2"/>
                <w:sz w:val="24"/>
                <w:szCs w:val="24"/>
                <w:highlight w:val="none"/>
              </w:rPr>
            </w:pPr>
            <w:r>
              <w:rPr>
                <w:rFonts w:hint="eastAsia"/>
                <w:color w:val="000000"/>
                <w:kern w:val="2"/>
                <w:sz w:val="24"/>
                <w:szCs w:val="24"/>
                <w:highlight w:val="none"/>
              </w:rPr>
              <w:t>制作</w:t>
            </w:r>
          </w:p>
        </w:tc>
        <w:tc>
          <w:tcPr>
            <w:tcW w:w="4770" w:type="dxa"/>
            <w:tcBorders>
              <w:top w:val="single" w:color="000000" w:sz="4" w:space="0"/>
              <w:left w:val="single" w:color="000000" w:sz="4" w:space="0"/>
              <w:bottom w:val="single" w:color="000000" w:sz="4" w:space="0"/>
              <w:right w:val="single" w:color="000000" w:sz="4" w:space="0"/>
            </w:tcBorders>
            <w:vAlign w:val="center"/>
          </w:tcPr>
          <w:p w14:paraId="2AF9BE74">
            <w:pPr>
              <w:pStyle w:val="211"/>
              <w:widowControl w:val="0"/>
              <w:rPr>
                <w:color w:val="000000"/>
                <w:kern w:val="2"/>
                <w:sz w:val="24"/>
                <w:szCs w:val="24"/>
                <w:highlight w:val="none"/>
              </w:rPr>
            </w:pPr>
            <w:r>
              <w:rPr>
                <w:color w:val="000000"/>
                <w:kern w:val="2"/>
                <w:sz w:val="24"/>
                <w:szCs w:val="24"/>
                <w:highlight w:val="none"/>
              </w:rPr>
              <w:t>1</w:t>
            </w:r>
            <w:r>
              <w:rPr>
                <w:rFonts w:hint="eastAsia"/>
                <w:color w:val="000000"/>
                <w:kern w:val="2"/>
                <w:sz w:val="24"/>
                <w:szCs w:val="24"/>
                <w:highlight w:val="none"/>
              </w:rPr>
              <w:t>、原料、半成品、成品的加工是否存在交叉污染，存放及使用容器并有明显的区分标志；</w:t>
            </w:r>
          </w:p>
          <w:p w14:paraId="17AEBFA4">
            <w:pPr>
              <w:pStyle w:val="211"/>
              <w:widowControl w:val="0"/>
              <w:rPr>
                <w:color w:val="000000"/>
                <w:kern w:val="2"/>
                <w:sz w:val="24"/>
                <w:szCs w:val="24"/>
                <w:highlight w:val="none"/>
              </w:rPr>
            </w:pPr>
            <w:r>
              <w:rPr>
                <w:color w:val="000000"/>
                <w:kern w:val="2"/>
                <w:sz w:val="24"/>
                <w:szCs w:val="24"/>
                <w:highlight w:val="none"/>
              </w:rPr>
              <w:t>2</w:t>
            </w:r>
            <w:r>
              <w:rPr>
                <w:rFonts w:hint="eastAsia"/>
                <w:color w:val="000000"/>
                <w:kern w:val="2"/>
                <w:sz w:val="24"/>
                <w:szCs w:val="24"/>
                <w:highlight w:val="none"/>
              </w:rPr>
              <w:t>、生熟食品分开；</w:t>
            </w:r>
          </w:p>
          <w:p w14:paraId="3932B500">
            <w:pPr>
              <w:pStyle w:val="211"/>
              <w:widowControl w:val="0"/>
              <w:rPr>
                <w:color w:val="000000"/>
                <w:kern w:val="2"/>
                <w:sz w:val="24"/>
                <w:szCs w:val="24"/>
                <w:highlight w:val="none"/>
              </w:rPr>
            </w:pPr>
            <w:r>
              <w:rPr>
                <w:color w:val="000000"/>
                <w:kern w:val="2"/>
                <w:sz w:val="24"/>
                <w:szCs w:val="24"/>
                <w:highlight w:val="none"/>
              </w:rPr>
              <w:t>3</w:t>
            </w:r>
            <w:r>
              <w:rPr>
                <w:rFonts w:hint="eastAsia"/>
                <w:color w:val="000000"/>
                <w:kern w:val="2"/>
                <w:sz w:val="24"/>
                <w:szCs w:val="24"/>
                <w:highlight w:val="none"/>
              </w:rPr>
              <w:t>、食品存放分类分架；</w:t>
            </w:r>
          </w:p>
          <w:p w14:paraId="4001E8E0">
            <w:pPr>
              <w:pStyle w:val="222"/>
              <w:widowControl w:val="0"/>
              <w:spacing w:after="0"/>
              <w:ind w:firstLine="0"/>
              <w:rPr>
                <w:color w:val="000000"/>
                <w:kern w:val="2"/>
                <w:sz w:val="24"/>
                <w:szCs w:val="24"/>
                <w:highlight w:val="none"/>
              </w:rPr>
            </w:pPr>
            <w:r>
              <w:rPr>
                <w:color w:val="000000"/>
                <w:kern w:val="2"/>
                <w:sz w:val="24"/>
                <w:szCs w:val="24"/>
                <w:highlight w:val="none"/>
              </w:rPr>
              <w:t>4</w:t>
            </w:r>
            <w:r>
              <w:rPr>
                <w:rFonts w:hint="eastAsia"/>
                <w:color w:val="000000"/>
                <w:kern w:val="2"/>
                <w:sz w:val="24"/>
                <w:szCs w:val="24"/>
                <w:highlight w:val="none"/>
              </w:rPr>
              <w:t>、试菜规范，不直接用嘴动手。</w:t>
            </w:r>
          </w:p>
          <w:p w14:paraId="6E11CFA7">
            <w:pPr>
              <w:pStyle w:val="222"/>
              <w:widowControl w:val="0"/>
              <w:spacing w:after="0"/>
              <w:ind w:firstLine="0"/>
              <w:rPr>
                <w:rFonts w:eastAsia="宋体"/>
                <w:color w:val="000000"/>
                <w:kern w:val="2"/>
                <w:sz w:val="24"/>
                <w:szCs w:val="24"/>
                <w:highlight w:val="none"/>
              </w:rPr>
            </w:pPr>
            <w:r>
              <w:rPr>
                <w:color w:val="000000"/>
                <w:kern w:val="2"/>
                <w:sz w:val="24"/>
                <w:szCs w:val="24"/>
                <w:highlight w:val="none"/>
              </w:rPr>
              <w:t>5</w:t>
            </w:r>
            <w:r>
              <w:rPr>
                <w:rFonts w:hint="eastAsia"/>
                <w:color w:val="000000"/>
                <w:kern w:val="2"/>
                <w:sz w:val="24"/>
                <w:szCs w:val="24"/>
                <w:highlight w:val="none"/>
              </w:rPr>
              <w:t>、菜品留样足量，时长达</w:t>
            </w:r>
            <w:r>
              <w:rPr>
                <w:color w:val="000000"/>
                <w:kern w:val="2"/>
                <w:sz w:val="24"/>
                <w:szCs w:val="24"/>
                <w:highlight w:val="none"/>
              </w:rPr>
              <w:t>48</w:t>
            </w:r>
            <w:r>
              <w:rPr>
                <w:rFonts w:hint="eastAsia"/>
                <w:color w:val="000000"/>
                <w:kern w:val="2"/>
                <w:sz w:val="24"/>
                <w:szCs w:val="24"/>
                <w:highlight w:val="none"/>
              </w:rPr>
              <w:t>小时。</w:t>
            </w:r>
          </w:p>
        </w:tc>
        <w:tc>
          <w:tcPr>
            <w:tcW w:w="1939" w:type="dxa"/>
            <w:tcBorders>
              <w:top w:val="single" w:color="000000" w:sz="4" w:space="0"/>
              <w:left w:val="single" w:color="000000" w:sz="4" w:space="0"/>
              <w:bottom w:val="single" w:color="000000" w:sz="4" w:space="0"/>
              <w:right w:val="single" w:color="000000" w:sz="4" w:space="0"/>
            </w:tcBorders>
            <w:vAlign w:val="center"/>
          </w:tcPr>
          <w:p w14:paraId="4FF6D697">
            <w:pPr>
              <w:pStyle w:val="222"/>
              <w:widowControl w:val="0"/>
              <w:spacing w:after="0"/>
              <w:ind w:firstLine="0"/>
              <w:jc w:val="center"/>
              <w:rPr>
                <w:color w:val="000000"/>
                <w:kern w:val="2"/>
                <w:sz w:val="24"/>
                <w:szCs w:val="24"/>
                <w:highlight w:val="none"/>
              </w:rPr>
            </w:pPr>
            <w:r>
              <w:rPr>
                <w:rFonts w:hint="eastAsia"/>
                <w:color w:val="000000"/>
                <w:spacing w:val="21"/>
                <w:kern w:val="2"/>
                <w:sz w:val="24"/>
                <w:szCs w:val="24"/>
                <w:highlight w:val="none"/>
              </w:rPr>
              <w:t>前四条发现一次</w:t>
            </w:r>
            <w:r>
              <w:rPr>
                <w:rFonts w:hint="eastAsia"/>
                <w:color w:val="000000"/>
                <w:spacing w:val="11"/>
                <w:kern w:val="2"/>
                <w:sz w:val="24"/>
                <w:szCs w:val="24"/>
                <w:highlight w:val="none"/>
              </w:rPr>
              <w:t>扣</w:t>
            </w:r>
            <w:r>
              <w:rPr>
                <w:color w:val="000000"/>
                <w:kern w:val="2"/>
                <w:sz w:val="24"/>
                <w:szCs w:val="24"/>
                <w:highlight w:val="none"/>
              </w:rPr>
              <w:t>2</w:t>
            </w:r>
            <w:r>
              <w:rPr>
                <w:rFonts w:hint="eastAsia"/>
                <w:color w:val="000000"/>
                <w:spacing w:val="-23"/>
                <w:kern w:val="2"/>
                <w:sz w:val="24"/>
                <w:szCs w:val="24"/>
                <w:highlight w:val="none"/>
              </w:rPr>
              <w:t>分，第五条发现一次</w:t>
            </w:r>
            <w:r>
              <w:rPr>
                <w:rFonts w:hint="eastAsia"/>
                <w:color w:val="000000"/>
                <w:spacing w:val="-10"/>
                <w:kern w:val="2"/>
                <w:sz w:val="24"/>
                <w:szCs w:val="24"/>
                <w:highlight w:val="none"/>
              </w:rPr>
              <w:t>扣</w:t>
            </w:r>
            <w:r>
              <w:rPr>
                <w:color w:val="000000"/>
                <w:kern w:val="2"/>
                <w:sz w:val="24"/>
                <w:szCs w:val="24"/>
                <w:highlight w:val="none"/>
              </w:rPr>
              <w:t>3</w:t>
            </w:r>
            <w:r>
              <w:rPr>
                <w:rFonts w:hint="eastAsia"/>
                <w:color w:val="000000"/>
                <w:spacing w:val="-18"/>
                <w:kern w:val="2"/>
                <w:sz w:val="24"/>
                <w:szCs w:val="24"/>
                <w:highlight w:val="none"/>
              </w:rPr>
              <w:t>分；</w:t>
            </w:r>
          </w:p>
        </w:tc>
        <w:tc>
          <w:tcPr>
            <w:tcW w:w="737" w:type="dxa"/>
            <w:tcBorders>
              <w:top w:val="single" w:color="000000" w:sz="4" w:space="0"/>
              <w:left w:val="single" w:color="000000" w:sz="4" w:space="0"/>
              <w:bottom w:val="single" w:color="000000" w:sz="4" w:space="0"/>
              <w:right w:val="single" w:color="000000" w:sz="4" w:space="0"/>
            </w:tcBorders>
            <w:vAlign w:val="center"/>
          </w:tcPr>
          <w:p w14:paraId="57825162">
            <w:pPr>
              <w:pStyle w:val="222"/>
              <w:widowControl w:val="0"/>
              <w:spacing w:after="0"/>
              <w:ind w:firstLine="0"/>
              <w:jc w:val="center"/>
              <w:rPr>
                <w:rFonts w:eastAsia="宋体"/>
                <w:color w:val="000000"/>
                <w:kern w:val="2"/>
                <w:sz w:val="24"/>
                <w:szCs w:val="24"/>
                <w:highlight w:val="none"/>
              </w:rPr>
            </w:pPr>
            <w:r>
              <w:rPr>
                <w:color w:val="000000"/>
                <w:kern w:val="2"/>
                <w:sz w:val="24"/>
                <w:szCs w:val="24"/>
                <w:highlight w:val="none"/>
              </w:rPr>
              <w:t>11</w:t>
            </w:r>
          </w:p>
        </w:tc>
      </w:tr>
      <w:tr w14:paraId="6E2982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vAlign w:val="center"/>
          </w:tcPr>
          <w:p w14:paraId="6B86E63B">
            <w:pPr>
              <w:rPr>
                <w:color w:val="000000"/>
                <w:kern w:val="2"/>
                <w:sz w:val="24"/>
                <w:szCs w:val="24"/>
                <w:highlight w:val="none"/>
              </w:rPr>
            </w:pPr>
          </w:p>
        </w:tc>
        <w:tc>
          <w:tcPr>
            <w:tcW w:w="778" w:type="dxa"/>
            <w:tcBorders>
              <w:top w:val="single" w:color="000000" w:sz="4" w:space="0"/>
              <w:left w:val="single" w:color="000000" w:sz="4" w:space="0"/>
              <w:bottom w:val="single" w:color="000000" w:sz="4" w:space="0"/>
              <w:right w:val="single" w:color="000000" w:sz="4" w:space="0"/>
            </w:tcBorders>
            <w:vAlign w:val="center"/>
          </w:tcPr>
          <w:p w14:paraId="248687AD">
            <w:pPr>
              <w:pStyle w:val="222"/>
              <w:widowControl w:val="0"/>
              <w:spacing w:after="0"/>
              <w:ind w:firstLine="0"/>
              <w:jc w:val="center"/>
              <w:rPr>
                <w:color w:val="000000"/>
                <w:kern w:val="2"/>
                <w:sz w:val="24"/>
                <w:szCs w:val="24"/>
                <w:highlight w:val="none"/>
              </w:rPr>
            </w:pPr>
            <w:r>
              <w:rPr>
                <w:rFonts w:hint="eastAsia"/>
                <w:color w:val="000000"/>
                <w:kern w:val="2"/>
                <w:sz w:val="24"/>
                <w:szCs w:val="24"/>
                <w:highlight w:val="none"/>
              </w:rPr>
              <w:t>厨房</w:t>
            </w:r>
          </w:p>
        </w:tc>
        <w:tc>
          <w:tcPr>
            <w:tcW w:w="4770" w:type="dxa"/>
            <w:tcBorders>
              <w:top w:val="single" w:color="000000" w:sz="4" w:space="0"/>
              <w:left w:val="single" w:color="000000" w:sz="4" w:space="0"/>
              <w:bottom w:val="single" w:color="000000" w:sz="4" w:space="0"/>
              <w:right w:val="single" w:color="000000" w:sz="4" w:space="0"/>
            </w:tcBorders>
            <w:vAlign w:val="center"/>
          </w:tcPr>
          <w:p w14:paraId="06CF0632">
            <w:pPr>
              <w:pStyle w:val="211"/>
              <w:widowControl w:val="0"/>
              <w:rPr>
                <w:color w:val="000000"/>
                <w:kern w:val="2"/>
                <w:sz w:val="24"/>
                <w:szCs w:val="24"/>
                <w:highlight w:val="none"/>
              </w:rPr>
            </w:pPr>
            <w:r>
              <w:rPr>
                <w:color w:val="000000"/>
                <w:kern w:val="2"/>
                <w:sz w:val="24"/>
                <w:szCs w:val="24"/>
                <w:highlight w:val="none"/>
              </w:rPr>
              <w:t>1</w:t>
            </w:r>
            <w:r>
              <w:rPr>
                <w:rFonts w:hint="eastAsia"/>
                <w:color w:val="000000"/>
                <w:kern w:val="2"/>
                <w:sz w:val="24"/>
                <w:szCs w:val="24"/>
                <w:highlight w:val="none"/>
              </w:rPr>
              <w:t>、灯管、风扇、抽烟机、排风扇、墙壁、抽烟机干净；无油污、灰尘、蜘蛛网；</w:t>
            </w:r>
          </w:p>
          <w:p w14:paraId="34D2F852">
            <w:pPr>
              <w:pStyle w:val="211"/>
              <w:widowControl w:val="0"/>
              <w:rPr>
                <w:color w:val="000000"/>
                <w:kern w:val="2"/>
                <w:sz w:val="24"/>
                <w:szCs w:val="24"/>
                <w:highlight w:val="none"/>
              </w:rPr>
            </w:pPr>
            <w:r>
              <w:rPr>
                <w:color w:val="000000"/>
                <w:kern w:val="2"/>
                <w:sz w:val="24"/>
                <w:szCs w:val="24"/>
                <w:highlight w:val="none"/>
              </w:rPr>
              <w:t>2</w:t>
            </w:r>
            <w:r>
              <w:rPr>
                <w:rFonts w:hint="eastAsia"/>
                <w:color w:val="000000"/>
                <w:kern w:val="2"/>
                <w:sz w:val="24"/>
                <w:szCs w:val="24"/>
                <w:highlight w:val="none"/>
              </w:rPr>
              <w:t>、各种蒸饭、煲汤炉具</w:t>
            </w:r>
            <w:r>
              <w:rPr>
                <w:rFonts w:hint="eastAsia"/>
                <w:color w:val="000000"/>
                <w:kern w:val="2"/>
                <w:sz w:val="24"/>
                <w:szCs w:val="24"/>
                <w:highlight w:val="none"/>
                <w:lang w:eastAsia="zh-CN"/>
              </w:rPr>
              <w:t>等设施</w:t>
            </w:r>
            <w:r>
              <w:rPr>
                <w:rFonts w:hint="eastAsia"/>
                <w:color w:val="000000"/>
                <w:kern w:val="2"/>
                <w:sz w:val="24"/>
                <w:szCs w:val="24"/>
                <w:highlight w:val="none"/>
              </w:rPr>
              <w:t>整洁、里外干净光亮、饭盘无饭粒；</w:t>
            </w:r>
          </w:p>
          <w:p w14:paraId="2915F46C">
            <w:pPr>
              <w:pStyle w:val="211"/>
              <w:widowControl w:val="0"/>
              <w:rPr>
                <w:color w:val="000000"/>
                <w:kern w:val="2"/>
                <w:sz w:val="24"/>
                <w:szCs w:val="24"/>
                <w:highlight w:val="none"/>
              </w:rPr>
            </w:pPr>
            <w:r>
              <w:rPr>
                <w:color w:val="000000"/>
                <w:kern w:val="2"/>
                <w:sz w:val="24"/>
                <w:szCs w:val="24"/>
                <w:highlight w:val="none"/>
              </w:rPr>
              <w:t>3</w:t>
            </w:r>
            <w:r>
              <w:rPr>
                <w:rFonts w:hint="eastAsia"/>
                <w:color w:val="000000"/>
                <w:kern w:val="2"/>
                <w:sz w:val="24"/>
                <w:szCs w:val="24"/>
                <w:highlight w:val="none"/>
              </w:rPr>
              <w:t>、工作间地面干净、无积水、无杂物；</w:t>
            </w:r>
          </w:p>
          <w:p w14:paraId="04BD3BA1">
            <w:pPr>
              <w:pStyle w:val="211"/>
              <w:widowControl w:val="0"/>
              <w:rPr>
                <w:color w:val="000000"/>
                <w:kern w:val="2"/>
                <w:sz w:val="24"/>
                <w:szCs w:val="24"/>
                <w:highlight w:val="none"/>
              </w:rPr>
            </w:pPr>
            <w:r>
              <w:rPr>
                <w:color w:val="000000"/>
                <w:kern w:val="2"/>
                <w:sz w:val="24"/>
                <w:szCs w:val="24"/>
                <w:highlight w:val="none"/>
              </w:rPr>
              <w:t>4</w:t>
            </w:r>
            <w:r>
              <w:rPr>
                <w:rFonts w:hint="eastAsia"/>
                <w:color w:val="000000"/>
                <w:kern w:val="2"/>
                <w:sz w:val="24"/>
                <w:szCs w:val="24"/>
                <w:highlight w:val="none"/>
              </w:rPr>
              <w:t>、货架经常擦拭，保持干净，各种刀具手套摆放整齐；</w:t>
            </w:r>
          </w:p>
          <w:p w14:paraId="46D34B0B">
            <w:pPr>
              <w:pStyle w:val="211"/>
              <w:widowControl w:val="0"/>
              <w:rPr>
                <w:color w:val="000000"/>
                <w:kern w:val="2"/>
                <w:sz w:val="24"/>
                <w:szCs w:val="24"/>
                <w:highlight w:val="none"/>
              </w:rPr>
            </w:pPr>
            <w:r>
              <w:rPr>
                <w:color w:val="000000"/>
                <w:kern w:val="2"/>
                <w:sz w:val="24"/>
                <w:szCs w:val="24"/>
                <w:highlight w:val="none"/>
              </w:rPr>
              <w:t>5</w:t>
            </w:r>
            <w:r>
              <w:rPr>
                <w:rFonts w:hint="eastAsia"/>
                <w:color w:val="000000"/>
                <w:kern w:val="2"/>
                <w:sz w:val="24"/>
                <w:szCs w:val="24"/>
                <w:highlight w:val="none"/>
              </w:rPr>
              <w:t>、操作台、灶台及售饭台干净整洁；</w:t>
            </w:r>
          </w:p>
          <w:p w14:paraId="633A9865">
            <w:pPr>
              <w:pStyle w:val="211"/>
              <w:widowControl w:val="0"/>
              <w:rPr>
                <w:color w:val="000000"/>
                <w:kern w:val="2"/>
                <w:sz w:val="24"/>
                <w:szCs w:val="24"/>
                <w:highlight w:val="none"/>
              </w:rPr>
            </w:pPr>
            <w:r>
              <w:rPr>
                <w:color w:val="000000"/>
                <w:kern w:val="2"/>
                <w:sz w:val="24"/>
                <w:szCs w:val="24"/>
                <w:highlight w:val="none"/>
              </w:rPr>
              <w:t>6</w:t>
            </w:r>
            <w:r>
              <w:rPr>
                <w:rFonts w:hint="eastAsia"/>
                <w:color w:val="000000"/>
                <w:kern w:val="2"/>
                <w:sz w:val="24"/>
                <w:szCs w:val="24"/>
                <w:highlight w:val="none"/>
              </w:rPr>
              <w:t>、洗菜池、餐具、热食容器定期消毒并保持清洁，做到“一洗二净三冲四消毒。”</w:t>
            </w:r>
          </w:p>
          <w:p w14:paraId="7BB9F5BE">
            <w:pPr>
              <w:pStyle w:val="222"/>
              <w:widowControl w:val="0"/>
              <w:spacing w:after="0"/>
              <w:ind w:firstLine="0"/>
              <w:rPr>
                <w:color w:val="000000"/>
                <w:kern w:val="2"/>
                <w:sz w:val="24"/>
                <w:szCs w:val="24"/>
                <w:highlight w:val="none"/>
              </w:rPr>
            </w:pPr>
            <w:r>
              <w:rPr>
                <w:color w:val="000000"/>
                <w:kern w:val="2"/>
                <w:sz w:val="24"/>
                <w:szCs w:val="24"/>
                <w:highlight w:val="none"/>
              </w:rPr>
              <w:t>7</w:t>
            </w:r>
            <w:r>
              <w:rPr>
                <w:rFonts w:hint="eastAsia"/>
                <w:color w:val="000000"/>
                <w:kern w:val="2"/>
                <w:sz w:val="24"/>
                <w:szCs w:val="24"/>
                <w:highlight w:val="none"/>
              </w:rPr>
              <w:t>、各种机器设备保持整洁，标识清晰，无人为损坏；</w:t>
            </w:r>
          </w:p>
          <w:p w14:paraId="1653DBD0">
            <w:pPr>
              <w:pStyle w:val="222"/>
              <w:widowControl w:val="0"/>
              <w:spacing w:after="0"/>
              <w:ind w:firstLine="0"/>
              <w:rPr>
                <w:color w:val="000000"/>
                <w:kern w:val="2"/>
                <w:sz w:val="24"/>
                <w:szCs w:val="24"/>
                <w:highlight w:val="none"/>
              </w:rPr>
            </w:pPr>
            <w:r>
              <w:rPr>
                <w:color w:val="000000"/>
                <w:kern w:val="2"/>
                <w:sz w:val="24"/>
                <w:szCs w:val="24"/>
                <w:highlight w:val="none"/>
              </w:rPr>
              <w:t>8</w:t>
            </w:r>
            <w:r>
              <w:rPr>
                <w:rFonts w:hint="eastAsia"/>
                <w:color w:val="000000"/>
                <w:kern w:val="2"/>
                <w:sz w:val="24"/>
                <w:szCs w:val="24"/>
                <w:highlight w:val="none"/>
              </w:rPr>
              <w:t>、冰箱责任落实到人，外表整洁、生熟分开、标识清晰。</w:t>
            </w:r>
          </w:p>
          <w:p w14:paraId="28D359B8">
            <w:pPr>
              <w:pStyle w:val="222"/>
              <w:widowControl w:val="0"/>
              <w:spacing w:after="0"/>
              <w:ind w:firstLine="0"/>
              <w:rPr>
                <w:color w:val="000000"/>
                <w:kern w:val="2"/>
                <w:sz w:val="24"/>
                <w:szCs w:val="24"/>
                <w:highlight w:val="none"/>
              </w:rPr>
            </w:pPr>
            <w:r>
              <w:rPr>
                <w:color w:val="000000"/>
                <w:kern w:val="2"/>
                <w:sz w:val="24"/>
                <w:szCs w:val="24"/>
                <w:highlight w:val="none"/>
              </w:rPr>
              <w:t>9</w:t>
            </w:r>
            <w:r>
              <w:rPr>
                <w:rFonts w:hint="eastAsia"/>
                <w:color w:val="000000"/>
                <w:kern w:val="2"/>
                <w:sz w:val="24"/>
                <w:szCs w:val="24"/>
                <w:highlight w:val="none"/>
              </w:rPr>
              <w:t>、做好四害防治。</w:t>
            </w:r>
          </w:p>
        </w:tc>
        <w:tc>
          <w:tcPr>
            <w:tcW w:w="1939" w:type="dxa"/>
            <w:tcBorders>
              <w:top w:val="single" w:color="000000" w:sz="4" w:space="0"/>
              <w:left w:val="single" w:color="000000" w:sz="4" w:space="0"/>
              <w:bottom w:val="single" w:color="000000" w:sz="4" w:space="0"/>
              <w:right w:val="single" w:color="000000" w:sz="4" w:space="0"/>
            </w:tcBorders>
            <w:vAlign w:val="center"/>
          </w:tcPr>
          <w:p w14:paraId="554F7FD1">
            <w:pPr>
              <w:pStyle w:val="211"/>
              <w:widowControl w:val="0"/>
              <w:jc w:val="center"/>
              <w:rPr>
                <w:color w:val="000000"/>
                <w:kern w:val="2"/>
                <w:sz w:val="24"/>
                <w:szCs w:val="24"/>
                <w:highlight w:val="none"/>
              </w:rPr>
            </w:pPr>
            <w:r>
              <w:rPr>
                <w:rFonts w:hint="eastAsia"/>
                <w:color w:val="000000"/>
                <w:spacing w:val="-7"/>
                <w:kern w:val="2"/>
                <w:sz w:val="24"/>
                <w:szCs w:val="24"/>
                <w:highlight w:val="none"/>
              </w:rPr>
              <w:t>有一项不清洁扣</w:t>
            </w:r>
            <w:r>
              <w:rPr>
                <w:color w:val="000000"/>
                <w:kern w:val="2"/>
                <w:sz w:val="24"/>
                <w:szCs w:val="24"/>
                <w:highlight w:val="none"/>
              </w:rPr>
              <w:t>1</w:t>
            </w:r>
            <w:r>
              <w:rPr>
                <w:rFonts w:hint="eastAsia"/>
                <w:color w:val="000000"/>
                <w:spacing w:val="-18"/>
                <w:kern w:val="2"/>
                <w:sz w:val="24"/>
                <w:szCs w:val="24"/>
                <w:highlight w:val="none"/>
              </w:rPr>
              <w:t>分；</w:t>
            </w:r>
          </w:p>
          <w:p w14:paraId="7524C37C">
            <w:pPr>
              <w:pStyle w:val="222"/>
              <w:widowControl w:val="0"/>
              <w:spacing w:after="0"/>
              <w:ind w:firstLine="0"/>
              <w:jc w:val="center"/>
              <w:rPr>
                <w:color w:val="000000"/>
                <w:spacing w:val="-15"/>
                <w:kern w:val="2"/>
                <w:sz w:val="24"/>
                <w:szCs w:val="24"/>
                <w:highlight w:val="none"/>
              </w:rPr>
            </w:pPr>
            <w:r>
              <w:rPr>
                <w:rFonts w:hint="eastAsia"/>
                <w:color w:val="000000"/>
                <w:spacing w:val="-12"/>
                <w:kern w:val="2"/>
                <w:sz w:val="24"/>
                <w:szCs w:val="24"/>
                <w:highlight w:val="none"/>
              </w:rPr>
              <w:t>无消毒扣</w:t>
            </w:r>
            <w:r>
              <w:rPr>
                <w:color w:val="000000"/>
                <w:kern w:val="2"/>
                <w:sz w:val="24"/>
                <w:szCs w:val="24"/>
                <w:highlight w:val="none"/>
              </w:rPr>
              <w:t>2</w:t>
            </w:r>
            <w:r>
              <w:rPr>
                <w:rFonts w:hint="eastAsia"/>
                <w:color w:val="000000"/>
                <w:spacing w:val="-15"/>
                <w:kern w:val="2"/>
                <w:sz w:val="24"/>
                <w:szCs w:val="24"/>
                <w:highlight w:val="none"/>
              </w:rPr>
              <w:t>分；</w:t>
            </w:r>
          </w:p>
          <w:p w14:paraId="1785A22C">
            <w:pPr>
              <w:pStyle w:val="222"/>
              <w:widowControl w:val="0"/>
              <w:spacing w:after="0"/>
              <w:ind w:firstLine="0"/>
              <w:jc w:val="center"/>
              <w:rPr>
                <w:rFonts w:eastAsia="宋体"/>
                <w:color w:val="000000"/>
                <w:spacing w:val="21"/>
                <w:kern w:val="2"/>
                <w:sz w:val="24"/>
                <w:szCs w:val="24"/>
                <w:highlight w:val="none"/>
              </w:rPr>
            </w:pPr>
            <w:r>
              <w:rPr>
                <w:rFonts w:hint="eastAsia"/>
                <w:color w:val="000000"/>
                <w:spacing w:val="-15"/>
                <w:kern w:val="2"/>
                <w:sz w:val="24"/>
                <w:szCs w:val="24"/>
                <w:highlight w:val="none"/>
              </w:rPr>
              <w:t>不按食</w:t>
            </w:r>
            <w:r>
              <w:rPr>
                <w:rFonts w:hint="eastAsia"/>
                <w:color w:val="000000"/>
                <w:spacing w:val="19"/>
                <w:kern w:val="2"/>
                <w:sz w:val="24"/>
                <w:szCs w:val="24"/>
                <w:highlight w:val="none"/>
              </w:rPr>
              <w:t>品安全、操作规范等工作规定执行</w:t>
            </w:r>
            <w:r>
              <w:rPr>
                <w:rFonts w:hint="eastAsia"/>
                <w:color w:val="000000"/>
                <w:spacing w:val="-27"/>
                <w:kern w:val="2"/>
                <w:sz w:val="24"/>
                <w:szCs w:val="24"/>
                <w:highlight w:val="none"/>
              </w:rPr>
              <w:t>扣</w:t>
            </w:r>
            <w:r>
              <w:rPr>
                <w:color w:val="000000"/>
                <w:kern w:val="2"/>
                <w:sz w:val="24"/>
                <w:szCs w:val="24"/>
                <w:highlight w:val="none"/>
              </w:rPr>
              <w:t>2</w:t>
            </w:r>
            <w:r>
              <w:rPr>
                <w:rFonts w:hint="eastAsia"/>
                <w:color w:val="000000"/>
                <w:spacing w:val="-18"/>
                <w:kern w:val="2"/>
                <w:sz w:val="24"/>
                <w:szCs w:val="24"/>
                <w:highlight w:val="none"/>
              </w:rPr>
              <w:t>分；发现苍蝇老鼠一次扣</w:t>
            </w:r>
            <w:r>
              <w:rPr>
                <w:color w:val="000000"/>
                <w:spacing w:val="-18"/>
                <w:kern w:val="2"/>
                <w:sz w:val="24"/>
                <w:szCs w:val="24"/>
                <w:highlight w:val="none"/>
              </w:rPr>
              <w:t>3</w:t>
            </w:r>
            <w:r>
              <w:rPr>
                <w:rFonts w:hint="eastAsia"/>
                <w:color w:val="000000"/>
                <w:spacing w:val="-18"/>
                <w:kern w:val="2"/>
                <w:sz w:val="24"/>
                <w:szCs w:val="24"/>
                <w:highlight w:val="none"/>
              </w:rPr>
              <w:t>分。</w:t>
            </w:r>
          </w:p>
        </w:tc>
        <w:tc>
          <w:tcPr>
            <w:tcW w:w="737" w:type="dxa"/>
            <w:tcBorders>
              <w:top w:val="single" w:color="000000" w:sz="4" w:space="0"/>
              <w:left w:val="single" w:color="000000" w:sz="4" w:space="0"/>
              <w:bottom w:val="single" w:color="000000" w:sz="4" w:space="0"/>
              <w:right w:val="single" w:color="000000" w:sz="4" w:space="0"/>
            </w:tcBorders>
            <w:vAlign w:val="center"/>
          </w:tcPr>
          <w:p w14:paraId="4F555A12">
            <w:pPr>
              <w:pStyle w:val="222"/>
              <w:widowControl w:val="0"/>
              <w:spacing w:after="0"/>
              <w:ind w:firstLine="0"/>
              <w:jc w:val="center"/>
              <w:rPr>
                <w:rFonts w:eastAsia="宋体"/>
                <w:color w:val="000000"/>
                <w:kern w:val="2"/>
                <w:sz w:val="24"/>
                <w:szCs w:val="24"/>
                <w:highlight w:val="none"/>
              </w:rPr>
            </w:pPr>
            <w:r>
              <w:rPr>
                <w:color w:val="000000"/>
                <w:kern w:val="2"/>
                <w:sz w:val="24"/>
                <w:szCs w:val="24"/>
                <w:highlight w:val="none"/>
              </w:rPr>
              <w:t>11</w:t>
            </w:r>
          </w:p>
        </w:tc>
      </w:tr>
      <w:tr w14:paraId="1C5944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vAlign w:val="center"/>
          </w:tcPr>
          <w:p w14:paraId="0A643996">
            <w:pPr>
              <w:rPr>
                <w:color w:val="000000"/>
                <w:kern w:val="2"/>
                <w:sz w:val="24"/>
                <w:szCs w:val="24"/>
                <w:highlight w:val="none"/>
              </w:rPr>
            </w:pPr>
          </w:p>
        </w:tc>
        <w:tc>
          <w:tcPr>
            <w:tcW w:w="778" w:type="dxa"/>
            <w:tcBorders>
              <w:top w:val="single" w:color="000000" w:sz="4" w:space="0"/>
              <w:left w:val="single" w:color="000000" w:sz="4" w:space="0"/>
              <w:bottom w:val="single" w:color="000000" w:sz="4" w:space="0"/>
              <w:right w:val="single" w:color="000000" w:sz="4" w:space="0"/>
            </w:tcBorders>
            <w:vAlign w:val="center"/>
          </w:tcPr>
          <w:p w14:paraId="457C9679">
            <w:pPr>
              <w:pStyle w:val="222"/>
              <w:widowControl w:val="0"/>
              <w:spacing w:after="0"/>
              <w:ind w:firstLine="0"/>
              <w:jc w:val="center"/>
              <w:rPr>
                <w:color w:val="000000"/>
                <w:kern w:val="2"/>
                <w:sz w:val="24"/>
                <w:szCs w:val="24"/>
                <w:highlight w:val="none"/>
              </w:rPr>
            </w:pPr>
            <w:r>
              <w:rPr>
                <w:rFonts w:hint="eastAsia"/>
                <w:color w:val="000000"/>
                <w:kern w:val="2"/>
                <w:sz w:val="24"/>
                <w:szCs w:val="24"/>
                <w:highlight w:val="none"/>
              </w:rPr>
              <w:t>餐厅</w:t>
            </w:r>
          </w:p>
        </w:tc>
        <w:tc>
          <w:tcPr>
            <w:tcW w:w="4770" w:type="dxa"/>
            <w:tcBorders>
              <w:top w:val="single" w:color="000000" w:sz="4" w:space="0"/>
              <w:left w:val="single" w:color="000000" w:sz="4" w:space="0"/>
              <w:bottom w:val="single" w:color="000000" w:sz="4" w:space="0"/>
              <w:right w:val="single" w:color="000000" w:sz="4" w:space="0"/>
            </w:tcBorders>
            <w:vAlign w:val="center"/>
          </w:tcPr>
          <w:p w14:paraId="22B57B21">
            <w:pPr>
              <w:pStyle w:val="211"/>
              <w:widowControl w:val="0"/>
              <w:rPr>
                <w:color w:val="000000"/>
                <w:kern w:val="2"/>
                <w:sz w:val="24"/>
                <w:szCs w:val="24"/>
                <w:highlight w:val="none"/>
              </w:rPr>
            </w:pPr>
            <w:r>
              <w:rPr>
                <w:color w:val="000000"/>
                <w:kern w:val="2"/>
                <w:sz w:val="24"/>
                <w:szCs w:val="24"/>
                <w:highlight w:val="none"/>
              </w:rPr>
              <w:t>1</w:t>
            </w:r>
            <w:r>
              <w:rPr>
                <w:rFonts w:hint="eastAsia"/>
                <w:color w:val="000000"/>
                <w:kern w:val="2"/>
                <w:sz w:val="24"/>
                <w:szCs w:val="24"/>
                <w:highlight w:val="none"/>
              </w:rPr>
              <w:t>、餐厅地面每日清扫，台面、墙面、地面清洁；</w:t>
            </w:r>
          </w:p>
          <w:p w14:paraId="7D187180">
            <w:pPr>
              <w:pStyle w:val="211"/>
              <w:widowControl w:val="0"/>
              <w:rPr>
                <w:color w:val="000000"/>
                <w:kern w:val="2"/>
                <w:sz w:val="24"/>
                <w:szCs w:val="24"/>
                <w:highlight w:val="none"/>
              </w:rPr>
            </w:pPr>
            <w:r>
              <w:rPr>
                <w:color w:val="000000"/>
                <w:kern w:val="2"/>
                <w:sz w:val="24"/>
                <w:szCs w:val="24"/>
                <w:highlight w:val="none"/>
              </w:rPr>
              <w:t>2</w:t>
            </w:r>
            <w:r>
              <w:rPr>
                <w:rFonts w:hint="eastAsia"/>
                <w:color w:val="000000"/>
                <w:kern w:val="2"/>
                <w:sz w:val="24"/>
                <w:szCs w:val="24"/>
                <w:highlight w:val="none"/>
              </w:rPr>
              <w:t>、餐桌摆成一条线，</w:t>
            </w:r>
            <w:r>
              <w:rPr>
                <w:rFonts w:hint="eastAsia"/>
                <w:color w:val="000000"/>
                <w:kern w:val="2"/>
                <w:sz w:val="24"/>
                <w:szCs w:val="24"/>
                <w:highlight w:val="none"/>
                <w:lang w:eastAsia="zh-CN"/>
              </w:rPr>
              <w:t>餐桌、餐具</w:t>
            </w:r>
            <w:r>
              <w:rPr>
                <w:rFonts w:hint="eastAsia"/>
                <w:color w:val="000000"/>
                <w:kern w:val="2"/>
                <w:sz w:val="24"/>
                <w:szCs w:val="24"/>
                <w:highlight w:val="none"/>
              </w:rPr>
              <w:t>干净整洁无污渍；</w:t>
            </w:r>
          </w:p>
          <w:p w14:paraId="33BEA270">
            <w:pPr>
              <w:pStyle w:val="222"/>
              <w:widowControl w:val="0"/>
              <w:spacing w:after="0"/>
              <w:ind w:firstLine="0"/>
              <w:rPr>
                <w:color w:val="000000"/>
                <w:kern w:val="2"/>
                <w:sz w:val="24"/>
                <w:szCs w:val="24"/>
                <w:highlight w:val="none"/>
              </w:rPr>
            </w:pPr>
            <w:r>
              <w:rPr>
                <w:color w:val="000000"/>
                <w:kern w:val="2"/>
                <w:sz w:val="24"/>
                <w:szCs w:val="24"/>
                <w:highlight w:val="none"/>
              </w:rPr>
              <w:t>3</w:t>
            </w:r>
            <w:r>
              <w:rPr>
                <w:rFonts w:hint="eastAsia"/>
                <w:color w:val="000000"/>
                <w:kern w:val="2"/>
                <w:sz w:val="24"/>
                <w:szCs w:val="24"/>
                <w:highlight w:val="none"/>
              </w:rPr>
              <w:t>、餐具干净，餐余回收处干燥整洁无残渣；</w:t>
            </w:r>
          </w:p>
          <w:p w14:paraId="7AF294B7">
            <w:pPr>
              <w:pStyle w:val="222"/>
              <w:widowControl w:val="0"/>
              <w:spacing w:after="0"/>
              <w:ind w:firstLine="0"/>
              <w:rPr>
                <w:color w:val="000000"/>
                <w:kern w:val="2"/>
                <w:sz w:val="24"/>
                <w:szCs w:val="24"/>
                <w:highlight w:val="none"/>
              </w:rPr>
            </w:pPr>
            <w:r>
              <w:rPr>
                <w:color w:val="000000"/>
                <w:kern w:val="2"/>
                <w:sz w:val="24"/>
                <w:szCs w:val="24"/>
                <w:highlight w:val="none"/>
              </w:rPr>
              <w:t>4</w:t>
            </w:r>
            <w:r>
              <w:rPr>
                <w:rFonts w:hint="eastAsia"/>
                <w:color w:val="000000"/>
                <w:kern w:val="2"/>
                <w:sz w:val="24"/>
                <w:szCs w:val="24"/>
                <w:highlight w:val="none"/>
              </w:rPr>
              <w:t>、用餐期间及时清理桌面。</w:t>
            </w:r>
          </w:p>
          <w:p w14:paraId="7F7E7122">
            <w:pPr>
              <w:pStyle w:val="222"/>
              <w:widowControl w:val="0"/>
              <w:spacing w:after="0"/>
              <w:ind w:firstLine="0"/>
              <w:rPr>
                <w:rFonts w:eastAsia="宋体"/>
                <w:color w:val="000000"/>
                <w:kern w:val="2"/>
                <w:sz w:val="24"/>
                <w:szCs w:val="24"/>
                <w:highlight w:val="none"/>
              </w:rPr>
            </w:pPr>
            <w:r>
              <w:rPr>
                <w:color w:val="000000"/>
                <w:kern w:val="2"/>
                <w:sz w:val="24"/>
                <w:szCs w:val="24"/>
                <w:highlight w:val="none"/>
              </w:rPr>
              <w:t>5</w:t>
            </w:r>
            <w:r>
              <w:rPr>
                <w:rFonts w:hint="eastAsia"/>
                <w:color w:val="000000"/>
                <w:kern w:val="2"/>
                <w:sz w:val="24"/>
                <w:szCs w:val="24"/>
                <w:highlight w:val="none"/>
              </w:rPr>
              <w:t>、做好四害防治。</w:t>
            </w:r>
          </w:p>
        </w:tc>
        <w:tc>
          <w:tcPr>
            <w:tcW w:w="1939" w:type="dxa"/>
            <w:tcBorders>
              <w:top w:val="single" w:color="000000" w:sz="4" w:space="0"/>
              <w:left w:val="single" w:color="000000" w:sz="4" w:space="0"/>
              <w:bottom w:val="single" w:color="000000" w:sz="4" w:space="0"/>
              <w:right w:val="single" w:color="000000" w:sz="4" w:space="0"/>
            </w:tcBorders>
            <w:vAlign w:val="center"/>
          </w:tcPr>
          <w:p w14:paraId="5E0D66CE">
            <w:pPr>
              <w:pStyle w:val="222"/>
              <w:widowControl w:val="0"/>
              <w:spacing w:after="0"/>
              <w:ind w:firstLine="0"/>
              <w:jc w:val="center"/>
              <w:rPr>
                <w:rFonts w:eastAsia="宋体"/>
                <w:color w:val="000000"/>
                <w:spacing w:val="21"/>
                <w:kern w:val="2"/>
                <w:sz w:val="24"/>
                <w:szCs w:val="24"/>
                <w:highlight w:val="none"/>
              </w:rPr>
            </w:pPr>
            <w:r>
              <w:rPr>
                <w:rFonts w:hint="eastAsia"/>
                <w:color w:val="000000"/>
                <w:kern w:val="2"/>
                <w:sz w:val="24"/>
                <w:szCs w:val="24"/>
                <w:highlight w:val="none"/>
              </w:rPr>
              <w:t>前四条发现一次扣</w:t>
            </w:r>
            <w:r>
              <w:rPr>
                <w:color w:val="000000"/>
                <w:kern w:val="2"/>
                <w:sz w:val="24"/>
                <w:szCs w:val="24"/>
                <w:highlight w:val="none"/>
              </w:rPr>
              <w:t>2</w:t>
            </w:r>
            <w:r>
              <w:rPr>
                <w:rFonts w:hint="eastAsia"/>
                <w:color w:val="000000"/>
                <w:kern w:val="2"/>
                <w:sz w:val="24"/>
                <w:szCs w:val="24"/>
                <w:highlight w:val="none"/>
              </w:rPr>
              <w:t>分，第五条发现一次扣</w:t>
            </w:r>
            <w:r>
              <w:rPr>
                <w:color w:val="000000"/>
                <w:kern w:val="2"/>
                <w:sz w:val="24"/>
                <w:szCs w:val="24"/>
                <w:highlight w:val="none"/>
              </w:rPr>
              <w:t>3</w:t>
            </w:r>
            <w:r>
              <w:rPr>
                <w:rFonts w:hint="eastAsia"/>
                <w:color w:val="000000"/>
                <w:kern w:val="2"/>
                <w:sz w:val="24"/>
                <w:szCs w:val="24"/>
                <w:highlight w:val="none"/>
              </w:rPr>
              <w:t>分。</w:t>
            </w:r>
          </w:p>
        </w:tc>
        <w:tc>
          <w:tcPr>
            <w:tcW w:w="737" w:type="dxa"/>
            <w:tcBorders>
              <w:top w:val="single" w:color="000000" w:sz="4" w:space="0"/>
              <w:left w:val="single" w:color="000000" w:sz="4" w:space="0"/>
              <w:bottom w:val="single" w:color="000000" w:sz="4" w:space="0"/>
              <w:right w:val="single" w:color="000000" w:sz="4" w:space="0"/>
            </w:tcBorders>
            <w:vAlign w:val="center"/>
          </w:tcPr>
          <w:p w14:paraId="1B8A3FE8">
            <w:pPr>
              <w:pStyle w:val="222"/>
              <w:widowControl w:val="0"/>
              <w:spacing w:after="0"/>
              <w:ind w:firstLine="0"/>
              <w:jc w:val="center"/>
              <w:rPr>
                <w:rFonts w:eastAsia="宋体"/>
                <w:color w:val="000000"/>
                <w:kern w:val="2"/>
                <w:sz w:val="24"/>
                <w:szCs w:val="24"/>
                <w:highlight w:val="none"/>
              </w:rPr>
            </w:pPr>
            <w:r>
              <w:rPr>
                <w:color w:val="000000"/>
                <w:kern w:val="2"/>
                <w:sz w:val="24"/>
                <w:szCs w:val="24"/>
                <w:highlight w:val="none"/>
              </w:rPr>
              <w:t>5</w:t>
            </w:r>
          </w:p>
        </w:tc>
      </w:tr>
      <w:tr w14:paraId="30887F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vAlign w:val="center"/>
          </w:tcPr>
          <w:p w14:paraId="4283E51C">
            <w:pPr>
              <w:rPr>
                <w:color w:val="000000"/>
                <w:kern w:val="2"/>
                <w:sz w:val="24"/>
                <w:szCs w:val="24"/>
                <w:highlight w:val="none"/>
              </w:rPr>
            </w:pPr>
          </w:p>
        </w:tc>
        <w:tc>
          <w:tcPr>
            <w:tcW w:w="778" w:type="dxa"/>
            <w:tcBorders>
              <w:top w:val="single" w:color="000000" w:sz="4" w:space="0"/>
              <w:left w:val="single" w:color="000000" w:sz="4" w:space="0"/>
              <w:bottom w:val="single" w:color="000000" w:sz="4" w:space="0"/>
              <w:right w:val="single" w:color="000000" w:sz="4" w:space="0"/>
            </w:tcBorders>
            <w:vAlign w:val="center"/>
          </w:tcPr>
          <w:p w14:paraId="6F012D4A">
            <w:pPr>
              <w:pStyle w:val="222"/>
              <w:widowControl w:val="0"/>
              <w:spacing w:after="0"/>
              <w:ind w:firstLine="0"/>
              <w:jc w:val="center"/>
              <w:rPr>
                <w:color w:val="000000"/>
                <w:kern w:val="2"/>
                <w:sz w:val="24"/>
                <w:szCs w:val="24"/>
                <w:highlight w:val="none"/>
              </w:rPr>
            </w:pPr>
            <w:r>
              <w:rPr>
                <w:rFonts w:hint="eastAsia"/>
                <w:color w:val="000000"/>
                <w:kern w:val="2"/>
                <w:sz w:val="24"/>
                <w:szCs w:val="24"/>
                <w:highlight w:val="none"/>
              </w:rPr>
              <w:t>库房</w:t>
            </w:r>
          </w:p>
        </w:tc>
        <w:tc>
          <w:tcPr>
            <w:tcW w:w="4770" w:type="dxa"/>
            <w:tcBorders>
              <w:top w:val="single" w:color="000000" w:sz="4" w:space="0"/>
              <w:left w:val="single" w:color="000000" w:sz="4" w:space="0"/>
              <w:bottom w:val="single" w:color="000000" w:sz="4" w:space="0"/>
              <w:right w:val="single" w:color="000000" w:sz="4" w:space="0"/>
            </w:tcBorders>
            <w:vAlign w:val="center"/>
          </w:tcPr>
          <w:p w14:paraId="66C6EEC3">
            <w:pPr>
              <w:pStyle w:val="211"/>
              <w:widowControl w:val="0"/>
              <w:rPr>
                <w:color w:val="000000"/>
                <w:kern w:val="2"/>
                <w:sz w:val="24"/>
                <w:szCs w:val="24"/>
                <w:highlight w:val="none"/>
              </w:rPr>
            </w:pPr>
            <w:r>
              <w:rPr>
                <w:color w:val="000000"/>
                <w:kern w:val="2"/>
                <w:sz w:val="24"/>
                <w:szCs w:val="24"/>
                <w:highlight w:val="none"/>
              </w:rPr>
              <w:t>1</w:t>
            </w:r>
            <w:r>
              <w:rPr>
                <w:rFonts w:hint="eastAsia"/>
                <w:color w:val="000000"/>
                <w:kern w:val="2"/>
                <w:sz w:val="24"/>
                <w:szCs w:val="24"/>
                <w:highlight w:val="none"/>
              </w:rPr>
              <w:t>、地面、</w:t>
            </w:r>
            <w:r>
              <w:rPr>
                <w:rFonts w:hint="eastAsia"/>
                <w:color w:val="000000"/>
                <w:kern w:val="2"/>
                <w:sz w:val="24"/>
                <w:szCs w:val="24"/>
                <w:highlight w:val="none"/>
                <w:lang w:eastAsia="zh-CN"/>
              </w:rPr>
              <w:t>货架</w:t>
            </w:r>
            <w:r>
              <w:rPr>
                <w:rFonts w:hint="eastAsia"/>
                <w:color w:val="000000"/>
                <w:kern w:val="2"/>
                <w:sz w:val="24"/>
                <w:szCs w:val="24"/>
                <w:highlight w:val="none"/>
              </w:rPr>
              <w:t>保持清洁；</w:t>
            </w:r>
          </w:p>
          <w:p w14:paraId="7022FD0A">
            <w:pPr>
              <w:pStyle w:val="211"/>
              <w:widowControl w:val="0"/>
              <w:rPr>
                <w:color w:val="000000"/>
                <w:kern w:val="2"/>
                <w:sz w:val="24"/>
                <w:szCs w:val="24"/>
                <w:highlight w:val="none"/>
              </w:rPr>
            </w:pPr>
            <w:r>
              <w:rPr>
                <w:color w:val="000000"/>
                <w:kern w:val="2"/>
                <w:sz w:val="24"/>
                <w:szCs w:val="24"/>
                <w:highlight w:val="none"/>
              </w:rPr>
              <w:t>2</w:t>
            </w:r>
            <w:r>
              <w:rPr>
                <w:rFonts w:hint="eastAsia"/>
                <w:color w:val="000000"/>
                <w:kern w:val="2"/>
                <w:sz w:val="24"/>
                <w:szCs w:val="24"/>
                <w:highlight w:val="none"/>
              </w:rPr>
              <w:t>、所有食物必须上架，未用完的封口封箱、贴标识，禁止随意摆放；</w:t>
            </w:r>
          </w:p>
          <w:p w14:paraId="042CECB8">
            <w:pPr>
              <w:pStyle w:val="211"/>
              <w:widowControl w:val="0"/>
              <w:rPr>
                <w:color w:val="000000"/>
                <w:kern w:val="2"/>
                <w:sz w:val="24"/>
                <w:szCs w:val="24"/>
                <w:highlight w:val="none"/>
              </w:rPr>
            </w:pPr>
            <w:r>
              <w:rPr>
                <w:color w:val="000000"/>
                <w:kern w:val="2"/>
                <w:sz w:val="24"/>
                <w:szCs w:val="24"/>
                <w:highlight w:val="none"/>
              </w:rPr>
              <w:t>3</w:t>
            </w:r>
            <w:r>
              <w:rPr>
                <w:rFonts w:hint="eastAsia"/>
                <w:color w:val="000000"/>
                <w:kern w:val="2"/>
                <w:sz w:val="24"/>
                <w:szCs w:val="24"/>
                <w:highlight w:val="none"/>
              </w:rPr>
              <w:t>、夏季须保持通风透气，库房无异味，无蜘蛛、鼠患；</w:t>
            </w:r>
          </w:p>
          <w:p w14:paraId="297A4C83">
            <w:pPr>
              <w:pStyle w:val="211"/>
              <w:widowControl w:val="0"/>
              <w:rPr>
                <w:color w:val="000000"/>
                <w:kern w:val="2"/>
                <w:sz w:val="24"/>
                <w:szCs w:val="24"/>
                <w:highlight w:val="none"/>
              </w:rPr>
            </w:pPr>
            <w:r>
              <w:rPr>
                <w:color w:val="000000"/>
                <w:kern w:val="2"/>
                <w:sz w:val="24"/>
                <w:szCs w:val="24"/>
                <w:highlight w:val="none"/>
              </w:rPr>
              <w:t>4</w:t>
            </w:r>
            <w:r>
              <w:rPr>
                <w:rFonts w:hint="eastAsia"/>
                <w:color w:val="000000"/>
                <w:kern w:val="2"/>
                <w:sz w:val="24"/>
                <w:szCs w:val="24"/>
                <w:highlight w:val="none"/>
              </w:rPr>
              <w:t>、</w:t>
            </w:r>
            <w:bookmarkStart w:id="89" w:name="OLE_LINK8"/>
            <w:r>
              <w:rPr>
                <w:rFonts w:hint="eastAsia"/>
                <w:color w:val="000000"/>
                <w:kern w:val="2"/>
                <w:sz w:val="24"/>
                <w:szCs w:val="24"/>
                <w:highlight w:val="none"/>
              </w:rPr>
              <w:t>冰箱责任落实到人，标志、温控清楚；外表整洁、生熟分开、标识清晰。</w:t>
            </w:r>
            <w:bookmarkEnd w:id="89"/>
          </w:p>
        </w:tc>
        <w:tc>
          <w:tcPr>
            <w:tcW w:w="1939" w:type="dxa"/>
            <w:tcBorders>
              <w:top w:val="single" w:color="000000" w:sz="4" w:space="0"/>
              <w:left w:val="single" w:color="000000" w:sz="4" w:space="0"/>
              <w:bottom w:val="single" w:color="000000" w:sz="4" w:space="0"/>
              <w:right w:val="single" w:color="000000" w:sz="4" w:space="0"/>
            </w:tcBorders>
            <w:vAlign w:val="center"/>
          </w:tcPr>
          <w:p w14:paraId="7E9DCDD8">
            <w:pPr>
              <w:pStyle w:val="222"/>
              <w:widowControl w:val="0"/>
              <w:spacing w:after="0"/>
              <w:ind w:firstLine="0"/>
              <w:jc w:val="center"/>
              <w:rPr>
                <w:color w:val="000000"/>
                <w:spacing w:val="21"/>
                <w:kern w:val="2"/>
                <w:sz w:val="24"/>
                <w:szCs w:val="24"/>
                <w:highlight w:val="none"/>
              </w:rPr>
            </w:pPr>
            <w:r>
              <w:rPr>
                <w:rFonts w:hint="eastAsia"/>
                <w:color w:val="000000"/>
                <w:kern w:val="2"/>
                <w:sz w:val="24"/>
                <w:szCs w:val="24"/>
                <w:highlight w:val="none"/>
              </w:rPr>
              <w:t>发现一次扣</w:t>
            </w:r>
            <w:r>
              <w:rPr>
                <w:color w:val="000000"/>
                <w:kern w:val="2"/>
                <w:sz w:val="24"/>
                <w:szCs w:val="24"/>
                <w:highlight w:val="none"/>
              </w:rPr>
              <w:t>1</w:t>
            </w:r>
            <w:r>
              <w:rPr>
                <w:rFonts w:hint="eastAsia"/>
                <w:color w:val="000000"/>
                <w:kern w:val="2"/>
                <w:sz w:val="24"/>
                <w:szCs w:val="24"/>
                <w:highlight w:val="none"/>
              </w:rPr>
              <w:t>分；</w:t>
            </w:r>
          </w:p>
        </w:tc>
        <w:tc>
          <w:tcPr>
            <w:tcW w:w="737" w:type="dxa"/>
            <w:tcBorders>
              <w:top w:val="single" w:color="000000" w:sz="4" w:space="0"/>
              <w:left w:val="single" w:color="000000" w:sz="4" w:space="0"/>
              <w:bottom w:val="single" w:color="000000" w:sz="4" w:space="0"/>
              <w:right w:val="single" w:color="000000" w:sz="4" w:space="0"/>
            </w:tcBorders>
            <w:vAlign w:val="center"/>
          </w:tcPr>
          <w:p w14:paraId="6A323E4C">
            <w:pPr>
              <w:pStyle w:val="222"/>
              <w:widowControl w:val="0"/>
              <w:spacing w:after="0"/>
              <w:ind w:firstLine="0"/>
              <w:jc w:val="center"/>
              <w:rPr>
                <w:rFonts w:eastAsia="宋体"/>
                <w:color w:val="000000"/>
                <w:kern w:val="2"/>
                <w:sz w:val="24"/>
                <w:szCs w:val="24"/>
                <w:highlight w:val="none"/>
              </w:rPr>
            </w:pPr>
            <w:r>
              <w:rPr>
                <w:color w:val="000000"/>
                <w:kern w:val="2"/>
                <w:sz w:val="24"/>
                <w:szCs w:val="24"/>
                <w:highlight w:val="none"/>
              </w:rPr>
              <w:t>6</w:t>
            </w:r>
          </w:p>
        </w:tc>
      </w:tr>
      <w:tr w14:paraId="0EA258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21" w:type="dxa"/>
            <w:vMerge w:val="restart"/>
            <w:tcBorders>
              <w:top w:val="single" w:color="000000" w:sz="4" w:space="0"/>
              <w:left w:val="single" w:color="000000" w:sz="4" w:space="0"/>
              <w:bottom w:val="single" w:color="000000" w:sz="4" w:space="0"/>
              <w:right w:val="single" w:color="000000" w:sz="4" w:space="0"/>
            </w:tcBorders>
            <w:vAlign w:val="center"/>
          </w:tcPr>
          <w:p w14:paraId="724109E0">
            <w:pPr>
              <w:pStyle w:val="222"/>
              <w:widowControl w:val="0"/>
              <w:spacing w:after="0"/>
              <w:ind w:firstLine="0"/>
              <w:jc w:val="center"/>
              <w:rPr>
                <w:color w:val="000000"/>
                <w:kern w:val="2"/>
                <w:sz w:val="24"/>
                <w:szCs w:val="24"/>
                <w:highlight w:val="none"/>
              </w:rPr>
            </w:pPr>
            <w:r>
              <w:rPr>
                <w:rFonts w:hint="eastAsia"/>
                <w:color w:val="000000"/>
                <w:kern w:val="2"/>
                <w:sz w:val="24"/>
                <w:szCs w:val="24"/>
                <w:highlight w:val="none"/>
              </w:rPr>
              <w:t>食堂管理</w:t>
            </w:r>
            <w:r>
              <w:rPr>
                <w:color w:val="000000"/>
                <w:kern w:val="2"/>
                <w:sz w:val="24"/>
                <w:szCs w:val="24"/>
                <w:highlight w:val="none"/>
              </w:rPr>
              <w:t>17</w:t>
            </w:r>
            <w:r>
              <w:rPr>
                <w:rFonts w:hint="eastAsia"/>
                <w:color w:val="000000"/>
                <w:kern w:val="2"/>
                <w:sz w:val="24"/>
                <w:szCs w:val="24"/>
                <w:highlight w:val="none"/>
              </w:rPr>
              <w:t>分</w:t>
            </w:r>
          </w:p>
        </w:tc>
        <w:tc>
          <w:tcPr>
            <w:tcW w:w="778" w:type="dxa"/>
            <w:vMerge w:val="restart"/>
            <w:tcBorders>
              <w:top w:val="single" w:color="000000" w:sz="4" w:space="0"/>
              <w:left w:val="single" w:color="000000" w:sz="4" w:space="0"/>
              <w:bottom w:val="single" w:color="000000" w:sz="4" w:space="0"/>
              <w:right w:val="single" w:color="000000" w:sz="4" w:space="0"/>
            </w:tcBorders>
            <w:vAlign w:val="center"/>
          </w:tcPr>
          <w:p w14:paraId="0CF3D1E7">
            <w:pPr>
              <w:pStyle w:val="222"/>
              <w:widowControl w:val="0"/>
              <w:spacing w:after="0"/>
              <w:ind w:firstLine="0"/>
              <w:jc w:val="center"/>
              <w:rPr>
                <w:color w:val="000000"/>
                <w:kern w:val="2"/>
                <w:sz w:val="24"/>
                <w:szCs w:val="24"/>
                <w:highlight w:val="none"/>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3A23FAD4">
            <w:pPr>
              <w:pStyle w:val="222"/>
              <w:widowControl w:val="0"/>
              <w:spacing w:after="0"/>
              <w:ind w:firstLine="0"/>
              <w:rPr>
                <w:rFonts w:eastAsia="宋体"/>
                <w:color w:val="000000"/>
                <w:kern w:val="2"/>
                <w:sz w:val="24"/>
                <w:szCs w:val="24"/>
                <w:highlight w:val="none"/>
              </w:rPr>
            </w:pPr>
            <w:r>
              <w:rPr>
                <w:rFonts w:hint="eastAsia"/>
                <w:color w:val="000000"/>
                <w:kern w:val="2"/>
                <w:sz w:val="24"/>
                <w:szCs w:val="24"/>
                <w:highlight w:val="none"/>
              </w:rPr>
              <w:t>严禁非食堂人员随意进入食堂的食品加工操作间及原料仓库；</w:t>
            </w:r>
          </w:p>
        </w:tc>
        <w:tc>
          <w:tcPr>
            <w:tcW w:w="1939" w:type="dxa"/>
            <w:tcBorders>
              <w:top w:val="single" w:color="000000" w:sz="4" w:space="0"/>
              <w:left w:val="single" w:color="000000" w:sz="4" w:space="0"/>
              <w:bottom w:val="single" w:color="000000" w:sz="4" w:space="0"/>
              <w:right w:val="single" w:color="000000" w:sz="4" w:space="0"/>
            </w:tcBorders>
            <w:vAlign w:val="center"/>
          </w:tcPr>
          <w:p w14:paraId="1260E69A">
            <w:pPr>
              <w:pStyle w:val="211"/>
              <w:widowControl w:val="0"/>
              <w:jc w:val="center"/>
              <w:rPr>
                <w:color w:val="000000"/>
                <w:kern w:val="2"/>
                <w:sz w:val="24"/>
                <w:szCs w:val="24"/>
                <w:highlight w:val="none"/>
              </w:rPr>
            </w:pPr>
            <w:bookmarkStart w:id="90" w:name="OLE_LINK11"/>
            <w:bookmarkStart w:id="91" w:name="OLE_LINK10"/>
            <w:r>
              <w:rPr>
                <w:rFonts w:hint="eastAsia"/>
                <w:color w:val="000000"/>
                <w:kern w:val="2"/>
                <w:sz w:val="24"/>
                <w:szCs w:val="24"/>
                <w:highlight w:val="none"/>
              </w:rPr>
              <w:t>发现一次</w:t>
            </w:r>
            <w:r>
              <w:rPr>
                <w:rFonts w:hint="eastAsia"/>
                <w:color w:val="000000"/>
                <w:kern w:val="2"/>
                <w:sz w:val="24"/>
                <w:szCs w:val="24"/>
                <w:highlight w:val="none"/>
                <w:lang w:eastAsia="zh-CN"/>
              </w:rPr>
              <w:t>扣</w:t>
            </w:r>
            <w:r>
              <w:rPr>
                <w:color w:val="000000"/>
                <w:kern w:val="2"/>
                <w:sz w:val="24"/>
                <w:szCs w:val="24"/>
                <w:highlight w:val="none"/>
              </w:rPr>
              <w:t>2</w:t>
            </w:r>
            <w:r>
              <w:rPr>
                <w:rFonts w:hint="eastAsia"/>
                <w:color w:val="000000"/>
                <w:kern w:val="2"/>
                <w:sz w:val="24"/>
                <w:szCs w:val="24"/>
                <w:highlight w:val="none"/>
              </w:rPr>
              <w:t>分</w:t>
            </w:r>
            <w:bookmarkEnd w:id="90"/>
            <w:bookmarkEnd w:id="91"/>
          </w:p>
        </w:tc>
        <w:tc>
          <w:tcPr>
            <w:tcW w:w="737" w:type="dxa"/>
            <w:tcBorders>
              <w:top w:val="single" w:color="000000" w:sz="4" w:space="0"/>
              <w:left w:val="single" w:color="000000" w:sz="4" w:space="0"/>
              <w:bottom w:val="single" w:color="000000" w:sz="4" w:space="0"/>
              <w:right w:val="single" w:color="000000" w:sz="4" w:space="0"/>
            </w:tcBorders>
            <w:vAlign w:val="center"/>
          </w:tcPr>
          <w:p w14:paraId="484470BB">
            <w:pPr>
              <w:pStyle w:val="211"/>
              <w:widowControl w:val="0"/>
              <w:jc w:val="center"/>
              <w:rPr>
                <w:b/>
                <w:color w:val="000000"/>
                <w:kern w:val="2"/>
                <w:sz w:val="24"/>
                <w:szCs w:val="24"/>
                <w:highlight w:val="none"/>
              </w:rPr>
            </w:pPr>
          </w:p>
          <w:p w14:paraId="72CFDD6F">
            <w:pPr>
              <w:pStyle w:val="211"/>
              <w:widowControl w:val="0"/>
              <w:jc w:val="center"/>
              <w:rPr>
                <w:color w:val="000000"/>
                <w:kern w:val="2"/>
                <w:sz w:val="24"/>
                <w:szCs w:val="24"/>
                <w:highlight w:val="none"/>
              </w:rPr>
            </w:pPr>
            <w:r>
              <w:rPr>
                <w:color w:val="000000"/>
                <w:kern w:val="2"/>
                <w:sz w:val="24"/>
                <w:szCs w:val="24"/>
                <w:highlight w:val="none"/>
              </w:rPr>
              <w:t>2</w:t>
            </w:r>
          </w:p>
        </w:tc>
      </w:tr>
      <w:tr w14:paraId="68D6BE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vAlign w:val="center"/>
          </w:tcPr>
          <w:p w14:paraId="60156FA9">
            <w:pPr>
              <w:rPr>
                <w:color w:val="000000"/>
                <w:kern w:val="2"/>
                <w:sz w:val="24"/>
                <w:szCs w:val="24"/>
                <w:highlight w:val="none"/>
              </w:rPr>
            </w:pPr>
          </w:p>
        </w:tc>
        <w:tc>
          <w:tcPr>
            <w:tcW w:w="5548" w:type="dxa"/>
            <w:vMerge w:val="continue"/>
            <w:tcBorders>
              <w:top w:val="single" w:color="000000" w:sz="4" w:space="0"/>
              <w:left w:val="single" w:color="000000" w:sz="4" w:space="0"/>
              <w:bottom w:val="single" w:color="000000" w:sz="4" w:space="0"/>
              <w:right w:val="single" w:color="000000" w:sz="4" w:space="0"/>
            </w:tcBorders>
            <w:vAlign w:val="center"/>
          </w:tcPr>
          <w:p w14:paraId="3A0E55A1">
            <w:pPr>
              <w:rPr>
                <w:color w:val="000000"/>
                <w:kern w:val="2"/>
                <w:sz w:val="24"/>
                <w:szCs w:val="24"/>
                <w:highlight w:val="none"/>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48E6907B">
            <w:pPr>
              <w:pStyle w:val="222"/>
              <w:widowControl w:val="0"/>
              <w:spacing w:after="0"/>
              <w:ind w:firstLine="0"/>
              <w:rPr>
                <w:rFonts w:eastAsia="宋体"/>
                <w:color w:val="000000"/>
                <w:kern w:val="2"/>
                <w:sz w:val="24"/>
                <w:szCs w:val="24"/>
                <w:highlight w:val="none"/>
              </w:rPr>
            </w:pPr>
            <w:r>
              <w:rPr>
                <w:rFonts w:hint="eastAsia"/>
                <w:color w:val="000000"/>
                <w:kern w:val="2"/>
                <w:sz w:val="24"/>
                <w:szCs w:val="24"/>
                <w:highlight w:val="none"/>
              </w:rPr>
              <w:t>人员更换提前报备，健康证等齐备；</w:t>
            </w:r>
          </w:p>
        </w:tc>
        <w:tc>
          <w:tcPr>
            <w:tcW w:w="1939" w:type="dxa"/>
            <w:tcBorders>
              <w:top w:val="single" w:color="000000" w:sz="4" w:space="0"/>
              <w:left w:val="single" w:color="000000" w:sz="4" w:space="0"/>
              <w:bottom w:val="single" w:color="000000" w:sz="4" w:space="0"/>
              <w:right w:val="single" w:color="000000" w:sz="4" w:space="0"/>
            </w:tcBorders>
            <w:vAlign w:val="center"/>
          </w:tcPr>
          <w:p w14:paraId="263FB43B">
            <w:pPr>
              <w:pStyle w:val="211"/>
              <w:widowControl w:val="0"/>
              <w:jc w:val="center"/>
              <w:rPr>
                <w:rFonts w:eastAsia="宋体"/>
                <w:color w:val="000000"/>
                <w:kern w:val="2"/>
                <w:sz w:val="24"/>
                <w:szCs w:val="24"/>
                <w:highlight w:val="none"/>
                <w:lang w:eastAsia="zh-CN"/>
              </w:rPr>
            </w:pPr>
            <w:r>
              <w:rPr>
                <w:rFonts w:hint="eastAsia"/>
                <w:color w:val="000000"/>
                <w:kern w:val="2"/>
                <w:sz w:val="24"/>
                <w:szCs w:val="24"/>
                <w:highlight w:val="none"/>
                <w:lang w:eastAsia="zh-CN"/>
              </w:rPr>
              <w:t>发现未报备、未持证一人扣</w:t>
            </w:r>
            <w:r>
              <w:rPr>
                <w:color w:val="000000"/>
                <w:kern w:val="2"/>
                <w:sz w:val="24"/>
                <w:szCs w:val="24"/>
                <w:highlight w:val="none"/>
                <w:lang w:eastAsia="zh-CN"/>
              </w:rPr>
              <w:t>2</w:t>
            </w:r>
            <w:r>
              <w:rPr>
                <w:rFonts w:hint="eastAsia"/>
                <w:color w:val="000000"/>
                <w:kern w:val="2"/>
                <w:sz w:val="24"/>
                <w:szCs w:val="24"/>
                <w:highlight w:val="none"/>
                <w:lang w:eastAsia="zh-CN"/>
              </w:rPr>
              <w:t>分</w:t>
            </w:r>
          </w:p>
        </w:tc>
        <w:tc>
          <w:tcPr>
            <w:tcW w:w="737" w:type="dxa"/>
            <w:tcBorders>
              <w:top w:val="single" w:color="000000" w:sz="4" w:space="0"/>
              <w:left w:val="single" w:color="000000" w:sz="4" w:space="0"/>
              <w:bottom w:val="single" w:color="000000" w:sz="4" w:space="0"/>
              <w:right w:val="single" w:color="000000" w:sz="4" w:space="0"/>
            </w:tcBorders>
            <w:vAlign w:val="center"/>
          </w:tcPr>
          <w:p w14:paraId="7F8524D1">
            <w:pPr>
              <w:pStyle w:val="211"/>
              <w:widowControl w:val="0"/>
              <w:jc w:val="center"/>
              <w:rPr>
                <w:rFonts w:eastAsia="宋体"/>
                <w:color w:val="000000"/>
                <w:kern w:val="2"/>
                <w:sz w:val="24"/>
                <w:szCs w:val="24"/>
                <w:highlight w:val="none"/>
                <w:lang w:eastAsia="zh-CN"/>
              </w:rPr>
            </w:pPr>
            <w:r>
              <w:rPr>
                <w:color w:val="000000"/>
                <w:kern w:val="2"/>
                <w:sz w:val="24"/>
                <w:szCs w:val="24"/>
                <w:highlight w:val="none"/>
                <w:lang w:eastAsia="zh-CN"/>
              </w:rPr>
              <w:t>4</w:t>
            </w:r>
          </w:p>
        </w:tc>
      </w:tr>
      <w:tr w14:paraId="3AA3BD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vAlign w:val="center"/>
          </w:tcPr>
          <w:p w14:paraId="4B96367B">
            <w:pPr>
              <w:rPr>
                <w:color w:val="000000"/>
                <w:kern w:val="2"/>
                <w:sz w:val="24"/>
                <w:szCs w:val="24"/>
                <w:highlight w:val="none"/>
              </w:rPr>
            </w:pPr>
          </w:p>
        </w:tc>
        <w:tc>
          <w:tcPr>
            <w:tcW w:w="5548" w:type="dxa"/>
            <w:vMerge w:val="continue"/>
            <w:tcBorders>
              <w:top w:val="single" w:color="000000" w:sz="4" w:space="0"/>
              <w:left w:val="single" w:color="000000" w:sz="4" w:space="0"/>
              <w:bottom w:val="single" w:color="000000" w:sz="4" w:space="0"/>
              <w:right w:val="single" w:color="000000" w:sz="4" w:space="0"/>
            </w:tcBorders>
            <w:vAlign w:val="center"/>
          </w:tcPr>
          <w:p w14:paraId="04F1E4DA">
            <w:pPr>
              <w:rPr>
                <w:color w:val="000000"/>
                <w:kern w:val="2"/>
                <w:sz w:val="24"/>
                <w:szCs w:val="24"/>
                <w:highlight w:val="none"/>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10FDE820">
            <w:pPr>
              <w:pStyle w:val="222"/>
              <w:widowControl w:val="0"/>
              <w:spacing w:after="0"/>
              <w:ind w:firstLine="0"/>
              <w:rPr>
                <w:color w:val="000000"/>
                <w:kern w:val="2"/>
                <w:sz w:val="24"/>
                <w:szCs w:val="24"/>
                <w:highlight w:val="none"/>
              </w:rPr>
            </w:pPr>
            <w:r>
              <w:rPr>
                <w:rFonts w:hint="eastAsia"/>
                <w:color w:val="000000"/>
                <w:kern w:val="2"/>
                <w:sz w:val="24"/>
                <w:szCs w:val="24"/>
                <w:highlight w:val="none"/>
              </w:rPr>
              <w:t>临时休息区卫生整洁，非休息时间空调、照明等电源关闭，插座无充电设备。</w:t>
            </w:r>
          </w:p>
        </w:tc>
        <w:tc>
          <w:tcPr>
            <w:tcW w:w="1939" w:type="dxa"/>
            <w:tcBorders>
              <w:top w:val="single" w:color="000000" w:sz="4" w:space="0"/>
              <w:left w:val="single" w:color="000000" w:sz="4" w:space="0"/>
              <w:bottom w:val="single" w:color="000000" w:sz="4" w:space="0"/>
              <w:right w:val="single" w:color="000000" w:sz="4" w:space="0"/>
            </w:tcBorders>
            <w:vAlign w:val="center"/>
          </w:tcPr>
          <w:p w14:paraId="70FDCAE9">
            <w:pPr>
              <w:pStyle w:val="211"/>
              <w:widowControl w:val="0"/>
              <w:jc w:val="center"/>
              <w:rPr>
                <w:color w:val="000000"/>
                <w:kern w:val="2"/>
                <w:sz w:val="24"/>
                <w:szCs w:val="24"/>
                <w:highlight w:val="none"/>
                <w:lang w:eastAsia="zh-CN"/>
              </w:rPr>
            </w:pPr>
            <w:r>
              <w:rPr>
                <w:rFonts w:hint="eastAsia"/>
                <w:color w:val="000000"/>
                <w:kern w:val="2"/>
                <w:sz w:val="24"/>
                <w:szCs w:val="24"/>
                <w:highlight w:val="none"/>
              </w:rPr>
              <w:t>发现一次扣</w:t>
            </w:r>
            <w:r>
              <w:rPr>
                <w:color w:val="000000"/>
                <w:kern w:val="2"/>
                <w:sz w:val="24"/>
                <w:szCs w:val="24"/>
                <w:highlight w:val="none"/>
              </w:rPr>
              <w:t>2</w:t>
            </w:r>
            <w:r>
              <w:rPr>
                <w:rFonts w:hint="eastAsia"/>
                <w:color w:val="000000"/>
                <w:kern w:val="2"/>
                <w:sz w:val="24"/>
                <w:szCs w:val="24"/>
                <w:highlight w:val="none"/>
              </w:rPr>
              <w:t>分</w:t>
            </w:r>
          </w:p>
        </w:tc>
        <w:tc>
          <w:tcPr>
            <w:tcW w:w="737" w:type="dxa"/>
            <w:tcBorders>
              <w:top w:val="single" w:color="000000" w:sz="4" w:space="0"/>
              <w:left w:val="single" w:color="000000" w:sz="4" w:space="0"/>
              <w:bottom w:val="single" w:color="000000" w:sz="4" w:space="0"/>
              <w:right w:val="single" w:color="000000" w:sz="4" w:space="0"/>
            </w:tcBorders>
            <w:vAlign w:val="center"/>
          </w:tcPr>
          <w:p w14:paraId="6470AAB8">
            <w:pPr>
              <w:pStyle w:val="211"/>
              <w:widowControl w:val="0"/>
              <w:jc w:val="center"/>
              <w:rPr>
                <w:color w:val="000000"/>
                <w:kern w:val="2"/>
                <w:sz w:val="24"/>
                <w:szCs w:val="24"/>
                <w:highlight w:val="none"/>
                <w:lang w:eastAsia="zh-CN"/>
              </w:rPr>
            </w:pPr>
            <w:r>
              <w:rPr>
                <w:color w:val="000000"/>
                <w:kern w:val="2"/>
                <w:sz w:val="24"/>
                <w:szCs w:val="24"/>
                <w:highlight w:val="none"/>
                <w:lang w:eastAsia="zh-CN"/>
              </w:rPr>
              <w:t>2</w:t>
            </w:r>
          </w:p>
        </w:tc>
      </w:tr>
      <w:tr w14:paraId="64FDCD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vAlign w:val="center"/>
          </w:tcPr>
          <w:p w14:paraId="0A1C5AD6">
            <w:pPr>
              <w:rPr>
                <w:color w:val="000000"/>
                <w:kern w:val="2"/>
                <w:sz w:val="24"/>
                <w:szCs w:val="24"/>
                <w:highlight w:val="none"/>
              </w:rPr>
            </w:pPr>
          </w:p>
        </w:tc>
        <w:tc>
          <w:tcPr>
            <w:tcW w:w="5548" w:type="dxa"/>
            <w:vMerge w:val="continue"/>
            <w:tcBorders>
              <w:top w:val="single" w:color="000000" w:sz="4" w:space="0"/>
              <w:left w:val="single" w:color="000000" w:sz="4" w:space="0"/>
              <w:bottom w:val="single" w:color="000000" w:sz="4" w:space="0"/>
              <w:right w:val="single" w:color="000000" w:sz="4" w:space="0"/>
            </w:tcBorders>
            <w:vAlign w:val="center"/>
          </w:tcPr>
          <w:p w14:paraId="798E73E7">
            <w:pPr>
              <w:rPr>
                <w:color w:val="000000"/>
                <w:kern w:val="2"/>
                <w:sz w:val="24"/>
                <w:szCs w:val="24"/>
                <w:highlight w:val="none"/>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1BD6F92E">
            <w:pPr>
              <w:pStyle w:val="222"/>
              <w:widowControl w:val="0"/>
              <w:spacing w:after="0"/>
              <w:ind w:firstLine="0"/>
              <w:rPr>
                <w:rFonts w:eastAsia="宋体"/>
                <w:color w:val="000000"/>
                <w:kern w:val="2"/>
                <w:sz w:val="24"/>
                <w:szCs w:val="24"/>
                <w:highlight w:val="none"/>
              </w:rPr>
            </w:pPr>
            <w:r>
              <w:rPr>
                <w:rFonts w:hint="eastAsia"/>
                <w:color w:val="000000"/>
                <w:kern w:val="2"/>
                <w:sz w:val="24"/>
                <w:szCs w:val="24"/>
                <w:highlight w:val="none"/>
              </w:rPr>
              <w:t>人员培训上岗，设备操作规范，下班门窗、水电气关闭到位；</w:t>
            </w:r>
          </w:p>
        </w:tc>
        <w:tc>
          <w:tcPr>
            <w:tcW w:w="1939" w:type="dxa"/>
            <w:tcBorders>
              <w:top w:val="single" w:color="000000" w:sz="4" w:space="0"/>
              <w:left w:val="single" w:color="000000" w:sz="4" w:space="0"/>
              <w:bottom w:val="single" w:color="000000" w:sz="4" w:space="0"/>
              <w:right w:val="single" w:color="000000" w:sz="4" w:space="0"/>
            </w:tcBorders>
            <w:vAlign w:val="center"/>
          </w:tcPr>
          <w:p w14:paraId="1FC86903">
            <w:pPr>
              <w:pStyle w:val="211"/>
              <w:widowControl w:val="0"/>
              <w:jc w:val="center"/>
              <w:rPr>
                <w:rFonts w:eastAsia="宋体"/>
                <w:color w:val="000000"/>
                <w:kern w:val="2"/>
                <w:sz w:val="24"/>
                <w:szCs w:val="24"/>
                <w:highlight w:val="none"/>
                <w:lang w:eastAsia="zh-CN"/>
              </w:rPr>
            </w:pPr>
            <w:r>
              <w:rPr>
                <w:rFonts w:hint="eastAsia"/>
                <w:color w:val="000000"/>
                <w:kern w:val="2"/>
                <w:sz w:val="24"/>
                <w:szCs w:val="24"/>
                <w:highlight w:val="none"/>
                <w:lang w:eastAsia="zh-CN"/>
              </w:rPr>
              <w:t>发现不规范一次扣</w:t>
            </w:r>
            <w:r>
              <w:rPr>
                <w:color w:val="000000"/>
                <w:kern w:val="2"/>
                <w:sz w:val="24"/>
                <w:szCs w:val="24"/>
                <w:highlight w:val="none"/>
                <w:lang w:eastAsia="zh-CN"/>
              </w:rPr>
              <w:t>2</w:t>
            </w:r>
            <w:r>
              <w:rPr>
                <w:rFonts w:hint="eastAsia"/>
                <w:color w:val="000000"/>
                <w:kern w:val="2"/>
                <w:sz w:val="24"/>
                <w:szCs w:val="24"/>
                <w:highlight w:val="none"/>
                <w:lang w:eastAsia="zh-CN"/>
              </w:rPr>
              <w:t>分</w:t>
            </w:r>
          </w:p>
        </w:tc>
        <w:tc>
          <w:tcPr>
            <w:tcW w:w="737" w:type="dxa"/>
            <w:tcBorders>
              <w:top w:val="single" w:color="000000" w:sz="4" w:space="0"/>
              <w:left w:val="single" w:color="000000" w:sz="4" w:space="0"/>
              <w:bottom w:val="single" w:color="000000" w:sz="4" w:space="0"/>
              <w:right w:val="single" w:color="000000" w:sz="4" w:space="0"/>
            </w:tcBorders>
            <w:vAlign w:val="center"/>
          </w:tcPr>
          <w:p w14:paraId="7AA6BDBB">
            <w:pPr>
              <w:pStyle w:val="211"/>
              <w:widowControl w:val="0"/>
              <w:jc w:val="center"/>
              <w:rPr>
                <w:rFonts w:eastAsia="宋体"/>
                <w:color w:val="000000"/>
                <w:kern w:val="2"/>
                <w:sz w:val="24"/>
                <w:szCs w:val="24"/>
                <w:highlight w:val="none"/>
                <w:lang w:eastAsia="zh-CN"/>
              </w:rPr>
            </w:pPr>
            <w:r>
              <w:rPr>
                <w:color w:val="000000"/>
                <w:kern w:val="2"/>
                <w:sz w:val="24"/>
                <w:szCs w:val="24"/>
                <w:highlight w:val="none"/>
                <w:lang w:eastAsia="zh-CN"/>
              </w:rPr>
              <w:t>4</w:t>
            </w:r>
          </w:p>
        </w:tc>
      </w:tr>
      <w:tr w14:paraId="3A3B4C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vAlign w:val="center"/>
          </w:tcPr>
          <w:p w14:paraId="62D96BCB">
            <w:pPr>
              <w:rPr>
                <w:color w:val="000000"/>
                <w:kern w:val="2"/>
                <w:sz w:val="24"/>
                <w:szCs w:val="24"/>
                <w:highlight w:val="none"/>
              </w:rPr>
            </w:pPr>
          </w:p>
        </w:tc>
        <w:tc>
          <w:tcPr>
            <w:tcW w:w="5548" w:type="dxa"/>
            <w:vMerge w:val="continue"/>
            <w:tcBorders>
              <w:top w:val="single" w:color="000000" w:sz="4" w:space="0"/>
              <w:left w:val="single" w:color="000000" w:sz="4" w:space="0"/>
              <w:bottom w:val="single" w:color="000000" w:sz="4" w:space="0"/>
              <w:right w:val="single" w:color="000000" w:sz="4" w:space="0"/>
            </w:tcBorders>
            <w:vAlign w:val="center"/>
          </w:tcPr>
          <w:p w14:paraId="61E71526">
            <w:pPr>
              <w:rPr>
                <w:color w:val="000000"/>
                <w:kern w:val="2"/>
                <w:sz w:val="24"/>
                <w:szCs w:val="24"/>
                <w:highlight w:val="none"/>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54D6B074">
            <w:pPr>
              <w:pStyle w:val="222"/>
              <w:widowControl w:val="0"/>
              <w:spacing w:after="0"/>
              <w:ind w:firstLine="0"/>
              <w:rPr>
                <w:rFonts w:eastAsia="宋体"/>
                <w:color w:val="000000"/>
                <w:kern w:val="2"/>
                <w:sz w:val="24"/>
                <w:szCs w:val="24"/>
                <w:highlight w:val="none"/>
              </w:rPr>
            </w:pPr>
            <w:r>
              <w:rPr>
                <w:rFonts w:hint="eastAsia"/>
                <w:color w:val="000000"/>
                <w:kern w:val="2"/>
                <w:sz w:val="24"/>
                <w:szCs w:val="24"/>
                <w:highlight w:val="none"/>
              </w:rPr>
              <w:t>无消防、食品安全、涉密、违法等方面隐患问题。</w:t>
            </w:r>
          </w:p>
        </w:tc>
        <w:tc>
          <w:tcPr>
            <w:tcW w:w="1939" w:type="dxa"/>
            <w:tcBorders>
              <w:top w:val="single" w:color="000000" w:sz="4" w:space="0"/>
              <w:left w:val="single" w:color="000000" w:sz="4" w:space="0"/>
              <w:bottom w:val="single" w:color="000000" w:sz="4" w:space="0"/>
              <w:right w:val="single" w:color="000000" w:sz="4" w:space="0"/>
            </w:tcBorders>
            <w:vAlign w:val="center"/>
          </w:tcPr>
          <w:p w14:paraId="1DFF3FDF">
            <w:pPr>
              <w:pStyle w:val="211"/>
              <w:widowControl w:val="0"/>
              <w:jc w:val="center"/>
              <w:rPr>
                <w:rFonts w:eastAsia="宋体"/>
                <w:color w:val="000000"/>
                <w:kern w:val="2"/>
                <w:sz w:val="24"/>
                <w:szCs w:val="24"/>
                <w:highlight w:val="none"/>
                <w:lang w:eastAsia="zh-CN"/>
              </w:rPr>
            </w:pPr>
            <w:r>
              <w:rPr>
                <w:rFonts w:hint="eastAsia"/>
                <w:color w:val="000000"/>
                <w:kern w:val="2"/>
                <w:sz w:val="24"/>
                <w:szCs w:val="24"/>
                <w:highlight w:val="none"/>
                <w:lang w:eastAsia="zh-CN"/>
              </w:rPr>
              <w:t>发现一次扣</w:t>
            </w:r>
            <w:r>
              <w:rPr>
                <w:color w:val="000000"/>
                <w:kern w:val="2"/>
                <w:sz w:val="24"/>
                <w:szCs w:val="24"/>
                <w:highlight w:val="none"/>
                <w:lang w:eastAsia="zh-CN"/>
              </w:rPr>
              <w:t>5</w:t>
            </w:r>
            <w:r>
              <w:rPr>
                <w:rFonts w:hint="eastAsia"/>
                <w:color w:val="000000"/>
                <w:kern w:val="2"/>
                <w:sz w:val="24"/>
                <w:szCs w:val="24"/>
                <w:highlight w:val="none"/>
                <w:lang w:eastAsia="zh-CN"/>
              </w:rPr>
              <w:t>分</w:t>
            </w:r>
          </w:p>
        </w:tc>
        <w:tc>
          <w:tcPr>
            <w:tcW w:w="737" w:type="dxa"/>
            <w:tcBorders>
              <w:top w:val="single" w:color="000000" w:sz="4" w:space="0"/>
              <w:left w:val="single" w:color="000000" w:sz="4" w:space="0"/>
              <w:bottom w:val="single" w:color="000000" w:sz="4" w:space="0"/>
              <w:right w:val="single" w:color="000000" w:sz="4" w:space="0"/>
            </w:tcBorders>
            <w:vAlign w:val="center"/>
          </w:tcPr>
          <w:p w14:paraId="7B25C225">
            <w:pPr>
              <w:pStyle w:val="211"/>
              <w:widowControl w:val="0"/>
              <w:jc w:val="center"/>
              <w:rPr>
                <w:rFonts w:eastAsia="宋体"/>
                <w:color w:val="000000"/>
                <w:kern w:val="2"/>
                <w:sz w:val="24"/>
                <w:szCs w:val="24"/>
                <w:highlight w:val="none"/>
                <w:lang w:eastAsia="zh-CN"/>
              </w:rPr>
            </w:pPr>
            <w:r>
              <w:rPr>
                <w:color w:val="000000"/>
                <w:kern w:val="2"/>
                <w:sz w:val="24"/>
                <w:szCs w:val="24"/>
                <w:highlight w:val="none"/>
                <w:lang w:eastAsia="zh-CN"/>
              </w:rPr>
              <w:t>5</w:t>
            </w:r>
          </w:p>
        </w:tc>
      </w:tr>
      <w:tr w14:paraId="0AF443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21" w:type="dxa"/>
            <w:vMerge w:val="restart"/>
            <w:tcBorders>
              <w:top w:val="single" w:color="000000" w:sz="4" w:space="0"/>
              <w:left w:val="single" w:color="000000" w:sz="4" w:space="0"/>
              <w:bottom w:val="single" w:color="000000" w:sz="4" w:space="0"/>
              <w:right w:val="single" w:color="000000" w:sz="4" w:space="0"/>
            </w:tcBorders>
            <w:vAlign w:val="center"/>
          </w:tcPr>
          <w:p w14:paraId="76A396DA">
            <w:pPr>
              <w:pStyle w:val="211"/>
              <w:widowControl w:val="0"/>
              <w:rPr>
                <w:color w:val="000000"/>
                <w:kern w:val="2"/>
                <w:sz w:val="24"/>
                <w:szCs w:val="24"/>
                <w:highlight w:val="none"/>
              </w:rPr>
            </w:pPr>
            <w:r>
              <w:rPr>
                <w:rFonts w:hint="eastAsia"/>
                <w:color w:val="000000"/>
                <w:kern w:val="2"/>
                <w:sz w:val="24"/>
                <w:szCs w:val="24"/>
                <w:highlight w:val="none"/>
              </w:rPr>
              <w:t>食材考核</w:t>
            </w:r>
          </w:p>
          <w:p w14:paraId="1DEB4747">
            <w:pPr>
              <w:pStyle w:val="222"/>
              <w:widowControl w:val="0"/>
              <w:spacing w:after="0"/>
              <w:ind w:firstLine="0"/>
              <w:jc w:val="center"/>
              <w:rPr>
                <w:color w:val="000000"/>
                <w:kern w:val="2"/>
                <w:sz w:val="24"/>
                <w:szCs w:val="24"/>
                <w:highlight w:val="none"/>
              </w:rPr>
            </w:pPr>
            <w:r>
              <w:rPr>
                <w:color w:val="000000"/>
                <w:kern w:val="2"/>
                <w:sz w:val="24"/>
                <w:szCs w:val="24"/>
                <w:highlight w:val="none"/>
              </w:rPr>
              <w:t>20</w:t>
            </w:r>
            <w:r>
              <w:rPr>
                <w:rFonts w:hint="eastAsia"/>
                <w:color w:val="000000"/>
                <w:kern w:val="2"/>
                <w:sz w:val="24"/>
                <w:szCs w:val="24"/>
                <w:highlight w:val="none"/>
              </w:rPr>
              <w:t>分</w:t>
            </w:r>
          </w:p>
        </w:tc>
        <w:tc>
          <w:tcPr>
            <w:tcW w:w="778" w:type="dxa"/>
            <w:vMerge w:val="restart"/>
            <w:tcBorders>
              <w:top w:val="single" w:color="000000" w:sz="4" w:space="0"/>
              <w:left w:val="single" w:color="000000" w:sz="4" w:space="0"/>
              <w:bottom w:val="single" w:color="000000" w:sz="4" w:space="0"/>
              <w:right w:val="single" w:color="000000" w:sz="4" w:space="0"/>
            </w:tcBorders>
            <w:vAlign w:val="center"/>
          </w:tcPr>
          <w:p w14:paraId="3A8CAB9F">
            <w:pPr>
              <w:pStyle w:val="222"/>
              <w:widowControl w:val="0"/>
              <w:spacing w:after="0"/>
              <w:ind w:firstLine="0"/>
              <w:jc w:val="center"/>
              <w:rPr>
                <w:color w:val="000000"/>
                <w:kern w:val="2"/>
                <w:sz w:val="24"/>
                <w:szCs w:val="24"/>
                <w:highlight w:val="none"/>
              </w:rPr>
            </w:pPr>
            <w:r>
              <w:rPr>
                <w:rFonts w:hint="eastAsia"/>
                <w:color w:val="000000"/>
                <w:kern w:val="2"/>
                <w:sz w:val="24"/>
                <w:szCs w:val="24"/>
                <w:highlight w:val="none"/>
              </w:rPr>
              <w:t>食材</w:t>
            </w:r>
          </w:p>
        </w:tc>
        <w:tc>
          <w:tcPr>
            <w:tcW w:w="4770" w:type="dxa"/>
            <w:tcBorders>
              <w:top w:val="single" w:color="000000" w:sz="4" w:space="0"/>
              <w:left w:val="single" w:color="000000" w:sz="4" w:space="0"/>
              <w:bottom w:val="single" w:color="000000" w:sz="4" w:space="0"/>
              <w:right w:val="single" w:color="000000" w:sz="4" w:space="0"/>
            </w:tcBorders>
            <w:vAlign w:val="center"/>
          </w:tcPr>
          <w:p w14:paraId="4796F724">
            <w:pPr>
              <w:pStyle w:val="211"/>
              <w:widowControl w:val="0"/>
              <w:rPr>
                <w:rFonts w:eastAsia="宋体"/>
                <w:color w:val="000000"/>
                <w:kern w:val="2"/>
                <w:sz w:val="24"/>
                <w:szCs w:val="24"/>
                <w:highlight w:val="none"/>
                <w:lang w:eastAsia="zh-CN"/>
              </w:rPr>
            </w:pPr>
            <w:r>
              <w:rPr>
                <w:rFonts w:hint="eastAsia"/>
                <w:color w:val="000000"/>
                <w:kern w:val="2"/>
                <w:sz w:val="24"/>
                <w:szCs w:val="24"/>
                <w:highlight w:val="none"/>
              </w:rPr>
              <w:t>食材新鲜度</w:t>
            </w:r>
            <w:r>
              <w:rPr>
                <w:rFonts w:hint="eastAsia"/>
                <w:color w:val="000000"/>
                <w:kern w:val="2"/>
                <w:sz w:val="24"/>
                <w:szCs w:val="24"/>
                <w:highlight w:val="none"/>
                <w:lang w:eastAsia="zh-CN"/>
              </w:rPr>
              <w:t>有保证，能提供相关检疫证明；</w:t>
            </w:r>
          </w:p>
        </w:tc>
        <w:tc>
          <w:tcPr>
            <w:tcW w:w="1939" w:type="dxa"/>
            <w:vMerge w:val="restart"/>
            <w:tcBorders>
              <w:top w:val="single" w:color="000000" w:sz="4" w:space="0"/>
              <w:left w:val="single" w:color="000000" w:sz="4" w:space="0"/>
              <w:bottom w:val="single" w:color="000000" w:sz="4" w:space="0"/>
              <w:right w:val="single" w:color="000000" w:sz="4" w:space="0"/>
            </w:tcBorders>
            <w:vAlign w:val="center"/>
          </w:tcPr>
          <w:p w14:paraId="6AEA2151">
            <w:pPr>
              <w:pStyle w:val="211"/>
              <w:widowControl w:val="0"/>
              <w:jc w:val="center"/>
              <w:rPr>
                <w:color w:val="000000"/>
                <w:kern w:val="2"/>
                <w:sz w:val="24"/>
                <w:szCs w:val="24"/>
                <w:highlight w:val="none"/>
              </w:rPr>
            </w:pPr>
            <w:r>
              <w:rPr>
                <w:rFonts w:hint="eastAsia"/>
                <w:color w:val="000000"/>
                <w:kern w:val="2"/>
                <w:sz w:val="24"/>
                <w:szCs w:val="24"/>
                <w:highlight w:val="none"/>
              </w:rPr>
              <w:t>发现一次</w:t>
            </w:r>
            <w:r>
              <w:rPr>
                <w:rFonts w:hint="eastAsia"/>
                <w:color w:val="000000"/>
                <w:kern w:val="2"/>
                <w:sz w:val="24"/>
                <w:szCs w:val="24"/>
                <w:highlight w:val="none"/>
                <w:lang w:eastAsia="zh-CN"/>
              </w:rPr>
              <w:t>不符合要求</w:t>
            </w:r>
            <w:r>
              <w:rPr>
                <w:rFonts w:hint="eastAsia"/>
                <w:color w:val="000000"/>
                <w:kern w:val="2"/>
                <w:sz w:val="24"/>
                <w:szCs w:val="24"/>
                <w:highlight w:val="none"/>
              </w:rPr>
              <w:t>扣</w:t>
            </w:r>
            <w:r>
              <w:rPr>
                <w:color w:val="000000"/>
                <w:kern w:val="2"/>
                <w:sz w:val="24"/>
                <w:szCs w:val="24"/>
                <w:highlight w:val="none"/>
                <w:lang w:eastAsia="zh-CN"/>
              </w:rPr>
              <w:t>3</w:t>
            </w:r>
            <w:r>
              <w:rPr>
                <w:rFonts w:hint="eastAsia"/>
                <w:color w:val="000000"/>
                <w:kern w:val="2"/>
                <w:sz w:val="24"/>
                <w:szCs w:val="24"/>
                <w:highlight w:val="none"/>
              </w:rPr>
              <w:t>分；</w:t>
            </w:r>
          </w:p>
        </w:tc>
        <w:tc>
          <w:tcPr>
            <w:tcW w:w="737" w:type="dxa"/>
            <w:vMerge w:val="restart"/>
            <w:tcBorders>
              <w:top w:val="single" w:color="000000" w:sz="4" w:space="0"/>
              <w:left w:val="single" w:color="000000" w:sz="4" w:space="0"/>
              <w:bottom w:val="single" w:color="000000" w:sz="4" w:space="0"/>
              <w:right w:val="single" w:color="000000" w:sz="4" w:space="0"/>
            </w:tcBorders>
            <w:vAlign w:val="center"/>
          </w:tcPr>
          <w:p w14:paraId="498241B7">
            <w:pPr>
              <w:pStyle w:val="211"/>
              <w:widowControl w:val="0"/>
              <w:jc w:val="center"/>
              <w:rPr>
                <w:rFonts w:eastAsia="宋体"/>
                <w:color w:val="000000"/>
                <w:kern w:val="2"/>
                <w:sz w:val="24"/>
                <w:szCs w:val="24"/>
                <w:highlight w:val="none"/>
                <w:lang w:eastAsia="zh-CN"/>
              </w:rPr>
            </w:pPr>
            <w:r>
              <w:rPr>
                <w:color w:val="000000"/>
                <w:kern w:val="2"/>
                <w:sz w:val="24"/>
                <w:szCs w:val="24"/>
                <w:highlight w:val="none"/>
              </w:rPr>
              <w:t>1</w:t>
            </w:r>
            <w:r>
              <w:rPr>
                <w:color w:val="000000"/>
                <w:kern w:val="2"/>
                <w:sz w:val="24"/>
                <w:szCs w:val="24"/>
                <w:highlight w:val="none"/>
                <w:lang w:eastAsia="zh-CN"/>
              </w:rPr>
              <w:t>2</w:t>
            </w:r>
          </w:p>
        </w:tc>
      </w:tr>
      <w:tr w14:paraId="68F69B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vAlign w:val="center"/>
          </w:tcPr>
          <w:p w14:paraId="3536D5AB">
            <w:pPr>
              <w:rPr>
                <w:color w:val="000000"/>
                <w:kern w:val="2"/>
                <w:sz w:val="24"/>
                <w:szCs w:val="24"/>
                <w:highlight w:val="none"/>
              </w:rPr>
            </w:pPr>
          </w:p>
        </w:tc>
        <w:tc>
          <w:tcPr>
            <w:tcW w:w="5548" w:type="dxa"/>
            <w:vMerge w:val="continue"/>
            <w:tcBorders>
              <w:top w:val="single" w:color="000000" w:sz="4" w:space="0"/>
              <w:left w:val="single" w:color="000000" w:sz="4" w:space="0"/>
              <w:bottom w:val="single" w:color="000000" w:sz="4" w:space="0"/>
              <w:right w:val="single" w:color="000000" w:sz="4" w:space="0"/>
            </w:tcBorders>
            <w:vAlign w:val="center"/>
          </w:tcPr>
          <w:p w14:paraId="5AF68D1D">
            <w:pPr>
              <w:rPr>
                <w:color w:val="000000"/>
                <w:kern w:val="2"/>
                <w:sz w:val="24"/>
                <w:szCs w:val="24"/>
                <w:highlight w:val="none"/>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627DBAE2">
            <w:pPr>
              <w:pStyle w:val="211"/>
              <w:widowControl w:val="0"/>
              <w:rPr>
                <w:color w:val="000000"/>
                <w:kern w:val="2"/>
                <w:sz w:val="24"/>
                <w:szCs w:val="24"/>
                <w:highlight w:val="none"/>
              </w:rPr>
            </w:pPr>
            <w:r>
              <w:rPr>
                <w:rFonts w:hint="eastAsia"/>
                <w:color w:val="000000"/>
                <w:kern w:val="2"/>
                <w:sz w:val="24"/>
                <w:szCs w:val="24"/>
                <w:highlight w:val="none"/>
              </w:rPr>
              <w:t>食材包装完整，</w:t>
            </w:r>
            <w:r>
              <w:rPr>
                <w:rFonts w:hint="eastAsia"/>
                <w:color w:val="000000"/>
                <w:kern w:val="2"/>
                <w:sz w:val="24"/>
                <w:szCs w:val="24"/>
                <w:highlight w:val="none"/>
                <w:lang w:eastAsia="zh-CN"/>
              </w:rPr>
              <w:t>无过期、临期和无生产许可的食品；</w:t>
            </w:r>
          </w:p>
        </w:tc>
        <w:tc>
          <w:tcPr>
            <w:tcW w:w="1939" w:type="dxa"/>
            <w:vMerge w:val="continue"/>
            <w:tcBorders>
              <w:top w:val="single" w:color="000000" w:sz="4" w:space="0"/>
              <w:left w:val="single" w:color="000000" w:sz="4" w:space="0"/>
              <w:bottom w:val="single" w:color="000000" w:sz="4" w:space="0"/>
              <w:right w:val="single" w:color="000000" w:sz="4" w:space="0"/>
            </w:tcBorders>
            <w:vAlign w:val="center"/>
          </w:tcPr>
          <w:p w14:paraId="15BC37F2">
            <w:pPr>
              <w:rPr>
                <w:rFonts w:ascii="Calibri" w:hAnsi="Calibri"/>
                <w:color w:val="000000"/>
                <w:kern w:val="2"/>
                <w:sz w:val="24"/>
                <w:szCs w:val="24"/>
                <w:highlight w:val="none"/>
                <w:lang w:eastAsia="en-US"/>
              </w:rPr>
            </w:pPr>
          </w:p>
        </w:tc>
        <w:tc>
          <w:tcPr>
            <w:tcW w:w="737" w:type="dxa"/>
            <w:vMerge w:val="continue"/>
            <w:tcBorders>
              <w:top w:val="single" w:color="000000" w:sz="4" w:space="0"/>
              <w:left w:val="single" w:color="000000" w:sz="4" w:space="0"/>
              <w:bottom w:val="single" w:color="000000" w:sz="4" w:space="0"/>
              <w:right w:val="single" w:color="000000" w:sz="4" w:space="0"/>
            </w:tcBorders>
            <w:vAlign w:val="center"/>
          </w:tcPr>
          <w:p w14:paraId="72E70596">
            <w:pPr>
              <w:rPr>
                <w:rFonts w:ascii="Calibri" w:hAnsi="Calibri" w:eastAsia="宋体"/>
                <w:color w:val="000000"/>
                <w:kern w:val="2"/>
                <w:sz w:val="24"/>
                <w:szCs w:val="24"/>
                <w:highlight w:val="none"/>
              </w:rPr>
            </w:pPr>
          </w:p>
        </w:tc>
      </w:tr>
      <w:tr w14:paraId="528EAF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vAlign w:val="center"/>
          </w:tcPr>
          <w:p w14:paraId="38CBFCB7">
            <w:pPr>
              <w:rPr>
                <w:color w:val="000000"/>
                <w:kern w:val="2"/>
                <w:sz w:val="24"/>
                <w:szCs w:val="24"/>
                <w:highlight w:val="none"/>
              </w:rPr>
            </w:pPr>
          </w:p>
        </w:tc>
        <w:tc>
          <w:tcPr>
            <w:tcW w:w="5548" w:type="dxa"/>
            <w:vMerge w:val="continue"/>
            <w:tcBorders>
              <w:top w:val="single" w:color="000000" w:sz="4" w:space="0"/>
              <w:left w:val="single" w:color="000000" w:sz="4" w:space="0"/>
              <w:bottom w:val="single" w:color="000000" w:sz="4" w:space="0"/>
              <w:right w:val="single" w:color="000000" w:sz="4" w:space="0"/>
            </w:tcBorders>
            <w:vAlign w:val="center"/>
          </w:tcPr>
          <w:p w14:paraId="5BF3FF18">
            <w:pPr>
              <w:rPr>
                <w:color w:val="000000"/>
                <w:kern w:val="2"/>
                <w:sz w:val="24"/>
                <w:szCs w:val="24"/>
                <w:highlight w:val="none"/>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3B7C0F75">
            <w:pPr>
              <w:pStyle w:val="211"/>
              <w:widowControl w:val="0"/>
              <w:rPr>
                <w:color w:val="000000"/>
                <w:kern w:val="2"/>
                <w:sz w:val="24"/>
                <w:szCs w:val="24"/>
                <w:highlight w:val="none"/>
                <w:lang w:eastAsia="zh-CN"/>
              </w:rPr>
            </w:pPr>
            <w:r>
              <w:rPr>
                <w:rFonts w:hint="eastAsia"/>
                <w:color w:val="000000"/>
                <w:kern w:val="2"/>
                <w:sz w:val="24"/>
                <w:szCs w:val="24"/>
                <w:highlight w:val="none"/>
                <w:lang w:eastAsia="zh-CN"/>
              </w:rPr>
              <w:t>食材验收流程规范，不合格一律退回，出入库台账完善。</w:t>
            </w:r>
          </w:p>
        </w:tc>
        <w:tc>
          <w:tcPr>
            <w:tcW w:w="1939" w:type="dxa"/>
            <w:vMerge w:val="continue"/>
            <w:tcBorders>
              <w:top w:val="single" w:color="000000" w:sz="4" w:space="0"/>
              <w:left w:val="single" w:color="000000" w:sz="4" w:space="0"/>
              <w:bottom w:val="single" w:color="000000" w:sz="4" w:space="0"/>
              <w:right w:val="single" w:color="000000" w:sz="4" w:space="0"/>
            </w:tcBorders>
            <w:vAlign w:val="center"/>
          </w:tcPr>
          <w:p w14:paraId="1EDDF18B">
            <w:pPr>
              <w:rPr>
                <w:rFonts w:ascii="Calibri" w:hAnsi="Calibri"/>
                <w:color w:val="000000"/>
                <w:kern w:val="2"/>
                <w:sz w:val="24"/>
                <w:szCs w:val="24"/>
                <w:highlight w:val="none"/>
                <w:lang w:eastAsia="en-US"/>
              </w:rPr>
            </w:pPr>
          </w:p>
        </w:tc>
        <w:tc>
          <w:tcPr>
            <w:tcW w:w="737" w:type="dxa"/>
            <w:vMerge w:val="continue"/>
            <w:tcBorders>
              <w:top w:val="single" w:color="000000" w:sz="4" w:space="0"/>
              <w:left w:val="single" w:color="000000" w:sz="4" w:space="0"/>
              <w:bottom w:val="single" w:color="000000" w:sz="4" w:space="0"/>
              <w:right w:val="single" w:color="000000" w:sz="4" w:space="0"/>
            </w:tcBorders>
            <w:vAlign w:val="center"/>
          </w:tcPr>
          <w:p w14:paraId="30CD632B">
            <w:pPr>
              <w:rPr>
                <w:rFonts w:ascii="Calibri" w:hAnsi="Calibri" w:eastAsia="宋体"/>
                <w:color w:val="000000"/>
                <w:kern w:val="2"/>
                <w:sz w:val="24"/>
                <w:szCs w:val="24"/>
                <w:highlight w:val="none"/>
              </w:rPr>
            </w:pPr>
          </w:p>
        </w:tc>
      </w:tr>
      <w:tr w14:paraId="5725FD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vAlign w:val="center"/>
          </w:tcPr>
          <w:p w14:paraId="2AC01855">
            <w:pPr>
              <w:rPr>
                <w:color w:val="000000"/>
                <w:kern w:val="2"/>
                <w:sz w:val="24"/>
                <w:szCs w:val="24"/>
                <w:highlight w:val="none"/>
              </w:rPr>
            </w:pPr>
          </w:p>
        </w:tc>
        <w:tc>
          <w:tcPr>
            <w:tcW w:w="5548" w:type="dxa"/>
            <w:vMerge w:val="continue"/>
            <w:tcBorders>
              <w:top w:val="single" w:color="000000" w:sz="4" w:space="0"/>
              <w:left w:val="single" w:color="000000" w:sz="4" w:space="0"/>
              <w:bottom w:val="single" w:color="000000" w:sz="4" w:space="0"/>
              <w:right w:val="single" w:color="000000" w:sz="4" w:space="0"/>
            </w:tcBorders>
            <w:vAlign w:val="center"/>
          </w:tcPr>
          <w:p w14:paraId="06A0FD03">
            <w:pPr>
              <w:rPr>
                <w:color w:val="000000"/>
                <w:kern w:val="2"/>
                <w:sz w:val="24"/>
                <w:szCs w:val="24"/>
                <w:highlight w:val="none"/>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01DCBAEC">
            <w:pPr>
              <w:pStyle w:val="211"/>
              <w:widowControl w:val="0"/>
              <w:rPr>
                <w:rFonts w:eastAsia="宋体"/>
                <w:color w:val="000000"/>
                <w:kern w:val="2"/>
                <w:sz w:val="24"/>
                <w:szCs w:val="24"/>
                <w:highlight w:val="none"/>
                <w:lang w:eastAsia="zh-CN"/>
              </w:rPr>
            </w:pPr>
            <w:r>
              <w:rPr>
                <w:rFonts w:hint="eastAsia" w:eastAsia="宋体"/>
                <w:color w:val="000000"/>
                <w:kern w:val="2"/>
                <w:sz w:val="24"/>
                <w:szCs w:val="24"/>
                <w:highlight w:val="none"/>
                <w:lang w:eastAsia="zh-CN"/>
              </w:rPr>
              <w:t>每月食材采购清单详实，入口率有保障。</w:t>
            </w:r>
          </w:p>
        </w:tc>
        <w:tc>
          <w:tcPr>
            <w:tcW w:w="1939" w:type="dxa"/>
            <w:vMerge w:val="continue"/>
            <w:tcBorders>
              <w:top w:val="single" w:color="000000" w:sz="4" w:space="0"/>
              <w:left w:val="single" w:color="000000" w:sz="4" w:space="0"/>
              <w:bottom w:val="single" w:color="000000" w:sz="4" w:space="0"/>
              <w:right w:val="single" w:color="000000" w:sz="4" w:space="0"/>
            </w:tcBorders>
            <w:vAlign w:val="center"/>
          </w:tcPr>
          <w:p w14:paraId="5F653C85">
            <w:pPr>
              <w:rPr>
                <w:rFonts w:ascii="Calibri" w:hAnsi="Calibri"/>
                <w:color w:val="000000"/>
                <w:kern w:val="2"/>
                <w:sz w:val="24"/>
                <w:szCs w:val="24"/>
                <w:highlight w:val="none"/>
                <w:lang w:eastAsia="en-US"/>
              </w:rPr>
            </w:pPr>
          </w:p>
        </w:tc>
        <w:tc>
          <w:tcPr>
            <w:tcW w:w="737" w:type="dxa"/>
            <w:vMerge w:val="continue"/>
            <w:tcBorders>
              <w:top w:val="single" w:color="000000" w:sz="4" w:space="0"/>
              <w:left w:val="single" w:color="000000" w:sz="4" w:space="0"/>
              <w:bottom w:val="single" w:color="000000" w:sz="4" w:space="0"/>
              <w:right w:val="single" w:color="000000" w:sz="4" w:space="0"/>
            </w:tcBorders>
            <w:vAlign w:val="center"/>
          </w:tcPr>
          <w:p w14:paraId="3709E56B">
            <w:pPr>
              <w:rPr>
                <w:rFonts w:ascii="Calibri" w:hAnsi="Calibri" w:eastAsia="宋体"/>
                <w:color w:val="000000"/>
                <w:kern w:val="2"/>
                <w:sz w:val="24"/>
                <w:szCs w:val="24"/>
                <w:highlight w:val="none"/>
              </w:rPr>
            </w:pPr>
          </w:p>
        </w:tc>
      </w:tr>
      <w:tr w14:paraId="6C4D81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vAlign w:val="center"/>
          </w:tcPr>
          <w:p w14:paraId="1000E0AA">
            <w:pPr>
              <w:rPr>
                <w:color w:val="000000"/>
                <w:kern w:val="2"/>
                <w:sz w:val="24"/>
                <w:szCs w:val="24"/>
                <w:highlight w:val="none"/>
              </w:rPr>
            </w:pPr>
          </w:p>
        </w:tc>
        <w:tc>
          <w:tcPr>
            <w:tcW w:w="778" w:type="dxa"/>
            <w:vMerge w:val="restart"/>
            <w:tcBorders>
              <w:top w:val="single" w:color="000000" w:sz="4" w:space="0"/>
              <w:left w:val="single" w:color="000000" w:sz="4" w:space="0"/>
              <w:bottom w:val="single" w:color="000000" w:sz="4" w:space="0"/>
              <w:right w:val="single" w:color="000000" w:sz="4" w:space="0"/>
            </w:tcBorders>
            <w:vAlign w:val="center"/>
          </w:tcPr>
          <w:p w14:paraId="036642DD">
            <w:pPr>
              <w:pStyle w:val="222"/>
              <w:widowControl w:val="0"/>
              <w:spacing w:after="0"/>
              <w:ind w:firstLine="0"/>
              <w:jc w:val="center"/>
              <w:rPr>
                <w:color w:val="000000"/>
                <w:kern w:val="2"/>
                <w:sz w:val="24"/>
                <w:szCs w:val="24"/>
                <w:highlight w:val="none"/>
              </w:rPr>
            </w:pPr>
            <w:r>
              <w:rPr>
                <w:rFonts w:hint="eastAsia"/>
                <w:color w:val="000000"/>
                <w:kern w:val="2"/>
                <w:sz w:val="24"/>
                <w:szCs w:val="24"/>
                <w:highlight w:val="none"/>
              </w:rPr>
              <w:t>配送</w:t>
            </w:r>
          </w:p>
        </w:tc>
        <w:tc>
          <w:tcPr>
            <w:tcW w:w="4770" w:type="dxa"/>
            <w:tcBorders>
              <w:top w:val="single" w:color="000000" w:sz="4" w:space="0"/>
              <w:left w:val="single" w:color="000000" w:sz="4" w:space="0"/>
              <w:bottom w:val="single" w:color="000000" w:sz="4" w:space="0"/>
              <w:right w:val="single" w:color="000000" w:sz="4" w:space="0"/>
            </w:tcBorders>
            <w:vAlign w:val="center"/>
          </w:tcPr>
          <w:p w14:paraId="0A438B48">
            <w:pPr>
              <w:pStyle w:val="211"/>
              <w:widowControl w:val="0"/>
              <w:rPr>
                <w:color w:val="000000"/>
                <w:kern w:val="2"/>
                <w:sz w:val="24"/>
                <w:szCs w:val="24"/>
                <w:highlight w:val="none"/>
              </w:rPr>
            </w:pPr>
            <w:r>
              <w:rPr>
                <w:rFonts w:hint="eastAsia"/>
                <w:color w:val="000000"/>
                <w:kern w:val="2"/>
                <w:sz w:val="24"/>
                <w:szCs w:val="24"/>
                <w:highlight w:val="none"/>
              </w:rPr>
              <w:t>食材</w:t>
            </w:r>
            <w:r>
              <w:rPr>
                <w:rFonts w:hint="eastAsia"/>
                <w:color w:val="000000"/>
                <w:kern w:val="2"/>
                <w:sz w:val="24"/>
                <w:szCs w:val="24"/>
                <w:highlight w:val="none"/>
                <w:lang w:eastAsia="zh-CN"/>
              </w:rPr>
              <w:t>每日</w:t>
            </w:r>
            <w:r>
              <w:rPr>
                <w:rFonts w:hint="eastAsia"/>
                <w:color w:val="000000"/>
                <w:kern w:val="2"/>
                <w:sz w:val="24"/>
                <w:szCs w:val="24"/>
                <w:highlight w:val="none"/>
              </w:rPr>
              <w:t>配送及时，</w:t>
            </w:r>
            <w:r>
              <w:rPr>
                <w:rFonts w:hint="eastAsia"/>
                <w:color w:val="000000"/>
                <w:kern w:val="2"/>
                <w:sz w:val="24"/>
                <w:szCs w:val="24"/>
                <w:highlight w:val="none"/>
                <w:lang w:eastAsia="zh-CN"/>
              </w:rPr>
              <w:t>甲方有</w:t>
            </w:r>
            <w:r>
              <w:rPr>
                <w:rFonts w:hint="eastAsia"/>
                <w:color w:val="000000"/>
                <w:kern w:val="2"/>
                <w:sz w:val="24"/>
                <w:szCs w:val="24"/>
                <w:highlight w:val="none"/>
              </w:rPr>
              <w:t>临时</w:t>
            </w:r>
            <w:r>
              <w:rPr>
                <w:rFonts w:hint="eastAsia"/>
                <w:color w:val="000000"/>
                <w:kern w:val="2"/>
                <w:sz w:val="24"/>
                <w:szCs w:val="24"/>
                <w:highlight w:val="none"/>
                <w:lang w:eastAsia="zh-CN"/>
              </w:rPr>
              <w:t>供餐需求</w:t>
            </w:r>
            <w:r>
              <w:rPr>
                <w:rFonts w:hint="eastAsia"/>
                <w:color w:val="000000"/>
                <w:kern w:val="2"/>
                <w:sz w:val="24"/>
                <w:szCs w:val="24"/>
                <w:highlight w:val="none"/>
              </w:rPr>
              <w:t>，</w:t>
            </w:r>
            <w:r>
              <w:rPr>
                <w:rFonts w:hint="eastAsia"/>
                <w:color w:val="000000"/>
                <w:kern w:val="2"/>
                <w:sz w:val="24"/>
                <w:szCs w:val="24"/>
                <w:highlight w:val="none"/>
                <w:lang w:eastAsia="zh-CN"/>
              </w:rPr>
              <w:t>补货供货响应迅速</w:t>
            </w:r>
            <w:r>
              <w:rPr>
                <w:rFonts w:hint="eastAsia"/>
                <w:color w:val="000000"/>
                <w:kern w:val="2"/>
                <w:sz w:val="24"/>
                <w:szCs w:val="24"/>
                <w:highlight w:val="none"/>
              </w:rPr>
              <w:t>。</w:t>
            </w:r>
          </w:p>
        </w:tc>
        <w:tc>
          <w:tcPr>
            <w:tcW w:w="1939" w:type="dxa"/>
            <w:tcBorders>
              <w:top w:val="single" w:color="000000" w:sz="4" w:space="0"/>
              <w:left w:val="single" w:color="000000" w:sz="4" w:space="0"/>
              <w:bottom w:val="single" w:color="000000" w:sz="4" w:space="0"/>
              <w:right w:val="single" w:color="000000" w:sz="4" w:space="0"/>
            </w:tcBorders>
            <w:vAlign w:val="center"/>
          </w:tcPr>
          <w:p w14:paraId="33E78553">
            <w:pPr>
              <w:pStyle w:val="211"/>
              <w:widowControl w:val="0"/>
              <w:jc w:val="center"/>
              <w:rPr>
                <w:color w:val="000000"/>
                <w:kern w:val="2"/>
                <w:sz w:val="24"/>
                <w:szCs w:val="24"/>
                <w:highlight w:val="none"/>
              </w:rPr>
            </w:pPr>
            <w:r>
              <w:rPr>
                <w:rFonts w:hint="eastAsia"/>
                <w:color w:val="000000"/>
                <w:kern w:val="2"/>
                <w:sz w:val="24"/>
                <w:szCs w:val="24"/>
                <w:highlight w:val="none"/>
              </w:rPr>
              <w:t>每逾期一次扣</w:t>
            </w:r>
            <w:r>
              <w:rPr>
                <w:color w:val="000000"/>
                <w:kern w:val="2"/>
                <w:sz w:val="24"/>
                <w:szCs w:val="24"/>
                <w:highlight w:val="none"/>
                <w:lang w:eastAsia="zh-CN"/>
              </w:rPr>
              <w:t>2</w:t>
            </w:r>
            <w:r>
              <w:rPr>
                <w:rFonts w:hint="eastAsia"/>
                <w:color w:val="000000"/>
                <w:kern w:val="2"/>
                <w:sz w:val="24"/>
                <w:szCs w:val="24"/>
                <w:highlight w:val="none"/>
              </w:rPr>
              <w:t>分</w:t>
            </w:r>
          </w:p>
        </w:tc>
        <w:tc>
          <w:tcPr>
            <w:tcW w:w="737" w:type="dxa"/>
            <w:vMerge w:val="restart"/>
            <w:tcBorders>
              <w:top w:val="single" w:color="000000" w:sz="4" w:space="0"/>
              <w:left w:val="single" w:color="000000" w:sz="4" w:space="0"/>
              <w:bottom w:val="single" w:color="000000" w:sz="4" w:space="0"/>
              <w:right w:val="single" w:color="000000" w:sz="4" w:space="0"/>
            </w:tcBorders>
            <w:vAlign w:val="center"/>
          </w:tcPr>
          <w:p w14:paraId="166C8797">
            <w:pPr>
              <w:pStyle w:val="211"/>
              <w:widowControl w:val="0"/>
              <w:jc w:val="center"/>
              <w:rPr>
                <w:rFonts w:eastAsia="宋体"/>
                <w:color w:val="000000"/>
                <w:kern w:val="2"/>
                <w:sz w:val="24"/>
                <w:szCs w:val="24"/>
                <w:highlight w:val="none"/>
                <w:lang w:eastAsia="zh-CN"/>
              </w:rPr>
            </w:pPr>
            <w:r>
              <w:rPr>
                <w:color w:val="000000"/>
                <w:kern w:val="2"/>
                <w:sz w:val="24"/>
                <w:szCs w:val="24"/>
                <w:highlight w:val="none"/>
                <w:lang w:eastAsia="zh-CN"/>
              </w:rPr>
              <w:t>8</w:t>
            </w:r>
          </w:p>
        </w:tc>
      </w:tr>
      <w:tr w14:paraId="161547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vAlign w:val="center"/>
          </w:tcPr>
          <w:p w14:paraId="4253E6D6">
            <w:pPr>
              <w:rPr>
                <w:color w:val="000000"/>
                <w:kern w:val="2"/>
                <w:sz w:val="24"/>
                <w:szCs w:val="24"/>
                <w:highlight w:val="none"/>
              </w:rPr>
            </w:pPr>
          </w:p>
        </w:tc>
        <w:tc>
          <w:tcPr>
            <w:tcW w:w="5548" w:type="dxa"/>
            <w:vMerge w:val="continue"/>
            <w:tcBorders>
              <w:top w:val="single" w:color="000000" w:sz="4" w:space="0"/>
              <w:left w:val="single" w:color="000000" w:sz="4" w:space="0"/>
              <w:bottom w:val="single" w:color="000000" w:sz="4" w:space="0"/>
              <w:right w:val="single" w:color="000000" w:sz="4" w:space="0"/>
            </w:tcBorders>
            <w:vAlign w:val="center"/>
          </w:tcPr>
          <w:p w14:paraId="77B5C51D">
            <w:pPr>
              <w:rPr>
                <w:color w:val="000000"/>
                <w:kern w:val="2"/>
                <w:sz w:val="24"/>
                <w:szCs w:val="24"/>
                <w:highlight w:val="none"/>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450A7251">
            <w:pPr>
              <w:pStyle w:val="211"/>
              <w:widowControl w:val="0"/>
              <w:rPr>
                <w:color w:val="000000"/>
                <w:kern w:val="2"/>
                <w:sz w:val="24"/>
                <w:szCs w:val="24"/>
                <w:highlight w:val="none"/>
              </w:rPr>
            </w:pPr>
            <w:r>
              <w:rPr>
                <w:rFonts w:hint="eastAsia"/>
                <w:color w:val="000000"/>
                <w:kern w:val="2"/>
                <w:sz w:val="24"/>
                <w:szCs w:val="24"/>
                <w:highlight w:val="none"/>
              </w:rPr>
              <w:t>冷冻食材全程冷链</w:t>
            </w:r>
            <w:r>
              <w:rPr>
                <w:rFonts w:hint="eastAsia"/>
                <w:color w:val="000000"/>
                <w:kern w:val="2"/>
                <w:sz w:val="24"/>
                <w:szCs w:val="24"/>
                <w:highlight w:val="none"/>
                <w:lang w:eastAsia="zh-CN"/>
              </w:rPr>
              <w:t>配送</w:t>
            </w:r>
          </w:p>
        </w:tc>
        <w:tc>
          <w:tcPr>
            <w:tcW w:w="1939" w:type="dxa"/>
            <w:tcBorders>
              <w:top w:val="single" w:color="000000" w:sz="4" w:space="0"/>
              <w:left w:val="single" w:color="000000" w:sz="4" w:space="0"/>
              <w:bottom w:val="single" w:color="000000" w:sz="4" w:space="0"/>
              <w:right w:val="single" w:color="000000" w:sz="4" w:space="0"/>
            </w:tcBorders>
            <w:vAlign w:val="center"/>
          </w:tcPr>
          <w:p w14:paraId="19DEB6BB">
            <w:pPr>
              <w:pStyle w:val="211"/>
              <w:widowControl w:val="0"/>
              <w:jc w:val="center"/>
              <w:rPr>
                <w:color w:val="000000"/>
                <w:kern w:val="2"/>
                <w:sz w:val="24"/>
                <w:szCs w:val="24"/>
                <w:highlight w:val="none"/>
              </w:rPr>
            </w:pPr>
            <w:r>
              <w:rPr>
                <w:rFonts w:hint="eastAsia"/>
                <w:color w:val="000000"/>
                <w:kern w:val="2"/>
                <w:sz w:val="24"/>
                <w:szCs w:val="24"/>
                <w:highlight w:val="none"/>
                <w:lang w:eastAsia="zh-CN"/>
              </w:rPr>
              <w:t>每发现一次不规范</w:t>
            </w:r>
            <w:r>
              <w:rPr>
                <w:rFonts w:hint="eastAsia"/>
                <w:color w:val="000000"/>
                <w:kern w:val="2"/>
                <w:sz w:val="24"/>
                <w:szCs w:val="24"/>
                <w:highlight w:val="none"/>
              </w:rPr>
              <w:t>扣</w:t>
            </w:r>
            <w:r>
              <w:rPr>
                <w:color w:val="000000"/>
                <w:kern w:val="2"/>
                <w:sz w:val="24"/>
                <w:szCs w:val="24"/>
                <w:highlight w:val="none"/>
                <w:lang w:eastAsia="zh-CN"/>
              </w:rPr>
              <w:t>3</w:t>
            </w:r>
            <w:r>
              <w:rPr>
                <w:rFonts w:hint="eastAsia"/>
                <w:color w:val="000000"/>
                <w:kern w:val="2"/>
                <w:sz w:val="24"/>
                <w:szCs w:val="24"/>
                <w:highlight w:val="none"/>
              </w:rPr>
              <w:t>分</w:t>
            </w:r>
          </w:p>
        </w:tc>
        <w:tc>
          <w:tcPr>
            <w:tcW w:w="737" w:type="dxa"/>
            <w:vMerge w:val="continue"/>
            <w:tcBorders>
              <w:top w:val="single" w:color="000000" w:sz="4" w:space="0"/>
              <w:left w:val="single" w:color="000000" w:sz="4" w:space="0"/>
              <w:bottom w:val="single" w:color="000000" w:sz="4" w:space="0"/>
              <w:right w:val="single" w:color="000000" w:sz="4" w:space="0"/>
            </w:tcBorders>
            <w:vAlign w:val="center"/>
          </w:tcPr>
          <w:p w14:paraId="6BFB3966">
            <w:pPr>
              <w:rPr>
                <w:rFonts w:ascii="Calibri" w:hAnsi="Calibri" w:eastAsia="宋体"/>
                <w:color w:val="000000"/>
                <w:kern w:val="2"/>
                <w:sz w:val="24"/>
                <w:szCs w:val="24"/>
                <w:highlight w:val="none"/>
              </w:rPr>
            </w:pPr>
          </w:p>
        </w:tc>
      </w:tr>
    </w:tbl>
    <w:p w14:paraId="6BCA70B4">
      <w:pPr>
        <w:rPr>
          <w:rFonts w:ascii="宋体" w:hAnsi="宋体" w:eastAsia="宋体" w:cs="宋体"/>
          <w:b/>
          <w:bCs/>
          <w:sz w:val="36"/>
          <w:highlight w:val="none"/>
        </w:rPr>
      </w:pPr>
    </w:p>
    <w:p w14:paraId="53776B4F">
      <w:pPr>
        <w:rPr>
          <w:rFonts w:ascii="宋体" w:hAnsi="宋体" w:eastAsia="宋体" w:cs="宋体"/>
          <w:b/>
          <w:bCs/>
          <w:sz w:val="36"/>
          <w:highlight w:val="none"/>
        </w:rPr>
      </w:pPr>
      <w:bookmarkStart w:id="92" w:name="_Toc6417"/>
      <w:r>
        <w:rPr>
          <w:rFonts w:hint="eastAsia" w:ascii="宋体" w:hAnsi="宋体" w:eastAsia="宋体" w:cs="宋体"/>
          <w:b/>
          <w:bCs/>
          <w:sz w:val="36"/>
          <w:highlight w:val="none"/>
        </w:rPr>
        <w:br w:type="page"/>
      </w:r>
    </w:p>
    <w:p w14:paraId="08E347FF">
      <w:pPr>
        <w:pBdr>
          <w:top w:val="none" w:color="000000" w:sz="0" w:space="0"/>
          <w:left w:val="none" w:color="000000" w:sz="0" w:space="0"/>
          <w:bottom w:val="none" w:color="000000" w:sz="0" w:space="0"/>
          <w:right w:val="none" w:color="000000" w:sz="0" w:space="0"/>
        </w:pBdr>
        <w:spacing w:before="240" w:after="240"/>
        <w:jc w:val="center"/>
        <w:outlineLvl w:val="0"/>
        <w:rPr>
          <w:rFonts w:ascii="宋体" w:hAnsi="宋体" w:eastAsia="宋体" w:cs="宋体"/>
          <w:highlight w:val="none"/>
        </w:rPr>
      </w:pPr>
      <w:bookmarkStart w:id="93" w:name="_Toc7440"/>
      <w:bookmarkStart w:id="94" w:name="_Toc10654"/>
      <w:bookmarkStart w:id="95" w:name="_Toc28927"/>
      <w:r>
        <w:rPr>
          <w:rFonts w:hint="eastAsia" w:ascii="宋体" w:hAnsi="宋体" w:eastAsia="宋体" w:cs="宋体"/>
          <w:b/>
          <w:bCs/>
          <w:sz w:val="36"/>
          <w:highlight w:val="none"/>
        </w:rPr>
        <w:t>第五章  合同条款及格式</w:t>
      </w:r>
      <w:bookmarkEnd w:id="92"/>
      <w:bookmarkEnd w:id="93"/>
      <w:bookmarkEnd w:id="94"/>
      <w:bookmarkEnd w:id="95"/>
    </w:p>
    <w:p w14:paraId="44E2C4AE">
      <w:pPr>
        <w:pBdr>
          <w:top w:val="none" w:color="000000" w:sz="0" w:space="0"/>
          <w:left w:val="none" w:color="000000" w:sz="0" w:space="0"/>
          <w:bottom w:val="none" w:color="000000" w:sz="0" w:space="0"/>
          <w:right w:val="none" w:color="000000" w:sz="0" w:space="0"/>
        </w:pBdr>
        <w:spacing w:before="156" w:after="156" w:line="360" w:lineRule="auto"/>
        <w:jc w:val="center"/>
        <w:rPr>
          <w:rFonts w:ascii="宋体" w:hAnsi="宋体" w:eastAsia="宋体" w:cs="宋体"/>
          <w:sz w:val="24"/>
          <w:highlight w:val="none"/>
        </w:rPr>
      </w:pPr>
    </w:p>
    <w:p w14:paraId="4646D54D">
      <w:pPr>
        <w:pBdr>
          <w:top w:val="none" w:color="000000" w:sz="0" w:space="0"/>
          <w:left w:val="none" w:color="000000" w:sz="0" w:space="0"/>
          <w:bottom w:val="none" w:color="000000" w:sz="0" w:space="0"/>
          <w:right w:val="none" w:color="000000" w:sz="0" w:space="0"/>
        </w:pBdr>
        <w:spacing w:before="156" w:after="156" w:line="360" w:lineRule="auto"/>
        <w:jc w:val="center"/>
        <w:rPr>
          <w:rFonts w:ascii="宋体" w:hAnsi="宋体" w:eastAsia="宋体" w:cs="宋体"/>
          <w:highlight w:val="none"/>
        </w:rPr>
      </w:pPr>
      <w:r>
        <w:rPr>
          <w:rFonts w:hint="eastAsia" w:ascii="宋体" w:hAnsi="宋体" w:eastAsia="宋体" w:cs="宋体"/>
          <w:sz w:val="24"/>
          <w:highlight w:val="none"/>
        </w:rPr>
        <w:t>以下为本项目的合同条款，合同双方不得对招标、投标文件内容作实质性修改。</w:t>
      </w:r>
    </w:p>
    <w:p w14:paraId="3A162FFD">
      <w:pPr>
        <w:ind w:firstLine="2080"/>
        <w:jc w:val="both"/>
        <w:rPr>
          <w:rFonts w:ascii="宋体" w:hAnsi="宋体"/>
          <w:color w:val="000000"/>
          <w:sz w:val="52"/>
          <w:highlight w:val="none"/>
        </w:rPr>
      </w:pPr>
      <w:r>
        <w:rPr>
          <w:rFonts w:hint="eastAsia" w:ascii="宋体" w:hAnsi="宋体" w:eastAsia="宋体" w:cs="宋体"/>
          <w:sz w:val="24"/>
          <w:highlight w:val="none"/>
        </w:rPr>
        <w:t> </w:t>
      </w:r>
      <w:r>
        <w:rPr>
          <w:rFonts w:hint="eastAsia" w:ascii="宋体" w:hAnsi="宋体"/>
          <w:color w:val="000000"/>
          <w:sz w:val="52"/>
          <w:highlight w:val="none"/>
        </w:rPr>
        <w:t>南京市政府采购合同</w:t>
      </w:r>
    </w:p>
    <w:p w14:paraId="3D66058A">
      <w:pPr>
        <w:ind w:firstLine="315"/>
        <w:jc w:val="center"/>
        <w:rPr>
          <w:rFonts w:ascii="宋体" w:hAnsi="宋体"/>
          <w:color w:val="000000"/>
          <w:sz w:val="32"/>
          <w:highlight w:val="none"/>
        </w:rPr>
      </w:pPr>
      <w:r>
        <w:rPr>
          <w:rFonts w:hint="eastAsia" w:ascii="宋体" w:hAnsi="宋体"/>
          <w:color w:val="000000"/>
          <w:sz w:val="32"/>
          <w:highlight w:val="none"/>
        </w:rPr>
        <w:t>（供参考）</w:t>
      </w:r>
    </w:p>
    <w:p w14:paraId="1E8FBBE9">
      <w:pPr>
        <w:ind w:firstLine="1600"/>
        <w:rPr>
          <w:rFonts w:ascii="宋体" w:hAnsi="宋体"/>
          <w:color w:val="000000"/>
          <w:sz w:val="32"/>
          <w:highlight w:val="none"/>
        </w:rPr>
      </w:pPr>
    </w:p>
    <w:p w14:paraId="55B8C765">
      <w:pPr>
        <w:rPr>
          <w:rFonts w:ascii="宋体" w:hAnsi="宋体"/>
          <w:color w:val="000000"/>
          <w:sz w:val="32"/>
          <w:highlight w:val="none"/>
        </w:rPr>
      </w:pPr>
    </w:p>
    <w:p w14:paraId="03A35704">
      <w:pPr>
        <w:rPr>
          <w:rFonts w:ascii="宋体" w:hAnsi="宋体"/>
          <w:color w:val="000000"/>
          <w:sz w:val="36"/>
          <w:highlight w:val="none"/>
        </w:rPr>
      </w:pPr>
    </w:p>
    <w:p w14:paraId="66BB93F4">
      <w:pPr>
        <w:rPr>
          <w:rFonts w:ascii="宋体" w:hAnsi="宋体"/>
          <w:color w:val="000000"/>
          <w:sz w:val="36"/>
          <w:highlight w:val="none"/>
        </w:rPr>
      </w:pPr>
    </w:p>
    <w:p w14:paraId="26351098">
      <w:pPr>
        <w:ind w:firstLine="1080"/>
        <w:rPr>
          <w:rFonts w:ascii="宋体" w:hAnsi="宋体"/>
          <w:color w:val="000000"/>
          <w:sz w:val="36"/>
          <w:highlight w:val="none"/>
          <w:u w:val="single"/>
        </w:rPr>
      </w:pPr>
      <w:r>
        <w:rPr>
          <w:rFonts w:hint="eastAsia" w:ascii="宋体" w:hAnsi="宋体"/>
          <w:color w:val="000000"/>
          <w:sz w:val="36"/>
          <w:highlight w:val="none"/>
        </w:rPr>
        <w:t>项目编号 ：</w:t>
      </w:r>
      <w:r>
        <w:rPr>
          <w:rFonts w:hint="eastAsia" w:ascii="宋体" w:hAnsi="宋体"/>
          <w:color w:val="000000"/>
          <w:sz w:val="36"/>
          <w:highlight w:val="none"/>
          <w:u w:val="single"/>
        </w:rPr>
        <w:t xml:space="preserve">                          </w:t>
      </w:r>
    </w:p>
    <w:p w14:paraId="1220FE9B">
      <w:pPr>
        <w:ind w:firstLine="1080"/>
        <w:rPr>
          <w:rFonts w:ascii="宋体" w:hAnsi="宋体"/>
          <w:color w:val="000000"/>
          <w:sz w:val="28"/>
          <w:szCs w:val="28"/>
          <w:highlight w:val="none"/>
          <w:u w:val="single"/>
        </w:rPr>
      </w:pPr>
      <w:r>
        <w:rPr>
          <w:rFonts w:hint="eastAsia" w:ascii="宋体" w:hAnsi="宋体"/>
          <w:color w:val="000000"/>
          <w:sz w:val="36"/>
          <w:highlight w:val="none"/>
        </w:rPr>
        <w:t>项目名称 ：</w:t>
      </w:r>
      <w:r>
        <w:rPr>
          <w:rFonts w:hint="eastAsia" w:ascii="宋体" w:hAnsi="宋体"/>
          <w:color w:val="000000"/>
          <w:sz w:val="36"/>
          <w:highlight w:val="none"/>
          <w:u w:val="single"/>
        </w:rPr>
        <w:t xml:space="preserve">                          </w:t>
      </w:r>
    </w:p>
    <w:p w14:paraId="02E30397">
      <w:pPr>
        <w:ind w:firstLine="1080"/>
        <w:rPr>
          <w:rFonts w:ascii="宋体" w:hAnsi="宋体"/>
          <w:color w:val="000000"/>
          <w:sz w:val="28"/>
          <w:highlight w:val="none"/>
          <w:u w:val="single"/>
        </w:rPr>
      </w:pPr>
      <w:r>
        <w:rPr>
          <w:rFonts w:hint="eastAsia" w:ascii="宋体" w:hAnsi="宋体"/>
          <w:color w:val="000000"/>
          <w:sz w:val="36"/>
          <w:highlight w:val="none"/>
        </w:rPr>
        <w:t>采购单位 ：</w:t>
      </w:r>
      <w:r>
        <w:rPr>
          <w:rFonts w:hint="eastAsia" w:ascii="宋体" w:hAnsi="宋体"/>
          <w:color w:val="000000"/>
          <w:sz w:val="36"/>
          <w:highlight w:val="none"/>
          <w:u w:val="single"/>
        </w:rPr>
        <w:t xml:space="preserve">    </w:t>
      </w:r>
      <w:r>
        <w:rPr>
          <w:rFonts w:hint="eastAsia" w:ascii="宋体" w:hAnsi="宋体"/>
          <w:color w:val="000000"/>
          <w:sz w:val="28"/>
          <w:highlight w:val="none"/>
          <w:u w:val="single"/>
        </w:rPr>
        <w:t xml:space="preserve">                            </w:t>
      </w:r>
    </w:p>
    <w:p w14:paraId="41A50165">
      <w:pPr>
        <w:ind w:firstLine="1080"/>
        <w:rPr>
          <w:rFonts w:ascii="宋体" w:hAnsi="宋体"/>
          <w:color w:val="000000"/>
          <w:sz w:val="36"/>
          <w:highlight w:val="none"/>
        </w:rPr>
      </w:pPr>
      <w:r>
        <w:rPr>
          <w:rFonts w:hint="eastAsia" w:ascii="宋体" w:hAnsi="宋体"/>
          <w:color w:val="000000"/>
          <w:sz w:val="36"/>
          <w:highlight w:val="none"/>
        </w:rPr>
        <w:t>服务单位 ：</w:t>
      </w:r>
      <w:r>
        <w:rPr>
          <w:rFonts w:hint="eastAsia" w:ascii="宋体" w:hAnsi="宋体"/>
          <w:color w:val="000000"/>
          <w:sz w:val="36"/>
          <w:highlight w:val="none"/>
          <w:u w:val="single"/>
        </w:rPr>
        <w:t xml:space="preserve">                          </w:t>
      </w:r>
    </w:p>
    <w:p w14:paraId="2DA0ABD4">
      <w:pPr>
        <w:ind w:firstLine="1080"/>
        <w:rPr>
          <w:rFonts w:ascii="宋体" w:hAnsi="宋体"/>
          <w:color w:val="000000"/>
          <w:sz w:val="36"/>
          <w:highlight w:val="none"/>
        </w:rPr>
      </w:pPr>
      <w:r>
        <w:rPr>
          <w:rFonts w:hint="eastAsia" w:ascii="宋体" w:hAnsi="宋体"/>
          <w:color w:val="000000"/>
          <w:sz w:val="36"/>
          <w:highlight w:val="none"/>
        </w:rPr>
        <w:t>签订日期 ：</w:t>
      </w:r>
      <w:r>
        <w:rPr>
          <w:rFonts w:hint="eastAsia" w:ascii="宋体" w:hAnsi="宋体"/>
          <w:color w:val="000000"/>
          <w:sz w:val="36"/>
          <w:highlight w:val="none"/>
          <w:u w:val="single"/>
        </w:rPr>
        <w:t xml:space="preserve">                          </w:t>
      </w:r>
    </w:p>
    <w:p w14:paraId="3187BC7E">
      <w:pPr>
        <w:widowControl w:val="0"/>
        <w:ind w:firstLine="756"/>
        <w:jc w:val="center"/>
        <w:rPr>
          <w:rFonts w:ascii="宋体" w:hAnsi="宋体" w:eastAsia="宋体" w:cs="宋体"/>
          <w:color w:val="000000"/>
          <w:sz w:val="40"/>
          <w:szCs w:val="15"/>
          <w:highlight w:val="none"/>
        </w:rPr>
      </w:pPr>
      <w:r>
        <w:rPr>
          <w:rFonts w:ascii="宋体" w:hAnsi="宋体"/>
          <w:color w:val="000000"/>
          <w:sz w:val="36"/>
          <w:highlight w:val="none"/>
        </w:rPr>
        <w:br w:type="page" w:clear="all"/>
      </w:r>
      <w:bookmarkStart w:id="96" w:name="OLE_LINK35"/>
      <w:r>
        <w:rPr>
          <w:rFonts w:hint="eastAsia" w:ascii="宋体" w:hAnsi="宋体" w:eastAsia="宋体" w:cs="宋体"/>
          <w:color w:val="000000"/>
          <w:sz w:val="40"/>
          <w:szCs w:val="15"/>
          <w:highlight w:val="none"/>
        </w:rPr>
        <w:t>南京市政府采购合同</w:t>
      </w:r>
    </w:p>
    <w:p w14:paraId="1B3B4C02">
      <w:pPr>
        <w:widowControl w:val="0"/>
        <w:rPr>
          <w:rFonts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zh-CN"/>
        </w:rPr>
        <w:t>合同编号：</w:t>
      </w:r>
      <w:r>
        <w:rPr>
          <w:rFonts w:hint="eastAsia" w:ascii="宋体" w:hAnsi="宋体" w:eastAsia="宋体" w:cs="宋体"/>
          <w:b/>
          <w:color w:val="000000"/>
          <w:sz w:val="24"/>
          <w:szCs w:val="24"/>
          <w:highlight w:val="none"/>
        </w:rPr>
        <w:t xml:space="preserve">                </w:t>
      </w:r>
    </w:p>
    <w:p w14:paraId="64DDF4BE">
      <w:pPr>
        <w:widowControl w:val="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政府采购计划号：</w:t>
      </w:r>
    </w:p>
    <w:tbl>
      <w:tblPr>
        <w:tblStyle w:val="37"/>
        <w:tblW w:w="0" w:type="auto"/>
        <w:tblInd w:w="-108" w:type="dxa"/>
        <w:tblLayout w:type="fixed"/>
        <w:tblCellMar>
          <w:top w:w="0" w:type="dxa"/>
          <w:left w:w="108" w:type="dxa"/>
          <w:bottom w:w="0" w:type="dxa"/>
          <w:right w:w="108" w:type="dxa"/>
        </w:tblCellMar>
      </w:tblPr>
      <w:tblGrid>
        <w:gridCol w:w="4758"/>
        <w:gridCol w:w="4643"/>
      </w:tblGrid>
      <w:tr w14:paraId="17464F64">
        <w:tc>
          <w:tcPr>
            <w:tcW w:w="4758" w:type="dxa"/>
            <w:tcBorders>
              <w:top w:val="nil"/>
              <w:left w:val="nil"/>
              <w:bottom w:val="nil"/>
              <w:right w:val="nil"/>
            </w:tcBorders>
          </w:tcPr>
          <w:p w14:paraId="15B0FCD8">
            <w:pPr>
              <w:widowControl w:val="0"/>
              <w:ind w:hanging="2400"/>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招标人（以下称甲方）</w:t>
            </w:r>
          </w:p>
        </w:tc>
        <w:tc>
          <w:tcPr>
            <w:tcW w:w="4643" w:type="dxa"/>
            <w:tcBorders>
              <w:top w:val="nil"/>
              <w:left w:val="nil"/>
              <w:bottom w:val="nil"/>
              <w:right w:val="nil"/>
            </w:tcBorders>
          </w:tcPr>
          <w:p w14:paraId="3BE79651">
            <w:pPr>
              <w:widowControl w:val="0"/>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供应商：（以下称乙方）</w:t>
            </w:r>
          </w:p>
        </w:tc>
      </w:tr>
      <w:tr w14:paraId="7D8A39F2">
        <w:tblPrEx>
          <w:tblCellMar>
            <w:top w:w="0" w:type="dxa"/>
            <w:left w:w="108" w:type="dxa"/>
            <w:bottom w:w="0" w:type="dxa"/>
            <w:right w:w="108" w:type="dxa"/>
          </w:tblCellMar>
        </w:tblPrEx>
        <w:tc>
          <w:tcPr>
            <w:tcW w:w="4758" w:type="dxa"/>
            <w:tcBorders>
              <w:top w:val="nil"/>
              <w:left w:val="nil"/>
              <w:bottom w:val="nil"/>
              <w:right w:val="nil"/>
            </w:tcBorders>
          </w:tcPr>
          <w:p w14:paraId="712F058B">
            <w:pPr>
              <w:widowControl w:val="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住所地：</w:t>
            </w:r>
          </w:p>
        </w:tc>
        <w:tc>
          <w:tcPr>
            <w:tcW w:w="4643" w:type="dxa"/>
            <w:tcBorders>
              <w:top w:val="nil"/>
              <w:left w:val="nil"/>
              <w:bottom w:val="nil"/>
              <w:right w:val="nil"/>
            </w:tcBorders>
          </w:tcPr>
          <w:p w14:paraId="35D0AA63">
            <w:pPr>
              <w:widowControl w:val="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住所地</w:t>
            </w:r>
            <w:r>
              <w:rPr>
                <w:rFonts w:hint="eastAsia" w:ascii="宋体" w:hAnsi="宋体" w:eastAsia="宋体" w:cs="宋体"/>
                <w:color w:val="000000"/>
                <w:sz w:val="24"/>
                <w:szCs w:val="24"/>
                <w:highlight w:val="none"/>
              </w:rPr>
              <w:t>：</w:t>
            </w:r>
          </w:p>
        </w:tc>
      </w:tr>
    </w:tbl>
    <w:p w14:paraId="64CE48B8">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（本合同格式仅为采购文件提供之范本，部分条款可在实际签订时根据项目情况由甲乙双方另行协商约定。）</w:t>
      </w:r>
    </w:p>
    <w:p w14:paraId="47543784">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根据《中华人民共和国政府采购法》、《中华人民共和国民法典》等法律法规的规定，甲乙双方按照采购代理机构的采购结果签订本合同。</w:t>
      </w:r>
    </w:p>
    <w:p w14:paraId="2F0567F9">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一、合同主要条件要素：</w:t>
      </w:r>
    </w:p>
    <w:p w14:paraId="72593A22">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1、乙方根据本合同的规定向甲方提供以下服务：</w:t>
      </w:r>
    </w:p>
    <w:p w14:paraId="19911B12">
      <w:pPr>
        <w:widowControl w:val="0"/>
        <w:ind w:firstLine="480"/>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承担江宁公安分局交警大队食堂的全部服务工作，</w:t>
      </w:r>
      <w:r>
        <w:rPr>
          <w:rFonts w:hint="eastAsia" w:ascii="宋体" w:hAnsi="宋体"/>
          <w:color w:val="000000"/>
          <w:sz w:val="24"/>
          <w:highlight w:val="none"/>
          <w:lang w:val="zh-CN"/>
        </w:rPr>
        <w:t>项目地址为</w:t>
      </w:r>
      <w:r>
        <w:rPr>
          <w:rFonts w:hint="eastAsia" w:ascii="宋体" w:hAnsi="宋体"/>
          <w:color w:val="000000"/>
          <w:sz w:val="24"/>
          <w:highlight w:val="none"/>
        </w:rPr>
        <w:t>南京市江宁区临麒南路8号和南京市江宁区秦淮路18号。（具体项目地址以甲方需求为主，若后期服务人数、服务地址或设备变动，中标人需遵从甲方意见。）</w:t>
      </w:r>
      <w:r>
        <w:rPr>
          <w:rFonts w:hint="eastAsia" w:ascii="宋体" w:hAnsi="宋体" w:eastAsia="宋体" w:cs="仿宋"/>
          <w:color w:val="000000"/>
          <w:sz w:val="24"/>
          <w:szCs w:val="24"/>
          <w:highlight w:val="none"/>
        </w:rPr>
        <w:t>包括但不限于食材采购、保存、加工、制作、食品留样、餐具清洗消毒，以及环境卫生、食品卫生等；须在确保服务质量的前提下，厉行节约、控制成本，杜绝浪费；须严格执行《食品安全法》等相关法律法规要求，严格落实食品安全管理制度，如因食品安全、餐饮质量等问题而产生任何后果，一切损失和责任均由中标人承担。情节严重的，依法追究责任。</w:t>
      </w:r>
    </w:p>
    <w:p w14:paraId="7ECDC59B">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2、合同金额：本合同项下投标报价为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元（大写：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）。（包含食材费和管理费，管理费用必须保障管理运营、人员工资最低费用。）</w:t>
      </w:r>
    </w:p>
    <w:p w14:paraId="79C913AA">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餐标单价：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元/人（早餐：</w:t>
      </w:r>
      <w:bookmarkStart w:id="97" w:name="OLE_LINK9"/>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元/</w:t>
      </w:r>
      <w:bookmarkEnd w:id="97"/>
      <w:r>
        <w:rPr>
          <w:rFonts w:hint="eastAsia" w:ascii="宋体" w:hAnsi="宋体" w:eastAsia="宋体" w:cs="宋体"/>
          <w:color w:val="000000"/>
          <w:sz w:val="24"/>
          <w:highlight w:val="none"/>
        </w:rPr>
        <w:t>人；中餐：</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元/人；晚餐：</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元/人）</w:t>
      </w:r>
    </w:p>
    <w:p w14:paraId="21E7D8E0">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乙方完成及达到本合同文件规定的要求与标准，完成与本服务项目有关的所有费用，均包含在合同金额中，委托人不再另行支付任何费用。</w:t>
      </w:r>
    </w:p>
    <w:p w14:paraId="5A398DE3">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3、服务期限： </w:t>
      </w:r>
    </w:p>
    <w:p w14:paraId="462A30F3">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本次项目服务</w:t>
      </w:r>
      <w:r>
        <w:rPr>
          <w:rFonts w:hint="eastAsia" w:ascii="宋体" w:hAnsi="宋体" w:eastAsia="宋体" w:cs="宋体"/>
          <w:color w:val="000000"/>
          <w:sz w:val="24"/>
          <w:highlight w:val="none"/>
        </w:rPr>
        <w:t>期自</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日起至</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日结束。</w:t>
      </w:r>
    </w:p>
    <w:p w14:paraId="033C421B">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4、付款方式：</w:t>
      </w:r>
    </w:p>
    <w:p w14:paraId="0A0D1B0A">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采购人按月向中标供应商支付餐饮服务费，月度服务费计算方式为：月度服务费 = 当月实际餐饮刷卡人数 × 中标餐标单价，每月应付金额以双方共同核定的当月实际服务费为准，按月先行支付。 季度考核对应的扣减金额，在本季度考核完成后的最近一期月度应付款中一并扣除。</w:t>
      </w:r>
    </w:p>
    <w:p w14:paraId="3034CB64">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注：</w:t>
      </w:r>
    </w:p>
    <w:p w14:paraId="366F1ED5">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1、供应商向采购人开具发票。</w:t>
      </w:r>
    </w:p>
    <w:p w14:paraId="2E8E648A">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2、供应商于合同履行期次月开始，根据双方核定的金额每月10日前开具发票，向采购人申请付款。 </w:t>
      </w:r>
    </w:p>
    <w:p w14:paraId="05F902AD">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3、采购人对供应商提供的付款资料审核通过后当月月底前以转账方式向供应商支付采购资金。 </w:t>
      </w:r>
    </w:p>
    <w:p w14:paraId="2032E580">
      <w:pPr>
        <w:widowControl w:val="0"/>
        <w:ind w:firstLine="520"/>
        <w:rPr>
          <w:rFonts w:ascii="宋体" w:hAnsi="宋体" w:eastAsia="宋体" w:cs="宋体"/>
          <w:color w:val="000000"/>
          <w:sz w:val="24"/>
          <w:highlight w:val="none"/>
        </w:rPr>
      </w:pPr>
      <w:r>
        <w:rPr>
          <w:rFonts w:hint="eastAsia" w:ascii="宋体" w:hAnsi="宋体" w:eastAsia="宋体" w:cs="宋体"/>
          <w:color w:val="000000"/>
          <w:spacing w:val="10"/>
          <w:sz w:val="24"/>
          <w:szCs w:val="24"/>
          <w:highlight w:val="none"/>
        </w:rPr>
        <w:t>4</w:t>
      </w:r>
      <w:bookmarkStart w:id="98" w:name="OLE_LINK31"/>
      <w:r>
        <w:rPr>
          <w:rFonts w:hint="eastAsia" w:ascii="宋体" w:hAnsi="宋体" w:eastAsia="宋体" w:cs="宋体"/>
          <w:color w:val="000000"/>
          <w:spacing w:val="10"/>
          <w:sz w:val="24"/>
          <w:szCs w:val="24"/>
          <w:highlight w:val="none"/>
        </w:rPr>
        <w:t>、</w:t>
      </w:r>
      <w:r>
        <w:rPr>
          <w:rFonts w:hint="eastAsia" w:ascii="宋体" w:hAnsi="宋体" w:eastAsia="宋体" w:cs="宋体"/>
          <w:color w:val="000000"/>
          <w:sz w:val="24"/>
          <w:highlight w:val="none"/>
        </w:rPr>
        <w:t>考核以季度为周期进行，合同价款根据每个季度考核结果支付，按如下原则确定调整比例：85分（含）以上为100%，80分（含）～85分为95%，75分（含）～80分为85%，70分（含）～75分为70%，70分以下经责令整改不到位，解除采购合同。季度考核对应的扣减金额，在本季度考核完成后的最近一期月度应付款中一并扣除。</w:t>
      </w:r>
    </w:p>
    <w:p w14:paraId="032A8770">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5、所使用货币币制如未作特别说明均为人民币</w:t>
      </w:r>
      <w:bookmarkEnd w:id="98"/>
      <w:r>
        <w:rPr>
          <w:rFonts w:hint="eastAsia" w:ascii="宋体" w:hAnsi="宋体" w:eastAsia="宋体" w:cs="宋体"/>
          <w:color w:val="000000"/>
          <w:sz w:val="24"/>
          <w:highlight w:val="none"/>
        </w:rPr>
        <w:t>。</w:t>
      </w:r>
    </w:p>
    <w:p w14:paraId="687E8ED5">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二、合同文件的组成和解释顺序如下：</w:t>
      </w:r>
    </w:p>
    <w:p w14:paraId="40583402">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1、本合同执行中双方共同签署的补充与修正文件及双方确认的明确双方权利、义务的会谈纪要；</w:t>
      </w:r>
    </w:p>
    <w:p w14:paraId="0F9B9856">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2.本合同书；</w:t>
      </w:r>
    </w:p>
    <w:p w14:paraId="65CA8830">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3.本项目中标或成交通知书；</w:t>
      </w:r>
    </w:p>
    <w:p w14:paraId="6750E42D">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3.乙方的本项目投标文件或响应文件；</w:t>
      </w:r>
    </w:p>
    <w:p w14:paraId="18FFB207">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4.本项目招标文件中的合同条款；</w:t>
      </w:r>
    </w:p>
    <w:p w14:paraId="7563A5FF">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5.本项目招标文件或采购文件中的采购需求；</w:t>
      </w:r>
    </w:p>
    <w:p w14:paraId="058101BE">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6.其他合同文件（需列明）。</w:t>
      </w:r>
    </w:p>
    <w:p w14:paraId="0FAC798A">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上述文件互相补充和解释，如有不明确或不一致之处，按照上述文件次序在先者为准。同一层次合同文件有矛盾的，以时间较后的为准。</w:t>
      </w:r>
    </w:p>
    <w:p w14:paraId="6E2C522F">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三、合同条款：</w:t>
      </w:r>
    </w:p>
    <w:p w14:paraId="3BDAD46F">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1.服务质量标准和要求</w:t>
      </w:r>
    </w:p>
    <w:p w14:paraId="67F405DB">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1.1乙方所提供的服务标准按照国家标准或地方标准或行业标准或企业标准确定，均有标准的以高者（严格者）为准。没有国家标准、地方标准、行业标准和企业标准的，按照通常标准或者符合合同目的的特定标准确定。</w:t>
      </w:r>
    </w:p>
    <w:p w14:paraId="45D04D8C">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1.2 乙方所提供的服务还应符合国家和南京市之有关规定。</w:t>
      </w:r>
    </w:p>
    <w:p w14:paraId="1EE78FF1">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2. 乙方的权利和义务</w:t>
      </w:r>
    </w:p>
    <w:p w14:paraId="3294236E">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2.1乙方有权在履行合同期间内取得按合同约定应有的报酬。</w:t>
      </w:r>
    </w:p>
    <w:p w14:paraId="36437E03">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2.2乙方在项目服务过程中，如甲方提供的资料不明确时可向甲方提出书面报告。</w:t>
      </w:r>
    </w:p>
    <w:p w14:paraId="7D139CE2">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2.3乙方有权在合同履行期间得到甲方必要的支持，有权拒绝执行甲方任何不符合有关法律、法规规定的要求。</w:t>
      </w:r>
    </w:p>
    <w:p w14:paraId="38B80319">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2.4乙方应严格遵守国家、地方的法律、法规的规定，保证在合法且不侵犯他人利益的原则下进行所委托项目服务活动，并对其所进行的与委托有关的服务活动负责。</w:t>
      </w:r>
    </w:p>
    <w:p w14:paraId="61E7D083">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2.5乙方应按本合同所述的时间、服务范围和内容，尽自己的一切努力，按行业通常接受的技术惯例和专业机构承认的标准，高效地履行自己的义务。在项目执行过程中支持和维护国家和甲方的合法利益；</w:t>
      </w:r>
    </w:p>
    <w:p w14:paraId="09A7BDC0">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2.6 乙方应对履行本合同所规定的服务以及在履行中因自己违约而给甲方造成的损失承担责任并应当向甲方进行赔偿，累计赔偿总额不应超过酬金总额。但</w:t>
      </w:r>
      <w:r>
        <w:rPr>
          <w:rFonts w:hint="eastAsia" w:ascii="宋体" w:hAnsi="宋体" w:eastAsia="宋体" w:cs="宋体"/>
          <w:color w:val="000000"/>
          <w:sz w:val="24"/>
          <w:highlight w:val="none"/>
          <w:lang w:val="en-US" w:eastAsia="zh-CN"/>
        </w:rPr>
        <w:t>下列</w:t>
      </w:r>
      <w:r>
        <w:rPr>
          <w:rFonts w:hint="eastAsia" w:ascii="宋体" w:hAnsi="宋体" w:eastAsia="宋体" w:cs="宋体"/>
          <w:color w:val="000000"/>
          <w:sz w:val="24"/>
          <w:highlight w:val="none"/>
        </w:rPr>
        <w:t>情况除外：</w:t>
      </w:r>
    </w:p>
    <w:p w14:paraId="0A8D3BD4">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（1）非乙方的行为、过失、违约或失职造成的损失或伤害；</w:t>
      </w:r>
    </w:p>
    <w:p w14:paraId="6A0ADE43">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（2）不可抗力造成的损失。</w:t>
      </w:r>
    </w:p>
    <w:p w14:paraId="4B8CBC20">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2.7乙方必须为本项目涉及的各种资料、数据和收据等保密。未经甲方书面同意，乙方及乙方员工不得泄露、遗失、复印与本合同规定业务活动有关的一切资料和内容。所有甲方或第三人（与合同业务有关相关单位）提供的与本合同规定业务活动有关的一切资料，在合同结束后均应归还。</w:t>
      </w:r>
    </w:p>
    <w:p w14:paraId="34F30319">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2.8乙方应对本项目所提供服务结果的可靠性、准确性、全面性向甲方负责，由于服务结果的可靠性、准确性、全面性不足而导致甲方工作偏差或失误，乙方应承担责任。</w:t>
      </w:r>
    </w:p>
    <w:p w14:paraId="40D8E7F0">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2.9乙方在履行合同期间或合同规定期限内，履行本合同所确定的项目负责人及主要专业技术、管理人员等必须是本单位职工和该项目的实际操作者，未经甲方同意，乙方不得调换或撤离上述人员。</w:t>
      </w:r>
    </w:p>
    <w:p w14:paraId="141E5238">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2.10乙方在本合同履行期间均不能直接或间接从事与本合同中活动相冲突的商业或职业活动，不得以任何理由向甲方任何工作人员行贿或有类似的行为。</w:t>
      </w:r>
    </w:p>
    <w:p w14:paraId="4CF643DF">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3. 甲方的权利和义务</w:t>
      </w:r>
    </w:p>
    <w:p w14:paraId="31B6E300">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3.1甲方有权向乙方询问工作进展情况及相关的内容， 有权检查乙方的服务工作质量，有权要求乙方以书面形式就前述内容进行汇报。</w:t>
      </w:r>
    </w:p>
    <w:p w14:paraId="3832C305">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3.2甲方有权对具体的问题提出建议和意见。</w:t>
      </w:r>
    </w:p>
    <w:p w14:paraId="29AF3647">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3.3当甲方认定项目服务专业人员不按项目服务合同履行其职责，或专业能力、管理能力、责任心较差，不能有效与甲方配合并履行其项目服务义务；或与第三人串通给甲方造成经济损失的，甲方有权要求更换项目服务专业人员，直至终止合同并要求乙方承担相应的赔偿责任。</w:t>
      </w:r>
    </w:p>
    <w:p w14:paraId="773D2D04">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3.4甲方有权同意或不同意乙方因自身工作需要而更换合同约定的主要工作小组成员的要求。</w:t>
      </w:r>
    </w:p>
    <w:p w14:paraId="118FB668">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3.5甲方有权得到合同范围内乙方的服务和其服务成果。乙方提交的全部服务成果及相关资料，所具有的知识产权归甲方所有并使用（合同另有规定的除外），乙方就此不做任何的权利保留。</w:t>
      </w:r>
    </w:p>
    <w:p w14:paraId="651B75D2">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3.6 甲方应当在合同履约中，督促、协调与本项目服务有关的第三人（与合同履行有关的相关单位）协同乙方办理有关服务事项。</w:t>
      </w:r>
    </w:p>
    <w:p w14:paraId="6277B369">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3.7甲方应当在7个工作日内就乙方书面提交并要求做出答复的事宜做出书面答复。乙方要求第三人提供有关资料时，甲方可根据自己的能力负责协调、转达及资料转送，但并不成为甲方当然的义务。</w:t>
      </w:r>
    </w:p>
    <w:p w14:paraId="021222EE">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3.8甲方应当履行本合同约定的义务，如有违反则应当承担违约责任，赔偿给乙方造成的直接经济损失。</w:t>
      </w:r>
    </w:p>
    <w:p w14:paraId="63EA9F26">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4. 违约责任</w:t>
      </w:r>
    </w:p>
    <w:p w14:paraId="7ED67D91">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4.1乙方未按合同约定的质量标准履行服务职责，但未给甲方造成损失的，甲方可要求乙方整改，乙方达到服务质量标准后，甲方应支付相应的服务费用。</w:t>
      </w:r>
    </w:p>
    <w:p w14:paraId="0ECD264C">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4.2乙方未按合同约定的质量标准履行服务职责，给甲方造成损失的，乙方应按实赔偿，并向甲方支付违约金，违约金最高为合同金额的5%。因乙方服务能力、服务质量问题导致甲方无法实现合同目的的，甲方有权单方解除合同并根据情况向乙方追回已付合同款项及追索给甲方造成的实际损失。</w:t>
      </w:r>
    </w:p>
    <w:p w14:paraId="11D3A814">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4.3因乙方原因导致违反法律、法规和规章规定的行为的，甲方有权单方解除合同，并要求乙方按合同4.2条承担违约金并赔偿相关损失。</w:t>
      </w:r>
    </w:p>
    <w:p w14:paraId="7035CC9B">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4.4合同履约过程中，若乙方在合同中承诺的主要服务人员安排情况自行变动而未经甲方同意的，将按照合同4.2条的违约责任处理，情况严重者，甲方有权终止合同。</w:t>
      </w:r>
    </w:p>
    <w:p w14:paraId="0F455B27">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5. 争议解决方式</w:t>
      </w:r>
    </w:p>
    <w:p w14:paraId="5F0E0602">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5.1双方发生争议的，可协商解决，或向有关部门申请调解；也可（请在选择项中打“√”）</w:t>
      </w:r>
    </w:p>
    <w:p w14:paraId="6EB35580">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   ）提请甲方所在地仲裁委员会仲裁。</w:t>
      </w:r>
    </w:p>
    <w:p w14:paraId="034024FA">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 ）向甲方所在地法院提起诉讼。</w:t>
      </w:r>
    </w:p>
    <w:p w14:paraId="346304E5">
      <w:pPr>
        <w:widowControl w:val="0"/>
        <w:ind w:firstLine="482"/>
        <w:rPr>
          <w:rFonts w:ascii="宋体" w:hAnsi="宋体" w:eastAsia="宋体" w:cs="宋体"/>
          <w:b/>
          <w:bCs/>
          <w:color w:val="000000"/>
          <w:sz w:val="24"/>
          <w:highlight w:val="none"/>
        </w:rPr>
      </w:pPr>
      <w:r>
        <w:rPr>
          <w:rFonts w:hint="eastAsia" w:ascii="宋体" w:hAnsi="宋体" w:eastAsia="宋体" w:cs="宋体"/>
          <w:b/>
          <w:bCs/>
          <w:color w:val="000000"/>
          <w:sz w:val="24"/>
          <w:highlight w:val="none"/>
        </w:rPr>
        <w:t>其它约定事项：</w:t>
      </w:r>
    </w:p>
    <w:p w14:paraId="12651798">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lang w:val="zh-CN"/>
        </w:rPr>
        <w:t>（一）</w:t>
      </w:r>
      <w:r>
        <w:rPr>
          <w:rFonts w:hint="eastAsia" w:ascii="宋体" w:hAnsi="宋体" w:eastAsia="宋体" w:cs="宋体"/>
          <w:color w:val="000000"/>
          <w:sz w:val="24"/>
          <w:highlight w:val="none"/>
        </w:rPr>
        <w:t>交货时间、地点与方式： 根据双方协商决定配送时间，中标人每天将招标人提供的订单内所有主副食品送到招标人指定的地点并配送完毕，中标人提供《送货清单》一式三份，双方现场过秤并验收签名，作结算凭证。</w:t>
      </w:r>
    </w:p>
    <w:p w14:paraId="359F3E57">
      <w:pPr>
        <w:widowControl w:val="0"/>
        <w:ind w:firstLine="480"/>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（二）售后服务：</w:t>
      </w:r>
    </w:p>
    <w:p w14:paraId="786CEF5F">
      <w:pPr>
        <w:widowControl w:val="0"/>
        <w:ind w:firstLine="480"/>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中标人（乙方）应对招标人配送做出以下服务承诺（包括但不限于以下内容）：</w:t>
      </w:r>
    </w:p>
    <w:p w14:paraId="483A8C3E">
      <w:pPr>
        <w:widowControl w:val="0"/>
        <w:ind w:firstLine="480"/>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1、按照国家《产品质量法》、《食品安全法》和招标书提供的《</w:t>
      </w:r>
      <w:r>
        <w:rPr>
          <w:rFonts w:hint="eastAsia" w:ascii="宋体" w:hAnsi="宋体" w:eastAsia="宋体" w:cs="宋体"/>
          <w:color w:val="000000"/>
          <w:sz w:val="24"/>
          <w:highlight w:val="none"/>
        </w:rPr>
        <w:t>主</w:t>
      </w:r>
      <w:r>
        <w:rPr>
          <w:rFonts w:hint="eastAsia" w:ascii="宋体" w:hAnsi="宋体" w:eastAsia="宋体" w:cs="宋体"/>
          <w:color w:val="000000"/>
          <w:sz w:val="24"/>
          <w:highlight w:val="none"/>
          <w:lang w:val="zh-CN"/>
        </w:rPr>
        <w:t>副食品质量标准》等相关规定，保质、保量为甲方供应所需</w:t>
      </w:r>
      <w:r>
        <w:rPr>
          <w:rFonts w:hint="eastAsia" w:ascii="宋体" w:hAnsi="宋体" w:eastAsia="宋体" w:cs="宋体"/>
          <w:color w:val="000000"/>
          <w:sz w:val="24"/>
          <w:highlight w:val="none"/>
        </w:rPr>
        <w:t>主</w:t>
      </w:r>
      <w:r>
        <w:rPr>
          <w:rFonts w:hint="eastAsia" w:ascii="宋体" w:hAnsi="宋体" w:eastAsia="宋体" w:cs="宋体"/>
          <w:color w:val="000000"/>
          <w:sz w:val="24"/>
          <w:highlight w:val="none"/>
          <w:lang w:val="zh-CN"/>
        </w:rPr>
        <w:t>副食品，做到各类资质齐全。若供应的货物出现质量问题，引发不良事件发生，由乙方承担全部经济责任和法律责任。</w:t>
      </w:r>
    </w:p>
    <w:p w14:paraId="0A7A12DD">
      <w:pPr>
        <w:widowControl w:val="0"/>
        <w:ind w:firstLine="480"/>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2、在服务过程中，严格按照甲方要求的时间供货，未按时将货物送达指定地点，给甲方造成的损失概由乙方承担。</w:t>
      </w:r>
    </w:p>
    <w:p w14:paraId="20D1039A">
      <w:pPr>
        <w:widowControl w:val="0"/>
        <w:ind w:firstLine="480"/>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3、乙方保证按照甲方要求的品种、规格、数量进行配送，验收时若发现货物质量未达到招标文件规定，乙方无条件在甲方规定时间内更换，由此产生的相关费用由乙方承担；若未更换或未按时更换，乙方自愿接受甲方的处罚。</w:t>
      </w:r>
    </w:p>
    <w:p w14:paraId="063A2E30">
      <w:pPr>
        <w:widowControl w:val="0"/>
        <w:ind w:firstLine="480"/>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4、若乙方出现对不符合质量要求的产品不予更换或未按时更换的情况三次，甲方有权扣除乙方全部履约保证金并解除本合同。</w:t>
      </w:r>
    </w:p>
    <w:p w14:paraId="24951AD4">
      <w:pPr>
        <w:widowControl w:val="0"/>
        <w:ind w:firstLine="480"/>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5、乙方接到甲方每批次送货通知后，超过1日未能履行送货义务，甲方有权解除本合同，履约保证金予以没收。 </w:t>
      </w:r>
    </w:p>
    <w:p w14:paraId="1F52CB89">
      <w:pPr>
        <w:widowControl w:val="0"/>
        <w:ind w:firstLine="480"/>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6、甲方临时补货，乙方按要求按时送货，若未按时送货造成的所有损失由乙方承担。</w:t>
      </w:r>
    </w:p>
    <w:p w14:paraId="7384B258">
      <w:pPr>
        <w:widowControl w:val="0"/>
        <w:ind w:firstLine="480"/>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7、在服务过程中，乙方保证不得向</w:t>
      </w:r>
      <w:r>
        <w:rPr>
          <w:rFonts w:hint="eastAsia" w:ascii="宋体" w:hAnsi="宋体" w:eastAsia="宋体" w:cs="宋体"/>
          <w:color w:val="000000"/>
          <w:sz w:val="24"/>
          <w:highlight w:val="none"/>
        </w:rPr>
        <w:t>招标人</w:t>
      </w:r>
      <w:r>
        <w:rPr>
          <w:rFonts w:hint="eastAsia" w:ascii="宋体" w:hAnsi="宋体" w:eastAsia="宋体" w:cs="宋体"/>
          <w:color w:val="000000"/>
          <w:sz w:val="24"/>
          <w:highlight w:val="none"/>
          <w:lang w:val="zh-CN"/>
        </w:rPr>
        <w:t>相关人员提供回扣等违纪事件的发生。</w:t>
      </w:r>
    </w:p>
    <w:p w14:paraId="7D7EBBAD">
      <w:pPr>
        <w:widowControl w:val="0"/>
        <w:ind w:firstLine="480"/>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8、在服务过程中，供货方严格遵守地方和部队的交通安全规定及有关管理规定，如有违反，发生交通事故等，由乙方承担全部经济责任和法律责任。</w:t>
      </w:r>
    </w:p>
    <w:p w14:paraId="03313D5B">
      <w:pPr>
        <w:widowControl w:val="0"/>
        <w:ind w:firstLine="480"/>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9、乙方承诺参加此次招标采购活动前三年内，无违法违规行为，无行业处罚、惩戒等不良执业记录及不良反映。如有隐瞒，乙方将承担一切法律后果。</w:t>
      </w:r>
    </w:p>
    <w:p w14:paraId="4E7DBEE2">
      <w:pPr>
        <w:widowControl w:val="0"/>
        <w:ind w:firstLine="480"/>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10、对于违反上述条款要求，</w:t>
      </w:r>
      <w:r>
        <w:rPr>
          <w:rFonts w:hint="eastAsia" w:ascii="宋体" w:hAnsi="宋体" w:eastAsia="宋体" w:cs="宋体"/>
          <w:color w:val="000000"/>
          <w:sz w:val="24"/>
          <w:highlight w:val="none"/>
        </w:rPr>
        <w:t>招标人</w:t>
      </w:r>
      <w:r>
        <w:rPr>
          <w:rFonts w:hint="eastAsia" w:ascii="宋体" w:hAnsi="宋体" w:eastAsia="宋体" w:cs="宋体"/>
          <w:color w:val="000000"/>
          <w:sz w:val="24"/>
          <w:highlight w:val="none"/>
          <w:lang w:val="zh-CN"/>
        </w:rPr>
        <w:t>有权终止和取消乙方的供货资格。</w:t>
      </w:r>
    </w:p>
    <w:p w14:paraId="49A4ECDB">
      <w:pPr>
        <w:widowControl w:val="0"/>
        <w:ind w:firstLine="480"/>
        <w:rPr>
          <w:rFonts w:ascii="宋体" w:hAnsi="宋体" w:eastAsia="宋体" w:cs="宋体"/>
          <w:color w:val="000000"/>
          <w:highlight w:val="none"/>
        </w:rPr>
      </w:pPr>
      <w:r>
        <w:rPr>
          <w:rFonts w:hint="eastAsia" w:ascii="宋体" w:hAnsi="宋体" w:eastAsia="宋体" w:cs="宋体"/>
          <w:color w:val="000000"/>
          <w:sz w:val="24"/>
          <w:highlight w:val="none"/>
        </w:rPr>
        <w:t>11、乙方在服务期间必须遵守军地相关疫情防控要求。</w:t>
      </w:r>
    </w:p>
    <w:p w14:paraId="1C51F2C3">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7. 合同附件</w:t>
      </w:r>
    </w:p>
    <w:p w14:paraId="012B128B">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7.1 本合同附件与合同具有同等效力。</w:t>
      </w:r>
    </w:p>
    <w:p w14:paraId="747B03D5">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7.2合同文件应能相互解释，互为说明。若合同文件之间有矛盾，则以最新的文件为准。</w:t>
      </w:r>
    </w:p>
    <w:p w14:paraId="6C6DAD9E">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8. 合同修改</w:t>
      </w:r>
    </w:p>
    <w:p w14:paraId="3B04A524">
      <w:pPr>
        <w:widowControl w:val="0"/>
        <w:ind w:firstLine="480"/>
        <w:rPr>
          <w:rFonts w:ascii="宋体" w:hAnsi="宋体" w:eastAsia="宋体" w:cs="宋体"/>
          <w:color w:val="000000"/>
          <w:sz w:val="24"/>
          <w:highlight w:val="none"/>
        </w:rPr>
      </w:pPr>
      <w:r>
        <w:rPr>
          <w:rFonts w:hint="eastAsia" w:ascii="宋体" w:hAnsi="宋体" w:eastAsia="宋体" w:cs="宋体"/>
          <w:color w:val="000000"/>
          <w:sz w:val="24"/>
          <w:highlight w:val="none"/>
        </w:rPr>
        <w:t>8.1 除了双方签署书面修改协议，并成为本合同不可分割的一部分之外，本合同条件不得有任何变化或修改。</w:t>
      </w:r>
    </w:p>
    <w:p w14:paraId="69842223">
      <w:pPr>
        <w:widowControl w:val="0"/>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9.合同生效及其他 </w:t>
      </w:r>
    </w:p>
    <w:p w14:paraId="53B5E7F5">
      <w:pPr>
        <w:widowControl w:val="0"/>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9.1本合同自签订之日起生效。 </w:t>
      </w:r>
    </w:p>
    <w:p w14:paraId="266E93A1">
      <w:pPr>
        <w:widowControl w:val="0"/>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9.2合同中有关双方的地址、传真等联系方式等信息均为双方的文书信息送达地址，变更须书面通知对方。</w:t>
      </w:r>
    </w:p>
    <w:p w14:paraId="2F5BD704">
      <w:pPr>
        <w:widowControl w:val="0"/>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9.3本合同自签订地点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4934BAA6">
      <w:pPr>
        <w:widowControl w:val="0"/>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9.4本合同壹式肆份，甲乙双方各执</w:t>
      </w:r>
      <w:r>
        <w:rPr>
          <w:rFonts w:ascii="宋体" w:hAnsi="宋体" w:eastAsia="宋体" w:cs="黑体"/>
          <w:color w:val="000000"/>
          <w:sz w:val="24"/>
          <w:szCs w:val="24"/>
          <w:highlight w:val="none"/>
        </w:rPr>
        <w:t>贰</w:t>
      </w:r>
      <w:r>
        <w:rPr>
          <w:rFonts w:hint="eastAsia" w:ascii="宋体" w:hAnsi="宋体" w:eastAsia="宋体" w:cs="宋体"/>
          <w:color w:val="000000"/>
          <w:sz w:val="24"/>
          <w:szCs w:val="24"/>
          <w:highlight w:val="none"/>
        </w:rPr>
        <w:t>份。</w:t>
      </w:r>
    </w:p>
    <w:p w14:paraId="554E92D7">
      <w:pPr>
        <w:widowControl w:val="0"/>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10.</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本合同应按照中华人民共和国的现行法律进行解释。 </w:t>
      </w:r>
    </w:p>
    <w:p w14:paraId="21EAA3B4">
      <w:pPr>
        <w:widowControl w:val="0"/>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甲方（采购人）：（盖章）             乙方（供应商）：（盖章） </w:t>
      </w:r>
    </w:p>
    <w:p w14:paraId="15FF6CFF">
      <w:pPr>
        <w:widowControl w:val="0"/>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 定 代 表 人 ：                    法 定 代 表 人 ：        </w:t>
      </w:r>
    </w:p>
    <w:p w14:paraId="3ADD5777">
      <w:pPr>
        <w:widowControl w:val="0"/>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 托 代 理 人 ：                    委 托 代 理 人 ： </w:t>
      </w:r>
    </w:p>
    <w:p w14:paraId="4B814A4B">
      <w:pPr>
        <w:widowControl w:val="0"/>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          话 ：                    电          话 ： </w:t>
      </w:r>
    </w:p>
    <w:p w14:paraId="5863A320">
      <w:pPr>
        <w:widowControl w:val="0"/>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 户    银 行 ：                    开 户    银 行 ： </w:t>
      </w:r>
    </w:p>
    <w:p w14:paraId="5DD306E4">
      <w:pPr>
        <w:widowControl w:val="0"/>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帐          号 ：                    帐          号 ： </w:t>
      </w:r>
    </w:p>
    <w:p w14:paraId="428AB0D7">
      <w:pPr>
        <w:widowControl w:val="0"/>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 位    地 址 ：                    单 位    地 址 ：  </w:t>
      </w:r>
    </w:p>
    <w:p w14:paraId="4D4886C1">
      <w:pPr>
        <w:widowControl w:val="0"/>
        <w:ind w:firstLine="480"/>
        <w:rPr>
          <w:rFonts w:ascii="宋体" w:hAnsi="宋体" w:eastAsia="宋体" w:cs="黑体"/>
          <w:color w:val="000000"/>
          <w:sz w:val="24"/>
          <w:szCs w:val="24"/>
          <w:highlight w:val="none"/>
        </w:rPr>
      </w:pPr>
      <w:r>
        <w:rPr>
          <w:rFonts w:hint="eastAsia" w:ascii="宋体" w:hAnsi="宋体" w:eastAsia="宋体" w:cs="宋体"/>
          <w:color w:val="000000"/>
          <w:sz w:val="24"/>
          <w:szCs w:val="24"/>
          <w:highlight w:val="none"/>
        </w:rPr>
        <w:t>日期 ：    年    月    日            日期 ：    年    月   日</w:t>
      </w:r>
    </w:p>
    <w:p w14:paraId="2F86393C">
      <w:pPr>
        <w:rPr>
          <w:highlight w:val="none"/>
        </w:rPr>
      </w:pPr>
    </w:p>
    <w:p w14:paraId="1ADBA330">
      <w:pPr>
        <w:rPr>
          <w:highlight w:val="none"/>
        </w:rPr>
      </w:pPr>
      <w:r>
        <w:rPr>
          <w:highlight w:val="none"/>
        </w:rPr>
        <w:br w:type="page"/>
      </w:r>
    </w:p>
    <w:p w14:paraId="118FF40F">
      <w:pPr>
        <w:rPr>
          <w:highlight w:val="none"/>
        </w:rPr>
      </w:pPr>
      <w:r>
        <w:rPr>
          <w:rFonts w:hint="eastAsia"/>
          <w:highlight w:val="none"/>
        </w:rPr>
        <w:t>附件1：</w:t>
      </w:r>
    </w:p>
    <w:p w14:paraId="492B832A">
      <w:pPr>
        <w:widowControl w:val="0"/>
        <w:spacing w:line="360" w:lineRule="auto"/>
        <w:ind w:firstLine="504"/>
        <w:rPr>
          <w:rFonts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合同价款根据每个季度考核结果支付，按如下原则确定调整比例：85分（含）以上为100%，80分（含）～85分为95%，75分（含）～80分为85%，70分（含）～75分为70%，70分以下经责令整改不到位，解除采购合同。</w:t>
      </w:r>
    </w:p>
    <w:p w14:paraId="2F4F8DE7">
      <w:pPr>
        <w:pBdr>
          <w:top w:val="none" w:color="000000" w:sz="0" w:space="0"/>
          <w:left w:val="none" w:color="000000" w:sz="0" w:space="0"/>
          <w:bottom w:val="none" w:color="000000" w:sz="0" w:space="0"/>
          <w:right w:val="none" w:color="000000" w:sz="0" w:space="0"/>
        </w:pBdr>
        <w:spacing w:line="360" w:lineRule="auto"/>
        <w:ind w:firstLine="4536" w:firstLineChars="1800"/>
        <w:rPr>
          <w:rFonts w:ascii="宋体" w:hAnsi="宋体" w:eastAsia="宋体" w:cs="宋体"/>
          <w:highlight w:val="none"/>
        </w:rPr>
      </w:pPr>
      <w:r>
        <w:rPr>
          <w:rFonts w:hint="eastAsia" w:ascii="宋体" w:hAnsi="宋体" w:eastAsia="宋体" w:cs="宋体"/>
          <w:color w:val="000000"/>
          <w:spacing w:val="6"/>
          <w:sz w:val="24"/>
          <w:szCs w:val="24"/>
          <w:highlight w:val="none"/>
        </w:rPr>
        <w:t>季度考核表</w:t>
      </w:r>
    </w:p>
    <w:tbl>
      <w:tblPr>
        <w:tblStyle w:val="37"/>
        <w:tblW w:w="89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2"/>
        <w:gridCol w:w="778"/>
        <w:gridCol w:w="4773"/>
        <w:gridCol w:w="1940"/>
        <w:gridCol w:w="737"/>
      </w:tblGrid>
      <w:tr w14:paraId="1D4D73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21" w:type="dxa"/>
            <w:tcBorders>
              <w:top w:val="single" w:color="000000" w:sz="4" w:space="0"/>
              <w:left w:val="single" w:color="000000" w:sz="4" w:space="0"/>
              <w:bottom w:val="single" w:color="000000" w:sz="4" w:space="0"/>
              <w:right w:val="single" w:color="000000" w:sz="4" w:space="0"/>
            </w:tcBorders>
            <w:vAlign w:val="center"/>
          </w:tcPr>
          <w:p w14:paraId="3C1AFB16">
            <w:pPr>
              <w:pStyle w:val="222"/>
              <w:widowControl w:val="0"/>
              <w:spacing w:after="0"/>
              <w:ind w:firstLine="0"/>
              <w:jc w:val="center"/>
              <w:rPr>
                <w:b/>
                <w:bCs/>
                <w:color w:val="000000"/>
                <w:kern w:val="2"/>
                <w:sz w:val="24"/>
                <w:szCs w:val="24"/>
                <w:highlight w:val="none"/>
              </w:rPr>
            </w:pPr>
            <w:r>
              <w:rPr>
                <w:rFonts w:hint="eastAsia"/>
                <w:b/>
                <w:bCs/>
                <w:color w:val="000000"/>
                <w:kern w:val="2"/>
                <w:sz w:val="24"/>
                <w:szCs w:val="24"/>
                <w:highlight w:val="none"/>
              </w:rPr>
              <w:t>项目</w:t>
            </w:r>
          </w:p>
        </w:tc>
        <w:tc>
          <w:tcPr>
            <w:tcW w:w="5548" w:type="dxa"/>
            <w:gridSpan w:val="2"/>
            <w:tcBorders>
              <w:top w:val="single" w:color="000000" w:sz="4" w:space="0"/>
              <w:left w:val="single" w:color="000000" w:sz="4" w:space="0"/>
              <w:bottom w:val="single" w:color="000000" w:sz="4" w:space="0"/>
              <w:right w:val="single" w:color="000000" w:sz="4" w:space="0"/>
            </w:tcBorders>
            <w:vAlign w:val="center"/>
          </w:tcPr>
          <w:p w14:paraId="1F7F9A28">
            <w:pPr>
              <w:pStyle w:val="222"/>
              <w:widowControl w:val="0"/>
              <w:spacing w:after="0"/>
              <w:ind w:firstLine="0"/>
              <w:jc w:val="center"/>
              <w:rPr>
                <w:b/>
                <w:bCs/>
                <w:color w:val="000000"/>
                <w:kern w:val="2"/>
                <w:sz w:val="24"/>
                <w:szCs w:val="24"/>
                <w:highlight w:val="none"/>
              </w:rPr>
            </w:pPr>
            <w:r>
              <w:rPr>
                <w:rFonts w:hint="eastAsia"/>
                <w:b/>
                <w:bCs/>
                <w:color w:val="000000"/>
                <w:kern w:val="2"/>
                <w:sz w:val="24"/>
                <w:szCs w:val="24"/>
                <w:highlight w:val="none"/>
              </w:rPr>
              <w:t>检查具体内容</w:t>
            </w:r>
          </w:p>
        </w:tc>
        <w:tc>
          <w:tcPr>
            <w:tcW w:w="1939" w:type="dxa"/>
            <w:tcBorders>
              <w:top w:val="single" w:color="000000" w:sz="4" w:space="0"/>
              <w:left w:val="single" w:color="000000" w:sz="4" w:space="0"/>
              <w:bottom w:val="single" w:color="000000" w:sz="4" w:space="0"/>
              <w:right w:val="single" w:color="000000" w:sz="4" w:space="0"/>
            </w:tcBorders>
            <w:vAlign w:val="center"/>
          </w:tcPr>
          <w:p w14:paraId="08BBD0AF">
            <w:pPr>
              <w:pStyle w:val="222"/>
              <w:widowControl w:val="0"/>
              <w:spacing w:after="0"/>
              <w:ind w:firstLine="0"/>
              <w:jc w:val="center"/>
              <w:rPr>
                <w:b/>
                <w:bCs/>
                <w:color w:val="000000"/>
                <w:kern w:val="2"/>
                <w:sz w:val="24"/>
                <w:szCs w:val="24"/>
                <w:highlight w:val="none"/>
              </w:rPr>
            </w:pPr>
            <w:r>
              <w:rPr>
                <w:rFonts w:hint="eastAsia"/>
                <w:b/>
                <w:bCs/>
                <w:color w:val="000000"/>
                <w:kern w:val="2"/>
                <w:sz w:val="24"/>
                <w:szCs w:val="24"/>
                <w:highlight w:val="none"/>
              </w:rPr>
              <w:t>评分标准</w:t>
            </w:r>
          </w:p>
        </w:tc>
        <w:tc>
          <w:tcPr>
            <w:tcW w:w="737" w:type="dxa"/>
            <w:tcBorders>
              <w:top w:val="single" w:color="000000" w:sz="4" w:space="0"/>
              <w:left w:val="single" w:color="000000" w:sz="4" w:space="0"/>
              <w:bottom w:val="single" w:color="000000" w:sz="4" w:space="0"/>
              <w:right w:val="single" w:color="000000" w:sz="4" w:space="0"/>
            </w:tcBorders>
            <w:vAlign w:val="center"/>
          </w:tcPr>
          <w:p w14:paraId="2A96D716">
            <w:pPr>
              <w:pStyle w:val="222"/>
              <w:widowControl w:val="0"/>
              <w:spacing w:after="0"/>
              <w:ind w:firstLine="0"/>
              <w:jc w:val="center"/>
              <w:rPr>
                <w:b/>
                <w:bCs/>
                <w:color w:val="000000"/>
                <w:kern w:val="2"/>
                <w:sz w:val="24"/>
                <w:szCs w:val="24"/>
                <w:highlight w:val="none"/>
              </w:rPr>
            </w:pPr>
            <w:r>
              <w:rPr>
                <w:rFonts w:hint="eastAsia"/>
                <w:b/>
                <w:bCs/>
                <w:color w:val="000000"/>
                <w:kern w:val="2"/>
                <w:sz w:val="24"/>
                <w:szCs w:val="24"/>
                <w:highlight w:val="none"/>
              </w:rPr>
              <w:t>分值</w:t>
            </w:r>
          </w:p>
        </w:tc>
      </w:tr>
      <w:tr w14:paraId="3F4CC2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21" w:type="dxa"/>
            <w:vMerge w:val="restart"/>
            <w:tcBorders>
              <w:top w:val="single" w:color="000000" w:sz="4" w:space="0"/>
              <w:left w:val="single" w:color="000000" w:sz="4" w:space="0"/>
              <w:bottom w:val="single" w:color="000000" w:sz="4" w:space="0"/>
              <w:right w:val="single" w:color="000000" w:sz="4" w:space="0"/>
            </w:tcBorders>
            <w:vAlign w:val="center"/>
          </w:tcPr>
          <w:p w14:paraId="10BED2A5">
            <w:pPr>
              <w:pStyle w:val="222"/>
              <w:widowControl w:val="0"/>
              <w:spacing w:after="0"/>
              <w:ind w:firstLine="0"/>
              <w:jc w:val="center"/>
              <w:rPr>
                <w:color w:val="000000"/>
                <w:kern w:val="2"/>
                <w:sz w:val="24"/>
                <w:szCs w:val="24"/>
                <w:highlight w:val="none"/>
              </w:rPr>
            </w:pPr>
            <w:r>
              <w:rPr>
                <w:rFonts w:hint="eastAsia"/>
                <w:color w:val="000000"/>
                <w:kern w:val="2"/>
                <w:sz w:val="24"/>
                <w:szCs w:val="24"/>
                <w:highlight w:val="none"/>
              </w:rPr>
              <w:t>伙食质量</w:t>
            </w:r>
            <w:r>
              <w:rPr>
                <w:color w:val="000000"/>
                <w:kern w:val="2"/>
                <w:sz w:val="24"/>
                <w:szCs w:val="24"/>
                <w:highlight w:val="none"/>
              </w:rPr>
              <w:t>18</w:t>
            </w:r>
            <w:r>
              <w:rPr>
                <w:rFonts w:hint="eastAsia"/>
                <w:color w:val="000000"/>
                <w:spacing w:val="-35"/>
                <w:kern w:val="2"/>
                <w:sz w:val="24"/>
                <w:szCs w:val="24"/>
                <w:highlight w:val="none"/>
              </w:rPr>
              <w:t>分</w:t>
            </w:r>
          </w:p>
        </w:tc>
        <w:tc>
          <w:tcPr>
            <w:tcW w:w="778" w:type="dxa"/>
            <w:tcBorders>
              <w:top w:val="single" w:color="000000" w:sz="4" w:space="0"/>
              <w:left w:val="single" w:color="000000" w:sz="4" w:space="0"/>
              <w:bottom w:val="single" w:color="000000" w:sz="4" w:space="0"/>
              <w:right w:val="single" w:color="000000" w:sz="4" w:space="0"/>
            </w:tcBorders>
            <w:vAlign w:val="center"/>
          </w:tcPr>
          <w:p w14:paraId="67F36A15">
            <w:pPr>
              <w:pStyle w:val="222"/>
              <w:widowControl w:val="0"/>
              <w:spacing w:after="0"/>
              <w:ind w:firstLine="0"/>
              <w:jc w:val="center"/>
              <w:rPr>
                <w:color w:val="000000"/>
                <w:kern w:val="2"/>
                <w:sz w:val="24"/>
                <w:szCs w:val="24"/>
                <w:highlight w:val="none"/>
              </w:rPr>
            </w:pPr>
            <w:r>
              <w:rPr>
                <w:rFonts w:hint="eastAsia"/>
                <w:color w:val="000000"/>
                <w:kern w:val="2"/>
                <w:sz w:val="24"/>
                <w:szCs w:val="24"/>
                <w:highlight w:val="none"/>
              </w:rPr>
              <w:t>打饭</w:t>
            </w:r>
          </w:p>
        </w:tc>
        <w:tc>
          <w:tcPr>
            <w:tcW w:w="4770" w:type="dxa"/>
            <w:tcBorders>
              <w:top w:val="single" w:color="000000" w:sz="4" w:space="0"/>
              <w:left w:val="single" w:color="000000" w:sz="4" w:space="0"/>
              <w:bottom w:val="single" w:color="000000" w:sz="4" w:space="0"/>
              <w:right w:val="single" w:color="000000" w:sz="4" w:space="0"/>
            </w:tcBorders>
            <w:vAlign w:val="center"/>
          </w:tcPr>
          <w:p w14:paraId="5BE1B5BB">
            <w:pPr>
              <w:pStyle w:val="211"/>
              <w:widowControl w:val="0"/>
              <w:rPr>
                <w:color w:val="000000"/>
                <w:kern w:val="2"/>
                <w:sz w:val="24"/>
                <w:szCs w:val="24"/>
                <w:highlight w:val="none"/>
              </w:rPr>
            </w:pPr>
            <w:r>
              <w:rPr>
                <w:color w:val="000000"/>
                <w:kern w:val="2"/>
                <w:sz w:val="24"/>
                <w:szCs w:val="24"/>
                <w:highlight w:val="none"/>
              </w:rPr>
              <w:t>1</w:t>
            </w:r>
            <w:r>
              <w:rPr>
                <w:rFonts w:hint="eastAsia"/>
                <w:color w:val="000000"/>
                <w:kern w:val="2"/>
                <w:sz w:val="24"/>
                <w:szCs w:val="24"/>
                <w:highlight w:val="none"/>
              </w:rPr>
              <w:t>、饭菜不热或口感较差现象；</w:t>
            </w:r>
          </w:p>
          <w:p w14:paraId="5DF1F757">
            <w:pPr>
              <w:pStyle w:val="211"/>
              <w:widowControl w:val="0"/>
              <w:rPr>
                <w:color w:val="000000"/>
                <w:kern w:val="2"/>
                <w:sz w:val="24"/>
                <w:szCs w:val="24"/>
                <w:highlight w:val="none"/>
              </w:rPr>
            </w:pPr>
            <w:r>
              <w:rPr>
                <w:color w:val="000000"/>
                <w:kern w:val="2"/>
                <w:sz w:val="24"/>
                <w:szCs w:val="24"/>
                <w:highlight w:val="none"/>
              </w:rPr>
              <w:t>2</w:t>
            </w:r>
            <w:r>
              <w:rPr>
                <w:rFonts w:hint="eastAsia"/>
                <w:color w:val="000000"/>
                <w:kern w:val="2"/>
                <w:sz w:val="24"/>
                <w:szCs w:val="24"/>
                <w:highlight w:val="none"/>
              </w:rPr>
              <w:t>、饭菜内发现异物、杂物；</w:t>
            </w:r>
          </w:p>
          <w:p w14:paraId="63D2ABAC">
            <w:pPr>
              <w:pStyle w:val="211"/>
              <w:widowControl w:val="0"/>
              <w:rPr>
                <w:color w:val="000000"/>
                <w:kern w:val="2"/>
                <w:sz w:val="24"/>
                <w:szCs w:val="24"/>
                <w:highlight w:val="none"/>
              </w:rPr>
            </w:pPr>
            <w:r>
              <w:rPr>
                <w:color w:val="000000"/>
                <w:kern w:val="2"/>
                <w:sz w:val="24"/>
                <w:szCs w:val="24"/>
                <w:highlight w:val="none"/>
              </w:rPr>
              <w:t>3</w:t>
            </w:r>
            <w:r>
              <w:rPr>
                <w:rFonts w:hint="eastAsia"/>
                <w:color w:val="000000"/>
                <w:kern w:val="2"/>
                <w:sz w:val="24"/>
                <w:szCs w:val="24"/>
                <w:highlight w:val="none"/>
              </w:rPr>
              <w:t>、供应隔夜饭菜；</w:t>
            </w:r>
          </w:p>
          <w:p w14:paraId="61427442">
            <w:pPr>
              <w:pStyle w:val="222"/>
              <w:widowControl w:val="0"/>
              <w:spacing w:after="0"/>
              <w:ind w:firstLine="0"/>
              <w:rPr>
                <w:color w:val="000000"/>
                <w:kern w:val="2"/>
                <w:sz w:val="24"/>
                <w:szCs w:val="24"/>
                <w:highlight w:val="none"/>
              </w:rPr>
            </w:pPr>
            <w:r>
              <w:rPr>
                <w:color w:val="000000"/>
                <w:kern w:val="2"/>
                <w:sz w:val="24"/>
                <w:szCs w:val="24"/>
                <w:highlight w:val="none"/>
              </w:rPr>
              <w:t>4</w:t>
            </w:r>
            <w:r>
              <w:rPr>
                <w:rFonts w:hint="eastAsia"/>
                <w:color w:val="000000"/>
                <w:kern w:val="2"/>
                <w:sz w:val="24"/>
                <w:szCs w:val="24"/>
                <w:highlight w:val="none"/>
              </w:rPr>
              <w:t>、打菜打饭分量明显不足；</w:t>
            </w:r>
          </w:p>
          <w:p w14:paraId="456AFF6E">
            <w:pPr>
              <w:pStyle w:val="222"/>
              <w:widowControl w:val="0"/>
              <w:spacing w:after="0"/>
              <w:ind w:firstLine="0"/>
              <w:rPr>
                <w:color w:val="000000"/>
                <w:kern w:val="2"/>
                <w:sz w:val="24"/>
                <w:szCs w:val="24"/>
                <w:highlight w:val="none"/>
              </w:rPr>
            </w:pPr>
            <w:r>
              <w:rPr>
                <w:color w:val="000000"/>
                <w:kern w:val="2"/>
                <w:sz w:val="24"/>
                <w:szCs w:val="24"/>
                <w:highlight w:val="none"/>
              </w:rPr>
              <w:t>5</w:t>
            </w:r>
            <w:r>
              <w:rPr>
                <w:rFonts w:hint="eastAsia"/>
                <w:color w:val="000000"/>
                <w:kern w:val="2"/>
                <w:sz w:val="24"/>
                <w:szCs w:val="24"/>
                <w:highlight w:val="none"/>
              </w:rPr>
              <w:t>、菜品供应出现不及时或长时间中断；</w:t>
            </w:r>
          </w:p>
        </w:tc>
        <w:tc>
          <w:tcPr>
            <w:tcW w:w="1939" w:type="dxa"/>
            <w:tcBorders>
              <w:top w:val="single" w:color="000000" w:sz="4" w:space="0"/>
              <w:left w:val="single" w:color="000000" w:sz="4" w:space="0"/>
              <w:bottom w:val="single" w:color="000000" w:sz="4" w:space="0"/>
              <w:right w:val="single" w:color="000000" w:sz="4" w:space="0"/>
            </w:tcBorders>
            <w:vAlign w:val="center"/>
          </w:tcPr>
          <w:p w14:paraId="61EB9B06">
            <w:pPr>
              <w:pStyle w:val="222"/>
              <w:widowControl w:val="0"/>
              <w:spacing w:after="0"/>
              <w:ind w:firstLine="0"/>
              <w:jc w:val="center"/>
              <w:rPr>
                <w:color w:val="000000"/>
                <w:kern w:val="2"/>
                <w:sz w:val="24"/>
                <w:szCs w:val="24"/>
                <w:highlight w:val="none"/>
              </w:rPr>
            </w:pPr>
            <w:r>
              <w:rPr>
                <w:rFonts w:hint="eastAsia"/>
                <w:color w:val="000000"/>
                <w:kern w:val="2"/>
                <w:sz w:val="24"/>
                <w:szCs w:val="24"/>
                <w:highlight w:val="none"/>
              </w:rPr>
              <w:t>发现一次或者有人举</w:t>
            </w:r>
            <w:r>
              <w:rPr>
                <w:rFonts w:hint="eastAsia"/>
                <w:color w:val="000000"/>
                <w:spacing w:val="-5"/>
                <w:kern w:val="2"/>
                <w:sz w:val="24"/>
                <w:szCs w:val="24"/>
                <w:highlight w:val="none"/>
              </w:rPr>
              <w:t>报</w:t>
            </w:r>
            <w:r>
              <w:rPr>
                <w:rFonts w:hint="eastAsia"/>
                <w:color w:val="000000"/>
                <w:kern w:val="2"/>
                <w:sz w:val="24"/>
                <w:szCs w:val="24"/>
                <w:highlight w:val="none"/>
              </w:rPr>
              <w:t>（经核实后</w:t>
            </w:r>
            <w:r>
              <w:rPr>
                <w:rFonts w:hint="eastAsia"/>
                <w:color w:val="000000"/>
                <w:spacing w:val="-6"/>
                <w:kern w:val="2"/>
                <w:sz w:val="24"/>
                <w:szCs w:val="24"/>
                <w:highlight w:val="none"/>
              </w:rPr>
              <w:t>）</w:t>
            </w:r>
            <w:r>
              <w:rPr>
                <w:rFonts w:hint="eastAsia"/>
                <w:color w:val="000000"/>
                <w:spacing w:val="-29"/>
                <w:kern w:val="2"/>
                <w:sz w:val="24"/>
                <w:szCs w:val="24"/>
                <w:highlight w:val="none"/>
              </w:rPr>
              <w:t>扣</w:t>
            </w:r>
            <w:r>
              <w:rPr>
                <w:color w:val="000000"/>
                <w:kern w:val="2"/>
                <w:sz w:val="24"/>
                <w:szCs w:val="24"/>
                <w:highlight w:val="none"/>
              </w:rPr>
              <w:t>2</w:t>
            </w:r>
            <w:r>
              <w:rPr>
                <w:rFonts w:hint="eastAsia"/>
                <w:color w:val="000000"/>
                <w:spacing w:val="-34"/>
                <w:kern w:val="2"/>
                <w:sz w:val="24"/>
                <w:szCs w:val="24"/>
                <w:highlight w:val="none"/>
              </w:rPr>
              <w:t>分</w:t>
            </w:r>
          </w:p>
        </w:tc>
        <w:tc>
          <w:tcPr>
            <w:tcW w:w="737" w:type="dxa"/>
            <w:tcBorders>
              <w:top w:val="single" w:color="000000" w:sz="4" w:space="0"/>
              <w:left w:val="single" w:color="000000" w:sz="4" w:space="0"/>
              <w:bottom w:val="single" w:color="000000" w:sz="4" w:space="0"/>
              <w:right w:val="single" w:color="000000" w:sz="4" w:space="0"/>
            </w:tcBorders>
            <w:vAlign w:val="center"/>
          </w:tcPr>
          <w:p w14:paraId="752241B7">
            <w:pPr>
              <w:pStyle w:val="222"/>
              <w:widowControl w:val="0"/>
              <w:spacing w:after="0"/>
              <w:ind w:firstLine="0"/>
              <w:jc w:val="center"/>
              <w:rPr>
                <w:rFonts w:eastAsia="宋体"/>
                <w:color w:val="000000"/>
                <w:kern w:val="2"/>
                <w:sz w:val="24"/>
                <w:szCs w:val="24"/>
                <w:highlight w:val="none"/>
              </w:rPr>
            </w:pPr>
            <w:r>
              <w:rPr>
                <w:color w:val="000000"/>
                <w:kern w:val="2"/>
                <w:sz w:val="24"/>
                <w:szCs w:val="24"/>
                <w:highlight w:val="none"/>
              </w:rPr>
              <w:t>12</w:t>
            </w:r>
          </w:p>
        </w:tc>
      </w:tr>
      <w:tr w14:paraId="5EB86C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vAlign w:val="center"/>
          </w:tcPr>
          <w:p w14:paraId="62248E1C">
            <w:pPr>
              <w:rPr>
                <w:color w:val="000000"/>
                <w:kern w:val="2"/>
                <w:sz w:val="24"/>
                <w:szCs w:val="24"/>
                <w:highlight w:val="none"/>
              </w:rPr>
            </w:pPr>
          </w:p>
        </w:tc>
        <w:tc>
          <w:tcPr>
            <w:tcW w:w="778" w:type="dxa"/>
            <w:tcBorders>
              <w:top w:val="single" w:color="000000" w:sz="4" w:space="0"/>
              <w:left w:val="single" w:color="000000" w:sz="4" w:space="0"/>
              <w:bottom w:val="single" w:color="000000" w:sz="4" w:space="0"/>
              <w:right w:val="single" w:color="000000" w:sz="4" w:space="0"/>
            </w:tcBorders>
            <w:vAlign w:val="center"/>
          </w:tcPr>
          <w:p w14:paraId="53FF4837">
            <w:pPr>
              <w:pStyle w:val="222"/>
              <w:widowControl w:val="0"/>
              <w:spacing w:after="0"/>
              <w:ind w:firstLine="0"/>
              <w:jc w:val="center"/>
              <w:rPr>
                <w:color w:val="000000"/>
                <w:kern w:val="2"/>
                <w:sz w:val="24"/>
                <w:szCs w:val="24"/>
                <w:highlight w:val="none"/>
              </w:rPr>
            </w:pPr>
            <w:r>
              <w:rPr>
                <w:rFonts w:hint="eastAsia"/>
                <w:color w:val="000000"/>
                <w:kern w:val="2"/>
                <w:sz w:val="24"/>
                <w:szCs w:val="24"/>
                <w:highlight w:val="none"/>
              </w:rPr>
              <w:t>菜谱</w:t>
            </w:r>
          </w:p>
        </w:tc>
        <w:tc>
          <w:tcPr>
            <w:tcW w:w="4770" w:type="dxa"/>
            <w:tcBorders>
              <w:top w:val="single" w:color="000000" w:sz="4" w:space="0"/>
              <w:left w:val="single" w:color="000000" w:sz="4" w:space="0"/>
              <w:bottom w:val="single" w:color="000000" w:sz="4" w:space="0"/>
              <w:right w:val="single" w:color="000000" w:sz="4" w:space="0"/>
            </w:tcBorders>
            <w:vAlign w:val="center"/>
          </w:tcPr>
          <w:p w14:paraId="3218C722">
            <w:pPr>
              <w:pStyle w:val="222"/>
              <w:widowControl w:val="0"/>
              <w:spacing w:after="0"/>
              <w:ind w:firstLine="0"/>
              <w:rPr>
                <w:color w:val="000000"/>
                <w:kern w:val="2"/>
                <w:sz w:val="24"/>
                <w:szCs w:val="24"/>
                <w:highlight w:val="none"/>
              </w:rPr>
            </w:pPr>
            <w:r>
              <w:rPr>
                <w:color w:val="000000"/>
                <w:kern w:val="2"/>
                <w:sz w:val="24"/>
                <w:szCs w:val="24"/>
                <w:highlight w:val="none"/>
              </w:rPr>
              <w:t>1</w:t>
            </w:r>
            <w:r>
              <w:rPr>
                <w:rFonts w:hint="eastAsia"/>
                <w:color w:val="000000"/>
                <w:kern w:val="2"/>
                <w:sz w:val="24"/>
                <w:szCs w:val="24"/>
                <w:highlight w:val="none"/>
              </w:rPr>
              <w:t>、菜谱报备不及时，不符合合同约定种类要求；</w:t>
            </w:r>
          </w:p>
          <w:p w14:paraId="3EF087D6">
            <w:pPr>
              <w:pStyle w:val="222"/>
              <w:widowControl w:val="0"/>
              <w:spacing w:after="0"/>
              <w:ind w:firstLine="0"/>
              <w:rPr>
                <w:rFonts w:eastAsia="宋体"/>
                <w:color w:val="000000"/>
                <w:kern w:val="2"/>
                <w:sz w:val="24"/>
                <w:szCs w:val="24"/>
                <w:highlight w:val="none"/>
              </w:rPr>
            </w:pPr>
            <w:r>
              <w:rPr>
                <w:color w:val="000000"/>
                <w:kern w:val="2"/>
                <w:sz w:val="24"/>
                <w:szCs w:val="24"/>
                <w:highlight w:val="none"/>
              </w:rPr>
              <w:t>2</w:t>
            </w:r>
            <w:r>
              <w:rPr>
                <w:rFonts w:hint="eastAsia"/>
                <w:color w:val="000000"/>
                <w:kern w:val="2"/>
                <w:sz w:val="24"/>
                <w:szCs w:val="24"/>
                <w:highlight w:val="none"/>
              </w:rPr>
              <w:t>、实际饭菜是否于菜谱吻合；</w:t>
            </w:r>
          </w:p>
        </w:tc>
        <w:tc>
          <w:tcPr>
            <w:tcW w:w="1939" w:type="dxa"/>
            <w:tcBorders>
              <w:top w:val="single" w:color="000000" w:sz="4" w:space="0"/>
              <w:left w:val="single" w:color="000000" w:sz="4" w:space="0"/>
              <w:bottom w:val="single" w:color="000000" w:sz="4" w:space="0"/>
              <w:right w:val="single" w:color="000000" w:sz="4" w:space="0"/>
            </w:tcBorders>
            <w:vAlign w:val="center"/>
          </w:tcPr>
          <w:p w14:paraId="214D88FA">
            <w:pPr>
              <w:pStyle w:val="222"/>
              <w:widowControl w:val="0"/>
              <w:spacing w:after="0"/>
              <w:ind w:firstLine="0"/>
              <w:jc w:val="center"/>
              <w:rPr>
                <w:color w:val="000000"/>
                <w:kern w:val="2"/>
                <w:sz w:val="24"/>
                <w:szCs w:val="24"/>
                <w:highlight w:val="none"/>
              </w:rPr>
            </w:pPr>
            <w:r>
              <w:rPr>
                <w:rFonts w:hint="eastAsia"/>
                <w:color w:val="000000"/>
                <w:kern w:val="2"/>
                <w:sz w:val="24"/>
                <w:szCs w:val="24"/>
                <w:highlight w:val="none"/>
              </w:rPr>
              <w:t>发现一次扣</w:t>
            </w:r>
            <w:r>
              <w:rPr>
                <w:color w:val="000000"/>
                <w:kern w:val="2"/>
                <w:sz w:val="24"/>
                <w:szCs w:val="24"/>
                <w:highlight w:val="none"/>
              </w:rPr>
              <w:t>2</w:t>
            </w:r>
            <w:r>
              <w:rPr>
                <w:rFonts w:hint="eastAsia"/>
                <w:color w:val="000000"/>
                <w:kern w:val="2"/>
                <w:sz w:val="24"/>
                <w:szCs w:val="24"/>
                <w:highlight w:val="none"/>
              </w:rPr>
              <w:t>分</w:t>
            </w:r>
          </w:p>
        </w:tc>
        <w:tc>
          <w:tcPr>
            <w:tcW w:w="737" w:type="dxa"/>
            <w:tcBorders>
              <w:top w:val="single" w:color="000000" w:sz="4" w:space="0"/>
              <w:left w:val="single" w:color="000000" w:sz="4" w:space="0"/>
              <w:bottom w:val="single" w:color="000000" w:sz="4" w:space="0"/>
              <w:right w:val="single" w:color="000000" w:sz="4" w:space="0"/>
            </w:tcBorders>
            <w:vAlign w:val="center"/>
          </w:tcPr>
          <w:p w14:paraId="05FA94A8">
            <w:pPr>
              <w:pStyle w:val="222"/>
              <w:widowControl w:val="0"/>
              <w:spacing w:after="0"/>
              <w:ind w:firstLine="0"/>
              <w:jc w:val="center"/>
              <w:rPr>
                <w:rFonts w:eastAsia="宋体"/>
                <w:color w:val="000000"/>
                <w:kern w:val="2"/>
                <w:sz w:val="24"/>
                <w:szCs w:val="24"/>
                <w:highlight w:val="none"/>
              </w:rPr>
            </w:pPr>
            <w:r>
              <w:rPr>
                <w:color w:val="000000"/>
                <w:kern w:val="2"/>
                <w:sz w:val="24"/>
                <w:szCs w:val="24"/>
                <w:highlight w:val="none"/>
              </w:rPr>
              <w:t>6</w:t>
            </w:r>
          </w:p>
        </w:tc>
      </w:tr>
      <w:tr w14:paraId="5ED1ED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21" w:type="dxa"/>
            <w:vMerge w:val="restart"/>
            <w:tcBorders>
              <w:top w:val="single" w:color="000000" w:sz="4" w:space="0"/>
              <w:left w:val="single" w:color="000000" w:sz="4" w:space="0"/>
              <w:bottom w:val="single" w:color="000000" w:sz="4" w:space="0"/>
              <w:right w:val="single" w:color="000000" w:sz="4" w:space="0"/>
            </w:tcBorders>
            <w:vAlign w:val="center"/>
          </w:tcPr>
          <w:p w14:paraId="770F50DC">
            <w:pPr>
              <w:pStyle w:val="222"/>
              <w:widowControl w:val="0"/>
              <w:spacing w:after="0"/>
              <w:ind w:firstLine="0"/>
              <w:jc w:val="center"/>
              <w:rPr>
                <w:color w:val="000000"/>
                <w:kern w:val="2"/>
                <w:sz w:val="24"/>
                <w:szCs w:val="24"/>
                <w:highlight w:val="none"/>
              </w:rPr>
            </w:pPr>
            <w:r>
              <w:rPr>
                <w:rFonts w:hint="eastAsia"/>
                <w:color w:val="000000"/>
                <w:kern w:val="2"/>
                <w:sz w:val="24"/>
                <w:szCs w:val="24"/>
                <w:highlight w:val="none"/>
              </w:rPr>
              <w:t>服务质量</w:t>
            </w:r>
            <w:r>
              <w:rPr>
                <w:color w:val="000000"/>
                <w:kern w:val="2"/>
                <w:sz w:val="24"/>
                <w:szCs w:val="24"/>
                <w:highlight w:val="none"/>
              </w:rPr>
              <w:t>12</w:t>
            </w:r>
            <w:r>
              <w:rPr>
                <w:rFonts w:hint="eastAsia"/>
                <w:color w:val="000000"/>
                <w:spacing w:val="-35"/>
                <w:kern w:val="2"/>
                <w:sz w:val="24"/>
                <w:szCs w:val="24"/>
                <w:highlight w:val="none"/>
              </w:rPr>
              <w:t>分</w:t>
            </w:r>
          </w:p>
        </w:tc>
        <w:tc>
          <w:tcPr>
            <w:tcW w:w="778" w:type="dxa"/>
            <w:tcBorders>
              <w:top w:val="single" w:color="000000" w:sz="4" w:space="0"/>
              <w:left w:val="single" w:color="000000" w:sz="4" w:space="0"/>
              <w:bottom w:val="single" w:color="000000" w:sz="4" w:space="0"/>
              <w:right w:val="single" w:color="000000" w:sz="4" w:space="0"/>
            </w:tcBorders>
            <w:vAlign w:val="center"/>
          </w:tcPr>
          <w:p w14:paraId="3319E223">
            <w:pPr>
              <w:pStyle w:val="222"/>
              <w:widowControl w:val="0"/>
              <w:spacing w:after="0"/>
              <w:ind w:firstLine="0"/>
              <w:jc w:val="center"/>
              <w:rPr>
                <w:color w:val="000000"/>
                <w:kern w:val="2"/>
                <w:sz w:val="24"/>
                <w:szCs w:val="24"/>
                <w:highlight w:val="none"/>
              </w:rPr>
            </w:pPr>
            <w:r>
              <w:rPr>
                <w:rFonts w:hint="eastAsia"/>
                <w:color w:val="000000"/>
                <w:kern w:val="2"/>
                <w:sz w:val="24"/>
                <w:szCs w:val="24"/>
                <w:highlight w:val="none"/>
              </w:rPr>
              <w:t>仪容仪表</w:t>
            </w:r>
          </w:p>
        </w:tc>
        <w:tc>
          <w:tcPr>
            <w:tcW w:w="4770" w:type="dxa"/>
            <w:tcBorders>
              <w:top w:val="single" w:color="000000" w:sz="4" w:space="0"/>
              <w:left w:val="single" w:color="000000" w:sz="4" w:space="0"/>
              <w:bottom w:val="single" w:color="000000" w:sz="4" w:space="0"/>
              <w:right w:val="single" w:color="000000" w:sz="4" w:space="0"/>
            </w:tcBorders>
            <w:vAlign w:val="center"/>
          </w:tcPr>
          <w:p w14:paraId="523BE5AE">
            <w:pPr>
              <w:pStyle w:val="211"/>
              <w:widowControl w:val="0"/>
              <w:rPr>
                <w:color w:val="000000"/>
                <w:kern w:val="2"/>
                <w:sz w:val="24"/>
                <w:szCs w:val="24"/>
                <w:highlight w:val="none"/>
              </w:rPr>
            </w:pPr>
            <w:r>
              <w:rPr>
                <w:color w:val="000000"/>
                <w:kern w:val="2"/>
                <w:sz w:val="24"/>
                <w:szCs w:val="24"/>
                <w:highlight w:val="none"/>
              </w:rPr>
              <w:t>1</w:t>
            </w:r>
            <w:r>
              <w:rPr>
                <w:rFonts w:hint="eastAsia"/>
                <w:color w:val="000000"/>
                <w:kern w:val="2"/>
                <w:sz w:val="24"/>
                <w:szCs w:val="24"/>
                <w:highlight w:val="none"/>
              </w:rPr>
              <w:t>、</w:t>
            </w:r>
            <w:r>
              <w:rPr>
                <w:rFonts w:hint="eastAsia"/>
                <w:color w:val="000000"/>
                <w:spacing w:val="-14"/>
                <w:kern w:val="2"/>
                <w:sz w:val="24"/>
                <w:szCs w:val="24"/>
                <w:highlight w:val="none"/>
              </w:rPr>
              <w:t>厨工</w:t>
            </w:r>
            <w:r>
              <w:rPr>
                <w:rFonts w:hint="eastAsia"/>
                <w:color w:val="000000"/>
                <w:kern w:val="2"/>
                <w:sz w:val="24"/>
                <w:szCs w:val="24"/>
                <w:highlight w:val="none"/>
              </w:rPr>
              <w:t>工作期间需着整洁干净的工作服、工作帽；</w:t>
            </w:r>
          </w:p>
          <w:p w14:paraId="096CCDA7">
            <w:pPr>
              <w:pStyle w:val="211"/>
              <w:widowControl w:val="0"/>
              <w:rPr>
                <w:color w:val="000000"/>
                <w:kern w:val="2"/>
                <w:sz w:val="24"/>
                <w:szCs w:val="24"/>
                <w:highlight w:val="none"/>
              </w:rPr>
            </w:pPr>
            <w:r>
              <w:rPr>
                <w:color w:val="000000"/>
                <w:kern w:val="2"/>
                <w:sz w:val="24"/>
                <w:szCs w:val="24"/>
                <w:highlight w:val="none"/>
              </w:rPr>
              <w:t>2</w:t>
            </w:r>
            <w:r>
              <w:rPr>
                <w:rFonts w:hint="eastAsia"/>
                <w:color w:val="000000"/>
                <w:spacing w:val="-14"/>
                <w:kern w:val="2"/>
                <w:sz w:val="24"/>
                <w:szCs w:val="24"/>
                <w:highlight w:val="none"/>
              </w:rPr>
              <w:t>、厨工必须保持整洁，手、腕部不允许佩戴首饰、双手干净；</w:t>
            </w:r>
          </w:p>
          <w:p w14:paraId="54C84775">
            <w:pPr>
              <w:pStyle w:val="211"/>
              <w:widowControl w:val="0"/>
              <w:rPr>
                <w:color w:val="000000"/>
                <w:kern w:val="2"/>
                <w:sz w:val="24"/>
                <w:szCs w:val="24"/>
                <w:highlight w:val="none"/>
                <w:lang w:eastAsia="zh-CN"/>
              </w:rPr>
            </w:pPr>
            <w:r>
              <w:rPr>
                <w:color w:val="000000"/>
                <w:kern w:val="2"/>
                <w:sz w:val="24"/>
                <w:szCs w:val="24"/>
                <w:highlight w:val="none"/>
              </w:rPr>
              <w:t>3</w:t>
            </w:r>
            <w:r>
              <w:rPr>
                <w:rFonts w:hint="eastAsia"/>
                <w:color w:val="000000"/>
                <w:kern w:val="2"/>
                <w:sz w:val="24"/>
                <w:szCs w:val="24"/>
                <w:highlight w:val="none"/>
              </w:rPr>
              <w:t>、食堂工作区、用餐区禁止吸烟；</w:t>
            </w:r>
          </w:p>
          <w:p w14:paraId="0743E5E0">
            <w:pPr>
              <w:pStyle w:val="222"/>
              <w:widowControl w:val="0"/>
              <w:spacing w:after="0"/>
              <w:ind w:firstLine="0"/>
              <w:rPr>
                <w:color w:val="000000"/>
                <w:kern w:val="2"/>
                <w:sz w:val="24"/>
                <w:szCs w:val="24"/>
                <w:highlight w:val="none"/>
              </w:rPr>
            </w:pPr>
            <w:r>
              <w:rPr>
                <w:color w:val="000000"/>
                <w:kern w:val="2"/>
                <w:sz w:val="24"/>
                <w:szCs w:val="24"/>
                <w:highlight w:val="none"/>
              </w:rPr>
              <w:t>4</w:t>
            </w:r>
            <w:r>
              <w:rPr>
                <w:rFonts w:hint="eastAsia"/>
                <w:color w:val="000000"/>
                <w:kern w:val="2"/>
                <w:sz w:val="24"/>
                <w:szCs w:val="24"/>
                <w:highlight w:val="none"/>
              </w:rPr>
              <w:t>、供应食品时不能用手直接接触食品；</w:t>
            </w:r>
          </w:p>
        </w:tc>
        <w:tc>
          <w:tcPr>
            <w:tcW w:w="1939" w:type="dxa"/>
            <w:tcBorders>
              <w:top w:val="single" w:color="000000" w:sz="4" w:space="0"/>
              <w:left w:val="single" w:color="000000" w:sz="4" w:space="0"/>
              <w:bottom w:val="single" w:color="000000" w:sz="4" w:space="0"/>
              <w:right w:val="single" w:color="000000" w:sz="4" w:space="0"/>
            </w:tcBorders>
            <w:vAlign w:val="center"/>
          </w:tcPr>
          <w:p w14:paraId="4A5D6CB6">
            <w:pPr>
              <w:pStyle w:val="222"/>
              <w:widowControl w:val="0"/>
              <w:spacing w:after="0"/>
              <w:ind w:firstLine="0"/>
              <w:jc w:val="center"/>
              <w:rPr>
                <w:color w:val="000000"/>
                <w:kern w:val="2"/>
                <w:sz w:val="24"/>
                <w:szCs w:val="24"/>
                <w:highlight w:val="none"/>
              </w:rPr>
            </w:pPr>
            <w:r>
              <w:rPr>
                <w:rFonts w:hint="eastAsia"/>
                <w:color w:val="000000"/>
                <w:kern w:val="2"/>
                <w:sz w:val="24"/>
                <w:szCs w:val="24"/>
                <w:highlight w:val="none"/>
              </w:rPr>
              <w:t>发现一次扣</w:t>
            </w:r>
            <w:r>
              <w:rPr>
                <w:color w:val="000000"/>
                <w:kern w:val="2"/>
                <w:sz w:val="24"/>
                <w:szCs w:val="24"/>
                <w:highlight w:val="none"/>
              </w:rPr>
              <w:t>1</w:t>
            </w:r>
            <w:r>
              <w:rPr>
                <w:rFonts w:hint="eastAsia"/>
                <w:color w:val="000000"/>
                <w:kern w:val="2"/>
                <w:sz w:val="24"/>
                <w:szCs w:val="24"/>
                <w:highlight w:val="none"/>
              </w:rPr>
              <w:t>分</w:t>
            </w:r>
          </w:p>
        </w:tc>
        <w:tc>
          <w:tcPr>
            <w:tcW w:w="737" w:type="dxa"/>
            <w:tcBorders>
              <w:top w:val="single" w:color="000000" w:sz="4" w:space="0"/>
              <w:left w:val="single" w:color="000000" w:sz="4" w:space="0"/>
              <w:bottom w:val="single" w:color="000000" w:sz="4" w:space="0"/>
              <w:right w:val="single" w:color="000000" w:sz="4" w:space="0"/>
            </w:tcBorders>
            <w:vAlign w:val="center"/>
          </w:tcPr>
          <w:p w14:paraId="02341429">
            <w:pPr>
              <w:pStyle w:val="222"/>
              <w:widowControl w:val="0"/>
              <w:spacing w:after="0"/>
              <w:ind w:firstLine="0"/>
              <w:jc w:val="center"/>
              <w:rPr>
                <w:color w:val="000000"/>
                <w:kern w:val="2"/>
                <w:sz w:val="24"/>
                <w:szCs w:val="24"/>
                <w:highlight w:val="none"/>
              </w:rPr>
            </w:pPr>
            <w:r>
              <w:rPr>
                <w:color w:val="000000"/>
                <w:kern w:val="2"/>
                <w:sz w:val="24"/>
                <w:szCs w:val="24"/>
                <w:highlight w:val="none"/>
              </w:rPr>
              <w:t>5</w:t>
            </w:r>
          </w:p>
        </w:tc>
      </w:tr>
      <w:tr w14:paraId="0FAA82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vAlign w:val="center"/>
          </w:tcPr>
          <w:p w14:paraId="6115E31B">
            <w:pPr>
              <w:rPr>
                <w:color w:val="000000"/>
                <w:kern w:val="2"/>
                <w:sz w:val="24"/>
                <w:szCs w:val="24"/>
                <w:highlight w:val="none"/>
              </w:rPr>
            </w:pPr>
          </w:p>
        </w:tc>
        <w:tc>
          <w:tcPr>
            <w:tcW w:w="778" w:type="dxa"/>
            <w:tcBorders>
              <w:top w:val="single" w:color="000000" w:sz="4" w:space="0"/>
              <w:left w:val="single" w:color="000000" w:sz="4" w:space="0"/>
              <w:bottom w:val="single" w:color="000000" w:sz="4" w:space="0"/>
              <w:right w:val="single" w:color="000000" w:sz="4" w:space="0"/>
            </w:tcBorders>
            <w:vAlign w:val="center"/>
          </w:tcPr>
          <w:p w14:paraId="7426E1F0">
            <w:pPr>
              <w:pStyle w:val="222"/>
              <w:widowControl w:val="0"/>
              <w:spacing w:after="0"/>
              <w:ind w:firstLine="0"/>
              <w:jc w:val="center"/>
              <w:rPr>
                <w:color w:val="000000"/>
                <w:kern w:val="2"/>
                <w:sz w:val="24"/>
                <w:szCs w:val="24"/>
                <w:highlight w:val="none"/>
              </w:rPr>
            </w:pPr>
            <w:r>
              <w:rPr>
                <w:rFonts w:hint="eastAsia"/>
                <w:color w:val="000000"/>
                <w:kern w:val="2"/>
                <w:sz w:val="24"/>
                <w:szCs w:val="24"/>
                <w:highlight w:val="none"/>
              </w:rPr>
              <w:t>服务</w:t>
            </w:r>
          </w:p>
        </w:tc>
        <w:tc>
          <w:tcPr>
            <w:tcW w:w="4770" w:type="dxa"/>
            <w:tcBorders>
              <w:top w:val="single" w:color="000000" w:sz="4" w:space="0"/>
              <w:left w:val="single" w:color="000000" w:sz="4" w:space="0"/>
              <w:bottom w:val="single" w:color="000000" w:sz="4" w:space="0"/>
              <w:right w:val="single" w:color="000000" w:sz="4" w:space="0"/>
            </w:tcBorders>
            <w:vAlign w:val="center"/>
          </w:tcPr>
          <w:p w14:paraId="1B6B47FD">
            <w:pPr>
              <w:pStyle w:val="211"/>
              <w:widowControl w:val="0"/>
              <w:rPr>
                <w:color w:val="000000"/>
                <w:kern w:val="2"/>
                <w:sz w:val="24"/>
                <w:szCs w:val="24"/>
                <w:highlight w:val="none"/>
              </w:rPr>
            </w:pPr>
            <w:r>
              <w:rPr>
                <w:color w:val="000000"/>
                <w:kern w:val="2"/>
                <w:sz w:val="24"/>
                <w:szCs w:val="24"/>
                <w:highlight w:val="none"/>
              </w:rPr>
              <w:t>1</w:t>
            </w:r>
            <w:r>
              <w:rPr>
                <w:rFonts w:hint="eastAsia"/>
                <w:color w:val="000000"/>
                <w:kern w:val="2"/>
                <w:sz w:val="24"/>
                <w:szCs w:val="24"/>
                <w:highlight w:val="none"/>
              </w:rPr>
              <w:t>、食堂服务人员要微笑、文明服务；</w:t>
            </w:r>
          </w:p>
          <w:p w14:paraId="50F90E57">
            <w:pPr>
              <w:pStyle w:val="222"/>
              <w:widowControl w:val="0"/>
              <w:spacing w:after="0"/>
              <w:ind w:firstLine="0"/>
              <w:rPr>
                <w:color w:val="000000"/>
                <w:kern w:val="2"/>
                <w:sz w:val="24"/>
                <w:szCs w:val="24"/>
                <w:highlight w:val="none"/>
              </w:rPr>
            </w:pPr>
            <w:r>
              <w:rPr>
                <w:color w:val="000000"/>
                <w:kern w:val="2"/>
                <w:sz w:val="24"/>
                <w:szCs w:val="24"/>
                <w:highlight w:val="none"/>
              </w:rPr>
              <w:t>2</w:t>
            </w:r>
            <w:r>
              <w:rPr>
                <w:rFonts w:hint="eastAsia"/>
                <w:color w:val="000000"/>
                <w:kern w:val="2"/>
                <w:sz w:val="24"/>
                <w:szCs w:val="24"/>
                <w:highlight w:val="none"/>
              </w:rPr>
              <w:t>、不得发生吵架、打骂不文明行为；</w:t>
            </w:r>
          </w:p>
          <w:p w14:paraId="3D074FD5">
            <w:pPr>
              <w:pStyle w:val="222"/>
              <w:widowControl w:val="0"/>
              <w:spacing w:after="0"/>
              <w:ind w:firstLine="0"/>
              <w:rPr>
                <w:rFonts w:eastAsia="宋体"/>
                <w:color w:val="000000"/>
                <w:kern w:val="2"/>
                <w:sz w:val="24"/>
                <w:szCs w:val="24"/>
                <w:highlight w:val="none"/>
              </w:rPr>
            </w:pPr>
            <w:r>
              <w:rPr>
                <w:color w:val="000000"/>
                <w:kern w:val="2"/>
                <w:sz w:val="24"/>
                <w:szCs w:val="24"/>
                <w:highlight w:val="none"/>
              </w:rPr>
              <w:t>3</w:t>
            </w:r>
            <w:r>
              <w:rPr>
                <w:rFonts w:hint="eastAsia"/>
                <w:color w:val="000000"/>
                <w:kern w:val="2"/>
                <w:sz w:val="24"/>
                <w:szCs w:val="24"/>
                <w:highlight w:val="none"/>
              </w:rPr>
              <w:t>、出现用餐投诉及时处理；</w:t>
            </w:r>
          </w:p>
        </w:tc>
        <w:tc>
          <w:tcPr>
            <w:tcW w:w="1939" w:type="dxa"/>
            <w:tcBorders>
              <w:top w:val="single" w:color="000000" w:sz="4" w:space="0"/>
              <w:left w:val="single" w:color="000000" w:sz="4" w:space="0"/>
              <w:bottom w:val="single" w:color="000000" w:sz="4" w:space="0"/>
              <w:right w:val="single" w:color="000000" w:sz="4" w:space="0"/>
            </w:tcBorders>
            <w:vAlign w:val="center"/>
          </w:tcPr>
          <w:p w14:paraId="75BDFA4C">
            <w:pPr>
              <w:pStyle w:val="211"/>
              <w:widowControl w:val="0"/>
              <w:jc w:val="center"/>
              <w:rPr>
                <w:color w:val="000000"/>
                <w:kern w:val="2"/>
                <w:sz w:val="24"/>
                <w:szCs w:val="24"/>
                <w:highlight w:val="none"/>
              </w:rPr>
            </w:pPr>
            <w:r>
              <w:rPr>
                <w:rFonts w:hint="eastAsia"/>
                <w:color w:val="000000"/>
                <w:spacing w:val="-2"/>
                <w:kern w:val="2"/>
                <w:sz w:val="24"/>
                <w:szCs w:val="24"/>
                <w:highlight w:val="none"/>
              </w:rPr>
              <w:t>第一条发现一次扣</w:t>
            </w:r>
            <w:r>
              <w:rPr>
                <w:color w:val="000000"/>
                <w:kern w:val="2"/>
                <w:sz w:val="24"/>
                <w:szCs w:val="24"/>
                <w:highlight w:val="none"/>
              </w:rPr>
              <w:t>1</w:t>
            </w:r>
            <w:r>
              <w:rPr>
                <w:rFonts w:hint="eastAsia"/>
                <w:color w:val="000000"/>
                <w:spacing w:val="-4"/>
                <w:kern w:val="2"/>
                <w:sz w:val="24"/>
                <w:szCs w:val="24"/>
                <w:highlight w:val="none"/>
              </w:rPr>
              <w:t>分，第二</w:t>
            </w:r>
            <w:r>
              <w:rPr>
                <w:rFonts w:hint="eastAsia"/>
                <w:color w:val="000000"/>
                <w:spacing w:val="-4"/>
                <w:kern w:val="2"/>
                <w:sz w:val="24"/>
                <w:szCs w:val="24"/>
                <w:highlight w:val="none"/>
                <w:lang w:eastAsia="zh-CN"/>
              </w:rPr>
              <w:t>、三</w:t>
            </w:r>
            <w:r>
              <w:rPr>
                <w:rFonts w:hint="eastAsia"/>
                <w:color w:val="000000"/>
                <w:spacing w:val="-4"/>
                <w:kern w:val="2"/>
                <w:sz w:val="24"/>
                <w:szCs w:val="24"/>
                <w:highlight w:val="none"/>
              </w:rPr>
              <w:t>条发现一次扣</w:t>
            </w:r>
            <w:r>
              <w:rPr>
                <w:color w:val="000000"/>
                <w:kern w:val="2"/>
                <w:sz w:val="24"/>
                <w:szCs w:val="24"/>
                <w:highlight w:val="none"/>
                <w:lang w:eastAsia="zh-CN"/>
              </w:rPr>
              <w:t>3</w:t>
            </w:r>
            <w:r>
              <w:rPr>
                <w:rFonts w:hint="eastAsia"/>
                <w:color w:val="000000"/>
                <w:kern w:val="2"/>
                <w:sz w:val="24"/>
                <w:szCs w:val="24"/>
                <w:highlight w:val="none"/>
              </w:rPr>
              <w:t>分</w:t>
            </w:r>
          </w:p>
        </w:tc>
        <w:tc>
          <w:tcPr>
            <w:tcW w:w="737" w:type="dxa"/>
            <w:tcBorders>
              <w:top w:val="single" w:color="000000" w:sz="4" w:space="0"/>
              <w:left w:val="single" w:color="000000" w:sz="4" w:space="0"/>
              <w:bottom w:val="single" w:color="000000" w:sz="4" w:space="0"/>
              <w:right w:val="single" w:color="000000" w:sz="4" w:space="0"/>
            </w:tcBorders>
            <w:vAlign w:val="center"/>
          </w:tcPr>
          <w:p w14:paraId="4A85EAD2">
            <w:pPr>
              <w:pStyle w:val="222"/>
              <w:widowControl w:val="0"/>
              <w:spacing w:after="0"/>
              <w:ind w:firstLine="0"/>
              <w:jc w:val="center"/>
              <w:rPr>
                <w:rFonts w:eastAsia="宋体"/>
                <w:color w:val="000000"/>
                <w:kern w:val="2"/>
                <w:sz w:val="24"/>
                <w:szCs w:val="24"/>
                <w:highlight w:val="none"/>
              </w:rPr>
            </w:pPr>
            <w:r>
              <w:rPr>
                <w:color w:val="000000"/>
                <w:kern w:val="2"/>
                <w:sz w:val="24"/>
                <w:szCs w:val="24"/>
                <w:highlight w:val="none"/>
              </w:rPr>
              <w:t>7</w:t>
            </w:r>
          </w:p>
        </w:tc>
      </w:tr>
      <w:tr w14:paraId="4B0FA9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21" w:type="dxa"/>
            <w:vMerge w:val="restart"/>
            <w:tcBorders>
              <w:top w:val="single" w:color="000000" w:sz="4" w:space="0"/>
              <w:left w:val="single" w:color="000000" w:sz="4" w:space="0"/>
              <w:bottom w:val="single" w:color="000000" w:sz="4" w:space="0"/>
              <w:right w:val="single" w:color="000000" w:sz="4" w:space="0"/>
            </w:tcBorders>
            <w:vAlign w:val="center"/>
          </w:tcPr>
          <w:p w14:paraId="204CADC4">
            <w:pPr>
              <w:pStyle w:val="222"/>
              <w:widowControl w:val="0"/>
              <w:spacing w:after="0"/>
              <w:ind w:firstLine="0"/>
              <w:jc w:val="center"/>
              <w:rPr>
                <w:color w:val="000000"/>
                <w:kern w:val="2"/>
                <w:sz w:val="24"/>
                <w:szCs w:val="24"/>
                <w:highlight w:val="none"/>
              </w:rPr>
            </w:pPr>
            <w:r>
              <w:rPr>
                <w:rFonts w:hint="eastAsia"/>
                <w:color w:val="000000"/>
                <w:kern w:val="2"/>
                <w:sz w:val="24"/>
                <w:szCs w:val="24"/>
                <w:highlight w:val="none"/>
              </w:rPr>
              <w:t>卫生标准</w:t>
            </w:r>
            <w:r>
              <w:rPr>
                <w:color w:val="000000"/>
                <w:kern w:val="2"/>
                <w:sz w:val="24"/>
                <w:szCs w:val="24"/>
                <w:highlight w:val="none"/>
              </w:rPr>
              <w:t>33</w:t>
            </w:r>
            <w:r>
              <w:rPr>
                <w:rFonts w:hint="eastAsia"/>
                <w:color w:val="000000"/>
                <w:kern w:val="2"/>
                <w:sz w:val="24"/>
                <w:szCs w:val="24"/>
                <w:highlight w:val="none"/>
              </w:rPr>
              <w:t>分</w:t>
            </w:r>
          </w:p>
        </w:tc>
        <w:tc>
          <w:tcPr>
            <w:tcW w:w="778" w:type="dxa"/>
            <w:tcBorders>
              <w:top w:val="single" w:color="000000" w:sz="4" w:space="0"/>
              <w:left w:val="single" w:color="000000" w:sz="4" w:space="0"/>
              <w:bottom w:val="single" w:color="000000" w:sz="4" w:space="0"/>
              <w:right w:val="single" w:color="000000" w:sz="4" w:space="0"/>
            </w:tcBorders>
            <w:vAlign w:val="center"/>
          </w:tcPr>
          <w:p w14:paraId="1819848C">
            <w:pPr>
              <w:pStyle w:val="222"/>
              <w:widowControl w:val="0"/>
              <w:spacing w:after="0"/>
              <w:ind w:firstLine="0"/>
              <w:jc w:val="center"/>
              <w:rPr>
                <w:color w:val="000000"/>
                <w:kern w:val="2"/>
                <w:sz w:val="24"/>
                <w:szCs w:val="24"/>
                <w:highlight w:val="none"/>
              </w:rPr>
            </w:pPr>
            <w:r>
              <w:rPr>
                <w:rFonts w:hint="eastAsia"/>
                <w:color w:val="000000"/>
                <w:kern w:val="2"/>
                <w:sz w:val="24"/>
                <w:szCs w:val="24"/>
                <w:highlight w:val="none"/>
              </w:rPr>
              <w:t>制作</w:t>
            </w:r>
          </w:p>
        </w:tc>
        <w:tc>
          <w:tcPr>
            <w:tcW w:w="4770" w:type="dxa"/>
            <w:tcBorders>
              <w:top w:val="single" w:color="000000" w:sz="4" w:space="0"/>
              <w:left w:val="single" w:color="000000" w:sz="4" w:space="0"/>
              <w:bottom w:val="single" w:color="000000" w:sz="4" w:space="0"/>
              <w:right w:val="single" w:color="000000" w:sz="4" w:space="0"/>
            </w:tcBorders>
            <w:vAlign w:val="center"/>
          </w:tcPr>
          <w:p w14:paraId="78B14083">
            <w:pPr>
              <w:pStyle w:val="211"/>
              <w:widowControl w:val="0"/>
              <w:rPr>
                <w:color w:val="000000"/>
                <w:kern w:val="2"/>
                <w:sz w:val="24"/>
                <w:szCs w:val="24"/>
                <w:highlight w:val="none"/>
              </w:rPr>
            </w:pPr>
            <w:r>
              <w:rPr>
                <w:color w:val="000000"/>
                <w:kern w:val="2"/>
                <w:sz w:val="24"/>
                <w:szCs w:val="24"/>
                <w:highlight w:val="none"/>
              </w:rPr>
              <w:t>1</w:t>
            </w:r>
            <w:r>
              <w:rPr>
                <w:rFonts w:hint="eastAsia"/>
                <w:color w:val="000000"/>
                <w:kern w:val="2"/>
                <w:sz w:val="24"/>
                <w:szCs w:val="24"/>
                <w:highlight w:val="none"/>
              </w:rPr>
              <w:t>、原料、半成品、成品的加工是否存在交叉污染，存放及使用容器并有明显的区分标志；</w:t>
            </w:r>
          </w:p>
          <w:p w14:paraId="170BB295">
            <w:pPr>
              <w:pStyle w:val="211"/>
              <w:widowControl w:val="0"/>
              <w:rPr>
                <w:color w:val="000000"/>
                <w:kern w:val="2"/>
                <w:sz w:val="24"/>
                <w:szCs w:val="24"/>
                <w:highlight w:val="none"/>
              </w:rPr>
            </w:pPr>
            <w:r>
              <w:rPr>
                <w:color w:val="000000"/>
                <w:kern w:val="2"/>
                <w:sz w:val="24"/>
                <w:szCs w:val="24"/>
                <w:highlight w:val="none"/>
              </w:rPr>
              <w:t>2</w:t>
            </w:r>
            <w:r>
              <w:rPr>
                <w:rFonts w:hint="eastAsia"/>
                <w:color w:val="000000"/>
                <w:kern w:val="2"/>
                <w:sz w:val="24"/>
                <w:szCs w:val="24"/>
                <w:highlight w:val="none"/>
              </w:rPr>
              <w:t>、生熟食品分开；</w:t>
            </w:r>
          </w:p>
          <w:p w14:paraId="08FBF682">
            <w:pPr>
              <w:pStyle w:val="211"/>
              <w:widowControl w:val="0"/>
              <w:rPr>
                <w:color w:val="000000"/>
                <w:kern w:val="2"/>
                <w:sz w:val="24"/>
                <w:szCs w:val="24"/>
                <w:highlight w:val="none"/>
              </w:rPr>
            </w:pPr>
            <w:r>
              <w:rPr>
                <w:color w:val="000000"/>
                <w:kern w:val="2"/>
                <w:sz w:val="24"/>
                <w:szCs w:val="24"/>
                <w:highlight w:val="none"/>
              </w:rPr>
              <w:t>3</w:t>
            </w:r>
            <w:r>
              <w:rPr>
                <w:rFonts w:hint="eastAsia"/>
                <w:color w:val="000000"/>
                <w:kern w:val="2"/>
                <w:sz w:val="24"/>
                <w:szCs w:val="24"/>
                <w:highlight w:val="none"/>
              </w:rPr>
              <w:t>、食品存放分类分架；</w:t>
            </w:r>
          </w:p>
          <w:p w14:paraId="4CFD4383">
            <w:pPr>
              <w:pStyle w:val="222"/>
              <w:widowControl w:val="0"/>
              <w:spacing w:after="0"/>
              <w:ind w:firstLine="0"/>
              <w:rPr>
                <w:color w:val="000000"/>
                <w:kern w:val="2"/>
                <w:sz w:val="24"/>
                <w:szCs w:val="24"/>
                <w:highlight w:val="none"/>
              </w:rPr>
            </w:pPr>
            <w:r>
              <w:rPr>
                <w:color w:val="000000"/>
                <w:kern w:val="2"/>
                <w:sz w:val="24"/>
                <w:szCs w:val="24"/>
                <w:highlight w:val="none"/>
              </w:rPr>
              <w:t>4</w:t>
            </w:r>
            <w:r>
              <w:rPr>
                <w:rFonts w:hint="eastAsia"/>
                <w:color w:val="000000"/>
                <w:kern w:val="2"/>
                <w:sz w:val="24"/>
                <w:szCs w:val="24"/>
                <w:highlight w:val="none"/>
              </w:rPr>
              <w:t>、试菜规范，不直接用嘴动手。</w:t>
            </w:r>
          </w:p>
          <w:p w14:paraId="3A51C2A7">
            <w:pPr>
              <w:pStyle w:val="222"/>
              <w:widowControl w:val="0"/>
              <w:spacing w:after="0"/>
              <w:ind w:firstLine="0"/>
              <w:rPr>
                <w:rFonts w:eastAsia="宋体"/>
                <w:color w:val="000000"/>
                <w:kern w:val="2"/>
                <w:sz w:val="24"/>
                <w:szCs w:val="24"/>
                <w:highlight w:val="none"/>
              </w:rPr>
            </w:pPr>
            <w:r>
              <w:rPr>
                <w:color w:val="000000"/>
                <w:kern w:val="2"/>
                <w:sz w:val="24"/>
                <w:szCs w:val="24"/>
                <w:highlight w:val="none"/>
              </w:rPr>
              <w:t>5</w:t>
            </w:r>
            <w:r>
              <w:rPr>
                <w:rFonts w:hint="eastAsia"/>
                <w:color w:val="000000"/>
                <w:kern w:val="2"/>
                <w:sz w:val="24"/>
                <w:szCs w:val="24"/>
                <w:highlight w:val="none"/>
              </w:rPr>
              <w:t>、菜品留样足量，时长达</w:t>
            </w:r>
            <w:r>
              <w:rPr>
                <w:color w:val="000000"/>
                <w:kern w:val="2"/>
                <w:sz w:val="24"/>
                <w:szCs w:val="24"/>
                <w:highlight w:val="none"/>
              </w:rPr>
              <w:t>48</w:t>
            </w:r>
            <w:r>
              <w:rPr>
                <w:rFonts w:hint="eastAsia"/>
                <w:color w:val="000000"/>
                <w:kern w:val="2"/>
                <w:sz w:val="24"/>
                <w:szCs w:val="24"/>
                <w:highlight w:val="none"/>
              </w:rPr>
              <w:t>小时。</w:t>
            </w:r>
          </w:p>
        </w:tc>
        <w:tc>
          <w:tcPr>
            <w:tcW w:w="1939" w:type="dxa"/>
            <w:tcBorders>
              <w:top w:val="single" w:color="000000" w:sz="4" w:space="0"/>
              <w:left w:val="single" w:color="000000" w:sz="4" w:space="0"/>
              <w:bottom w:val="single" w:color="000000" w:sz="4" w:space="0"/>
              <w:right w:val="single" w:color="000000" w:sz="4" w:space="0"/>
            </w:tcBorders>
            <w:vAlign w:val="center"/>
          </w:tcPr>
          <w:p w14:paraId="1CD5C428">
            <w:pPr>
              <w:pStyle w:val="222"/>
              <w:widowControl w:val="0"/>
              <w:spacing w:after="0"/>
              <w:ind w:firstLine="0"/>
              <w:jc w:val="center"/>
              <w:rPr>
                <w:color w:val="000000"/>
                <w:kern w:val="2"/>
                <w:sz w:val="24"/>
                <w:szCs w:val="24"/>
                <w:highlight w:val="none"/>
              </w:rPr>
            </w:pPr>
            <w:r>
              <w:rPr>
                <w:rFonts w:hint="eastAsia"/>
                <w:color w:val="000000"/>
                <w:spacing w:val="21"/>
                <w:kern w:val="2"/>
                <w:sz w:val="24"/>
                <w:szCs w:val="24"/>
                <w:highlight w:val="none"/>
              </w:rPr>
              <w:t>前四条发现一次</w:t>
            </w:r>
            <w:r>
              <w:rPr>
                <w:rFonts w:hint="eastAsia"/>
                <w:color w:val="000000"/>
                <w:spacing w:val="11"/>
                <w:kern w:val="2"/>
                <w:sz w:val="24"/>
                <w:szCs w:val="24"/>
                <w:highlight w:val="none"/>
              </w:rPr>
              <w:t>扣</w:t>
            </w:r>
            <w:r>
              <w:rPr>
                <w:color w:val="000000"/>
                <w:kern w:val="2"/>
                <w:sz w:val="24"/>
                <w:szCs w:val="24"/>
                <w:highlight w:val="none"/>
              </w:rPr>
              <w:t>2</w:t>
            </w:r>
            <w:r>
              <w:rPr>
                <w:rFonts w:hint="eastAsia"/>
                <w:color w:val="000000"/>
                <w:spacing w:val="-23"/>
                <w:kern w:val="2"/>
                <w:sz w:val="24"/>
                <w:szCs w:val="24"/>
                <w:highlight w:val="none"/>
              </w:rPr>
              <w:t>分，第五条发现一次</w:t>
            </w:r>
            <w:r>
              <w:rPr>
                <w:rFonts w:hint="eastAsia"/>
                <w:color w:val="000000"/>
                <w:spacing w:val="-10"/>
                <w:kern w:val="2"/>
                <w:sz w:val="24"/>
                <w:szCs w:val="24"/>
                <w:highlight w:val="none"/>
              </w:rPr>
              <w:t>扣</w:t>
            </w:r>
            <w:r>
              <w:rPr>
                <w:color w:val="000000"/>
                <w:kern w:val="2"/>
                <w:sz w:val="24"/>
                <w:szCs w:val="24"/>
                <w:highlight w:val="none"/>
              </w:rPr>
              <w:t>3</w:t>
            </w:r>
            <w:r>
              <w:rPr>
                <w:rFonts w:hint="eastAsia"/>
                <w:color w:val="000000"/>
                <w:spacing w:val="-18"/>
                <w:kern w:val="2"/>
                <w:sz w:val="24"/>
                <w:szCs w:val="24"/>
                <w:highlight w:val="none"/>
              </w:rPr>
              <w:t>分；</w:t>
            </w:r>
          </w:p>
        </w:tc>
        <w:tc>
          <w:tcPr>
            <w:tcW w:w="737" w:type="dxa"/>
            <w:tcBorders>
              <w:top w:val="single" w:color="000000" w:sz="4" w:space="0"/>
              <w:left w:val="single" w:color="000000" w:sz="4" w:space="0"/>
              <w:bottom w:val="single" w:color="000000" w:sz="4" w:space="0"/>
              <w:right w:val="single" w:color="000000" w:sz="4" w:space="0"/>
            </w:tcBorders>
            <w:vAlign w:val="center"/>
          </w:tcPr>
          <w:p w14:paraId="347A6705">
            <w:pPr>
              <w:pStyle w:val="222"/>
              <w:widowControl w:val="0"/>
              <w:spacing w:after="0"/>
              <w:ind w:firstLine="0"/>
              <w:jc w:val="center"/>
              <w:rPr>
                <w:rFonts w:eastAsia="宋体"/>
                <w:color w:val="000000"/>
                <w:kern w:val="2"/>
                <w:sz w:val="24"/>
                <w:szCs w:val="24"/>
                <w:highlight w:val="none"/>
              </w:rPr>
            </w:pPr>
            <w:r>
              <w:rPr>
                <w:color w:val="000000"/>
                <w:kern w:val="2"/>
                <w:sz w:val="24"/>
                <w:szCs w:val="24"/>
                <w:highlight w:val="none"/>
              </w:rPr>
              <w:t>11</w:t>
            </w:r>
          </w:p>
        </w:tc>
      </w:tr>
      <w:tr w14:paraId="2AD707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vAlign w:val="center"/>
          </w:tcPr>
          <w:p w14:paraId="31A6D4B6">
            <w:pPr>
              <w:rPr>
                <w:color w:val="000000"/>
                <w:kern w:val="2"/>
                <w:sz w:val="24"/>
                <w:szCs w:val="24"/>
                <w:highlight w:val="none"/>
              </w:rPr>
            </w:pPr>
          </w:p>
        </w:tc>
        <w:tc>
          <w:tcPr>
            <w:tcW w:w="778" w:type="dxa"/>
            <w:tcBorders>
              <w:top w:val="single" w:color="000000" w:sz="4" w:space="0"/>
              <w:left w:val="single" w:color="000000" w:sz="4" w:space="0"/>
              <w:bottom w:val="single" w:color="000000" w:sz="4" w:space="0"/>
              <w:right w:val="single" w:color="000000" w:sz="4" w:space="0"/>
            </w:tcBorders>
            <w:vAlign w:val="center"/>
          </w:tcPr>
          <w:p w14:paraId="2A434EDD">
            <w:pPr>
              <w:pStyle w:val="222"/>
              <w:widowControl w:val="0"/>
              <w:spacing w:after="0"/>
              <w:ind w:firstLine="0"/>
              <w:jc w:val="center"/>
              <w:rPr>
                <w:color w:val="000000"/>
                <w:kern w:val="2"/>
                <w:sz w:val="24"/>
                <w:szCs w:val="24"/>
                <w:highlight w:val="none"/>
              </w:rPr>
            </w:pPr>
            <w:r>
              <w:rPr>
                <w:rFonts w:hint="eastAsia"/>
                <w:color w:val="000000"/>
                <w:kern w:val="2"/>
                <w:sz w:val="24"/>
                <w:szCs w:val="24"/>
                <w:highlight w:val="none"/>
              </w:rPr>
              <w:t>厨房</w:t>
            </w:r>
          </w:p>
        </w:tc>
        <w:tc>
          <w:tcPr>
            <w:tcW w:w="4770" w:type="dxa"/>
            <w:tcBorders>
              <w:top w:val="single" w:color="000000" w:sz="4" w:space="0"/>
              <w:left w:val="single" w:color="000000" w:sz="4" w:space="0"/>
              <w:bottom w:val="single" w:color="000000" w:sz="4" w:space="0"/>
              <w:right w:val="single" w:color="000000" w:sz="4" w:space="0"/>
            </w:tcBorders>
            <w:vAlign w:val="center"/>
          </w:tcPr>
          <w:p w14:paraId="1F538B84">
            <w:pPr>
              <w:pStyle w:val="211"/>
              <w:widowControl w:val="0"/>
              <w:rPr>
                <w:color w:val="000000"/>
                <w:kern w:val="2"/>
                <w:sz w:val="24"/>
                <w:szCs w:val="24"/>
                <w:highlight w:val="none"/>
              </w:rPr>
            </w:pPr>
            <w:r>
              <w:rPr>
                <w:color w:val="000000"/>
                <w:kern w:val="2"/>
                <w:sz w:val="24"/>
                <w:szCs w:val="24"/>
                <w:highlight w:val="none"/>
              </w:rPr>
              <w:t>1</w:t>
            </w:r>
            <w:r>
              <w:rPr>
                <w:rFonts w:hint="eastAsia"/>
                <w:color w:val="000000"/>
                <w:kern w:val="2"/>
                <w:sz w:val="24"/>
                <w:szCs w:val="24"/>
                <w:highlight w:val="none"/>
              </w:rPr>
              <w:t>、灯管、风扇、抽烟机、排风扇、墙壁、抽烟机干净；无油污、灰尘、蜘蛛网；</w:t>
            </w:r>
          </w:p>
          <w:p w14:paraId="0F5E348B">
            <w:pPr>
              <w:pStyle w:val="211"/>
              <w:widowControl w:val="0"/>
              <w:rPr>
                <w:color w:val="000000"/>
                <w:kern w:val="2"/>
                <w:sz w:val="24"/>
                <w:szCs w:val="24"/>
                <w:highlight w:val="none"/>
              </w:rPr>
            </w:pPr>
            <w:r>
              <w:rPr>
                <w:color w:val="000000"/>
                <w:kern w:val="2"/>
                <w:sz w:val="24"/>
                <w:szCs w:val="24"/>
                <w:highlight w:val="none"/>
              </w:rPr>
              <w:t>2</w:t>
            </w:r>
            <w:r>
              <w:rPr>
                <w:rFonts w:hint="eastAsia"/>
                <w:color w:val="000000"/>
                <w:kern w:val="2"/>
                <w:sz w:val="24"/>
                <w:szCs w:val="24"/>
                <w:highlight w:val="none"/>
              </w:rPr>
              <w:t>、各种蒸饭、煲汤炉具</w:t>
            </w:r>
            <w:r>
              <w:rPr>
                <w:rFonts w:hint="eastAsia"/>
                <w:color w:val="000000"/>
                <w:kern w:val="2"/>
                <w:sz w:val="24"/>
                <w:szCs w:val="24"/>
                <w:highlight w:val="none"/>
                <w:lang w:eastAsia="zh-CN"/>
              </w:rPr>
              <w:t>等设施</w:t>
            </w:r>
            <w:r>
              <w:rPr>
                <w:rFonts w:hint="eastAsia"/>
                <w:color w:val="000000"/>
                <w:kern w:val="2"/>
                <w:sz w:val="24"/>
                <w:szCs w:val="24"/>
                <w:highlight w:val="none"/>
              </w:rPr>
              <w:t>整洁、里外干净光亮、饭盘无饭粒；</w:t>
            </w:r>
          </w:p>
          <w:p w14:paraId="16E748D4">
            <w:pPr>
              <w:pStyle w:val="211"/>
              <w:widowControl w:val="0"/>
              <w:rPr>
                <w:color w:val="000000"/>
                <w:kern w:val="2"/>
                <w:sz w:val="24"/>
                <w:szCs w:val="24"/>
                <w:highlight w:val="none"/>
              </w:rPr>
            </w:pPr>
            <w:r>
              <w:rPr>
                <w:color w:val="000000"/>
                <w:kern w:val="2"/>
                <w:sz w:val="24"/>
                <w:szCs w:val="24"/>
                <w:highlight w:val="none"/>
              </w:rPr>
              <w:t>3</w:t>
            </w:r>
            <w:r>
              <w:rPr>
                <w:rFonts w:hint="eastAsia"/>
                <w:color w:val="000000"/>
                <w:kern w:val="2"/>
                <w:sz w:val="24"/>
                <w:szCs w:val="24"/>
                <w:highlight w:val="none"/>
              </w:rPr>
              <w:t>、工作间地面干净、无积水、无杂物；</w:t>
            </w:r>
          </w:p>
          <w:p w14:paraId="19097CBA">
            <w:pPr>
              <w:pStyle w:val="211"/>
              <w:widowControl w:val="0"/>
              <w:rPr>
                <w:color w:val="000000"/>
                <w:kern w:val="2"/>
                <w:sz w:val="24"/>
                <w:szCs w:val="24"/>
                <w:highlight w:val="none"/>
              </w:rPr>
            </w:pPr>
            <w:r>
              <w:rPr>
                <w:color w:val="000000"/>
                <w:kern w:val="2"/>
                <w:sz w:val="24"/>
                <w:szCs w:val="24"/>
                <w:highlight w:val="none"/>
              </w:rPr>
              <w:t>4</w:t>
            </w:r>
            <w:r>
              <w:rPr>
                <w:rFonts w:hint="eastAsia"/>
                <w:color w:val="000000"/>
                <w:kern w:val="2"/>
                <w:sz w:val="24"/>
                <w:szCs w:val="24"/>
                <w:highlight w:val="none"/>
              </w:rPr>
              <w:t>、货架经常擦拭，保持干净，各种刀具手套摆放整齐；</w:t>
            </w:r>
          </w:p>
          <w:p w14:paraId="16AAFD7E">
            <w:pPr>
              <w:pStyle w:val="211"/>
              <w:widowControl w:val="0"/>
              <w:rPr>
                <w:color w:val="000000"/>
                <w:kern w:val="2"/>
                <w:sz w:val="24"/>
                <w:szCs w:val="24"/>
                <w:highlight w:val="none"/>
              </w:rPr>
            </w:pPr>
            <w:r>
              <w:rPr>
                <w:color w:val="000000"/>
                <w:kern w:val="2"/>
                <w:sz w:val="24"/>
                <w:szCs w:val="24"/>
                <w:highlight w:val="none"/>
              </w:rPr>
              <w:t>5</w:t>
            </w:r>
            <w:r>
              <w:rPr>
                <w:rFonts w:hint="eastAsia"/>
                <w:color w:val="000000"/>
                <w:kern w:val="2"/>
                <w:sz w:val="24"/>
                <w:szCs w:val="24"/>
                <w:highlight w:val="none"/>
              </w:rPr>
              <w:t>、操作台、灶台及售饭台干净整洁；</w:t>
            </w:r>
          </w:p>
          <w:p w14:paraId="1FAA17DC">
            <w:pPr>
              <w:pStyle w:val="211"/>
              <w:widowControl w:val="0"/>
              <w:rPr>
                <w:color w:val="000000"/>
                <w:kern w:val="2"/>
                <w:sz w:val="24"/>
                <w:szCs w:val="24"/>
                <w:highlight w:val="none"/>
              </w:rPr>
            </w:pPr>
            <w:r>
              <w:rPr>
                <w:color w:val="000000"/>
                <w:kern w:val="2"/>
                <w:sz w:val="24"/>
                <w:szCs w:val="24"/>
                <w:highlight w:val="none"/>
              </w:rPr>
              <w:t>6</w:t>
            </w:r>
            <w:r>
              <w:rPr>
                <w:rFonts w:hint="eastAsia"/>
                <w:color w:val="000000"/>
                <w:kern w:val="2"/>
                <w:sz w:val="24"/>
                <w:szCs w:val="24"/>
                <w:highlight w:val="none"/>
              </w:rPr>
              <w:t>、洗菜池、餐具、热食容器定期消毒并保持清洁，做到“一洗二净三冲四消毒。”</w:t>
            </w:r>
          </w:p>
          <w:p w14:paraId="4C73A9AB">
            <w:pPr>
              <w:pStyle w:val="222"/>
              <w:widowControl w:val="0"/>
              <w:spacing w:after="0"/>
              <w:ind w:firstLine="0"/>
              <w:rPr>
                <w:color w:val="000000"/>
                <w:kern w:val="2"/>
                <w:sz w:val="24"/>
                <w:szCs w:val="24"/>
                <w:highlight w:val="none"/>
              </w:rPr>
            </w:pPr>
            <w:r>
              <w:rPr>
                <w:color w:val="000000"/>
                <w:kern w:val="2"/>
                <w:sz w:val="24"/>
                <w:szCs w:val="24"/>
                <w:highlight w:val="none"/>
              </w:rPr>
              <w:t>7</w:t>
            </w:r>
            <w:r>
              <w:rPr>
                <w:rFonts w:hint="eastAsia"/>
                <w:color w:val="000000"/>
                <w:kern w:val="2"/>
                <w:sz w:val="24"/>
                <w:szCs w:val="24"/>
                <w:highlight w:val="none"/>
              </w:rPr>
              <w:t>、各种机器设备保持整洁，标识清晰，无人为损坏；</w:t>
            </w:r>
          </w:p>
          <w:p w14:paraId="53A31B73">
            <w:pPr>
              <w:pStyle w:val="222"/>
              <w:widowControl w:val="0"/>
              <w:spacing w:after="0"/>
              <w:ind w:firstLine="0"/>
              <w:rPr>
                <w:color w:val="000000"/>
                <w:kern w:val="2"/>
                <w:sz w:val="24"/>
                <w:szCs w:val="24"/>
                <w:highlight w:val="none"/>
              </w:rPr>
            </w:pPr>
            <w:r>
              <w:rPr>
                <w:color w:val="000000"/>
                <w:kern w:val="2"/>
                <w:sz w:val="24"/>
                <w:szCs w:val="24"/>
                <w:highlight w:val="none"/>
              </w:rPr>
              <w:t>8</w:t>
            </w:r>
            <w:r>
              <w:rPr>
                <w:rFonts w:hint="eastAsia"/>
                <w:color w:val="000000"/>
                <w:kern w:val="2"/>
                <w:sz w:val="24"/>
                <w:szCs w:val="24"/>
                <w:highlight w:val="none"/>
              </w:rPr>
              <w:t>、冰箱责任落实到人，外表整洁、生熟分开、标识清晰。</w:t>
            </w:r>
          </w:p>
          <w:p w14:paraId="4F9D0AF9">
            <w:pPr>
              <w:pStyle w:val="222"/>
              <w:widowControl w:val="0"/>
              <w:spacing w:after="0"/>
              <w:ind w:firstLine="0"/>
              <w:rPr>
                <w:color w:val="000000"/>
                <w:kern w:val="2"/>
                <w:sz w:val="24"/>
                <w:szCs w:val="24"/>
                <w:highlight w:val="none"/>
              </w:rPr>
            </w:pPr>
            <w:r>
              <w:rPr>
                <w:color w:val="000000"/>
                <w:kern w:val="2"/>
                <w:sz w:val="24"/>
                <w:szCs w:val="24"/>
                <w:highlight w:val="none"/>
              </w:rPr>
              <w:t>9</w:t>
            </w:r>
            <w:r>
              <w:rPr>
                <w:rFonts w:hint="eastAsia"/>
                <w:color w:val="000000"/>
                <w:kern w:val="2"/>
                <w:sz w:val="24"/>
                <w:szCs w:val="24"/>
                <w:highlight w:val="none"/>
              </w:rPr>
              <w:t>、做好四害防治。</w:t>
            </w:r>
          </w:p>
        </w:tc>
        <w:tc>
          <w:tcPr>
            <w:tcW w:w="1939" w:type="dxa"/>
            <w:tcBorders>
              <w:top w:val="single" w:color="000000" w:sz="4" w:space="0"/>
              <w:left w:val="single" w:color="000000" w:sz="4" w:space="0"/>
              <w:bottom w:val="single" w:color="000000" w:sz="4" w:space="0"/>
              <w:right w:val="single" w:color="000000" w:sz="4" w:space="0"/>
            </w:tcBorders>
            <w:vAlign w:val="center"/>
          </w:tcPr>
          <w:p w14:paraId="12842FAE">
            <w:pPr>
              <w:pStyle w:val="211"/>
              <w:widowControl w:val="0"/>
              <w:jc w:val="center"/>
              <w:rPr>
                <w:color w:val="000000"/>
                <w:kern w:val="2"/>
                <w:sz w:val="24"/>
                <w:szCs w:val="24"/>
                <w:highlight w:val="none"/>
              </w:rPr>
            </w:pPr>
            <w:r>
              <w:rPr>
                <w:rFonts w:hint="eastAsia"/>
                <w:color w:val="000000"/>
                <w:spacing w:val="-7"/>
                <w:kern w:val="2"/>
                <w:sz w:val="24"/>
                <w:szCs w:val="24"/>
                <w:highlight w:val="none"/>
              </w:rPr>
              <w:t>有一项不清洁扣</w:t>
            </w:r>
            <w:r>
              <w:rPr>
                <w:color w:val="000000"/>
                <w:kern w:val="2"/>
                <w:sz w:val="24"/>
                <w:szCs w:val="24"/>
                <w:highlight w:val="none"/>
              </w:rPr>
              <w:t>1</w:t>
            </w:r>
            <w:r>
              <w:rPr>
                <w:rFonts w:hint="eastAsia"/>
                <w:color w:val="000000"/>
                <w:spacing w:val="-18"/>
                <w:kern w:val="2"/>
                <w:sz w:val="24"/>
                <w:szCs w:val="24"/>
                <w:highlight w:val="none"/>
              </w:rPr>
              <w:t>分；</w:t>
            </w:r>
          </w:p>
          <w:p w14:paraId="64821BDA">
            <w:pPr>
              <w:pStyle w:val="222"/>
              <w:widowControl w:val="0"/>
              <w:spacing w:after="0"/>
              <w:ind w:firstLine="0"/>
              <w:jc w:val="center"/>
              <w:rPr>
                <w:color w:val="000000"/>
                <w:spacing w:val="-15"/>
                <w:kern w:val="2"/>
                <w:sz w:val="24"/>
                <w:szCs w:val="24"/>
                <w:highlight w:val="none"/>
              </w:rPr>
            </w:pPr>
            <w:r>
              <w:rPr>
                <w:rFonts w:hint="eastAsia"/>
                <w:color w:val="000000"/>
                <w:spacing w:val="-12"/>
                <w:kern w:val="2"/>
                <w:sz w:val="24"/>
                <w:szCs w:val="24"/>
                <w:highlight w:val="none"/>
              </w:rPr>
              <w:t>无消毒扣</w:t>
            </w:r>
            <w:r>
              <w:rPr>
                <w:color w:val="000000"/>
                <w:kern w:val="2"/>
                <w:sz w:val="24"/>
                <w:szCs w:val="24"/>
                <w:highlight w:val="none"/>
              </w:rPr>
              <w:t>2</w:t>
            </w:r>
            <w:r>
              <w:rPr>
                <w:rFonts w:hint="eastAsia"/>
                <w:color w:val="000000"/>
                <w:spacing w:val="-15"/>
                <w:kern w:val="2"/>
                <w:sz w:val="24"/>
                <w:szCs w:val="24"/>
                <w:highlight w:val="none"/>
              </w:rPr>
              <w:t>分；</w:t>
            </w:r>
          </w:p>
          <w:p w14:paraId="21F1522C">
            <w:pPr>
              <w:pStyle w:val="222"/>
              <w:widowControl w:val="0"/>
              <w:spacing w:after="0"/>
              <w:ind w:firstLine="0"/>
              <w:jc w:val="center"/>
              <w:rPr>
                <w:rFonts w:eastAsia="宋体"/>
                <w:color w:val="000000"/>
                <w:spacing w:val="21"/>
                <w:kern w:val="2"/>
                <w:sz w:val="24"/>
                <w:szCs w:val="24"/>
                <w:highlight w:val="none"/>
              </w:rPr>
            </w:pPr>
            <w:r>
              <w:rPr>
                <w:rFonts w:hint="eastAsia"/>
                <w:color w:val="000000"/>
                <w:spacing w:val="-15"/>
                <w:kern w:val="2"/>
                <w:sz w:val="24"/>
                <w:szCs w:val="24"/>
                <w:highlight w:val="none"/>
              </w:rPr>
              <w:t>不按食</w:t>
            </w:r>
            <w:r>
              <w:rPr>
                <w:rFonts w:hint="eastAsia"/>
                <w:color w:val="000000"/>
                <w:spacing w:val="19"/>
                <w:kern w:val="2"/>
                <w:sz w:val="24"/>
                <w:szCs w:val="24"/>
                <w:highlight w:val="none"/>
              </w:rPr>
              <w:t>品安全、操作规范等工作规定执行</w:t>
            </w:r>
            <w:r>
              <w:rPr>
                <w:rFonts w:hint="eastAsia"/>
                <w:color w:val="000000"/>
                <w:spacing w:val="-27"/>
                <w:kern w:val="2"/>
                <w:sz w:val="24"/>
                <w:szCs w:val="24"/>
                <w:highlight w:val="none"/>
              </w:rPr>
              <w:t>扣</w:t>
            </w:r>
            <w:r>
              <w:rPr>
                <w:color w:val="000000"/>
                <w:kern w:val="2"/>
                <w:sz w:val="24"/>
                <w:szCs w:val="24"/>
                <w:highlight w:val="none"/>
              </w:rPr>
              <w:t>2</w:t>
            </w:r>
            <w:r>
              <w:rPr>
                <w:rFonts w:hint="eastAsia"/>
                <w:color w:val="000000"/>
                <w:spacing w:val="-18"/>
                <w:kern w:val="2"/>
                <w:sz w:val="24"/>
                <w:szCs w:val="24"/>
                <w:highlight w:val="none"/>
              </w:rPr>
              <w:t>分；发现苍蝇老鼠一次扣</w:t>
            </w:r>
            <w:r>
              <w:rPr>
                <w:color w:val="000000"/>
                <w:spacing w:val="-18"/>
                <w:kern w:val="2"/>
                <w:sz w:val="24"/>
                <w:szCs w:val="24"/>
                <w:highlight w:val="none"/>
              </w:rPr>
              <w:t>3</w:t>
            </w:r>
            <w:r>
              <w:rPr>
                <w:rFonts w:hint="eastAsia"/>
                <w:color w:val="000000"/>
                <w:spacing w:val="-18"/>
                <w:kern w:val="2"/>
                <w:sz w:val="24"/>
                <w:szCs w:val="24"/>
                <w:highlight w:val="none"/>
              </w:rPr>
              <w:t>分。</w:t>
            </w:r>
          </w:p>
        </w:tc>
        <w:tc>
          <w:tcPr>
            <w:tcW w:w="737" w:type="dxa"/>
            <w:tcBorders>
              <w:top w:val="single" w:color="000000" w:sz="4" w:space="0"/>
              <w:left w:val="single" w:color="000000" w:sz="4" w:space="0"/>
              <w:bottom w:val="single" w:color="000000" w:sz="4" w:space="0"/>
              <w:right w:val="single" w:color="000000" w:sz="4" w:space="0"/>
            </w:tcBorders>
            <w:vAlign w:val="center"/>
          </w:tcPr>
          <w:p w14:paraId="34D006C4">
            <w:pPr>
              <w:pStyle w:val="222"/>
              <w:widowControl w:val="0"/>
              <w:spacing w:after="0"/>
              <w:ind w:firstLine="0"/>
              <w:jc w:val="center"/>
              <w:rPr>
                <w:rFonts w:eastAsia="宋体"/>
                <w:color w:val="000000"/>
                <w:kern w:val="2"/>
                <w:sz w:val="24"/>
                <w:szCs w:val="24"/>
                <w:highlight w:val="none"/>
              </w:rPr>
            </w:pPr>
            <w:r>
              <w:rPr>
                <w:color w:val="000000"/>
                <w:kern w:val="2"/>
                <w:sz w:val="24"/>
                <w:szCs w:val="24"/>
                <w:highlight w:val="none"/>
              </w:rPr>
              <w:t>11</w:t>
            </w:r>
          </w:p>
        </w:tc>
      </w:tr>
      <w:tr w14:paraId="16F13A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vAlign w:val="center"/>
          </w:tcPr>
          <w:p w14:paraId="7FFD1791">
            <w:pPr>
              <w:rPr>
                <w:color w:val="000000"/>
                <w:kern w:val="2"/>
                <w:sz w:val="24"/>
                <w:szCs w:val="24"/>
                <w:highlight w:val="none"/>
              </w:rPr>
            </w:pPr>
          </w:p>
        </w:tc>
        <w:tc>
          <w:tcPr>
            <w:tcW w:w="778" w:type="dxa"/>
            <w:tcBorders>
              <w:top w:val="single" w:color="000000" w:sz="4" w:space="0"/>
              <w:left w:val="single" w:color="000000" w:sz="4" w:space="0"/>
              <w:bottom w:val="single" w:color="000000" w:sz="4" w:space="0"/>
              <w:right w:val="single" w:color="000000" w:sz="4" w:space="0"/>
            </w:tcBorders>
            <w:vAlign w:val="center"/>
          </w:tcPr>
          <w:p w14:paraId="1E16A250">
            <w:pPr>
              <w:pStyle w:val="222"/>
              <w:widowControl w:val="0"/>
              <w:spacing w:after="0"/>
              <w:ind w:firstLine="0"/>
              <w:jc w:val="center"/>
              <w:rPr>
                <w:color w:val="000000"/>
                <w:kern w:val="2"/>
                <w:sz w:val="24"/>
                <w:szCs w:val="24"/>
                <w:highlight w:val="none"/>
              </w:rPr>
            </w:pPr>
            <w:r>
              <w:rPr>
                <w:rFonts w:hint="eastAsia"/>
                <w:color w:val="000000"/>
                <w:kern w:val="2"/>
                <w:sz w:val="24"/>
                <w:szCs w:val="24"/>
                <w:highlight w:val="none"/>
              </w:rPr>
              <w:t>餐厅</w:t>
            </w:r>
          </w:p>
        </w:tc>
        <w:tc>
          <w:tcPr>
            <w:tcW w:w="4770" w:type="dxa"/>
            <w:tcBorders>
              <w:top w:val="single" w:color="000000" w:sz="4" w:space="0"/>
              <w:left w:val="single" w:color="000000" w:sz="4" w:space="0"/>
              <w:bottom w:val="single" w:color="000000" w:sz="4" w:space="0"/>
              <w:right w:val="single" w:color="000000" w:sz="4" w:space="0"/>
            </w:tcBorders>
            <w:vAlign w:val="center"/>
          </w:tcPr>
          <w:p w14:paraId="0356235B">
            <w:pPr>
              <w:pStyle w:val="211"/>
              <w:widowControl w:val="0"/>
              <w:rPr>
                <w:color w:val="000000"/>
                <w:kern w:val="2"/>
                <w:sz w:val="24"/>
                <w:szCs w:val="24"/>
                <w:highlight w:val="none"/>
              </w:rPr>
            </w:pPr>
            <w:r>
              <w:rPr>
                <w:color w:val="000000"/>
                <w:kern w:val="2"/>
                <w:sz w:val="24"/>
                <w:szCs w:val="24"/>
                <w:highlight w:val="none"/>
              </w:rPr>
              <w:t>1</w:t>
            </w:r>
            <w:r>
              <w:rPr>
                <w:rFonts w:hint="eastAsia"/>
                <w:color w:val="000000"/>
                <w:kern w:val="2"/>
                <w:sz w:val="24"/>
                <w:szCs w:val="24"/>
                <w:highlight w:val="none"/>
              </w:rPr>
              <w:t>、餐厅地面每日清扫，台面、墙面、地面清洁；</w:t>
            </w:r>
          </w:p>
          <w:p w14:paraId="6405B4C0">
            <w:pPr>
              <w:pStyle w:val="211"/>
              <w:widowControl w:val="0"/>
              <w:rPr>
                <w:color w:val="000000"/>
                <w:kern w:val="2"/>
                <w:sz w:val="24"/>
                <w:szCs w:val="24"/>
                <w:highlight w:val="none"/>
              </w:rPr>
            </w:pPr>
            <w:r>
              <w:rPr>
                <w:color w:val="000000"/>
                <w:kern w:val="2"/>
                <w:sz w:val="24"/>
                <w:szCs w:val="24"/>
                <w:highlight w:val="none"/>
              </w:rPr>
              <w:t>2</w:t>
            </w:r>
            <w:r>
              <w:rPr>
                <w:rFonts w:hint="eastAsia"/>
                <w:color w:val="000000"/>
                <w:kern w:val="2"/>
                <w:sz w:val="24"/>
                <w:szCs w:val="24"/>
                <w:highlight w:val="none"/>
              </w:rPr>
              <w:t>、餐桌摆成一条线，</w:t>
            </w:r>
            <w:r>
              <w:rPr>
                <w:rFonts w:hint="eastAsia"/>
                <w:color w:val="000000"/>
                <w:kern w:val="2"/>
                <w:sz w:val="24"/>
                <w:szCs w:val="24"/>
                <w:highlight w:val="none"/>
                <w:lang w:eastAsia="zh-CN"/>
              </w:rPr>
              <w:t>餐桌、餐具</w:t>
            </w:r>
            <w:r>
              <w:rPr>
                <w:rFonts w:hint="eastAsia"/>
                <w:color w:val="000000"/>
                <w:kern w:val="2"/>
                <w:sz w:val="24"/>
                <w:szCs w:val="24"/>
                <w:highlight w:val="none"/>
              </w:rPr>
              <w:t>干净整洁无污渍；</w:t>
            </w:r>
          </w:p>
          <w:p w14:paraId="6AF7DD99">
            <w:pPr>
              <w:pStyle w:val="222"/>
              <w:widowControl w:val="0"/>
              <w:spacing w:after="0"/>
              <w:ind w:firstLine="0"/>
              <w:rPr>
                <w:color w:val="000000"/>
                <w:kern w:val="2"/>
                <w:sz w:val="24"/>
                <w:szCs w:val="24"/>
                <w:highlight w:val="none"/>
              </w:rPr>
            </w:pPr>
            <w:r>
              <w:rPr>
                <w:color w:val="000000"/>
                <w:kern w:val="2"/>
                <w:sz w:val="24"/>
                <w:szCs w:val="24"/>
                <w:highlight w:val="none"/>
              </w:rPr>
              <w:t>3</w:t>
            </w:r>
            <w:r>
              <w:rPr>
                <w:rFonts w:hint="eastAsia"/>
                <w:color w:val="000000"/>
                <w:kern w:val="2"/>
                <w:sz w:val="24"/>
                <w:szCs w:val="24"/>
                <w:highlight w:val="none"/>
              </w:rPr>
              <w:t>、餐具干净，餐余回收处干燥整洁无残渣；</w:t>
            </w:r>
          </w:p>
          <w:p w14:paraId="138934CB">
            <w:pPr>
              <w:pStyle w:val="222"/>
              <w:widowControl w:val="0"/>
              <w:spacing w:after="0"/>
              <w:ind w:firstLine="0"/>
              <w:rPr>
                <w:color w:val="000000"/>
                <w:kern w:val="2"/>
                <w:sz w:val="24"/>
                <w:szCs w:val="24"/>
                <w:highlight w:val="none"/>
              </w:rPr>
            </w:pPr>
            <w:r>
              <w:rPr>
                <w:color w:val="000000"/>
                <w:kern w:val="2"/>
                <w:sz w:val="24"/>
                <w:szCs w:val="24"/>
                <w:highlight w:val="none"/>
              </w:rPr>
              <w:t>4</w:t>
            </w:r>
            <w:r>
              <w:rPr>
                <w:rFonts w:hint="eastAsia"/>
                <w:color w:val="000000"/>
                <w:kern w:val="2"/>
                <w:sz w:val="24"/>
                <w:szCs w:val="24"/>
                <w:highlight w:val="none"/>
              </w:rPr>
              <w:t>、用餐期间及时清理桌面。</w:t>
            </w:r>
          </w:p>
          <w:p w14:paraId="125DD263">
            <w:pPr>
              <w:pStyle w:val="222"/>
              <w:widowControl w:val="0"/>
              <w:spacing w:after="0"/>
              <w:ind w:firstLine="0"/>
              <w:rPr>
                <w:rFonts w:eastAsia="宋体"/>
                <w:color w:val="000000"/>
                <w:kern w:val="2"/>
                <w:sz w:val="24"/>
                <w:szCs w:val="24"/>
                <w:highlight w:val="none"/>
              </w:rPr>
            </w:pPr>
            <w:r>
              <w:rPr>
                <w:color w:val="000000"/>
                <w:kern w:val="2"/>
                <w:sz w:val="24"/>
                <w:szCs w:val="24"/>
                <w:highlight w:val="none"/>
              </w:rPr>
              <w:t>5</w:t>
            </w:r>
            <w:r>
              <w:rPr>
                <w:rFonts w:hint="eastAsia"/>
                <w:color w:val="000000"/>
                <w:kern w:val="2"/>
                <w:sz w:val="24"/>
                <w:szCs w:val="24"/>
                <w:highlight w:val="none"/>
              </w:rPr>
              <w:t>、做好四害防治。</w:t>
            </w:r>
          </w:p>
        </w:tc>
        <w:tc>
          <w:tcPr>
            <w:tcW w:w="1939" w:type="dxa"/>
            <w:tcBorders>
              <w:top w:val="single" w:color="000000" w:sz="4" w:space="0"/>
              <w:left w:val="single" w:color="000000" w:sz="4" w:space="0"/>
              <w:bottom w:val="single" w:color="000000" w:sz="4" w:space="0"/>
              <w:right w:val="single" w:color="000000" w:sz="4" w:space="0"/>
            </w:tcBorders>
            <w:vAlign w:val="center"/>
          </w:tcPr>
          <w:p w14:paraId="34492F1A">
            <w:pPr>
              <w:pStyle w:val="222"/>
              <w:widowControl w:val="0"/>
              <w:spacing w:after="0"/>
              <w:ind w:firstLine="0"/>
              <w:jc w:val="center"/>
              <w:rPr>
                <w:rFonts w:eastAsia="宋体"/>
                <w:color w:val="000000"/>
                <w:spacing w:val="21"/>
                <w:kern w:val="2"/>
                <w:sz w:val="24"/>
                <w:szCs w:val="24"/>
                <w:highlight w:val="none"/>
              </w:rPr>
            </w:pPr>
            <w:r>
              <w:rPr>
                <w:rFonts w:hint="eastAsia"/>
                <w:color w:val="000000"/>
                <w:kern w:val="2"/>
                <w:sz w:val="24"/>
                <w:szCs w:val="24"/>
                <w:highlight w:val="none"/>
              </w:rPr>
              <w:t>前四条发现一次扣</w:t>
            </w:r>
            <w:r>
              <w:rPr>
                <w:color w:val="000000"/>
                <w:kern w:val="2"/>
                <w:sz w:val="24"/>
                <w:szCs w:val="24"/>
                <w:highlight w:val="none"/>
              </w:rPr>
              <w:t>2</w:t>
            </w:r>
            <w:r>
              <w:rPr>
                <w:rFonts w:hint="eastAsia"/>
                <w:color w:val="000000"/>
                <w:kern w:val="2"/>
                <w:sz w:val="24"/>
                <w:szCs w:val="24"/>
                <w:highlight w:val="none"/>
              </w:rPr>
              <w:t>分，第五条发现一次扣</w:t>
            </w:r>
            <w:r>
              <w:rPr>
                <w:color w:val="000000"/>
                <w:kern w:val="2"/>
                <w:sz w:val="24"/>
                <w:szCs w:val="24"/>
                <w:highlight w:val="none"/>
              </w:rPr>
              <w:t>3</w:t>
            </w:r>
            <w:r>
              <w:rPr>
                <w:rFonts w:hint="eastAsia"/>
                <w:color w:val="000000"/>
                <w:kern w:val="2"/>
                <w:sz w:val="24"/>
                <w:szCs w:val="24"/>
                <w:highlight w:val="none"/>
              </w:rPr>
              <w:t>分。</w:t>
            </w:r>
          </w:p>
        </w:tc>
        <w:tc>
          <w:tcPr>
            <w:tcW w:w="737" w:type="dxa"/>
            <w:tcBorders>
              <w:top w:val="single" w:color="000000" w:sz="4" w:space="0"/>
              <w:left w:val="single" w:color="000000" w:sz="4" w:space="0"/>
              <w:bottom w:val="single" w:color="000000" w:sz="4" w:space="0"/>
              <w:right w:val="single" w:color="000000" w:sz="4" w:space="0"/>
            </w:tcBorders>
            <w:vAlign w:val="center"/>
          </w:tcPr>
          <w:p w14:paraId="03791EF1">
            <w:pPr>
              <w:pStyle w:val="222"/>
              <w:widowControl w:val="0"/>
              <w:spacing w:after="0"/>
              <w:ind w:firstLine="0"/>
              <w:jc w:val="center"/>
              <w:rPr>
                <w:rFonts w:eastAsia="宋体"/>
                <w:color w:val="000000"/>
                <w:kern w:val="2"/>
                <w:sz w:val="24"/>
                <w:szCs w:val="24"/>
                <w:highlight w:val="none"/>
              </w:rPr>
            </w:pPr>
            <w:r>
              <w:rPr>
                <w:color w:val="000000"/>
                <w:kern w:val="2"/>
                <w:sz w:val="24"/>
                <w:szCs w:val="24"/>
                <w:highlight w:val="none"/>
              </w:rPr>
              <w:t>5</w:t>
            </w:r>
          </w:p>
        </w:tc>
      </w:tr>
      <w:tr w14:paraId="3373DA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vAlign w:val="center"/>
          </w:tcPr>
          <w:p w14:paraId="4B7CBAF2">
            <w:pPr>
              <w:rPr>
                <w:color w:val="000000"/>
                <w:kern w:val="2"/>
                <w:sz w:val="24"/>
                <w:szCs w:val="24"/>
                <w:highlight w:val="none"/>
              </w:rPr>
            </w:pPr>
          </w:p>
        </w:tc>
        <w:tc>
          <w:tcPr>
            <w:tcW w:w="778" w:type="dxa"/>
            <w:tcBorders>
              <w:top w:val="single" w:color="000000" w:sz="4" w:space="0"/>
              <w:left w:val="single" w:color="000000" w:sz="4" w:space="0"/>
              <w:bottom w:val="single" w:color="000000" w:sz="4" w:space="0"/>
              <w:right w:val="single" w:color="000000" w:sz="4" w:space="0"/>
            </w:tcBorders>
            <w:vAlign w:val="center"/>
          </w:tcPr>
          <w:p w14:paraId="4643565C">
            <w:pPr>
              <w:pStyle w:val="222"/>
              <w:widowControl w:val="0"/>
              <w:spacing w:after="0"/>
              <w:ind w:firstLine="0"/>
              <w:jc w:val="center"/>
              <w:rPr>
                <w:color w:val="000000"/>
                <w:kern w:val="2"/>
                <w:sz w:val="24"/>
                <w:szCs w:val="24"/>
                <w:highlight w:val="none"/>
              </w:rPr>
            </w:pPr>
            <w:r>
              <w:rPr>
                <w:rFonts w:hint="eastAsia"/>
                <w:color w:val="000000"/>
                <w:kern w:val="2"/>
                <w:sz w:val="24"/>
                <w:szCs w:val="24"/>
                <w:highlight w:val="none"/>
              </w:rPr>
              <w:t>库房</w:t>
            </w:r>
          </w:p>
        </w:tc>
        <w:tc>
          <w:tcPr>
            <w:tcW w:w="4770" w:type="dxa"/>
            <w:tcBorders>
              <w:top w:val="single" w:color="000000" w:sz="4" w:space="0"/>
              <w:left w:val="single" w:color="000000" w:sz="4" w:space="0"/>
              <w:bottom w:val="single" w:color="000000" w:sz="4" w:space="0"/>
              <w:right w:val="single" w:color="000000" w:sz="4" w:space="0"/>
            </w:tcBorders>
            <w:vAlign w:val="center"/>
          </w:tcPr>
          <w:p w14:paraId="711EECF5">
            <w:pPr>
              <w:pStyle w:val="211"/>
              <w:widowControl w:val="0"/>
              <w:rPr>
                <w:color w:val="000000"/>
                <w:kern w:val="2"/>
                <w:sz w:val="24"/>
                <w:szCs w:val="24"/>
                <w:highlight w:val="none"/>
              </w:rPr>
            </w:pPr>
            <w:r>
              <w:rPr>
                <w:color w:val="000000"/>
                <w:kern w:val="2"/>
                <w:sz w:val="24"/>
                <w:szCs w:val="24"/>
                <w:highlight w:val="none"/>
              </w:rPr>
              <w:t>1</w:t>
            </w:r>
            <w:r>
              <w:rPr>
                <w:rFonts w:hint="eastAsia"/>
                <w:color w:val="000000"/>
                <w:kern w:val="2"/>
                <w:sz w:val="24"/>
                <w:szCs w:val="24"/>
                <w:highlight w:val="none"/>
              </w:rPr>
              <w:t>、地面、</w:t>
            </w:r>
            <w:r>
              <w:rPr>
                <w:rFonts w:hint="eastAsia"/>
                <w:color w:val="000000"/>
                <w:kern w:val="2"/>
                <w:sz w:val="24"/>
                <w:szCs w:val="24"/>
                <w:highlight w:val="none"/>
                <w:lang w:eastAsia="zh-CN"/>
              </w:rPr>
              <w:t>货架</w:t>
            </w:r>
            <w:r>
              <w:rPr>
                <w:rFonts w:hint="eastAsia"/>
                <w:color w:val="000000"/>
                <w:kern w:val="2"/>
                <w:sz w:val="24"/>
                <w:szCs w:val="24"/>
                <w:highlight w:val="none"/>
              </w:rPr>
              <w:t>保持清洁；</w:t>
            </w:r>
          </w:p>
          <w:p w14:paraId="5B696240">
            <w:pPr>
              <w:pStyle w:val="211"/>
              <w:widowControl w:val="0"/>
              <w:rPr>
                <w:color w:val="000000"/>
                <w:kern w:val="2"/>
                <w:sz w:val="24"/>
                <w:szCs w:val="24"/>
                <w:highlight w:val="none"/>
              </w:rPr>
            </w:pPr>
            <w:r>
              <w:rPr>
                <w:color w:val="000000"/>
                <w:kern w:val="2"/>
                <w:sz w:val="24"/>
                <w:szCs w:val="24"/>
                <w:highlight w:val="none"/>
              </w:rPr>
              <w:t>2</w:t>
            </w:r>
            <w:r>
              <w:rPr>
                <w:rFonts w:hint="eastAsia"/>
                <w:color w:val="000000"/>
                <w:kern w:val="2"/>
                <w:sz w:val="24"/>
                <w:szCs w:val="24"/>
                <w:highlight w:val="none"/>
              </w:rPr>
              <w:t>、所有食物必须上架，未用完的封口封箱、贴标识，禁止随意摆放；</w:t>
            </w:r>
          </w:p>
          <w:p w14:paraId="775ED92E">
            <w:pPr>
              <w:pStyle w:val="211"/>
              <w:widowControl w:val="0"/>
              <w:rPr>
                <w:color w:val="000000"/>
                <w:kern w:val="2"/>
                <w:sz w:val="24"/>
                <w:szCs w:val="24"/>
                <w:highlight w:val="none"/>
              </w:rPr>
            </w:pPr>
            <w:r>
              <w:rPr>
                <w:color w:val="000000"/>
                <w:kern w:val="2"/>
                <w:sz w:val="24"/>
                <w:szCs w:val="24"/>
                <w:highlight w:val="none"/>
              </w:rPr>
              <w:t>3</w:t>
            </w:r>
            <w:r>
              <w:rPr>
                <w:rFonts w:hint="eastAsia"/>
                <w:color w:val="000000"/>
                <w:kern w:val="2"/>
                <w:sz w:val="24"/>
                <w:szCs w:val="24"/>
                <w:highlight w:val="none"/>
              </w:rPr>
              <w:t>、夏季须保持通风透气，库房无异味，无蜘蛛、鼠患；</w:t>
            </w:r>
          </w:p>
          <w:p w14:paraId="28DBAF10">
            <w:pPr>
              <w:pStyle w:val="211"/>
              <w:widowControl w:val="0"/>
              <w:rPr>
                <w:color w:val="000000"/>
                <w:kern w:val="2"/>
                <w:sz w:val="24"/>
                <w:szCs w:val="24"/>
                <w:highlight w:val="none"/>
              </w:rPr>
            </w:pPr>
            <w:r>
              <w:rPr>
                <w:color w:val="000000"/>
                <w:kern w:val="2"/>
                <w:sz w:val="24"/>
                <w:szCs w:val="24"/>
                <w:highlight w:val="none"/>
              </w:rPr>
              <w:t>4</w:t>
            </w:r>
            <w:r>
              <w:rPr>
                <w:rFonts w:hint="eastAsia"/>
                <w:color w:val="000000"/>
                <w:kern w:val="2"/>
                <w:sz w:val="24"/>
                <w:szCs w:val="24"/>
                <w:highlight w:val="none"/>
              </w:rPr>
              <w:t>、冰箱责任落实到人，标志、温控清楚；外表整洁、生熟分开、标识清晰。</w:t>
            </w:r>
          </w:p>
        </w:tc>
        <w:tc>
          <w:tcPr>
            <w:tcW w:w="1939" w:type="dxa"/>
            <w:tcBorders>
              <w:top w:val="single" w:color="000000" w:sz="4" w:space="0"/>
              <w:left w:val="single" w:color="000000" w:sz="4" w:space="0"/>
              <w:bottom w:val="single" w:color="000000" w:sz="4" w:space="0"/>
              <w:right w:val="single" w:color="000000" w:sz="4" w:space="0"/>
            </w:tcBorders>
            <w:vAlign w:val="center"/>
          </w:tcPr>
          <w:p w14:paraId="186DA461">
            <w:pPr>
              <w:pStyle w:val="222"/>
              <w:widowControl w:val="0"/>
              <w:spacing w:after="0"/>
              <w:ind w:firstLine="0"/>
              <w:jc w:val="center"/>
              <w:rPr>
                <w:color w:val="000000"/>
                <w:spacing w:val="21"/>
                <w:kern w:val="2"/>
                <w:sz w:val="24"/>
                <w:szCs w:val="24"/>
                <w:highlight w:val="none"/>
              </w:rPr>
            </w:pPr>
            <w:r>
              <w:rPr>
                <w:rFonts w:hint="eastAsia"/>
                <w:color w:val="000000"/>
                <w:kern w:val="2"/>
                <w:sz w:val="24"/>
                <w:szCs w:val="24"/>
                <w:highlight w:val="none"/>
              </w:rPr>
              <w:t>发现一次扣</w:t>
            </w:r>
            <w:r>
              <w:rPr>
                <w:color w:val="000000"/>
                <w:kern w:val="2"/>
                <w:sz w:val="24"/>
                <w:szCs w:val="24"/>
                <w:highlight w:val="none"/>
              </w:rPr>
              <w:t>1</w:t>
            </w:r>
            <w:r>
              <w:rPr>
                <w:rFonts w:hint="eastAsia"/>
                <w:color w:val="000000"/>
                <w:kern w:val="2"/>
                <w:sz w:val="24"/>
                <w:szCs w:val="24"/>
                <w:highlight w:val="none"/>
              </w:rPr>
              <w:t>分；</w:t>
            </w:r>
          </w:p>
        </w:tc>
        <w:tc>
          <w:tcPr>
            <w:tcW w:w="737" w:type="dxa"/>
            <w:tcBorders>
              <w:top w:val="single" w:color="000000" w:sz="4" w:space="0"/>
              <w:left w:val="single" w:color="000000" w:sz="4" w:space="0"/>
              <w:bottom w:val="single" w:color="000000" w:sz="4" w:space="0"/>
              <w:right w:val="single" w:color="000000" w:sz="4" w:space="0"/>
            </w:tcBorders>
            <w:vAlign w:val="center"/>
          </w:tcPr>
          <w:p w14:paraId="3D5DD7D6">
            <w:pPr>
              <w:pStyle w:val="222"/>
              <w:widowControl w:val="0"/>
              <w:spacing w:after="0"/>
              <w:ind w:firstLine="0"/>
              <w:jc w:val="center"/>
              <w:rPr>
                <w:rFonts w:eastAsia="宋体"/>
                <w:color w:val="000000"/>
                <w:kern w:val="2"/>
                <w:sz w:val="24"/>
                <w:szCs w:val="24"/>
                <w:highlight w:val="none"/>
              </w:rPr>
            </w:pPr>
            <w:r>
              <w:rPr>
                <w:color w:val="000000"/>
                <w:kern w:val="2"/>
                <w:sz w:val="24"/>
                <w:szCs w:val="24"/>
                <w:highlight w:val="none"/>
              </w:rPr>
              <w:t>6</w:t>
            </w:r>
          </w:p>
        </w:tc>
      </w:tr>
      <w:tr w14:paraId="14F6BD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21" w:type="dxa"/>
            <w:vMerge w:val="restart"/>
            <w:tcBorders>
              <w:top w:val="single" w:color="000000" w:sz="4" w:space="0"/>
              <w:left w:val="single" w:color="000000" w:sz="4" w:space="0"/>
              <w:bottom w:val="single" w:color="000000" w:sz="4" w:space="0"/>
              <w:right w:val="single" w:color="000000" w:sz="4" w:space="0"/>
            </w:tcBorders>
            <w:vAlign w:val="center"/>
          </w:tcPr>
          <w:p w14:paraId="16CE3CE1">
            <w:pPr>
              <w:pStyle w:val="222"/>
              <w:widowControl w:val="0"/>
              <w:spacing w:after="0"/>
              <w:ind w:firstLine="0"/>
              <w:jc w:val="center"/>
              <w:rPr>
                <w:color w:val="000000"/>
                <w:kern w:val="2"/>
                <w:sz w:val="24"/>
                <w:szCs w:val="24"/>
                <w:highlight w:val="none"/>
              </w:rPr>
            </w:pPr>
            <w:r>
              <w:rPr>
                <w:rFonts w:hint="eastAsia"/>
                <w:color w:val="000000"/>
                <w:kern w:val="2"/>
                <w:sz w:val="24"/>
                <w:szCs w:val="24"/>
                <w:highlight w:val="none"/>
              </w:rPr>
              <w:t>食堂管理</w:t>
            </w:r>
            <w:r>
              <w:rPr>
                <w:color w:val="000000"/>
                <w:kern w:val="2"/>
                <w:sz w:val="24"/>
                <w:szCs w:val="24"/>
                <w:highlight w:val="none"/>
              </w:rPr>
              <w:t>17</w:t>
            </w:r>
            <w:r>
              <w:rPr>
                <w:rFonts w:hint="eastAsia"/>
                <w:color w:val="000000"/>
                <w:kern w:val="2"/>
                <w:sz w:val="24"/>
                <w:szCs w:val="24"/>
                <w:highlight w:val="none"/>
              </w:rPr>
              <w:t>分</w:t>
            </w:r>
          </w:p>
        </w:tc>
        <w:tc>
          <w:tcPr>
            <w:tcW w:w="778" w:type="dxa"/>
            <w:vMerge w:val="restart"/>
            <w:tcBorders>
              <w:top w:val="single" w:color="000000" w:sz="4" w:space="0"/>
              <w:left w:val="single" w:color="000000" w:sz="4" w:space="0"/>
              <w:bottom w:val="single" w:color="000000" w:sz="4" w:space="0"/>
              <w:right w:val="single" w:color="000000" w:sz="4" w:space="0"/>
            </w:tcBorders>
            <w:vAlign w:val="center"/>
          </w:tcPr>
          <w:p w14:paraId="18D267FD">
            <w:pPr>
              <w:pStyle w:val="222"/>
              <w:widowControl w:val="0"/>
              <w:spacing w:after="0"/>
              <w:ind w:firstLine="0"/>
              <w:jc w:val="center"/>
              <w:rPr>
                <w:color w:val="000000"/>
                <w:kern w:val="2"/>
                <w:sz w:val="24"/>
                <w:szCs w:val="24"/>
                <w:highlight w:val="none"/>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40C2911D">
            <w:pPr>
              <w:pStyle w:val="222"/>
              <w:widowControl w:val="0"/>
              <w:spacing w:after="0"/>
              <w:ind w:firstLine="0"/>
              <w:rPr>
                <w:rFonts w:eastAsia="宋体"/>
                <w:color w:val="000000"/>
                <w:kern w:val="2"/>
                <w:sz w:val="24"/>
                <w:szCs w:val="24"/>
                <w:highlight w:val="none"/>
              </w:rPr>
            </w:pPr>
            <w:r>
              <w:rPr>
                <w:rFonts w:hint="eastAsia"/>
                <w:color w:val="000000"/>
                <w:kern w:val="2"/>
                <w:sz w:val="24"/>
                <w:szCs w:val="24"/>
                <w:highlight w:val="none"/>
              </w:rPr>
              <w:t>严禁非食堂人员随意进入食堂的食品加工操作间及原料仓库；</w:t>
            </w:r>
          </w:p>
        </w:tc>
        <w:tc>
          <w:tcPr>
            <w:tcW w:w="1939" w:type="dxa"/>
            <w:tcBorders>
              <w:top w:val="single" w:color="000000" w:sz="4" w:space="0"/>
              <w:left w:val="single" w:color="000000" w:sz="4" w:space="0"/>
              <w:bottom w:val="single" w:color="000000" w:sz="4" w:space="0"/>
              <w:right w:val="single" w:color="000000" w:sz="4" w:space="0"/>
            </w:tcBorders>
            <w:vAlign w:val="center"/>
          </w:tcPr>
          <w:p w14:paraId="467031C5">
            <w:pPr>
              <w:pStyle w:val="211"/>
              <w:widowControl w:val="0"/>
              <w:jc w:val="center"/>
              <w:rPr>
                <w:color w:val="000000"/>
                <w:kern w:val="2"/>
                <w:sz w:val="24"/>
                <w:szCs w:val="24"/>
                <w:highlight w:val="none"/>
              </w:rPr>
            </w:pPr>
            <w:r>
              <w:rPr>
                <w:rFonts w:hint="eastAsia"/>
                <w:color w:val="000000"/>
                <w:kern w:val="2"/>
                <w:sz w:val="24"/>
                <w:szCs w:val="24"/>
                <w:highlight w:val="none"/>
              </w:rPr>
              <w:t>发现一次</w:t>
            </w:r>
            <w:r>
              <w:rPr>
                <w:rFonts w:hint="eastAsia"/>
                <w:color w:val="000000"/>
                <w:kern w:val="2"/>
                <w:sz w:val="24"/>
                <w:szCs w:val="24"/>
                <w:highlight w:val="none"/>
                <w:lang w:eastAsia="zh-CN"/>
              </w:rPr>
              <w:t>扣</w:t>
            </w:r>
            <w:r>
              <w:rPr>
                <w:color w:val="000000"/>
                <w:kern w:val="2"/>
                <w:sz w:val="24"/>
                <w:szCs w:val="24"/>
                <w:highlight w:val="none"/>
              </w:rPr>
              <w:t>2</w:t>
            </w:r>
            <w:r>
              <w:rPr>
                <w:rFonts w:hint="eastAsia"/>
                <w:color w:val="000000"/>
                <w:kern w:val="2"/>
                <w:sz w:val="24"/>
                <w:szCs w:val="24"/>
                <w:highlight w:val="none"/>
              </w:rPr>
              <w:t>分</w:t>
            </w:r>
          </w:p>
        </w:tc>
        <w:tc>
          <w:tcPr>
            <w:tcW w:w="737" w:type="dxa"/>
            <w:tcBorders>
              <w:top w:val="single" w:color="000000" w:sz="4" w:space="0"/>
              <w:left w:val="single" w:color="000000" w:sz="4" w:space="0"/>
              <w:bottom w:val="single" w:color="000000" w:sz="4" w:space="0"/>
              <w:right w:val="single" w:color="000000" w:sz="4" w:space="0"/>
            </w:tcBorders>
            <w:vAlign w:val="center"/>
          </w:tcPr>
          <w:p w14:paraId="7DB7F836">
            <w:pPr>
              <w:pStyle w:val="211"/>
              <w:widowControl w:val="0"/>
              <w:jc w:val="center"/>
              <w:rPr>
                <w:b/>
                <w:color w:val="000000"/>
                <w:kern w:val="2"/>
                <w:sz w:val="24"/>
                <w:szCs w:val="24"/>
                <w:highlight w:val="none"/>
              </w:rPr>
            </w:pPr>
          </w:p>
          <w:p w14:paraId="2224B6B7">
            <w:pPr>
              <w:pStyle w:val="211"/>
              <w:widowControl w:val="0"/>
              <w:jc w:val="center"/>
              <w:rPr>
                <w:color w:val="000000"/>
                <w:kern w:val="2"/>
                <w:sz w:val="24"/>
                <w:szCs w:val="24"/>
                <w:highlight w:val="none"/>
              </w:rPr>
            </w:pPr>
            <w:r>
              <w:rPr>
                <w:color w:val="000000"/>
                <w:kern w:val="2"/>
                <w:sz w:val="24"/>
                <w:szCs w:val="24"/>
                <w:highlight w:val="none"/>
              </w:rPr>
              <w:t>2</w:t>
            </w:r>
          </w:p>
        </w:tc>
      </w:tr>
      <w:tr w14:paraId="5253E9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vAlign w:val="center"/>
          </w:tcPr>
          <w:p w14:paraId="7550E9F2">
            <w:pPr>
              <w:rPr>
                <w:color w:val="000000"/>
                <w:kern w:val="2"/>
                <w:sz w:val="24"/>
                <w:szCs w:val="24"/>
                <w:highlight w:val="none"/>
              </w:rPr>
            </w:pPr>
          </w:p>
        </w:tc>
        <w:tc>
          <w:tcPr>
            <w:tcW w:w="5548" w:type="dxa"/>
            <w:vMerge w:val="continue"/>
            <w:tcBorders>
              <w:top w:val="single" w:color="000000" w:sz="4" w:space="0"/>
              <w:left w:val="single" w:color="000000" w:sz="4" w:space="0"/>
              <w:bottom w:val="single" w:color="000000" w:sz="4" w:space="0"/>
              <w:right w:val="single" w:color="000000" w:sz="4" w:space="0"/>
            </w:tcBorders>
            <w:vAlign w:val="center"/>
          </w:tcPr>
          <w:p w14:paraId="063A0781">
            <w:pPr>
              <w:rPr>
                <w:color w:val="000000"/>
                <w:kern w:val="2"/>
                <w:sz w:val="24"/>
                <w:szCs w:val="24"/>
                <w:highlight w:val="none"/>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15CBE319">
            <w:pPr>
              <w:pStyle w:val="222"/>
              <w:widowControl w:val="0"/>
              <w:spacing w:after="0"/>
              <w:ind w:firstLine="0"/>
              <w:rPr>
                <w:rFonts w:eastAsia="宋体"/>
                <w:color w:val="000000"/>
                <w:kern w:val="2"/>
                <w:sz w:val="24"/>
                <w:szCs w:val="24"/>
                <w:highlight w:val="none"/>
              </w:rPr>
            </w:pPr>
            <w:r>
              <w:rPr>
                <w:rFonts w:hint="eastAsia"/>
                <w:color w:val="000000"/>
                <w:kern w:val="2"/>
                <w:sz w:val="24"/>
                <w:szCs w:val="24"/>
                <w:highlight w:val="none"/>
              </w:rPr>
              <w:t>人员更换提前报备，健康证等齐备；</w:t>
            </w:r>
          </w:p>
        </w:tc>
        <w:tc>
          <w:tcPr>
            <w:tcW w:w="1939" w:type="dxa"/>
            <w:tcBorders>
              <w:top w:val="single" w:color="000000" w:sz="4" w:space="0"/>
              <w:left w:val="single" w:color="000000" w:sz="4" w:space="0"/>
              <w:bottom w:val="single" w:color="000000" w:sz="4" w:space="0"/>
              <w:right w:val="single" w:color="000000" w:sz="4" w:space="0"/>
            </w:tcBorders>
            <w:vAlign w:val="center"/>
          </w:tcPr>
          <w:p w14:paraId="3FABCC5F">
            <w:pPr>
              <w:pStyle w:val="211"/>
              <w:widowControl w:val="0"/>
              <w:jc w:val="center"/>
              <w:rPr>
                <w:rFonts w:eastAsia="宋体"/>
                <w:color w:val="000000"/>
                <w:kern w:val="2"/>
                <w:sz w:val="24"/>
                <w:szCs w:val="24"/>
                <w:highlight w:val="none"/>
                <w:lang w:eastAsia="zh-CN"/>
              </w:rPr>
            </w:pPr>
            <w:r>
              <w:rPr>
                <w:rFonts w:hint="eastAsia"/>
                <w:color w:val="000000"/>
                <w:kern w:val="2"/>
                <w:sz w:val="24"/>
                <w:szCs w:val="24"/>
                <w:highlight w:val="none"/>
                <w:lang w:eastAsia="zh-CN"/>
              </w:rPr>
              <w:t>发现未报备、未持证一人扣</w:t>
            </w:r>
            <w:r>
              <w:rPr>
                <w:color w:val="000000"/>
                <w:kern w:val="2"/>
                <w:sz w:val="24"/>
                <w:szCs w:val="24"/>
                <w:highlight w:val="none"/>
                <w:lang w:eastAsia="zh-CN"/>
              </w:rPr>
              <w:t>2</w:t>
            </w:r>
            <w:r>
              <w:rPr>
                <w:rFonts w:hint="eastAsia"/>
                <w:color w:val="000000"/>
                <w:kern w:val="2"/>
                <w:sz w:val="24"/>
                <w:szCs w:val="24"/>
                <w:highlight w:val="none"/>
                <w:lang w:eastAsia="zh-CN"/>
              </w:rPr>
              <w:t>分</w:t>
            </w:r>
          </w:p>
        </w:tc>
        <w:tc>
          <w:tcPr>
            <w:tcW w:w="737" w:type="dxa"/>
            <w:tcBorders>
              <w:top w:val="single" w:color="000000" w:sz="4" w:space="0"/>
              <w:left w:val="single" w:color="000000" w:sz="4" w:space="0"/>
              <w:bottom w:val="single" w:color="000000" w:sz="4" w:space="0"/>
              <w:right w:val="single" w:color="000000" w:sz="4" w:space="0"/>
            </w:tcBorders>
            <w:vAlign w:val="center"/>
          </w:tcPr>
          <w:p w14:paraId="7F66B7E2">
            <w:pPr>
              <w:pStyle w:val="211"/>
              <w:widowControl w:val="0"/>
              <w:jc w:val="center"/>
              <w:rPr>
                <w:rFonts w:eastAsia="宋体"/>
                <w:color w:val="000000"/>
                <w:kern w:val="2"/>
                <w:sz w:val="24"/>
                <w:szCs w:val="24"/>
                <w:highlight w:val="none"/>
                <w:lang w:eastAsia="zh-CN"/>
              </w:rPr>
            </w:pPr>
            <w:r>
              <w:rPr>
                <w:color w:val="000000"/>
                <w:kern w:val="2"/>
                <w:sz w:val="24"/>
                <w:szCs w:val="24"/>
                <w:highlight w:val="none"/>
                <w:lang w:eastAsia="zh-CN"/>
              </w:rPr>
              <w:t>4</w:t>
            </w:r>
          </w:p>
        </w:tc>
      </w:tr>
      <w:tr w14:paraId="3D74FD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vAlign w:val="center"/>
          </w:tcPr>
          <w:p w14:paraId="3F1991E2">
            <w:pPr>
              <w:rPr>
                <w:color w:val="000000"/>
                <w:kern w:val="2"/>
                <w:sz w:val="24"/>
                <w:szCs w:val="24"/>
                <w:highlight w:val="none"/>
              </w:rPr>
            </w:pPr>
          </w:p>
        </w:tc>
        <w:tc>
          <w:tcPr>
            <w:tcW w:w="5548" w:type="dxa"/>
            <w:vMerge w:val="continue"/>
            <w:tcBorders>
              <w:top w:val="single" w:color="000000" w:sz="4" w:space="0"/>
              <w:left w:val="single" w:color="000000" w:sz="4" w:space="0"/>
              <w:bottom w:val="single" w:color="000000" w:sz="4" w:space="0"/>
              <w:right w:val="single" w:color="000000" w:sz="4" w:space="0"/>
            </w:tcBorders>
            <w:vAlign w:val="center"/>
          </w:tcPr>
          <w:p w14:paraId="2F73204D">
            <w:pPr>
              <w:rPr>
                <w:color w:val="000000"/>
                <w:kern w:val="2"/>
                <w:sz w:val="24"/>
                <w:szCs w:val="24"/>
                <w:highlight w:val="none"/>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42BD3D77">
            <w:pPr>
              <w:pStyle w:val="222"/>
              <w:widowControl w:val="0"/>
              <w:spacing w:after="0"/>
              <w:ind w:firstLine="0"/>
              <w:rPr>
                <w:color w:val="000000"/>
                <w:kern w:val="2"/>
                <w:sz w:val="24"/>
                <w:szCs w:val="24"/>
                <w:highlight w:val="none"/>
              </w:rPr>
            </w:pPr>
            <w:r>
              <w:rPr>
                <w:rFonts w:hint="eastAsia"/>
                <w:color w:val="000000"/>
                <w:kern w:val="2"/>
                <w:sz w:val="24"/>
                <w:szCs w:val="24"/>
                <w:highlight w:val="none"/>
              </w:rPr>
              <w:t>临时休息区卫生整洁，非休息时间空调、照明等电源关闭，插座无充电设备。</w:t>
            </w:r>
          </w:p>
        </w:tc>
        <w:tc>
          <w:tcPr>
            <w:tcW w:w="1939" w:type="dxa"/>
            <w:tcBorders>
              <w:top w:val="single" w:color="000000" w:sz="4" w:space="0"/>
              <w:left w:val="single" w:color="000000" w:sz="4" w:space="0"/>
              <w:bottom w:val="single" w:color="000000" w:sz="4" w:space="0"/>
              <w:right w:val="single" w:color="000000" w:sz="4" w:space="0"/>
            </w:tcBorders>
            <w:vAlign w:val="center"/>
          </w:tcPr>
          <w:p w14:paraId="643D54DD">
            <w:pPr>
              <w:pStyle w:val="211"/>
              <w:widowControl w:val="0"/>
              <w:jc w:val="center"/>
              <w:rPr>
                <w:color w:val="000000"/>
                <w:kern w:val="2"/>
                <w:sz w:val="24"/>
                <w:szCs w:val="24"/>
                <w:highlight w:val="none"/>
                <w:lang w:eastAsia="zh-CN"/>
              </w:rPr>
            </w:pPr>
            <w:r>
              <w:rPr>
                <w:rFonts w:hint="eastAsia"/>
                <w:color w:val="000000"/>
                <w:kern w:val="2"/>
                <w:sz w:val="24"/>
                <w:szCs w:val="24"/>
                <w:highlight w:val="none"/>
              </w:rPr>
              <w:t>发现一次扣</w:t>
            </w:r>
            <w:r>
              <w:rPr>
                <w:color w:val="000000"/>
                <w:kern w:val="2"/>
                <w:sz w:val="24"/>
                <w:szCs w:val="24"/>
                <w:highlight w:val="none"/>
              </w:rPr>
              <w:t>2</w:t>
            </w:r>
            <w:r>
              <w:rPr>
                <w:rFonts w:hint="eastAsia"/>
                <w:color w:val="000000"/>
                <w:kern w:val="2"/>
                <w:sz w:val="24"/>
                <w:szCs w:val="24"/>
                <w:highlight w:val="none"/>
              </w:rPr>
              <w:t>分</w:t>
            </w:r>
          </w:p>
        </w:tc>
        <w:tc>
          <w:tcPr>
            <w:tcW w:w="737" w:type="dxa"/>
            <w:tcBorders>
              <w:top w:val="single" w:color="000000" w:sz="4" w:space="0"/>
              <w:left w:val="single" w:color="000000" w:sz="4" w:space="0"/>
              <w:bottom w:val="single" w:color="000000" w:sz="4" w:space="0"/>
              <w:right w:val="single" w:color="000000" w:sz="4" w:space="0"/>
            </w:tcBorders>
            <w:vAlign w:val="center"/>
          </w:tcPr>
          <w:p w14:paraId="3FBC22E6">
            <w:pPr>
              <w:pStyle w:val="211"/>
              <w:widowControl w:val="0"/>
              <w:jc w:val="center"/>
              <w:rPr>
                <w:color w:val="000000"/>
                <w:kern w:val="2"/>
                <w:sz w:val="24"/>
                <w:szCs w:val="24"/>
                <w:highlight w:val="none"/>
                <w:lang w:eastAsia="zh-CN"/>
              </w:rPr>
            </w:pPr>
            <w:r>
              <w:rPr>
                <w:color w:val="000000"/>
                <w:kern w:val="2"/>
                <w:sz w:val="24"/>
                <w:szCs w:val="24"/>
                <w:highlight w:val="none"/>
                <w:lang w:eastAsia="zh-CN"/>
              </w:rPr>
              <w:t>2</w:t>
            </w:r>
          </w:p>
        </w:tc>
      </w:tr>
      <w:tr w14:paraId="3940CB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vAlign w:val="center"/>
          </w:tcPr>
          <w:p w14:paraId="4705D6E4">
            <w:pPr>
              <w:rPr>
                <w:color w:val="000000"/>
                <w:kern w:val="2"/>
                <w:sz w:val="24"/>
                <w:szCs w:val="24"/>
                <w:highlight w:val="none"/>
              </w:rPr>
            </w:pPr>
          </w:p>
        </w:tc>
        <w:tc>
          <w:tcPr>
            <w:tcW w:w="5548" w:type="dxa"/>
            <w:vMerge w:val="continue"/>
            <w:tcBorders>
              <w:top w:val="single" w:color="000000" w:sz="4" w:space="0"/>
              <w:left w:val="single" w:color="000000" w:sz="4" w:space="0"/>
              <w:bottom w:val="single" w:color="000000" w:sz="4" w:space="0"/>
              <w:right w:val="single" w:color="000000" w:sz="4" w:space="0"/>
            </w:tcBorders>
            <w:vAlign w:val="center"/>
          </w:tcPr>
          <w:p w14:paraId="0BA261BC">
            <w:pPr>
              <w:rPr>
                <w:color w:val="000000"/>
                <w:kern w:val="2"/>
                <w:sz w:val="24"/>
                <w:szCs w:val="24"/>
                <w:highlight w:val="none"/>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15866E4D">
            <w:pPr>
              <w:pStyle w:val="222"/>
              <w:widowControl w:val="0"/>
              <w:spacing w:after="0"/>
              <w:ind w:firstLine="0"/>
              <w:rPr>
                <w:rFonts w:eastAsia="宋体"/>
                <w:color w:val="000000"/>
                <w:kern w:val="2"/>
                <w:sz w:val="24"/>
                <w:szCs w:val="24"/>
                <w:highlight w:val="none"/>
              </w:rPr>
            </w:pPr>
            <w:r>
              <w:rPr>
                <w:rFonts w:hint="eastAsia"/>
                <w:color w:val="000000"/>
                <w:kern w:val="2"/>
                <w:sz w:val="24"/>
                <w:szCs w:val="24"/>
                <w:highlight w:val="none"/>
              </w:rPr>
              <w:t>人员培训上岗，设备操作规范，下班门窗、水电气关闭到位；</w:t>
            </w:r>
          </w:p>
        </w:tc>
        <w:tc>
          <w:tcPr>
            <w:tcW w:w="1939" w:type="dxa"/>
            <w:tcBorders>
              <w:top w:val="single" w:color="000000" w:sz="4" w:space="0"/>
              <w:left w:val="single" w:color="000000" w:sz="4" w:space="0"/>
              <w:bottom w:val="single" w:color="000000" w:sz="4" w:space="0"/>
              <w:right w:val="single" w:color="000000" w:sz="4" w:space="0"/>
            </w:tcBorders>
            <w:vAlign w:val="center"/>
          </w:tcPr>
          <w:p w14:paraId="0915C3D8">
            <w:pPr>
              <w:pStyle w:val="211"/>
              <w:widowControl w:val="0"/>
              <w:jc w:val="center"/>
              <w:rPr>
                <w:rFonts w:eastAsia="宋体"/>
                <w:color w:val="000000"/>
                <w:kern w:val="2"/>
                <w:sz w:val="24"/>
                <w:szCs w:val="24"/>
                <w:highlight w:val="none"/>
                <w:lang w:eastAsia="zh-CN"/>
              </w:rPr>
            </w:pPr>
            <w:r>
              <w:rPr>
                <w:rFonts w:hint="eastAsia"/>
                <w:color w:val="000000"/>
                <w:kern w:val="2"/>
                <w:sz w:val="24"/>
                <w:szCs w:val="24"/>
                <w:highlight w:val="none"/>
                <w:lang w:eastAsia="zh-CN"/>
              </w:rPr>
              <w:t>发现不规范一次扣</w:t>
            </w:r>
            <w:r>
              <w:rPr>
                <w:color w:val="000000"/>
                <w:kern w:val="2"/>
                <w:sz w:val="24"/>
                <w:szCs w:val="24"/>
                <w:highlight w:val="none"/>
                <w:lang w:eastAsia="zh-CN"/>
              </w:rPr>
              <w:t>2</w:t>
            </w:r>
            <w:r>
              <w:rPr>
                <w:rFonts w:hint="eastAsia"/>
                <w:color w:val="000000"/>
                <w:kern w:val="2"/>
                <w:sz w:val="24"/>
                <w:szCs w:val="24"/>
                <w:highlight w:val="none"/>
                <w:lang w:eastAsia="zh-CN"/>
              </w:rPr>
              <w:t>分</w:t>
            </w:r>
          </w:p>
        </w:tc>
        <w:tc>
          <w:tcPr>
            <w:tcW w:w="737" w:type="dxa"/>
            <w:tcBorders>
              <w:top w:val="single" w:color="000000" w:sz="4" w:space="0"/>
              <w:left w:val="single" w:color="000000" w:sz="4" w:space="0"/>
              <w:bottom w:val="single" w:color="000000" w:sz="4" w:space="0"/>
              <w:right w:val="single" w:color="000000" w:sz="4" w:space="0"/>
            </w:tcBorders>
            <w:vAlign w:val="center"/>
          </w:tcPr>
          <w:p w14:paraId="45B1A61E">
            <w:pPr>
              <w:pStyle w:val="211"/>
              <w:widowControl w:val="0"/>
              <w:jc w:val="center"/>
              <w:rPr>
                <w:rFonts w:eastAsia="宋体"/>
                <w:color w:val="000000"/>
                <w:kern w:val="2"/>
                <w:sz w:val="24"/>
                <w:szCs w:val="24"/>
                <w:highlight w:val="none"/>
                <w:lang w:eastAsia="zh-CN"/>
              </w:rPr>
            </w:pPr>
            <w:r>
              <w:rPr>
                <w:color w:val="000000"/>
                <w:kern w:val="2"/>
                <w:sz w:val="24"/>
                <w:szCs w:val="24"/>
                <w:highlight w:val="none"/>
                <w:lang w:eastAsia="zh-CN"/>
              </w:rPr>
              <w:t>4</w:t>
            </w:r>
          </w:p>
        </w:tc>
      </w:tr>
      <w:tr w14:paraId="2658F4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vAlign w:val="center"/>
          </w:tcPr>
          <w:p w14:paraId="222142A3">
            <w:pPr>
              <w:rPr>
                <w:color w:val="000000"/>
                <w:kern w:val="2"/>
                <w:sz w:val="24"/>
                <w:szCs w:val="24"/>
                <w:highlight w:val="none"/>
              </w:rPr>
            </w:pPr>
          </w:p>
        </w:tc>
        <w:tc>
          <w:tcPr>
            <w:tcW w:w="5548" w:type="dxa"/>
            <w:vMerge w:val="continue"/>
            <w:tcBorders>
              <w:top w:val="single" w:color="000000" w:sz="4" w:space="0"/>
              <w:left w:val="single" w:color="000000" w:sz="4" w:space="0"/>
              <w:bottom w:val="single" w:color="000000" w:sz="4" w:space="0"/>
              <w:right w:val="single" w:color="000000" w:sz="4" w:space="0"/>
            </w:tcBorders>
            <w:vAlign w:val="center"/>
          </w:tcPr>
          <w:p w14:paraId="12974394">
            <w:pPr>
              <w:rPr>
                <w:color w:val="000000"/>
                <w:kern w:val="2"/>
                <w:sz w:val="24"/>
                <w:szCs w:val="24"/>
                <w:highlight w:val="none"/>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6B40C00C">
            <w:pPr>
              <w:pStyle w:val="222"/>
              <w:widowControl w:val="0"/>
              <w:spacing w:after="0"/>
              <w:ind w:firstLine="0"/>
              <w:rPr>
                <w:rFonts w:eastAsia="宋体"/>
                <w:color w:val="000000"/>
                <w:kern w:val="2"/>
                <w:sz w:val="24"/>
                <w:szCs w:val="24"/>
                <w:highlight w:val="none"/>
              </w:rPr>
            </w:pPr>
            <w:r>
              <w:rPr>
                <w:rFonts w:hint="eastAsia"/>
                <w:color w:val="000000"/>
                <w:kern w:val="2"/>
                <w:sz w:val="24"/>
                <w:szCs w:val="24"/>
                <w:highlight w:val="none"/>
              </w:rPr>
              <w:t>无消防、食品安全、涉密、违法等方面隐患问题。</w:t>
            </w:r>
          </w:p>
        </w:tc>
        <w:tc>
          <w:tcPr>
            <w:tcW w:w="1939" w:type="dxa"/>
            <w:tcBorders>
              <w:top w:val="single" w:color="000000" w:sz="4" w:space="0"/>
              <w:left w:val="single" w:color="000000" w:sz="4" w:space="0"/>
              <w:bottom w:val="single" w:color="000000" w:sz="4" w:space="0"/>
              <w:right w:val="single" w:color="000000" w:sz="4" w:space="0"/>
            </w:tcBorders>
            <w:vAlign w:val="center"/>
          </w:tcPr>
          <w:p w14:paraId="6BD0D1BD">
            <w:pPr>
              <w:pStyle w:val="211"/>
              <w:widowControl w:val="0"/>
              <w:jc w:val="center"/>
              <w:rPr>
                <w:rFonts w:eastAsia="宋体"/>
                <w:color w:val="000000"/>
                <w:kern w:val="2"/>
                <w:sz w:val="24"/>
                <w:szCs w:val="24"/>
                <w:highlight w:val="none"/>
                <w:lang w:eastAsia="zh-CN"/>
              </w:rPr>
            </w:pPr>
            <w:r>
              <w:rPr>
                <w:rFonts w:hint="eastAsia"/>
                <w:color w:val="000000"/>
                <w:kern w:val="2"/>
                <w:sz w:val="24"/>
                <w:szCs w:val="24"/>
                <w:highlight w:val="none"/>
                <w:lang w:eastAsia="zh-CN"/>
              </w:rPr>
              <w:t>发现一次扣</w:t>
            </w:r>
            <w:r>
              <w:rPr>
                <w:color w:val="000000"/>
                <w:kern w:val="2"/>
                <w:sz w:val="24"/>
                <w:szCs w:val="24"/>
                <w:highlight w:val="none"/>
                <w:lang w:eastAsia="zh-CN"/>
              </w:rPr>
              <w:t>5</w:t>
            </w:r>
            <w:r>
              <w:rPr>
                <w:rFonts w:hint="eastAsia"/>
                <w:color w:val="000000"/>
                <w:kern w:val="2"/>
                <w:sz w:val="24"/>
                <w:szCs w:val="24"/>
                <w:highlight w:val="none"/>
                <w:lang w:eastAsia="zh-CN"/>
              </w:rPr>
              <w:t>分</w:t>
            </w:r>
          </w:p>
        </w:tc>
        <w:tc>
          <w:tcPr>
            <w:tcW w:w="737" w:type="dxa"/>
            <w:tcBorders>
              <w:top w:val="single" w:color="000000" w:sz="4" w:space="0"/>
              <w:left w:val="single" w:color="000000" w:sz="4" w:space="0"/>
              <w:bottom w:val="single" w:color="000000" w:sz="4" w:space="0"/>
              <w:right w:val="single" w:color="000000" w:sz="4" w:space="0"/>
            </w:tcBorders>
            <w:vAlign w:val="center"/>
          </w:tcPr>
          <w:p w14:paraId="6EB460DC">
            <w:pPr>
              <w:pStyle w:val="211"/>
              <w:widowControl w:val="0"/>
              <w:jc w:val="center"/>
              <w:rPr>
                <w:rFonts w:eastAsia="宋体"/>
                <w:color w:val="000000"/>
                <w:kern w:val="2"/>
                <w:sz w:val="24"/>
                <w:szCs w:val="24"/>
                <w:highlight w:val="none"/>
                <w:lang w:eastAsia="zh-CN"/>
              </w:rPr>
            </w:pPr>
            <w:r>
              <w:rPr>
                <w:color w:val="000000"/>
                <w:kern w:val="2"/>
                <w:sz w:val="24"/>
                <w:szCs w:val="24"/>
                <w:highlight w:val="none"/>
                <w:lang w:eastAsia="zh-CN"/>
              </w:rPr>
              <w:t>5</w:t>
            </w:r>
          </w:p>
        </w:tc>
      </w:tr>
      <w:tr w14:paraId="06CBE5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21" w:type="dxa"/>
            <w:vMerge w:val="restart"/>
            <w:tcBorders>
              <w:top w:val="single" w:color="000000" w:sz="4" w:space="0"/>
              <w:left w:val="single" w:color="000000" w:sz="4" w:space="0"/>
              <w:bottom w:val="single" w:color="000000" w:sz="4" w:space="0"/>
              <w:right w:val="single" w:color="000000" w:sz="4" w:space="0"/>
            </w:tcBorders>
            <w:vAlign w:val="center"/>
          </w:tcPr>
          <w:p w14:paraId="5DDD5885">
            <w:pPr>
              <w:pStyle w:val="211"/>
              <w:widowControl w:val="0"/>
              <w:rPr>
                <w:color w:val="000000"/>
                <w:kern w:val="2"/>
                <w:sz w:val="24"/>
                <w:szCs w:val="24"/>
                <w:highlight w:val="none"/>
              </w:rPr>
            </w:pPr>
            <w:r>
              <w:rPr>
                <w:rFonts w:hint="eastAsia"/>
                <w:color w:val="000000"/>
                <w:kern w:val="2"/>
                <w:sz w:val="24"/>
                <w:szCs w:val="24"/>
                <w:highlight w:val="none"/>
              </w:rPr>
              <w:t>食材考核</w:t>
            </w:r>
          </w:p>
          <w:p w14:paraId="5136A9A3">
            <w:pPr>
              <w:pStyle w:val="222"/>
              <w:widowControl w:val="0"/>
              <w:spacing w:after="0"/>
              <w:ind w:firstLine="0"/>
              <w:jc w:val="center"/>
              <w:rPr>
                <w:color w:val="000000"/>
                <w:kern w:val="2"/>
                <w:sz w:val="24"/>
                <w:szCs w:val="24"/>
                <w:highlight w:val="none"/>
              </w:rPr>
            </w:pPr>
            <w:r>
              <w:rPr>
                <w:color w:val="000000"/>
                <w:kern w:val="2"/>
                <w:sz w:val="24"/>
                <w:szCs w:val="24"/>
                <w:highlight w:val="none"/>
              </w:rPr>
              <w:t>20</w:t>
            </w:r>
            <w:r>
              <w:rPr>
                <w:rFonts w:hint="eastAsia"/>
                <w:color w:val="000000"/>
                <w:kern w:val="2"/>
                <w:sz w:val="24"/>
                <w:szCs w:val="24"/>
                <w:highlight w:val="none"/>
              </w:rPr>
              <w:t>分</w:t>
            </w:r>
          </w:p>
        </w:tc>
        <w:tc>
          <w:tcPr>
            <w:tcW w:w="778" w:type="dxa"/>
            <w:vMerge w:val="restart"/>
            <w:tcBorders>
              <w:top w:val="single" w:color="000000" w:sz="4" w:space="0"/>
              <w:left w:val="single" w:color="000000" w:sz="4" w:space="0"/>
              <w:bottom w:val="single" w:color="000000" w:sz="4" w:space="0"/>
              <w:right w:val="single" w:color="000000" w:sz="4" w:space="0"/>
            </w:tcBorders>
            <w:vAlign w:val="center"/>
          </w:tcPr>
          <w:p w14:paraId="64676DB5">
            <w:pPr>
              <w:pStyle w:val="222"/>
              <w:widowControl w:val="0"/>
              <w:spacing w:after="0"/>
              <w:ind w:firstLine="0"/>
              <w:jc w:val="center"/>
              <w:rPr>
                <w:color w:val="000000"/>
                <w:kern w:val="2"/>
                <w:sz w:val="24"/>
                <w:szCs w:val="24"/>
                <w:highlight w:val="none"/>
              </w:rPr>
            </w:pPr>
            <w:r>
              <w:rPr>
                <w:rFonts w:hint="eastAsia"/>
                <w:color w:val="000000"/>
                <w:kern w:val="2"/>
                <w:sz w:val="24"/>
                <w:szCs w:val="24"/>
                <w:highlight w:val="none"/>
              </w:rPr>
              <w:t>食材</w:t>
            </w:r>
          </w:p>
        </w:tc>
        <w:tc>
          <w:tcPr>
            <w:tcW w:w="4770" w:type="dxa"/>
            <w:tcBorders>
              <w:top w:val="single" w:color="000000" w:sz="4" w:space="0"/>
              <w:left w:val="single" w:color="000000" w:sz="4" w:space="0"/>
              <w:bottom w:val="single" w:color="000000" w:sz="4" w:space="0"/>
              <w:right w:val="single" w:color="000000" w:sz="4" w:space="0"/>
            </w:tcBorders>
            <w:vAlign w:val="center"/>
          </w:tcPr>
          <w:p w14:paraId="74890E73">
            <w:pPr>
              <w:pStyle w:val="211"/>
              <w:widowControl w:val="0"/>
              <w:rPr>
                <w:rFonts w:eastAsia="宋体"/>
                <w:color w:val="000000"/>
                <w:kern w:val="2"/>
                <w:sz w:val="24"/>
                <w:szCs w:val="24"/>
                <w:highlight w:val="none"/>
                <w:lang w:eastAsia="zh-CN"/>
              </w:rPr>
            </w:pPr>
            <w:r>
              <w:rPr>
                <w:rFonts w:hint="eastAsia"/>
                <w:color w:val="000000"/>
                <w:kern w:val="2"/>
                <w:sz w:val="24"/>
                <w:szCs w:val="24"/>
                <w:highlight w:val="none"/>
              </w:rPr>
              <w:t>食材新鲜度</w:t>
            </w:r>
            <w:r>
              <w:rPr>
                <w:rFonts w:hint="eastAsia"/>
                <w:color w:val="000000"/>
                <w:kern w:val="2"/>
                <w:sz w:val="24"/>
                <w:szCs w:val="24"/>
                <w:highlight w:val="none"/>
                <w:lang w:eastAsia="zh-CN"/>
              </w:rPr>
              <w:t>有保证，能提供相关检疫证明；</w:t>
            </w:r>
          </w:p>
        </w:tc>
        <w:tc>
          <w:tcPr>
            <w:tcW w:w="1939" w:type="dxa"/>
            <w:vMerge w:val="restart"/>
            <w:tcBorders>
              <w:top w:val="single" w:color="000000" w:sz="4" w:space="0"/>
              <w:left w:val="single" w:color="000000" w:sz="4" w:space="0"/>
              <w:bottom w:val="single" w:color="000000" w:sz="4" w:space="0"/>
              <w:right w:val="single" w:color="000000" w:sz="4" w:space="0"/>
            </w:tcBorders>
            <w:vAlign w:val="center"/>
          </w:tcPr>
          <w:p w14:paraId="77B5C5BB">
            <w:pPr>
              <w:pStyle w:val="211"/>
              <w:widowControl w:val="0"/>
              <w:jc w:val="center"/>
              <w:rPr>
                <w:color w:val="000000"/>
                <w:kern w:val="2"/>
                <w:sz w:val="24"/>
                <w:szCs w:val="24"/>
                <w:highlight w:val="none"/>
              </w:rPr>
            </w:pPr>
            <w:r>
              <w:rPr>
                <w:rFonts w:hint="eastAsia"/>
                <w:color w:val="000000"/>
                <w:kern w:val="2"/>
                <w:sz w:val="24"/>
                <w:szCs w:val="24"/>
                <w:highlight w:val="none"/>
              </w:rPr>
              <w:t>发现一次</w:t>
            </w:r>
            <w:r>
              <w:rPr>
                <w:rFonts w:hint="eastAsia"/>
                <w:color w:val="000000"/>
                <w:kern w:val="2"/>
                <w:sz w:val="24"/>
                <w:szCs w:val="24"/>
                <w:highlight w:val="none"/>
                <w:lang w:eastAsia="zh-CN"/>
              </w:rPr>
              <w:t>不符合要求</w:t>
            </w:r>
            <w:r>
              <w:rPr>
                <w:rFonts w:hint="eastAsia"/>
                <w:color w:val="000000"/>
                <w:kern w:val="2"/>
                <w:sz w:val="24"/>
                <w:szCs w:val="24"/>
                <w:highlight w:val="none"/>
              </w:rPr>
              <w:t>扣</w:t>
            </w:r>
            <w:r>
              <w:rPr>
                <w:color w:val="000000"/>
                <w:kern w:val="2"/>
                <w:sz w:val="24"/>
                <w:szCs w:val="24"/>
                <w:highlight w:val="none"/>
                <w:lang w:eastAsia="zh-CN"/>
              </w:rPr>
              <w:t>3</w:t>
            </w:r>
            <w:r>
              <w:rPr>
                <w:rFonts w:hint="eastAsia"/>
                <w:color w:val="000000"/>
                <w:kern w:val="2"/>
                <w:sz w:val="24"/>
                <w:szCs w:val="24"/>
                <w:highlight w:val="none"/>
              </w:rPr>
              <w:t>分；</w:t>
            </w:r>
          </w:p>
        </w:tc>
        <w:tc>
          <w:tcPr>
            <w:tcW w:w="737" w:type="dxa"/>
            <w:vMerge w:val="restart"/>
            <w:tcBorders>
              <w:top w:val="single" w:color="000000" w:sz="4" w:space="0"/>
              <w:left w:val="single" w:color="000000" w:sz="4" w:space="0"/>
              <w:bottom w:val="single" w:color="000000" w:sz="4" w:space="0"/>
              <w:right w:val="single" w:color="000000" w:sz="4" w:space="0"/>
            </w:tcBorders>
            <w:vAlign w:val="center"/>
          </w:tcPr>
          <w:p w14:paraId="770910C0">
            <w:pPr>
              <w:pStyle w:val="211"/>
              <w:widowControl w:val="0"/>
              <w:jc w:val="center"/>
              <w:rPr>
                <w:rFonts w:eastAsia="宋体"/>
                <w:color w:val="000000"/>
                <w:kern w:val="2"/>
                <w:sz w:val="24"/>
                <w:szCs w:val="24"/>
                <w:highlight w:val="none"/>
                <w:lang w:eastAsia="zh-CN"/>
              </w:rPr>
            </w:pPr>
            <w:r>
              <w:rPr>
                <w:color w:val="000000"/>
                <w:kern w:val="2"/>
                <w:sz w:val="24"/>
                <w:szCs w:val="24"/>
                <w:highlight w:val="none"/>
              </w:rPr>
              <w:t>1</w:t>
            </w:r>
            <w:r>
              <w:rPr>
                <w:color w:val="000000"/>
                <w:kern w:val="2"/>
                <w:sz w:val="24"/>
                <w:szCs w:val="24"/>
                <w:highlight w:val="none"/>
                <w:lang w:eastAsia="zh-CN"/>
              </w:rPr>
              <w:t>2</w:t>
            </w:r>
          </w:p>
        </w:tc>
      </w:tr>
      <w:tr w14:paraId="587FD1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vAlign w:val="center"/>
          </w:tcPr>
          <w:p w14:paraId="4B8E9776">
            <w:pPr>
              <w:rPr>
                <w:color w:val="000000"/>
                <w:kern w:val="2"/>
                <w:sz w:val="24"/>
                <w:szCs w:val="24"/>
                <w:highlight w:val="none"/>
              </w:rPr>
            </w:pPr>
          </w:p>
        </w:tc>
        <w:tc>
          <w:tcPr>
            <w:tcW w:w="5548" w:type="dxa"/>
            <w:vMerge w:val="continue"/>
            <w:tcBorders>
              <w:top w:val="single" w:color="000000" w:sz="4" w:space="0"/>
              <w:left w:val="single" w:color="000000" w:sz="4" w:space="0"/>
              <w:bottom w:val="single" w:color="000000" w:sz="4" w:space="0"/>
              <w:right w:val="single" w:color="000000" w:sz="4" w:space="0"/>
            </w:tcBorders>
            <w:vAlign w:val="center"/>
          </w:tcPr>
          <w:p w14:paraId="7DB4AF37">
            <w:pPr>
              <w:rPr>
                <w:color w:val="000000"/>
                <w:kern w:val="2"/>
                <w:sz w:val="24"/>
                <w:szCs w:val="24"/>
                <w:highlight w:val="none"/>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6FF942C0">
            <w:pPr>
              <w:pStyle w:val="211"/>
              <w:widowControl w:val="0"/>
              <w:rPr>
                <w:color w:val="000000"/>
                <w:kern w:val="2"/>
                <w:sz w:val="24"/>
                <w:szCs w:val="24"/>
                <w:highlight w:val="none"/>
              </w:rPr>
            </w:pPr>
            <w:r>
              <w:rPr>
                <w:rFonts w:hint="eastAsia"/>
                <w:color w:val="000000"/>
                <w:kern w:val="2"/>
                <w:sz w:val="24"/>
                <w:szCs w:val="24"/>
                <w:highlight w:val="none"/>
              </w:rPr>
              <w:t>食材包装完整，</w:t>
            </w:r>
            <w:r>
              <w:rPr>
                <w:rFonts w:hint="eastAsia"/>
                <w:color w:val="000000"/>
                <w:kern w:val="2"/>
                <w:sz w:val="24"/>
                <w:szCs w:val="24"/>
                <w:highlight w:val="none"/>
                <w:lang w:eastAsia="zh-CN"/>
              </w:rPr>
              <w:t>无过期、临期和无生产许可的食品；</w:t>
            </w:r>
          </w:p>
        </w:tc>
        <w:tc>
          <w:tcPr>
            <w:tcW w:w="1939" w:type="dxa"/>
            <w:vMerge w:val="continue"/>
            <w:tcBorders>
              <w:top w:val="single" w:color="000000" w:sz="4" w:space="0"/>
              <w:left w:val="single" w:color="000000" w:sz="4" w:space="0"/>
              <w:bottom w:val="single" w:color="000000" w:sz="4" w:space="0"/>
              <w:right w:val="single" w:color="000000" w:sz="4" w:space="0"/>
            </w:tcBorders>
            <w:vAlign w:val="center"/>
          </w:tcPr>
          <w:p w14:paraId="53224FDF">
            <w:pPr>
              <w:rPr>
                <w:rFonts w:ascii="Calibri" w:hAnsi="Calibri"/>
                <w:color w:val="000000"/>
                <w:kern w:val="2"/>
                <w:sz w:val="24"/>
                <w:szCs w:val="24"/>
                <w:highlight w:val="none"/>
                <w:lang w:eastAsia="en-US"/>
              </w:rPr>
            </w:pPr>
          </w:p>
        </w:tc>
        <w:tc>
          <w:tcPr>
            <w:tcW w:w="737" w:type="dxa"/>
            <w:vMerge w:val="continue"/>
            <w:tcBorders>
              <w:top w:val="single" w:color="000000" w:sz="4" w:space="0"/>
              <w:left w:val="single" w:color="000000" w:sz="4" w:space="0"/>
              <w:bottom w:val="single" w:color="000000" w:sz="4" w:space="0"/>
              <w:right w:val="single" w:color="000000" w:sz="4" w:space="0"/>
            </w:tcBorders>
            <w:vAlign w:val="center"/>
          </w:tcPr>
          <w:p w14:paraId="057D558C">
            <w:pPr>
              <w:rPr>
                <w:rFonts w:ascii="Calibri" w:hAnsi="Calibri" w:eastAsia="宋体"/>
                <w:color w:val="000000"/>
                <w:kern w:val="2"/>
                <w:sz w:val="24"/>
                <w:szCs w:val="24"/>
                <w:highlight w:val="none"/>
              </w:rPr>
            </w:pPr>
          </w:p>
        </w:tc>
      </w:tr>
      <w:tr w14:paraId="23642E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vAlign w:val="center"/>
          </w:tcPr>
          <w:p w14:paraId="185264B2">
            <w:pPr>
              <w:rPr>
                <w:color w:val="000000"/>
                <w:kern w:val="2"/>
                <w:sz w:val="24"/>
                <w:szCs w:val="24"/>
                <w:highlight w:val="none"/>
              </w:rPr>
            </w:pPr>
          </w:p>
        </w:tc>
        <w:tc>
          <w:tcPr>
            <w:tcW w:w="5548" w:type="dxa"/>
            <w:vMerge w:val="continue"/>
            <w:tcBorders>
              <w:top w:val="single" w:color="000000" w:sz="4" w:space="0"/>
              <w:left w:val="single" w:color="000000" w:sz="4" w:space="0"/>
              <w:bottom w:val="single" w:color="000000" w:sz="4" w:space="0"/>
              <w:right w:val="single" w:color="000000" w:sz="4" w:space="0"/>
            </w:tcBorders>
            <w:vAlign w:val="center"/>
          </w:tcPr>
          <w:p w14:paraId="2B823969">
            <w:pPr>
              <w:rPr>
                <w:color w:val="000000"/>
                <w:kern w:val="2"/>
                <w:sz w:val="24"/>
                <w:szCs w:val="24"/>
                <w:highlight w:val="none"/>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595A19AB">
            <w:pPr>
              <w:pStyle w:val="211"/>
              <w:widowControl w:val="0"/>
              <w:rPr>
                <w:color w:val="000000"/>
                <w:kern w:val="2"/>
                <w:sz w:val="24"/>
                <w:szCs w:val="24"/>
                <w:highlight w:val="none"/>
                <w:lang w:eastAsia="zh-CN"/>
              </w:rPr>
            </w:pPr>
            <w:r>
              <w:rPr>
                <w:rFonts w:hint="eastAsia"/>
                <w:color w:val="000000"/>
                <w:kern w:val="2"/>
                <w:sz w:val="24"/>
                <w:szCs w:val="24"/>
                <w:highlight w:val="none"/>
                <w:lang w:eastAsia="zh-CN"/>
              </w:rPr>
              <w:t>食材验收流程规范，不合格一律退回，出入库台账完善。</w:t>
            </w:r>
          </w:p>
        </w:tc>
        <w:tc>
          <w:tcPr>
            <w:tcW w:w="1939" w:type="dxa"/>
            <w:vMerge w:val="continue"/>
            <w:tcBorders>
              <w:top w:val="single" w:color="000000" w:sz="4" w:space="0"/>
              <w:left w:val="single" w:color="000000" w:sz="4" w:space="0"/>
              <w:bottom w:val="single" w:color="000000" w:sz="4" w:space="0"/>
              <w:right w:val="single" w:color="000000" w:sz="4" w:space="0"/>
            </w:tcBorders>
            <w:vAlign w:val="center"/>
          </w:tcPr>
          <w:p w14:paraId="0FE7886D">
            <w:pPr>
              <w:rPr>
                <w:rFonts w:ascii="Calibri" w:hAnsi="Calibri"/>
                <w:color w:val="000000"/>
                <w:kern w:val="2"/>
                <w:sz w:val="24"/>
                <w:szCs w:val="24"/>
                <w:highlight w:val="none"/>
                <w:lang w:eastAsia="en-US"/>
              </w:rPr>
            </w:pPr>
          </w:p>
        </w:tc>
        <w:tc>
          <w:tcPr>
            <w:tcW w:w="737" w:type="dxa"/>
            <w:vMerge w:val="continue"/>
            <w:tcBorders>
              <w:top w:val="single" w:color="000000" w:sz="4" w:space="0"/>
              <w:left w:val="single" w:color="000000" w:sz="4" w:space="0"/>
              <w:bottom w:val="single" w:color="000000" w:sz="4" w:space="0"/>
              <w:right w:val="single" w:color="000000" w:sz="4" w:space="0"/>
            </w:tcBorders>
            <w:vAlign w:val="center"/>
          </w:tcPr>
          <w:p w14:paraId="79E6023E">
            <w:pPr>
              <w:rPr>
                <w:rFonts w:ascii="Calibri" w:hAnsi="Calibri" w:eastAsia="宋体"/>
                <w:color w:val="000000"/>
                <w:kern w:val="2"/>
                <w:sz w:val="24"/>
                <w:szCs w:val="24"/>
                <w:highlight w:val="none"/>
              </w:rPr>
            </w:pPr>
          </w:p>
        </w:tc>
      </w:tr>
      <w:tr w14:paraId="68B9E5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vAlign w:val="center"/>
          </w:tcPr>
          <w:p w14:paraId="4DA8B162">
            <w:pPr>
              <w:rPr>
                <w:color w:val="000000"/>
                <w:kern w:val="2"/>
                <w:sz w:val="24"/>
                <w:szCs w:val="24"/>
                <w:highlight w:val="none"/>
              </w:rPr>
            </w:pPr>
          </w:p>
        </w:tc>
        <w:tc>
          <w:tcPr>
            <w:tcW w:w="5548" w:type="dxa"/>
            <w:vMerge w:val="continue"/>
            <w:tcBorders>
              <w:top w:val="single" w:color="000000" w:sz="4" w:space="0"/>
              <w:left w:val="single" w:color="000000" w:sz="4" w:space="0"/>
              <w:bottom w:val="single" w:color="000000" w:sz="4" w:space="0"/>
              <w:right w:val="single" w:color="000000" w:sz="4" w:space="0"/>
            </w:tcBorders>
            <w:vAlign w:val="center"/>
          </w:tcPr>
          <w:p w14:paraId="17889214">
            <w:pPr>
              <w:rPr>
                <w:color w:val="000000"/>
                <w:kern w:val="2"/>
                <w:sz w:val="24"/>
                <w:szCs w:val="24"/>
                <w:highlight w:val="none"/>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55CFD964">
            <w:pPr>
              <w:pStyle w:val="211"/>
              <w:widowControl w:val="0"/>
              <w:rPr>
                <w:rFonts w:eastAsia="宋体"/>
                <w:color w:val="000000"/>
                <w:kern w:val="2"/>
                <w:sz w:val="24"/>
                <w:szCs w:val="24"/>
                <w:highlight w:val="none"/>
                <w:lang w:eastAsia="zh-CN"/>
              </w:rPr>
            </w:pPr>
            <w:r>
              <w:rPr>
                <w:rFonts w:hint="eastAsia" w:eastAsia="宋体"/>
                <w:color w:val="000000"/>
                <w:kern w:val="2"/>
                <w:sz w:val="24"/>
                <w:szCs w:val="24"/>
                <w:highlight w:val="none"/>
                <w:lang w:eastAsia="zh-CN"/>
              </w:rPr>
              <w:t>每月食材采购清单详实，入口率有保障。</w:t>
            </w:r>
          </w:p>
        </w:tc>
        <w:tc>
          <w:tcPr>
            <w:tcW w:w="1939" w:type="dxa"/>
            <w:vMerge w:val="continue"/>
            <w:tcBorders>
              <w:top w:val="single" w:color="000000" w:sz="4" w:space="0"/>
              <w:left w:val="single" w:color="000000" w:sz="4" w:space="0"/>
              <w:bottom w:val="single" w:color="000000" w:sz="4" w:space="0"/>
              <w:right w:val="single" w:color="000000" w:sz="4" w:space="0"/>
            </w:tcBorders>
            <w:vAlign w:val="center"/>
          </w:tcPr>
          <w:p w14:paraId="04914ACF">
            <w:pPr>
              <w:rPr>
                <w:rFonts w:ascii="Calibri" w:hAnsi="Calibri"/>
                <w:color w:val="000000"/>
                <w:kern w:val="2"/>
                <w:sz w:val="24"/>
                <w:szCs w:val="24"/>
                <w:highlight w:val="none"/>
                <w:lang w:eastAsia="en-US"/>
              </w:rPr>
            </w:pPr>
          </w:p>
        </w:tc>
        <w:tc>
          <w:tcPr>
            <w:tcW w:w="737" w:type="dxa"/>
            <w:vMerge w:val="continue"/>
            <w:tcBorders>
              <w:top w:val="single" w:color="000000" w:sz="4" w:space="0"/>
              <w:left w:val="single" w:color="000000" w:sz="4" w:space="0"/>
              <w:bottom w:val="single" w:color="000000" w:sz="4" w:space="0"/>
              <w:right w:val="single" w:color="000000" w:sz="4" w:space="0"/>
            </w:tcBorders>
            <w:vAlign w:val="center"/>
          </w:tcPr>
          <w:p w14:paraId="72F87F6E">
            <w:pPr>
              <w:rPr>
                <w:rFonts w:ascii="Calibri" w:hAnsi="Calibri" w:eastAsia="宋体"/>
                <w:color w:val="000000"/>
                <w:kern w:val="2"/>
                <w:sz w:val="24"/>
                <w:szCs w:val="24"/>
                <w:highlight w:val="none"/>
              </w:rPr>
            </w:pPr>
          </w:p>
        </w:tc>
      </w:tr>
      <w:tr w14:paraId="64770A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vAlign w:val="center"/>
          </w:tcPr>
          <w:p w14:paraId="2E3F1189">
            <w:pPr>
              <w:rPr>
                <w:color w:val="000000"/>
                <w:kern w:val="2"/>
                <w:sz w:val="24"/>
                <w:szCs w:val="24"/>
                <w:highlight w:val="none"/>
              </w:rPr>
            </w:pPr>
          </w:p>
        </w:tc>
        <w:tc>
          <w:tcPr>
            <w:tcW w:w="778" w:type="dxa"/>
            <w:vMerge w:val="restart"/>
            <w:tcBorders>
              <w:top w:val="single" w:color="000000" w:sz="4" w:space="0"/>
              <w:left w:val="single" w:color="000000" w:sz="4" w:space="0"/>
              <w:bottom w:val="single" w:color="000000" w:sz="4" w:space="0"/>
              <w:right w:val="single" w:color="000000" w:sz="4" w:space="0"/>
            </w:tcBorders>
            <w:vAlign w:val="center"/>
          </w:tcPr>
          <w:p w14:paraId="1B83BE6D">
            <w:pPr>
              <w:pStyle w:val="222"/>
              <w:widowControl w:val="0"/>
              <w:spacing w:after="0"/>
              <w:ind w:firstLine="0"/>
              <w:jc w:val="center"/>
              <w:rPr>
                <w:color w:val="000000"/>
                <w:kern w:val="2"/>
                <w:sz w:val="24"/>
                <w:szCs w:val="24"/>
                <w:highlight w:val="none"/>
              </w:rPr>
            </w:pPr>
            <w:r>
              <w:rPr>
                <w:rFonts w:hint="eastAsia"/>
                <w:color w:val="000000"/>
                <w:kern w:val="2"/>
                <w:sz w:val="24"/>
                <w:szCs w:val="24"/>
                <w:highlight w:val="none"/>
              </w:rPr>
              <w:t>配送</w:t>
            </w:r>
          </w:p>
        </w:tc>
        <w:tc>
          <w:tcPr>
            <w:tcW w:w="4770" w:type="dxa"/>
            <w:tcBorders>
              <w:top w:val="single" w:color="000000" w:sz="4" w:space="0"/>
              <w:left w:val="single" w:color="000000" w:sz="4" w:space="0"/>
              <w:bottom w:val="single" w:color="000000" w:sz="4" w:space="0"/>
              <w:right w:val="single" w:color="000000" w:sz="4" w:space="0"/>
            </w:tcBorders>
            <w:vAlign w:val="center"/>
          </w:tcPr>
          <w:p w14:paraId="5C9C6EC9">
            <w:pPr>
              <w:pStyle w:val="211"/>
              <w:widowControl w:val="0"/>
              <w:rPr>
                <w:color w:val="000000"/>
                <w:kern w:val="2"/>
                <w:sz w:val="24"/>
                <w:szCs w:val="24"/>
                <w:highlight w:val="none"/>
              </w:rPr>
            </w:pPr>
            <w:r>
              <w:rPr>
                <w:rFonts w:hint="eastAsia"/>
                <w:color w:val="000000"/>
                <w:kern w:val="2"/>
                <w:sz w:val="24"/>
                <w:szCs w:val="24"/>
                <w:highlight w:val="none"/>
              </w:rPr>
              <w:t>食材</w:t>
            </w:r>
            <w:r>
              <w:rPr>
                <w:rFonts w:hint="eastAsia"/>
                <w:color w:val="000000"/>
                <w:kern w:val="2"/>
                <w:sz w:val="24"/>
                <w:szCs w:val="24"/>
                <w:highlight w:val="none"/>
                <w:lang w:eastAsia="zh-CN"/>
              </w:rPr>
              <w:t>每日</w:t>
            </w:r>
            <w:r>
              <w:rPr>
                <w:rFonts w:hint="eastAsia"/>
                <w:color w:val="000000"/>
                <w:kern w:val="2"/>
                <w:sz w:val="24"/>
                <w:szCs w:val="24"/>
                <w:highlight w:val="none"/>
              </w:rPr>
              <w:t>配送及时，</w:t>
            </w:r>
            <w:r>
              <w:rPr>
                <w:rFonts w:hint="eastAsia"/>
                <w:color w:val="000000"/>
                <w:kern w:val="2"/>
                <w:sz w:val="24"/>
                <w:szCs w:val="24"/>
                <w:highlight w:val="none"/>
                <w:lang w:eastAsia="zh-CN"/>
              </w:rPr>
              <w:t>甲方有</w:t>
            </w:r>
            <w:r>
              <w:rPr>
                <w:rFonts w:hint="eastAsia"/>
                <w:color w:val="000000"/>
                <w:kern w:val="2"/>
                <w:sz w:val="24"/>
                <w:szCs w:val="24"/>
                <w:highlight w:val="none"/>
              </w:rPr>
              <w:t>临时</w:t>
            </w:r>
            <w:r>
              <w:rPr>
                <w:rFonts w:hint="eastAsia"/>
                <w:color w:val="000000"/>
                <w:kern w:val="2"/>
                <w:sz w:val="24"/>
                <w:szCs w:val="24"/>
                <w:highlight w:val="none"/>
                <w:lang w:eastAsia="zh-CN"/>
              </w:rPr>
              <w:t>供餐需求</w:t>
            </w:r>
            <w:r>
              <w:rPr>
                <w:rFonts w:hint="eastAsia"/>
                <w:color w:val="000000"/>
                <w:kern w:val="2"/>
                <w:sz w:val="24"/>
                <w:szCs w:val="24"/>
                <w:highlight w:val="none"/>
              </w:rPr>
              <w:t>，</w:t>
            </w:r>
            <w:r>
              <w:rPr>
                <w:rFonts w:hint="eastAsia"/>
                <w:color w:val="000000"/>
                <w:kern w:val="2"/>
                <w:sz w:val="24"/>
                <w:szCs w:val="24"/>
                <w:highlight w:val="none"/>
                <w:lang w:eastAsia="zh-CN"/>
              </w:rPr>
              <w:t>补货供货响应迅速</w:t>
            </w:r>
            <w:r>
              <w:rPr>
                <w:rFonts w:hint="eastAsia"/>
                <w:color w:val="000000"/>
                <w:kern w:val="2"/>
                <w:sz w:val="24"/>
                <w:szCs w:val="24"/>
                <w:highlight w:val="none"/>
              </w:rPr>
              <w:t>。</w:t>
            </w:r>
          </w:p>
        </w:tc>
        <w:tc>
          <w:tcPr>
            <w:tcW w:w="1939" w:type="dxa"/>
            <w:tcBorders>
              <w:top w:val="single" w:color="000000" w:sz="4" w:space="0"/>
              <w:left w:val="single" w:color="000000" w:sz="4" w:space="0"/>
              <w:bottom w:val="single" w:color="000000" w:sz="4" w:space="0"/>
              <w:right w:val="single" w:color="000000" w:sz="4" w:space="0"/>
            </w:tcBorders>
            <w:vAlign w:val="center"/>
          </w:tcPr>
          <w:p w14:paraId="74C345CF">
            <w:pPr>
              <w:pStyle w:val="211"/>
              <w:widowControl w:val="0"/>
              <w:jc w:val="center"/>
              <w:rPr>
                <w:color w:val="000000"/>
                <w:kern w:val="2"/>
                <w:sz w:val="24"/>
                <w:szCs w:val="24"/>
                <w:highlight w:val="none"/>
              </w:rPr>
            </w:pPr>
            <w:r>
              <w:rPr>
                <w:rFonts w:hint="eastAsia"/>
                <w:color w:val="000000"/>
                <w:kern w:val="2"/>
                <w:sz w:val="24"/>
                <w:szCs w:val="24"/>
                <w:highlight w:val="none"/>
              </w:rPr>
              <w:t>每逾期一次扣</w:t>
            </w:r>
            <w:r>
              <w:rPr>
                <w:color w:val="000000"/>
                <w:kern w:val="2"/>
                <w:sz w:val="24"/>
                <w:szCs w:val="24"/>
                <w:highlight w:val="none"/>
                <w:lang w:eastAsia="zh-CN"/>
              </w:rPr>
              <w:t>2</w:t>
            </w:r>
            <w:r>
              <w:rPr>
                <w:rFonts w:hint="eastAsia"/>
                <w:color w:val="000000"/>
                <w:kern w:val="2"/>
                <w:sz w:val="24"/>
                <w:szCs w:val="24"/>
                <w:highlight w:val="none"/>
              </w:rPr>
              <w:t>分</w:t>
            </w:r>
          </w:p>
        </w:tc>
        <w:tc>
          <w:tcPr>
            <w:tcW w:w="737" w:type="dxa"/>
            <w:vMerge w:val="restart"/>
            <w:tcBorders>
              <w:top w:val="single" w:color="000000" w:sz="4" w:space="0"/>
              <w:left w:val="single" w:color="000000" w:sz="4" w:space="0"/>
              <w:bottom w:val="single" w:color="000000" w:sz="4" w:space="0"/>
              <w:right w:val="single" w:color="000000" w:sz="4" w:space="0"/>
            </w:tcBorders>
            <w:vAlign w:val="center"/>
          </w:tcPr>
          <w:p w14:paraId="3FF1AA88">
            <w:pPr>
              <w:pStyle w:val="211"/>
              <w:widowControl w:val="0"/>
              <w:jc w:val="center"/>
              <w:rPr>
                <w:rFonts w:eastAsia="宋体"/>
                <w:color w:val="000000"/>
                <w:kern w:val="2"/>
                <w:sz w:val="24"/>
                <w:szCs w:val="24"/>
                <w:highlight w:val="none"/>
                <w:lang w:eastAsia="zh-CN"/>
              </w:rPr>
            </w:pPr>
            <w:r>
              <w:rPr>
                <w:color w:val="000000"/>
                <w:kern w:val="2"/>
                <w:sz w:val="24"/>
                <w:szCs w:val="24"/>
                <w:highlight w:val="none"/>
                <w:lang w:eastAsia="zh-CN"/>
              </w:rPr>
              <w:t>8</w:t>
            </w:r>
          </w:p>
        </w:tc>
      </w:tr>
      <w:tr w14:paraId="6AFCA5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vAlign w:val="center"/>
          </w:tcPr>
          <w:p w14:paraId="55E2F66C">
            <w:pPr>
              <w:rPr>
                <w:color w:val="000000"/>
                <w:kern w:val="2"/>
                <w:sz w:val="24"/>
                <w:szCs w:val="24"/>
                <w:highlight w:val="none"/>
              </w:rPr>
            </w:pPr>
          </w:p>
        </w:tc>
        <w:tc>
          <w:tcPr>
            <w:tcW w:w="5548" w:type="dxa"/>
            <w:vMerge w:val="continue"/>
            <w:tcBorders>
              <w:top w:val="single" w:color="000000" w:sz="4" w:space="0"/>
              <w:left w:val="single" w:color="000000" w:sz="4" w:space="0"/>
              <w:bottom w:val="single" w:color="000000" w:sz="4" w:space="0"/>
              <w:right w:val="single" w:color="000000" w:sz="4" w:space="0"/>
            </w:tcBorders>
            <w:vAlign w:val="center"/>
          </w:tcPr>
          <w:p w14:paraId="55E9EFE3">
            <w:pPr>
              <w:rPr>
                <w:color w:val="000000"/>
                <w:kern w:val="2"/>
                <w:sz w:val="24"/>
                <w:szCs w:val="24"/>
                <w:highlight w:val="none"/>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16FCA1F0">
            <w:pPr>
              <w:pStyle w:val="211"/>
              <w:widowControl w:val="0"/>
              <w:rPr>
                <w:color w:val="000000"/>
                <w:kern w:val="2"/>
                <w:sz w:val="24"/>
                <w:szCs w:val="24"/>
                <w:highlight w:val="none"/>
              </w:rPr>
            </w:pPr>
            <w:r>
              <w:rPr>
                <w:rFonts w:hint="eastAsia"/>
                <w:color w:val="000000"/>
                <w:kern w:val="2"/>
                <w:sz w:val="24"/>
                <w:szCs w:val="24"/>
                <w:highlight w:val="none"/>
              </w:rPr>
              <w:t>冷冻食材全程冷链</w:t>
            </w:r>
            <w:r>
              <w:rPr>
                <w:rFonts w:hint="eastAsia"/>
                <w:color w:val="000000"/>
                <w:kern w:val="2"/>
                <w:sz w:val="24"/>
                <w:szCs w:val="24"/>
                <w:highlight w:val="none"/>
                <w:lang w:eastAsia="zh-CN"/>
              </w:rPr>
              <w:t>配送</w:t>
            </w:r>
          </w:p>
        </w:tc>
        <w:tc>
          <w:tcPr>
            <w:tcW w:w="1939" w:type="dxa"/>
            <w:tcBorders>
              <w:top w:val="single" w:color="000000" w:sz="4" w:space="0"/>
              <w:left w:val="single" w:color="000000" w:sz="4" w:space="0"/>
              <w:bottom w:val="single" w:color="000000" w:sz="4" w:space="0"/>
              <w:right w:val="single" w:color="000000" w:sz="4" w:space="0"/>
            </w:tcBorders>
            <w:vAlign w:val="center"/>
          </w:tcPr>
          <w:p w14:paraId="22A5033C">
            <w:pPr>
              <w:pStyle w:val="211"/>
              <w:widowControl w:val="0"/>
              <w:jc w:val="center"/>
              <w:rPr>
                <w:color w:val="000000"/>
                <w:kern w:val="2"/>
                <w:sz w:val="24"/>
                <w:szCs w:val="24"/>
                <w:highlight w:val="none"/>
              </w:rPr>
            </w:pPr>
            <w:r>
              <w:rPr>
                <w:rFonts w:hint="eastAsia"/>
                <w:color w:val="000000"/>
                <w:kern w:val="2"/>
                <w:sz w:val="24"/>
                <w:szCs w:val="24"/>
                <w:highlight w:val="none"/>
                <w:lang w:eastAsia="zh-CN"/>
              </w:rPr>
              <w:t>每发现一次不规范</w:t>
            </w:r>
            <w:r>
              <w:rPr>
                <w:rFonts w:hint="eastAsia"/>
                <w:color w:val="000000"/>
                <w:kern w:val="2"/>
                <w:sz w:val="24"/>
                <w:szCs w:val="24"/>
                <w:highlight w:val="none"/>
              </w:rPr>
              <w:t>扣</w:t>
            </w:r>
            <w:r>
              <w:rPr>
                <w:color w:val="000000"/>
                <w:kern w:val="2"/>
                <w:sz w:val="24"/>
                <w:szCs w:val="24"/>
                <w:highlight w:val="none"/>
                <w:lang w:eastAsia="zh-CN"/>
              </w:rPr>
              <w:t>3</w:t>
            </w:r>
            <w:r>
              <w:rPr>
                <w:rFonts w:hint="eastAsia"/>
                <w:color w:val="000000"/>
                <w:kern w:val="2"/>
                <w:sz w:val="24"/>
                <w:szCs w:val="24"/>
                <w:highlight w:val="none"/>
              </w:rPr>
              <w:t>分</w:t>
            </w:r>
          </w:p>
        </w:tc>
        <w:tc>
          <w:tcPr>
            <w:tcW w:w="737" w:type="dxa"/>
            <w:vMerge w:val="continue"/>
            <w:tcBorders>
              <w:top w:val="single" w:color="000000" w:sz="4" w:space="0"/>
              <w:left w:val="single" w:color="000000" w:sz="4" w:space="0"/>
              <w:bottom w:val="single" w:color="000000" w:sz="4" w:space="0"/>
              <w:right w:val="single" w:color="000000" w:sz="4" w:space="0"/>
            </w:tcBorders>
            <w:vAlign w:val="center"/>
          </w:tcPr>
          <w:p w14:paraId="71BB6E84">
            <w:pPr>
              <w:rPr>
                <w:rFonts w:ascii="Calibri" w:hAnsi="Calibri" w:eastAsia="宋体"/>
                <w:color w:val="000000"/>
                <w:kern w:val="2"/>
                <w:sz w:val="24"/>
                <w:szCs w:val="24"/>
                <w:highlight w:val="none"/>
              </w:rPr>
            </w:pPr>
          </w:p>
        </w:tc>
      </w:tr>
    </w:tbl>
    <w:p w14:paraId="749EBED2">
      <w:pPr>
        <w:rPr>
          <w:highlight w:val="none"/>
          <w:lang w:val="zh-CN"/>
        </w:rPr>
        <w:sectPr>
          <w:footerReference r:id="rId4" w:type="default"/>
          <w:pgSz w:w="11905" w:h="16838"/>
          <w:pgMar w:top="1417" w:right="1587" w:bottom="1417" w:left="1587" w:header="720" w:footer="720" w:gutter="0"/>
          <w:pgNumType w:start="1"/>
          <w:cols w:space="1701" w:num="1"/>
          <w:docGrid w:linePitch="360" w:charSpace="0"/>
        </w:sectPr>
      </w:pPr>
      <w:r>
        <w:rPr>
          <w:highlight w:val="none"/>
          <w:lang w:val="zh-CN"/>
        </w:rPr>
        <w:br w:type="page"/>
      </w:r>
    </w:p>
    <w:bookmarkEnd w:id="96"/>
    <w:p w14:paraId="45C9ABF2">
      <w:pPr>
        <w:rPr>
          <w:rFonts w:ascii="宋体" w:hAnsi="宋体" w:eastAsia="宋体" w:cs="宋体"/>
          <w:b/>
          <w:bCs/>
          <w:sz w:val="36"/>
          <w:highlight w:val="none"/>
        </w:rPr>
      </w:pPr>
      <w:r>
        <w:rPr>
          <w:rFonts w:hint="eastAsia" w:ascii="宋体" w:hAnsi="宋体" w:eastAsia="宋体" w:cs="宋体"/>
          <w:highlight w:val="none"/>
        </w:rPr>
        <w:t> </w:t>
      </w:r>
    </w:p>
    <w:p w14:paraId="3D3BEAF9">
      <w:pPr>
        <w:pBdr>
          <w:top w:val="none" w:color="000000" w:sz="0" w:space="0"/>
          <w:left w:val="none" w:color="000000" w:sz="0" w:space="0"/>
          <w:bottom w:val="none" w:color="000000" w:sz="0" w:space="0"/>
          <w:right w:val="none" w:color="000000" w:sz="0" w:space="0"/>
        </w:pBdr>
        <w:ind w:right="840"/>
        <w:jc w:val="center"/>
        <w:outlineLvl w:val="0"/>
        <w:rPr>
          <w:rFonts w:ascii="宋体" w:hAnsi="宋体" w:eastAsia="宋体" w:cs="宋体"/>
          <w:highlight w:val="none"/>
        </w:rPr>
      </w:pPr>
      <w:bookmarkStart w:id="99" w:name="_Toc20912"/>
      <w:bookmarkStart w:id="100" w:name="_Toc11910"/>
      <w:bookmarkStart w:id="101" w:name="_Toc2045"/>
      <w:bookmarkStart w:id="102" w:name="_Toc1349"/>
      <w:r>
        <w:rPr>
          <w:rFonts w:hint="eastAsia" w:ascii="宋体" w:hAnsi="宋体" w:eastAsia="宋体" w:cs="宋体"/>
          <w:b/>
          <w:bCs/>
          <w:sz w:val="36"/>
          <w:highlight w:val="none"/>
        </w:rPr>
        <w:t>第六章  投标文件格式</w:t>
      </w:r>
      <w:bookmarkEnd w:id="99"/>
      <w:bookmarkEnd w:id="100"/>
      <w:bookmarkEnd w:id="101"/>
      <w:bookmarkEnd w:id="102"/>
    </w:p>
    <w:p w14:paraId="71F455CD">
      <w:pPr>
        <w:pBdr>
          <w:top w:val="none" w:color="000000" w:sz="0" w:space="0"/>
          <w:left w:val="none" w:color="000000" w:sz="0" w:space="0"/>
          <w:bottom w:val="none" w:color="000000" w:sz="0" w:space="0"/>
          <w:right w:val="none" w:color="000000" w:sz="0" w:space="0"/>
        </w:pBdr>
        <w:jc w:val="center"/>
        <w:rPr>
          <w:rFonts w:ascii="宋体" w:hAnsi="宋体" w:eastAsia="宋体" w:cs="宋体"/>
          <w:highlight w:val="none"/>
        </w:rPr>
      </w:pPr>
      <w:r>
        <w:rPr>
          <w:rFonts w:hint="eastAsia" w:ascii="宋体" w:hAnsi="宋体" w:eastAsia="宋体" w:cs="宋体"/>
          <w:b/>
          <w:sz w:val="72"/>
          <w:highlight w:val="none"/>
        </w:rPr>
        <w:t> </w:t>
      </w:r>
    </w:p>
    <w:p w14:paraId="76255186">
      <w:pPr>
        <w:jc w:val="center"/>
        <w:rPr>
          <w:rFonts w:ascii="宋体" w:hAnsi="宋体"/>
          <w:b/>
          <w:sz w:val="72"/>
          <w:highlight w:val="none"/>
        </w:rPr>
      </w:pPr>
    </w:p>
    <w:p w14:paraId="2362B390">
      <w:pPr>
        <w:jc w:val="center"/>
        <w:rPr>
          <w:rFonts w:ascii="宋体" w:hAnsi="宋体"/>
          <w:b/>
          <w:sz w:val="72"/>
          <w:highlight w:val="none"/>
        </w:rPr>
      </w:pPr>
      <w:r>
        <w:rPr>
          <w:rFonts w:hint="eastAsia" w:ascii="宋体" w:hAnsi="宋体"/>
          <w:b/>
          <w:sz w:val="72"/>
          <w:highlight w:val="none"/>
        </w:rPr>
        <w:t>投  标  文  件</w:t>
      </w:r>
    </w:p>
    <w:p w14:paraId="064A8230">
      <w:pPr>
        <w:jc w:val="center"/>
        <w:rPr>
          <w:rFonts w:ascii="宋体" w:hAnsi="宋体"/>
          <w:b/>
          <w:sz w:val="72"/>
          <w:highlight w:val="none"/>
        </w:rPr>
      </w:pPr>
    </w:p>
    <w:p w14:paraId="2549F5D4">
      <w:pPr>
        <w:jc w:val="center"/>
        <w:rPr>
          <w:rFonts w:ascii="宋体" w:hAnsi="宋体"/>
          <w:b/>
          <w:sz w:val="72"/>
          <w:highlight w:val="none"/>
        </w:rPr>
      </w:pPr>
    </w:p>
    <w:p w14:paraId="3BA5E4A1">
      <w:pPr>
        <w:jc w:val="center"/>
        <w:rPr>
          <w:rFonts w:ascii="宋体" w:hAnsi="宋体"/>
          <w:b/>
          <w:sz w:val="36"/>
          <w:highlight w:val="none"/>
        </w:rPr>
      </w:pPr>
    </w:p>
    <w:p w14:paraId="2CBB6CC3">
      <w:pPr>
        <w:jc w:val="center"/>
        <w:rPr>
          <w:rFonts w:ascii="宋体" w:hAnsi="宋体"/>
          <w:b/>
          <w:sz w:val="36"/>
          <w:highlight w:val="none"/>
        </w:rPr>
      </w:pPr>
    </w:p>
    <w:p w14:paraId="628936FC">
      <w:pPr>
        <w:rPr>
          <w:rFonts w:ascii="宋体" w:hAnsi="宋体"/>
          <w:b/>
          <w:sz w:val="36"/>
          <w:highlight w:val="none"/>
        </w:rPr>
      </w:pPr>
    </w:p>
    <w:p w14:paraId="6E3B3E4A">
      <w:pPr>
        <w:rPr>
          <w:rFonts w:ascii="宋体" w:hAnsi="宋体"/>
          <w:b/>
          <w:sz w:val="36"/>
          <w:highlight w:val="none"/>
        </w:rPr>
      </w:pPr>
    </w:p>
    <w:p w14:paraId="141C9E11">
      <w:pPr>
        <w:rPr>
          <w:highlight w:val="none"/>
        </w:rPr>
      </w:pPr>
    </w:p>
    <w:p w14:paraId="3CE10CEC">
      <w:pPr>
        <w:spacing w:line="360" w:lineRule="auto"/>
        <w:ind w:firstLine="1084"/>
        <w:rPr>
          <w:rFonts w:ascii="宋体" w:hAnsi="宋体"/>
          <w:b/>
          <w:sz w:val="36"/>
          <w:highlight w:val="none"/>
        </w:rPr>
      </w:pPr>
      <w:r>
        <w:rPr>
          <w:rFonts w:hint="eastAsia" w:ascii="宋体" w:hAnsi="宋体"/>
          <w:b/>
          <w:sz w:val="36"/>
          <w:highlight w:val="none"/>
        </w:rPr>
        <w:t>项目名称：</w:t>
      </w:r>
      <w:r>
        <w:rPr>
          <w:rFonts w:hint="eastAsia" w:ascii="宋体" w:hAnsi="宋体"/>
          <w:b/>
          <w:sz w:val="36"/>
          <w:highlight w:val="none"/>
          <w:u w:val="single"/>
        </w:rPr>
        <w:t xml:space="preserve">                                                      </w:t>
      </w:r>
    </w:p>
    <w:p w14:paraId="166D0E66">
      <w:pPr>
        <w:spacing w:line="360" w:lineRule="auto"/>
        <w:ind w:firstLine="1084"/>
        <w:rPr>
          <w:rFonts w:ascii="宋体" w:hAnsi="宋体"/>
          <w:b/>
          <w:sz w:val="36"/>
          <w:highlight w:val="none"/>
          <w:u w:val="single"/>
        </w:rPr>
      </w:pPr>
      <w:r>
        <w:rPr>
          <w:rFonts w:hint="eastAsia" w:ascii="宋体" w:hAnsi="宋体"/>
          <w:b/>
          <w:sz w:val="36"/>
          <w:highlight w:val="none"/>
        </w:rPr>
        <w:t>项目编号：</w:t>
      </w:r>
      <w:r>
        <w:rPr>
          <w:rFonts w:hint="eastAsia" w:ascii="宋体" w:hAnsi="宋体"/>
          <w:b/>
          <w:sz w:val="36"/>
          <w:highlight w:val="none"/>
          <w:u w:val="single"/>
        </w:rPr>
        <w:t xml:space="preserve">                    </w:t>
      </w:r>
    </w:p>
    <w:p w14:paraId="2DD57148">
      <w:pPr>
        <w:spacing w:line="360" w:lineRule="auto"/>
        <w:rPr>
          <w:rFonts w:ascii="宋体" w:hAnsi="宋体"/>
          <w:b/>
          <w:sz w:val="36"/>
          <w:highlight w:val="none"/>
        </w:rPr>
      </w:pPr>
      <w:r>
        <w:rPr>
          <w:rFonts w:hint="eastAsia" w:ascii="宋体" w:hAnsi="宋体"/>
          <w:b/>
          <w:sz w:val="36"/>
          <w:highlight w:val="none"/>
        </w:rPr>
        <w:t xml:space="preserve">      </w:t>
      </w:r>
    </w:p>
    <w:p w14:paraId="1D7BF3DF">
      <w:pPr>
        <w:rPr>
          <w:highlight w:val="none"/>
        </w:rPr>
      </w:pPr>
    </w:p>
    <w:p w14:paraId="79827899">
      <w:pPr>
        <w:spacing w:line="360" w:lineRule="auto"/>
        <w:ind w:firstLine="1084" w:firstLineChars="300"/>
        <w:rPr>
          <w:rFonts w:ascii="宋体" w:hAnsi="宋体"/>
          <w:b/>
          <w:sz w:val="36"/>
          <w:highlight w:val="none"/>
        </w:rPr>
      </w:pPr>
    </w:p>
    <w:p w14:paraId="305F09E1">
      <w:pPr>
        <w:spacing w:line="360" w:lineRule="auto"/>
        <w:ind w:firstLine="1084" w:firstLineChars="300"/>
        <w:rPr>
          <w:rFonts w:ascii="宋体" w:hAnsi="宋体"/>
          <w:b/>
          <w:sz w:val="36"/>
          <w:highlight w:val="none"/>
        </w:rPr>
      </w:pPr>
    </w:p>
    <w:p w14:paraId="1CD2915C">
      <w:pPr>
        <w:spacing w:line="360" w:lineRule="auto"/>
        <w:ind w:firstLine="1084" w:firstLineChars="300"/>
        <w:rPr>
          <w:rFonts w:ascii="宋体" w:hAnsi="宋体"/>
          <w:b/>
          <w:sz w:val="36"/>
          <w:highlight w:val="none"/>
          <w:u w:val="single"/>
        </w:rPr>
      </w:pPr>
      <w:r>
        <w:rPr>
          <w:rFonts w:hint="eastAsia" w:ascii="宋体" w:hAnsi="宋体"/>
          <w:b/>
          <w:sz w:val="36"/>
          <w:highlight w:val="none"/>
        </w:rPr>
        <w:t>投标人全称（CA公章）：</w:t>
      </w:r>
      <w:r>
        <w:rPr>
          <w:rFonts w:hint="eastAsia" w:ascii="宋体" w:hAnsi="宋体"/>
          <w:b/>
          <w:sz w:val="36"/>
          <w:highlight w:val="none"/>
          <w:u w:val="single"/>
        </w:rPr>
        <w:t xml:space="preserve">   </w:t>
      </w:r>
    </w:p>
    <w:p w14:paraId="2088433F">
      <w:pPr>
        <w:spacing w:line="360" w:lineRule="auto"/>
        <w:rPr>
          <w:rFonts w:ascii="宋体" w:hAnsi="宋体"/>
          <w:b/>
          <w:sz w:val="36"/>
          <w:highlight w:val="none"/>
          <w:u w:val="single"/>
        </w:rPr>
      </w:pPr>
      <w:r>
        <w:rPr>
          <w:rFonts w:hint="eastAsia" w:ascii="宋体" w:hAnsi="宋体"/>
          <w:b/>
          <w:sz w:val="36"/>
          <w:highlight w:val="none"/>
        </w:rPr>
        <w:t xml:space="preserve">      日期：                  </w:t>
      </w:r>
      <w:r>
        <w:rPr>
          <w:rFonts w:hint="eastAsia" w:ascii="宋体" w:hAnsi="宋体"/>
          <w:b/>
          <w:sz w:val="36"/>
          <w:highlight w:val="none"/>
          <w:u w:val="single"/>
        </w:rPr>
        <w:t xml:space="preserve">                    </w:t>
      </w:r>
    </w:p>
    <w:p w14:paraId="29B0B8C1">
      <w:pPr>
        <w:widowControl w:val="0"/>
        <w:jc w:val="both"/>
        <w:rPr>
          <w:rFonts w:ascii="宋体" w:hAnsi="宋体" w:eastAsia="宋体" w:cs="Arial"/>
          <w:sz w:val="28"/>
          <w:szCs w:val="28"/>
          <w:highlight w:val="none"/>
        </w:rPr>
      </w:pPr>
    </w:p>
    <w:p w14:paraId="4E08E0A4">
      <w:pPr>
        <w:widowControl w:val="0"/>
        <w:jc w:val="both"/>
        <w:rPr>
          <w:rFonts w:ascii="宋体" w:hAnsi="宋体" w:eastAsia="宋体" w:cs="Arial"/>
          <w:sz w:val="28"/>
          <w:szCs w:val="28"/>
          <w:highlight w:val="none"/>
        </w:rPr>
      </w:pPr>
    </w:p>
    <w:p w14:paraId="3BA9D7D6">
      <w:pPr>
        <w:widowControl w:val="0"/>
        <w:jc w:val="both"/>
        <w:rPr>
          <w:rFonts w:ascii="宋体" w:hAnsi="宋体" w:eastAsia="宋体" w:cs="Arial"/>
          <w:sz w:val="28"/>
          <w:szCs w:val="28"/>
          <w:highlight w:val="none"/>
        </w:rPr>
      </w:pPr>
    </w:p>
    <w:p w14:paraId="2F791B2A">
      <w:pPr>
        <w:rPr>
          <w:rFonts w:ascii="宋体" w:hAnsi="宋体" w:eastAsia="宋体" w:cs="Arial"/>
          <w:b/>
          <w:bCs/>
          <w:sz w:val="28"/>
          <w:szCs w:val="28"/>
          <w:highlight w:val="none"/>
        </w:rPr>
      </w:pPr>
      <w:r>
        <w:rPr>
          <w:rFonts w:hint="eastAsia" w:ascii="宋体" w:hAnsi="宋体" w:eastAsia="宋体" w:cs="Arial"/>
          <w:b/>
          <w:bCs/>
          <w:sz w:val="28"/>
          <w:szCs w:val="28"/>
          <w:highlight w:val="none"/>
        </w:rPr>
        <w:br w:type="page"/>
      </w:r>
    </w:p>
    <w:p w14:paraId="310EEB06">
      <w:pPr>
        <w:widowControl w:val="0"/>
        <w:spacing w:before="240" w:after="240"/>
        <w:jc w:val="center"/>
        <w:rPr>
          <w:rFonts w:ascii="宋体" w:hAnsi="宋体" w:eastAsia="宋体" w:cs="Arial"/>
          <w:b/>
          <w:bCs/>
          <w:sz w:val="28"/>
          <w:szCs w:val="28"/>
          <w:highlight w:val="none"/>
        </w:rPr>
      </w:pPr>
      <w:r>
        <w:rPr>
          <w:rFonts w:hint="eastAsia" w:ascii="宋体" w:hAnsi="宋体" w:eastAsia="宋体" w:cs="Arial"/>
          <w:b/>
          <w:bCs/>
          <w:sz w:val="28"/>
          <w:szCs w:val="28"/>
          <w:highlight w:val="none"/>
        </w:rPr>
        <w:t>目录</w:t>
      </w:r>
    </w:p>
    <w:p w14:paraId="0AB1E31A">
      <w:pPr>
        <w:widowControl w:val="0"/>
        <w:jc w:val="center"/>
        <w:rPr>
          <w:rFonts w:ascii="宋体" w:hAnsi="宋体" w:eastAsia="宋体" w:cs="Arial"/>
          <w:szCs w:val="21"/>
          <w:highlight w:val="none"/>
        </w:rPr>
      </w:pPr>
    </w:p>
    <w:p w14:paraId="54A4F701">
      <w:pPr>
        <w:widowControl w:val="0"/>
        <w:jc w:val="center"/>
        <w:rPr>
          <w:rFonts w:ascii="宋体" w:hAnsi="宋体" w:eastAsia="宋体" w:cs="Arial"/>
          <w:szCs w:val="21"/>
          <w:highlight w:val="none"/>
        </w:rPr>
      </w:pPr>
      <w:r>
        <w:rPr>
          <w:rFonts w:hint="eastAsia" w:ascii="宋体" w:hAnsi="宋体" w:eastAsia="宋体" w:cs="Arial"/>
          <w:sz w:val="24"/>
          <w:szCs w:val="24"/>
          <w:highlight w:val="none"/>
        </w:rPr>
        <w:t>（注：供应商根据附件顺序编制投标文件并制作目录（须生成页码））</w:t>
      </w:r>
    </w:p>
    <w:p w14:paraId="3449C80F">
      <w:pPr>
        <w:adjustRightInd w:val="0"/>
        <w:snapToGrid w:val="0"/>
        <w:spacing w:line="360" w:lineRule="auto"/>
        <w:jc w:val="center"/>
        <w:rPr>
          <w:rFonts w:ascii="宋体" w:hAnsi="宋体" w:eastAsia="宋体" w:cs="Arial"/>
          <w:szCs w:val="24"/>
          <w:highlight w:val="none"/>
        </w:rPr>
      </w:pPr>
      <w:r>
        <w:rPr>
          <w:rFonts w:ascii="宋体" w:hAnsi="宋体" w:eastAsia="宋体" w:cs="Arial"/>
          <w:szCs w:val="24"/>
          <w:highlight w:val="none"/>
        </w:rPr>
        <w:br w:type="page" w:clear="all"/>
      </w:r>
    </w:p>
    <w:p w14:paraId="702E6DFE">
      <w:pPr>
        <w:shd w:val="clear" w:color="auto" w:fill="FFFFFF"/>
        <w:spacing w:line="360" w:lineRule="auto"/>
        <w:jc w:val="both"/>
        <w:outlineLvl w:val="1"/>
        <w:rPr>
          <w:rFonts w:ascii="宋体" w:hAnsi="宋体" w:eastAsia="宋体" w:cs="Arial"/>
          <w:szCs w:val="21"/>
          <w:highlight w:val="none"/>
        </w:rPr>
      </w:pPr>
      <w:bookmarkStart w:id="103" w:name="_Toc29043"/>
      <w:bookmarkStart w:id="104" w:name="_Toc10920"/>
      <w:bookmarkStart w:id="105" w:name="_Toc22027"/>
      <w:bookmarkStart w:id="106" w:name="_Toc2821"/>
      <w:r>
        <w:rPr>
          <w:rFonts w:hint="eastAsia" w:ascii="宋体" w:hAnsi="宋体" w:eastAsia="宋体" w:cs="Arial"/>
          <w:b/>
          <w:bCs/>
          <w:szCs w:val="21"/>
          <w:highlight w:val="none"/>
          <w:lang w:val="en-US" w:eastAsia="zh-CN"/>
        </w:rPr>
        <w:t>一</w:t>
      </w:r>
      <w:r>
        <w:rPr>
          <w:rFonts w:hint="eastAsia" w:ascii="宋体" w:hAnsi="宋体" w:eastAsia="宋体" w:cs="Arial"/>
          <w:b/>
          <w:bCs/>
          <w:szCs w:val="21"/>
          <w:highlight w:val="none"/>
        </w:rPr>
        <w:t>、法定代表人授权委托书</w:t>
      </w:r>
      <w:bookmarkEnd w:id="103"/>
      <w:bookmarkEnd w:id="104"/>
      <w:bookmarkEnd w:id="105"/>
      <w:bookmarkEnd w:id="106"/>
    </w:p>
    <w:p w14:paraId="428D922A">
      <w:pPr>
        <w:shd w:val="clear" w:color="auto" w:fill="FFFFFF"/>
        <w:spacing w:line="360" w:lineRule="auto"/>
        <w:jc w:val="center"/>
        <w:rPr>
          <w:rFonts w:ascii="宋体" w:hAnsi="宋体" w:eastAsia="宋体" w:cs="Arial"/>
          <w:b/>
          <w:sz w:val="32"/>
          <w:szCs w:val="32"/>
          <w:highlight w:val="none"/>
        </w:rPr>
      </w:pPr>
    </w:p>
    <w:p w14:paraId="4103F14B">
      <w:pPr>
        <w:shd w:val="clear" w:color="auto" w:fill="FFFFFF"/>
        <w:spacing w:line="360" w:lineRule="auto"/>
        <w:jc w:val="center"/>
        <w:rPr>
          <w:rFonts w:ascii="宋体" w:hAnsi="宋体" w:eastAsia="宋体" w:cs="Arial"/>
          <w:b/>
          <w:sz w:val="32"/>
          <w:szCs w:val="32"/>
          <w:highlight w:val="none"/>
        </w:rPr>
      </w:pPr>
      <w:r>
        <w:rPr>
          <w:rFonts w:hint="eastAsia" w:ascii="宋体" w:hAnsi="宋体" w:eastAsia="宋体" w:cs="Arial"/>
          <w:b/>
          <w:sz w:val="32"/>
          <w:szCs w:val="32"/>
          <w:highlight w:val="none"/>
        </w:rPr>
        <w:t>法定代表人授权委托书</w:t>
      </w:r>
    </w:p>
    <w:p w14:paraId="5071D738">
      <w:pPr>
        <w:shd w:val="clear" w:color="auto" w:fill="FFFFFF"/>
        <w:spacing w:line="360" w:lineRule="auto"/>
        <w:jc w:val="both"/>
        <w:rPr>
          <w:rFonts w:ascii="宋体" w:hAnsi="宋体" w:eastAsia="宋体" w:cs="Arial"/>
          <w:sz w:val="24"/>
          <w:szCs w:val="24"/>
          <w:highlight w:val="none"/>
        </w:rPr>
      </w:pPr>
    </w:p>
    <w:p w14:paraId="2CA584D8">
      <w:pPr>
        <w:shd w:val="clear" w:color="auto" w:fill="FFFFFF"/>
        <w:spacing w:line="360" w:lineRule="auto"/>
        <w:jc w:val="both"/>
        <w:rPr>
          <w:rFonts w:ascii="宋体" w:hAnsi="宋体" w:eastAsia="宋体" w:cs="Arial"/>
          <w:sz w:val="24"/>
          <w:szCs w:val="24"/>
          <w:highlight w:val="none"/>
        </w:rPr>
      </w:pPr>
      <w:r>
        <w:rPr>
          <w:rFonts w:hint="eastAsia" w:ascii="宋体" w:hAnsi="宋体" w:eastAsia="宋体" w:cs="Arial"/>
          <w:sz w:val="24"/>
          <w:szCs w:val="24"/>
          <w:highlight w:val="none"/>
        </w:rPr>
        <w:t>致：南京市公安局江宁分局</w:t>
      </w:r>
    </w:p>
    <w:p w14:paraId="0E37E0C2">
      <w:pPr>
        <w:shd w:val="clear" w:color="auto" w:fill="FFFFFF"/>
        <w:wordWrap w:val="0"/>
        <w:topLinePunct/>
        <w:spacing w:line="360" w:lineRule="auto"/>
        <w:ind w:firstLine="480" w:firstLineChars="200"/>
        <w:rPr>
          <w:rFonts w:ascii="宋体" w:hAnsi="宋体" w:eastAsia="宋体" w:cs="Arial"/>
          <w:sz w:val="24"/>
          <w:szCs w:val="24"/>
          <w:highlight w:val="none"/>
        </w:rPr>
      </w:pPr>
    </w:p>
    <w:p w14:paraId="424EADFA">
      <w:pPr>
        <w:shd w:val="clear" w:color="auto" w:fill="FFFFFF"/>
        <w:wordWrap w:val="0"/>
        <w:topLinePunct/>
        <w:spacing w:line="360" w:lineRule="auto"/>
        <w:ind w:firstLine="480" w:firstLineChars="200"/>
        <w:rPr>
          <w:rFonts w:ascii="宋体" w:hAnsi="宋体" w:eastAsia="宋体" w:cs="Arial"/>
          <w:sz w:val="24"/>
          <w:szCs w:val="24"/>
          <w:highlight w:val="none"/>
        </w:rPr>
      </w:pPr>
      <w:r>
        <w:rPr>
          <w:rFonts w:hint="eastAsia" w:ascii="宋体" w:hAnsi="宋体" w:eastAsia="宋体" w:cs="Arial"/>
          <w:sz w:val="24"/>
          <w:szCs w:val="24"/>
          <w:highlight w:val="none"/>
        </w:rPr>
        <w:t>本授权书声明：注册于</w:t>
      </w:r>
      <w:r>
        <w:rPr>
          <w:rFonts w:ascii="宋体" w:hAnsi="宋体" w:eastAsia="宋体" w:cs="Arial"/>
          <w:sz w:val="24"/>
          <w:szCs w:val="24"/>
          <w:highlight w:val="none"/>
          <w:u w:val="single"/>
        </w:rPr>
        <w:t>    </w:t>
      </w:r>
      <w:r>
        <w:rPr>
          <w:rFonts w:hint="eastAsia" w:ascii="宋体" w:hAnsi="宋体" w:eastAsia="宋体" w:cs="Arial"/>
          <w:sz w:val="24"/>
          <w:szCs w:val="24"/>
          <w:highlight w:val="none"/>
        </w:rPr>
        <w:t>（投标人住址）的</w:t>
      </w:r>
      <w:r>
        <w:rPr>
          <w:rFonts w:ascii="宋体" w:hAnsi="宋体" w:eastAsia="宋体" w:cs="Arial"/>
          <w:sz w:val="24"/>
          <w:szCs w:val="24"/>
          <w:highlight w:val="none"/>
          <w:u w:val="single"/>
        </w:rPr>
        <w:t>    </w:t>
      </w:r>
      <w:r>
        <w:rPr>
          <w:rFonts w:hint="eastAsia" w:ascii="宋体" w:hAnsi="宋体" w:eastAsia="宋体" w:cs="Arial"/>
          <w:sz w:val="24"/>
          <w:szCs w:val="24"/>
          <w:highlight w:val="none"/>
        </w:rPr>
        <w:t>（投标人名称）法定代表人</w:t>
      </w:r>
      <w:r>
        <w:rPr>
          <w:rFonts w:ascii="宋体" w:hAnsi="宋体" w:eastAsia="宋体" w:cs="Arial"/>
          <w:sz w:val="24"/>
          <w:szCs w:val="24"/>
          <w:highlight w:val="none"/>
          <w:u w:val="single"/>
        </w:rPr>
        <w:t>    </w:t>
      </w:r>
      <w:r>
        <w:rPr>
          <w:rFonts w:hint="eastAsia" w:ascii="宋体" w:hAnsi="宋体" w:eastAsia="宋体" w:cs="Arial"/>
          <w:sz w:val="24"/>
          <w:szCs w:val="24"/>
          <w:highlight w:val="none"/>
        </w:rPr>
        <w:t>（法定代表人姓名、职务）代表本公司授权在下面签字的</w:t>
      </w:r>
      <w:r>
        <w:rPr>
          <w:rFonts w:ascii="宋体" w:hAnsi="宋体" w:eastAsia="宋体" w:cs="Arial"/>
          <w:sz w:val="24"/>
          <w:szCs w:val="24"/>
          <w:highlight w:val="none"/>
          <w:u w:val="single"/>
        </w:rPr>
        <w:t>    </w:t>
      </w:r>
      <w:r>
        <w:rPr>
          <w:rFonts w:hint="eastAsia" w:ascii="宋体" w:hAnsi="宋体" w:eastAsia="宋体" w:cs="Arial"/>
          <w:sz w:val="24"/>
          <w:szCs w:val="24"/>
          <w:highlight w:val="none"/>
        </w:rPr>
        <w:t>（投标人代表姓名、职务）为本公司的合法代理人，就贵方组织的</w:t>
      </w:r>
      <w:r>
        <w:rPr>
          <w:rFonts w:ascii="宋体" w:hAnsi="宋体" w:eastAsia="宋体" w:cs="Arial"/>
          <w:sz w:val="24"/>
          <w:szCs w:val="24"/>
          <w:highlight w:val="none"/>
          <w:u w:val="single"/>
        </w:rPr>
        <w:t>    </w:t>
      </w:r>
      <w:r>
        <w:rPr>
          <w:rFonts w:hint="eastAsia" w:ascii="宋体" w:hAnsi="宋体" w:eastAsia="宋体" w:cs="Arial"/>
          <w:sz w:val="24"/>
          <w:szCs w:val="24"/>
          <w:highlight w:val="none"/>
        </w:rPr>
        <w:t>（项目名称）</w:t>
      </w:r>
      <w:r>
        <w:rPr>
          <w:rFonts w:ascii="宋体" w:hAnsi="宋体" w:eastAsia="宋体" w:cs="Arial"/>
          <w:sz w:val="24"/>
          <w:szCs w:val="24"/>
          <w:highlight w:val="none"/>
          <w:u w:val="single"/>
        </w:rPr>
        <w:t>    </w:t>
      </w:r>
      <w:r>
        <w:rPr>
          <w:rFonts w:hint="eastAsia" w:ascii="宋体" w:hAnsi="宋体" w:eastAsia="宋体" w:cs="Arial"/>
          <w:sz w:val="24"/>
          <w:szCs w:val="24"/>
          <w:highlight w:val="none"/>
        </w:rPr>
        <w:t>（项目编号）投标，以本公司名义处理一切与之有关的事务。</w:t>
      </w:r>
    </w:p>
    <w:p w14:paraId="1AC5B529">
      <w:pPr>
        <w:shd w:val="clear" w:color="auto" w:fill="FFFFFF"/>
        <w:spacing w:line="360" w:lineRule="auto"/>
        <w:rPr>
          <w:rFonts w:ascii="宋体" w:hAnsi="宋体" w:eastAsia="宋体" w:cs="Arial"/>
          <w:sz w:val="24"/>
          <w:szCs w:val="24"/>
          <w:highlight w:val="none"/>
        </w:rPr>
      </w:pPr>
      <w:r>
        <w:rPr>
          <w:rFonts w:ascii="宋体" w:hAnsi="宋体" w:eastAsia="宋体" w:cs="Arial"/>
          <w:sz w:val="24"/>
          <w:szCs w:val="24"/>
          <w:highlight w:val="none"/>
        </w:rPr>
        <w:t>  </w:t>
      </w:r>
      <w:r>
        <w:rPr>
          <w:rFonts w:hint="eastAsia" w:ascii="宋体" w:hAnsi="宋体" w:eastAsia="宋体" w:cs="Arial"/>
          <w:sz w:val="24"/>
          <w:szCs w:val="24"/>
          <w:highlight w:val="none"/>
        </w:rPr>
        <w:t>本授权书于</w:t>
      </w:r>
      <w:r>
        <w:rPr>
          <w:rFonts w:ascii="宋体" w:hAnsi="宋体" w:eastAsia="宋体" w:cs="Arial"/>
          <w:sz w:val="24"/>
          <w:szCs w:val="24"/>
          <w:highlight w:val="none"/>
          <w:u w:val="single"/>
        </w:rPr>
        <w:t>   </w:t>
      </w:r>
      <w:r>
        <w:rPr>
          <w:rFonts w:hint="eastAsia" w:ascii="宋体" w:hAnsi="宋体" w:eastAsia="宋体" w:cs="Arial"/>
          <w:sz w:val="24"/>
          <w:szCs w:val="24"/>
          <w:highlight w:val="none"/>
        </w:rPr>
        <w:t>年</w:t>
      </w:r>
      <w:r>
        <w:rPr>
          <w:rFonts w:ascii="宋体" w:hAnsi="宋体" w:eastAsia="宋体" w:cs="Arial"/>
          <w:sz w:val="24"/>
          <w:szCs w:val="24"/>
          <w:highlight w:val="none"/>
          <w:u w:val="single"/>
        </w:rPr>
        <w:t>   </w:t>
      </w:r>
      <w:r>
        <w:rPr>
          <w:rFonts w:hint="eastAsia" w:ascii="宋体" w:hAnsi="宋体" w:eastAsia="宋体" w:cs="Arial"/>
          <w:sz w:val="24"/>
          <w:szCs w:val="24"/>
          <w:highlight w:val="none"/>
        </w:rPr>
        <w:t>月</w:t>
      </w:r>
      <w:r>
        <w:rPr>
          <w:rFonts w:ascii="宋体" w:hAnsi="宋体" w:eastAsia="宋体" w:cs="Arial"/>
          <w:sz w:val="24"/>
          <w:szCs w:val="24"/>
          <w:highlight w:val="none"/>
          <w:u w:val="single"/>
        </w:rPr>
        <w:t>   </w:t>
      </w:r>
      <w:r>
        <w:rPr>
          <w:rFonts w:hint="eastAsia" w:ascii="宋体" w:hAnsi="宋体" w:eastAsia="宋体" w:cs="Arial"/>
          <w:sz w:val="24"/>
          <w:szCs w:val="24"/>
          <w:highlight w:val="none"/>
        </w:rPr>
        <w:t>日签字生效，特此声明。</w:t>
      </w:r>
    </w:p>
    <w:p w14:paraId="79C70080">
      <w:pPr>
        <w:shd w:val="clear" w:color="auto" w:fill="FFFFFF"/>
        <w:spacing w:line="360" w:lineRule="auto"/>
        <w:rPr>
          <w:rFonts w:ascii="宋体" w:hAnsi="宋体" w:eastAsia="宋体" w:cs="Arial"/>
          <w:sz w:val="24"/>
          <w:szCs w:val="24"/>
          <w:highlight w:val="none"/>
        </w:rPr>
      </w:pPr>
      <w:r>
        <w:rPr>
          <w:rFonts w:ascii="宋体" w:hAnsi="宋体" w:eastAsia="宋体" w:cs="Arial"/>
          <w:sz w:val="24"/>
          <w:szCs w:val="24"/>
          <w:highlight w:val="none"/>
        </w:rPr>
        <w:t>  </w:t>
      </w:r>
    </w:p>
    <w:p w14:paraId="2F2A7056">
      <w:pPr>
        <w:shd w:val="clear" w:color="auto" w:fill="FFFFFF"/>
        <w:spacing w:line="360" w:lineRule="auto"/>
        <w:ind w:firstLine="480" w:firstLineChars="200"/>
        <w:rPr>
          <w:rFonts w:ascii="宋体" w:hAnsi="宋体" w:eastAsia="宋体" w:cs="Arial"/>
          <w:sz w:val="24"/>
          <w:szCs w:val="24"/>
          <w:highlight w:val="none"/>
        </w:rPr>
      </w:pPr>
      <w:r>
        <w:rPr>
          <w:rFonts w:hint="eastAsia" w:ascii="宋体" w:hAnsi="宋体" w:eastAsia="宋体" w:cs="Arial"/>
          <w:sz w:val="24"/>
          <w:szCs w:val="24"/>
          <w:highlight w:val="none"/>
        </w:rPr>
        <w:t>法定代表人签字：</w:t>
      </w:r>
    </w:p>
    <w:p w14:paraId="324A9787">
      <w:pPr>
        <w:shd w:val="clear" w:color="auto" w:fill="FFFFFF"/>
        <w:spacing w:line="360" w:lineRule="auto"/>
        <w:ind w:firstLine="480" w:firstLineChars="200"/>
        <w:rPr>
          <w:rFonts w:ascii="宋体" w:hAnsi="宋体" w:eastAsia="宋体" w:cs="Arial"/>
          <w:sz w:val="24"/>
          <w:szCs w:val="24"/>
          <w:highlight w:val="none"/>
        </w:rPr>
      </w:pPr>
    </w:p>
    <w:p w14:paraId="47D07D56">
      <w:pPr>
        <w:shd w:val="clear" w:color="auto" w:fill="FFFFFF"/>
        <w:spacing w:line="360" w:lineRule="auto"/>
        <w:ind w:firstLine="480" w:firstLineChars="200"/>
        <w:rPr>
          <w:rFonts w:ascii="宋体" w:hAnsi="宋体" w:eastAsia="宋体" w:cs="Arial"/>
          <w:sz w:val="24"/>
          <w:szCs w:val="24"/>
          <w:highlight w:val="none"/>
        </w:rPr>
      </w:pPr>
      <w:r>
        <w:rPr>
          <w:rFonts w:hint="eastAsia" w:ascii="宋体" w:hAnsi="宋体" w:eastAsia="宋体" w:cs="Arial"/>
          <w:sz w:val="24"/>
          <w:szCs w:val="24"/>
          <w:highlight w:val="none"/>
        </w:rPr>
        <w:t>授权委托人签字：</w:t>
      </w:r>
      <w:r>
        <w:rPr>
          <w:rFonts w:ascii="宋体" w:hAnsi="宋体" w:eastAsia="宋体" w:cs="Arial"/>
          <w:sz w:val="24"/>
          <w:szCs w:val="24"/>
          <w:highlight w:val="none"/>
        </w:rPr>
        <w:t>                   </w:t>
      </w:r>
    </w:p>
    <w:p w14:paraId="6D7BF82C">
      <w:pPr>
        <w:shd w:val="clear" w:color="auto" w:fill="FFFFFF"/>
        <w:spacing w:line="360" w:lineRule="auto"/>
        <w:ind w:firstLine="480" w:firstLineChars="200"/>
        <w:rPr>
          <w:rFonts w:ascii="宋体" w:hAnsi="宋体" w:eastAsia="宋体" w:cs="Arial"/>
          <w:sz w:val="24"/>
          <w:szCs w:val="24"/>
          <w:highlight w:val="none"/>
        </w:rPr>
      </w:pPr>
    </w:p>
    <w:p w14:paraId="529916CF">
      <w:pPr>
        <w:shd w:val="clear" w:color="auto" w:fill="FFFFFF"/>
        <w:spacing w:line="360" w:lineRule="auto"/>
        <w:ind w:firstLine="480" w:firstLineChars="200"/>
        <w:rPr>
          <w:rFonts w:ascii="宋体" w:hAnsi="宋体" w:eastAsia="宋体" w:cs="Arial"/>
          <w:sz w:val="24"/>
          <w:szCs w:val="24"/>
          <w:highlight w:val="none"/>
        </w:rPr>
      </w:pPr>
      <w:r>
        <w:rPr>
          <w:rFonts w:hint="eastAsia" w:ascii="宋体" w:hAnsi="宋体" w:eastAsia="宋体" w:cs="Arial"/>
          <w:sz w:val="24"/>
          <w:szCs w:val="24"/>
          <w:highlight w:val="none"/>
        </w:rPr>
        <w:t>日期：</w:t>
      </w:r>
      <w:r>
        <w:rPr>
          <w:rFonts w:ascii="宋体" w:hAnsi="宋体" w:eastAsia="宋体" w:cs="Arial"/>
          <w:sz w:val="24"/>
          <w:szCs w:val="24"/>
          <w:highlight w:val="none"/>
        </w:rPr>
        <w:t>      </w:t>
      </w:r>
    </w:p>
    <w:p w14:paraId="5BC88D6B">
      <w:pPr>
        <w:shd w:val="clear" w:color="auto" w:fill="FFFFFF"/>
        <w:spacing w:line="360" w:lineRule="auto"/>
        <w:ind w:firstLine="960"/>
        <w:rPr>
          <w:rFonts w:ascii="宋体" w:hAnsi="宋体" w:eastAsia="宋体" w:cs="Arial"/>
          <w:sz w:val="24"/>
          <w:szCs w:val="24"/>
          <w:highlight w:val="none"/>
        </w:rPr>
      </w:pPr>
    </w:p>
    <w:p w14:paraId="45578156">
      <w:pPr>
        <w:shd w:val="clear" w:color="auto" w:fill="FFFFFF"/>
        <w:spacing w:line="360" w:lineRule="auto"/>
        <w:ind w:firstLine="480" w:firstLineChars="200"/>
        <w:rPr>
          <w:rFonts w:ascii="宋体" w:hAnsi="宋体" w:eastAsia="宋体" w:cs="Arial"/>
          <w:sz w:val="24"/>
          <w:szCs w:val="24"/>
          <w:highlight w:val="none"/>
        </w:rPr>
      </w:pPr>
      <w:r>
        <w:rPr>
          <w:rFonts w:hint="eastAsia" w:ascii="宋体" w:hAnsi="宋体" w:eastAsia="宋体" w:cs="Arial"/>
          <w:sz w:val="24"/>
          <w:szCs w:val="24"/>
          <w:highlight w:val="none"/>
        </w:rPr>
        <w:t>法定代表人身份证复印件：               委托代理人身份证复印件</w:t>
      </w:r>
      <w:r>
        <w:rPr>
          <w:rFonts w:ascii="宋体" w:hAnsi="宋体" w:eastAsia="宋体" w:cs="Arial"/>
          <w:sz w:val="24"/>
          <w:szCs w:val="24"/>
          <w:highlight w:val="none"/>
        </w:rPr>
        <w:t>:</w:t>
      </w:r>
    </w:p>
    <w:p w14:paraId="020FFC59">
      <w:pPr>
        <w:rPr>
          <w:rFonts w:ascii="宋体" w:hAnsi="宋体" w:eastAsia="宋体" w:cs="Arial"/>
          <w:b/>
          <w:bCs/>
          <w:szCs w:val="21"/>
          <w:highlight w:val="none"/>
        </w:rPr>
      </w:pPr>
      <w:r>
        <w:rPr>
          <w:rFonts w:hint="eastAsia" w:ascii="宋体" w:hAnsi="宋体" w:eastAsia="宋体" w:cs="Arial"/>
          <w:b/>
          <w:bCs/>
          <w:szCs w:val="21"/>
          <w:highlight w:val="none"/>
        </w:rPr>
        <w:br w:type="page"/>
      </w:r>
    </w:p>
    <w:p w14:paraId="70BB3007">
      <w:pPr>
        <w:widowControl w:val="0"/>
        <w:spacing w:line="440" w:lineRule="exact"/>
        <w:jc w:val="both"/>
        <w:outlineLvl w:val="1"/>
        <w:rPr>
          <w:rFonts w:ascii="宋体" w:hAnsi="宋体" w:eastAsia="宋体" w:cs="Arial"/>
          <w:szCs w:val="21"/>
          <w:highlight w:val="none"/>
        </w:rPr>
      </w:pPr>
      <w:bookmarkStart w:id="107" w:name="_Toc28782"/>
      <w:bookmarkStart w:id="108" w:name="_Toc7398"/>
      <w:bookmarkStart w:id="109" w:name="_Toc30981"/>
      <w:bookmarkStart w:id="110" w:name="_Toc23866"/>
      <w:r>
        <w:rPr>
          <w:rFonts w:hint="eastAsia" w:ascii="宋体" w:hAnsi="宋体" w:eastAsia="宋体" w:cs="Arial"/>
          <w:b/>
          <w:bCs/>
          <w:szCs w:val="21"/>
          <w:highlight w:val="none"/>
          <w:lang w:val="en-US" w:eastAsia="zh-CN"/>
        </w:rPr>
        <w:t>二</w:t>
      </w:r>
      <w:r>
        <w:rPr>
          <w:rFonts w:hint="eastAsia" w:ascii="宋体" w:hAnsi="宋体" w:eastAsia="宋体" w:cs="Arial"/>
          <w:b/>
          <w:bCs/>
          <w:szCs w:val="21"/>
          <w:highlight w:val="none"/>
        </w:rPr>
        <w:t>、投标申请及声明</w:t>
      </w:r>
      <w:bookmarkEnd w:id="107"/>
      <w:bookmarkEnd w:id="108"/>
      <w:bookmarkEnd w:id="109"/>
      <w:bookmarkEnd w:id="110"/>
    </w:p>
    <w:p w14:paraId="16167D23">
      <w:pPr>
        <w:shd w:val="clear" w:color="auto" w:fill="FFFFFF"/>
        <w:spacing w:line="360" w:lineRule="auto"/>
        <w:jc w:val="center"/>
        <w:rPr>
          <w:rFonts w:ascii="宋体" w:hAnsi="宋体" w:eastAsia="宋体" w:cs="Arial"/>
          <w:b/>
          <w:sz w:val="32"/>
          <w:szCs w:val="32"/>
          <w:highlight w:val="none"/>
        </w:rPr>
      </w:pPr>
      <w:r>
        <w:rPr>
          <w:rFonts w:hint="eastAsia" w:ascii="宋体" w:hAnsi="宋体" w:eastAsia="宋体" w:cs="Arial"/>
          <w:b/>
          <w:sz w:val="32"/>
          <w:szCs w:val="32"/>
          <w:highlight w:val="none"/>
        </w:rPr>
        <w:t>投标申请及声明</w:t>
      </w:r>
    </w:p>
    <w:p w14:paraId="44BD55A3">
      <w:pPr>
        <w:shd w:val="clear" w:color="auto" w:fill="FFFFFF"/>
        <w:spacing w:line="360" w:lineRule="auto"/>
        <w:jc w:val="both"/>
        <w:rPr>
          <w:rFonts w:ascii="宋体" w:hAnsi="宋体" w:eastAsia="宋体" w:cs="Arial"/>
          <w:sz w:val="24"/>
          <w:szCs w:val="24"/>
          <w:highlight w:val="none"/>
        </w:rPr>
      </w:pPr>
      <w:r>
        <w:rPr>
          <w:rFonts w:hint="eastAsia" w:ascii="宋体" w:hAnsi="宋体" w:eastAsia="宋体" w:cs="Arial"/>
          <w:sz w:val="24"/>
          <w:szCs w:val="24"/>
          <w:highlight w:val="none"/>
        </w:rPr>
        <w:t>致：南京市公安局江宁分局</w:t>
      </w:r>
    </w:p>
    <w:p w14:paraId="5C1E08A4">
      <w:pPr>
        <w:shd w:val="clear" w:color="auto" w:fill="FFFFFF"/>
        <w:spacing w:line="360" w:lineRule="auto"/>
        <w:ind w:firstLine="480" w:firstLineChars="200"/>
        <w:jc w:val="both"/>
        <w:rPr>
          <w:rFonts w:ascii="宋体" w:hAnsi="宋体" w:eastAsia="宋体" w:cs="Arial"/>
          <w:sz w:val="24"/>
          <w:szCs w:val="24"/>
          <w:highlight w:val="none"/>
        </w:rPr>
      </w:pPr>
    </w:p>
    <w:p w14:paraId="6F2875FD">
      <w:pPr>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根据贵方</w:t>
      </w:r>
      <w:r>
        <w:rPr>
          <w:rFonts w:ascii="宋体" w:hAnsi="宋体" w:eastAsia="宋体" w:cs="Arial"/>
          <w:sz w:val="24"/>
          <w:szCs w:val="24"/>
          <w:highlight w:val="none"/>
          <w:u w:val="single"/>
        </w:rPr>
        <w:t>     </w:t>
      </w:r>
      <w:r>
        <w:rPr>
          <w:rFonts w:hint="eastAsia" w:ascii="宋体" w:hAnsi="宋体" w:eastAsia="宋体" w:cs="Arial"/>
          <w:sz w:val="24"/>
          <w:szCs w:val="24"/>
          <w:highlight w:val="none"/>
        </w:rPr>
        <w:t>（项目名称）</w:t>
      </w:r>
      <w:r>
        <w:rPr>
          <w:rFonts w:ascii="宋体" w:hAnsi="宋体" w:eastAsia="宋体" w:cs="Arial"/>
          <w:sz w:val="24"/>
          <w:szCs w:val="24"/>
          <w:highlight w:val="none"/>
          <w:u w:val="single"/>
        </w:rPr>
        <w:t>     </w:t>
      </w:r>
      <w:r>
        <w:rPr>
          <w:rFonts w:hint="eastAsia" w:ascii="宋体" w:hAnsi="宋体" w:eastAsia="宋体" w:cs="Arial"/>
          <w:sz w:val="24"/>
          <w:szCs w:val="24"/>
          <w:highlight w:val="none"/>
        </w:rPr>
        <w:t>（项目编号）</w:t>
      </w:r>
      <w:r>
        <w:rPr>
          <w:rFonts w:ascii="宋体" w:hAnsi="宋体" w:eastAsia="宋体" w:cs="Arial"/>
          <w:sz w:val="24"/>
          <w:szCs w:val="24"/>
          <w:highlight w:val="none"/>
          <w:u w:val="single"/>
        </w:rPr>
        <w:t>     </w:t>
      </w:r>
      <w:r>
        <w:rPr>
          <w:rFonts w:hint="eastAsia" w:ascii="宋体" w:hAnsi="宋体" w:eastAsia="宋体" w:cs="Arial"/>
          <w:sz w:val="24"/>
          <w:szCs w:val="24"/>
          <w:highlight w:val="none"/>
        </w:rPr>
        <w:t>的招标文件，正式授权下述签字人</w:t>
      </w:r>
      <w:r>
        <w:rPr>
          <w:rFonts w:ascii="宋体" w:hAnsi="宋体" w:eastAsia="宋体" w:cs="Arial"/>
          <w:sz w:val="24"/>
          <w:szCs w:val="24"/>
          <w:highlight w:val="none"/>
          <w:u w:val="single"/>
        </w:rPr>
        <w:t>     </w:t>
      </w:r>
      <w:r>
        <w:rPr>
          <w:rFonts w:ascii="宋体" w:hAnsi="宋体" w:eastAsia="宋体" w:cs="Arial"/>
          <w:sz w:val="24"/>
          <w:szCs w:val="24"/>
          <w:highlight w:val="none"/>
        </w:rPr>
        <w:t>(</w:t>
      </w:r>
      <w:r>
        <w:rPr>
          <w:rFonts w:hint="eastAsia" w:ascii="宋体" w:hAnsi="宋体" w:eastAsia="宋体" w:cs="Arial"/>
          <w:sz w:val="24"/>
          <w:szCs w:val="24"/>
          <w:highlight w:val="none"/>
        </w:rPr>
        <w:t>姓名和职务</w:t>
      </w:r>
      <w:r>
        <w:rPr>
          <w:rFonts w:ascii="宋体" w:hAnsi="宋体" w:eastAsia="宋体" w:cs="Arial"/>
          <w:sz w:val="24"/>
          <w:szCs w:val="24"/>
          <w:highlight w:val="none"/>
        </w:rPr>
        <w:t>)</w:t>
      </w:r>
      <w:r>
        <w:rPr>
          <w:rFonts w:hint="eastAsia" w:ascii="宋体" w:hAnsi="宋体" w:eastAsia="宋体" w:cs="Arial"/>
          <w:sz w:val="24"/>
          <w:szCs w:val="24"/>
          <w:highlight w:val="none"/>
        </w:rPr>
        <w:t>代表投标人</w:t>
      </w:r>
      <w:r>
        <w:rPr>
          <w:rFonts w:ascii="宋体" w:hAnsi="宋体" w:eastAsia="宋体" w:cs="Arial"/>
          <w:sz w:val="24"/>
          <w:szCs w:val="24"/>
          <w:highlight w:val="none"/>
          <w:u w:val="single"/>
        </w:rPr>
        <w:t>     </w:t>
      </w:r>
      <w:r>
        <w:rPr>
          <w:rFonts w:hint="eastAsia" w:ascii="宋体" w:hAnsi="宋体" w:eastAsia="宋体" w:cs="Arial"/>
          <w:sz w:val="24"/>
          <w:szCs w:val="24"/>
          <w:highlight w:val="none"/>
        </w:rPr>
        <w:t>（投标人名称），提交投标文件。</w:t>
      </w:r>
    </w:p>
    <w:p w14:paraId="3AE841F8">
      <w:pPr>
        <w:shd w:val="clear" w:color="auto" w:fill="FFFFFF"/>
        <w:spacing w:line="360" w:lineRule="auto"/>
        <w:ind w:firstLine="420"/>
        <w:jc w:val="both"/>
        <w:rPr>
          <w:rFonts w:ascii="宋体" w:hAnsi="宋体" w:eastAsia="宋体" w:cs="Arial"/>
          <w:sz w:val="24"/>
          <w:szCs w:val="24"/>
          <w:highlight w:val="none"/>
        </w:rPr>
      </w:pPr>
      <w:r>
        <w:rPr>
          <w:rFonts w:hint="eastAsia" w:ascii="宋体" w:hAnsi="宋体" w:eastAsia="宋体" w:cs="Arial"/>
          <w:sz w:val="24"/>
          <w:szCs w:val="24"/>
          <w:highlight w:val="none"/>
        </w:rPr>
        <w:t>据此函，签字人兹宣布声明和承诺如下：</w:t>
      </w:r>
    </w:p>
    <w:p w14:paraId="28FFB13E">
      <w:pPr>
        <w:widowControl w:val="0"/>
        <w:shd w:val="clear" w:color="auto" w:fill="FFFFFF"/>
        <w:spacing w:line="360" w:lineRule="auto"/>
        <w:ind w:firstLine="420"/>
        <w:jc w:val="both"/>
        <w:rPr>
          <w:rFonts w:ascii="宋体" w:hAnsi="宋体" w:eastAsia="宋体" w:cs="Arial"/>
          <w:sz w:val="24"/>
          <w:szCs w:val="24"/>
          <w:highlight w:val="none"/>
        </w:rPr>
      </w:pPr>
      <w:r>
        <w:rPr>
          <w:rFonts w:hint="eastAsia" w:ascii="宋体" w:hAnsi="宋体" w:eastAsia="宋体" w:cs="Arial"/>
          <w:sz w:val="24"/>
          <w:szCs w:val="24"/>
          <w:highlight w:val="none"/>
        </w:rPr>
        <w:t>1、</w:t>
      </w:r>
      <w:r>
        <w:rPr>
          <w:rFonts w:hint="eastAsia" w:ascii="宋体" w:hAnsi="宋体" w:eastAsia="宋体" w:cs="Arial"/>
          <w:b/>
          <w:bCs/>
          <w:sz w:val="24"/>
          <w:szCs w:val="24"/>
          <w:highlight w:val="none"/>
        </w:rPr>
        <w:t>我们的资格条件完全符合政府采购法和本次招标要求</w:t>
      </w:r>
      <w:r>
        <w:rPr>
          <w:rFonts w:hint="eastAsia" w:ascii="宋体" w:hAnsi="宋体" w:eastAsia="宋体" w:cs="Arial"/>
          <w:sz w:val="24"/>
          <w:szCs w:val="24"/>
          <w:highlight w:val="none"/>
        </w:rPr>
        <w:t>，我们同意并向贵方提供了与投标有关的所有证据和资料。</w:t>
      </w:r>
    </w:p>
    <w:p w14:paraId="1C224750">
      <w:pPr>
        <w:widowControl w:val="0"/>
        <w:shd w:val="clear" w:color="auto" w:fill="FFFFFF"/>
        <w:spacing w:line="360" w:lineRule="auto"/>
        <w:ind w:firstLine="420"/>
        <w:jc w:val="both"/>
        <w:rPr>
          <w:rFonts w:ascii="宋体" w:hAnsi="宋体" w:eastAsia="宋体" w:cs="Arial"/>
          <w:sz w:val="24"/>
          <w:szCs w:val="24"/>
          <w:highlight w:val="none"/>
        </w:rPr>
      </w:pPr>
      <w:r>
        <w:rPr>
          <w:rFonts w:hint="eastAsia" w:ascii="宋体" w:hAnsi="宋体" w:eastAsia="宋体" w:cs="Arial"/>
          <w:sz w:val="24"/>
          <w:szCs w:val="24"/>
          <w:highlight w:val="none"/>
        </w:rPr>
        <w:t>2、按招标要求，我方愿以投标报价（详见开标一览表）的规定要求提供本项目所需服务。</w:t>
      </w:r>
    </w:p>
    <w:p w14:paraId="47261EE2">
      <w:pPr>
        <w:widowControl w:val="0"/>
        <w:shd w:val="clear" w:color="auto" w:fill="FFFFFF"/>
        <w:spacing w:line="360" w:lineRule="auto"/>
        <w:ind w:firstLine="420"/>
        <w:jc w:val="both"/>
        <w:rPr>
          <w:rFonts w:ascii="宋体" w:hAnsi="宋体" w:eastAsia="宋体" w:cs="Arial"/>
          <w:sz w:val="24"/>
          <w:szCs w:val="24"/>
          <w:highlight w:val="none"/>
        </w:rPr>
      </w:pPr>
      <w:r>
        <w:rPr>
          <w:rFonts w:hint="eastAsia" w:ascii="宋体" w:hAnsi="宋体" w:eastAsia="宋体" w:cs="Arial"/>
          <w:sz w:val="24"/>
          <w:szCs w:val="24"/>
          <w:highlight w:val="none"/>
        </w:rPr>
        <w:t>3、我们已详细阅读全部招标文件及其有效补充文件，我们放弃对招标文件任何误解的权利，提交投标文件后，</w:t>
      </w:r>
      <w:r>
        <w:rPr>
          <w:rFonts w:hint="eastAsia" w:ascii="宋体" w:hAnsi="宋体" w:eastAsia="宋体" w:cs="Arial"/>
          <w:b/>
          <w:bCs/>
          <w:sz w:val="24"/>
          <w:szCs w:val="24"/>
          <w:highlight w:val="none"/>
        </w:rPr>
        <w:t>不对招标文件本身提出质疑</w:t>
      </w:r>
      <w:r>
        <w:rPr>
          <w:rFonts w:hint="eastAsia" w:ascii="宋体" w:hAnsi="宋体" w:eastAsia="宋体" w:cs="Arial"/>
          <w:sz w:val="24"/>
          <w:szCs w:val="24"/>
          <w:highlight w:val="none"/>
        </w:rPr>
        <w:t>。</w:t>
      </w:r>
    </w:p>
    <w:p w14:paraId="28737C8C">
      <w:pPr>
        <w:widowControl w:val="0"/>
        <w:shd w:val="clear" w:color="auto" w:fill="FFFFFF"/>
        <w:spacing w:line="360" w:lineRule="auto"/>
        <w:ind w:firstLine="420"/>
        <w:jc w:val="both"/>
        <w:rPr>
          <w:rFonts w:ascii="宋体" w:hAnsi="宋体" w:eastAsia="宋体" w:cs="Arial"/>
          <w:sz w:val="24"/>
          <w:szCs w:val="24"/>
          <w:highlight w:val="none"/>
        </w:rPr>
      </w:pPr>
      <w:r>
        <w:rPr>
          <w:rFonts w:hint="eastAsia" w:ascii="宋体" w:hAnsi="宋体" w:eastAsia="宋体" w:cs="Arial"/>
          <w:sz w:val="24"/>
          <w:szCs w:val="24"/>
          <w:highlight w:val="none"/>
        </w:rPr>
        <w:t>4、我们同意从规定的开标日期起遵循本投标文件，并在规定的投标有效期期满之前均具有约束力。</w:t>
      </w:r>
    </w:p>
    <w:p w14:paraId="043F7716">
      <w:pPr>
        <w:widowControl w:val="0"/>
        <w:shd w:val="clear" w:color="auto" w:fill="FFFFFF"/>
        <w:spacing w:line="360" w:lineRule="auto"/>
        <w:ind w:firstLine="420"/>
        <w:jc w:val="both"/>
        <w:rPr>
          <w:rFonts w:ascii="宋体" w:hAnsi="宋体" w:eastAsia="宋体" w:cs="Arial"/>
          <w:sz w:val="24"/>
          <w:szCs w:val="24"/>
          <w:highlight w:val="none"/>
        </w:rPr>
      </w:pPr>
      <w:r>
        <w:rPr>
          <w:rFonts w:hint="eastAsia" w:ascii="宋体" w:hAnsi="宋体" w:eastAsia="宋体" w:cs="Arial"/>
          <w:sz w:val="24"/>
          <w:szCs w:val="24"/>
          <w:highlight w:val="none"/>
        </w:rPr>
        <w:t>5、投标截止时间结束后参加投标的投标人不足三家的，或在评标期间出现符合专业条件的供应商或者对招标文件作出实质响应的投标人不足三家情形的，我们酌情决定是否参加贵方组织的其他采购方式采购。</w:t>
      </w:r>
    </w:p>
    <w:p w14:paraId="2DFEA3BA">
      <w:pPr>
        <w:widowControl w:val="0"/>
        <w:shd w:val="clear" w:color="auto" w:fill="FFFFFF"/>
        <w:spacing w:line="360" w:lineRule="auto"/>
        <w:ind w:firstLine="420"/>
        <w:jc w:val="both"/>
        <w:rPr>
          <w:rFonts w:ascii="宋体" w:hAnsi="宋体" w:eastAsia="宋体" w:cs="Arial"/>
          <w:sz w:val="24"/>
          <w:szCs w:val="24"/>
          <w:highlight w:val="none"/>
        </w:rPr>
      </w:pPr>
      <w:r>
        <w:rPr>
          <w:rFonts w:hint="eastAsia" w:ascii="宋体" w:hAnsi="宋体" w:eastAsia="宋体" w:cs="Arial"/>
          <w:sz w:val="24"/>
          <w:szCs w:val="24"/>
          <w:highlight w:val="none"/>
        </w:rPr>
        <w:t>6、一旦我方中标，我方将根据招标文件的规定严格履行合同，保证于采购文件规定的时间内完成本项目规定的服务内容。服务质量满足采购文件要求。</w:t>
      </w:r>
    </w:p>
    <w:p w14:paraId="3F6DB36C">
      <w:pPr>
        <w:widowControl w:val="0"/>
        <w:shd w:val="clear" w:color="auto" w:fill="FFFFFF"/>
        <w:spacing w:line="360" w:lineRule="auto"/>
        <w:ind w:firstLine="420"/>
        <w:jc w:val="both"/>
        <w:rPr>
          <w:rFonts w:ascii="宋体" w:hAnsi="宋体" w:eastAsia="宋体" w:cs="Arial"/>
          <w:sz w:val="24"/>
          <w:szCs w:val="24"/>
          <w:highlight w:val="none"/>
        </w:rPr>
      </w:pPr>
      <w:r>
        <w:rPr>
          <w:rFonts w:hint="eastAsia" w:ascii="宋体" w:hAnsi="宋体" w:eastAsia="宋体" w:cs="Arial"/>
          <w:sz w:val="24"/>
          <w:szCs w:val="24"/>
          <w:highlight w:val="none"/>
        </w:rPr>
        <w:t>7、我方参加本次采购活动前三年内，在经营活动中没有重大违法记录。</w:t>
      </w:r>
    </w:p>
    <w:p w14:paraId="561E63C7">
      <w:pPr>
        <w:widowControl w:val="0"/>
        <w:shd w:val="clear" w:color="auto" w:fill="FFFFFF"/>
        <w:spacing w:line="360" w:lineRule="auto"/>
        <w:ind w:firstLine="420"/>
        <w:jc w:val="both"/>
        <w:rPr>
          <w:rFonts w:ascii="宋体" w:hAnsi="宋体" w:eastAsia="宋体" w:cs="Arial"/>
          <w:sz w:val="24"/>
          <w:szCs w:val="24"/>
          <w:highlight w:val="none"/>
        </w:rPr>
      </w:pPr>
      <w:r>
        <w:rPr>
          <w:rFonts w:hint="eastAsia" w:ascii="宋体" w:hAnsi="宋体" w:eastAsia="宋体" w:cs="Arial"/>
          <w:sz w:val="24"/>
          <w:szCs w:val="24"/>
          <w:highlight w:val="none"/>
        </w:rPr>
        <w:t>8、我方参加本次采购活动前，没有被信用中国网站、中国政府采购网站列入失信被执行人名单、重大税收违法案件当事人名单、政府采购严重违法失信行为记录名单。</w:t>
      </w:r>
    </w:p>
    <w:p w14:paraId="76B0A79B">
      <w:pPr>
        <w:widowControl w:val="0"/>
        <w:shd w:val="clear" w:color="auto" w:fill="FFFFFF"/>
        <w:spacing w:line="360" w:lineRule="auto"/>
        <w:ind w:firstLine="420"/>
        <w:jc w:val="both"/>
        <w:rPr>
          <w:rFonts w:ascii="宋体" w:hAnsi="宋体" w:eastAsia="宋体" w:cs="Arial"/>
          <w:sz w:val="24"/>
          <w:szCs w:val="24"/>
          <w:highlight w:val="none"/>
        </w:rPr>
      </w:pPr>
      <w:r>
        <w:rPr>
          <w:rFonts w:hint="eastAsia" w:ascii="宋体" w:hAnsi="宋体" w:eastAsia="宋体" w:cs="Arial"/>
          <w:sz w:val="24"/>
          <w:szCs w:val="24"/>
          <w:highlight w:val="none"/>
        </w:rPr>
        <w:t>9、我方在全国范围内未受过财政部门禁止参加政府采购活动的处罚，或禁止参加政府采购活动的处罚期限已满。</w:t>
      </w:r>
    </w:p>
    <w:p w14:paraId="5BBBFD24">
      <w:pPr>
        <w:widowControl w:val="0"/>
        <w:shd w:val="clear" w:color="auto" w:fill="FFFFFF"/>
        <w:spacing w:line="360" w:lineRule="auto"/>
        <w:ind w:firstLine="420"/>
        <w:jc w:val="both"/>
        <w:rPr>
          <w:rFonts w:ascii="宋体" w:hAnsi="宋体" w:eastAsia="宋体" w:cs="Arial"/>
          <w:sz w:val="24"/>
          <w:szCs w:val="24"/>
          <w:highlight w:val="none"/>
        </w:rPr>
      </w:pPr>
      <w:r>
        <w:rPr>
          <w:rFonts w:hint="eastAsia" w:ascii="宋体" w:hAnsi="宋体" w:eastAsia="宋体" w:cs="Arial"/>
          <w:sz w:val="24"/>
          <w:szCs w:val="24"/>
          <w:highlight w:val="none"/>
        </w:rPr>
        <w:t>10、我方没有为本采购项目提供整体设计、规范编制，以及项目管理、监理、检测等服务。</w:t>
      </w:r>
    </w:p>
    <w:p w14:paraId="555AAF77">
      <w:pPr>
        <w:widowControl w:val="0"/>
        <w:shd w:val="clear" w:color="auto" w:fill="FFFFFF"/>
        <w:spacing w:line="360" w:lineRule="auto"/>
        <w:ind w:firstLine="420"/>
        <w:jc w:val="both"/>
        <w:rPr>
          <w:rFonts w:ascii="宋体" w:hAnsi="宋体" w:eastAsia="宋体" w:cs="Arial"/>
          <w:sz w:val="24"/>
          <w:szCs w:val="24"/>
          <w:highlight w:val="none"/>
        </w:rPr>
      </w:pPr>
      <w:r>
        <w:rPr>
          <w:rFonts w:hint="eastAsia" w:ascii="宋体" w:hAnsi="宋体" w:eastAsia="宋体" w:cs="Arial"/>
          <w:sz w:val="24"/>
          <w:szCs w:val="24"/>
          <w:highlight w:val="none"/>
        </w:rPr>
        <w:t>11、我方与参与本次采购活动的其他供应商的授权代理人(或法定代表人、项目经理、项目总监、项目负责人等)，在采购文件发布日上月至提交响应文件截止日当月未在同一单位缴纳社会保险。</w:t>
      </w:r>
    </w:p>
    <w:p w14:paraId="2C962B28">
      <w:pPr>
        <w:widowControl w:val="0"/>
        <w:shd w:val="clear" w:color="auto" w:fill="FFFFFF"/>
        <w:spacing w:line="360" w:lineRule="auto"/>
        <w:ind w:firstLine="420"/>
        <w:jc w:val="both"/>
        <w:rPr>
          <w:rFonts w:ascii="宋体" w:hAnsi="宋体" w:eastAsia="宋体" w:cs="Arial"/>
          <w:sz w:val="24"/>
          <w:szCs w:val="24"/>
          <w:highlight w:val="none"/>
        </w:rPr>
      </w:pPr>
      <w:r>
        <w:rPr>
          <w:rFonts w:hint="eastAsia" w:ascii="宋体" w:hAnsi="宋体" w:eastAsia="宋体" w:cs="Arial"/>
          <w:sz w:val="24"/>
          <w:szCs w:val="24"/>
          <w:highlight w:val="none"/>
        </w:rPr>
        <w:t>12、我方与参与本次采购活动的其他供应商的法定代表人或委托代理人无夫妻、直系血亲关系。</w:t>
      </w:r>
    </w:p>
    <w:p w14:paraId="739B6967">
      <w:pPr>
        <w:widowControl w:val="0"/>
        <w:shd w:val="clear" w:color="auto" w:fill="FFFFFF"/>
        <w:spacing w:line="360" w:lineRule="auto"/>
        <w:ind w:firstLine="420"/>
        <w:jc w:val="both"/>
        <w:rPr>
          <w:rFonts w:ascii="宋体" w:hAnsi="宋体" w:eastAsia="宋体" w:cs="Arial"/>
          <w:sz w:val="24"/>
          <w:szCs w:val="24"/>
          <w:highlight w:val="none"/>
        </w:rPr>
      </w:pPr>
      <w:r>
        <w:rPr>
          <w:rFonts w:hint="eastAsia" w:ascii="宋体" w:hAnsi="宋体" w:eastAsia="宋体" w:cs="Arial"/>
          <w:sz w:val="24"/>
          <w:szCs w:val="24"/>
          <w:highlight w:val="none"/>
        </w:rPr>
        <w:t>13、我方与参与本次采购活动的其他供应商的负责人不是同一人，也不存在直接控股、管理关系。</w:t>
      </w:r>
    </w:p>
    <w:p w14:paraId="261121EB">
      <w:pPr>
        <w:widowControl w:val="0"/>
        <w:shd w:val="clear" w:color="auto" w:fill="FFFFFF"/>
        <w:spacing w:line="360" w:lineRule="auto"/>
        <w:ind w:firstLine="420"/>
        <w:jc w:val="both"/>
        <w:rPr>
          <w:rFonts w:ascii="宋体" w:hAnsi="宋体" w:eastAsia="宋体" w:cs="Arial"/>
          <w:sz w:val="24"/>
          <w:szCs w:val="24"/>
          <w:highlight w:val="none"/>
        </w:rPr>
      </w:pPr>
      <w:r>
        <w:rPr>
          <w:rFonts w:hint="eastAsia" w:ascii="宋体" w:hAnsi="宋体" w:eastAsia="宋体" w:cs="Arial"/>
          <w:sz w:val="24"/>
          <w:szCs w:val="24"/>
          <w:highlight w:val="none"/>
        </w:rPr>
        <w:t>14、我方已详细审阅全部采购文件及其有效补充文件，放弃对采购文件任何误解的权利，提交响应文件后，不对采购文件本身提出质疑。否则，属于不诚信和故意扰乱政府采购活动行为，我们将无条件接受处罚。</w:t>
      </w:r>
    </w:p>
    <w:p w14:paraId="7D78FB4F">
      <w:pPr>
        <w:widowControl w:val="0"/>
        <w:shd w:val="clear" w:color="auto" w:fill="FFFFFF"/>
        <w:wordWrap w:val="0"/>
        <w:topLinePunct/>
        <w:spacing w:line="360" w:lineRule="auto"/>
        <w:ind w:firstLine="420"/>
        <w:jc w:val="both"/>
        <w:rPr>
          <w:rFonts w:ascii="宋体" w:hAnsi="宋体" w:eastAsia="宋体" w:cs="Arial"/>
          <w:sz w:val="24"/>
          <w:szCs w:val="24"/>
          <w:highlight w:val="none"/>
        </w:rPr>
      </w:pPr>
      <w:r>
        <w:rPr>
          <w:rFonts w:hint="eastAsia" w:ascii="宋体" w:hAnsi="宋体" w:eastAsia="宋体" w:cs="Arial"/>
          <w:sz w:val="24"/>
          <w:szCs w:val="24"/>
          <w:highlight w:val="none"/>
        </w:rPr>
        <w:t>15、我方决不提供虚假材料谋取成交、决不采取不正当手段诋毁、排挤其他供应商、决不与采购人、其它供应商或者代理机构恶意串通、决不向采购人、代理机构工作人员和评标委员会进行商业贿赂、决不拒绝有关部门监督检查或提供虚假情况，如有违反，无条件接受贵方及相关管理部门的处罚。</w:t>
      </w:r>
    </w:p>
    <w:p w14:paraId="3EBD1443">
      <w:pPr>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地址：</w:t>
      </w:r>
    </w:p>
    <w:p w14:paraId="30722804">
      <w:pPr>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电话：</w:t>
      </w:r>
    </w:p>
    <w:p w14:paraId="72130C79">
      <w:pPr>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传真：</w:t>
      </w:r>
    </w:p>
    <w:p w14:paraId="0535EC7C">
      <w:pPr>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开户银行：</w:t>
      </w:r>
    </w:p>
    <w:p w14:paraId="0A834C12">
      <w:pPr>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银行账号：</w:t>
      </w:r>
    </w:p>
    <w:p w14:paraId="71258A92">
      <w:pPr>
        <w:shd w:val="clear" w:color="auto" w:fill="FFFFFF"/>
        <w:spacing w:line="360" w:lineRule="auto"/>
        <w:ind w:firstLine="480" w:firstLineChars="200"/>
        <w:jc w:val="both"/>
        <w:rPr>
          <w:rFonts w:ascii="宋体" w:hAnsi="宋体" w:eastAsia="宋体" w:cs="Arial"/>
          <w:sz w:val="24"/>
          <w:szCs w:val="24"/>
          <w:highlight w:val="none"/>
          <w:u w:val="single"/>
        </w:rPr>
      </w:pPr>
      <w:r>
        <w:rPr>
          <w:rFonts w:hint="eastAsia" w:ascii="宋体" w:hAnsi="宋体" w:eastAsia="宋体" w:cs="Arial"/>
          <w:sz w:val="24"/>
          <w:szCs w:val="24"/>
          <w:highlight w:val="none"/>
        </w:rPr>
        <w:t>法定代表人或授权代表（签字或盖章）：</w:t>
      </w:r>
    </w:p>
    <w:p w14:paraId="6D6A9AED">
      <w:pPr>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投标人全称（CA公章）：</w:t>
      </w:r>
    </w:p>
    <w:p w14:paraId="2C828219">
      <w:pPr>
        <w:shd w:val="clear" w:color="auto" w:fill="FFFFFF"/>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日期：</w:t>
      </w:r>
    </w:p>
    <w:p w14:paraId="40AC7F09">
      <w:pPr>
        <w:shd w:val="clear" w:color="auto" w:fill="FFFFFF"/>
        <w:spacing w:line="360" w:lineRule="auto"/>
        <w:ind w:firstLine="420"/>
        <w:rPr>
          <w:rFonts w:ascii="宋体" w:hAnsi="宋体" w:eastAsia="宋体" w:cs="Arial"/>
          <w:szCs w:val="21"/>
          <w:highlight w:val="none"/>
        </w:rPr>
      </w:pPr>
      <w:r>
        <w:rPr>
          <w:rFonts w:ascii="宋体" w:hAnsi="宋体" w:eastAsia="宋体" w:cs="Arial"/>
          <w:b/>
          <w:bCs/>
          <w:szCs w:val="21"/>
          <w:highlight w:val="none"/>
        </w:rPr>
        <w:br w:type="page" w:clear="all"/>
      </w:r>
    </w:p>
    <w:p w14:paraId="78424E84">
      <w:pPr>
        <w:widowControl w:val="0"/>
        <w:spacing w:line="360" w:lineRule="auto"/>
        <w:jc w:val="both"/>
        <w:outlineLvl w:val="1"/>
        <w:rPr>
          <w:rFonts w:ascii="宋体" w:hAnsi="宋体" w:eastAsia="宋体" w:cs="Arial"/>
          <w:szCs w:val="24"/>
          <w:highlight w:val="none"/>
          <w:lang w:val="zh-CN"/>
        </w:rPr>
      </w:pPr>
      <w:bookmarkStart w:id="111" w:name="_Toc21290"/>
      <w:bookmarkStart w:id="112" w:name="_Toc30342"/>
      <w:bookmarkStart w:id="113" w:name="_Toc26810"/>
      <w:bookmarkStart w:id="114" w:name="_Toc13396"/>
      <w:bookmarkStart w:id="115" w:name="_Toc16333"/>
      <w:r>
        <w:rPr>
          <w:rFonts w:hint="eastAsia" w:ascii="宋体" w:hAnsi="宋体" w:eastAsia="宋体" w:cs="Arial"/>
          <w:b/>
          <w:bCs/>
          <w:szCs w:val="21"/>
          <w:highlight w:val="none"/>
          <w:lang w:val="en-US" w:eastAsia="zh-CN"/>
        </w:rPr>
        <w:t>三</w:t>
      </w:r>
      <w:r>
        <w:rPr>
          <w:rFonts w:hint="eastAsia" w:ascii="宋体" w:hAnsi="宋体" w:eastAsia="宋体" w:cs="Arial"/>
          <w:b/>
          <w:bCs/>
          <w:szCs w:val="21"/>
          <w:highlight w:val="none"/>
          <w:lang w:val="zh-CN"/>
        </w:rPr>
        <w:t>、</w:t>
      </w:r>
      <w:r>
        <w:rPr>
          <w:rFonts w:hint="eastAsia" w:ascii="宋体" w:hAnsi="宋体" w:eastAsia="宋体" w:cs="Arial"/>
          <w:b/>
          <w:bCs/>
          <w:szCs w:val="21"/>
          <w:highlight w:val="none"/>
        </w:rPr>
        <w:t>开标一览</w:t>
      </w:r>
      <w:r>
        <w:rPr>
          <w:rFonts w:hint="eastAsia" w:ascii="宋体" w:hAnsi="宋体" w:eastAsia="宋体" w:cs="Arial"/>
          <w:b/>
          <w:bCs/>
          <w:szCs w:val="21"/>
          <w:highlight w:val="none"/>
          <w:lang w:val="zh-CN"/>
        </w:rPr>
        <w:t>表</w:t>
      </w:r>
      <w:bookmarkEnd w:id="111"/>
      <w:bookmarkEnd w:id="112"/>
      <w:bookmarkEnd w:id="113"/>
      <w:bookmarkEnd w:id="114"/>
      <w:bookmarkEnd w:id="115"/>
    </w:p>
    <w:p w14:paraId="7DE15CC6">
      <w:pPr>
        <w:widowControl w:val="0"/>
        <w:jc w:val="center"/>
        <w:rPr>
          <w:rFonts w:ascii="宋体" w:hAnsi="宋体" w:eastAsia="宋体" w:cs="Arial"/>
          <w:b/>
          <w:sz w:val="32"/>
          <w:szCs w:val="32"/>
          <w:highlight w:val="none"/>
        </w:rPr>
      </w:pPr>
      <w:r>
        <w:rPr>
          <w:rFonts w:hint="eastAsia" w:ascii="宋体" w:hAnsi="宋体" w:eastAsia="宋体" w:cs="Arial"/>
          <w:b/>
          <w:sz w:val="32"/>
          <w:szCs w:val="32"/>
          <w:highlight w:val="none"/>
        </w:rPr>
        <w:t>开标一览表（以苏采云系统格式为准）</w:t>
      </w:r>
    </w:p>
    <w:p w14:paraId="049021D4">
      <w:pPr>
        <w:widowControl w:val="0"/>
        <w:spacing w:line="440" w:lineRule="exact"/>
        <w:ind w:firstLine="542"/>
        <w:jc w:val="both"/>
        <w:rPr>
          <w:rFonts w:ascii="宋体" w:hAnsi="宋体" w:eastAsia="宋体" w:cs="Arial"/>
          <w:b/>
          <w:sz w:val="24"/>
          <w:szCs w:val="24"/>
          <w:highlight w:val="none"/>
        </w:rPr>
      </w:pPr>
    </w:p>
    <w:p w14:paraId="6A659113">
      <w:pPr>
        <w:widowControl w:val="0"/>
        <w:spacing w:line="360" w:lineRule="auto"/>
        <w:rPr>
          <w:rFonts w:ascii="宋体" w:hAnsi="宋体" w:eastAsia="宋体" w:cs="Arial"/>
          <w:bCs/>
          <w:sz w:val="24"/>
          <w:szCs w:val="24"/>
          <w:highlight w:val="none"/>
        </w:rPr>
      </w:pPr>
      <w:r>
        <w:rPr>
          <w:rFonts w:hint="eastAsia" w:ascii="宋体" w:hAnsi="宋体" w:eastAsia="宋体" w:cs="Arial"/>
          <w:bCs/>
          <w:sz w:val="24"/>
          <w:szCs w:val="24"/>
          <w:highlight w:val="none"/>
        </w:rPr>
        <w:t xml:space="preserve">投标人全称（CA公章）：               </w:t>
      </w:r>
    </w:p>
    <w:p w14:paraId="409D291D">
      <w:pPr>
        <w:widowControl w:val="0"/>
        <w:spacing w:line="360" w:lineRule="auto"/>
        <w:rPr>
          <w:rFonts w:ascii="宋体" w:hAnsi="宋体" w:eastAsia="宋体" w:cs="Arial"/>
          <w:bCs/>
          <w:sz w:val="24"/>
          <w:szCs w:val="24"/>
          <w:highlight w:val="none"/>
        </w:rPr>
      </w:pPr>
      <w:r>
        <w:rPr>
          <w:rFonts w:hint="eastAsia" w:ascii="宋体" w:hAnsi="宋体" w:eastAsia="宋体" w:cs="Arial"/>
          <w:bCs/>
          <w:sz w:val="24"/>
          <w:szCs w:val="24"/>
          <w:highlight w:val="none"/>
        </w:rPr>
        <w:t xml:space="preserve">项目名称：               </w:t>
      </w:r>
    </w:p>
    <w:p w14:paraId="118148F1">
      <w:pPr>
        <w:widowControl w:val="0"/>
        <w:wordWrap w:val="0"/>
        <w:topLinePunct/>
        <w:spacing w:line="360" w:lineRule="auto"/>
        <w:rPr>
          <w:rFonts w:ascii="宋体" w:hAnsi="宋体" w:eastAsia="宋体" w:cs="Arial"/>
          <w:bCs/>
          <w:sz w:val="24"/>
          <w:szCs w:val="24"/>
          <w:highlight w:val="none"/>
        </w:rPr>
      </w:pPr>
      <w:r>
        <w:rPr>
          <w:rFonts w:hint="eastAsia" w:ascii="宋体" w:hAnsi="宋体" w:eastAsia="宋体" w:cs="Arial"/>
          <w:bCs/>
          <w:sz w:val="24"/>
          <w:szCs w:val="24"/>
          <w:highlight w:val="none"/>
        </w:rPr>
        <w:t>项目编号：</w:t>
      </w:r>
    </w:p>
    <w:tbl>
      <w:tblPr>
        <w:tblStyle w:val="37"/>
        <w:tblpPr w:leftFromText="180" w:rightFromText="180" w:vertAnchor="text" w:horzAnchor="page" w:tblpXSpec="center" w:tblpY="1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096"/>
        <w:gridCol w:w="5754"/>
      </w:tblGrid>
      <w:tr w14:paraId="069AA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9" w:hRule="exact"/>
          <w:jc w:val="center"/>
        </w:trPr>
        <w:tc>
          <w:tcPr>
            <w:tcW w:w="2079" w:type="pct"/>
            <w:vAlign w:val="center"/>
          </w:tcPr>
          <w:p w14:paraId="01D01D9D">
            <w:pPr>
              <w:widowControl w:val="0"/>
              <w:spacing w:line="360" w:lineRule="auto"/>
              <w:jc w:val="center"/>
              <w:rPr>
                <w:rFonts w:ascii="宋体" w:hAnsi="宋体" w:eastAsia="宋体" w:cs="Symbol"/>
                <w:b/>
                <w:bCs/>
                <w:sz w:val="24"/>
                <w:szCs w:val="24"/>
                <w:highlight w:val="none"/>
              </w:rPr>
            </w:pPr>
            <w:r>
              <w:rPr>
                <w:rFonts w:ascii="宋体" w:hAnsi="宋体" w:eastAsia="宋体" w:cs="Symbol"/>
                <w:b/>
                <w:bCs/>
                <w:sz w:val="24"/>
                <w:szCs w:val="24"/>
                <w:highlight w:val="none"/>
              </w:rPr>
              <w:t>项目名称</w:t>
            </w:r>
          </w:p>
        </w:tc>
        <w:tc>
          <w:tcPr>
            <w:tcW w:w="2920" w:type="pct"/>
            <w:vAlign w:val="center"/>
          </w:tcPr>
          <w:p w14:paraId="14AA7331">
            <w:pPr>
              <w:spacing w:line="360" w:lineRule="auto"/>
              <w:jc w:val="center"/>
              <w:rPr>
                <w:rFonts w:hint="eastAsia" w:ascii="宋体" w:hAnsi="宋体" w:eastAsia="宋体" w:cs="Symbol"/>
                <w:b/>
                <w:bCs/>
                <w:sz w:val="24"/>
                <w:szCs w:val="24"/>
                <w:highlight w:val="none"/>
                <w:lang w:eastAsia="zh-CN"/>
              </w:rPr>
            </w:pPr>
            <w:r>
              <w:rPr>
                <w:rFonts w:ascii="宋体" w:hAnsi="宋体" w:eastAsia="宋体" w:cs="Symbol"/>
                <w:b/>
                <w:bCs/>
                <w:sz w:val="24"/>
                <w:szCs w:val="24"/>
                <w:highlight w:val="none"/>
              </w:rPr>
              <w:t></w:t>
            </w:r>
            <w:r>
              <w:rPr>
                <w:rFonts w:hint="eastAsia" w:eastAsia="宋体"/>
                <w:b/>
                <w:bCs/>
                <w:sz w:val="24"/>
                <w:szCs w:val="28"/>
                <w:highlight w:val="none"/>
                <w:lang w:eastAsia="zh-CN"/>
              </w:rPr>
              <w:t>南京市公安局江宁分局采购交警大队食堂和秦淮路机动中队食堂外包服务</w:t>
            </w:r>
          </w:p>
        </w:tc>
      </w:tr>
      <w:tr w14:paraId="2D367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4" w:hRule="atLeast"/>
          <w:jc w:val="center"/>
        </w:trPr>
        <w:tc>
          <w:tcPr>
            <w:tcW w:w="2079" w:type="pct"/>
            <w:vAlign w:val="center"/>
          </w:tcPr>
          <w:p w14:paraId="0FE08CBD">
            <w:pPr>
              <w:widowControl w:val="0"/>
              <w:spacing w:line="360" w:lineRule="auto"/>
              <w:jc w:val="center"/>
              <w:rPr>
                <w:rFonts w:ascii="宋体" w:hAnsi="宋体" w:eastAsia="宋体" w:cs="Symbol"/>
                <w:sz w:val="24"/>
                <w:szCs w:val="24"/>
                <w:highlight w:val="none"/>
              </w:rPr>
            </w:pPr>
            <w:r>
              <w:rPr>
                <w:rFonts w:hint="eastAsia" w:ascii="宋体" w:hAnsi="宋体" w:eastAsia="宋体" w:cs="Symbol"/>
                <w:sz w:val="24"/>
                <w:szCs w:val="24"/>
                <w:highlight w:val="none"/>
              </w:rPr>
              <w:t>投标单价</w:t>
            </w:r>
          </w:p>
        </w:tc>
        <w:tc>
          <w:tcPr>
            <w:tcW w:w="2920" w:type="pct"/>
            <w:vAlign w:val="center"/>
          </w:tcPr>
          <w:p w14:paraId="393BBBBE">
            <w:pPr>
              <w:widowControl w:val="0"/>
              <w:spacing w:line="360" w:lineRule="auto"/>
              <w:jc w:val="both"/>
              <w:rPr>
                <w:rFonts w:ascii="宋体" w:hAnsi="宋体" w:eastAsia="宋体" w:cs="Symbol"/>
                <w:sz w:val="24"/>
                <w:szCs w:val="24"/>
                <w:highlight w:val="none"/>
              </w:rPr>
            </w:pPr>
          </w:p>
          <w:p w14:paraId="6FFA7088">
            <w:pPr>
              <w:widowControl w:val="0"/>
              <w:spacing w:line="360" w:lineRule="auto"/>
              <w:jc w:val="both"/>
              <w:rPr>
                <w:rFonts w:ascii="宋体" w:hAnsi="宋体" w:eastAsia="宋体" w:cs="Symbol"/>
                <w:sz w:val="24"/>
                <w:szCs w:val="24"/>
                <w:highlight w:val="none"/>
              </w:rPr>
            </w:pPr>
            <w:r>
              <w:rPr>
                <w:rFonts w:hint="eastAsia" w:ascii="宋体" w:hAnsi="宋体" w:eastAsia="宋体" w:cs="Symbol"/>
                <w:sz w:val="24"/>
                <w:szCs w:val="24"/>
                <w:highlight w:val="none"/>
              </w:rPr>
              <w:t>大写（人民币）：</w:t>
            </w:r>
            <w:r>
              <w:rPr>
                <w:rFonts w:ascii="宋体" w:hAnsi="宋体" w:eastAsia="宋体" w:cs="Arial"/>
                <w:sz w:val="24"/>
                <w:szCs w:val="24"/>
                <w:highlight w:val="none"/>
                <w:u w:val="single"/>
              </w:rPr>
              <w:t>     </w:t>
            </w:r>
            <w:r>
              <w:rPr>
                <w:rFonts w:hint="eastAsia" w:ascii="宋体" w:hAnsi="宋体" w:eastAsia="宋体" w:cs="Arial"/>
                <w:sz w:val="24"/>
                <w:szCs w:val="24"/>
                <w:highlight w:val="none"/>
                <w:u w:val="single"/>
              </w:rPr>
              <w:t xml:space="preserve"> </w:t>
            </w:r>
            <w:r>
              <w:rPr>
                <w:rFonts w:ascii="宋体" w:hAnsi="宋体" w:eastAsia="宋体" w:cs="Arial"/>
                <w:sz w:val="24"/>
                <w:szCs w:val="24"/>
                <w:highlight w:val="none"/>
                <w:u w:val="single"/>
              </w:rPr>
              <w:t> </w:t>
            </w:r>
            <w:r>
              <w:rPr>
                <w:rFonts w:hint="eastAsia" w:ascii="宋体" w:hAnsi="宋体" w:eastAsia="宋体" w:cs="Arial"/>
                <w:sz w:val="24"/>
                <w:szCs w:val="24"/>
                <w:highlight w:val="none"/>
                <w:u w:val="single"/>
              </w:rPr>
              <w:t xml:space="preserve"> </w:t>
            </w:r>
            <w:r>
              <w:rPr>
                <w:rFonts w:ascii="宋体" w:hAnsi="宋体" w:eastAsia="宋体" w:cs="Arial"/>
                <w:sz w:val="24"/>
                <w:szCs w:val="24"/>
                <w:highlight w:val="none"/>
                <w:u w:val="single"/>
              </w:rPr>
              <w:t> </w:t>
            </w:r>
          </w:p>
          <w:p w14:paraId="0AB122DC">
            <w:pPr>
              <w:widowControl w:val="0"/>
              <w:spacing w:line="360" w:lineRule="auto"/>
              <w:jc w:val="both"/>
              <w:rPr>
                <w:rFonts w:ascii="宋体" w:hAnsi="宋体" w:eastAsia="宋体" w:cs="Symbol"/>
                <w:sz w:val="24"/>
                <w:szCs w:val="24"/>
                <w:highlight w:val="none"/>
              </w:rPr>
            </w:pPr>
            <w:r>
              <w:rPr>
                <w:rFonts w:hint="eastAsia" w:ascii="宋体" w:hAnsi="宋体" w:eastAsia="宋体" w:cs="Symbol"/>
                <w:sz w:val="24"/>
                <w:szCs w:val="24"/>
                <w:highlight w:val="none"/>
              </w:rPr>
              <w:t>小写（</w:t>
            </w:r>
            <w:r>
              <w:rPr>
                <w:rFonts w:ascii="Arial" w:hAnsi="Arial" w:eastAsia="宋体" w:cs="Arial"/>
                <w:sz w:val="24"/>
                <w:szCs w:val="24"/>
                <w:highlight w:val="none"/>
              </w:rPr>
              <w:t>¥</w:t>
            </w:r>
            <w:r>
              <w:rPr>
                <w:rFonts w:hint="eastAsia" w:ascii="宋体" w:hAnsi="宋体" w:eastAsia="宋体" w:cs="Symbol"/>
                <w:sz w:val="24"/>
                <w:szCs w:val="24"/>
                <w:highlight w:val="none"/>
              </w:rPr>
              <w:t>）：</w:t>
            </w:r>
            <w:r>
              <w:rPr>
                <w:rFonts w:ascii="宋体" w:hAnsi="宋体" w:eastAsia="宋体" w:cs="Arial"/>
                <w:sz w:val="24"/>
                <w:szCs w:val="24"/>
                <w:highlight w:val="none"/>
                <w:u w:val="single"/>
              </w:rPr>
              <w:t>     </w:t>
            </w:r>
            <w:r>
              <w:rPr>
                <w:rFonts w:hint="eastAsia" w:ascii="宋体" w:hAnsi="宋体" w:eastAsia="宋体" w:cs="Arial"/>
                <w:sz w:val="24"/>
                <w:szCs w:val="24"/>
                <w:highlight w:val="none"/>
                <w:u w:val="single"/>
              </w:rPr>
              <w:t xml:space="preserve">      </w:t>
            </w:r>
            <w:r>
              <w:rPr>
                <w:rFonts w:ascii="宋体" w:hAnsi="宋体" w:eastAsia="宋体" w:cs="Arial"/>
                <w:sz w:val="24"/>
                <w:szCs w:val="24"/>
                <w:highlight w:val="none"/>
                <w:u w:val="single"/>
              </w:rPr>
              <w:t> </w:t>
            </w:r>
            <w:r>
              <w:rPr>
                <w:rFonts w:hint="eastAsia" w:ascii="宋体" w:hAnsi="宋体" w:eastAsia="宋体" w:cs="Arial"/>
                <w:sz w:val="24"/>
                <w:szCs w:val="24"/>
                <w:highlight w:val="none"/>
                <w:u w:val="single"/>
              </w:rPr>
              <w:t xml:space="preserve"> </w:t>
            </w:r>
            <w:r>
              <w:rPr>
                <w:rFonts w:ascii="宋体" w:hAnsi="宋体" w:eastAsia="宋体" w:cs="Arial"/>
                <w:sz w:val="24"/>
                <w:szCs w:val="24"/>
                <w:highlight w:val="none"/>
                <w:u w:val="single"/>
              </w:rPr>
              <w:t> </w:t>
            </w:r>
          </w:p>
          <w:p w14:paraId="218E178F">
            <w:pPr>
              <w:widowControl w:val="0"/>
              <w:spacing w:line="360" w:lineRule="auto"/>
              <w:jc w:val="both"/>
              <w:rPr>
                <w:rFonts w:ascii="宋体" w:hAnsi="宋体" w:eastAsia="宋体" w:cs="Symbol"/>
                <w:sz w:val="24"/>
                <w:szCs w:val="24"/>
                <w:highlight w:val="none"/>
              </w:rPr>
            </w:pPr>
          </w:p>
        </w:tc>
      </w:tr>
    </w:tbl>
    <w:p w14:paraId="7414A4A0">
      <w:pPr>
        <w:rPr>
          <w:highlight w:val="none"/>
        </w:rPr>
      </w:pPr>
    </w:p>
    <w:p w14:paraId="51EBCC3E">
      <w:pPr>
        <w:rPr>
          <w:rFonts w:ascii="宋体" w:hAnsi="宋体"/>
          <w:color w:val="000000"/>
          <w:sz w:val="24"/>
          <w:szCs w:val="24"/>
          <w:highlight w:val="none"/>
        </w:rPr>
      </w:pPr>
      <w:bookmarkStart w:id="116" w:name="_Toc28557"/>
      <w:bookmarkStart w:id="117" w:name="_Toc12264"/>
    </w:p>
    <w:p w14:paraId="0F7CE089">
      <w:pPr>
        <w:ind w:firstLine="480"/>
        <w:rPr>
          <w:rFonts w:ascii="宋体" w:hAnsi="宋体"/>
          <w:color w:val="000000"/>
          <w:sz w:val="24"/>
          <w:szCs w:val="24"/>
          <w:highlight w:val="none"/>
        </w:rPr>
      </w:pPr>
      <w:r>
        <w:rPr>
          <w:rFonts w:hint="eastAsia" w:ascii="宋体" w:hAnsi="宋体"/>
          <w:color w:val="000000"/>
          <w:sz w:val="24"/>
          <w:szCs w:val="24"/>
          <w:highlight w:val="none"/>
        </w:rPr>
        <w:t xml:space="preserve">                                    </w:t>
      </w:r>
    </w:p>
    <w:p w14:paraId="5E0D8D8B">
      <w:pPr>
        <w:jc w:val="right"/>
        <w:rPr>
          <w:rFonts w:ascii="宋体" w:hAnsi="宋体"/>
          <w:color w:val="000000"/>
          <w:sz w:val="24"/>
          <w:szCs w:val="24"/>
          <w:highlight w:val="none"/>
        </w:rPr>
      </w:pPr>
      <w:r>
        <w:rPr>
          <w:rFonts w:hint="eastAsia" w:ascii="宋体" w:hAnsi="宋体"/>
          <w:color w:val="000000"/>
          <w:sz w:val="24"/>
          <w:szCs w:val="24"/>
          <w:highlight w:val="none"/>
        </w:rPr>
        <w:t xml:space="preserve"> 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日</w:t>
      </w:r>
    </w:p>
    <w:p w14:paraId="4A88C745">
      <w:pPr>
        <w:rPr>
          <w:rFonts w:ascii="宋体" w:hAnsi="宋体" w:eastAsia="宋体" w:cs="宋体"/>
          <w:b/>
          <w:color w:val="000000"/>
          <w:sz w:val="24"/>
          <w:szCs w:val="24"/>
          <w:highlight w:val="none"/>
          <w:lang w:val="zh-CN"/>
        </w:rPr>
      </w:pPr>
    </w:p>
    <w:p w14:paraId="733FC013">
      <w:pPr>
        <w:rPr>
          <w:rFonts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br w:type="page"/>
      </w:r>
    </w:p>
    <w:p w14:paraId="60AF565B">
      <w:pPr>
        <w:jc w:val="center"/>
        <w:rPr>
          <w:rFonts w:hint="eastAsia" w:ascii="宋体" w:hAnsi="宋体" w:eastAsia="宋体" w:cs="宋体"/>
          <w:b/>
          <w:color w:val="000000"/>
          <w:sz w:val="24"/>
          <w:szCs w:val="24"/>
          <w:highlight w:val="none"/>
          <w:lang w:val="zh-CN" w:eastAsia="zh-CN" w:bidi="ar-SA"/>
        </w:rPr>
      </w:pPr>
      <w:r>
        <w:rPr>
          <w:rFonts w:hint="eastAsia" w:ascii="宋体" w:hAnsi="宋体" w:eastAsia="宋体" w:cs="宋体"/>
          <w:b/>
          <w:color w:val="000000"/>
          <w:sz w:val="24"/>
          <w:szCs w:val="24"/>
          <w:highlight w:val="none"/>
          <w:lang w:val="zh-CN" w:eastAsia="zh-CN" w:bidi="ar-SA"/>
        </w:rPr>
        <w:t>分项报价表</w:t>
      </w:r>
    </w:p>
    <w:tbl>
      <w:tblPr>
        <w:tblStyle w:val="37"/>
        <w:tblW w:w="93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5"/>
        <w:gridCol w:w="2317"/>
        <w:gridCol w:w="1983"/>
        <w:gridCol w:w="3343"/>
        <w:gridCol w:w="874"/>
      </w:tblGrid>
      <w:tr w14:paraId="279B35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jc w:val="center"/>
        </w:trPr>
        <w:tc>
          <w:tcPr>
            <w:tcW w:w="805" w:type="dxa"/>
            <w:noWrap w:val="0"/>
            <w:vAlign w:val="center"/>
          </w:tcPr>
          <w:p w14:paraId="513BDB12">
            <w:pPr>
              <w:spacing w:line="0" w:lineRule="atLeast"/>
              <w:jc w:val="center"/>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eastAsia="zh-CN"/>
              </w:rPr>
              <w:t>序号</w:t>
            </w:r>
          </w:p>
        </w:tc>
        <w:tc>
          <w:tcPr>
            <w:tcW w:w="2317" w:type="dxa"/>
            <w:noWrap w:val="0"/>
            <w:vAlign w:val="center"/>
          </w:tcPr>
          <w:p w14:paraId="66AD6762">
            <w:pPr>
              <w:spacing w:line="0" w:lineRule="atLeast"/>
              <w:jc w:val="center"/>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eastAsia="zh-CN"/>
              </w:rPr>
              <w:t>项目名称</w:t>
            </w:r>
          </w:p>
        </w:tc>
        <w:tc>
          <w:tcPr>
            <w:tcW w:w="1983" w:type="dxa"/>
            <w:noWrap w:val="0"/>
            <w:vAlign w:val="center"/>
          </w:tcPr>
          <w:p w14:paraId="09DBA892">
            <w:pPr>
              <w:spacing w:line="0" w:lineRule="atLeast"/>
              <w:jc w:val="center"/>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eastAsia="zh-CN"/>
              </w:rPr>
              <w:t>时段</w:t>
            </w:r>
          </w:p>
        </w:tc>
        <w:tc>
          <w:tcPr>
            <w:tcW w:w="3343" w:type="dxa"/>
            <w:noWrap w:val="0"/>
            <w:vAlign w:val="center"/>
          </w:tcPr>
          <w:p w14:paraId="55A5722D">
            <w:pPr>
              <w:spacing w:line="0" w:lineRule="atLeast"/>
              <w:jc w:val="center"/>
              <w:rPr>
                <w:rFonts w:hint="eastAsia" w:ascii="宋体"/>
                <w:color w:val="000000"/>
                <w:szCs w:val="21"/>
                <w:highlight w:val="none"/>
                <w:lang w:val="en-US" w:eastAsia="zh-CN"/>
              </w:rPr>
            </w:pPr>
            <w:r>
              <w:rPr>
                <w:rFonts w:hint="eastAsia" w:ascii="宋体"/>
                <w:color w:val="000000"/>
                <w:szCs w:val="21"/>
                <w:highlight w:val="none"/>
                <w:lang w:val="en-US" w:eastAsia="zh-CN"/>
              </w:rPr>
              <w:t>投标单价</w:t>
            </w:r>
          </w:p>
          <w:p w14:paraId="61AACDDD">
            <w:pPr>
              <w:spacing w:line="0" w:lineRule="atLeast"/>
              <w:jc w:val="center"/>
              <w:rPr>
                <w:rFonts w:hint="eastAsia" w:ascii="宋体"/>
                <w:color w:val="000000"/>
                <w:szCs w:val="21"/>
                <w:highlight w:val="none"/>
                <w:lang w:val="en-US" w:eastAsia="zh-CN"/>
              </w:rPr>
            </w:pPr>
            <w:r>
              <w:rPr>
                <w:rFonts w:hint="eastAsia" w:ascii="宋体"/>
                <w:color w:val="000000"/>
                <w:szCs w:val="21"/>
                <w:highlight w:val="none"/>
                <w:lang w:val="en-US" w:eastAsia="zh-CN"/>
              </w:rPr>
              <w:t>（元/人/天）</w:t>
            </w:r>
          </w:p>
        </w:tc>
        <w:tc>
          <w:tcPr>
            <w:tcW w:w="874" w:type="dxa"/>
            <w:noWrap w:val="0"/>
            <w:vAlign w:val="center"/>
          </w:tcPr>
          <w:p w14:paraId="5F8183EF">
            <w:pPr>
              <w:spacing w:line="0" w:lineRule="atLeast"/>
              <w:jc w:val="center"/>
              <w:rPr>
                <w:rFonts w:hint="eastAsia" w:ascii="宋体"/>
                <w:color w:val="000000"/>
                <w:szCs w:val="21"/>
                <w:highlight w:val="none"/>
                <w:lang w:val="en-US" w:eastAsia="zh-CN"/>
              </w:rPr>
            </w:pPr>
            <w:r>
              <w:rPr>
                <w:rFonts w:hint="eastAsia" w:ascii="宋体"/>
                <w:color w:val="000000"/>
                <w:szCs w:val="21"/>
                <w:highlight w:val="none"/>
                <w:lang w:val="en-US" w:eastAsia="zh-CN"/>
              </w:rPr>
              <w:t>备注</w:t>
            </w:r>
          </w:p>
        </w:tc>
      </w:tr>
      <w:tr w14:paraId="427D00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jc w:val="center"/>
        </w:trPr>
        <w:tc>
          <w:tcPr>
            <w:tcW w:w="805" w:type="dxa"/>
            <w:noWrap w:val="0"/>
            <w:vAlign w:val="center"/>
          </w:tcPr>
          <w:p w14:paraId="1B3C6F16">
            <w:pPr>
              <w:spacing w:line="0" w:lineRule="atLeast"/>
              <w:jc w:val="center"/>
              <w:rPr>
                <w:rFonts w:hint="eastAsia" w:ascii="宋体" w:hAnsi="宋体"/>
                <w:color w:val="000000"/>
                <w:sz w:val="24"/>
                <w:szCs w:val="24"/>
                <w:highlight w:val="none"/>
              </w:rPr>
            </w:pPr>
            <w:r>
              <w:rPr>
                <w:rFonts w:hint="eastAsia" w:ascii="宋体" w:hAnsi="宋体"/>
                <w:color w:val="000000"/>
                <w:sz w:val="24"/>
                <w:szCs w:val="24"/>
                <w:highlight w:val="none"/>
              </w:rPr>
              <w:t>1</w:t>
            </w:r>
          </w:p>
        </w:tc>
        <w:tc>
          <w:tcPr>
            <w:tcW w:w="2317" w:type="dxa"/>
            <w:noWrap w:val="0"/>
            <w:vAlign w:val="center"/>
          </w:tcPr>
          <w:p w14:paraId="7A8CE58D">
            <w:pPr>
              <w:spacing w:line="0" w:lineRule="atLeast"/>
              <w:jc w:val="center"/>
              <w:rPr>
                <w:rFonts w:hint="eastAsia" w:ascii="宋体" w:hAnsi="宋体"/>
                <w:color w:val="000000"/>
                <w:sz w:val="24"/>
                <w:szCs w:val="24"/>
                <w:highlight w:val="none"/>
              </w:rPr>
            </w:pPr>
          </w:p>
        </w:tc>
        <w:tc>
          <w:tcPr>
            <w:tcW w:w="1983" w:type="dxa"/>
            <w:noWrap w:val="0"/>
            <w:vAlign w:val="center"/>
          </w:tcPr>
          <w:p w14:paraId="4F412BAF">
            <w:pPr>
              <w:spacing w:line="0" w:lineRule="atLeast"/>
              <w:jc w:val="center"/>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每天</w:t>
            </w:r>
          </w:p>
        </w:tc>
        <w:tc>
          <w:tcPr>
            <w:tcW w:w="3343" w:type="dxa"/>
            <w:noWrap w:val="0"/>
            <w:vAlign w:val="center"/>
          </w:tcPr>
          <w:p w14:paraId="67FDEC25">
            <w:pPr>
              <w:spacing w:line="0" w:lineRule="atLeast"/>
              <w:jc w:val="center"/>
              <w:rPr>
                <w:rFonts w:hint="eastAsia" w:ascii="宋体" w:hAnsi="宋体"/>
                <w:color w:val="000000"/>
                <w:sz w:val="24"/>
                <w:szCs w:val="24"/>
                <w:highlight w:val="none"/>
              </w:rPr>
            </w:pPr>
          </w:p>
        </w:tc>
        <w:tc>
          <w:tcPr>
            <w:tcW w:w="874" w:type="dxa"/>
            <w:noWrap w:val="0"/>
            <w:vAlign w:val="center"/>
          </w:tcPr>
          <w:p w14:paraId="43EE0518">
            <w:pPr>
              <w:spacing w:line="0" w:lineRule="atLeast"/>
              <w:jc w:val="center"/>
              <w:rPr>
                <w:rFonts w:hint="eastAsia" w:ascii="宋体" w:hAnsi="宋体"/>
                <w:color w:val="000000"/>
                <w:sz w:val="24"/>
                <w:szCs w:val="24"/>
                <w:highlight w:val="none"/>
              </w:rPr>
            </w:pPr>
          </w:p>
        </w:tc>
      </w:tr>
      <w:tr w14:paraId="793641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jc w:val="center"/>
        </w:trPr>
        <w:tc>
          <w:tcPr>
            <w:tcW w:w="9322" w:type="dxa"/>
            <w:gridSpan w:val="5"/>
            <w:noWrap w:val="0"/>
            <w:vAlign w:val="center"/>
          </w:tcPr>
          <w:p w14:paraId="6CCAA841">
            <w:pPr>
              <w:spacing w:line="0" w:lineRule="atLeast"/>
              <w:jc w:val="center"/>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eastAsia="zh-CN"/>
              </w:rPr>
              <w:t>投标总报价：</w:t>
            </w:r>
            <w:r>
              <w:rPr>
                <w:rFonts w:hint="eastAsia" w:ascii="宋体" w:hAnsi="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   （人民币：元）</w:t>
            </w:r>
          </w:p>
        </w:tc>
      </w:tr>
      <w:tr w14:paraId="4AF358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590" w:hRule="atLeast"/>
          <w:jc w:val="center"/>
        </w:trPr>
        <w:tc>
          <w:tcPr>
            <w:tcW w:w="9322" w:type="dxa"/>
            <w:gridSpan w:val="5"/>
            <w:noWrap w:val="0"/>
            <w:vAlign w:val="center"/>
          </w:tcPr>
          <w:p w14:paraId="149E66AC">
            <w:pPr>
              <w:keepNext w:val="0"/>
              <w:keepLines w:val="0"/>
              <w:pageBreakBefore w:val="0"/>
              <w:widowControl w:val="0"/>
              <w:spacing w:line="240" w:lineRule="auto"/>
              <w:jc w:val="both"/>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lang w:eastAsia="zh-CN"/>
              </w:rPr>
              <w:t>备注：</w:t>
            </w:r>
            <w:r>
              <w:rPr>
                <w:rFonts w:hint="eastAsia" w:ascii="宋体" w:hAnsi="宋体" w:eastAsia="宋体" w:cs="Times New Roman"/>
                <w:color w:val="000000"/>
                <w:sz w:val="24"/>
                <w:szCs w:val="24"/>
                <w:highlight w:val="none"/>
                <w:lang w:val="en-US" w:eastAsia="zh-CN"/>
              </w:rPr>
              <w:t>1.每年按365天计。</w:t>
            </w:r>
            <w:r>
              <w:rPr>
                <w:rFonts w:hint="eastAsia" w:ascii="宋体" w:hAnsi="宋体" w:eastAsia="宋体" w:cs="仿宋"/>
                <w:color w:val="000000"/>
                <w:sz w:val="24"/>
                <w:szCs w:val="24"/>
                <w:highlight w:val="none"/>
                <w:lang w:eastAsia="zh-CN"/>
              </w:rPr>
              <w:t>投标单价不可超</w:t>
            </w:r>
            <w:r>
              <w:rPr>
                <w:rFonts w:hint="eastAsia" w:ascii="宋体" w:hAnsi="宋体" w:eastAsia="宋体" w:cs="仿宋"/>
                <w:color w:val="000000"/>
                <w:sz w:val="24"/>
                <w:szCs w:val="24"/>
                <w:highlight w:val="none"/>
                <w:lang w:val="en-US" w:eastAsia="zh-CN"/>
              </w:rPr>
              <w:t>50元/人/日</w:t>
            </w:r>
            <w:r>
              <w:rPr>
                <w:rFonts w:hint="eastAsia" w:ascii="宋体" w:hAnsi="宋体" w:eastAsia="宋体" w:cs="仿宋"/>
                <w:color w:val="000000"/>
                <w:sz w:val="24"/>
                <w:szCs w:val="24"/>
                <w:highlight w:val="none"/>
                <w:lang w:eastAsia="zh-CN"/>
              </w:rPr>
              <w:t>餐标。</w:t>
            </w:r>
          </w:p>
          <w:p w14:paraId="034EC39F">
            <w:pPr>
              <w:keepNext w:val="0"/>
              <w:keepLines w:val="0"/>
              <w:pageBreakBefore w:val="0"/>
              <w:widowControl w:val="0"/>
              <w:spacing w:line="240" w:lineRule="auto"/>
              <w:jc w:val="both"/>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2.就餐人数</w:t>
            </w:r>
            <w:r>
              <w:rPr>
                <w:rFonts w:hint="eastAsia" w:ascii="宋体" w:hAnsi="宋体" w:eastAsia="宋体" w:cs="仿宋"/>
                <w:color w:val="000000"/>
                <w:sz w:val="24"/>
                <w:szCs w:val="24"/>
                <w:highlight w:val="none"/>
              </w:rPr>
              <w:t>两处早餐约200人、午餐约240人、晚餐约90人</w:t>
            </w:r>
            <w:r>
              <w:rPr>
                <w:rFonts w:hint="eastAsia" w:ascii="宋体" w:hAnsi="宋体" w:eastAsia="宋体" w:cs="仿宋"/>
                <w:color w:val="000000"/>
                <w:sz w:val="24"/>
                <w:szCs w:val="24"/>
                <w:highlight w:val="none"/>
                <w:lang w:eastAsia="zh-CN"/>
              </w:rPr>
              <w:t>。</w:t>
            </w:r>
          </w:p>
          <w:p w14:paraId="342CC122">
            <w:pPr>
              <w:keepNext w:val="0"/>
              <w:keepLines w:val="0"/>
              <w:pageBreakBefore w:val="0"/>
              <w:widowControl w:val="0"/>
              <w:spacing w:line="240" w:lineRule="auto"/>
              <w:jc w:val="both"/>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3.投标总报价（元）=投标每日早餐单价（元/人/天）*365天*200人+投标每日中餐单价（元/人/天）*365天*240人+投标每日晚餐单价（元/人/天）*365天*90人</w:t>
            </w:r>
          </w:p>
          <w:p w14:paraId="6A0CAD6A">
            <w:pPr>
              <w:keepNext w:val="0"/>
              <w:keepLines w:val="0"/>
              <w:pageBreakBefore w:val="0"/>
              <w:widowControl w:val="0"/>
              <w:spacing w:line="240" w:lineRule="auto"/>
              <w:jc w:val="both"/>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4.所有天数及人数只作报价用。具体工作日节假日天数及用餐人数不作保证，具体按实计算。</w:t>
            </w:r>
          </w:p>
        </w:tc>
      </w:tr>
    </w:tbl>
    <w:p w14:paraId="3A3D5B93">
      <w:pPr>
        <w:rPr>
          <w:rFonts w:ascii="宋体" w:hAnsi="宋体" w:eastAsia="宋体" w:cs="Arial"/>
          <w:b/>
          <w:bCs/>
          <w:szCs w:val="21"/>
          <w:highlight w:val="none"/>
        </w:rPr>
      </w:pPr>
      <w:r>
        <w:rPr>
          <w:rFonts w:hint="eastAsia" w:ascii="宋体" w:hAnsi="宋体" w:eastAsia="宋体" w:cs="Arial"/>
          <w:b/>
          <w:bCs/>
          <w:szCs w:val="21"/>
          <w:highlight w:val="none"/>
        </w:rPr>
        <w:br w:type="page"/>
      </w:r>
    </w:p>
    <w:bookmarkEnd w:id="116"/>
    <w:bookmarkEnd w:id="117"/>
    <w:p w14:paraId="43554B96">
      <w:pPr>
        <w:numPr>
          <w:ilvl w:val="0"/>
          <w:numId w:val="3"/>
        </w:numPr>
        <w:shd w:val="clear" w:color="auto" w:fill="auto"/>
        <w:spacing w:line="240" w:lineRule="auto"/>
        <w:outlineLvl w:val="1"/>
        <w:rPr>
          <w:rFonts w:hint="eastAsia" w:ascii="宋体" w:hAnsi="宋体" w:eastAsia="宋体" w:cs="Arial"/>
          <w:b/>
          <w:bCs/>
          <w:szCs w:val="21"/>
          <w:highlight w:val="none"/>
          <w:lang w:val="en-US" w:eastAsia="zh-CN"/>
        </w:rPr>
      </w:pPr>
      <w:bookmarkStart w:id="118" w:name="_Toc10015"/>
      <w:bookmarkStart w:id="119" w:name="_Toc26372"/>
      <w:bookmarkStart w:id="120" w:name="_Toc28152"/>
      <w:bookmarkStart w:id="121" w:name="_Toc31500"/>
      <w:r>
        <w:rPr>
          <w:rFonts w:hint="eastAsia" w:ascii="宋体" w:hAnsi="宋体" w:eastAsia="宋体" w:cs="Arial"/>
          <w:b/>
          <w:bCs/>
          <w:szCs w:val="21"/>
          <w:highlight w:val="none"/>
          <w:lang w:val="en-US" w:eastAsia="zh-CN"/>
        </w:rPr>
        <w:t>资格证明材料</w:t>
      </w:r>
      <w:bookmarkEnd w:id="118"/>
      <w:bookmarkEnd w:id="119"/>
    </w:p>
    <w:p w14:paraId="482F3CE5">
      <w:pPr>
        <w:numPr>
          <w:ilvl w:val="-1"/>
          <w:numId w:val="0"/>
        </w:numPr>
        <w:shd w:val="clear" w:color="auto" w:fill="auto"/>
        <w:spacing w:line="240" w:lineRule="auto"/>
        <w:outlineLvl w:val="9"/>
        <w:rPr>
          <w:rFonts w:hint="eastAsia" w:ascii="宋体" w:hAnsi="宋体" w:eastAsia="宋体" w:cs="Arial"/>
          <w:b/>
          <w:bCs/>
          <w:szCs w:val="21"/>
          <w:highlight w:val="none"/>
        </w:rPr>
      </w:pPr>
      <w:r>
        <w:rPr>
          <w:rFonts w:hint="eastAsia" w:ascii="宋体" w:hAnsi="宋体" w:eastAsia="宋体" w:cs="宋体"/>
          <w:color w:val="000000"/>
          <w:sz w:val="24"/>
          <w:szCs w:val="24"/>
          <w:highlight w:val="none"/>
        </w:rPr>
        <w:t>（格式自拟）</w:t>
      </w:r>
      <w:r>
        <w:rPr>
          <w:rFonts w:hint="eastAsia" w:ascii="宋体" w:hAnsi="宋体" w:eastAsia="宋体" w:cs="Arial"/>
          <w:b/>
          <w:bCs/>
          <w:szCs w:val="21"/>
          <w:highlight w:val="none"/>
        </w:rPr>
        <w:br w:type="page"/>
      </w:r>
    </w:p>
    <w:p w14:paraId="274EBCF5">
      <w:pPr>
        <w:shd w:val="clear" w:color="auto" w:fill="FFFFFF"/>
        <w:spacing w:line="360" w:lineRule="auto"/>
        <w:outlineLvl w:val="1"/>
        <w:rPr>
          <w:rFonts w:ascii="宋体" w:hAnsi="宋体" w:eastAsia="宋体" w:cs="Arial"/>
          <w:szCs w:val="21"/>
          <w:highlight w:val="none"/>
        </w:rPr>
      </w:pPr>
      <w:bookmarkStart w:id="122" w:name="_Toc9525"/>
      <w:bookmarkStart w:id="123" w:name="_Toc27953"/>
      <w:r>
        <w:rPr>
          <w:rFonts w:hint="eastAsia" w:ascii="宋体" w:hAnsi="宋体" w:eastAsia="宋体" w:cs="Arial"/>
          <w:b/>
          <w:bCs/>
          <w:szCs w:val="21"/>
          <w:highlight w:val="none"/>
        </w:rPr>
        <w:t>五、技术条款偏离表</w:t>
      </w:r>
      <w:bookmarkEnd w:id="120"/>
      <w:bookmarkEnd w:id="121"/>
      <w:bookmarkEnd w:id="122"/>
      <w:bookmarkEnd w:id="123"/>
    </w:p>
    <w:p w14:paraId="720C9F02">
      <w:pPr>
        <w:shd w:val="clear" w:color="auto" w:fill="FFFFFF"/>
        <w:spacing w:line="360" w:lineRule="auto"/>
        <w:ind w:left="420"/>
        <w:jc w:val="center"/>
        <w:rPr>
          <w:rFonts w:ascii="宋体" w:hAnsi="宋体" w:eastAsia="宋体" w:cs="Arial"/>
          <w:b/>
          <w:sz w:val="32"/>
          <w:szCs w:val="32"/>
          <w:highlight w:val="none"/>
        </w:rPr>
      </w:pPr>
      <w:r>
        <w:rPr>
          <w:rFonts w:hint="eastAsia" w:ascii="宋体" w:hAnsi="宋体" w:eastAsia="宋体" w:cs="Arial"/>
          <w:b/>
          <w:sz w:val="32"/>
          <w:szCs w:val="32"/>
          <w:highlight w:val="none"/>
        </w:rPr>
        <w:t>技术条款偏离表</w:t>
      </w:r>
    </w:p>
    <w:p w14:paraId="2EA6AB9B">
      <w:pPr>
        <w:widowControl w:val="0"/>
        <w:spacing w:line="360" w:lineRule="auto"/>
        <w:rPr>
          <w:rFonts w:ascii="宋体" w:hAnsi="宋体" w:eastAsia="宋体" w:cs="Arial"/>
          <w:bCs/>
          <w:sz w:val="24"/>
          <w:szCs w:val="24"/>
          <w:highlight w:val="none"/>
        </w:rPr>
      </w:pPr>
      <w:r>
        <w:rPr>
          <w:rFonts w:hint="eastAsia" w:ascii="宋体" w:hAnsi="宋体" w:eastAsia="宋体" w:cs="Arial"/>
          <w:bCs/>
          <w:sz w:val="24"/>
          <w:szCs w:val="24"/>
          <w:highlight w:val="none"/>
        </w:rPr>
        <w:t xml:space="preserve">项目名称：               </w:t>
      </w:r>
    </w:p>
    <w:p w14:paraId="2A1F19C9">
      <w:pPr>
        <w:widowControl w:val="0"/>
        <w:spacing w:line="360" w:lineRule="auto"/>
        <w:rPr>
          <w:rFonts w:ascii="宋体" w:hAnsi="宋体" w:eastAsia="宋体" w:cs="Arial"/>
          <w:bCs/>
          <w:sz w:val="24"/>
          <w:szCs w:val="24"/>
          <w:highlight w:val="none"/>
        </w:rPr>
      </w:pPr>
      <w:r>
        <w:rPr>
          <w:rFonts w:hint="eastAsia" w:ascii="宋体" w:hAnsi="宋体" w:eastAsia="宋体" w:cs="Arial"/>
          <w:bCs/>
          <w:sz w:val="24"/>
          <w:szCs w:val="24"/>
          <w:highlight w:val="none"/>
        </w:rPr>
        <w:t xml:space="preserve">项目编号：               </w:t>
      </w:r>
    </w:p>
    <w:tbl>
      <w:tblPr>
        <w:tblStyle w:val="37"/>
        <w:tblW w:w="9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337"/>
        <w:gridCol w:w="2260"/>
        <w:gridCol w:w="1844"/>
        <w:gridCol w:w="3011"/>
        <w:gridCol w:w="1245"/>
      </w:tblGrid>
      <w:tr w14:paraId="5F3CE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337"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1CFE3BDD">
            <w:pPr>
              <w:wordWrap w:val="0"/>
              <w:topLinePunct/>
              <w:jc w:val="center"/>
              <w:rPr>
                <w:rFonts w:ascii="宋体" w:hAnsi="宋体" w:eastAsia="宋体" w:cs="Arial"/>
                <w:b/>
                <w:sz w:val="24"/>
                <w:szCs w:val="24"/>
                <w:highlight w:val="none"/>
              </w:rPr>
            </w:pPr>
            <w:r>
              <w:rPr>
                <w:rFonts w:hint="eastAsia" w:ascii="宋体" w:hAnsi="宋体" w:eastAsia="宋体" w:cs="Arial"/>
                <w:b/>
                <w:sz w:val="24"/>
                <w:szCs w:val="24"/>
                <w:highlight w:val="none"/>
              </w:rPr>
              <w:t>序号</w:t>
            </w:r>
          </w:p>
        </w:tc>
        <w:tc>
          <w:tcPr>
            <w:tcW w:w="226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218880BB">
            <w:pPr>
              <w:wordWrap w:val="0"/>
              <w:topLinePunct/>
              <w:jc w:val="center"/>
              <w:rPr>
                <w:rFonts w:ascii="宋体" w:hAnsi="宋体" w:eastAsia="宋体" w:cs="Arial"/>
                <w:b/>
                <w:sz w:val="24"/>
                <w:szCs w:val="24"/>
                <w:highlight w:val="none"/>
              </w:rPr>
            </w:pPr>
            <w:r>
              <w:rPr>
                <w:rFonts w:hint="eastAsia" w:ascii="宋体" w:hAnsi="宋体" w:eastAsia="宋体" w:cs="Arial"/>
                <w:b/>
                <w:sz w:val="24"/>
                <w:szCs w:val="24"/>
                <w:highlight w:val="none"/>
              </w:rPr>
              <w:t>招标文件条目号</w:t>
            </w:r>
          </w:p>
        </w:tc>
        <w:tc>
          <w:tcPr>
            <w:tcW w:w="1844"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069491AD">
            <w:pPr>
              <w:wordWrap w:val="0"/>
              <w:topLinePunct/>
              <w:jc w:val="center"/>
              <w:rPr>
                <w:rFonts w:ascii="宋体" w:hAnsi="宋体" w:eastAsia="宋体" w:cs="Arial"/>
                <w:b/>
                <w:sz w:val="24"/>
                <w:szCs w:val="24"/>
                <w:highlight w:val="none"/>
              </w:rPr>
            </w:pPr>
            <w:r>
              <w:rPr>
                <w:rFonts w:hint="eastAsia" w:ascii="宋体" w:hAnsi="宋体" w:eastAsia="宋体" w:cs="Arial"/>
                <w:b/>
                <w:sz w:val="24"/>
                <w:szCs w:val="24"/>
                <w:highlight w:val="none"/>
              </w:rPr>
              <w:t>招标要求规格</w:t>
            </w:r>
          </w:p>
        </w:tc>
        <w:tc>
          <w:tcPr>
            <w:tcW w:w="301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5F5F4CE5">
            <w:pPr>
              <w:wordWrap w:val="0"/>
              <w:topLinePunct/>
              <w:jc w:val="center"/>
              <w:rPr>
                <w:rFonts w:ascii="宋体" w:hAnsi="宋体" w:eastAsia="宋体" w:cs="Arial"/>
                <w:b/>
                <w:sz w:val="24"/>
                <w:szCs w:val="24"/>
                <w:highlight w:val="none"/>
              </w:rPr>
            </w:pPr>
            <w:r>
              <w:rPr>
                <w:rFonts w:hint="eastAsia" w:ascii="宋体" w:hAnsi="宋体" w:eastAsia="宋体" w:cs="Arial"/>
                <w:b/>
                <w:sz w:val="24"/>
                <w:szCs w:val="24"/>
                <w:highlight w:val="none"/>
              </w:rPr>
              <w:t>投标响应</w:t>
            </w:r>
          </w:p>
        </w:tc>
        <w:tc>
          <w:tcPr>
            <w:tcW w:w="1245"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6D0494E7">
            <w:pPr>
              <w:wordWrap w:val="0"/>
              <w:topLinePunct/>
              <w:jc w:val="center"/>
              <w:rPr>
                <w:rFonts w:ascii="宋体" w:hAnsi="宋体" w:eastAsia="宋体" w:cs="Arial"/>
                <w:b/>
                <w:sz w:val="24"/>
                <w:szCs w:val="24"/>
                <w:highlight w:val="none"/>
              </w:rPr>
            </w:pPr>
            <w:r>
              <w:rPr>
                <w:rFonts w:hint="eastAsia" w:ascii="宋体" w:hAnsi="宋体" w:eastAsia="宋体" w:cs="Arial"/>
                <w:b/>
                <w:sz w:val="24"/>
                <w:szCs w:val="24"/>
                <w:highlight w:val="none"/>
              </w:rPr>
              <w:t>偏离</w:t>
            </w:r>
          </w:p>
        </w:tc>
      </w:tr>
      <w:tr w14:paraId="51CF1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337"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5CA04548">
            <w:pPr>
              <w:spacing w:line="360" w:lineRule="auto"/>
              <w:jc w:val="center"/>
              <w:rPr>
                <w:rFonts w:ascii="宋体" w:hAnsi="宋体" w:eastAsia="宋体" w:cs="Arial"/>
                <w:sz w:val="24"/>
                <w:szCs w:val="24"/>
                <w:highlight w:val="none"/>
              </w:rPr>
            </w:pPr>
            <w:r>
              <w:rPr>
                <w:rFonts w:ascii="宋体" w:hAnsi="宋体" w:eastAsia="宋体" w:cs="Arial"/>
                <w:sz w:val="24"/>
                <w:szCs w:val="24"/>
                <w:highlight w:val="none"/>
              </w:rPr>
              <w:t> </w:t>
            </w:r>
          </w:p>
        </w:tc>
        <w:tc>
          <w:tcPr>
            <w:tcW w:w="226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42B39428">
            <w:pPr>
              <w:spacing w:line="360" w:lineRule="auto"/>
              <w:jc w:val="center"/>
              <w:rPr>
                <w:rFonts w:ascii="宋体" w:hAnsi="宋体" w:eastAsia="宋体" w:cs="Arial"/>
                <w:sz w:val="24"/>
                <w:szCs w:val="24"/>
                <w:highlight w:val="none"/>
              </w:rPr>
            </w:pPr>
            <w:r>
              <w:rPr>
                <w:rFonts w:ascii="宋体" w:hAnsi="宋体" w:eastAsia="宋体" w:cs="Arial"/>
                <w:sz w:val="24"/>
                <w:szCs w:val="24"/>
                <w:highlight w:val="none"/>
              </w:rPr>
              <w:t> </w:t>
            </w:r>
          </w:p>
        </w:tc>
        <w:tc>
          <w:tcPr>
            <w:tcW w:w="1844"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0092D7CD">
            <w:pPr>
              <w:spacing w:line="360" w:lineRule="auto"/>
              <w:jc w:val="center"/>
              <w:rPr>
                <w:rFonts w:ascii="宋体" w:hAnsi="宋体" w:eastAsia="宋体" w:cs="Arial"/>
                <w:sz w:val="24"/>
                <w:szCs w:val="24"/>
                <w:highlight w:val="none"/>
              </w:rPr>
            </w:pPr>
            <w:r>
              <w:rPr>
                <w:rFonts w:ascii="宋体" w:hAnsi="宋体" w:eastAsia="宋体" w:cs="Arial"/>
                <w:sz w:val="24"/>
                <w:szCs w:val="24"/>
                <w:highlight w:val="none"/>
              </w:rPr>
              <w:t> </w:t>
            </w:r>
          </w:p>
        </w:tc>
        <w:tc>
          <w:tcPr>
            <w:tcW w:w="301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09E4B42C">
            <w:pPr>
              <w:spacing w:line="360" w:lineRule="auto"/>
              <w:jc w:val="center"/>
              <w:rPr>
                <w:rFonts w:ascii="宋体" w:hAnsi="宋体" w:eastAsia="宋体" w:cs="Arial"/>
                <w:sz w:val="24"/>
                <w:szCs w:val="24"/>
                <w:highlight w:val="none"/>
              </w:rPr>
            </w:pPr>
            <w:r>
              <w:rPr>
                <w:rFonts w:ascii="宋体" w:hAnsi="宋体" w:eastAsia="宋体" w:cs="Arial"/>
                <w:sz w:val="24"/>
                <w:szCs w:val="24"/>
                <w:highlight w:val="none"/>
              </w:rPr>
              <w:t> </w:t>
            </w:r>
          </w:p>
        </w:tc>
        <w:tc>
          <w:tcPr>
            <w:tcW w:w="1245"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6D9541EA">
            <w:pPr>
              <w:spacing w:line="360" w:lineRule="auto"/>
              <w:jc w:val="center"/>
              <w:rPr>
                <w:rFonts w:ascii="宋体" w:hAnsi="宋体" w:eastAsia="宋体" w:cs="Arial"/>
                <w:sz w:val="24"/>
                <w:szCs w:val="24"/>
                <w:highlight w:val="none"/>
              </w:rPr>
            </w:pPr>
            <w:r>
              <w:rPr>
                <w:rFonts w:ascii="宋体" w:hAnsi="宋体" w:eastAsia="宋体" w:cs="Arial"/>
                <w:sz w:val="24"/>
                <w:szCs w:val="24"/>
                <w:highlight w:val="none"/>
              </w:rPr>
              <w:t> </w:t>
            </w:r>
          </w:p>
        </w:tc>
      </w:tr>
      <w:tr w14:paraId="2DBD6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337"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142C59BA">
            <w:pPr>
              <w:spacing w:line="360" w:lineRule="auto"/>
              <w:jc w:val="center"/>
              <w:rPr>
                <w:rFonts w:ascii="宋体" w:hAnsi="宋体" w:eastAsia="宋体" w:cs="Arial"/>
                <w:sz w:val="24"/>
                <w:szCs w:val="24"/>
                <w:highlight w:val="none"/>
              </w:rPr>
            </w:pPr>
            <w:r>
              <w:rPr>
                <w:rFonts w:ascii="宋体" w:hAnsi="宋体" w:eastAsia="宋体" w:cs="Arial"/>
                <w:sz w:val="24"/>
                <w:szCs w:val="24"/>
                <w:highlight w:val="none"/>
              </w:rPr>
              <w:t> </w:t>
            </w:r>
          </w:p>
        </w:tc>
        <w:tc>
          <w:tcPr>
            <w:tcW w:w="226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21B6518A">
            <w:pPr>
              <w:spacing w:line="360" w:lineRule="auto"/>
              <w:jc w:val="center"/>
              <w:rPr>
                <w:rFonts w:ascii="宋体" w:hAnsi="宋体" w:eastAsia="宋体" w:cs="Arial"/>
                <w:sz w:val="24"/>
                <w:szCs w:val="24"/>
                <w:highlight w:val="none"/>
              </w:rPr>
            </w:pPr>
            <w:r>
              <w:rPr>
                <w:rFonts w:ascii="宋体" w:hAnsi="宋体" w:eastAsia="宋体" w:cs="Arial"/>
                <w:sz w:val="24"/>
                <w:szCs w:val="24"/>
                <w:highlight w:val="none"/>
              </w:rPr>
              <w:t> </w:t>
            </w:r>
          </w:p>
        </w:tc>
        <w:tc>
          <w:tcPr>
            <w:tcW w:w="1844"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3AB43703">
            <w:pPr>
              <w:spacing w:line="360" w:lineRule="auto"/>
              <w:jc w:val="center"/>
              <w:rPr>
                <w:rFonts w:ascii="宋体" w:hAnsi="宋体" w:eastAsia="宋体" w:cs="Arial"/>
                <w:sz w:val="24"/>
                <w:szCs w:val="24"/>
                <w:highlight w:val="none"/>
              </w:rPr>
            </w:pPr>
            <w:r>
              <w:rPr>
                <w:rFonts w:ascii="宋体" w:hAnsi="宋体" w:eastAsia="宋体" w:cs="Arial"/>
                <w:sz w:val="24"/>
                <w:szCs w:val="24"/>
                <w:highlight w:val="none"/>
              </w:rPr>
              <w:t> </w:t>
            </w:r>
          </w:p>
        </w:tc>
        <w:tc>
          <w:tcPr>
            <w:tcW w:w="301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6CF6C0CA">
            <w:pPr>
              <w:spacing w:line="360" w:lineRule="auto"/>
              <w:jc w:val="center"/>
              <w:rPr>
                <w:rFonts w:ascii="宋体" w:hAnsi="宋体" w:eastAsia="宋体" w:cs="Arial"/>
                <w:sz w:val="24"/>
                <w:szCs w:val="24"/>
                <w:highlight w:val="none"/>
              </w:rPr>
            </w:pPr>
            <w:r>
              <w:rPr>
                <w:rFonts w:ascii="宋体" w:hAnsi="宋体" w:eastAsia="宋体" w:cs="Arial"/>
                <w:sz w:val="24"/>
                <w:szCs w:val="24"/>
                <w:highlight w:val="none"/>
              </w:rPr>
              <w:t> </w:t>
            </w:r>
          </w:p>
        </w:tc>
        <w:tc>
          <w:tcPr>
            <w:tcW w:w="1245"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5DA21E7C">
            <w:pPr>
              <w:spacing w:line="360" w:lineRule="auto"/>
              <w:jc w:val="center"/>
              <w:rPr>
                <w:rFonts w:ascii="宋体" w:hAnsi="宋体" w:eastAsia="宋体" w:cs="Arial"/>
                <w:sz w:val="24"/>
                <w:szCs w:val="24"/>
                <w:highlight w:val="none"/>
              </w:rPr>
            </w:pPr>
            <w:r>
              <w:rPr>
                <w:rFonts w:ascii="宋体" w:hAnsi="宋体" w:eastAsia="宋体" w:cs="Arial"/>
                <w:sz w:val="24"/>
                <w:szCs w:val="24"/>
                <w:highlight w:val="none"/>
              </w:rPr>
              <w:t> </w:t>
            </w:r>
          </w:p>
        </w:tc>
      </w:tr>
      <w:tr w14:paraId="54215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337"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449962A7">
            <w:pPr>
              <w:spacing w:line="360" w:lineRule="auto"/>
              <w:jc w:val="center"/>
              <w:rPr>
                <w:rFonts w:ascii="宋体" w:hAnsi="宋体" w:eastAsia="宋体" w:cs="Arial"/>
                <w:sz w:val="24"/>
                <w:szCs w:val="24"/>
                <w:highlight w:val="none"/>
              </w:rPr>
            </w:pPr>
            <w:r>
              <w:rPr>
                <w:rFonts w:ascii="宋体" w:hAnsi="宋体" w:eastAsia="宋体" w:cs="Arial"/>
                <w:sz w:val="24"/>
                <w:szCs w:val="24"/>
                <w:highlight w:val="none"/>
              </w:rPr>
              <w:t> </w:t>
            </w:r>
          </w:p>
        </w:tc>
        <w:tc>
          <w:tcPr>
            <w:tcW w:w="226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2FDFE7C9">
            <w:pPr>
              <w:spacing w:line="360" w:lineRule="auto"/>
              <w:jc w:val="center"/>
              <w:rPr>
                <w:rFonts w:ascii="宋体" w:hAnsi="宋体" w:eastAsia="宋体" w:cs="Arial"/>
                <w:sz w:val="24"/>
                <w:szCs w:val="24"/>
                <w:highlight w:val="none"/>
              </w:rPr>
            </w:pPr>
            <w:r>
              <w:rPr>
                <w:rFonts w:ascii="宋体" w:hAnsi="宋体" w:eastAsia="宋体" w:cs="Arial"/>
                <w:sz w:val="24"/>
                <w:szCs w:val="24"/>
                <w:highlight w:val="none"/>
              </w:rPr>
              <w:t> </w:t>
            </w:r>
          </w:p>
        </w:tc>
        <w:tc>
          <w:tcPr>
            <w:tcW w:w="1844"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11B72500">
            <w:pPr>
              <w:spacing w:line="360" w:lineRule="auto"/>
              <w:jc w:val="center"/>
              <w:rPr>
                <w:rFonts w:ascii="宋体" w:hAnsi="宋体" w:eastAsia="宋体" w:cs="Arial"/>
                <w:sz w:val="24"/>
                <w:szCs w:val="24"/>
                <w:highlight w:val="none"/>
              </w:rPr>
            </w:pPr>
            <w:r>
              <w:rPr>
                <w:rFonts w:ascii="宋体" w:hAnsi="宋体" w:eastAsia="宋体" w:cs="Arial"/>
                <w:sz w:val="24"/>
                <w:szCs w:val="24"/>
                <w:highlight w:val="none"/>
              </w:rPr>
              <w:t> </w:t>
            </w:r>
          </w:p>
        </w:tc>
        <w:tc>
          <w:tcPr>
            <w:tcW w:w="301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442DE03A">
            <w:pPr>
              <w:spacing w:line="360" w:lineRule="auto"/>
              <w:jc w:val="center"/>
              <w:rPr>
                <w:rFonts w:ascii="宋体" w:hAnsi="宋体" w:eastAsia="宋体" w:cs="Arial"/>
                <w:sz w:val="24"/>
                <w:szCs w:val="24"/>
                <w:highlight w:val="none"/>
              </w:rPr>
            </w:pPr>
            <w:r>
              <w:rPr>
                <w:rFonts w:ascii="宋体" w:hAnsi="宋体" w:eastAsia="宋体" w:cs="Arial"/>
                <w:sz w:val="24"/>
                <w:szCs w:val="24"/>
                <w:highlight w:val="none"/>
              </w:rPr>
              <w:t> </w:t>
            </w:r>
          </w:p>
        </w:tc>
        <w:tc>
          <w:tcPr>
            <w:tcW w:w="1245"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37D2E802">
            <w:pPr>
              <w:spacing w:line="360" w:lineRule="auto"/>
              <w:jc w:val="center"/>
              <w:rPr>
                <w:rFonts w:ascii="宋体" w:hAnsi="宋体" w:eastAsia="宋体" w:cs="Arial"/>
                <w:sz w:val="24"/>
                <w:szCs w:val="24"/>
                <w:highlight w:val="none"/>
              </w:rPr>
            </w:pPr>
            <w:r>
              <w:rPr>
                <w:rFonts w:ascii="宋体" w:hAnsi="宋体" w:eastAsia="宋体" w:cs="Arial"/>
                <w:sz w:val="24"/>
                <w:szCs w:val="24"/>
                <w:highlight w:val="none"/>
              </w:rPr>
              <w:t> </w:t>
            </w:r>
          </w:p>
        </w:tc>
      </w:tr>
      <w:tr w14:paraId="262DD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337"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5D8A0A48">
            <w:pPr>
              <w:spacing w:line="360" w:lineRule="auto"/>
              <w:jc w:val="center"/>
              <w:rPr>
                <w:rFonts w:ascii="宋体" w:hAnsi="宋体" w:eastAsia="宋体" w:cs="Arial"/>
                <w:sz w:val="24"/>
                <w:szCs w:val="24"/>
                <w:highlight w:val="none"/>
              </w:rPr>
            </w:pPr>
          </w:p>
        </w:tc>
        <w:tc>
          <w:tcPr>
            <w:tcW w:w="226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13EB303B">
            <w:pPr>
              <w:spacing w:line="360" w:lineRule="auto"/>
              <w:jc w:val="center"/>
              <w:rPr>
                <w:rFonts w:ascii="宋体" w:hAnsi="宋体" w:eastAsia="宋体" w:cs="Arial"/>
                <w:sz w:val="24"/>
                <w:szCs w:val="24"/>
                <w:highlight w:val="none"/>
              </w:rPr>
            </w:pPr>
          </w:p>
        </w:tc>
        <w:tc>
          <w:tcPr>
            <w:tcW w:w="1844"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3CA3F608">
            <w:pPr>
              <w:spacing w:line="360" w:lineRule="auto"/>
              <w:jc w:val="center"/>
              <w:rPr>
                <w:rFonts w:ascii="宋体" w:hAnsi="宋体" w:eastAsia="宋体" w:cs="Arial"/>
                <w:sz w:val="24"/>
                <w:szCs w:val="24"/>
                <w:highlight w:val="none"/>
              </w:rPr>
            </w:pPr>
          </w:p>
        </w:tc>
        <w:tc>
          <w:tcPr>
            <w:tcW w:w="301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5942652A">
            <w:pPr>
              <w:spacing w:line="360" w:lineRule="auto"/>
              <w:jc w:val="center"/>
              <w:rPr>
                <w:rFonts w:ascii="宋体" w:hAnsi="宋体" w:eastAsia="宋体" w:cs="Arial"/>
                <w:sz w:val="24"/>
                <w:szCs w:val="24"/>
                <w:highlight w:val="none"/>
              </w:rPr>
            </w:pPr>
          </w:p>
        </w:tc>
        <w:tc>
          <w:tcPr>
            <w:tcW w:w="1245"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6D620ABF">
            <w:pPr>
              <w:spacing w:line="360" w:lineRule="auto"/>
              <w:jc w:val="center"/>
              <w:rPr>
                <w:rFonts w:ascii="宋体" w:hAnsi="宋体" w:eastAsia="宋体" w:cs="Arial"/>
                <w:sz w:val="24"/>
                <w:szCs w:val="24"/>
                <w:highlight w:val="none"/>
              </w:rPr>
            </w:pPr>
          </w:p>
        </w:tc>
      </w:tr>
      <w:tr w14:paraId="4B037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337"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20C7EC81">
            <w:pPr>
              <w:spacing w:line="360" w:lineRule="auto"/>
              <w:jc w:val="center"/>
              <w:rPr>
                <w:rFonts w:ascii="宋体" w:hAnsi="宋体" w:eastAsia="宋体" w:cs="Arial"/>
                <w:sz w:val="24"/>
                <w:szCs w:val="24"/>
                <w:highlight w:val="none"/>
              </w:rPr>
            </w:pPr>
          </w:p>
        </w:tc>
        <w:tc>
          <w:tcPr>
            <w:tcW w:w="226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3372A024">
            <w:pPr>
              <w:spacing w:line="360" w:lineRule="auto"/>
              <w:jc w:val="center"/>
              <w:rPr>
                <w:rFonts w:ascii="宋体" w:hAnsi="宋体" w:eastAsia="宋体" w:cs="Arial"/>
                <w:sz w:val="24"/>
                <w:szCs w:val="24"/>
                <w:highlight w:val="none"/>
              </w:rPr>
            </w:pPr>
          </w:p>
        </w:tc>
        <w:tc>
          <w:tcPr>
            <w:tcW w:w="1844"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3C263DF7">
            <w:pPr>
              <w:spacing w:line="360" w:lineRule="auto"/>
              <w:jc w:val="center"/>
              <w:rPr>
                <w:rFonts w:ascii="宋体" w:hAnsi="宋体" w:eastAsia="宋体" w:cs="Arial"/>
                <w:sz w:val="24"/>
                <w:szCs w:val="24"/>
                <w:highlight w:val="none"/>
              </w:rPr>
            </w:pPr>
          </w:p>
        </w:tc>
        <w:tc>
          <w:tcPr>
            <w:tcW w:w="301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08F40FC5">
            <w:pPr>
              <w:spacing w:line="360" w:lineRule="auto"/>
              <w:jc w:val="center"/>
              <w:rPr>
                <w:rFonts w:ascii="宋体" w:hAnsi="宋体" w:eastAsia="宋体" w:cs="Arial"/>
                <w:sz w:val="24"/>
                <w:szCs w:val="24"/>
                <w:highlight w:val="none"/>
              </w:rPr>
            </w:pPr>
          </w:p>
        </w:tc>
        <w:tc>
          <w:tcPr>
            <w:tcW w:w="1245"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4EB57DA3">
            <w:pPr>
              <w:spacing w:line="360" w:lineRule="auto"/>
              <w:jc w:val="center"/>
              <w:rPr>
                <w:rFonts w:ascii="宋体" w:hAnsi="宋体" w:eastAsia="宋体" w:cs="Arial"/>
                <w:sz w:val="24"/>
                <w:szCs w:val="24"/>
                <w:highlight w:val="none"/>
              </w:rPr>
            </w:pPr>
          </w:p>
        </w:tc>
      </w:tr>
      <w:tr w14:paraId="2A4CE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337"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603967E7">
            <w:pPr>
              <w:spacing w:line="360" w:lineRule="auto"/>
              <w:jc w:val="center"/>
              <w:rPr>
                <w:rFonts w:ascii="宋体" w:hAnsi="宋体" w:eastAsia="宋体" w:cs="Arial"/>
                <w:sz w:val="24"/>
                <w:szCs w:val="24"/>
                <w:highlight w:val="none"/>
              </w:rPr>
            </w:pPr>
          </w:p>
        </w:tc>
        <w:tc>
          <w:tcPr>
            <w:tcW w:w="226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44A0AEBE">
            <w:pPr>
              <w:spacing w:line="360" w:lineRule="auto"/>
              <w:jc w:val="center"/>
              <w:rPr>
                <w:rFonts w:ascii="宋体" w:hAnsi="宋体" w:eastAsia="宋体" w:cs="Arial"/>
                <w:sz w:val="24"/>
                <w:szCs w:val="24"/>
                <w:highlight w:val="none"/>
              </w:rPr>
            </w:pPr>
          </w:p>
        </w:tc>
        <w:tc>
          <w:tcPr>
            <w:tcW w:w="1844"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2B727331">
            <w:pPr>
              <w:spacing w:line="360" w:lineRule="auto"/>
              <w:jc w:val="center"/>
              <w:rPr>
                <w:rFonts w:ascii="宋体" w:hAnsi="宋体" w:eastAsia="宋体" w:cs="Arial"/>
                <w:sz w:val="24"/>
                <w:szCs w:val="24"/>
                <w:highlight w:val="none"/>
              </w:rPr>
            </w:pPr>
          </w:p>
        </w:tc>
        <w:tc>
          <w:tcPr>
            <w:tcW w:w="301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3D1D66B2">
            <w:pPr>
              <w:spacing w:line="360" w:lineRule="auto"/>
              <w:jc w:val="center"/>
              <w:rPr>
                <w:rFonts w:ascii="宋体" w:hAnsi="宋体" w:eastAsia="宋体" w:cs="Arial"/>
                <w:sz w:val="24"/>
                <w:szCs w:val="24"/>
                <w:highlight w:val="none"/>
              </w:rPr>
            </w:pPr>
          </w:p>
        </w:tc>
        <w:tc>
          <w:tcPr>
            <w:tcW w:w="1245"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26A632C5">
            <w:pPr>
              <w:spacing w:line="360" w:lineRule="auto"/>
              <w:jc w:val="center"/>
              <w:rPr>
                <w:rFonts w:ascii="宋体" w:hAnsi="宋体" w:eastAsia="宋体" w:cs="Arial"/>
                <w:sz w:val="24"/>
                <w:szCs w:val="24"/>
                <w:highlight w:val="none"/>
              </w:rPr>
            </w:pPr>
          </w:p>
        </w:tc>
      </w:tr>
    </w:tbl>
    <w:p w14:paraId="7C4C3767">
      <w:pPr>
        <w:widowControl w:val="0"/>
        <w:spacing w:line="360" w:lineRule="auto"/>
        <w:rPr>
          <w:rFonts w:ascii="宋体" w:hAnsi="宋体" w:eastAsia="宋体" w:cs="宋体"/>
          <w:sz w:val="24"/>
          <w:szCs w:val="24"/>
          <w:highlight w:val="none"/>
          <w:lang w:val="zh-CN"/>
        </w:rPr>
      </w:pPr>
    </w:p>
    <w:p w14:paraId="5D416D97">
      <w:pPr>
        <w:widowControl w:val="0"/>
        <w:spacing w:line="360" w:lineRule="auto"/>
        <w:ind w:firstLine="480"/>
        <w:rPr>
          <w:rFonts w:ascii="宋体" w:hAnsi="宋体" w:eastAsia="宋体" w:cs="Arial"/>
          <w:sz w:val="24"/>
          <w:szCs w:val="24"/>
          <w:highlight w:val="none"/>
        </w:rPr>
      </w:pPr>
      <w:r>
        <w:rPr>
          <w:rFonts w:hint="eastAsia" w:ascii="宋体" w:hAnsi="宋体" w:eastAsia="宋体" w:cs="宋体"/>
          <w:sz w:val="24"/>
          <w:szCs w:val="24"/>
          <w:highlight w:val="none"/>
          <w:lang w:val="zh-CN"/>
        </w:rPr>
        <w:t>说明：</w:t>
      </w:r>
      <w:r>
        <w:rPr>
          <w:rFonts w:hint="eastAsia" w:ascii="宋体" w:hAnsi="宋体" w:eastAsia="宋体" w:cs="宋体"/>
          <w:sz w:val="24"/>
          <w:szCs w:val="24"/>
          <w:highlight w:val="none"/>
        </w:rPr>
        <w:t>供应商应对采购文件中规定的技术部分给予充分的考虑。如对技术部分有偏离，应将这些条款的偏离逐条根据上表要求的格式列明，</w:t>
      </w:r>
      <w:r>
        <w:rPr>
          <w:rFonts w:hint="eastAsia" w:ascii="宋体" w:hAnsi="宋体" w:eastAsia="宋体" w:cs="宋体"/>
          <w:sz w:val="24"/>
          <w:szCs w:val="24"/>
          <w:highlight w:val="none"/>
          <w:lang w:val="zh-CN"/>
        </w:rPr>
        <w:t>在</w:t>
      </w:r>
      <w:r>
        <w:rPr>
          <w:rFonts w:hint="eastAsia" w:ascii="宋体" w:hAnsi="宋体" w:eastAsia="宋体" w:cs="宋体"/>
          <w:sz w:val="24"/>
          <w:szCs w:val="24"/>
          <w:highlight w:val="none"/>
        </w:rPr>
        <w:t>偏离情况一栏内如实填写“正偏离或负偏离”，其他未列明的条款，如果不需要提供证明文件的，视作完全响应采购文件要求；如果需要提供证明文件，以投标文件中证明文件为准。如对技术部分无偏离，则在表格第一行偏离情况一栏内填写“无偏离”。</w:t>
      </w:r>
    </w:p>
    <w:p w14:paraId="2240E979">
      <w:pPr>
        <w:widowControl w:val="0"/>
        <w:shd w:val="clear" w:color="auto" w:fill="FFFFFF"/>
        <w:spacing w:line="360" w:lineRule="auto"/>
        <w:rPr>
          <w:rFonts w:ascii="宋体" w:hAnsi="宋体" w:eastAsia="宋体" w:cs="Arial"/>
          <w:sz w:val="24"/>
          <w:szCs w:val="24"/>
          <w:highlight w:val="none"/>
        </w:rPr>
      </w:pPr>
    </w:p>
    <w:p w14:paraId="65AAC2E0">
      <w:pPr>
        <w:widowControl w:val="0"/>
        <w:shd w:val="clear" w:color="auto" w:fill="FFFFFF"/>
        <w:spacing w:line="360" w:lineRule="auto"/>
        <w:rPr>
          <w:rFonts w:ascii="宋体" w:hAnsi="宋体" w:eastAsia="宋体" w:cs="Arial"/>
          <w:sz w:val="24"/>
          <w:szCs w:val="24"/>
          <w:highlight w:val="none"/>
        </w:rPr>
      </w:pPr>
      <w:r>
        <w:rPr>
          <w:rFonts w:hint="eastAsia" w:ascii="宋体" w:hAnsi="宋体" w:eastAsia="宋体" w:cs="Arial"/>
          <w:sz w:val="24"/>
          <w:szCs w:val="24"/>
          <w:highlight w:val="none"/>
        </w:rPr>
        <w:t>如果行数不够，请自行增加。</w:t>
      </w:r>
    </w:p>
    <w:p w14:paraId="172DAC0F">
      <w:pPr>
        <w:shd w:val="clear" w:color="auto" w:fill="FFFFFF"/>
        <w:spacing w:line="360" w:lineRule="auto"/>
        <w:rPr>
          <w:rFonts w:ascii="宋体" w:hAnsi="宋体" w:eastAsia="宋体" w:cs="Arial"/>
          <w:sz w:val="24"/>
          <w:szCs w:val="24"/>
          <w:highlight w:val="none"/>
        </w:rPr>
      </w:pPr>
    </w:p>
    <w:p w14:paraId="127BE946">
      <w:pPr>
        <w:shd w:val="clear" w:color="auto" w:fill="FFFFFF"/>
        <w:spacing w:line="360" w:lineRule="auto"/>
        <w:ind w:firstLine="6240" w:firstLineChars="2600"/>
        <w:rPr>
          <w:rFonts w:ascii="宋体" w:hAnsi="宋体" w:eastAsia="宋体" w:cs="Arial"/>
          <w:sz w:val="24"/>
          <w:szCs w:val="24"/>
          <w:highlight w:val="none"/>
        </w:rPr>
      </w:pPr>
      <w:r>
        <w:rPr>
          <w:rFonts w:hint="eastAsia" w:ascii="宋体" w:hAnsi="宋体" w:eastAsia="宋体" w:cs="Arial"/>
          <w:sz w:val="24"/>
          <w:szCs w:val="24"/>
          <w:highlight w:val="none"/>
        </w:rPr>
        <w:t>投标人全称（CA公章）：</w:t>
      </w:r>
    </w:p>
    <w:p w14:paraId="2847C2B9">
      <w:pPr>
        <w:shd w:val="clear" w:color="auto" w:fill="FFFFFF"/>
        <w:spacing w:line="360" w:lineRule="auto"/>
        <w:rPr>
          <w:rFonts w:ascii="宋体" w:hAnsi="宋体" w:eastAsia="宋体" w:cs="Arial"/>
          <w:szCs w:val="21"/>
          <w:highlight w:val="none"/>
        </w:rPr>
      </w:pPr>
      <w:r>
        <w:rPr>
          <w:rFonts w:ascii="宋体" w:hAnsi="宋体" w:eastAsia="宋体" w:cs="Arial"/>
          <w:szCs w:val="21"/>
          <w:highlight w:val="none"/>
        </w:rPr>
        <w:t> </w:t>
      </w:r>
    </w:p>
    <w:p w14:paraId="6B1C9AEB">
      <w:pPr>
        <w:shd w:val="clear" w:color="auto" w:fill="FFFFFF"/>
        <w:spacing w:line="360" w:lineRule="auto"/>
        <w:rPr>
          <w:rFonts w:ascii="宋体" w:hAnsi="宋体" w:eastAsia="宋体" w:cs="Arial"/>
          <w:szCs w:val="21"/>
          <w:highlight w:val="none"/>
        </w:rPr>
      </w:pPr>
      <w:r>
        <w:rPr>
          <w:rFonts w:ascii="宋体" w:hAnsi="宋体" w:eastAsia="宋体" w:cs="Arial"/>
          <w:szCs w:val="21"/>
          <w:highlight w:val="none"/>
        </w:rPr>
        <w:t> </w:t>
      </w:r>
    </w:p>
    <w:p w14:paraId="4DE69070">
      <w:pPr>
        <w:rPr>
          <w:rFonts w:ascii="宋体" w:hAnsi="宋体" w:eastAsia="宋体" w:cs="Arial"/>
          <w:b/>
          <w:bCs/>
          <w:szCs w:val="21"/>
          <w:highlight w:val="none"/>
        </w:rPr>
      </w:pPr>
      <w:r>
        <w:rPr>
          <w:rFonts w:hint="eastAsia" w:ascii="宋体" w:hAnsi="宋体" w:eastAsia="宋体" w:cs="Arial"/>
          <w:b/>
          <w:bCs/>
          <w:szCs w:val="21"/>
          <w:highlight w:val="none"/>
        </w:rPr>
        <w:br w:type="page"/>
      </w:r>
    </w:p>
    <w:p w14:paraId="039F01C3">
      <w:pPr>
        <w:shd w:val="clear" w:color="auto" w:fill="FFFFFF"/>
        <w:spacing w:line="360" w:lineRule="auto"/>
        <w:outlineLvl w:val="1"/>
        <w:rPr>
          <w:rFonts w:ascii="宋体" w:hAnsi="宋体" w:eastAsia="宋体" w:cs="Arial"/>
          <w:szCs w:val="21"/>
          <w:highlight w:val="none"/>
        </w:rPr>
      </w:pPr>
      <w:bookmarkStart w:id="124" w:name="_Toc12740"/>
      <w:bookmarkStart w:id="125" w:name="_Toc28003"/>
      <w:bookmarkStart w:id="126" w:name="_Toc5301"/>
      <w:bookmarkStart w:id="127" w:name="_Toc1189"/>
      <w:r>
        <w:rPr>
          <w:rFonts w:hint="eastAsia" w:ascii="宋体" w:hAnsi="宋体" w:eastAsia="宋体" w:cs="Arial"/>
          <w:b/>
          <w:bCs/>
          <w:szCs w:val="21"/>
          <w:highlight w:val="none"/>
        </w:rPr>
        <w:t>六、商务条款偏离表</w:t>
      </w:r>
      <w:bookmarkEnd w:id="124"/>
      <w:bookmarkEnd w:id="125"/>
      <w:bookmarkEnd w:id="126"/>
      <w:bookmarkEnd w:id="127"/>
    </w:p>
    <w:p w14:paraId="13F261AA">
      <w:pPr>
        <w:shd w:val="clear" w:color="auto" w:fill="FFFFFF"/>
        <w:spacing w:line="360" w:lineRule="auto"/>
        <w:ind w:left="420"/>
        <w:jc w:val="center"/>
        <w:rPr>
          <w:rFonts w:ascii="宋体" w:hAnsi="宋体" w:eastAsia="宋体" w:cs="Arial"/>
          <w:b/>
          <w:sz w:val="32"/>
          <w:szCs w:val="32"/>
          <w:highlight w:val="none"/>
        </w:rPr>
      </w:pPr>
      <w:r>
        <w:rPr>
          <w:rFonts w:hint="eastAsia" w:ascii="宋体" w:hAnsi="宋体" w:eastAsia="宋体" w:cs="Arial"/>
          <w:b/>
          <w:sz w:val="32"/>
          <w:szCs w:val="32"/>
          <w:highlight w:val="none"/>
        </w:rPr>
        <w:t>商务条款偏离表</w:t>
      </w:r>
      <w:r>
        <w:rPr>
          <w:rFonts w:ascii="宋体" w:hAnsi="宋体" w:eastAsia="宋体" w:cs="Arial"/>
          <w:b/>
          <w:sz w:val="32"/>
          <w:szCs w:val="32"/>
          <w:highlight w:val="none"/>
        </w:rPr>
        <w:t> </w:t>
      </w:r>
    </w:p>
    <w:p w14:paraId="22655A35">
      <w:pPr>
        <w:widowControl w:val="0"/>
        <w:spacing w:line="360" w:lineRule="auto"/>
        <w:rPr>
          <w:rFonts w:ascii="宋体" w:hAnsi="宋体" w:eastAsia="宋体" w:cs="Arial"/>
          <w:bCs/>
          <w:sz w:val="24"/>
          <w:szCs w:val="24"/>
          <w:highlight w:val="none"/>
        </w:rPr>
      </w:pPr>
      <w:r>
        <w:rPr>
          <w:rFonts w:hint="eastAsia" w:ascii="宋体" w:hAnsi="宋体" w:eastAsia="宋体" w:cs="Arial"/>
          <w:bCs/>
          <w:sz w:val="24"/>
          <w:szCs w:val="24"/>
          <w:highlight w:val="none"/>
        </w:rPr>
        <w:t xml:space="preserve">项目名称：               </w:t>
      </w:r>
    </w:p>
    <w:p w14:paraId="5A71B6BB">
      <w:pPr>
        <w:widowControl w:val="0"/>
        <w:spacing w:line="360" w:lineRule="auto"/>
        <w:rPr>
          <w:rFonts w:ascii="宋体" w:hAnsi="宋体" w:eastAsia="宋体" w:cs="Arial"/>
          <w:bCs/>
          <w:sz w:val="24"/>
          <w:szCs w:val="24"/>
          <w:highlight w:val="none"/>
        </w:rPr>
      </w:pPr>
      <w:r>
        <w:rPr>
          <w:rFonts w:hint="eastAsia" w:ascii="宋体" w:hAnsi="宋体" w:eastAsia="宋体" w:cs="Arial"/>
          <w:bCs/>
          <w:sz w:val="24"/>
          <w:szCs w:val="24"/>
          <w:highlight w:val="none"/>
        </w:rPr>
        <w:t xml:space="preserve">项目编号：               </w:t>
      </w:r>
    </w:p>
    <w:tbl>
      <w:tblPr>
        <w:tblStyle w:val="37"/>
        <w:tblW w:w="9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41"/>
        <w:gridCol w:w="1990"/>
        <w:gridCol w:w="3014"/>
        <w:gridCol w:w="2162"/>
        <w:gridCol w:w="1299"/>
      </w:tblGrid>
      <w:tr w14:paraId="4C367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4" w:hRule="atLeast"/>
          <w:jc w:val="center"/>
        </w:trPr>
        <w:tc>
          <w:tcPr>
            <w:tcW w:w="114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30774DCD">
            <w:pPr>
              <w:wordWrap w:val="0"/>
              <w:topLinePunct/>
              <w:jc w:val="center"/>
              <w:rPr>
                <w:rFonts w:ascii="宋体" w:hAnsi="宋体" w:eastAsia="宋体" w:cs="Arial"/>
                <w:b/>
                <w:sz w:val="24"/>
                <w:szCs w:val="24"/>
                <w:highlight w:val="none"/>
              </w:rPr>
            </w:pPr>
            <w:r>
              <w:rPr>
                <w:rFonts w:hint="eastAsia" w:ascii="宋体" w:hAnsi="宋体" w:eastAsia="宋体" w:cs="Arial"/>
                <w:b/>
                <w:sz w:val="24"/>
                <w:szCs w:val="24"/>
                <w:highlight w:val="none"/>
              </w:rPr>
              <w:t>序号</w:t>
            </w:r>
          </w:p>
        </w:tc>
        <w:tc>
          <w:tcPr>
            <w:tcW w:w="199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45B34BB5">
            <w:pPr>
              <w:wordWrap w:val="0"/>
              <w:topLinePunct/>
              <w:jc w:val="center"/>
              <w:rPr>
                <w:rFonts w:ascii="宋体" w:hAnsi="宋体" w:eastAsia="宋体" w:cs="Arial"/>
                <w:b/>
                <w:sz w:val="24"/>
                <w:szCs w:val="24"/>
                <w:highlight w:val="none"/>
              </w:rPr>
            </w:pPr>
            <w:r>
              <w:rPr>
                <w:rFonts w:hint="eastAsia" w:ascii="宋体" w:hAnsi="宋体" w:eastAsia="宋体" w:cs="Arial"/>
                <w:b/>
                <w:sz w:val="24"/>
                <w:szCs w:val="24"/>
                <w:highlight w:val="none"/>
              </w:rPr>
              <w:t>招标文件条目号</w:t>
            </w:r>
          </w:p>
        </w:tc>
        <w:tc>
          <w:tcPr>
            <w:tcW w:w="3014"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58C41776">
            <w:pPr>
              <w:wordWrap w:val="0"/>
              <w:topLinePunct/>
              <w:jc w:val="center"/>
              <w:rPr>
                <w:rFonts w:ascii="宋体" w:hAnsi="宋体" w:eastAsia="宋体" w:cs="Arial"/>
                <w:b/>
                <w:sz w:val="24"/>
                <w:szCs w:val="24"/>
                <w:highlight w:val="none"/>
              </w:rPr>
            </w:pPr>
            <w:r>
              <w:rPr>
                <w:rFonts w:hint="eastAsia" w:ascii="宋体" w:hAnsi="宋体" w:eastAsia="宋体" w:cs="Arial"/>
                <w:b/>
                <w:sz w:val="24"/>
                <w:szCs w:val="24"/>
                <w:highlight w:val="none"/>
              </w:rPr>
              <w:t>招标文件要求的商务条款</w:t>
            </w:r>
          </w:p>
        </w:tc>
        <w:tc>
          <w:tcPr>
            <w:tcW w:w="2162"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41C96C77">
            <w:pPr>
              <w:wordWrap w:val="0"/>
              <w:topLinePunct/>
              <w:jc w:val="center"/>
              <w:rPr>
                <w:rFonts w:ascii="宋体" w:hAnsi="宋体" w:eastAsia="宋体" w:cs="Arial"/>
                <w:b/>
                <w:sz w:val="24"/>
                <w:szCs w:val="24"/>
                <w:highlight w:val="none"/>
              </w:rPr>
            </w:pPr>
            <w:r>
              <w:rPr>
                <w:rFonts w:hint="eastAsia" w:ascii="宋体" w:hAnsi="宋体" w:eastAsia="宋体" w:cs="Arial"/>
                <w:b/>
                <w:sz w:val="24"/>
                <w:szCs w:val="24"/>
                <w:highlight w:val="none"/>
              </w:rPr>
              <w:t>投标响应</w:t>
            </w:r>
          </w:p>
        </w:tc>
        <w:tc>
          <w:tcPr>
            <w:tcW w:w="1299"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44509D3F">
            <w:pPr>
              <w:wordWrap w:val="0"/>
              <w:topLinePunct/>
              <w:jc w:val="center"/>
              <w:rPr>
                <w:rFonts w:ascii="宋体" w:hAnsi="宋体" w:eastAsia="宋体" w:cs="Arial"/>
                <w:b/>
                <w:sz w:val="24"/>
                <w:szCs w:val="24"/>
                <w:highlight w:val="none"/>
              </w:rPr>
            </w:pPr>
            <w:r>
              <w:rPr>
                <w:rFonts w:hint="eastAsia" w:ascii="宋体" w:hAnsi="宋体" w:eastAsia="宋体" w:cs="Arial"/>
                <w:b/>
                <w:sz w:val="24"/>
                <w:szCs w:val="24"/>
                <w:highlight w:val="none"/>
              </w:rPr>
              <w:t>偏离</w:t>
            </w:r>
          </w:p>
        </w:tc>
      </w:tr>
      <w:tr w14:paraId="292AB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4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6832F1C6">
            <w:pPr>
              <w:wordWrap w:val="0"/>
              <w:topLinePunct/>
              <w:jc w:val="center"/>
              <w:rPr>
                <w:rFonts w:ascii="宋体" w:hAnsi="宋体" w:eastAsia="宋体" w:cs="Arial"/>
                <w:sz w:val="24"/>
                <w:szCs w:val="24"/>
                <w:highlight w:val="none"/>
              </w:rPr>
            </w:pPr>
            <w:r>
              <w:rPr>
                <w:rFonts w:ascii="宋体" w:hAnsi="宋体" w:eastAsia="宋体" w:cs="Arial"/>
                <w:sz w:val="24"/>
                <w:szCs w:val="24"/>
                <w:highlight w:val="none"/>
              </w:rPr>
              <w:t> </w:t>
            </w:r>
          </w:p>
        </w:tc>
        <w:tc>
          <w:tcPr>
            <w:tcW w:w="199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53C58FAE">
            <w:pPr>
              <w:wordWrap w:val="0"/>
              <w:topLinePunct/>
              <w:jc w:val="center"/>
              <w:rPr>
                <w:rFonts w:ascii="宋体" w:hAnsi="宋体" w:eastAsia="宋体" w:cs="Arial"/>
                <w:sz w:val="24"/>
                <w:szCs w:val="24"/>
                <w:highlight w:val="none"/>
              </w:rPr>
            </w:pPr>
            <w:r>
              <w:rPr>
                <w:rFonts w:ascii="宋体" w:hAnsi="宋体" w:eastAsia="宋体" w:cs="Arial"/>
                <w:sz w:val="24"/>
                <w:szCs w:val="24"/>
                <w:highlight w:val="none"/>
              </w:rPr>
              <w:t> </w:t>
            </w:r>
          </w:p>
        </w:tc>
        <w:tc>
          <w:tcPr>
            <w:tcW w:w="3014"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33F630C7">
            <w:pPr>
              <w:wordWrap w:val="0"/>
              <w:topLinePunct/>
              <w:jc w:val="center"/>
              <w:rPr>
                <w:rFonts w:ascii="宋体" w:hAnsi="宋体" w:eastAsia="宋体" w:cs="Arial"/>
                <w:sz w:val="24"/>
                <w:szCs w:val="24"/>
                <w:highlight w:val="none"/>
              </w:rPr>
            </w:pPr>
            <w:r>
              <w:rPr>
                <w:rFonts w:ascii="宋体" w:hAnsi="宋体" w:eastAsia="宋体" w:cs="Arial"/>
                <w:sz w:val="24"/>
                <w:szCs w:val="24"/>
                <w:highlight w:val="none"/>
              </w:rPr>
              <w:t> </w:t>
            </w:r>
          </w:p>
        </w:tc>
        <w:tc>
          <w:tcPr>
            <w:tcW w:w="2162"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293F6788">
            <w:pPr>
              <w:wordWrap w:val="0"/>
              <w:topLinePunct/>
              <w:jc w:val="center"/>
              <w:rPr>
                <w:rFonts w:ascii="宋体" w:hAnsi="宋体" w:eastAsia="宋体" w:cs="Arial"/>
                <w:sz w:val="24"/>
                <w:szCs w:val="24"/>
                <w:highlight w:val="none"/>
              </w:rPr>
            </w:pPr>
            <w:r>
              <w:rPr>
                <w:rFonts w:ascii="宋体" w:hAnsi="宋体" w:eastAsia="宋体" w:cs="Arial"/>
                <w:sz w:val="24"/>
                <w:szCs w:val="24"/>
                <w:highlight w:val="none"/>
              </w:rPr>
              <w:t> </w:t>
            </w:r>
          </w:p>
        </w:tc>
        <w:tc>
          <w:tcPr>
            <w:tcW w:w="1299"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56273E86">
            <w:pPr>
              <w:wordWrap w:val="0"/>
              <w:topLinePunct/>
              <w:jc w:val="center"/>
              <w:rPr>
                <w:rFonts w:ascii="宋体" w:hAnsi="宋体" w:eastAsia="宋体" w:cs="Arial"/>
                <w:sz w:val="24"/>
                <w:szCs w:val="24"/>
                <w:highlight w:val="none"/>
              </w:rPr>
            </w:pPr>
            <w:r>
              <w:rPr>
                <w:rFonts w:ascii="宋体" w:hAnsi="宋体" w:eastAsia="宋体" w:cs="Arial"/>
                <w:sz w:val="24"/>
                <w:szCs w:val="24"/>
                <w:highlight w:val="none"/>
              </w:rPr>
              <w:t> </w:t>
            </w:r>
          </w:p>
        </w:tc>
      </w:tr>
      <w:tr w14:paraId="1F5DA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4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735C264B">
            <w:pPr>
              <w:wordWrap w:val="0"/>
              <w:topLinePunct/>
              <w:jc w:val="center"/>
              <w:rPr>
                <w:rFonts w:ascii="宋体" w:hAnsi="宋体" w:eastAsia="宋体" w:cs="Arial"/>
                <w:sz w:val="24"/>
                <w:szCs w:val="24"/>
                <w:highlight w:val="none"/>
              </w:rPr>
            </w:pPr>
            <w:r>
              <w:rPr>
                <w:rFonts w:ascii="宋体" w:hAnsi="宋体" w:eastAsia="宋体" w:cs="Arial"/>
                <w:sz w:val="24"/>
                <w:szCs w:val="24"/>
                <w:highlight w:val="none"/>
              </w:rPr>
              <w:t> </w:t>
            </w:r>
          </w:p>
        </w:tc>
        <w:tc>
          <w:tcPr>
            <w:tcW w:w="199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05FBB2FA">
            <w:pPr>
              <w:wordWrap w:val="0"/>
              <w:topLinePunct/>
              <w:jc w:val="center"/>
              <w:rPr>
                <w:rFonts w:ascii="宋体" w:hAnsi="宋体" w:eastAsia="宋体" w:cs="Arial"/>
                <w:sz w:val="24"/>
                <w:szCs w:val="24"/>
                <w:highlight w:val="none"/>
              </w:rPr>
            </w:pPr>
            <w:r>
              <w:rPr>
                <w:rFonts w:ascii="宋体" w:hAnsi="宋体" w:eastAsia="宋体" w:cs="Arial"/>
                <w:sz w:val="24"/>
                <w:szCs w:val="24"/>
                <w:highlight w:val="none"/>
              </w:rPr>
              <w:t> </w:t>
            </w:r>
          </w:p>
        </w:tc>
        <w:tc>
          <w:tcPr>
            <w:tcW w:w="3014"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78DC5255">
            <w:pPr>
              <w:wordWrap w:val="0"/>
              <w:topLinePunct/>
              <w:jc w:val="center"/>
              <w:rPr>
                <w:rFonts w:ascii="宋体" w:hAnsi="宋体" w:eastAsia="宋体" w:cs="Arial"/>
                <w:sz w:val="24"/>
                <w:szCs w:val="24"/>
                <w:highlight w:val="none"/>
              </w:rPr>
            </w:pPr>
            <w:r>
              <w:rPr>
                <w:rFonts w:ascii="宋体" w:hAnsi="宋体" w:eastAsia="宋体" w:cs="Arial"/>
                <w:sz w:val="24"/>
                <w:szCs w:val="24"/>
                <w:highlight w:val="none"/>
              </w:rPr>
              <w:t> </w:t>
            </w:r>
          </w:p>
        </w:tc>
        <w:tc>
          <w:tcPr>
            <w:tcW w:w="2162"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2B3EB9E4">
            <w:pPr>
              <w:wordWrap w:val="0"/>
              <w:topLinePunct/>
              <w:jc w:val="center"/>
              <w:rPr>
                <w:rFonts w:ascii="宋体" w:hAnsi="宋体" w:eastAsia="宋体" w:cs="Arial"/>
                <w:sz w:val="24"/>
                <w:szCs w:val="24"/>
                <w:highlight w:val="none"/>
              </w:rPr>
            </w:pPr>
            <w:r>
              <w:rPr>
                <w:rFonts w:ascii="宋体" w:hAnsi="宋体" w:eastAsia="宋体" w:cs="Arial"/>
                <w:sz w:val="24"/>
                <w:szCs w:val="24"/>
                <w:highlight w:val="none"/>
              </w:rPr>
              <w:t> </w:t>
            </w:r>
          </w:p>
        </w:tc>
        <w:tc>
          <w:tcPr>
            <w:tcW w:w="1299"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6A284F12">
            <w:pPr>
              <w:wordWrap w:val="0"/>
              <w:topLinePunct/>
              <w:jc w:val="center"/>
              <w:rPr>
                <w:rFonts w:ascii="宋体" w:hAnsi="宋体" w:eastAsia="宋体" w:cs="Arial"/>
                <w:sz w:val="24"/>
                <w:szCs w:val="24"/>
                <w:highlight w:val="none"/>
              </w:rPr>
            </w:pPr>
            <w:r>
              <w:rPr>
                <w:rFonts w:ascii="宋体" w:hAnsi="宋体" w:eastAsia="宋体" w:cs="Arial"/>
                <w:sz w:val="24"/>
                <w:szCs w:val="24"/>
                <w:highlight w:val="none"/>
              </w:rPr>
              <w:t> </w:t>
            </w:r>
          </w:p>
        </w:tc>
      </w:tr>
      <w:tr w14:paraId="3AF55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4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7B78B772">
            <w:pPr>
              <w:wordWrap w:val="0"/>
              <w:topLinePunct/>
              <w:jc w:val="center"/>
              <w:rPr>
                <w:rFonts w:ascii="宋体" w:hAnsi="宋体" w:eastAsia="宋体" w:cs="Arial"/>
                <w:sz w:val="24"/>
                <w:szCs w:val="24"/>
                <w:highlight w:val="none"/>
              </w:rPr>
            </w:pPr>
            <w:r>
              <w:rPr>
                <w:rFonts w:ascii="宋体" w:hAnsi="宋体" w:eastAsia="宋体" w:cs="Arial"/>
                <w:sz w:val="24"/>
                <w:szCs w:val="24"/>
                <w:highlight w:val="none"/>
              </w:rPr>
              <w:t> </w:t>
            </w:r>
          </w:p>
        </w:tc>
        <w:tc>
          <w:tcPr>
            <w:tcW w:w="199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166DD78E">
            <w:pPr>
              <w:wordWrap w:val="0"/>
              <w:topLinePunct/>
              <w:jc w:val="center"/>
              <w:rPr>
                <w:rFonts w:ascii="宋体" w:hAnsi="宋体" w:eastAsia="宋体" w:cs="Arial"/>
                <w:sz w:val="24"/>
                <w:szCs w:val="24"/>
                <w:highlight w:val="none"/>
              </w:rPr>
            </w:pPr>
            <w:r>
              <w:rPr>
                <w:rFonts w:ascii="宋体" w:hAnsi="宋体" w:eastAsia="宋体" w:cs="Arial"/>
                <w:sz w:val="24"/>
                <w:szCs w:val="24"/>
                <w:highlight w:val="none"/>
              </w:rPr>
              <w:t> </w:t>
            </w:r>
          </w:p>
        </w:tc>
        <w:tc>
          <w:tcPr>
            <w:tcW w:w="3014"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7AFD71FA">
            <w:pPr>
              <w:wordWrap w:val="0"/>
              <w:topLinePunct/>
              <w:jc w:val="center"/>
              <w:rPr>
                <w:rFonts w:ascii="宋体" w:hAnsi="宋体" w:eastAsia="宋体" w:cs="Arial"/>
                <w:sz w:val="24"/>
                <w:szCs w:val="24"/>
                <w:highlight w:val="none"/>
              </w:rPr>
            </w:pPr>
            <w:r>
              <w:rPr>
                <w:rFonts w:ascii="宋体" w:hAnsi="宋体" w:eastAsia="宋体" w:cs="Arial"/>
                <w:sz w:val="24"/>
                <w:szCs w:val="24"/>
                <w:highlight w:val="none"/>
              </w:rPr>
              <w:t> </w:t>
            </w:r>
          </w:p>
        </w:tc>
        <w:tc>
          <w:tcPr>
            <w:tcW w:w="2162"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22D2E502">
            <w:pPr>
              <w:wordWrap w:val="0"/>
              <w:topLinePunct/>
              <w:jc w:val="center"/>
              <w:rPr>
                <w:rFonts w:ascii="宋体" w:hAnsi="宋体" w:eastAsia="宋体" w:cs="Arial"/>
                <w:sz w:val="24"/>
                <w:szCs w:val="24"/>
                <w:highlight w:val="none"/>
              </w:rPr>
            </w:pPr>
            <w:r>
              <w:rPr>
                <w:rFonts w:ascii="宋体" w:hAnsi="宋体" w:eastAsia="宋体" w:cs="Arial"/>
                <w:sz w:val="24"/>
                <w:szCs w:val="24"/>
                <w:highlight w:val="none"/>
              </w:rPr>
              <w:t> </w:t>
            </w:r>
          </w:p>
        </w:tc>
        <w:tc>
          <w:tcPr>
            <w:tcW w:w="1299"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67CFC145">
            <w:pPr>
              <w:wordWrap w:val="0"/>
              <w:topLinePunct/>
              <w:jc w:val="center"/>
              <w:rPr>
                <w:rFonts w:ascii="宋体" w:hAnsi="宋体" w:eastAsia="宋体" w:cs="Arial"/>
                <w:sz w:val="24"/>
                <w:szCs w:val="24"/>
                <w:highlight w:val="none"/>
              </w:rPr>
            </w:pPr>
            <w:r>
              <w:rPr>
                <w:rFonts w:ascii="宋体" w:hAnsi="宋体" w:eastAsia="宋体" w:cs="Arial"/>
                <w:sz w:val="24"/>
                <w:szCs w:val="24"/>
                <w:highlight w:val="none"/>
              </w:rPr>
              <w:t> </w:t>
            </w:r>
          </w:p>
        </w:tc>
      </w:tr>
      <w:tr w14:paraId="21788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4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3E8CB387">
            <w:pPr>
              <w:wordWrap w:val="0"/>
              <w:topLinePunct/>
              <w:jc w:val="center"/>
              <w:rPr>
                <w:rFonts w:ascii="宋体" w:hAnsi="宋体" w:eastAsia="宋体" w:cs="Arial"/>
                <w:sz w:val="24"/>
                <w:szCs w:val="24"/>
                <w:highlight w:val="none"/>
              </w:rPr>
            </w:pPr>
            <w:r>
              <w:rPr>
                <w:rFonts w:ascii="宋体" w:hAnsi="宋体" w:eastAsia="宋体" w:cs="Arial"/>
                <w:sz w:val="24"/>
                <w:szCs w:val="24"/>
                <w:highlight w:val="none"/>
              </w:rPr>
              <w:t> </w:t>
            </w:r>
          </w:p>
        </w:tc>
        <w:tc>
          <w:tcPr>
            <w:tcW w:w="199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56F81EA4">
            <w:pPr>
              <w:wordWrap w:val="0"/>
              <w:topLinePunct/>
              <w:jc w:val="center"/>
              <w:rPr>
                <w:rFonts w:ascii="宋体" w:hAnsi="宋体" w:eastAsia="宋体" w:cs="Arial"/>
                <w:sz w:val="24"/>
                <w:szCs w:val="24"/>
                <w:highlight w:val="none"/>
              </w:rPr>
            </w:pPr>
            <w:r>
              <w:rPr>
                <w:rFonts w:ascii="宋体" w:hAnsi="宋体" w:eastAsia="宋体" w:cs="Arial"/>
                <w:sz w:val="24"/>
                <w:szCs w:val="24"/>
                <w:highlight w:val="none"/>
              </w:rPr>
              <w:t> </w:t>
            </w:r>
          </w:p>
        </w:tc>
        <w:tc>
          <w:tcPr>
            <w:tcW w:w="3014"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16DD3A74">
            <w:pPr>
              <w:wordWrap w:val="0"/>
              <w:topLinePunct/>
              <w:jc w:val="center"/>
              <w:rPr>
                <w:rFonts w:ascii="宋体" w:hAnsi="宋体" w:eastAsia="宋体" w:cs="Arial"/>
                <w:sz w:val="24"/>
                <w:szCs w:val="24"/>
                <w:highlight w:val="none"/>
              </w:rPr>
            </w:pPr>
            <w:r>
              <w:rPr>
                <w:rFonts w:ascii="宋体" w:hAnsi="宋体" w:eastAsia="宋体" w:cs="Arial"/>
                <w:sz w:val="24"/>
                <w:szCs w:val="24"/>
                <w:highlight w:val="none"/>
              </w:rPr>
              <w:t> </w:t>
            </w:r>
          </w:p>
        </w:tc>
        <w:tc>
          <w:tcPr>
            <w:tcW w:w="2162"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43D2BE09">
            <w:pPr>
              <w:wordWrap w:val="0"/>
              <w:topLinePunct/>
              <w:jc w:val="center"/>
              <w:rPr>
                <w:rFonts w:ascii="宋体" w:hAnsi="宋体" w:eastAsia="宋体" w:cs="Arial"/>
                <w:sz w:val="24"/>
                <w:szCs w:val="24"/>
                <w:highlight w:val="none"/>
              </w:rPr>
            </w:pPr>
            <w:r>
              <w:rPr>
                <w:rFonts w:ascii="宋体" w:hAnsi="宋体" w:eastAsia="宋体" w:cs="Arial"/>
                <w:sz w:val="24"/>
                <w:szCs w:val="24"/>
                <w:highlight w:val="none"/>
              </w:rPr>
              <w:t> </w:t>
            </w:r>
          </w:p>
        </w:tc>
        <w:tc>
          <w:tcPr>
            <w:tcW w:w="1299"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67EF5159">
            <w:pPr>
              <w:wordWrap w:val="0"/>
              <w:topLinePunct/>
              <w:jc w:val="center"/>
              <w:rPr>
                <w:rFonts w:ascii="宋体" w:hAnsi="宋体" w:eastAsia="宋体" w:cs="Arial"/>
                <w:sz w:val="24"/>
                <w:szCs w:val="24"/>
                <w:highlight w:val="none"/>
              </w:rPr>
            </w:pPr>
            <w:r>
              <w:rPr>
                <w:rFonts w:ascii="宋体" w:hAnsi="宋体" w:eastAsia="宋体" w:cs="Arial"/>
                <w:sz w:val="24"/>
                <w:szCs w:val="24"/>
                <w:highlight w:val="none"/>
              </w:rPr>
              <w:t> </w:t>
            </w:r>
          </w:p>
        </w:tc>
      </w:tr>
      <w:tr w14:paraId="6EB8D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4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23AB987F">
            <w:pPr>
              <w:wordWrap w:val="0"/>
              <w:topLinePunct/>
              <w:jc w:val="center"/>
              <w:rPr>
                <w:rFonts w:ascii="宋体" w:hAnsi="宋体" w:eastAsia="宋体" w:cs="Arial"/>
                <w:sz w:val="24"/>
                <w:szCs w:val="24"/>
                <w:highlight w:val="none"/>
              </w:rPr>
            </w:pPr>
            <w:r>
              <w:rPr>
                <w:rFonts w:ascii="宋体" w:hAnsi="宋体" w:eastAsia="宋体" w:cs="Arial"/>
                <w:sz w:val="24"/>
                <w:szCs w:val="24"/>
                <w:highlight w:val="none"/>
              </w:rPr>
              <w:t> </w:t>
            </w:r>
          </w:p>
        </w:tc>
        <w:tc>
          <w:tcPr>
            <w:tcW w:w="199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581FB183">
            <w:pPr>
              <w:wordWrap w:val="0"/>
              <w:topLinePunct/>
              <w:jc w:val="center"/>
              <w:rPr>
                <w:rFonts w:ascii="宋体" w:hAnsi="宋体" w:eastAsia="宋体" w:cs="Arial"/>
                <w:sz w:val="24"/>
                <w:szCs w:val="24"/>
                <w:highlight w:val="none"/>
              </w:rPr>
            </w:pPr>
            <w:r>
              <w:rPr>
                <w:rFonts w:ascii="宋体" w:hAnsi="宋体" w:eastAsia="宋体" w:cs="Arial"/>
                <w:sz w:val="24"/>
                <w:szCs w:val="24"/>
                <w:highlight w:val="none"/>
              </w:rPr>
              <w:t> </w:t>
            </w:r>
          </w:p>
        </w:tc>
        <w:tc>
          <w:tcPr>
            <w:tcW w:w="3014"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37FE97F4">
            <w:pPr>
              <w:wordWrap w:val="0"/>
              <w:topLinePunct/>
              <w:jc w:val="center"/>
              <w:rPr>
                <w:rFonts w:ascii="宋体" w:hAnsi="宋体" w:eastAsia="宋体" w:cs="Arial"/>
                <w:sz w:val="24"/>
                <w:szCs w:val="24"/>
                <w:highlight w:val="none"/>
              </w:rPr>
            </w:pPr>
            <w:r>
              <w:rPr>
                <w:rFonts w:ascii="宋体" w:hAnsi="宋体" w:eastAsia="宋体" w:cs="Arial"/>
                <w:sz w:val="24"/>
                <w:szCs w:val="24"/>
                <w:highlight w:val="none"/>
              </w:rPr>
              <w:t> </w:t>
            </w:r>
          </w:p>
        </w:tc>
        <w:tc>
          <w:tcPr>
            <w:tcW w:w="2162"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3DD148C6">
            <w:pPr>
              <w:wordWrap w:val="0"/>
              <w:topLinePunct/>
              <w:jc w:val="center"/>
              <w:rPr>
                <w:rFonts w:ascii="宋体" w:hAnsi="宋体" w:eastAsia="宋体" w:cs="Arial"/>
                <w:sz w:val="24"/>
                <w:szCs w:val="24"/>
                <w:highlight w:val="none"/>
              </w:rPr>
            </w:pPr>
            <w:r>
              <w:rPr>
                <w:rFonts w:ascii="宋体" w:hAnsi="宋体" w:eastAsia="宋体" w:cs="Arial"/>
                <w:sz w:val="24"/>
                <w:szCs w:val="24"/>
                <w:highlight w:val="none"/>
              </w:rPr>
              <w:t> </w:t>
            </w:r>
          </w:p>
        </w:tc>
        <w:tc>
          <w:tcPr>
            <w:tcW w:w="1299"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1C4A0EE5">
            <w:pPr>
              <w:wordWrap w:val="0"/>
              <w:topLinePunct/>
              <w:jc w:val="center"/>
              <w:rPr>
                <w:rFonts w:ascii="宋体" w:hAnsi="宋体" w:eastAsia="宋体" w:cs="Arial"/>
                <w:sz w:val="24"/>
                <w:szCs w:val="24"/>
                <w:highlight w:val="none"/>
              </w:rPr>
            </w:pPr>
            <w:r>
              <w:rPr>
                <w:rFonts w:ascii="宋体" w:hAnsi="宋体" w:eastAsia="宋体" w:cs="Arial"/>
                <w:sz w:val="24"/>
                <w:szCs w:val="24"/>
                <w:highlight w:val="none"/>
              </w:rPr>
              <w:t> </w:t>
            </w:r>
          </w:p>
        </w:tc>
      </w:tr>
      <w:tr w14:paraId="0ABDA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4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137FADA8">
            <w:pPr>
              <w:wordWrap w:val="0"/>
              <w:topLinePunct/>
              <w:jc w:val="center"/>
              <w:rPr>
                <w:rFonts w:ascii="宋体" w:hAnsi="宋体" w:eastAsia="宋体" w:cs="Arial"/>
                <w:sz w:val="24"/>
                <w:szCs w:val="24"/>
                <w:highlight w:val="none"/>
              </w:rPr>
            </w:pPr>
          </w:p>
        </w:tc>
        <w:tc>
          <w:tcPr>
            <w:tcW w:w="199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5B41DFD1">
            <w:pPr>
              <w:wordWrap w:val="0"/>
              <w:topLinePunct/>
              <w:jc w:val="center"/>
              <w:rPr>
                <w:rFonts w:ascii="宋体" w:hAnsi="宋体" w:eastAsia="宋体" w:cs="Arial"/>
                <w:sz w:val="24"/>
                <w:szCs w:val="24"/>
                <w:highlight w:val="none"/>
              </w:rPr>
            </w:pPr>
          </w:p>
        </w:tc>
        <w:tc>
          <w:tcPr>
            <w:tcW w:w="3014"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752D71B2">
            <w:pPr>
              <w:wordWrap w:val="0"/>
              <w:topLinePunct/>
              <w:jc w:val="center"/>
              <w:rPr>
                <w:rFonts w:ascii="宋体" w:hAnsi="宋体" w:eastAsia="宋体" w:cs="Arial"/>
                <w:sz w:val="24"/>
                <w:szCs w:val="24"/>
                <w:highlight w:val="none"/>
              </w:rPr>
            </w:pPr>
          </w:p>
        </w:tc>
        <w:tc>
          <w:tcPr>
            <w:tcW w:w="2162"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47B9B59B">
            <w:pPr>
              <w:wordWrap w:val="0"/>
              <w:topLinePunct/>
              <w:jc w:val="center"/>
              <w:rPr>
                <w:rFonts w:ascii="宋体" w:hAnsi="宋体" w:eastAsia="宋体" w:cs="Arial"/>
                <w:sz w:val="24"/>
                <w:szCs w:val="24"/>
                <w:highlight w:val="none"/>
              </w:rPr>
            </w:pPr>
          </w:p>
        </w:tc>
        <w:tc>
          <w:tcPr>
            <w:tcW w:w="1299"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49CF97FD">
            <w:pPr>
              <w:wordWrap w:val="0"/>
              <w:topLinePunct/>
              <w:jc w:val="center"/>
              <w:rPr>
                <w:rFonts w:ascii="宋体" w:hAnsi="宋体" w:eastAsia="宋体" w:cs="Arial"/>
                <w:sz w:val="24"/>
                <w:szCs w:val="24"/>
                <w:highlight w:val="none"/>
              </w:rPr>
            </w:pPr>
          </w:p>
        </w:tc>
      </w:tr>
      <w:tr w14:paraId="6BA4A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14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73149AC1">
            <w:pPr>
              <w:wordWrap w:val="0"/>
              <w:topLinePunct/>
              <w:jc w:val="center"/>
              <w:rPr>
                <w:rFonts w:ascii="宋体" w:hAnsi="宋体" w:eastAsia="宋体" w:cs="Arial"/>
                <w:sz w:val="24"/>
                <w:szCs w:val="24"/>
                <w:highlight w:val="none"/>
              </w:rPr>
            </w:pPr>
          </w:p>
        </w:tc>
        <w:tc>
          <w:tcPr>
            <w:tcW w:w="199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49445643">
            <w:pPr>
              <w:wordWrap w:val="0"/>
              <w:topLinePunct/>
              <w:jc w:val="center"/>
              <w:rPr>
                <w:rFonts w:ascii="宋体" w:hAnsi="宋体" w:eastAsia="宋体" w:cs="Arial"/>
                <w:sz w:val="24"/>
                <w:szCs w:val="24"/>
                <w:highlight w:val="none"/>
              </w:rPr>
            </w:pPr>
          </w:p>
        </w:tc>
        <w:tc>
          <w:tcPr>
            <w:tcW w:w="3014"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01DC8477">
            <w:pPr>
              <w:wordWrap w:val="0"/>
              <w:topLinePunct/>
              <w:jc w:val="center"/>
              <w:rPr>
                <w:rFonts w:ascii="宋体" w:hAnsi="宋体" w:eastAsia="宋体" w:cs="Arial"/>
                <w:sz w:val="24"/>
                <w:szCs w:val="24"/>
                <w:highlight w:val="none"/>
              </w:rPr>
            </w:pPr>
          </w:p>
        </w:tc>
        <w:tc>
          <w:tcPr>
            <w:tcW w:w="2162"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21AC5575">
            <w:pPr>
              <w:wordWrap w:val="0"/>
              <w:topLinePunct/>
              <w:jc w:val="center"/>
              <w:rPr>
                <w:rFonts w:ascii="宋体" w:hAnsi="宋体" w:eastAsia="宋体" w:cs="Arial"/>
                <w:sz w:val="24"/>
                <w:szCs w:val="24"/>
                <w:highlight w:val="none"/>
              </w:rPr>
            </w:pPr>
          </w:p>
        </w:tc>
        <w:tc>
          <w:tcPr>
            <w:tcW w:w="1299"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4F65BFE1">
            <w:pPr>
              <w:wordWrap w:val="0"/>
              <w:topLinePunct/>
              <w:jc w:val="center"/>
              <w:rPr>
                <w:rFonts w:ascii="宋体" w:hAnsi="宋体" w:eastAsia="宋体" w:cs="Arial"/>
                <w:sz w:val="24"/>
                <w:szCs w:val="24"/>
                <w:highlight w:val="none"/>
              </w:rPr>
            </w:pPr>
          </w:p>
        </w:tc>
      </w:tr>
    </w:tbl>
    <w:p w14:paraId="7D3307B3">
      <w:pPr>
        <w:widowControl w:val="0"/>
        <w:spacing w:line="360" w:lineRule="auto"/>
        <w:ind w:firstLine="420"/>
        <w:jc w:val="both"/>
        <w:rPr>
          <w:rFonts w:ascii="宋体" w:hAnsi="宋体" w:eastAsia="宋体" w:cs="宋体"/>
          <w:sz w:val="24"/>
          <w:szCs w:val="24"/>
          <w:highlight w:val="none"/>
          <w:lang w:val="zh-CN"/>
        </w:rPr>
      </w:pPr>
    </w:p>
    <w:p w14:paraId="2BDBA53B">
      <w:pPr>
        <w:widowControl w:val="0"/>
        <w:spacing w:line="360" w:lineRule="auto"/>
        <w:ind w:firstLine="420"/>
        <w:jc w:val="both"/>
        <w:rPr>
          <w:rFonts w:ascii="宋体" w:hAnsi="宋体" w:eastAsia="宋体" w:cs="Arial"/>
          <w:sz w:val="24"/>
          <w:szCs w:val="24"/>
          <w:highlight w:val="none"/>
        </w:rPr>
      </w:pPr>
      <w:r>
        <w:rPr>
          <w:rFonts w:hint="eastAsia" w:ascii="宋体" w:hAnsi="宋体" w:eastAsia="宋体" w:cs="宋体"/>
          <w:sz w:val="24"/>
          <w:szCs w:val="24"/>
          <w:highlight w:val="none"/>
          <w:lang w:val="zh-CN"/>
        </w:rPr>
        <w:t>说明：</w:t>
      </w:r>
      <w:r>
        <w:rPr>
          <w:rFonts w:hint="eastAsia" w:ascii="宋体" w:hAnsi="宋体" w:eastAsia="宋体" w:cs="宋体"/>
          <w:sz w:val="24"/>
          <w:szCs w:val="24"/>
          <w:highlight w:val="none"/>
        </w:rPr>
        <w:t>供应商应对采购文件中规定的商务部分给予充分的考虑。如对商务部分有偏离，应将这些条款的偏离逐条根据上表要求的格式列明，</w:t>
      </w:r>
      <w:r>
        <w:rPr>
          <w:rFonts w:hint="eastAsia" w:ascii="宋体" w:hAnsi="宋体" w:eastAsia="宋体" w:cs="宋体"/>
          <w:sz w:val="24"/>
          <w:szCs w:val="24"/>
          <w:highlight w:val="none"/>
          <w:lang w:val="zh-CN"/>
        </w:rPr>
        <w:t>在</w:t>
      </w:r>
      <w:r>
        <w:rPr>
          <w:rFonts w:hint="eastAsia" w:ascii="宋体" w:hAnsi="宋体" w:eastAsia="宋体" w:cs="宋体"/>
          <w:sz w:val="24"/>
          <w:szCs w:val="24"/>
          <w:highlight w:val="none"/>
        </w:rPr>
        <w:t>偏离情况一栏内如实填写“正偏离或负偏离”，其他未列明的条款，如果不需要提供证明文件的，视作完全响应采购文件要求；如果需要提供证明文件，以投标文件中证明文件为准。如对商务部分无偏离，则在表格第一行偏离情况一栏内填写“无偏离”。</w:t>
      </w:r>
    </w:p>
    <w:p w14:paraId="60D778A3">
      <w:pPr>
        <w:widowControl w:val="0"/>
        <w:shd w:val="clear" w:color="auto" w:fill="FFFFFF"/>
        <w:spacing w:line="360" w:lineRule="auto"/>
        <w:rPr>
          <w:rFonts w:ascii="宋体" w:hAnsi="宋体" w:eastAsia="宋体" w:cs="Arial"/>
          <w:sz w:val="24"/>
          <w:szCs w:val="24"/>
          <w:highlight w:val="none"/>
        </w:rPr>
      </w:pPr>
    </w:p>
    <w:p w14:paraId="32D830FA">
      <w:pPr>
        <w:widowControl w:val="0"/>
        <w:shd w:val="clear" w:color="auto" w:fill="FFFFFF"/>
        <w:spacing w:line="360" w:lineRule="auto"/>
        <w:rPr>
          <w:rFonts w:ascii="宋体" w:hAnsi="宋体" w:eastAsia="宋体" w:cs="Arial"/>
          <w:sz w:val="24"/>
          <w:szCs w:val="24"/>
          <w:highlight w:val="none"/>
        </w:rPr>
      </w:pPr>
      <w:r>
        <w:rPr>
          <w:rFonts w:hint="eastAsia" w:ascii="宋体" w:hAnsi="宋体" w:eastAsia="宋体" w:cs="Arial"/>
          <w:sz w:val="24"/>
          <w:szCs w:val="24"/>
          <w:highlight w:val="none"/>
        </w:rPr>
        <w:t>如果行数不够，请自行增加。</w:t>
      </w:r>
    </w:p>
    <w:p w14:paraId="3089E7E3">
      <w:pPr>
        <w:shd w:val="clear" w:color="auto" w:fill="FFFFFF"/>
        <w:spacing w:line="360" w:lineRule="auto"/>
        <w:rPr>
          <w:rFonts w:ascii="宋体" w:hAnsi="宋体" w:eastAsia="宋体" w:cs="Arial"/>
          <w:sz w:val="24"/>
          <w:szCs w:val="24"/>
          <w:highlight w:val="none"/>
        </w:rPr>
      </w:pPr>
    </w:p>
    <w:p w14:paraId="3F9A5758">
      <w:pPr>
        <w:shd w:val="clear" w:color="auto" w:fill="FFFFFF"/>
        <w:spacing w:line="360" w:lineRule="auto"/>
        <w:ind w:firstLine="6240" w:firstLineChars="2600"/>
        <w:rPr>
          <w:rFonts w:ascii="宋体" w:hAnsi="宋体" w:eastAsia="宋体" w:cs="Arial"/>
          <w:sz w:val="24"/>
          <w:szCs w:val="24"/>
          <w:highlight w:val="none"/>
        </w:rPr>
      </w:pPr>
      <w:r>
        <w:rPr>
          <w:rFonts w:hint="eastAsia" w:ascii="宋体" w:hAnsi="宋体" w:eastAsia="宋体" w:cs="Arial"/>
          <w:sz w:val="24"/>
          <w:szCs w:val="24"/>
          <w:highlight w:val="none"/>
        </w:rPr>
        <w:t>投标人全称（CA公章）：</w:t>
      </w:r>
    </w:p>
    <w:p w14:paraId="5EC16F64">
      <w:pPr>
        <w:shd w:val="clear" w:color="auto" w:fill="FFFFFF"/>
        <w:spacing w:line="360" w:lineRule="auto"/>
        <w:rPr>
          <w:rFonts w:ascii="宋体" w:hAnsi="宋体" w:eastAsia="宋体" w:cs="Arial"/>
          <w:szCs w:val="21"/>
          <w:highlight w:val="none"/>
          <w:u w:val="single"/>
        </w:rPr>
      </w:pPr>
    </w:p>
    <w:p w14:paraId="2A55E71F">
      <w:pPr>
        <w:shd w:val="clear" w:color="auto" w:fill="FFFFFF"/>
        <w:spacing w:line="360" w:lineRule="auto"/>
        <w:rPr>
          <w:rFonts w:ascii="宋体" w:hAnsi="宋体" w:eastAsia="宋体" w:cs="Arial"/>
          <w:szCs w:val="21"/>
          <w:highlight w:val="none"/>
        </w:rPr>
      </w:pPr>
    </w:p>
    <w:p w14:paraId="2D7B539D">
      <w:pPr>
        <w:shd w:val="clear" w:color="auto" w:fill="FFFFFF"/>
        <w:spacing w:line="360" w:lineRule="auto"/>
        <w:rPr>
          <w:rFonts w:ascii="宋体" w:hAnsi="宋体" w:eastAsia="宋体" w:cs="Arial"/>
          <w:szCs w:val="21"/>
          <w:highlight w:val="none"/>
        </w:rPr>
      </w:pPr>
      <w:r>
        <w:rPr>
          <w:rFonts w:ascii="宋体" w:hAnsi="宋体" w:eastAsia="宋体" w:cs="Arial"/>
          <w:szCs w:val="21"/>
          <w:highlight w:val="none"/>
        </w:rPr>
        <w:t> </w:t>
      </w:r>
    </w:p>
    <w:p w14:paraId="5EC8D47A">
      <w:pPr>
        <w:shd w:val="clear" w:color="auto" w:fill="FFFFFF"/>
        <w:spacing w:line="360" w:lineRule="auto"/>
        <w:rPr>
          <w:rFonts w:ascii="宋体" w:hAnsi="宋体" w:eastAsia="宋体" w:cs="Arial"/>
          <w:szCs w:val="21"/>
          <w:highlight w:val="none"/>
        </w:rPr>
      </w:pPr>
      <w:r>
        <w:rPr>
          <w:rFonts w:ascii="宋体" w:hAnsi="宋体" w:eastAsia="宋体" w:cs="Arial"/>
          <w:szCs w:val="21"/>
          <w:highlight w:val="none"/>
        </w:rPr>
        <w:t> </w:t>
      </w:r>
    </w:p>
    <w:p w14:paraId="0151F05E">
      <w:pPr>
        <w:shd w:val="clear" w:color="auto" w:fill="FFFFFF"/>
        <w:spacing w:line="360" w:lineRule="auto"/>
        <w:rPr>
          <w:rFonts w:ascii="宋体" w:hAnsi="宋体" w:eastAsia="宋体" w:cs="Arial"/>
          <w:szCs w:val="21"/>
          <w:highlight w:val="none"/>
        </w:rPr>
      </w:pPr>
    </w:p>
    <w:p w14:paraId="075B7FCE">
      <w:pPr>
        <w:shd w:val="clear" w:color="auto" w:fill="FFFFFF"/>
        <w:spacing w:line="360" w:lineRule="auto"/>
        <w:outlineLvl w:val="1"/>
        <w:rPr>
          <w:rFonts w:ascii="宋体" w:hAnsi="宋体" w:eastAsia="宋体" w:cs="Arial"/>
          <w:b/>
          <w:szCs w:val="21"/>
          <w:highlight w:val="none"/>
          <w:lang w:val="zh-CN"/>
        </w:rPr>
      </w:pPr>
      <w:r>
        <w:rPr>
          <w:rFonts w:ascii="宋体" w:hAnsi="宋体" w:eastAsia="宋体" w:cs="Arial"/>
          <w:b/>
          <w:bCs/>
          <w:szCs w:val="21"/>
          <w:highlight w:val="none"/>
        </w:rPr>
        <w:br w:type="page" w:clear="all"/>
      </w:r>
      <w:bookmarkStart w:id="128" w:name="_Toc14074"/>
      <w:bookmarkStart w:id="129" w:name="_Toc11341"/>
      <w:bookmarkStart w:id="130" w:name="_Toc24454"/>
      <w:bookmarkStart w:id="131" w:name="_Toc22936"/>
      <w:r>
        <w:rPr>
          <w:rFonts w:hint="eastAsia" w:ascii="宋体" w:hAnsi="宋体" w:eastAsia="宋体" w:cs="Arial"/>
          <w:b/>
          <w:bCs/>
          <w:szCs w:val="21"/>
          <w:highlight w:val="none"/>
        </w:rPr>
        <w:t>七、项目实施方案、服务承诺</w:t>
      </w:r>
      <w:bookmarkEnd w:id="128"/>
      <w:bookmarkEnd w:id="129"/>
      <w:bookmarkEnd w:id="130"/>
      <w:bookmarkEnd w:id="131"/>
    </w:p>
    <w:p w14:paraId="5936B06A">
      <w:pPr>
        <w:spacing w:line="460" w:lineRule="atLeast"/>
        <w:jc w:val="both"/>
        <w:rPr>
          <w:rFonts w:ascii="宋体" w:hAnsi="宋体" w:eastAsia="宋体" w:cs="Arial"/>
          <w:b/>
          <w:bCs/>
          <w:szCs w:val="21"/>
          <w:highlight w:val="none"/>
        </w:rPr>
      </w:pPr>
    </w:p>
    <w:p w14:paraId="50B6A540">
      <w:pPr>
        <w:spacing w:line="460" w:lineRule="atLeast"/>
        <w:jc w:val="both"/>
        <w:rPr>
          <w:rFonts w:ascii="宋体" w:hAnsi="宋体" w:eastAsia="宋体" w:cs="Arial"/>
          <w:b/>
          <w:bCs/>
          <w:szCs w:val="21"/>
          <w:highlight w:val="none"/>
        </w:rPr>
      </w:pPr>
    </w:p>
    <w:p w14:paraId="7B31B421">
      <w:pPr>
        <w:spacing w:line="460" w:lineRule="atLeast"/>
        <w:jc w:val="both"/>
        <w:rPr>
          <w:rFonts w:ascii="宋体" w:hAnsi="宋体" w:eastAsia="宋体" w:cs="Arial"/>
          <w:b/>
          <w:bCs/>
          <w:szCs w:val="21"/>
          <w:highlight w:val="none"/>
        </w:rPr>
      </w:pPr>
    </w:p>
    <w:p w14:paraId="1A35AF43">
      <w:pPr>
        <w:spacing w:line="460" w:lineRule="atLeast"/>
        <w:jc w:val="both"/>
        <w:rPr>
          <w:rFonts w:ascii="宋体" w:hAnsi="宋体" w:eastAsia="宋体" w:cs="Arial"/>
          <w:b/>
          <w:bCs/>
          <w:szCs w:val="21"/>
          <w:highlight w:val="none"/>
        </w:rPr>
      </w:pPr>
    </w:p>
    <w:p w14:paraId="5E6934EB">
      <w:pPr>
        <w:spacing w:line="460" w:lineRule="atLeast"/>
        <w:jc w:val="both"/>
        <w:outlineLvl w:val="1"/>
        <w:rPr>
          <w:rFonts w:ascii="宋体" w:hAnsi="宋体" w:eastAsia="宋体" w:cs="Arial"/>
          <w:b/>
          <w:bCs/>
          <w:szCs w:val="21"/>
          <w:highlight w:val="none"/>
        </w:rPr>
      </w:pPr>
      <w:bookmarkStart w:id="132" w:name="_Toc13338"/>
      <w:bookmarkStart w:id="133" w:name="_Toc19996"/>
      <w:bookmarkStart w:id="134" w:name="_Toc2556"/>
      <w:bookmarkStart w:id="135" w:name="_Toc5065"/>
      <w:r>
        <w:rPr>
          <w:rFonts w:hint="eastAsia" w:ascii="宋体" w:hAnsi="宋体" w:eastAsia="宋体" w:cs="Arial"/>
          <w:b/>
          <w:bCs/>
          <w:szCs w:val="21"/>
          <w:highlight w:val="none"/>
        </w:rPr>
        <w:t>八、拟参与本项目服务人员一览表</w:t>
      </w:r>
      <w:bookmarkEnd w:id="132"/>
      <w:bookmarkEnd w:id="133"/>
      <w:bookmarkEnd w:id="134"/>
      <w:bookmarkEnd w:id="135"/>
    </w:p>
    <w:p w14:paraId="5BF16C29">
      <w:pPr>
        <w:widowControl w:val="0"/>
        <w:jc w:val="both"/>
        <w:rPr>
          <w:rFonts w:ascii="宋体" w:hAnsi="宋体" w:eastAsia="宋体" w:cs="Times New Roman"/>
          <w:b/>
          <w:bCs/>
          <w:sz w:val="44"/>
          <w:szCs w:val="24"/>
          <w:highlight w:val="none"/>
        </w:rPr>
      </w:pPr>
    </w:p>
    <w:p w14:paraId="047A642A">
      <w:pPr>
        <w:shd w:val="clear" w:color="auto" w:fill="FFFFFF"/>
        <w:spacing w:line="360" w:lineRule="auto"/>
        <w:ind w:left="420"/>
        <w:jc w:val="center"/>
        <w:rPr>
          <w:rFonts w:ascii="宋体" w:hAnsi="宋体" w:eastAsia="宋体" w:cs="Arial"/>
          <w:b/>
          <w:sz w:val="32"/>
          <w:szCs w:val="32"/>
          <w:highlight w:val="none"/>
        </w:rPr>
      </w:pPr>
      <w:r>
        <w:rPr>
          <w:rFonts w:hint="eastAsia" w:ascii="宋体" w:hAnsi="宋体" w:eastAsia="宋体" w:cs="Arial"/>
          <w:b/>
          <w:sz w:val="32"/>
          <w:szCs w:val="32"/>
          <w:highlight w:val="none"/>
        </w:rPr>
        <w:t>拟参与本项目服务人员一览表</w:t>
      </w:r>
    </w:p>
    <w:p w14:paraId="1ABED12C">
      <w:pPr>
        <w:widowControl w:val="0"/>
        <w:spacing w:line="360" w:lineRule="auto"/>
        <w:rPr>
          <w:rFonts w:ascii="宋体" w:hAnsi="宋体" w:eastAsia="宋体" w:cs="Arial"/>
          <w:bCs/>
          <w:sz w:val="24"/>
          <w:szCs w:val="24"/>
          <w:highlight w:val="none"/>
        </w:rPr>
      </w:pPr>
      <w:r>
        <w:rPr>
          <w:rFonts w:hint="eastAsia" w:ascii="宋体" w:hAnsi="宋体" w:eastAsia="宋体" w:cs="Arial"/>
          <w:bCs/>
          <w:sz w:val="24"/>
          <w:szCs w:val="24"/>
          <w:highlight w:val="none"/>
        </w:rPr>
        <w:t xml:space="preserve">项目名称：               </w:t>
      </w:r>
    </w:p>
    <w:p w14:paraId="4A8F1F27">
      <w:pPr>
        <w:widowControl w:val="0"/>
        <w:spacing w:line="360" w:lineRule="auto"/>
        <w:rPr>
          <w:rFonts w:ascii="宋体" w:hAnsi="宋体" w:eastAsia="宋体" w:cs="Arial"/>
          <w:bCs/>
          <w:sz w:val="24"/>
          <w:szCs w:val="24"/>
          <w:highlight w:val="none"/>
        </w:rPr>
      </w:pPr>
      <w:r>
        <w:rPr>
          <w:rFonts w:hint="eastAsia" w:ascii="宋体" w:hAnsi="宋体" w:eastAsia="宋体" w:cs="Arial"/>
          <w:bCs/>
          <w:sz w:val="24"/>
          <w:szCs w:val="24"/>
          <w:highlight w:val="none"/>
        </w:rPr>
        <w:t xml:space="preserve">项目编号：               </w:t>
      </w:r>
    </w:p>
    <w:tbl>
      <w:tblPr>
        <w:tblStyle w:val="37"/>
        <w:tblW w:w="9013" w:type="dxa"/>
        <w:jc w:val="center"/>
        <w:tblLayout w:type="fixed"/>
        <w:tblCellMar>
          <w:top w:w="0" w:type="dxa"/>
          <w:left w:w="108" w:type="dxa"/>
          <w:bottom w:w="0" w:type="dxa"/>
          <w:right w:w="108" w:type="dxa"/>
        </w:tblCellMar>
      </w:tblPr>
      <w:tblGrid>
        <w:gridCol w:w="762"/>
        <w:gridCol w:w="996"/>
        <w:gridCol w:w="777"/>
        <w:gridCol w:w="782"/>
        <w:gridCol w:w="1038"/>
        <w:gridCol w:w="852"/>
        <w:gridCol w:w="934"/>
        <w:gridCol w:w="1045"/>
        <w:gridCol w:w="968"/>
        <w:gridCol w:w="859"/>
      </w:tblGrid>
      <w:tr w14:paraId="39F68886">
        <w:tblPrEx>
          <w:tblCellMar>
            <w:top w:w="0" w:type="dxa"/>
            <w:left w:w="108" w:type="dxa"/>
            <w:bottom w:w="0" w:type="dxa"/>
            <w:right w:w="108" w:type="dxa"/>
          </w:tblCellMar>
        </w:tblPrEx>
        <w:trPr>
          <w:trHeight w:val="567" w:hRule="atLeast"/>
          <w:jc w:val="center"/>
        </w:trPr>
        <w:tc>
          <w:tcPr>
            <w:tcW w:w="762" w:type="dxa"/>
            <w:tcBorders>
              <w:top w:val="single" w:color="000000" w:sz="4" w:space="0"/>
              <w:left w:val="single" w:color="000000" w:sz="4" w:space="0"/>
              <w:bottom w:val="single" w:color="000000" w:sz="4" w:space="0"/>
              <w:right w:val="single" w:color="000000" w:sz="4" w:space="0"/>
            </w:tcBorders>
            <w:vAlign w:val="center"/>
          </w:tcPr>
          <w:p w14:paraId="353AD0D4">
            <w:pPr>
              <w:jc w:val="center"/>
              <w:rPr>
                <w:rFonts w:ascii="宋体" w:hAnsi="宋体" w:eastAsia="宋体" w:cs="Arial"/>
                <w:b/>
                <w:bCs/>
                <w:sz w:val="24"/>
                <w:szCs w:val="24"/>
                <w:highlight w:val="none"/>
              </w:rPr>
            </w:pPr>
            <w:r>
              <w:rPr>
                <w:rFonts w:hint="eastAsia" w:ascii="宋体" w:hAnsi="宋体" w:eastAsia="宋体" w:cs="Arial"/>
                <w:b/>
                <w:bCs/>
                <w:sz w:val="24"/>
                <w:szCs w:val="24"/>
                <w:highlight w:val="none"/>
              </w:rPr>
              <w:t>序号</w:t>
            </w:r>
          </w:p>
        </w:tc>
        <w:tc>
          <w:tcPr>
            <w:tcW w:w="996" w:type="dxa"/>
            <w:tcBorders>
              <w:top w:val="single" w:color="000000" w:sz="4" w:space="0"/>
              <w:left w:val="nil"/>
              <w:bottom w:val="single" w:color="000000" w:sz="4" w:space="0"/>
              <w:right w:val="single" w:color="000000" w:sz="4" w:space="0"/>
            </w:tcBorders>
            <w:vAlign w:val="center"/>
          </w:tcPr>
          <w:p w14:paraId="29D51635">
            <w:pPr>
              <w:jc w:val="center"/>
              <w:rPr>
                <w:rFonts w:ascii="宋体" w:hAnsi="宋体" w:eastAsia="宋体" w:cs="Arial"/>
                <w:b/>
                <w:bCs/>
                <w:sz w:val="24"/>
                <w:szCs w:val="24"/>
                <w:highlight w:val="none"/>
              </w:rPr>
            </w:pPr>
            <w:r>
              <w:rPr>
                <w:rFonts w:hint="eastAsia" w:ascii="宋体" w:hAnsi="宋体" w:eastAsia="宋体" w:cs="Arial"/>
                <w:b/>
                <w:bCs/>
                <w:sz w:val="24"/>
                <w:szCs w:val="24"/>
                <w:highlight w:val="none"/>
              </w:rPr>
              <w:t>姓名</w:t>
            </w:r>
          </w:p>
        </w:tc>
        <w:tc>
          <w:tcPr>
            <w:tcW w:w="777" w:type="dxa"/>
            <w:tcBorders>
              <w:top w:val="single" w:color="000000" w:sz="4" w:space="0"/>
              <w:left w:val="nil"/>
              <w:bottom w:val="single" w:color="000000" w:sz="4" w:space="0"/>
              <w:right w:val="single" w:color="000000" w:sz="4" w:space="0"/>
            </w:tcBorders>
            <w:vAlign w:val="center"/>
          </w:tcPr>
          <w:p w14:paraId="6271B6DA">
            <w:pPr>
              <w:jc w:val="center"/>
              <w:rPr>
                <w:rFonts w:ascii="宋体" w:hAnsi="宋体" w:eastAsia="宋体" w:cs="Arial"/>
                <w:b/>
                <w:bCs/>
                <w:sz w:val="24"/>
                <w:szCs w:val="24"/>
                <w:highlight w:val="none"/>
              </w:rPr>
            </w:pPr>
            <w:r>
              <w:rPr>
                <w:rFonts w:hint="eastAsia" w:ascii="宋体" w:hAnsi="宋体" w:eastAsia="宋体" w:cs="Arial"/>
                <w:b/>
                <w:bCs/>
                <w:sz w:val="24"/>
                <w:szCs w:val="24"/>
                <w:highlight w:val="none"/>
              </w:rPr>
              <w:t>性别</w:t>
            </w:r>
          </w:p>
        </w:tc>
        <w:tc>
          <w:tcPr>
            <w:tcW w:w="782" w:type="dxa"/>
            <w:tcBorders>
              <w:top w:val="single" w:color="000000" w:sz="4" w:space="0"/>
              <w:left w:val="nil"/>
              <w:bottom w:val="single" w:color="000000" w:sz="4" w:space="0"/>
              <w:right w:val="single" w:color="000000" w:sz="4" w:space="0"/>
            </w:tcBorders>
            <w:vAlign w:val="center"/>
          </w:tcPr>
          <w:p w14:paraId="5D64FB23">
            <w:pPr>
              <w:jc w:val="center"/>
              <w:rPr>
                <w:rFonts w:ascii="宋体" w:hAnsi="宋体" w:eastAsia="宋体" w:cs="Arial"/>
                <w:b/>
                <w:bCs/>
                <w:sz w:val="24"/>
                <w:szCs w:val="24"/>
                <w:highlight w:val="none"/>
              </w:rPr>
            </w:pPr>
            <w:r>
              <w:rPr>
                <w:rFonts w:hint="eastAsia" w:ascii="宋体" w:hAnsi="宋体" w:eastAsia="宋体" w:cs="Arial"/>
                <w:b/>
                <w:bCs/>
                <w:sz w:val="24"/>
                <w:szCs w:val="24"/>
                <w:highlight w:val="none"/>
              </w:rPr>
              <w:t>年龄</w:t>
            </w:r>
          </w:p>
        </w:tc>
        <w:tc>
          <w:tcPr>
            <w:tcW w:w="1038" w:type="dxa"/>
            <w:tcBorders>
              <w:top w:val="single" w:color="000000" w:sz="4" w:space="0"/>
              <w:left w:val="nil"/>
              <w:bottom w:val="single" w:color="000000" w:sz="4" w:space="0"/>
              <w:right w:val="single" w:color="000000" w:sz="4" w:space="0"/>
            </w:tcBorders>
            <w:vAlign w:val="center"/>
          </w:tcPr>
          <w:p w14:paraId="2B8C12FF">
            <w:pPr>
              <w:jc w:val="center"/>
              <w:rPr>
                <w:rFonts w:ascii="宋体" w:hAnsi="宋体" w:eastAsia="宋体" w:cs="Arial"/>
                <w:b/>
                <w:bCs/>
                <w:sz w:val="24"/>
                <w:szCs w:val="24"/>
                <w:highlight w:val="none"/>
              </w:rPr>
            </w:pPr>
            <w:r>
              <w:rPr>
                <w:rFonts w:hint="eastAsia" w:ascii="宋体" w:hAnsi="宋体" w:eastAsia="宋体" w:cs="Arial"/>
                <w:b/>
                <w:bCs/>
                <w:sz w:val="24"/>
                <w:szCs w:val="24"/>
                <w:highlight w:val="none"/>
              </w:rPr>
              <w:t>专业</w:t>
            </w:r>
          </w:p>
        </w:tc>
        <w:tc>
          <w:tcPr>
            <w:tcW w:w="852" w:type="dxa"/>
            <w:tcBorders>
              <w:top w:val="single" w:color="000000" w:sz="4" w:space="0"/>
              <w:left w:val="nil"/>
              <w:bottom w:val="single" w:color="000000" w:sz="4" w:space="0"/>
              <w:right w:val="single" w:color="000000" w:sz="4" w:space="0"/>
            </w:tcBorders>
            <w:vAlign w:val="center"/>
          </w:tcPr>
          <w:p w14:paraId="7FA245CB">
            <w:pPr>
              <w:jc w:val="center"/>
              <w:rPr>
                <w:rFonts w:ascii="宋体" w:hAnsi="宋体" w:eastAsia="宋体" w:cs="Arial"/>
                <w:b/>
                <w:bCs/>
                <w:sz w:val="24"/>
                <w:szCs w:val="24"/>
                <w:highlight w:val="none"/>
              </w:rPr>
            </w:pPr>
            <w:r>
              <w:rPr>
                <w:rFonts w:hint="eastAsia" w:ascii="宋体" w:hAnsi="宋体" w:eastAsia="宋体" w:cs="Arial"/>
                <w:b/>
                <w:bCs/>
                <w:sz w:val="24"/>
                <w:szCs w:val="24"/>
                <w:highlight w:val="none"/>
              </w:rPr>
              <w:t>学历</w:t>
            </w:r>
          </w:p>
        </w:tc>
        <w:tc>
          <w:tcPr>
            <w:tcW w:w="934" w:type="dxa"/>
            <w:tcBorders>
              <w:top w:val="single" w:color="000000" w:sz="4" w:space="0"/>
              <w:left w:val="nil"/>
              <w:bottom w:val="single" w:color="000000" w:sz="4" w:space="0"/>
              <w:right w:val="single" w:color="000000" w:sz="4" w:space="0"/>
            </w:tcBorders>
            <w:vAlign w:val="center"/>
          </w:tcPr>
          <w:p w14:paraId="41554D81">
            <w:pPr>
              <w:jc w:val="center"/>
              <w:rPr>
                <w:rFonts w:ascii="宋体" w:hAnsi="宋体" w:eastAsia="宋体" w:cs="Arial"/>
                <w:b/>
                <w:bCs/>
                <w:sz w:val="24"/>
                <w:szCs w:val="24"/>
                <w:highlight w:val="none"/>
              </w:rPr>
            </w:pPr>
            <w:r>
              <w:rPr>
                <w:rFonts w:hint="eastAsia" w:ascii="宋体" w:hAnsi="宋体" w:eastAsia="宋体" w:cs="Arial"/>
                <w:b/>
                <w:bCs/>
                <w:sz w:val="24"/>
                <w:szCs w:val="24"/>
                <w:highlight w:val="none"/>
              </w:rPr>
              <w:t>执业</w:t>
            </w:r>
          </w:p>
          <w:p w14:paraId="1849B93D">
            <w:pPr>
              <w:jc w:val="center"/>
              <w:rPr>
                <w:rFonts w:ascii="宋体" w:hAnsi="宋体" w:eastAsia="宋体" w:cs="Arial"/>
                <w:b/>
                <w:bCs/>
                <w:sz w:val="24"/>
                <w:szCs w:val="24"/>
                <w:highlight w:val="none"/>
              </w:rPr>
            </w:pPr>
            <w:r>
              <w:rPr>
                <w:rFonts w:hint="eastAsia" w:ascii="宋体" w:hAnsi="宋体" w:eastAsia="宋体" w:cs="Arial"/>
                <w:b/>
                <w:bCs/>
                <w:sz w:val="24"/>
                <w:szCs w:val="24"/>
                <w:highlight w:val="none"/>
              </w:rPr>
              <w:t>资格</w:t>
            </w:r>
          </w:p>
        </w:tc>
        <w:tc>
          <w:tcPr>
            <w:tcW w:w="1045" w:type="dxa"/>
            <w:tcBorders>
              <w:top w:val="single" w:color="000000" w:sz="4" w:space="0"/>
              <w:left w:val="nil"/>
              <w:bottom w:val="single" w:color="000000" w:sz="4" w:space="0"/>
              <w:right w:val="single" w:color="000000" w:sz="4" w:space="0"/>
            </w:tcBorders>
            <w:vAlign w:val="center"/>
          </w:tcPr>
          <w:p w14:paraId="72705AA1">
            <w:pPr>
              <w:jc w:val="center"/>
              <w:rPr>
                <w:rFonts w:ascii="宋体" w:hAnsi="宋体" w:eastAsia="宋体" w:cs="Arial"/>
                <w:b/>
                <w:bCs/>
                <w:sz w:val="24"/>
                <w:szCs w:val="24"/>
                <w:highlight w:val="none"/>
              </w:rPr>
            </w:pPr>
            <w:r>
              <w:rPr>
                <w:rFonts w:hint="eastAsia" w:ascii="宋体" w:hAnsi="宋体" w:eastAsia="宋体" w:cs="Arial"/>
                <w:b/>
                <w:bCs/>
                <w:sz w:val="24"/>
                <w:szCs w:val="24"/>
                <w:highlight w:val="none"/>
              </w:rPr>
              <w:t>证书号</w:t>
            </w:r>
          </w:p>
        </w:tc>
        <w:tc>
          <w:tcPr>
            <w:tcW w:w="968" w:type="dxa"/>
            <w:tcBorders>
              <w:top w:val="single" w:color="000000" w:sz="4" w:space="0"/>
              <w:left w:val="nil"/>
              <w:bottom w:val="single" w:color="000000" w:sz="4" w:space="0"/>
              <w:right w:val="single" w:color="000000" w:sz="4" w:space="0"/>
            </w:tcBorders>
            <w:vAlign w:val="center"/>
          </w:tcPr>
          <w:p w14:paraId="1037C5C8">
            <w:pPr>
              <w:jc w:val="center"/>
              <w:rPr>
                <w:rFonts w:ascii="宋体" w:hAnsi="宋体" w:eastAsia="宋体" w:cs="Arial"/>
                <w:b/>
                <w:bCs/>
                <w:sz w:val="24"/>
                <w:szCs w:val="24"/>
                <w:highlight w:val="none"/>
              </w:rPr>
            </w:pPr>
            <w:r>
              <w:rPr>
                <w:rFonts w:hint="eastAsia" w:ascii="宋体" w:hAnsi="宋体" w:eastAsia="宋体" w:cs="Arial"/>
                <w:b/>
                <w:bCs/>
                <w:sz w:val="24"/>
                <w:szCs w:val="24"/>
                <w:highlight w:val="none"/>
              </w:rPr>
              <w:t>相关工作年限</w:t>
            </w:r>
          </w:p>
        </w:tc>
        <w:tc>
          <w:tcPr>
            <w:tcW w:w="859" w:type="dxa"/>
            <w:tcBorders>
              <w:top w:val="single" w:color="000000" w:sz="4" w:space="0"/>
              <w:left w:val="nil"/>
              <w:bottom w:val="single" w:color="000000" w:sz="4" w:space="0"/>
              <w:right w:val="single" w:color="000000" w:sz="4" w:space="0"/>
            </w:tcBorders>
            <w:vAlign w:val="center"/>
          </w:tcPr>
          <w:p w14:paraId="0199C2E7">
            <w:pPr>
              <w:jc w:val="center"/>
              <w:rPr>
                <w:rFonts w:ascii="宋体" w:hAnsi="宋体" w:eastAsia="宋体" w:cs="Arial"/>
                <w:b/>
                <w:bCs/>
                <w:sz w:val="24"/>
                <w:szCs w:val="24"/>
                <w:highlight w:val="none"/>
              </w:rPr>
            </w:pPr>
            <w:r>
              <w:rPr>
                <w:rFonts w:hint="eastAsia" w:ascii="宋体" w:hAnsi="宋体" w:eastAsia="宋体" w:cs="Arial"/>
                <w:b/>
                <w:bCs/>
                <w:sz w:val="24"/>
                <w:szCs w:val="24"/>
                <w:highlight w:val="none"/>
              </w:rPr>
              <w:t>备注</w:t>
            </w:r>
          </w:p>
        </w:tc>
      </w:tr>
      <w:tr w14:paraId="701EF4A6">
        <w:tblPrEx>
          <w:tblCellMar>
            <w:top w:w="0" w:type="dxa"/>
            <w:left w:w="108" w:type="dxa"/>
            <w:bottom w:w="0" w:type="dxa"/>
            <w:right w:w="108" w:type="dxa"/>
          </w:tblCellMar>
        </w:tblPrEx>
        <w:trPr>
          <w:trHeight w:val="567" w:hRule="atLeast"/>
          <w:jc w:val="center"/>
        </w:trPr>
        <w:tc>
          <w:tcPr>
            <w:tcW w:w="762" w:type="dxa"/>
            <w:tcBorders>
              <w:top w:val="single" w:color="000000" w:sz="4" w:space="0"/>
              <w:left w:val="single" w:color="000000" w:sz="4" w:space="0"/>
              <w:bottom w:val="single" w:color="000000" w:sz="4" w:space="0"/>
              <w:right w:val="single" w:color="000000" w:sz="4" w:space="0"/>
            </w:tcBorders>
          </w:tcPr>
          <w:p w14:paraId="4FEAF2EE">
            <w:pPr>
              <w:jc w:val="both"/>
              <w:rPr>
                <w:rFonts w:ascii="宋体" w:hAnsi="宋体" w:eastAsia="宋体" w:cs="Arial"/>
                <w:sz w:val="24"/>
                <w:szCs w:val="24"/>
                <w:highlight w:val="none"/>
              </w:rPr>
            </w:pPr>
          </w:p>
        </w:tc>
        <w:tc>
          <w:tcPr>
            <w:tcW w:w="996" w:type="dxa"/>
            <w:tcBorders>
              <w:top w:val="single" w:color="000000" w:sz="4" w:space="0"/>
              <w:left w:val="nil"/>
              <w:bottom w:val="single" w:color="000000" w:sz="4" w:space="0"/>
              <w:right w:val="single" w:color="000000" w:sz="4" w:space="0"/>
            </w:tcBorders>
          </w:tcPr>
          <w:p w14:paraId="40D171E4">
            <w:pPr>
              <w:jc w:val="both"/>
              <w:rPr>
                <w:rFonts w:ascii="宋体" w:hAnsi="宋体" w:eastAsia="宋体" w:cs="Arial"/>
                <w:sz w:val="24"/>
                <w:szCs w:val="24"/>
                <w:highlight w:val="none"/>
              </w:rPr>
            </w:pPr>
          </w:p>
        </w:tc>
        <w:tc>
          <w:tcPr>
            <w:tcW w:w="777" w:type="dxa"/>
            <w:tcBorders>
              <w:top w:val="single" w:color="000000" w:sz="4" w:space="0"/>
              <w:left w:val="nil"/>
              <w:bottom w:val="single" w:color="000000" w:sz="4" w:space="0"/>
              <w:right w:val="single" w:color="000000" w:sz="4" w:space="0"/>
            </w:tcBorders>
          </w:tcPr>
          <w:p w14:paraId="035BCCC9">
            <w:pPr>
              <w:jc w:val="both"/>
              <w:rPr>
                <w:rFonts w:ascii="宋体" w:hAnsi="宋体" w:eastAsia="宋体" w:cs="Arial"/>
                <w:sz w:val="24"/>
                <w:szCs w:val="24"/>
                <w:highlight w:val="none"/>
              </w:rPr>
            </w:pPr>
          </w:p>
        </w:tc>
        <w:tc>
          <w:tcPr>
            <w:tcW w:w="782" w:type="dxa"/>
            <w:tcBorders>
              <w:top w:val="single" w:color="000000" w:sz="4" w:space="0"/>
              <w:left w:val="nil"/>
              <w:bottom w:val="single" w:color="000000" w:sz="4" w:space="0"/>
              <w:right w:val="single" w:color="000000" w:sz="4" w:space="0"/>
            </w:tcBorders>
          </w:tcPr>
          <w:p w14:paraId="6EE18D37">
            <w:pPr>
              <w:jc w:val="both"/>
              <w:rPr>
                <w:rFonts w:ascii="宋体" w:hAnsi="宋体" w:eastAsia="宋体" w:cs="Arial"/>
                <w:sz w:val="24"/>
                <w:szCs w:val="24"/>
                <w:highlight w:val="none"/>
              </w:rPr>
            </w:pPr>
          </w:p>
        </w:tc>
        <w:tc>
          <w:tcPr>
            <w:tcW w:w="1038" w:type="dxa"/>
            <w:tcBorders>
              <w:top w:val="single" w:color="000000" w:sz="4" w:space="0"/>
              <w:left w:val="nil"/>
              <w:bottom w:val="single" w:color="000000" w:sz="4" w:space="0"/>
              <w:right w:val="single" w:color="000000" w:sz="4" w:space="0"/>
            </w:tcBorders>
          </w:tcPr>
          <w:p w14:paraId="78DC8FD7">
            <w:pPr>
              <w:jc w:val="both"/>
              <w:rPr>
                <w:rFonts w:ascii="宋体" w:hAnsi="宋体" w:eastAsia="宋体" w:cs="Arial"/>
                <w:sz w:val="24"/>
                <w:szCs w:val="24"/>
                <w:highlight w:val="none"/>
              </w:rPr>
            </w:pPr>
          </w:p>
        </w:tc>
        <w:tc>
          <w:tcPr>
            <w:tcW w:w="852" w:type="dxa"/>
            <w:tcBorders>
              <w:top w:val="single" w:color="000000" w:sz="4" w:space="0"/>
              <w:left w:val="nil"/>
              <w:bottom w:val="single" w:color="000000" w:sz="4" w:space="0"/>
              <w:right w:val="single" w:color="000000" w:sz="4" w:space="0"/>
            </w:tcBorders>
          </w:tcPr>
          <w:p w14:paraId="4DBB3B5F">
            <w:pPr>
              <w:jc w:val="both"/>
              <w:rPr>
                <w:rFonts w:ascii="宋体" w:hAnsi="宋体" w:eastAsia="宋体" w:cs="Arial"/>
                <w:sz w:val="24"/>
                <w:szCs w:val="24"/>
                <w:highlight w:val="none"/>
              </w:rPr>
            </w:pPr>
          </w:p>
        </w:tc>
        <w:tc>
          <w:tcPr>
            <w:tcW w:w="934" w:type="dxa"/>
            <w:tcBorders>
              <w:top w:val="single" w:color="000000" w:sz="4" w:space="0"/>
              <w:left w:val="nil"/>
              <w:bottom w:val="single" w:color="000000" w:sz="4" w:space="0"/>
              <w:right w:val="single" w:color="000000" w:sz="4" w:space="0"/>
            </w:tcBorders>
          </w:tcPr>
          <w:p w14:paraId="0A5E572A">
            <w:pPr>
              <w:jc w:val="both"/>
              <w:rPr>
                <w:rFonts w:ascii="宋体" w:hAnsi="宋体" w:eastAsia="宋体" w:cs="Arial"/>
                <w:sz w:val="24"/>
                <w:szCs w:val="24"/>
                <w:highlight w:val="none"/>
              </w:rPr>
            </w:pPr>
          </w:p>
        </w:tc>
        <w:tc>
          <w:tcPr>
            <w:tcW w:w="1045" w:type="dxa"/>
            <w:tcBorders>
              <w:top w:val="single" w:color="000000" w:sz="4" w:space="0"/>
              <w:left w:val="nil"/>
              <w:bottom w:val="single" w:color="000000" w:sz="4" w:space="0"/>
              <w:right w:val="single" w:color="000000" w:sz="4" w:space="0"/>
            </w:tcBorders>
          </w:tcPr>
          <w:p w14:paraId="10F253EC">
            <w:pPr>
              <w:jc w:val="both"/>
              <w:rPr>
                <w:rFonts w:ascii="宋体" w:hAnsi="宋体" w:eastAsia="宋体" w:cs="Arial"/>
                <w:sz w:val="24"/>
                <w:szCs w:val="24"/>
                <w:highlight w:val="none"/>
              </w:rPr>
            </w:pPr>
          </w:p>
        </w:tc>
        <w:tc>
          <w:tcPr>
            <w:tcW w:w="968" w:type="dxa"/>
            <w:tcBorders>
              <w:top w:val="single" w:color="000000" w:sz="4" w:space="0"/>
              <w:left w:val="nil"/>
              <w:bottom w:val="single" w:color="000000" w:sz="4" w:space="0"/>
              <w:right w:val="single" w:color="000000" w:sz="4" w:space="0"/>
            </w:tcBorders>
          </w:tcPr>
          <w:p w14:paraId="5DD46F10">
            <w:pPr>
              <w:jc w:val="both"/>
              <w:rPr>
                <w:rFonts w:ascii="宋体" w:hAnsi="宋体" w:eastAsia="宋体" w:cs="Arial"/>
                <w:sz w:val="24"/>
                <w:szCs w:val="24"/>
                <w:highlight w:val="none"/>
              </w:rPr>
            </w:pPr>
          </w:p>
        </w:tc>
        <w:tc>
          <w:tcPr>
            <w:tcW w:w="859" w:type="dxa"/>
            <w:tcBorders>
              <w:top w:val="single" w:color="000000" w:sz="4" w:space="0"/>
              <w:left w:val="nil"/>
              <w:bottom w:val="single" w:color="000000" w:sz="4" w:space="0"/>
              <w:right w:val="single" w:color="000000" w:sz="4" w:space="0"/>
            </w:tcBorders>
          </w:tcPr>
          <w:p w14:paraId="06C3C8DD">
            <w:pPr>
              <w:jc w:val="both"/>
              <w:rPr>
                <w:rFonts w:ascii="宋体" w:hAnsi="宋体" w:eastAsia="宋体" w:cs="Arial"/>
                <w:sz w:val="24"/>
                <w:szCs w:val="24"/>
                <w:highlight w:val="none"/>
              </w:rPr>
            </w:pPr>
          </w:p>
        </w:tc>
      </w:tr>
      <w:tr w14:paraId="191A2F22">
        <w:tblPrEx>
          <w:tblCellMar>
            <w:top w:w="0" w:type="dxa"/>
            <w:left w:w="108" w:type="dxa"/>
            <w:bottom w:w="0" w:type="dxa"/>
            <w:right w:w="108" w:type="dxa"/>
          </w:tblCellMar>
        </w:tblPrEx>
        <w:trPr>
          <w:trHeight w:val="567" w:hRule="atLeast"/>
          <w:jc w:val="center"/>
        </w:trPr>
        <w:tc>
          <w:tcPr>
            <w:tcW w:w="762" w:type="dxa"/>
            <w:tcBorders>
              <w:top w:val="single" w:color="000000" w:sz="4" w:space="0"/>
              <w:left w:val="single" w:color="000000" w:sz="4" w:space="0"/>
              <w:bottom w:val="single" w:color="000000" w:sz="4" w:space="0"/>
              <w:right w:val="single" w:color="000000" w:sz="4" w:space="0"/>
            </w:tcBorders>
          </w:tcPr>
          <w:p w14:paraId="0F8BB9EB">
            <w:pPr>
              <w:jc w:val="both"/>
              <w:rPr>
                <w:rFonts w:ascii="宋体" w:hAnsi="宋体" w:eastAsia="宋体" w:cs="Arial"/>
                <w:sz w:val="24"/>
                <w:szCs w:val="24"/>
                <w:highlight w:val="none"/>
              </w:rPr>
            </w:pPr>
          </w:p>
        </w:tc>
        <w:tc>
          <w:tcPr>
            <w:tcW w:w="996" w:type="dxa"/>
            <w:tcBorders>
              <w:top w:val="single" w:color="000000" w:sz="4" w:space="0"/>
              <w:left w:val="nil"/>
              <w:bottom w:val="single" w:color="000000" w:sz="4" w:space="0"/>
              <w:right w:val="single" w:color="000000" w:sz="4" w:space="0"/>
            </w:tcBorders>
          </w:tcPr>
          <w:p w14:paraId="141A07D6">
            <w:pPr>
              <w:jc w:val="both"/>
              <w:rPr>
                <w:rFonts w:ascii="宋体" w:hAnsi="宋体" w:eastAsia="宋体" w:cs="Arial"/>
                <w:sz w:val="24"/>
                <w:szCs w:val="24"/>
                <w:highlight w:val="none"/>
              </w:rPr>
            </w:pPr>
          </w:p>
        </w:tc>
        <w:tc>
          <w:tcPr>
            <w:tcW w:w="777" w:type="dxa"/>
            <w:tcBorders>
              <w:top w:val="single" w:color="000000" w:sz="4" w:space="0"/>
              <w:left w:val="nil"/>
              <w:bottom w:val="single" w:color="000000" w:sz="4" w:space="0"/>
              <w:right w:val="single" w:color="000000" w:sz="4" w:space="0"/>
            </w:tcBorders>
          </w:tcPr>
          <w:p w14:paraId="4DF95139">
            <w:pPr>
              <w:jc w:val="both"/>
              <w:rPr>
                <w:rFonts w:ascii="宋体" w:hAnsi="宋体" w:eastAsia="宋体" w:cs="Arial"/>
                <w:sz w:val="24"/>
                <w:szCs w:val="24"/>
                <w:highlight w:val="none"/>
              </w:rPr>
            </w:pPr>
          </w:p>
        </w:tc>
        <w:tc>
          <w:tcPr>
            <w:tcW w:w="782" w:type="dxa"/>
            <w:tcBorders>
              <w:top w:val="single" w:color="000000" w:sz="4" w:space="0"/>
              <w:left w:val="nil"/>
              <w:bottom w:val="single" w:color="000000" w:sz="4" w:space="0"/>
              <w:right w:val="single" w:color="000000" w:sz="4" w:space="0"/>
            </w:tcBorders>
          </w:tcPr>
          <w:p w14:paraId="431989DA">
            <w:pPr>
              <w:jc w:val="both"/>
              <w:rPr>
                <w:rFonts w:ascii="宋体" w:hAnsi="宋体" w:eastAsia="宋体" w:cs="Arial"/>
                <w:sz w:val="24"/>
                <w:szCs w:val="24"/>
                <w:highlight w:val="none"/>
              </w:rPr>
            </w:pPr>
          </w:p>
        </w:tc>
        <w:tc>
          <w:tcPr>
            <w:tcW w:w="1038" w:type="dxa"/>
            <w:tcBorders>
              <w:top w:val="single" w:color="000000" w:sz="4" w:space="0"/>
              <w:left w:val="nil"/>
              <w:bottom w:val="single" w:color="000000" w:sz="4" w:space="0"/>
              <w:right w:val="single" w:color="000000" w:sz="4" w:space="0"/>
            </w:tcBorders>
          </w:tcPr>
          <w:p w14:paraId="2CABA89E">
            <w:pPr>
              <w:jc w:val="both"/>
              <w:rPr>
                <w:rFonts w:ascii="宋体" w:hAnsi="宋体" w:eastAsia="宋体" w:cs="Arial"/>
                <w:sz w:val="24"/>
                <w:szCs w:val="24"/>
                <w:highlight w:val="none"/>
              </w:rPr>
            </w:pPr>
          </w:p>
        </w:tc>
        <w:tc>
          <w:tcPr>
            <w:tcW w:w="852" w:type="dxa"/>
            <w:tcBorders>
              <w:top w:val="single" w:color="000000" w:sz="4" w:space="0"/>
              <w:left w:val="nil"/>
              <w:bottom w:val="single" w:color="000000" w:sz="4" w:space="0"/>
              <w:right w:val="single" w:color="000000" w:sz="4" w:space="0"/>
            </w:tcBorders>
          </w:tcPr>
          <w:p w14:paraId="21E265D6">
            <w:pPr>
              <w:jc w:val="both"/>
              <w:rPr>
                <w:rFonts w:ascii="宋体" w:hAnsi="宋体" w:eastAsia="宋体" w:cs="Arial"/>
                <w:sz w:val="24"/>
                <w:szCs w:val="24"/>
                <w:highlight w:val="none"/>
              </w:rPr>
            </w:pPr>
          </w:p>
        </w:tc>
        <w:tc>
          <w:tcPr>
            <w:tcW w:w="934" w:type="dxa"/>
            <w:tcBorders>
              <w:top w:val="single" w:color="000000" w:sz="4" w:space="0"/>
              <w:left w:val="nil"/>
              <w:bottom w:val="single" w:color="000000" w:sz="4" w:space="0"/>
              <w:right w:val="single" w:color="000000" w:sz="4" w:space="0"/>
            </w:tcBorders>
          </w:tcPr>
          <w:p w14:paraId="33AECFA2">
            <w:pPr>
              <w:jc w:val="both"/>
              <w:rPr>
                <w:rFonts w:ascii="宋体" w:hAnsi="宋体" w:eastAsia="宋体" w:cs="Arial"/>
                <w:sz w:val="24"/>
                <w:szCs w:val="24"/>
                <w:highlight w:val="none"/>
              </w:rPr>
            </w:pPr>
          </w:p>
        </w:tc>
        <w:tc>
          <w:tcPr>
            <w:tcW w:w="1045" w:type="dxa"/>
            <w:tcBorders>
              <w:top w:val="single" w:color="000000" w:sz="4" w:space="0"/>
              <w:left w:val="nil"/>
              <w:bottom w:val="single" w:color="000000" w:sz="4" w:space="0"/>
              <w:right w:val="single" w:color="000000" w:sz="4" w:space="0"/>
            </w:tcBorders>
          </w:tcPr>
          <w:p w14:paraId="52E383E4">
            <w:pPr>
              <w:jc w:val="both"/>
              <w:rPr>
                <w:rFonts w:ascii="宋体" w:hAnsi="宋体" w:eastAsia="宋体" w:cs="Arial"/>
                <w:sz w:val="24"/>
                <w:szCs w:val="24"/>
                <w:highlight w:val="none"/>
              </w:rPr>
            </w:pPr>
          </w:p>
        </w:tc>
        <w:tc>
          <w:tcPr>
            <w:tcW w:w="968" w:type="dxa"/>
            <w:tcBorders>
              <w:top w:val="single" w:color="000000" w:sz="4" w:space="0"/>
              <w:left w:val="nil"/>
              <w:bottom w:val="single" w:color="000000" w:sz="4" w:space="0"/>
              <w:right w:val="single" w:color="000000" w:sz="4" w:space="0"/>
            </w:tcBorders>
          </w:tcPr>
          <w:p w14:paraId="0E1001BB">
            <w:pPr>
              <w:jc w:val="both"/>
              <w:rPr>
                <w:rFonts w:ascii="宋体" w:hAnsi="宋体" w:eastAsia="宋体" w:cs="Arial"/>
                <w:sz w:val="24"/>
                <w:szCs w:val="24"/>
                <w:highlight w:val="none"/>
              </w:rPr>
            </w:pPr>
          </w:p>
        </w:tc>
        <w:tc>
          <w:tcPr>
            <w:tcW w:w="859" w:type="dxa"/>
            <w:tcBorders>
              <w:top w:val="single" w:color="000000" w:sz="4" w:space="0"/>
              <w:left w:val="nil"/>
              <w:bottom w:val="single" w:color="000000" w:sz="4" w:space="0"/>
              <w:right w:val="single" w:color="000000" w:sz="4" w:space="0"/>
            </w:tcBorders>
          </w:tcPr>
          <w:p w14:paraId="06268050">
            <w:pPr>
              <w:jc w:val="both"/>
              <w:rPr>
                <w:rFonts w:ascii="宋体" w:hAnsi="宋体" w:eastAsia="宋体" w:cs="Arial"/>
                <w:sz w:val="24"/>
                <w:szCs w:val="24"/>
                <w:highlight w:val="none"/>
              </w:rPr>
            </w:pPr>
          </w:p>
        </w:tc>
      </w:tr>
      <w:tr w14:paraId="293E2B81">
        <w:tblPrEx>
          <w:tblCellMar>
            <w:top w:w="0" w:type="dxa"/>
            <w:left w:w="108" w:type="dxa"/>
            <w:bottom w:w="0" w:type="dxa"/>
            <w:right w:w="108" w:type="dxa"/>
          </w:tblCellMar>
        </w:tblPrEx>
        <w:trPr>
          <w:trHeight w:val="567" w:hRule="atLeast"/>
          <w:jc w:val="center"/>
        </w:trPr>
        <w:tc>
          <w:tcPr>
            <w:tcW w:w="762" w:type="dxa"/>
            <w:tcBorders>
              <w:top w:val="single" w:color="000000" w:sz="4" w:space="0"/>
              <w:left w:val="single" w:color="000000" w:sz="4" w:space="0"/>
              <w:bottom w:val="single" w:color="000000" w:sz="4" w:space="0"/>
              <w:right w:val="single" w:color="000000" w:sz="4" w:space="0"/>
            </w:tcBorders>
          </w:tcPr>
          <w:p w14:paraId="170591F8">
            <w:pPr>
              <w:jc w:val="both"/>
              <w:rPr>
                <w:rFonts w:ascii="宋体" w:hAnsi="宋体" w:eastAsia="宋体" w:cs="Arial"/>
                <w:sz w:val="24"/>
                <w:szCs w:val="24"/>
                <w:highlight w:val="none"/>
              </w:rPr>
            </w:pPr>
          </w:p>
        </w:tc>
        <w:tc>
          <w:tcPr>
            <w:tcW w:w="996" w:type="dxa"/>
            <w:tcBorders>
              <w:top w:val="single" w:color="000000" w:sz="4" w:space="0"/>
              <w:left w:val="nil"/>
              <w:bottom w:val="single" w:color="000000" w:sz="4" w:space="0"/>
              <w:right w:val="single" w:color="000000" w:sz="4" w:space="0"/>
            </w:tcBorders>
          </w:tcPr>
          <w:p w14:paraId="58BD7BDE">
            <w:pPr>
              <w:jc w:val="both"/>
              <w:rPr>
                <w:rFonts w:ascii="宋体" w:hAnsi="宋体" w:eastAsia="宋体" w:cs="Arial"/>
                <w:sz w:val="24"/>
                <w:szCs w:val="24"/>
                <w:highlight w:val="none"/>
              </w:rPr>
            </w:pPr>
          </w:p>
        </w:tc>
        <w:tc>
          <w:tcPr>
            <w:tcW w:w="777" w:type="dxa"/>
            <w:tcBorders>
              <w:top w:val="single" w:color="000000" w:sz="4" w:space="0"/>
              <w:left w:val="nil"/>
              <w:bottom w:val="single" w:color="000000" w:sz="4" w:space="0"/>
              <w:right w:val="single" w:color="000000" w:sz="4" w:space="0"/>
            </w:tcBorders>
          </w:tcPr>
          <w:p w14:paraId="1ECDFACF">
            <w:pPr>
              <w:jc w:val="both"/>
              <w:rPr>
                <w:rFonts w:ascii="宋体" w:hAnsi="宋体" w:eastAsia="宋体" w:cs="Arial"/>
                <w:sz w:val="24"/>
                <w:szCs w:val="24"/>
                <w:highlight w:val="none"/>
              </w:rPr>
            </w:pPr>
          </w:p>
        </w:tc>
        <w:tc>
          <w:tcPr>
            <w:tcW w:w="782" w:type="dxa"/>
            <w:tcBorders>
              <w:top w:val="single" w:color="000000" w:sz="4" w:space="0"/>
              <w:left w:val="nil"/>
              <w:bottom w:val="single" w:color="000000" w:sz="4" w:space="0"/>
              <w:right w:val="single" w:color="000000" w:sz="4" w:space="0"/>
            </w:tcBorders>
          </w:tcPr>
          <w:p w14:paraId="74EE0141">
            <w:pPr>
              <w:jc w:val="both"/>
              <w:rPr>
                <w:rFonts w:ascii="宋体" w:hAnsi="宋体" w:eastAsia="宋体" w:cs="Arial"/>
                <w:sz w:val="24"/>
                <w:szCs w:val="24"/>
                <w:highlight w:val="none"/>
              </w:rPr>
            </w:pPr>
          </w:p>
        </w:tc>
        <w:tc>
          <w:tcPr>
            <w:tcW w:w="1038" w:type="dxa"/>
            <w:tcBorders>
              <w:top w:val="single" w:color="000000" w:sz="4" w:space="0"/>
              <w:left w:val="nil"/>
              <w:bottom w:val="single" w:color="000000" w:sz="4" w:space="0"/>
              <w:right w:val="single" w:color="000000" w:sz="4" w:space="0"/>
            </w:tcBorders>
          </w:tcPr>
          <w:p w14:paraId="6BF8D208">
            <w:pPr>
              <w:jc w:val="both"/>
              <w:rPr>
                <w:rFonts w:ascii="宋体" w:hAnsi="宋体" w:eastAsia="宋体" w:cs="Arial"/>
                <w:sz w:val="24"/>
                <w:szCs w:val="24"/>
                <w:highlight w:val="none"/>
              </w:rPr>
            </w:pPr>
          </w:p>
        </w:tc>
        <w:tc>
          <w:tcPr>
            <w:tcW w:w="852" w:type="dxa"/>
            <w:tcBorders>
              <w:top w:val="single" w:color="000000" w:sz="4" w:space="0"/>
              <w:left w:val="nil"/>
              <w:bottom w:val="single" w:color="000000" w:sz="4" w:space="0"/>
              <w:right w:val="single" w:color="000000" w:sz="4" w:space="0"/>
            </w:tcBorders>
          </w:tcPr>
          <w:p w14:paraId="37711807">
            <w:pPr>
              <w:jc w:val="both"/>
              <w:rPr>
                <w:rFonts w:ascii="宋体" w:hAnsi="宋体" w:eastAsia="宋体" w:cs="Arial"/>
                <w:sz w:val="24"/>
                <w:szCs w:val="24"/>
                <w:highlight w:val="none"/>
              </w:rPr>
            </w:pPr>
          </w:p>
        </w:tc>
        <w:tc>
          <w:tcPr>
            <w:tcW w:w="934" w:type="dxa"/>
            <w:tcBorders>
              <w:top w:val="single" w:color="000000" w:sz="4" w:space="0"/>
              <w:left w:val="nil"/>
              <w:bottom w:val="single" w:color="000000" w:sz="4" w:space="0"/>
              <w:right w:val="single" w:color="000000" w:sz="4" w:space="0"/>
            </w:tcBorders>
          </w:tcPr>
          <w:p w14:paraId="1BC117B6">
            <w:pPr>
              <w:jc w:val="both"/>
              <w:rPr>
                <w:rFonts w:ascii="宋体" w:hAnsi="宋体" w:eastAsia="宋体" w:cs="Arial"/>
                <w:sz w:val="24"/>
                <w:szCs w:val="24"/>
                <w:highlight w:val="none"/>
              </w:rPr>
            </w:pPr>
          </w:p>
        </w:tc>
        <w:tc>
          <w:tcPr>
            <w:tcW w:w="1045" w:type="dxa"/>
            <w:tcBorders>
              <w:top w:val="single" w:color="000000" w:sz="4" w:space="0"/>
              <w:left w:val="nil"/>
              <w:bottom w:val="single" w:color="000000" w:sz="4" w:space="0"/>
              <w:right w:val="single" w:color="000000" w:sz="4" w:space="0"/>
            </w:tcBorders>
          </w:tcPr>
          <w:p w14:paraId="43F9B007">
            <w:pPr>
              <w:jc w:val="both"/>
              <w:rPr>
                <w:rFonts w:ascii="宋体" w:hAnsi="宋体" w:eastAsia="宋体" w:cs="Arial"/>
                <w:sz w:val="24"/>
                <w:szCs w:val="24"/>
                <w:highlight w:val="none"/>
              </w:rPr>
            </w:pPr>
          </w:p>
        </w:tc>
        <w:tc>
          <w:tcPr>
            <w:tcW w:w="968" w:type="dxa"/>
            <w:tcBorders>
              <w:top w:val="single" w:color="000000" w:sz="4" w:space="0"/>
              <w:left w:val="nil"/>
              <w:bottom w:val="single" w:color="000000" w:sz="4" w:space="0"/>
              <w:right w:val="single" w:color="000000" w:sz="4" w:space="0"/>
            </w:tcBorders>
          </w:tcPr>
          <w:p w14:paraId="75678B64">
            <w:pPr>
              <w:jc w:val="both"/>
              <w:rPr>
                <w:rFonts w:ascii="宋体" w:hAnsi="宋体" w:eastAsia="宋体" w:cs="Arial"/>
                <w:sz w:val="24"/>
                <w:szCs w:val="24"/>
                <w:highlight w:val="none"/>
              </w:rPr>
            </w:pPr>
          </w:p>
        </w:tc>
        <w:tc>
          <w:tcPr>
            <w:tcW w:w="859" w:type="dxa"/>
            <w:tcBorders>
              <w:top w:val="single" w:color="000000" w:sz="4" w:space="0"/>
              <w:left w:val="nil"/>
              <w:bottom w:val="single" w:color="000000" w:sz="4" w:space="0"/>
              <w:right w:val="single" w:color="000000" w:sz="4" w:space="0"/>
            </w:tcBorders>
          </w:tcPr>
          <w:p w14:paraId="4B968549">
            <w:pPr>
              <w:jc w:val="both"/>
              <w:rPr>
                <w:rFonts w:ascii="宋体" w:hAnsi="宋体" w:eastAsia="宋体" w:cs="Arial"/>
                <w:sz w:val="24"/>
                <w:szCs w:val="24"/>
                <w:highlight w:val="none"/>
              </w:rPr>
            </w:pPr>
          </w:p>
        </w:tc>
      </w:tr>
      <w:tr w14:paraId="160C71F2">
        <w:trPr>
          <w:trHeight w:val="567" w:hRule="atLeast"/>
          <w:jc w:val="center"/>
        </w:trPr>
        <w:tc>
          <w:tcPr>
            <w:tcW w:w="762" w:type="dxa"/>
            <w:tcBorders>
              <w:top w:val="single" w:color="000000" w:sz="4" w:space="0"/>
              <w:left w:val="single" w:color="000000" w:sz="4" w:space="0"/>
              <w:bottom w:val="single" w:color="000000" w:sz="4" w:space="0"/>
              <w:right w:val="single" w:color="000000" w:sz="4" w:space="0"/>
            </w:tcBorders>
          </w:tcPr>
          <w:p w14:paraId="1A9E395F">
            <w:pPr>
              <w:jc w:val="both"/>
              <w:rPr>
                <w:rFonts w:ascii="宋体" w:hAnsi="宋体" w:eastAsia="宋体" w:cs="Arial"/>
                <w:sz w:val="24"/>
                <w:szCs w:val="24"/>
                <w:highlight w:val="none"/>
              </w:rPr>
            </w:pPr>
          </w:p>
        </w:tc>
        <w:tc>
          <w:tcPr>
            <w:tcW w:w="996" w:type="dxa"/>
            <w:tcBorders>
              <w:top w:val="single" w:color="000000" w:sz="4" w:space="0"/>
              <w:left w:val="nil"/>
              <w:bottom w:val="single" w:color="000000" w:sz="4" w:space="0"/>
              <w:right w:val="single" w:color="000000" w:sz="4" w:space="0"/>
            </w:tcBorders>
          </w:tcPr>
          <w:p w14:paraId="2104B5FD">
            <w:pPr>
              <w:jc w:val="both"/>
              <w:rPr>
                <w:rFonts w:ascii="宋体" w:hAnsi="宋体" w:eastAsia="宋体" w:cs="Arial"/>
                <w:sz w:val="24"/>
                <w:szCs w:val="24"/>
                <w:highlight w:val="none"/>
              </w:rPr>
            </w:pPr>
          </w:p>
        </w:tc>
        <w:tc>
          <w:tcPr>
            <w:tcW w:w="777" w:type="dxa"/>
            <w:tcBorders>
              <w:top w:val="single" w:color="000000" w:sz="4" w:space="0"/>
              <w:left w:val="nil"/>
              <w:bottom w:val="single" w:color="000000" w:sz="4" w:space="0"/>
              <w:right w:val="single" w:color="000000" w:sz="4" w:space="0"/>
            </w:tcBorders>
          </w:tcPr>
          <w:p w14:paraId="42915223">
            <w:pPr>
              <w:jc w:val="both"/>
              <w:rPr>
                <w:rFonts w:ascii="宋体" w:hAnsi="宋体" w:eastAsia="宋体" w:cs="Arial"/>
                <w:sz w:val="24"/>
                <w:szCs w:val="24"/>
                <w:highlight w:val="none"/>
              </w:rPr>
            </w:pPr>
          </w:p>
        </w:tc>
        <w:tc>
          <w:tcPr>
            <w:tcW w:w="782" w:type="dxa"/>
            <w:tcBorders>
              <w:top w:val="single" w:color="000000" w:sz="4" w:space="0"/>
              <w:left w:val="nil"/>
              <w:bottom w:val="single" w:color="000000" w:sz="4" w:space="0"/>
              <w:right w:val="single" w:color="000000" w:sz="4" w:space="0"/>
            </w:tcBorders>
          </w:tcPr>
          <w:p w14:paraId="189C4135">
            <w:pPr>
              <w:jc w:val="both"/>
              <w:rPr>
                <w:rFonts w:ascii="宋体" w:hAnsi="宋体" w:eastAsia="宋体" w:cs="Arial"/>
                <w:sz w:val="24"/>
                <w:szCs w:val="24"/>
                <w:highlight w:val="none"/>
              </w:rPr>
            </w:pPr>
          </w:p>
        </w:tc>
        <w:tc>
          <w:tcPr>
            <w:tcW w:w="1038" w:type="dxa"/>
            <w:tcBorders>
              <w:top w:val="single" w:color="000000" w:sz="4" w:space="0"/>
              <w:left w:val="nil"/>
              <w:bottom w:val="single" w:color="000000" w:sz="4" w:space="0"/>
              <w:right w:val="single" w:color="000000" w:sz="4" w:space="0"/>
            </w:tcBorders>
          </w:tcPr>
          <w:p w14:paraId="530C406B">
            <w:pPr>
              <w:jc w:val="both"/>
              <w:rPr>
                <w:rFonts w:ascii="宋体" w:hAnsi="宋体" w:eastAsia="宋体" w:cs="Arial"/>
                <w:sz w:val="24"/>
                <w:szCs w:val="24"/>
                <w:highlight w:val="none"/>
              </w:rPr>
            </w:pPr>
          </w:p>
        </w:tc>
        <w:tc>
          <w:tcPr>
            <w:tcW w:w="852" w:type="dxa"/>
            <w:tcBorders>
              <w:top w:val="single" w:color="000000" w:sz="4" w:space="0"/>
              <w:left w:val="nil"/>
              <w:bottom w:val="single" w:color="000000" w:sz="4" w:space="0"/>
              <w:right w:val="single" w:color="000000" w:sz="4" w:space="0"/>
            </w:tcBorders>
          </w:tcPr>
          <w:p w14:paraId="444B46B1">
            <w:pPr>
              <w:jc w:val="both"/>
              <w:rPr>
                <w:rFonts w:ascii="宋体" w:hAnsi="宋体" w:eastAsia="宋体" w:cs="Arial"/>
                <w:sz w:val="24"/>
                <w:szCs w:val="24"/>
                <w:highlight w:val="none"/>
              </w:rPr>
            </w:pPr>
          </w:p>
        </w:tc>
        <w:tc>
          <w:tcPr>
            <w:tcW w:w="934" w:type="dxa"/>
            <w:tcBorders>
              <w:top w:val="single" w:color="000000" w:sz="4" w:space="0"/>
              <w:left w:val="nil"/>
              <w:bottom w:val="single" w:color="000000" w:sz="4" w:space="0"/>
              <w:right w:val="single" w:color="000000" w:sz="4" w:space="0"/>
            </w:tcBorders>
          </w:tcPr>
          <w:p w14:paraId="1613A5F1">
            <w:pPr>
              <w:jc w:val="both"/>
              <w:rPr>
                <w:rFonts w:ascii="宋体" w:hAnsi="宋体" w:eastAsia="宋体" w:cs="Arial"/>
                <w:sz w:val="24"/>
                <w:szCs w:val="24"/>
                <w:highlight w:val="none"/>
              </w:rPr>
            </w:pPr>
          </w:p>
        </w:tc>
        <w:tc>
          <w:tcPr>
            <w:tcW w:w="1045" w:type="dxa"/>
            <w:tcBorders>
              <w:top w:val="single" w:color="000000" w:sz="4" w:space="0"/>
              <w:left w:val="nil"/>
              <w:bottom w:val="single" w:color="000000" w:sz="4" w:space="0"/>
              <w:right w:val="single" w:color="000000" w:sz="4" w:space="0"/>
            </w:tcBorders>
          </w:tcPr>
          <w:p w14:paraId="264E427B">
            <w:pPr>
              <w:jc w:val="both"/>
              <w:rPr>
                <w:rFonts w:ascii="宋体" w:hAnsi="宋体" w:eastAsia="宋体" w:cs="Arial"/>
                <w:sz w:val="24"/>
                <w:szCs w:val="24"/>
                <w:highlight w:val="none"/>
              </w:rPr>
            </w:pPr>
          </w:p>
        </w:tc>
        <w:tc>
          <w:tcPr>
            <w:tcW w:w="968" w:type="dxa"/>
            <w:tcBorders>
              <w:top w:val="single" w:color="000000" w:sz="4" w:space="0"/>
              <w:left w:val="nil"/>
              <w:bottom w:val="single" w:color="000000" w:sz="4" w:space="0"/>
              <w:right w:val="single" w:color="000000" w:sz="4" w:space="0"/>
            </w:tcBorders>
          </w:tcPr>
          <w:p w14:paraId="4EA36099">
            <w:pPr>
              <w:jc w:val="both"/>
              <w:rPr>
                <w:rFonts w:ascii="宋体" w:hAnsi="宋体" w:eastAsia="宋体" w:cs="Arial"/>
                <w:sz w:val="24"/>
                <w:szCs w:val="24"/>
                <w:highlight w:val="none"/>
              </w:rPr>
            </w:pPr>
          </w:p>
        </w:tc>
        <w:tc>
          <w:tcPr>
            <w:tcW w:w="859" w:type="dxa"/>
            <w:tcBorders>
              <w:top w:val="single" w:color="000000" w:sz="4" w:space="0"/>
              <w:left w:val="nil"/>
              <w:bottom w:val="single" w:color="000000" w:sz="4" w:space="0"/>
              <w:right w:val="single" w:color="000000" w:sz="4" w:space="0"/>
            </w:tcBorders>
          </w:tcPr>
          <w:p w14:paraId="5983C7E7">
            <w:pPr>
              <w:jc w:val="both"/>
              <w:rPr>
                <w:rFonts w:ascii="宋体" w:hAnsi="宋体" w:eastAsia="宋体" w:cs="Arial"/>
                <w:sz w:val="24"/>
                <w:szCs w:val="24"/>
                <w:highlight w:val="none"/>
              </w:rPr>
            </w:pPr>
          </w:p>
        </w:tc>
      </w:tr>
      <w:tr w14:paraId="7F8704FA">
        <w:tblPrEx>
          <w:tblCellMar>
            <w:top w:w="0" w:type="dxa"/>
            <w:left w:w="108" w:type="dxa"/>
            <w:bottom w:w="0" w:type="dxa"/>
            <w:right w:w="108" w:type="dxa"/>
          </w:tblCellMar>
        </w:tblPrEx>
        <w:trPr>
          <w:trHeight w:val="567" w:hRule="atLeast"/>
          <w:jc w:val="center"/>
        </w:trPr>
        <w:tc>
          <w:tcPr>
            <w:tcW w:w="762" w:type="dxa"/>
            <w:tcBorders>
              <w:top w:val="single" w:color="000000" w:sz="4" w:space="0"/>
              <w:left w:val="single" w:color="000000" w:sz="4" w:space="0"/>
              <w:bottom w:val="single" w:color="000000" w:sz="4" w:space="0"/>
              <w:right w:val="single" w:color="000000" w:sz="4" w:space="0"/>
            </w:tcBorders>
          </w:tcPr>
          <w:p w14:paraId="2948A248">
            <w:pPr>
              <w:jc w:val="both"/>
              <w:rPr>
                <w:rFonts w:ascii="宋体" w:hAnsi="宋体" w:eastAsia="宋体" w:cs="Arial"/>
                <w:sz w:val="24"/>
                <w:szCs w:val="24"/>
                <w:highlight w:val="none"/>
              </w:rPr>
            </w:pPr>
          </w:p>
        </w:tc>
        <w:tc>
          <w:tcPr>
            <w:tcW w:w="996" w:type="dxa"/>
            <w:tcBorders>
              <w:top w:val="single" w:color="000000" w:sz="4" w:space="0"/>
              <w:left w:val="nil"/>
              <w:bottom w:val="single" w:color="000000" w:sz="4" w:space="0"/>
              <w:right w:val="single" w:color="000000" w:sz="4" w:space="0"/>
            </w:tcBorders>
          </w:tcPr>
          <w:p w14:paraId="290E8505">
            <w:pPr>
              <w:jc w:val="both"/>
              <w:rPr>
                <w:rFonts w:ascii="宋体" w:hAnsi="宋体" w:eastAsia="宋体" w:cs="Arial"/>
                <w:sz w:val="24"/>
                <w:szCs w:val="24"/>
                <w:highlight w:val="none"/>
              </w:rPr>
            </w:pPr>
          </w:p>
        </w:tc>
        <w:tc>
          <w:tcPr>
            <w:tcW w:w="777" w:type="dxa"/>
            <w:tcBorders>
              <w:top w:val="single" w:color="000000" w:sz="4" w:space="0"/>
              <w:left w:val="nil"/>
              <w:bottom w:val="single" w:color="000000" w:sz="4" w:space="0"/>
              <w:right w:val="single" w:color="000000" w:sz="4" w:space="0"/>
            </w:tcBorders>
          </w:tcPr>
          <w:p w14:paraId="7909A81F">
            <w:pPr>
              <w:jc w:val="both"/>
              <w:rPr>
                <w:rFonts w:ascii="宋体" w:hAnsi="宋体" w:eastAsia="宋体" w:cs="Arial"/>
                <w:sz w:val="24"/>
                <w:szCs w:val="24"/>
                <w:highlight w:val="none"/>
              </w:rPr>
            </w:pPr>
          </w:p>
        </w:tc>
        <w:tc>
          <w:tcPr>
            <w:tcW w:w="782" w:type="dxa"/>
            <w:tcBorders>
              <w:top w:val="single" w:color="000000" w:sz="4" w:space="0"/>
              <w:left w:val="nil"/>
              <w:bottom w:val="single" w:color="000000" w:sz="4" w:space="0"/>
              <w:right w:val="single" w:color="000000" w:sz="4" w:space="0"/>
            </w:tcBorders>
          </w:tcPr>
          <w:p w14:paraId="18E92763">
            <w:pPr>
              <w:jc w:val="both"/>
              <w:rPr>
                <w:rFonts w:ascii="宋体" w:hAnsi="宋体" w:eastAsia="宋体" w:cs="Arial"/>
                <w:sz w:val="24"/>
                <w:szCs w:val="24"/>
                <w:highlight w:val="none"/>
              </w:rPr>
            </w:pPr>
          </w:p>
        </w:tc>
        <w:tc>
          <w:tcPr>
            <w:tcW w:w="1038" w:type="dxa"/>
            <w:tcBorders>
              <w:top w:val="single" w:color="000000" w:sz="4" w:space="0"/>
              <w:left w:val="nil"/>
              <w:bottom w:val="single" w:color="000000" w:sz="4" w:space="0"/>
              <w:right w:val="single" w:color="000000" w:sz="4" w:space="0"/>
            </w:tcBorders>
          </w:tcPr>
          <w:p w14:paraId="3A6BD0AE">
            <w:pPr>
              <w:jc w:val="both"/>
              <w:rPr>
                <w:rFonts w:ascii="宋体" w:hAnsi="宋体" w:eastAsia="宋体" w:cs="Arial"/>
                <w:sz w:val="24"/>
                <w:szCs w:val="24"/>
                <w:highlight w:val="none"/>
              </w:rPr>
            </w:pPr>
          </w:p>
        </w:tc>
        <w:tc>
          <w:tcPr>
            <w:tcW w:w="852" w:type="dxa"/>
            <w:tcBorders>
              <w:top w:val="single" w:color="000000" w:sz="4" w:space="0"/>
              <w:left w:val="nil"/>
              <w:bottom w:val="single" w:color="000000" w:sz="4" w:space="0"/>
              <w:right w:val="single" w:color="000000" w:sz="4" w:space="0"/>
            </w:tcBorders>
          </w:tcPr>
          <w:p w14:paraId="4B62FD87">
            <w:pPr>
              <w:jc w:val="both"/>
              <w:rPr>
                <w:rFonts w:ascii="宋体" w:hAnsi="宋体" w:eastAsia="宋体" w:cs="Arial"/>
                <w:sz w:val="24"/>
                <w:szCs w:val="24"/>
                <w:highlight w:val="none"/>
              </w:rPr>
            </w:pPr>
          </w:p>
        </w:tc>
        <w:tc>
          <w:tcPr>
            <w:tcW w:w="934" w:type="dxa"/>
            <w:tcBorders>
              <w:top w:val="single" w:color="000000" w:sz="4" w:space="0"/>
              <w:left w:val="nil"/>
              <w:bottom w:val="single" w:color="000000" w:sz="4" w:space="0"/>
              <w:right w:val="single" w:color="000000" w:sz="4" w:space="0"/>
            </w:tcBorders>
          </w:tcPr>
          <w:p w14:paraId="10C97400">
            <w:pPr>
              <w:jc w:val="both"/>
              <w:rPr>
                <w:rFonts w:ascii="宋体" w:hAnsi="宋体" w:eastAsia="宋体" w:cs="Arial"/>
                <w:sz w:val="24"/>
                <w:szCs w:val="24"/>
                <w:highlight w:val="none"/>
              </w:rPr>
            </w:pPr>
          </w:p>
        </w:tc>
        <w:tc>
          <w:tcPr>
            <w:tcW w:w="1045" w:type="dxa"/>
            <w:tcBorders>
              <w:top w:val="single" w:color="000000" w:sz="4" w:space="0"/>
              <w:left w:val="nil"/>
              <w:bottom w:val="single" w:color="000000" w:sz="4" w:space="0"/>
              <w:right w:val="single" w:color="000000" w:sz="4" w:space="0"/>
            </w:tcBorders>
          </w:tcPr>
          <w:p w14:paraId="325696D5">
            <w:pPr>
              <w:jc w:val="both"/>
              <w:rPr>
                <w:rFonts w:ascii="宋体" w:hAnsi="宋体" w:eastAsia="宋体" w:cs="Arial"/>
                <w:sz w:val="24"/>
                <w:szCs w:val="24"/>
                <w:highlight w:val="none"/>
              </w:rPr>
            </w:pPr>
          </w:p>
        </w:tc>
        <w:tc>
          <w:tcPr>
            <w:tcW w:w="968" w:type="dxa"/>
            <w:tcBorders>
              <w:top w:val="single" w:color="000000" w:sz="4" w:space="0"/>
              <w:left w:val="nil"/>
              <w:bottom w:val="single" w:color="000000" w:sz="4" w:space="0"/>
              <w:right w:val="single" w:color="000000" w:sz="4" w:space="0"/>
            </w:tcBorders>
          </w:tcPr>
          <w:p w14:paraId="4DDBB90E">
            <w:pPr>
              <w:jc w:val="both"/>
              <w:rPr>
                <w:rFonts w:ascii="宋体" w:hAnsi="宋体" w:eastAsia="宋体" w:cs="Arial"/>
                <w:sz w:val="24"/>
                <w:szCs w:val="24"/>
                <w:highlight w:val="none"/>
              </w:rPr>
            </w:pPr>
          </w:p>
        </w:tc>
        <w:tc>
          <w:tcPr>
            <w:tcW w:w="859" w:type="dxa"/>
            <w:tcBorders>
              <w:top w:val="single" w:color="000000" w:sz="4" w:space="0"/>
              <w:left w:val="nil"/>
              <w:bottom w:val="single" w:color="000000" w:sz="4" w:space="0"/>
              <w:right w:val="single" w:color="000000" w:sz="4" w:space="0"/>
            </w:tcBorders>
          </w:tcPr>
          <w:p w14:paraId="380ED00F">
            <w:pPr>
              <w:jc w:val="both"/>
              <w:rPr>
                <w:rFonts w:ascii="宋体" w:hAnsi="宋体" w:eastAsia="宋体" w:cs="Arial"/>
                <w:sz w:val="24"/>
                <w:szCs w:val="24"/>
                <w:highlight w:val="none"/>
              </w:rPr>
            </w:pPr>
          </w:p>
        </w:tc>
      </w:tr>
      <w:tr w14:paraId="4219FF27">
        <w:trPr>
          <w:trHeight w:val="567" w:hRule="atLeast"/>
          <w:jc w:val="center"/>
        </w:trPr>
        <w:tc>
          <w:tcPr>
            <w:tcW w:w="762" w:type="dxa"/>
            <w:tcBorders>
              <w:top w:val="single" w:color="000000" w:sz="4" w:space="0"/>
              <w:left w:val="single" w:color="000000" w:sz="4" w:space="0"/>
              <w:bottom w:val="single" w:color="000000" w:sz="4" w:space="0"/>
              <w:right w:val="single" w:color="000000" w:sz="4" w:space="0"/>
            </w:tcBorders>
          </w:tcPr>
          <w:p w14:paraId="640AA844">
            <w:pPr>
              <w:jc w:val="both"/>
              <w:rPr>
                <w:rFonts w:ascii="宋体" w:hAnsi="宋体" w:eastAsia="宋体" w:cs="Arial"/>
                <w:sz w:val="24"/>
                <w:szCs w:val="24"/>
                <w:highlight w:val="none"/>
              </w:rPr>
            </w:pPr>
          </w:p>
        </w:tc>
        <w:tc>
          <w:tcPr>
            <w:tcW w:w="996" w:type="dxa"/>
            <w:tcBorders>
              <w:top w:val="single" w:color="000000" w:sz="4" w:space="0"/>
              <w:left w:val="nil"/>
              <w:bottom w:val="single" w:color="000000" w:sz="4" w:space="0"/>
              <w:right w:val="single" w:color="000000" w:sz="4" w:space="0"/>
            </w:tcBorders>
          </w:tcPr>
          <w:p w14:paraId="08027925">
            <w:pPr>
              <w:jc w:val="both"/>
              <w:rPr>
                <w:rFonts w:ascii="宋体" w:hAnsi="宋体" w:eastAsia="宋体" w:cs="Arial"/>
                <w:sz w:val="24"/>
                <w:szCs w:val="24"/>
                <w:highlight w:val="none"/>
              </w:rPr>
            </w:pPr>
          </w:p>
        </w:tc>
        <w:tc>
          <w:tcPr>
            <w:tcW w:w="777" w:type="dxa"/>
            <w:tcBorders>
              <w:top w:val="single" w:color="000000" w:sz="4" w:space="0"/>
              <w:left w:val="nil"/>
              <w:bottom w:val="single" w:color="000000" w:sz="4" w:space="0"/>
              <w:right w:val="single" w:color="000000" w:sz="4" w:space="0"/>
            </w:tcBorders>
          </w:tcPr>
          <w:p w14:paraId="7081F888">
            <w:pPr>
              <w:jc w:val="both"/>
              <w:rPr>
                <w:rFonts w:ascii="宋体" w:hAnsi="宋体" w:eastAsia="宋体" w:cs="Arial"/>
                <w:sz w:val="24"/>
                <w:szCs w:val="24"/>
                <w:highlight w:val="none"/>
              </w:rPr>
            </w:pPr>
          </w:p>
        </w:tc>
        <w:tc>
          <w:tcPr>
            <w:tcW w:w="782" w:type="dxa"/>
            <w:tcBorders>
              <w:top w:val="single" w:color="000000" w:sz="4" w:space="0"/>
              <w:left w:val="nil"/>
              <w:bottom w:val="single" w:color="000000" w:sz="4" w:space="0"/>
              <w:right w:val="single" w:color="000000" w:sz="4" w:space="0"/>
            </w:tcBorders>
          </w:tcPr>
          <w:p w14:paraId="5B596322">
            <w:pPr>
              <w:jc w:val="both"/>
              <w:rPr>
                <w:rFonts w:ascii="宋体" w:hAnsi="宋体" w:eastAsia="宋体" w:cs="Arial"/>
                <w:sz w:val="24"/>
                <w:szCs w:val="24"/>
                <w:highlight w:val="none"/>
              </w:rPr>
            </w:pPr>
          </w:p>
        </w:tc>
        <w:tc>
          <w:tcPr>
            <w:tcW w:w="1038" w:type="dxa"/>
            <w:tcBorders>
              <w:top w:val="single" w:color="000000" w:sz="4" w:space="0"/>
              <w:left w:val="nil"/>
              <w:bottom w:val="single" w:color="000000" w:sz="4" w:space="0"/>
              <w:right w:val="single" w:color="000000" w:sz="4" w:space="0"/>
            </w:tcBorders>
          </w:tcPr>
          <w:p w14:paraId="5DF602DA">
            <w:pPr>
              <w:jc w:val="both"/>
              <w:rPr>
                <w:rFonts w:ascii="宋体" w:hAnsi="宋体" w:eastAsia="宋体" w:cs="Arial"/>
                <w:sz w:val="24"/>
                <w:szCs w:val="24"/>
                <w:highlight w:val="none"/>
              </w:rPr>
            </w:pPr>
          </w:p>
        </w:tc>
        <w:tc>
          <w:tcPr>
            <w:tcW w:w="852" w:type="dxa"/>
            <w:tcBorders>
              <w:top w:val="single" w:color="000000" w:sz="4" w:space="0"/>
              <w:left w:val="nil"/>
              <w:bottom w:val="single" w:color="000000" w:sz="4" w:space="0"/>
              <w:right w:val="single" w:color="000000" w:sz="4" w:space="0"/>
            </w:tcBorders>
          </w:tcPr>
          <w:p w14:paraId="78A5E8DE">
            <w:pPr>
              <w:jc w:val="both"/>
              <w:rPr>
                <w:rFonts w:ascii="宋体" w:hAnsi="宋体" w:eastAsia="宋体" w:cs="Arial"/>
                <w:sz w:val="24"/>
                <w:szCs w:val="24"/>
                <w:highlight w:val="none"/>
              </w:rPr>
            </w:pPr>
          </w:p>
        </w:tc>
        <w:tc>
          <w:tcPr>
            <w:tcW w:w="934" w:type="dxa"/>
            <w:tcBorders>
              <w:top w:val="single" w:color="000000" w:sz="4" w:space="0"/>
              <w:left w:val="nil"/>
              <w:bottom w:val="single" w:color="000000" w:sz="4" w:space="0"/>
              <w:right w:val="single" w:color="000000" w:sz="4" w:space="0"/>
            </w:tcBorders>
          </w:tcPr>
          <w:p w14:paraId="6E423550">
            <w:pPr>
              <w:jc w:val="both"/>
              <w:rPr>
                <w:rFonts w:ascii="宋体" w:hAnsi="宋体" w:eastAsia="宋体" w:cs="Arial"/>
                <w:sz w:val="24"/>
                <w:szCs w:val="24"/>
                <w:highlight w:val="none"/>
              </w:rPr>
            </w:pPr>
          </w:p>
        </w:tc>
        <w:tc>
          <w:tcPr>
            <w:tcW w:w="1045" w:type="dxa"/>
            <w:tcBorders>
              <w:top w:val="single" w:color="000000" w:sz="4" w:space="0"/>
              <w:left w:val="nil"/>
              <w:bottom w:val="single" w:color="000000" w:sz="4" w:space="0"/>
              <w:right w:val="single" w:color="000000" w:sz="4" w:space="0"/>
            </w:tcBorders>
          </w:tcPr>
          <w:p w14:paraId="6AC87FAB">
            <w:pPr>
              <w:jc w:val="both"/>
              <w:rPr>
                <w:rFonts w:ascii="宋体" w:hAnsi="宋体" w:eastAsia="宋体" w:cs="Arial"/>
                <w:sz w:val="24"/>
                <w:szCs w:val="24"/>
                <w:highlight w:val="none"/>
              </w:rPr>
            </w:pPr>
          </w:p>
        </w:tc>
        <w:tc>
          <w:tcPr>
            <w:tcW w:w="968" w:type="dxa"/>
            <w:tcBorders>
              <w:top w:val="single" w:color="000000" w:sz="4" w:space="0"/>
              <w:left w:val="nil"/>
              <w:bottom w:val="single" w:color="000000" w:sz="4" w:space="0"/>
              <w:right w:val="single" w:color="000000" w:sz="4" w:space="0"/>
            </w:tcBorders>
          </w:tcPr>
          <w:p w14:paraId="62D7A4BB">
            <w:pPr>
              <w:jc w:val="both"/>
              <w:rPr>
                <w:rFonts w:ascii="宋体" w:hAnsi="宋体" w:eastAsia="宋体" w:cs="Arial"/>
                <w:sz w:val="24"/>
                <w:szCs w:val="24"/>
                <w:highlight w:val="none"/>
              </w:rPr>
            </w:pPr>
          </w:p>
        </w:tc>
        <w:tc>
          <w:tcPr>
            <w:tcW w:w="859" w:type="dxa"/>
            <w:tcBorders>
              <w:top w:val="single" w:color="000000" w:sz="4" w:space="0"/>
              <w:left w:val="nil"/>
              <w:bottom w:val="single" w:color="000000" w:sz="4" w:space="0"/>
              <w:right w:val="single" w:color="000000" w:sz="4" w:space="0"/>
            </w:tcBorders>
          </w:tcPr>
          <w:p w14:paraId="11DFA971">
            <w:pPr>
              <w:jc w:val="both"/>
              <w:rPr>
                <w:rFonts w:ascii="宋体" w:hAnsi="宋体" w:eastAsia="宋体" w:cs="Arial"/>
                <w:sz w:val="24"/>
                <w:szCs w:val="24"/>
                <w:highlight w:val="none"/>
              </w:rPr>
            </w:pPr>
          </w:p>
        </w:tc>
      </w:tr>
      <w:tr w14:paraId="592BEBD3">
        <w:tblPrEx>
          <w:tblCellMar>
            <w:top w:w="0" w:type="dxa"/>
            <w:left w:w="108" w:type="dxa"/>
            <w:bottom w:w="0" w:type="dxa"/>
            <w:right w:w="108" w:type="dxa"/>
          </w:tblCellMar>
        </w:tblPrEx>
        <w:trPr>
          <w:trHeight w:val="567" w:hRule="atLeast"/>
          <w:jc w:val="center"/>
        </w:trPr>
        <w:tc>
          <w:tcPr>
            <w:tcW w:w="762" w:type="dxa"/>
            <w:tcBorders>
              <w:top w:val="single" w:color="000000" w:sz="4" w:space="0"/>
              <w:left w:val="single" w:color="000000" w:sz="4" w:space="0"/>
              <w:bottom w:val="single" w:color="000000" w:sz="4" w:space="0"/>
              <w:right w:val="single" w:color="000000" w:sz="4" w:space="0"/>
            </w:tcBorders>
          </w:tcPr>
          <w:p w14:paraId="36D995A0">
            <w:pPr>
              <w:jc w:val="both"/>
              <w:rPr>
                <w:rFonts w:ascii="宋体" w:hAnsi="宋体" w:eastAsia="宋体" w:cs="Arial"/>
                <w:sz w:val="24"/>
                <w:szCs w:val="24"/>
                <w:highlight w:val="none"/>
              </w:rPr>
            </w:pPr>
          </w:p>
        </w:tc>
        <w:tc>
          <w:tcPr>
            <w:tcW w:w="996" w:type="dxa"/>
            <w:tcBorders>
              <w:top w:val="single" w:color="000000" w:sz="4" w:space="0"/>
              <w:left w:val="nil"/>
              <w:bottom w:val="single" w:color="000000" w:sz="4" w:space="0"/>
              <w:right w:val="single" w:color="000000" w:sz="4" w:space="0"/>
            </w:tcBorders>
          </w:tcPr>
          <w:p w14:paraId="7F5FAFBC">
            <w:pPr>
              <w:jc w:val="both"/>
              <w:rPr>
                <w:rFonts w:ascii="宋体" w:hAnsi="宋体" w:eastAsia="宋体" w:cs="Arial"/>
                <w:sz w:val="24"/>
                <w:szCs w:val="24"/>
                <w:highlight w:val="none"/>
              </w:rPr>
            </w:pPr>
          </w:p>
        </w:tc>
        <w:tc>
          <w:tcPr>
            <w:tcW w:w="777" w:type="dxa"/>
            <w:tcBorders>
              <w:top w:val="single" w:color="000000" w:sz="4" w:space="0"/>
              <w:left w:val="nil"/>
              <w:bottom w:val="single" w:color="000000" w:sz="4" w:space="0"/>
              <w:right w:val="single" w:color="000000" w:sz="4" w:space="0"/>
            </w:tcBorders>
          </w:tcPr>
          <w:p w14:paraId="76BB3A5B">
            <w:pPr>
              <w:jc w:val="both"/>
              <w:rPr>
                <w:rFonts w:ascii="宋体" w:hAnsi="宋体" w:eastAsia="宋体" w:cs="Arial"/>
                <w:sz w:val="24"/>
                <w:szCs w:val="24"/>
                <w:highlight w:val="none"/>
              </w:rPr>
            </w:pPr>
          </w:p>
        </w:tc>
        <w:tc>
          <w:tcPr>
            <w:tcW w:w="782" w:type="dxa"/>
            <w:tcBorders>
              <w:top w:val="single" w:color="000000" w:sz="4" w:space="0"/>
              <w:left w:val="nil"/>
              <w:bottom w:val="single" w:color="000000" w:sz="4" w:space="0"/>
              <w:right w:val="single" w:color="000000" w:sz="4" w:space="0"/>
            </w:tcBorders>
          </w:tcPr>
          <w:p w14:paraId="0C455E35">
            <w:pPr>
              <w:jc w:val="both"/>
              <w:rPr>
                <w:rFonts w:ascii="宋体" w:hAnsi="宋体" w:eastAsia="宋体" w:cs="Arial"/>
                <w:sz w:val="24"/>
                <w:szCs w:val="24"/>
                <w:highlight w:val="none"/>
              </w:rPr>
            </w:pPr>
          </w:p>
        </w:tc>
        <w:tc>
          <w:tcPr>
            <w:tcW w:w="1038" w:type="dxa"/>
            <w:tcBorders>
              <w:top w:val="single" w:color="000000" w:sz="4" w:space="0"/>
              <w:left w:val="nil"/>
              <w:bottom w:val="single" w:color="000000" w:sz="4" w:space="0"/>
              <w:right w:val="single" w:color="000000" w:sz="4" w:space="0"/>
            </w:tcBorders>
          </w:tcPr>
          <w:p w14:paraId="5488B8E8">
            <w:pPr>
              <w:jc w:val="both"/>
              <w:rPr>
                <w:rFonts w:ascii="宋体" w:hAnsi="宋体" w:eastAsia="宋体" w:cs="Arial"/>
                <w:sz w:val="24"/>
                <w:szCs w:val="24"/>
                <w:highlight w:val="none"/>
              </w:rPr>
            </w:pPr>
          </w:p>
        </w:tc>
        <w:tc>
          <w:tcPr>
            <w:tcW w:w="852" w:type="dxa"/>
            <w:tcBorders>
              <w:top w:val="single" w:color="000000" w:sz="4" w:space="0"/>
              <w:left w:val="nil"/>
              <w:bottom w:val="single" w:color="000000" w:sz="4" w:space="0"/>
              <w:right w:val="single" w:color="000000" w:sz="4" w:space="0"/>
            </w:tcBorders>
          </w:tcPr>
          <w:p w14:paraId="48841084">
            <w:pPr>
              <w:jc w:val="both"/>
              <w:rPr>
                <w:rFonts w:ascii="宋体" w:hAnsi="宋体" w:eastAsia="宋体" w:cs="Arial"/>
                <w:sz w:val="24"/>
                <w:szCs w:val="24"/>
                <w:highlight w:val="none"/>
              </w:rPr>
            </w:pPr>
          </w:p>
        </w:tc>
        <w:tc>
          <w:tcPr>
            <w:tcW w:w="934" w:type="dxa"/>
            <w:tcBorders>
              <w:top w:val="single" w:color="000000" w:sz="4" w:space="0"/>
              <w:left w:val="nil"/>
              <w:bottom w:val="single" w:color="000000" w:sz="4" w:space="0"/>
              <w:right w:val="single" w:color="000000" w:sz="4" w:space="0"/>
            </w:tcBorders>
          </w:tcPr>
          <w:p w14:paraId="2EA5A0F9">
            <w:pPr>
              <w:jc w:val="both"/>
              <w:rPr>
                <w:rFonts w:ascii="宋体" w:hAnsi="宋体" w:eastAsia="宋体" w:cs="Arial"/>
                <w:sz w:val="24"/>
                <w:szCs w:val="24"/>
                <w:highlight w:val="none"/>
              </w:rPr>
            </w:pPr>
          </w:p>
        </w:tc>
        <w:tc>
          <w:tcPr>
            <w:tcW w:w="1045" w:type="dxa"/>
            <w:tcBorders>
              <w:top w:val="single" w:color="000000" w:sz="4" w:space="0"/>
              <w:left w:val="nil"/>
              <w:bottom w:val="single" w:color="000000" w:sz="4" w:space="0"/>
              <w:right w:val="single" w:color="000000" w:sz="4" w:space="0"/>
            </w:tcBorders>
          </w:tcPr>
          <w:p w14:paraId="2CA12E58">
            <w:pPr>
              <w:jc w:val="both"/>
              <w:rPr>
                <w:rFonts w:ascii="宋体" w:hAnsi="宋体" w:eastAsia="宋体" w:cs="Arial"/>
                <w:sz w:val="24"/>
                <w:szCs w:val="24"/>
                <w:highlight w:val="none"/>
              </w:rPr>
            </w:pPr>
          </w:p>
        </w:tc>
        <w:tc>
          <w:tcPr>
            <w:tcW w:w="968" w:type="dxa"/>
            <w:tcBorders>
              <w:top w:val="single" w:color="000000" w:sz="4" w:space="0"/>
              <w:left w:val="nil"/>
              <w:bottom w:val="single" w:color="000000" w:sz="4" w:space="0"/>
              <w:right w:val="single" w:color="000000" w:sz="4" w:space="0"/>
            </w:tcBorders>
          </w:tcPr>
          <w:p w14:paraId="32E2092D">
            <w:pPr>
              <w:jc w:val="both"/>
              <w:rPr>
                <w:rFonts w:ascii="宋体" w:hAnsi="宋体" w:eastAsia="宋体" w:cs="Arial"/>
                <w:sz w:val="24"/>
                <w:szCs w:val="24"/>
                <w:highlight w:val="none"/>
              </w:rPr>
            </w:pPr>
          </w:p>
        </w:tc>
        <w:tc>
          <w:tcPr>
            <w:tcW w:w="859" w:type="dxa"/>
            <w:tcBorders>
              <w:top w:val="single" w:color="000000" w:sz="4" w:space="0"/>
              <w:left w:val="nil"/>
              <w:bottom w:val="single" w:color="000000" w:sz="4" w:space="0"/>
              <w:right w:val="single" w:color="000000" w:sz="4" w:space="0"/>
            </w:tcBorders>
          </w:tcPr>
          <w:p w14:paraId="643A457A">
            <w:pPr>
              <w:jc w:val="both"/>
              <w:rPr>
                <w:rFonts w:ascii="宋体" w:hAnsi="宋体" w:eastAsia="宋体" w:cs="Arial"/>
                <w:sz w:val="24"/>
                <w:szCs w:val="24"/>
                <w:highlight w:val="none"/>
              </w:rPr>
            </w:pPr>
          </w:p>
        </w:tc>
      </w:tr>
      <w:tr w14:paraId="7D343228">
        <w:tblPrEx>
          <w:tblCellMar>
            <w:top w:w="0" w:type="dxa"/>
            <w:left w:w="108" w:type="dxa"/>
            <w:bottom w:w="0" w:type="dxa"/>
            <w:right w:w="108" w:type="dxa"/>
          </w:tblCellMar>
        </w:tblPrEx>
        <w:trPr>
          <w:trHeight w:val="567" w:hRule="atLeast"/>
          <w:jc w:val="center"/>
        </w:trPr>
        <w:tc>
          <w:tcPr>
            <w:tcW w:w="762" w:type="dxa"/>
            <w:tcBorders>
              <w:top w:val="single" w:color="000000" w:sz="4" w:space="0"/>
              <w:left w:val="single" w:color="000000" w:sz="4" w:space="0"/>
              <w:bottom w:val="single" w:color="000000" w:sz="4" w:space="0"/>
              <w:right w:val="single" w:color="000000" w:sz="4" w:space="0"/>
            </w:tcBorders>
          </w:tcPr>
          <w:p w14:paraId="4F116274">
            <w:pPr>
              <w:jc w:val="both"/>
              <w:rPr>
                <w:rFonts w:ascii="宋体" w:hAnsi="宋体" w:eastAsia="宋体" w:cs="Arial"/>
                <w:sz w:val="24"/>
                <w:szCs w:val="24"/>
                <w:highlight w:val="none"/>
              </w:rPr>
            </w:pPr>
          </w:p>
        </w:tc>
        <w:tc>
          <w:tcPr>
            <w:tcW w:w="996" w:type="dxa"/>
            <w:tcBorders>
              <w:top w:val="single" w:color="000000" w:sz="4" w:space="0"/>
              <w:left w:val="nil"/>
              <w:bottom w:val="single" w:color="000000" w:sz="4" w:space="0"/>
              <w:right w:val="single" w:color="000000" w:sz="4" w:space="0"/>
            </w:tcBorders>
          </w:tcPr>
          <w:p w14:paraId="5DE82A18">
            <w:pPr>
              <w:jc w:val="both"/>
              <w:rPr>
                <w:rFonts w:ascii="宋体" w:hAnsi="宋体" w:eastAsia="宋体" w:cs="Arial"/>
                <w:sz w:val="24"/>
                <w:szCs w:val="24"/>
                <w:highlight w:val="none"/>
              </w:rPr>
            </w:pPr>
          </w:p>
        </w:tc>
        <w:tc>
          <w:tcPr>
            <w:tcW w:w="777" w:type="dxa"/>
            <w:tcBorders>
              <w:top w:val="single" w:color="000000" w:sz="4" w:space="0"/>
              <w:left w:val="nil"/>
              <w:bottom w:val="single" w:color="000000" w:sz="4" w:space="0"/>
              <w:right w:val="single" w:color="000000" w:sz="4" w:space="0"/>
            </w:tcBorders>
          </w:tcPr>
          <w:p w14:paraId="596AAA9C">
            <w:pPr>
              <w:jc w:val="both"/>
              <w:rPr>
                <w:rFonts w:ascii="宋体" w:hAnsi="宋体" w:eastAsia="宋体" w:cs="Arial"/>
                <w:sz w:val="24"/>
                <w:szCs w:val="24"/>
                <w:highlight w:val="none"/>
              </w:rPr>
            </w:pPr>
          </w:p>
        </w:tc>
        <w:tc>
          <w:tcPr>
            <w:tcW w:w="782" w:type="dxa"/>
            <w:tcBorders>
              <w:top w:val="single" w:color="000000" w:sz="4" w:space="0"/>
              <w:left w:val="nil"/>
              <w:bottom w:val="single" w:color="000000" w:sz="4" w:space="0"/>
              <w:right w:val="single" w:color="000000" w:sz="4" w:space="0"/>
            </w:tcBorders>
          </w:tcPr>
          <w:p w14:paraId="467D9A7F">
            <w:pPr>
              <w:jc w:val="both"/>
              <w:rPr>
                <w:rFonts w:ascii="宋体" w:hAnsi="宋体" w:eastAsia="宋体" w:cs="Arial"/>
                <w:sz w:val="24"/>
                <w:szCs w:val="24"/>
                <w:highlight w:val="none"/>
              </w:rPr>
            </w:pPr>
          </w:p>
        </w:tc>
        <w:tc>
          <w:tcPr>
            <w:tcW w:w="1038" w:type="dxa"/>
            <w:tcBorders>
              <w:top w:val="single" w:color="000000" w:sz="4" w:space="0"/>
              <w:left w:val="nil"/>
              <w:bottom w:val="single" w:color="000000" w:sz="4" w:space="0"/>
              <w:right w:val="single" w:color="000000" w:sz="4" w:space="0"/>
            </w:tcBorders>
          </w:tcPr>
          <w:p w14:paraId="3D6FA1A5">
            <w:pPr>
              <w:jc w:val="both"/>
              <w:rPr>
                <w:rFonts w:ascii="宋体" w:hAnsi="宋体" w:eastAsia="宋体" w:cs="Arial"/>
                <w:sz w:val="24"/>
                <w:szCs w:val="24"/>
                <w:highlight w:val="none"/>
              </w:rPr>
            </w:pPr>
          </w:p>
        </w:tc>
        <w:tc>
          <w:tcPr>
            <w:tcW w:w="852" w:type="dxa"/>
            <w:tcBorders>
              <w:top w:val="single" w:color="000000" w:sz="4" w:space="0"/>
              <w:left w:val="nil"/>
              <w:bottom w:val="single" w:color="000000" w:sz="4" w:space="0"/>
              <w:right w:val="single" w:color="000000" w:sz="4" w:space="0"/>
            </w:tcBorders>
          </w:tcPr>
          <w:p w14:paraId="02229D0C">
            <w:pPr>
              <w:jc w:val="both"/>
              <w:rPr>
                <w:rFonts w:ascii="宋体" w:hAnsi="宋体" w:eastAsia="宋体" w:cs="Arial"/>
                <w:sz w:val="24"/>
                <w:szCs w:val="24"/>
                <w:highlight w:val="none"/>
              </w:rPr>
            </w:pPr>
          </w:p>
        </w:tc>
        <w:tc>
          <w:tcPr>
            <w:tcW w:w="934" w:type="dxa"/>
            <w:tcBorders>
              <w:top w:val="single" w:color="000000" w:sz="4" w:space="0"/>
              <w:left w:val="nil"/>
              <w:bottom w:val="single" w:color="000000" w:sz="4" w:space="0"/>
              <w:right w:val="single" w:color="000000" w:sz="4" w:space="0"/>
            </w:tcBorders>
          </w:tcPr>
          <w:p w14:paraId="7ACD4AEA">
            <w:pPr>
              <w:jc w:val="both"/>
              <w:rPr>
                <w:rFonts w:ascii="宋体" w:hAnsi="宋体" w:eastAsia="宋体" w:cs="Arial"/>
                <w:sz w:val="24"/>
                <w:szCs w:val="24"/>
                <w:highlight w:val="none"/>
              </w:rPr>
            </w:pPr>
          </w:p>
        </w:tc>
        <w:tc>
          <w:tcPr>
            <w:tcW w:w="1045" w:type="dxa"/>
            <w:tcBorders>
              <w:top w:val="single" w:color="000000" w:sz="4" w:space="0"/>
              <w:left w:val="nil"/>
              <w:bottom w:val="single" w:color="000000" w:sz="4" w:space="0"/>
              <w:right w:val="single" w:color="000000" w:sz="4" w:space="0"/>
            </w:tcBorders>
          </w:tcPr>
          <w:p w14:paraId="6375BAB9">
            <w:pPr>
              <w:jc w:val="both"/>
              <w:rPr>
                <w:rFonts w:ascii="宋体" w:hAnsi="宋体" w:eastAsia="宋体" w:cs="Arial"/>
                <w:sz w:val="24"/>
                <w:szCs w:val="24"/>
                <w:highlight w:val="none"/>
              </w:rPr>
            </w:pPr>
          </w:p>
        </w:tc>
        <w:tc>
          <w:tcPr>
            <w:tcW w:w="968" w:type="dxa"/>
            <w:tcBorders>
              <w:top w:val="single" w:color="000000" w:sz="4" w:space="0"/>
              <w:left w:val="nil"/>
              <w:bottom w:val="single" w:color="000000" w:sz="4" w:space="0"/>
              <w:right w:val="single" w:color="000000" w:sz="4" w:space="0"/>
            </w:tcBorders>
          </w:tcPr>
          <w:p w14:paraId="73917181">
            <w:pPr>
              <w:jc w:val="both"/>
              <w:rPr>
                <w:rFonts w:ascii="宋体" w:hAnsi="宋体" w:eastAsia="宋体" w:cs="Arial"/>
                <w:sz w:val="24"/>
                <w:szCs w:val="24"/>
                <w:highlight w:val="none"/>
              </w:rPr>
            </w:pPr>
          </w:p>
        </w:tc>
        <w:tc>
          <w:tcPr>
            <w:tcW w:w="859" w:type="dxa"/>
            <w:tcBorders>
              <w:top w:val="single" w:color="000000" w:sz="4" w:space="0"/>
              <w:left w:val="nil"/>
              <w:bottom w:val="single" w:color="000000" w:sz="4" w:space="0"/>
              <w:right w:val="single" w:color="000000" w:sz="4" w:space="0"/>
            </w:tcBorders>
          </w:tcPr>
          <w:p w14:paraId="50E879C8">
            <w:pPr>
              <w:jc w:val="both"/>
              <w:rPr>
                <w:rFonts w:ascii="宋体" w:hAnsi="宋体" w:eastAsia="宋体" w:cs="Arial"/>
                <w:sz w:val="24"/>
                <w:szCs w:val="24"/>
                <w:highlight w:val="none"/>
              </w:rPr>
            </w:pPr>
          </w:p>
        </w:tc>
      </w:tr>
    </w:tbl>
    <w:p w14:paraId="2A3DB864">
      <w:pPr>
        <w:shd w:val="clear" w:color="auto" w:fill="FFFFFF"/>
        <w:spacing w:line="360" w:lineRule="auto"/>
        <w:rPr>
          <w:rFonts w:ascii="宋体" w:hAnsi="宋体" w:eastAsia="宋体" w:cs="Times New Roman"/>
          <w:sz w:val="24"/>
          <w:szCs w:val="24"/>
          <w:highlight w:val="none"/>
        </w:rPr>
      </w:pPr>
    </w:p>
    <w:p w14:paraId="62198A4F">
      <w:pPr>
        <w:shd w:val="clear" w:color="auto" w:fill="FFFFFF"/>
        <w:spacing w:line="360" w:lineRule="auto"/>
        <w:rPr>
          <w:rFonts w:ascii="宋体" w:hAnsi="宋体" w:eastAsia="宋体" w:cs="Arial"/>
          <w:sz w:val="24"/>
          <w:szCs w:val="24"/>
          <w:highlight w:val="none"/>
        </w:rPr>
      </w:pPr>
      <w:r>
        <w:rPr>
          <w:rFonts w:hint="eastAsia" w:ascii="宋体" w:hAnsi="宋体" w:eastAsia="宋体" w:cs="Times New Roman"/>
          <w:sz w:val="24"/>
          <w:szCs w:val="24"/>
          <w:highlight w:val="none"/>
        </w:rPr>
        <w:t>注：按招标文件要求及评标标准的要求，提供人员证书等，附后。</w:t>
      </w:r>
    </w:p>
    <w:p w14:paraId="236CEF3E">
      <w:pPr>
        <w:widowControl w:val="0"/>
        <w:shd w:val="clear" w:color="auto" w:fill="FFFFFF"/>
        <w:spacing w:line="360" w:lineRule="auto"/>
        <w:rPr>
          <w:rFonts w:ascii="宋体" w:hAnsi="宋体" w:eastAsia="宋体" w:cs="Arial"/>
          <w:sz w:val="24"/>
          <w:szCs w:val="24"/>
          <w:highlight w:val="none"/>
        </w:rPr>
      </w:pPr>
    </w:p>
    <w:p w14:paraId="7CA7CAD7">
      <w:pPr>
        <w:widowControl w:val="0"/>
        <w:shd w:val="clear" w:color="auto" w:fill="FFFFFF"/>
        <w:spacing w:line="360" w:lineRule="auto"/>
        <w:rPr>
          <w:rFonts w:ascii="宋体" w:hAnsi="宋体" w:eastAsia="宋体" w:cs="Arial"/>
          <w:sz w:val="24"/>
          <w:szCs w:val="24"/>
          <w:highlight w:val="none"/>
        </w:rPr>
      </w:pPr>
      <w:r>
        <w:rPr>
          <w:rFonts w:hint="eastAsia" w:ascii="宋体" w:hAnsi="宋体" w:eastAsia="宋体" w:cs="Arial"/>
          <w:sz w:val="24"/>
          <w:szCs w:val="24"/>
          <w:highlight w:val="none"/>
        </w:rPr>
        <w:t>如果行数不够，请自行增加。</w:t>
      </w:r>
    </w:p>
    <w:p w14:paraId="24997A88">
      <w:pPr>
        <w:shd w:val="clear" w:color="auto" w:fill="FFFFFF"/>
        <w:spacing w:line="360" w:lineRule="auto"/>
        <w:rPr>
          <w:rFonts w:ascii="宋体" w:hAnsi="宋体" w:eastAsia="宋体" w:cs="Arial"/>
          <w:sz w:val="24"/>
          <w:szCs w:val="24"/>
          <w:highlight w:val="none"/>
        </w:rPr>
      </w:pPr>
    </w:p>
    <w:p w14:paraId="72BFA31B">
      <w:pPr>
        <w:shd w:val="clear" w:color="auto" w:fill="FFFFFF"/>
        <w:spacing w:line="360" w:lineRule="auto"/>
        <w:ind w:firstLine="6240" w:firstLineChars="2600"/>
        <w:rPr>
          <w:rFonts w:ascii="宋体" w:hAnsi="宋体" w:eastAsia="宋体" w:cs="Arial"/>
          <w:sz w:val="24"/>
          <w:szCs w:val="24"/>
          <w:highlight w:val="none"/>
        </w:rPr>
      </w:pPr>
      <w:r>
        <w:rPr>
          <w:rFonts w:hint="eastAsia" w:ascii="宋体" w:hAnsi="宋体" w:eastAsia="宋体" w:cs="Arial"/>
          <w:sz w:val="24"/>
          <w:szCs w:val="24"/>
          <w:highlight w:val="none"/>
        </w:rPr>
        <w:t>投标人全称（CA公章）：</w:t>
      </w:r>
    </w:p>
    <w:p w14:paraId="3426CC35">
      <w:pPr>
        <w:shd w:val="clear" w:color="auto" w:fill="FFFFFF"/>
        <w:spacing w:line="360" w:lineRule="auto"/>
        <w:rPr>
          <w:rFonts w:ascii="宋体" w:hAnsi="宋体" w:eastAsia="宋体" w:cs="Arial"/>
          <w:sz w:val="24"/>
          <w:szCs w:val="24"/>
          <w:highlight w:val="none"/>
          <w:u w:val="single"/>
        </w:rPr>
      </w:pPr>
    </w:p>
    <w:p w14:paraId="033D90F8">
      <w:pPr>
        <w:jc w:val="both"/>
        <w:rPr>
          <w:rFonts w:ascii="宋体" w:hAnsi="宋体" w:eastAsia="宋体" w:cs="Arial"/>
          <w:szCs w:val="21"/>
          <w:highlight w:val="none"/>
        </w:rPr>
      </w:pPr>
    </w:p>
    <w:p w14:paraId="0E7ABC48">
      <w:pPr>
        <w:jc w:val="both"/>
        <w:rPr>
          <w:rFonts w:ascii="宋体" w:hAnsi="宋体" w:eastAsia="宋体" w:cs="Arial"/>
          <w:b/>
          <w:bCs/>
          <w:szCs w:val="21"/>
          <w:highlight w:val="none"/>
        </w:rPr>
      </w:pPr>
    </w:p>
    <w:p w14:paraId="1E76FB81">
      <w:pPr>
        <w:spacing w:line="360" w:lineRule="auto"/>
        <w:jc w:val="both"/>
        <w:outlineLvl w:val="1"/>
        <w:rPr>
          <w:rFonts w:ascii="宋体" w:hAnsi="宋体" w:eastAsia="宋体" w:cs="Arial"/>
          <w:b/>
          <w:bCs/>
          <w:sz w:val="24"/>
          <w:szCs w:val="24"/>
          <w:highlight w:val="none"/>
        </w:rPr>
      </w:pPr>
      <w:r>
        <w:rPr>
          <w:rFonts w:ascii="宋体" w:hAnsi="宋体" w:eastAsia="宋体" w:cs="Arial"/>
          <w:b/>
          <w:bCs/>
          <w:sz w:val="24"/>
          <w:szCs w:val="24"/>
          <w:highlight w:val="none"/>
        </w:rPr>
        <w:br w:type="page" w:clear="all"/>
      </w:r>
      <w:bookmarkStart w:id="136" w:name="_Toc227"/>
      <w:bookmarkStart w:id="137" w:name="_Toc27599"/>
      <w:bookmarkStart w:id="138" w:name="_Toc22237"/>
      <w:bookmarkStart w:id="139" w:name="_Toc16795"/>
      <w:r>
        <w:rPr>
          <w:rFonts w:hint="eastAsia" w:ascii="宋体" w:hAnsi="宋体" w:eastAsia="宋体" w:cs="Arial"/>
          <w:b/>
          <w:bCs/>
          <w:szCs w:val="21"/>
          <w:highlight w:val="none"/>
        </w:rPr>
        <w:t>九、投标人类似业绩情况表</w:t>
      </w:r>
      <w:bookmarkEnd w:id="136"/>
      <w:bookmarkEnd w:id="137"/>
      <w:bookmarkEnd w:id="138"/>
      <w:bookmarkEnd w:id="139"/>
    </w:p>
    <w:p w14:paraId="3C6F06C2">
      <w:pPr>
        <w:shd w:val="clear" w:color="auto" w:fill="FFFFFF"/>
        <w:spacing w:line="360" w:lineRule="auto"/>
        <w:ind w:left="420"/>
        <w:jc w:val="center"/>
        <w:rPr>
          <w:rFonts w:ascii="宋体" w:hAnsi="宋体" w:eastAsia="宋体" w:cs="Arial"/>
          <w:b/>
          <w:sz w:val="32"/>
          <w:szCs w:val="32"/>
          <w:highlight w:val="none"/>
        </w:rPr>
      </w:pPr>
      <w:r>
        <w:rPr>
          <w:rFonts w:hint="eastAsia" w:ascii="宋体" w:hAnsi="宋体" w:eastAsia="宋体" w:cs="Arial"/>
          <w:b/>
          <w:sz w:val="32"/>
          <w:szCs w:val="32"/>
          <w:highlight w:val="none"/>
        </w:rPr>
        <w:t>投标人类似业绩情况表</w:t>
      </w:r>
    </w:p>
    <w:p w14:paraId="5A616367">
      <w:pPr>
        <w:widowControl w:val="0"/>
        <w:spacing w:line="360" w:lineRule="auto"/>
        <w:rPr>
          <w:rFonts w:ascii="宋体" w:hAnsi="宋体" w:eastAsia="宋体" w:cs="Arial"/>
          <w:bCs/>
          <w:sz w:val="24"/>
          <w:szCs w:val="24"/>
          <w:highlight w:val="none"/>
        </w:rPr>
      </w:pPr>
      <w:r>
        <w:rPr>
          <w:rFonts w:hint="eastAsia" w:ascii="宋体" w:hAnsi="宋体" w:eastAsia="宋体" w:cs="Arial"/>
          <w:bCs/>
          <w:sz w:val="24"/>
          <w:szCs w:val="24"/>
          <w:highlight w:val="none"/>
        </w:rPr>
        <w:t xml:space="preserve">项目名称：               </w:t>
      </w:r>
    </w:p>
    <w:p w14:paraId="33C05E14">
      <w:pPr>
        <w:widowControl w:val="0"/>
        <w:spacing w:line="360" w:lineRule="auto"/>
        <w:rPr>
          <w:rFonts w:ascii="宋体" w:hAnsi="宋体" w:eastAsia="宋体" w:cs="Arial"/>
          <w:bCs/>
          <w:sz w:val="24"/>
          <w:szCs w:val="24"/>
          <w:highlight w:val="none"/>
        </w:rPr>
      </w:pPr>
      <w:r>
        <w:rPr>
          <w:rFonts w:hint="eastAsia" w:ascii="宋体" w:hAnsi="宋体" w:eastAsia="宋体" w:cs="Arial"/>
          <w:bCs/>
          <w:sz w:val="24"/>
          <w:szCs w:val="24"/>
          <w:highlight w:val="none"/>
        </w:rPr>
        <w:t xml:space="preserve">项目编号：               </w:t>
      </w:r>
    </w:p>
    <w:tbl>
      <w:tblPr>
        <w:tblStyle w:val="37"/>
        <w:tblW w:w="9584" w:type="dxa"/>
        <w:jc w:val="center"/>
        <w:tblLayout w:type="fixed"/>
        <w:tblCellMar>
          <w:top w:w="0" w:type="dxa"/>
          <w:left w:w="108" w:type="dxa"/>
          <w:bottom w:w="0" w:type="dxa"/>
          <w:right w:w="108" w:type="dxa"/>
        </w:tblCellMar>
      </w:tblPr>
      <w:tblGrid>
        <w:gridCol w:w="1067"/>
        <w:gridCol w:w="2080"/>
        <w:gridCol w:w="1550"/>
        <w:gridCol w:w="1200"/>
        <w:gridCol w:w="1391"/>
        <w:gridCol w:w="1283"/>
        <w:gridCol w:w="1013"/>
      </w:tblGrid>
      <w:tr w14:paraId="675A3A3B">
        <w:tblPrEx>
          <w:tblCellMar>
            <w:top w:w="0" w:type="dxa"/>
            <w:left w:w="108" w:type="dxa"/>
            <w:bottom w:w="0" w:type="dxa"/>
            <w:right w:w="108" w:type="dxa"/>
          </w:tblCellMar>
        </w:tblPrEx>
        <w:trPr>
          <w:trHeight w:val="567" w:hRule="atLeast"/>
          <w:jc w:val="center"/>
        </w:trPr>
        <w:tc>
          <w:tcPr>
            <w:tcW w:w="1067" w:type="dxa"/>
            <w:tcBorders>
              <w:top w:val="single" w:color="000000" w:sz="4" w:space="0"/>
              <w:left w:val="single" w:color="000000" w:sz="4" w:space="0"/>
              <w:bottom w:val="single" w:color="000000" w:sz="4" w:space="0"/>
              <w:right w:val="single" w:color="000000" w:sz="4" w:space="0"/>
            </w:tcBorders>
            <w:vAlign w:val="center"/>
          </w:tcPr>
          <w:p w14:paraId="5B97052A">
            <w:pPr>
              <w:wordWrap w:val="0"/>
              <w:topLinePunct/>
              <w:jc w:val="both"/>
              <w:rPr>
                <w:rFonts w:ascii="宋体" w:hAnsi="宋体" w:eastAsia="宋体" w:cs="Arial"/>
                <w:sz w:val="24"/>
                <w:szCs w:val="24"/>
                <w:highlight w:val="none"/>
              </w:rPr>
            </w:pPr>
            <w:r>
              <w:rPr>
                <w:rFonts w:hint="eastAsia" w:ascii="宋体" w:hAnsi="宋体" w:eastAsia="宋体" w:cs="Arial"/>
                <w:b/>
                <w:bCs/>
                <w:sz w:val="24"/>
                <w:szCs w:val="24"/>
                <w:highlight w:val="none"/>
              </w:rPr>
              <w:t>序号</w:t>
            </w:r>
          </w:p>
        </w:tc>
        <w:tc>
          <w:tcPr>
            <w:tcW w:w="2080" w:type="dxa"/>
            <w:tcBorders>
              <w:top w:val="single" w:color="000000" w:sz="4" w:space="0"/>
              <w:left w:val="nil"/>
              <w:bottom w:val="single" w:color="000000" w:sz="4" w:space="0"/>
              <w:right w:val="single" w:color="000000" w:sz="4" w:space="0"/>
            </w:tcBorders>
            <w:vAlign w:val="center"/>
          </w:tcPr>
          <w:p w14:paraId="6B33E85A">
            <w:pPr>
              <w:jc w:val="center"/>
              <w:rPr>
                <w:rFonts w:ascii="宋体" w:hAnsi="宋体" w:eastAsia="宋体" w:cs="Arial"/>
                <w:b/>
                <w:bCs/>
                <w:sz w:val="24"/>
                <w:szCs w:val="24"/>
                <w:highlight w:val="none"/>
              </w:rPr>
            </w:pPr>
            <w:r>
              <w:rPr>
                <w:rFonts w:hint="eastAsia" w:ascii="宋体" w:hAnsi="宋体" w:eastAsia="宋体" w:cs="Arial"/>
                <w:b/>
                <w:bCs/>
                <w:sz w:val="24"/>
                <w:szCs w:val="24"/>
                <w:highlight w:val="none"/>
              </w:rPr>
              <w:t>项目名称</w:t>
            </w:r>
          </w:p>
        </w:tc>
        <w:tc>
          <w:tcPr>
            <w:tcW w:w="1550" w:type="dxa"/>
            <w:tcBorders>
              <w:top w:val="single" w:color="000000" w:sz="4" w:space="0"/>
              <w:left w:val="nil"/>
              <w:bottom w:val="single" w:color="000000" w:sz="4" w:space="0"/>
              <w:right w:val="single" w:color="000000" w:sz="4" w:space="0"/>
            </w:tcBorders>
            <w:vAlign w:val="center"/>
          </w:tcPr>
          <w:p w14:paraId="1B074BFC">
            <w:pPr>
              <w:jc w:val="center"/>
              <w:rPr>
                <w:rFonts w:ascii="宋体" w:hAnsi="宋体" w:eastAsia="宋体" w:cs="Arial"/>
                <w:b/>
                <w:bCs/>
                <w:sz w:val="24"/>
                <w:szCs w:val="24"/>
                <w:highlight w:val="none"/>
              </w:rPr>
            </w:pPr>
            <w:r>
              <w:rPr>
                <w:rFonts w:hint="eastAsia" w:ascii="宋体" w:hAnsi="宋体" w:eastAsia="宋体" w:cs="Arial"/>
                <w:b/>
                <w:bCs/>
                <w:sz w:val="24"/>
                <w:szCs w:val="24"/>
                <w:highlight w:val="none"/>
              </w:rPr>
              <w:t>业主单位</w:t>
            </w:r>
          </w:p>
        </w:tc>
        <w:tc>
          <w:tcPr>
            <w:tcW w:w="1200" w:type="dxa"/>
            <w:tcBorders>
              <w:top w:val="single" w:color="000000" w:sz="4" w:space="0"/>
              <w:left w:val="nil"/>
              <w:bottom w:val="single" w:color="000000" w:sz="4" w:space="0"/>
              <w:right w:val="single" w:color="000000" w:sz="4" w:space="0"/>
            </w:tcBorders>
            <w:vAlign w:val="center"/>
          </w:tcPr>
          <w:p w14:paraId="34F77DDD">
            <w:pPr>
              <w:jc w:val="center"/>
              <w:rPr>
                <w:rFonts w:ascii="宋体" w:hAnsi="宋体" w:eastAsia="宋体" w:cs="Arial"/>
                <w:b/>
                <w:bCs/>
                <w:sz w:val="24"/>
                <w:szCs w:val="24"/>
                <w:highlight w:val="none"/>
              </w:rPr>
            </w:pPr>
            <w:r>
              <w:rPr>
                <w:rFonts w:hint="eastAsia" w:ascii="宋体" w:hAnsi="宋体" w:eastAsia="宋体" w:cs="Arial"/>
                <w:b/>
                <w:bCs/>
                <w:sz w:val="24"/>
                <w:szCs w:val="24"/>
                <w:highlight w:val="none"/>
              </w:rPr>
              <w:t>项目</w:t>
            </w:r>
          </w:p>
          <w:p w14:paraId="561F7A12">
            <w:pPr>
              <w:jc w:val="center"/>
              <w:rPr>
                <w:rFonts w:ascii="宋体" w:hAnsi="宋体" w:eastAsia="宋体" w:cs="Arial"/>
                <w:b/>
                <w:bCs/>
                <w:sz w:val="24"/>
                <w:szCs w:val="24"/>
                <w:highlight w:val="none"/>
              </w:rPr>
            </w:pPr>
            <w:r>
              <w:rPr>
                <w:rFonts w:hint="eastAsia" w:ascii="宋体" w:hAnsi="宋体" w:eastAsia="宋体" w:cs="Arial"/>
                <w:b/>
                <w:bCs/>
                <w:sz w:val="24"/>
                <w:szCs w:val="24"/>
                <w:highlight w:val="none"/>
              </w:rPr>
              <w:t>规模</w:t>
            </w:r>
          </w:p>
        </w:tc>
        <w:tc>
          <w:tcPr>
            <w:tcW w:w="1391" w:type="dxa"/>
            <w:tcBorders>
              <w:top w:val="single" w:color="000000" w:sz="4" w:space="0"/>
              <w:left w:val="nil"/>
              <w:bottom w:val="single" w:color="000000" w:sz="4" w:space="0"/>
              <w:right w:val="single" w:color="000000" w:sz="4" w:space="0"/>
            </w:tcBorders>
            <w:vAlign w:val="center"/>
          </w:tcPr>
          <w:p w14:paraId="783DCF0E">
            <w:pPr>
              <w:jc w:val="center"/>
              <w:rPr>
                <w:rFonts w:ascii="宋体" w:hAnsi="宋体" w:eastAsia="宋体" w:cs="Arial"/>
                <w:b/>
                <w:bCs/>
                <w:sz w:val="24"/>
                <w:szCs w:val="24"/>
                <w:highlight w:val="none"/>
              </w:rPr>
            </w:pPr>
            <w:r>
              <w:rPr>
                <w:rFonts w:hint="eastAsia" w:ascii="宋体" w:hAnsi="宋体" w:eastAsia="宋体" w:cs="Arial"/>
                <w:b/>
                <w:bCs/>
                <w:sz w:val="24"/>
                <w:szCs w:val="24"/>
                <w:highlight w:val="none"/>
              </w:rPr>
              <w:t>签约及</w:t>
            </w:r>
          </w:p>
          <w:p w14:paraId="7F2CB04C">
            <w:pPr>
              <w:jc w:val="center"/>
              <w:rPr>
                <w:rFonts w:ascii="宋体" w:hAnsi="宋体" w:eastAsia="宋体" w:cs="Arial"/>
                <w:b/>
                <w:bCs/>
                <w:sz w:val="24"/>
                <w:szCs w:val="24"/>
                <w:highlight w:val="none"/>
              </w:rPr>
            </w:pPr>
            <w:r>
              <w:rPr>
                <w:rFonts w:hint="eastAsia" w:ascii="宋体" w:hAnsi="宋体" w:eastAsia="宋体" w:cs="Arial"/>
                <w:b/>
                <w:bCs/>
                <w:sz w:val="24"/>
                <w:szCs w:val="24"/>
                <w:highlight w:val="none"/>
              </w:rPr>
              <w:t>服务时间</w:t>
            </w:r>
          </w:p>
        </w:tc>
        <w:tc>
          <w:tcPr>
            <w:tcW w:w="1283" w:type="dxa"/>
            <w:tcBorders>
              <w:top w:val="single" w:color="000000" w:sz="4" w:space="0"/>
              <w:left w:val="nil"/>
              <w:bottom w:val="single" w:color="000000" w:sz="4" w:space="0"/>
              <w:right w:val="single" w:color="000000" w:sz="4" w:space="0"/>
            </w:tcBorders>
            <w:vAlign w:val="center"/>
          </w:tcPr>
          <w:p w14:paraId="244D9006">
            <w:pPr>
              <w:jc w:val="center"/>
              <w:rPr>
                <w:rFonts w:ascii="宋体" w:hAnsi="宋体" w:eastAsia="宋体" w:cs="Arial"/>
                <w:b/>
                <w:bCs/>
                <w:sz w:val="24"/>
                <w:szCs w:val="24"/>
                <w:highlight w:val="none"/>
              </w:rPr>
            </w:pPr>
            <w:r>
              <w:rPr>
                <w:rFonts w:hint="eastAsia" w:ascii="宋体" w:hAnsi="宋体" w:eastAsia="宋体" w:cs="Arial"/>
                <w:b/>
                <w:bCs/>
                <w:sz w:val="24"/>
                <w:szCs w:val="24"/>
                <w:highlight w:val="none"/>
              </w:rPr>
              <w:t>联系人</w:t>
            </w:r>
          </w:p>
          <w:p w14:paraId="555CE3AC">
            <w:pPr>
              <w:jc w:val="center"/>
              <w:rPr>
                <w:rFonts w:ascii="宋体" w:hAnsi="宋体" w:eastAsia="宋体" w:cs="Arial"/>
                <w:b/>
                <w:bCs/>
                <w:sz w:val="24"/>
                <w:szCs w:val="24"/>
                <w:highlight w:val="none"/>
              </w:rPr>
            </w:pPr>
            <w:r>
              <w:rPr>
                <w:rFonts w:hint="eastAsia" w:ascii="宋体" w:hAnsi="宋体" w:eastAsia="宋体" w:cs="Arial"/>
                <w:b/>
                <w:bCs/>
                <w:sz w:val="24"/>
                <w:szCs w:val="24"/>
                <w:highlight w:val="none"/>
              </w:rPr>
              <w:t>及电话</w:t>
            </w:r>
          </w:p>
        </w:tc>
        <w:tc>
          <w:tcPr>
            <w:tcW w:w="1013" w:type="dxa"/>
            <w:tcBorders>
              <w:top w:val="single" w:color="000000" w:sz="4" w:space="0"/>
              <w:left w:val="nil"/>
              <w:bottom w:val="single" w:color="000000" w:sz="4" w:space="0"/>
              <w:right w:val="single" w:color="000000" w:sz="4" w:space="0"/>
            </w:tcBorders>
            <w:vAlign w:val="center"/>
          </w:tcPr>
          <w:p w14:paraId="3C1930F6">
            <w:pPr>
              <w:jc w:val="center"/>
              <w:rPr>
                <w:rFonts w:ascii="宋体" w:hAnsi="宋体" w:eastAsia="宋体" w:cs="Arial"/>
                <w:b/>
                <w:bCs/>
                <w:sz w:val="24"/>
                <w:szCs w:val="24"/>
                <w:highlight w:val="none"/>
              </w:rPr>
            </w:pPr>
            <w:r>
              <w:rPr>
                <w:rFonts w:hint="eastAsia" w:ascii="宋体" w:hAnsi="宋体" w:eastAsia="宋体" w:cs="Arial"/>
                <w:b/>
                <w:bCs/>
                <w:sz w:val="24"/>
                <w:szCs w:val="24"/>
                <w:highlight w:val="none"/>
              </w:rPr>
              <w:t>备注</w:t>
            </w:r>
          </w:p>
        </w:tc>
      </w:tr>
      <w:tr w14:paraId="60B4C0E3">
        <w:tblPrEx>
          <w:tblCellMar>
            <w:top w:w="0" w:type="dxa"/>
            <w:left w:w="108" w:type="dxa"/>
            <w:bottom w:w="0" w:type="dxa"/>
            <w:right w:w="108" w:type="dxa"/>
          </w:tblCellMar>
        </w:tblPrEx>
        <w:trPr>
          <w:trHeight w:val="567" w:hRule="atLeast"/>
          <w:jc w:val="center"/>
        </w:trPr>
        <w:tc>
          <w:tcPr>
            <w:tcW w:w="1067" w:type="dxa"/>
            <w:tcBorders>
              <w:top w:val="single" w:color="000000" w:sz="4" w:space="0"/>
              <w:left w:val="single" w:color="000000" w:sz="4" w:space="0"/>
              <w:bottom w:val="single" w:color="000000" w:sz="4" w:space="0"/>
              <w:right w:val="single" w:color="000000" w:sz="4" w:space="0"/>
            </w:tcBorders>
          </w:tcPr>
          <w:p w14:paraId="1D106B69">
            <w:pPr>
              <w:spacing w:line="400" w:lineRule="atLeast"/>
              <w:jc w:val="center"/>
              <w:rPr>
                <w:rFonts w:ascii="宋体" w:hAnsi="宋体" w:eastAsia="宋体" w:cs="Arial"/>
                <w:sz w:val="24"/>
                <w:szCs w:val="24"/>
                <w:highlight w:val="none"/>
              </w:rPr>
            </w:pPr>
          </w:p>
        </w:tc>
        <w:tc>
          <w:tcPr>
            <w:tcW w:w="2080" w:type="dxa"/>
            <w:tcBorders>
              <w:top w:val="single" w:color="000000" w:sz="4" w:space="0"/>
              <w:left w:val="nil"/>
              <w:bottom w:val="single" w:color="000000" w:sz="4" w:space="0"/>
              <w:right w:val="single" w:color="000000" w:sz="4" w:space="0"/>
            </w:tcBorders>
          </w:tcPr>
          <w:p w14:paraId="41DB3775">
            <w:pPr>
              <w:spacing w:line="400" w:lineRule="atLeast"/>
              <w:jc w:val="center"/>
              <w:rPr>
                <w:rFonts w:ascii="宋体" w:hAnsi="宋体" w:eastAsia="宋体" w:cs="Arial"/>
                <w:sz w:val="24"/>
                <w:szCs w:val="24"/>
                <w:highlight w:val="none"/>
              </w:rPr>
            </w:pPr>
          </w:p>
        </w:tc>
        <w:tc>
          <w:tcPr>
            <w:tcW w:w="1550" w:type="dxa"/>
            <w:tcBorders>
              <w:top w:val="single" w:color="000000" w:sz="4" w:space="0"/>
              <w:left w:val="nil"/>
              <w:bottom w:val="single" w:color="000000" w:sz="4" w:space="0"/>
              <w:right w:val="single" w:color="000000" w:sz="4" w:space="0"/>
            </w:tcBorders>
          </w:tcPr>
          <w:p w14:paraId="39161B91">
            <w:pPr>
              <w:spacing w:line="400" w:lineRule="atLeast"/>
              <w:ind w:firstLine="120"/>
              <w:jc w:val="both"/>
              <w:rPr>
                <w:rFonts w:ascii="宋体" w:hAnsi="宋体" w:eastAsia="宋体" w:cs="Arial"/>
                <w:sz w:val="24"/>
                <w:szCs w:val="24"/>
                <w:highlight w:val="none"/>
              </w:rPr>
            </w:pPr>
          </w:p>
        </w:tc>
        <w:tc>
          <w:tcPr>
            <w:tcW w:w="1200" w:type="dxa"/>
            <w:tcBorders>
              <w:top w:val="single" w:color="000000" w:sz="4" w:space="0"/>
              <w:left w:val="nil"/>
              <w:bottom w:val="single" w:color="000000" w:sz="4" w:space="0"/>
              <w:right w:val="single" w:color="000000" w:sz="4" w:space="0"/>
            </w:tcBorders>
          </w:tcPr>
          <w:p w14:paraId="64DA8B09">
            <w:pPr>
              <w:spacing w:line="400" w:lineRule="atLeast"/>
              <w:jc w:val="center"/>
              <w:rPr>
                <w:rFonts w:ascii="宋体" w:hAnsi="宋体" w:eastAsia="宋体" w:cs="Arial"/>
                <w:sz w:val="24"/>
                <w:szCs w:val="24"/>
                <w:highlight w:val="none"/>
              </w:rPr>
            </w:pPr>
          </w:p>
        </w:tc>
        <w:tc>
          <w:tcPr>
            <w:tcW w:w="1391" w:type="dxa"/>
            <w:tcBorders>
              <w:top w:val="single" w:color="000000" w:sz="4" w:space="0"/>
              <w:left w:val="nil"/>
              <w:bottom w:val="single" w:color="000000" w:sz="4" w:space="0"/>
              <w:right w:val="single" w:color="000000" w:sz="4" w:space="0"/>
            </w:tcBorders>
          </w:tcPr>
          <w:p w14:paraId="7E26D3BD">
            <w:pPr>
              <w:spacing w:line="400" w:lineRule="atLeast"/>
              <w:jc w:val="center"/>
              <w:rPr>
                <w:rFonts w:ascii="宋体" w:hAnsi="宋体" w:eastAsia="宋体" w:cs="Arial"/>
                <w:sz w:val="24"/>
                <w:szCs w:val="24"/>
                <w:highlight w:val="none"/>
              </w:rPr>
            </w:pPr>
          </w:p>
        </w:tc>
        <w:tc>
          <w:tcPr>
            <w:tcW w:w="1283" w:type="dxa"/>
            <w:tcBorders>
              <w:top w:val="single" w:color="000000" w:sz="4" w:space="0"/>
              <w:left w:val="nil"/>
              <w:bottom w:val="single" w:color="000000" w:sz="4" w:space="0"/>
              <w:right w:val="single" w:color="000000" w:sz="4" w:space="0"/>
            </w:tcBorders>
          </w:tcPr>
          <w:p w14:paraId="4F1EC25E">
            <w:pPr>
              <w:spacing w:line="400" w:lineRule="atLeast"/>
              <w:jc w:val="center"/>
              <w:rPr>
                <w:rFonts w:ascii="宋体" w:hAnsi="宋体" w:eastAsia="宋体" w:cs="Arial"/>
                <w:sz w:val="24"/>
                <w:szCs w:val="24"/>
                <w:highlight w:val="none"/>
              </w:rPr>
            </w:pPr>
          </w:p>
        </w:tc>
        <w:tc>
          <w:tcPr>
            <w:tcW w:w="1013" w:type="dxa"/>
            <w:tcBorders>
              <w:top w:val="single" w:color="000000" w:sz="4" w:space="0"/>
              <w:left w:val="nil"/>
              <w:bottom w:val="single" w:color="000000" w:sz="4" w:space="0"/>
              <w:right w:val="single" w:color="000000" w:sz="4" w:space="0"/>
            </w:tcBorders>
          </w:tcPr>
          <w:p w14:paraId="71A924B0">
            <w:pPr>
              <w:spacing w:line="400" w:lineRule="atLeast"/>
              <w:jc w:val="center"/>
              <w:rPr>
                <w:rFonts w:ascii="宋体" w:hAnsi="宋体" w:eastAsia="宋体" w:cs="Arial"/>
                <w:sz w:val="24"/>
                <w:szCs w:val="24"/>
                <w:highlight w:val="none"/>
              </w:rPr>
            </w:pPr>
          </w:p>
        </w:tc>
      </w:tr>
      <w:tr w14:paraId="3FB05AC9">
        <w:tblPrEx>
          <w:tblCellMar>
            <w:top w:w="0" w:type="dxa"/>
            <w:left w:w="108" w:type="dxa"/>
            <w:bottom w:w="0" w:type="dxa"/>
            <w:right w:w="108" w:type="dxa"/>
          </w:tblCellMar>
        </w:tblPrEx>
        <w:trPr>
          <w:trHeight w:val="567" w:hRule="atLeast"/>
          <w:jc w:val="center"/>
        </w:trPr>
        <w:tc>
          <w:tcPr>
            <w:tcW w:w="1067" w:type="dxa"/>
            <w:tcBorders>
              <w:top w:val="single" w:color="000000" w:sz="4" w:space="0"/>
              <w:left w:val="single" w:color="000000" w:sz="4" w:space="0"/>
              <w:bottom w:val="single" w:color="000000" w:sz="4" w:space="0"/>
              <w:right w:val="single" w:color="000000" w:sz="4" w:space="0"/>
            </w:tcBorders>
          </w:tcPr>
          <w:p w14:paraId="64D6F918">
            <w:pPr>
              <w:spacing w:line="400" w:lineRule="atLeast"/>
              <w:jc w:val="center"/>
              <w:rPr>
                <w:rFonts w:ascii="宋体" w:hAnsi="宋体" w:eastAsia="宋体" w:cs="Arial"/>
                <w:sz w:val="24"/>
                <w:szCs w:val="24"/>
                <w:highlight w:val="none"/>
              </w:rPr>
            </w:pPr>
          </w:p>
        </w:tc>
        <w:tc>
          <w:tcPr>
            <w:tcW w:w="2080" w:type="dxa"/>
            <w:tcBorders>
              <w:top w:val="single" w:color="000000" w:sz="4" w:space="0"/>
              <w:left w:val="nil"/>
              <w:bottom w:val="single" w:color="000000" w:sz="4" w:space="0"/>
              <w:right w:val="single" w:color="000000" w:sz="4" w:space="0"/>
            </w:tcBorders>
          </w:tcPr>
          <w:p w14:paraId="08BCF34A">
            <w:pPr>
              <w:spacing w:line="400" w:lineRule="atLeast"/>
              <w:jc w:val="center"/>
              <w:rPr>
                <w:rFonts w:ascii="宋体" w:hAnsi="宋体" w:eastAsia="宋体" w:cs="Arial"/>
                <w:sz w:val="24"/>
                <w:szCs w:val="24"/>
                <w:highlight w:val="none"/>
              </w:rPr>
            </w:pPr>
          </w:p>
        </w:tc>
        <w:tc>
          <w:tcPr>
            <w:tcW w:w="1550" w:type="dxa"/>
            <w:tcBorders>
              <w:top w:val="single" w:color="000000" w:sz="4" w:space="0"/>
              <w:left w:val="nil"/>
              <w:bottom w:val="single" w:color="000000" w:sz="4" w:space="0"/>
              <w:right w:val="single" w:color="000000" w:sz="4" w:space="0"/>
            </w:tcBorders>
          </w:tcPr>
          <w:p w14:paraId="0027611F">
            <w:pPr>
              <w:spacing w:line="400" w:lineRule="atLeast"/>
              <w:jc w:val="center"/>
              <w:rPr>
                <w:rFonts w:ascii="宋体" w:hAnsi="宋体" w:eastAsia="宋体" w:cs="Arial"/>
                <w:sz w:val="24"/>
                <w:szCs w:val="24"/>
                <w:highlight w:val="none"/>
              </w:rPr>
            </w:pPr>
          </w:p>
        </w:tc>
        <w:tc>
          <w:tcPr>
            <w:tcW w:w="1200" w:type="dxa"/>
            <w:tcBorders>
              <w:top w:val="single" w:color="000000" w:sz="4" w:space="0"/>
              <w:left w:val="nil"/>
              <w:bottom w:val="single" w:color="000000" w:sz="4" w:space="0"/>
              <w:right w:val="single" w:color="000000" w:sz="4" w:space="0"/>
            </w:tcBorders>
          </w:tcPr>
          <w:p w14:paraId="73124BD1">
            <w:pPr>
              <w:spacing w:line="400" w:lineRule="atLeast"/>
              <w:jc w:val="center"/>
              <w:rPr>
                <w:rFonts w:ascii="宋体" w:hAnsi="宋体" w:eastAsia="宋体" w:cs="Arial"/>
                <w:sz w:val="24"/>
                <w:szCs w:val="24"/>
                <w:highlight w:val="none"/>
              </w:rPr>
            </w:pPr>
          </w:p>
        </w:tc>
        <w:tc>
          <w:tcPr>
            <w:tcW w:w="1391" w:type="dxa"/>
            <w:tcBorders>
              <w:top w:val="single" w:color="000000" w:sz="4" w:space="0"/>
              <w:left w:val="nil"/>
              <w:bottom w:val="single" w:color="000000" w:sz="4" w:space="0"/>
              <w:right w:val="single" w:color="000000" w:sz="4" w:space="0"/>
            </w:tcBorders>
          </w:tcPr>
          <w:p w14:paraId="23987859">
            <w:pPr>
              <w:spacing w:line="400" w:lineRule="atLeast"/>
              <w:jc w:val="center"/>
              <w:rPr>
                <w:rFonts w:ascii="宋体" w:hAnsi="宋体" w:eastAsia="宋体" w:cs="Arial"/>
                <w:sz w:val="24"/>
                <w:szCs w:val="24"/>
                <w:highlight w:val="none"/>
              </w:rPr>
            </w:pPr>
          </w:p>
        </w:tc>
        <w:tc>
          <w:tcPr>
            <w:tcW w:w="1283" w:type="dxa"/>
            <w:tcBorders>
              <w:top w:val="single" w:color="000000" w:sz="4" w:space="0"/>
              <w:left w:val="nil"/>
              <w:bottom w:val="single" w:color="000000" w:sz="4" w:space="0"/>
              <w:right w:val="single" w:color="000000" w:sz="4" w:space="0"/>
            </w:tcBorders>
          </w:tcPr>
          <w:p w14:paraId="6F64FECE">
            <w:pPr>
              <w:spacing w:line="400" w:lineRule="atLeast"/>
              <w:jc w:val="center"/>
              <w:rPr>
                <w:rFonts w:ascii="宋体" w:hAnsi="宋体" w:eastAsia="宋体" w:cs="Arial"/>
                <w:sz w:val="24"/>
                <w:szCs w:val="24"/>
                <w:highlight w:val="none"/>
              </w:rPr>
            </w:pPr>
          </w:p>
        </w:tc>
        <w:tc>
          <w:tcPr>
            <w:tcW w:w="1013" w:type="dxa"/>
            <w:tcBorders>
              <w:top w:val="single" w:color="000000" w:sz="4" w:space="0"/>
              <w:left w:val="nil"/>
              <w:bottom w:val="single" w:color="000000" w:sz="4" w:space="0"/>
              <w:right w:val="single" w:color="000000" w:sz="4" w:space="0"/>
            </w:tcBorders>
          </w:tcPr>
          <w:p w14:paraId="0ABFE457">
            <w:pPr>
              <w:spacing w:line="400" w:lineRule="atLeast"/>
              <w:jc w:val="center"/>
              <w:rPr>
                <w:rFonts w:ascii="宋体" w:hAnsi="宋体" w:eastAsia="宋体" w:cs="Arial"/>
                <w:sz w:val="24"/>
                <w:szCs w:val="24"/>
                <w:highlight w:val="none"/>
              </w:rPr>
            </w:pPr>
          </w:p>
        </w:tc>
      </w:tr>
      <w:tr w14:paraId="26BB229E">
        <w:tblPrEx>
          <w:tblCellMar>
            <w:top w:w="0" w:type="dxa"/>
            <w:left w:w="108" w:type="dxa"/>
            <w:bottom w:w="0" w:type="dxa"/>
            <w:right w:w="108" w:type="dxa"/>
          </w:tblCellMar>
        </w:tblPrEx>
        <w:trPr>
          <w:trHeight w:val="567" w:hRule="atLeast"/>
          <w:jc w:val="center"/>
        </w:trPr>
        <w:tc>
          <w:tcPr>
            <w:tcW w:w="1067" w:type="dxa"/>
            <w:tcBorders>
              <w:top w:val="single" w:color="000000" w:sz="4" w:space="0"/>
              <w:left w:val="single" w:color="000000" w:sz="4" w:space="0"/>
              <w:bottom w:val="single" w:color="000000" w:sz="4" w:space="0"/>
              <w:right w:val="single" w:color="000000" w:sz="4" w:space="0"/>
            </w:tcBorders>
          </w:tcPr>
          <w:p w14:paraId="079EC126">
            <w:pPr>
              <w:spacing w:line="400" w:lineRule="atLeast"/>
              <w:jc w:val="center"/>
              <w:rPr>
                <w:rFonts w:ascii="宋体" w:hAnsi="宋体" w:eastAsia="宋体" w:cs="Arial"/>
                <w:sz w:val="24"/>
                <w:szCs w:val="24"/>
                <w:highlight w:val="none"/>
              </w:rPr>
            </w:pPr>
          </w:p>
        </w:tc>
        <w:tc>
          <w:tcPr>
            <w:tcW w:w="2080" w:type="dxa"/>
            <w:tcBorders>
              <w:top w:val="single" w:color="000000" w:sz="4" w:space="0"/>
              <w:left w:val="nil"/>
              <w:bottom w:val="single" w:color="000000" w:sz="4" w:space="0"/>
              <w:right w:val="single" w:color="000000" w:sz="4" w:space="0"/>
            </w:tcBorders>
          </w:tcPr>
          <w:p w14:paraId="4C08EA47">
            <w:pPr>
              <w:spacing w:line="400" w:lineRule="atLeast"/>
              <w:jc w:val="center"/>
              <w:rPr>
                <w:rFonts w:ascii="宋体" w:hAnsi="宋体" w:eastAsia="宋体" w:cs="Arial"/>
                <w:sz w:val="24"/>
                <w:szCs w:val="24"/>
                <w:highlight w:val="none"/>
              </w:rPr>
            </w:pPr>
          </w:p>
        </w:tc>
        <w:tc>
          <w:tcPr>
            <w:tcW w:w="1550" w:type="dxa"/>
            <w:tcBorders>
              <w:top w:val="single" w:color="000000" w:sz="4" w:space="0"/>
              <w:left w:val="nil"/>
              <w:bottom w:val="single" w:color="000000" w:sz="4" w:space="0"/>
              <w:right w:val="single" w:color="000000" w:sz="4" w:space="0"/>
            </w:tcBorders>
          </w:tcPr>
          <w:p w14:paraId="759C8C61">
            <w:pPr>
              <w:spacing w:line="400" w:lineRule="atLeast"/>
              <w:jc w:val="center"/>
              <w:rPr>
                <w:rFonts w:ascii="宋体" w:hAnsi="宋体" w:eastAsia="宋体" w:cs="Arial"/>
                <w:sz w:val="24"/>
                <w:szCs w:val="24"/>
                <w:highlight w:val="none"/>
              </w:rPr>
            </w:pPr>
          </w:p>
        </w:tc>
        <w:tc>
          <w:tcPr>
            <w:tcW w:w="1200" w:type="dxa"/>
            <w:tcBorders>
              <w:top w:val="single" w:color="000000" w:sz="4" w:space="0"/>
              <w:left w:val="nil"/>
              <w:bottom w:val="single" w:color="000000" w:sz="4" w:space="0"/>
              <w:right w:val="single" w:color="000000" w:sz="4" w:space="0"/>
            </w:tcBorders>
          </w:tcPr>
          <w:p w14:paraId="69CE31D5">
            <w:pPr>
              <w:spacing w:line="400" w:lineRule="atLeast"/>
              <w:jc w:val="center"/>
              <w:rPr>
                <w:rFonts w:ascii="宋体" w:hAnsi="宋体" w:eastAsia="宋体" w:cs="Arial"/>
                <w:sz w:val="24"/>
                <w:szCs w:val="24"/>
                <w:highlight w:val="none"/>
              </w:rPr>
            </w:pPr>
          </w:p>
        </w:tc>
        <w:tc>
          <w:tcPr>
            <w:tcW w:w="1391" w:type="dxa"/>
            <w:tcBorders>
              <w:top w:val="single" w:color="000000" w:sz="4" w:space="0"/>
              <w:left w:val="nil"/>
              <w:bottom w:val="single" w:color="000000" w:sz="4" w:space="0"/>
              <w:right w:val="single" w:color="000000" w:sz="4" w:space="0"/>
            </w:tcBorders>
          </w:tcPr>
          <w:p w14:paraId="2D547495">
            <w:pPr>
              <w:spacing w:line="400" w:lineRule="atLeast"/>
              <w:jc w:val="center"/>
              <w:rPr>
                <w:rFonts w:ascii="宋体" w:hAnsi="宋体" w:eastAsia="宋体" w:cs="Arial"/>
                <w:sz w:val="24"/>
                <w:szCs w:val="24"/>
                <w:highlight w:val="none"/>
              </w:rPr>
            </w:pPr>
          </w:p>
        </w:tc>
        <w:tc>
          <w:tcPr>
            <w:tcW w:w="1283" w:type="dxa"/>
            <w:tcBorders>
              <w:top w:val="single" w:color="000000" w:sz="4" w:space="0"/>
              <w:left w:val="nil"/>
              <w:bottom w:val="single" w:color="000000" w:sz="4" w:space="0"/>
              <w:right w:val="single" w:color="000000" w:sz="4" w:space="0"/>
            </w:tcBorders>
          </w:tcPr>
          <w:p w14:paraId="6905F31F">
            <w:pPr>
              <w:spacing w:line="400" w:lineRule="atLeast"/>
              <w:jc w:val="center"/>
              <w:rPr>
                <w:rFonts w:ascii="宋体" w:hAnsi="宋体" w:eastAsia="宋体" w:cs="Arial"/>
                <w:sz w:val="24"/>
                <w:szCs w:val="24"/>
                <w:highlight w:val="none"/>
              </w:rPr>
            </w:pPr>
          </w:p>
        </w:tc>
        <w:tc>
          <w:tcPr>
            <w:tcW w:w="1013" w:type="dxa"/>
            <w:tcBorders>
              <w:top w:val="single" w:color="000000" w:sz="4" w:space="0"/>
              <w:left w:val="nil"/>
              <w:bottom w:val="single" w:color="000000" w:sz="4" w:space="0"/>
              <w:right w:val="single" w:color="000000" w:sz="4" w:space="0"/>
            </w:tcBorders>
          </w:tcPr>
          <w:p w14:paraId="30A571BA">
            <w:pPr>
              <w:spacing w:line="400" w:lineRule="atLeast"/>
              <w:jc w:val="center"/>
              <w:rPr>
                <w:rFonts w:ascii="宋体" w:hAnsi="宋体" w:eastAsia="宋体" w:cs="Arial"/>
                <w:sz w:val="24"/>
                <w:szCs w:val="24"/>
                <w:highlight w:val="none"/>
              </w:rPr>
            </w:pPr>
          </w:p>
        </w:tc>
      </w:tr>
      <w:tr w14:paraId="727CFE01">
        <w:tblPrEx>
          <w:tblCellMar>
            <w:top w:w="0" w:type="dxa"/>
            <w:left w:w="108" w:type="dxa"/>
            <w:bottom w:w="0" w:type="dxa"/>
            <w:right w:w="108" w:type="dxa"/>
          </w:tblCellMar>
        </w:tblPrEx>
        <w:trPr>
          <w:trHeight w:val="567" w:hRule="atLeast"/>
          <w:jc w:val="center"/>
        </w:trPr>
        <w:tc>
          <w:tcPr>
            <w:tcW w:w="1067" w:type="dxa"/>
            <w:tcBorders>
              <w:top w:val="single" w:color="000000" w:sz="4" w:space="0"/>
              <w:left w:val="single" w:color="000000" w:sz="4" w:space="0"/>
              <w:bottom w:val="single" w:color="000000" w:sz="4" w:space="0"/>
              <w:right w:val="single" w:color="000000" w:sz="4" w:space="0"/>
            </w:tcBorders>
          </w:tcPr>
          <w:p w14:paraId="414BA8E3">
            <w:pPr>
              <w:spacing w:line="400" w:lineRule="atLeast"/>
              <w:jc w:val="center"/>
              <w:rPr>
                <w:rFonts w:ascii="宋体" w:hAnsi="宋体" w:eastAsia="宋体" w:cs="Arial"/>
                <w:sz w:val="24"/>
                <w:szCs w:val="24"/>
                <w:highlight w:val="none"/>
              </w:rPr>
            </w:pPr>
          </w:p>
        </w:tc>
        <w:tc>
          <w:tcPr>
            <w:tcW w:w="2080" w:type="dxa"/>
            <w:tcBorders>
              <w:top w:val="single" w:color="000000" w:sz="4" w:space="0"/>
              <w:left w:val="nil"/>
              <w:bottom w:val="single" w:color="000000" w:sz="4" w:space="0"/>
              <w:right w:val="single" w:color="000000" w:sz="4" w:space="0"/>
            </w:tcBorders>
          </w:tcPr>
          <w:p w14:paraId="548E5E74">
            <w:pPr>
              <w:spacing w:line="400" w:lineRule="atLeast"/>
              <w:jc w:val="center"/>
              <w:rPr>
                <w:rFonts w:ascii="宋体" w:hAnsi="宋体" w:eastAsia="宋体" w:cs="Arial"/>
                <w:sz w:val="24"/>
                <w:szCs w:val="24"/>
                <w:highlight w:val="none"/>
              </w:rPr>
            </w:pPr>
          </w:p>
        </w:tc>
        <w:tc>
          <w:tcPr>
            <w:tcW w:w="1550" w:type="dxa"/>
            <w:tcBorders>
              <w:top w:val="single" w:color="000000" w:sz="4" w:space="0"/>
              <w:left w:val="nil"/>
              <w:bottom w:val="single" w:color="000000" w:sz="4" w:space="0"/>
              <w:right w:val="single" w:color="000000" w:sz="4" w:space="0"/>
            </w:tcBorders>
          </w:tcPr>
          <w:p w14:paraId="133108A7">
            <w:pPr>
              <w:spacing w:line="400" w:lineRule="atLeast"/>
              <w:jc w:val="center"/>
              <w:rPr>
                <w:rFonts w:ascii="宋体" w:hAnsi="宋体" w:eastAsia="宋体" w:cs="Arial"/>
                <w:sz w:val="24"/>
                <w:szCs w:val="24"/>
                <w:highlight w:val="none"/>
              </w:rPr>
            </w:pPr>
          </w:p>
        </w:tc>
        <w:tc>
          <w:tcPr>
            <w:tcW w:w="1200" w:type="dxa"/>
            <w:tcBorders>
              <w:top w:val="single" w:color="000000" w:sz="4" w:space="0"/>
              <w:left w:val="nil"/>
              <w:bottom w:val="single" w:color="000000" w:sz="4" w:space="0"/>
              <w:right w:val="single" w:color="000000" w:sz="4" w:space="0"/>
            </w:tcBorders>
          </w:tcPr>
          <w:p w14:paraId="692F099D">
            <w:pPr>
              <w:spacing w:line="400" w:lineRule="atLeast"/>
              <w:jc w:val="center"/>
              <w:rPr>
                <w:rFonts w:ascii="宋体" w:hAnsi="宋体" w:eastAsia="宋体" w:cs="Arial"/>
                <w:sz w:val="24"/>
                <w:szCs w:val="24"/>
                <w:highlight w:val="none"/>
              </w:rPr>
            </w:pPr>
          </w:p>
        </w:tc>
        <w:tc>
          <w:tcPr>
            <w:tcW w:w="1391" w:type="dxa"/>
            <w:tcBorders>
              <w:top w:val="single" w:color="000000" w:sz="4" w:space="0"/>
              <w:left w:val="nil"/>
              <w:bottom w:val="single" w:color="000000" w:sz="4" w:space="0"/>
              <w:right w:val="single" w:color="000000" w:sz="4" w:space="0"/>
            </w:tcBorders>
          </w:tcPr>
          <w:p w14:paraId="6EAACB2E">
            <w:pPr>
              <w:spacing w:line="400" w:lineRule="atLeast"/>
              <w:jc w:val="center"/>
              <w:rPr>
                <w:rFonts w:ascii="宋体" w:hAnsi="宋体" w:eastAsia="宋体" w:cs="Arial"/>
                <w:sz w:val="24"/>
                <w:szCs w:val="24"/>
                <w:highlight w:val="none"/>
              </w:rPr>
            </w:pPr>
          </w:p>
        </w:tc>
        <w:tc>
          <w:tcPr>
            <w:tcW w:w="1283" w:type="dxa"/>
            <w:tcBorders>
              <w:top w:val="single" w:color="000000" w:sz="4" w:space="0"/>
              <w:left w:val="nil"/>
              <w:bottom w:val="single" w:color="000000" w:sz="4" w:space="0"/>
              <w:right w:val="single" w:color="000000" w:sz="4" w:space="0"/>
            </w:tcBorders>
          </w:tcPr>
          <w:p w14:paraId="0BB67467">
            <w:pPr>
              <w:spacing w:line="400" w:lineRule="atLeast"/>
              <w:jc w:val="center"/>
              <w:rPr>
                <w:rFonts w:ascii="宋体" w:hAnsi="宋体" w:eastAsia="宋体" w:cs="Arial"/>
                <w:sz w:val="24"/>
                <w:szCs w:val="24"/>
                <w:highlight w:val="none"/>
              </w:rPr>
            </w:pPr>
          </w:p>
        </w:tc>
        <w:tc>
          <w:tcPr>
            <w:tcW w:w="1013" w:type="dxa"/>
            <w:tcBorders>
              <w:top w:val="single" w:color="000000" w:sz="4" w:space="0"/>
              <w:left w:val="nil"/>
              <w:bottom w:val="single" w:color="000000" w:sz="4" w:space="0"/>
              <w:right w:val="single" w:color="000000" w:sz="4" w:space="0"/>
            </w:tcBorders>
          </w:tcPr>
          <w:p w14:paraId="569111FB">
            <w:pPr>
              <w:spacing w:line="400" w:lineRule="atLeast"/>
              <w:jc w:val="center"/>
              <w:rPr>
                <w:rFonts w:ascii="宋体" w:hAnsi="宋体" w:eastAsia="宋体" w:cs="Arial"/>
                <w:sz w:val="24"/>
                <w:szCs w:val="24"/>
                <w:highlight w:val="none"/>
              </w:rPr>
            </w:pPr>
          </w:p>
        </w:tc>
      </w:tr>
      <w:tr w14:paraId="7BCEEAF0">
        <w:tblPrEx>
          <w:tblCellMar>
            <w:top w:w="0" w:type="dxa"/>
            <w:left w:w="108" w:type="dxa"/>
            <w:bottom w:w="0" w:type="dxa"/>
            <w:right w:w="108" w:type="dxa"/>
          </w:tblCellMar>
        </w:tblPrEx>
        <w:trPr>
          <w:trHeight w:val="567" w:hRule="atLeast"/>
          <w:jc w:val="center"/>
        </w:trPr>
        <w:tc>
          <w:tcPr>
            <w:tcW w:w="1067" w:type="dxa"/>
            <w:tcBorders>
              <w:top w:val="single" w:color="000000" w:sz="4" w:space="0"/>
              <w:left w:val="single" w:color="000000" w:sz="4" w:space="0"/>
              <w:bottom w:val="single" w:color="000000" w:sz="4" w:space="0"/>
              <w:right w:val="single" w:color="000000" w:sz="4" w:space="0"/>
            </w:tcBorders>
          </w:tcPr>
          <w:p w14:paraId="5E287724">
            <w:pPr>
              <w:spacing w:line="400" w:lineRule="atLeast"/>
              <w:jc w:val="center"/>
              <w:rPr>
                <w:rFonts w:ascii="宋体" w:hAnsi="宋体" w:eastAsia="宋体" w:cs="Arial"/>
                <w:sz w:val="24"/>
                <w:szCs w:val="24"/>
                <w:highlight w:val="none"/>
              </w:rPr>
            </w:pPr>
          </w:p>
        </w:tc>
        <w:tc>
          <w:tcPr>
            <w:tcW w:w="2080" w:type="dxa"/>
            <w:tcBorders>
              <w:top w:val="single" w:color="000000" w:sz="4" w:space="0"/>
              <w:left w:val="nil"/>
              <w:bottom w:val="single" w:color="000000" w:sz="4" w:space="0"/>
              <w:right w:val="single" w:color="000000" w:sz="4" w:space="0"/>
            </w:tcBorders>
          </w:tcPr>
          <w:p w14:paraId="39332A81">
            <w:pPr>
              <w:spacing w:line="400" w:lineRule="atLeast"/>
              <w:jc w:val="center"/>
              <w:rPr>
                <w:rFonts w:ascii="宋体" w:hAnsi="宋体" w:eastAsia="宋体" w:cs="Arial"/>
                <w:sz w:val="24"/>
                <w:szCs w:val="24"/>
                <w:highlight w:val="none"/>
              </w:rPr>
            </w:pPr>
          </w:p>
        </w:tc>
        <w:tc>
          <w:tcPr>
            <w:tcW w:w="1550" w:type="dxa"/>
            <w:tcBorders>
              <w:top w:val="single" w:color="000000" w:sz="4" w:space="0"/>
              <w:left w:val="nil"/>
              <w:bottom w:val="single" w:color="000000" w:sz="4" w:space="0"/>
              <w:right w:val="single" w:color="000000" w:sz="4" w:space="0"/>
            </w:tcBorders>
          </w:tcPr>
          <w:p w14:paraId="7962F829">
            <w:pPr>
              <w:spacing w:line="400" w:lineRule="atLeast"/>
              <w:jc w:val="center"/>
              <w:rPr>
                <w:rFonts w:ascii="宋体" w:hAnsi="宋体" w:eastAsia="宋体" w:cs="Arial"/>
                <w:sz w:val="24"/>
                <w:szCs w:val="24"/>
                <w:highlight w:val="none"/>
              </w:rPr>
            </w:pPr>
          </w:p>
        </w:tc>
        <w:tc>
          <w:tcPr>
            <w:tcW w:w="1200" w:type="dxa"/>
            <w:tcBorders>
              <w:top w:val="single" w:color="000000" w:sz="4" w:space="0"/>
              <w:left w:val="nil"/>
              <w:bottom w:val="single" w:color="000000" w:sz="4" w:space="0"/>
              <w:right w:val="single" w:color="000000" w:sz="4" w:space="0"/>
            </w:tcBorders>
          </w:tcPr>
          <w:p w14:paraId="6ABB1323">
            <w:pPr>
              <w:spacing w:line="400" w:lineRule="atLeast"/>
              <w:jc w:val="center"/>
              <w:rPr>
                <w:rFonts w:ascii="宋体" w:hAnsi="宋体" w:eastAsia="宋体" w:cs="Arial"/>
                <w:sz w:val="24"/>
                <w:szCs w:val="24"/>
                <w:highlight w:val="none"/>
              </w:rPr>
            </w:pPr>
          </w:p>
        </w:tc>
        <w:tc>
          <w:tcPr>
            <w:tcW w:w="1391" w:type="dxa"/>
            <w:tcBorders>
              <w:top w:val="single" w:color="000000" w:sz="4" w:space="0"/>
              <w:left w:val="nil"/>
              <w:bottom w:val="single" w:color="000000" w:sz="4" w:space="0"/>
              <w:right w:val="single" w:color="000000" w:sz="4" w:space="0"/>
            </w:tcBorders>
          </w:tcPr>
          <w:p w14:paraId="116C7D30">
            <w:pPr>
              <w:spacing w:line="400" w:lineRule="atLeast"/>
              <w:jc w:val="center"/>
              <w:rPr>
                <w:rFonts w:ascii="宋体" w:hAnsi="宋体" w:eastAsia="宋体" w:cs="Arial"/>
                <w:sz w:val="24"/>
                <w:szCs w:val="24"/>
                <w:highlight w:val="none"/>
              </w:rPr>
            </w:pPr>
          </w:p>
        </w:tc>
        <w:tc>
          <w:tcPr>
            <w:tcW w:w="1283" w:type="dxa"/>
            <w:tcBorders>
              <w:top w:val="single" w:color="000000" w:sz="4" w:space="0"/>
              <w:left w:val="nil"/>
              <w:bottom w:val="single" w:color="000000" w:sz="4" w:space="0"/>
              <w:right w:val="single" w:color="000000" w:sz="4" w:space="0"/>
            </w:tcBorders>
          </w:tcPr>
          <w:p w14:paraId="6BC5F4C5">
            <w:pPr>
              <w:spacing w:line="400" w:lineRule="atLeast"/>
              <w:jc w:val="center"/>
              <w:rPr>
                <w:rFonts w:ascii="宋体" w:hAnsi="宋体" w:eastAsia="宋体" w:cs="Arial"/>
                <w:sz w:val="24"/>
                <w:szCs w:val="24"/>
                <w:highlight w:val="none"/>
              </w:rPr>
            </w:pPr>
          </w:p>
        </w:tc>
        <w:tc>
          <w:tcPr>
            <w:tcW w:w="1013" w:type="dxa"/>
            <w:tcBorders>
              <w:top w:val="single" w:color="000000" w:sz="4" w:space="0"/>
              <w:left w:val="nil"/>
              <w:bottom w:val="single" w:color="000000" w:sz="4" w:space="0"/>
              <w:right w:val="single" w:color="000000" w:sz="4" w:space="0"/>
            </w:tcBorders>
          </w:tcPr>
          <w:p w14:paraId="4516603C">
            <w:pPr>
              <w:spacing w:line="400" w:lineRule="atLeast"/>
              <w:jc w:val="center"/>
              <w:rPr>
                <w:rFonts w:ascii="宋体" w:hAnsi="宋体" w:eastAsia="宋体" w:cs="Arial"/>
                <w:sz w:val="24"/>
                <w:szCs w:val="24"/>
                <w:highlight w:val="none"/>
              </w:rPr>
            </w:pPr>
          </w:p>
        </w:tc>
      </w:tr>
      <w:tr w14:paraId="50CD0577">
        <w:tblPrEx>
          <w:tblCellMar>
            <w:top w:w="0" w:type="dxa"/>
            <w:left w:w="108" w:type="dxa"/>
            <w:bottom w:w="0" w:type="dxa"/>
            <w:right w:w="108" w:type="dxa"/>
          </w:tblCellMar>
        </w:tblPrEx>
        <w:trPr>
          <w:trHeight w:val="567" w:hRule="atLeast"/>
          <w:jc w:val="center"/>
        </w:trPr>
        <w:tc>
          <w:tcPr>
            <w:tcW w:w="1067" w:type="dxa"/>
            <w:tcBorders>
              <w:top w:val="single" w:color="000000" w:sz="4" w:space="0"/>
              <w:left w:val="single" w:color="000000" w:sz="4" w:space="0"/>
              <w:bottom w:val="single" w:color="000000" w:sz="4" w:space="0"/>
              <w:right w:val="single" w:color="000000" w:sz="4" w:space="0"/>
            </w:tcBorders>
          </w:tcPr>
          <w:p w14:paraId="49EF5DCD">
            <w:pPr>
              <w:spacing w:line="400" w:lineRule="atLeast"/>
              <w:jc w:val="center"/>
              <w:rPr>
                <w:rFonts w:ascii="宋体" w:hAnsi="宋体" w:eastAsia="宋体" w:cs="Arial"/>
                <w:sz w:val="24"/>
                <w:szCs w:val="24"/>
                <w:highlight w:val="none"/>
              </w:rPr>
            </w:pPr>
          </w:p>
        </w:tc>
        <w:tc>
          <w:tcPr>
            <w:tcW w:w="2080" w:type="dxa"/>
            <w:tcBorders>
              <w:top w:val="single" w:color="000000" w:sz="4" w:space="0"/>
              <w:left w:val="nil"/>
              <w:bottom w:val="single" w:color="000000" w:sz="4" w:space="0"/>
              <w:right w:val="single" w:color="000000" w:sz="4" w:space="0"/>
            </w:tcBorders>
          </w:tcPr>
          <w:p w14:paraId="5C78AB3B">
            <w:pPr>
              <w:spacing w:line="400" w:lineRule="atLeast"/>
              <w:jc w:val="center"/>
              <w:rPr>
                <w:rFonts w:ascii="宋体" w:hAnsi="宋体" w:eastAsia="宋体" w:cs="Arial"/>
                <w:sz w:val="24"/>
                <w:szCs w:val="24"/>
                <w:highlight w:val="none"/>
              </w:rPr>
            </w:pPr>
          </w:p>
        </w:tc>
        <w:tc>
          <w:tcPr>
            <w:tcW w:w="1550" w:type="dxa"/>
            <w:tcBorders>
              <w:top w:val="single" w:color="000000" w:sz="4" w:space="0"/>
              <w:left w:val="nil"/>
              <w:bottom w:val="single" w:color="000000" w:sz="4" w:space="0"/>
              <w:right w:val="single" w:color="000000" w:sz="4" w:space="0"/>
            </w:tcBorders>
          </w:tcPr>
          <w:p w14:paraId="3C2E88AA">
            <w:pPr>
              <w:spacing w:line="400" w:lineRule="atLeast"/>
              <w:jc w:val="center"/>
              <w:rPr>
                <w:rFonts w:ascii="宋体" w:hAnsi="宋体" w:eastAsia="宋体" w:cs="Arial"/>
                <w:sz w:val="24"/>
                <w:szCs w:val="24"/>
                <w:highlight w:val="none"/>
              </w:rPr>
            </w:pPr>
          </w:p>
        </w:tc>
        <w:tc>
          <w:tcPr>
            <w:tcW w:w="1200" w:type="dxa"/>
            <w:tcBorders>
              <w:top w:val="single" w:color="000000" w:sz="4" w:space="0"/>
              <w:left w:val="nil"/>
              <w:bottom w:val="single" w:color="000000" w:sz="4" w:space="0"/>
              <w:right w:val="single" w:color="000000" w:sz="4" w:space="0"/>
            </w:tcBorders>
          </w:tcPr>
          <w:p w14:paraId="32997EDF">
            <w:pPr>
              <w:spacing w:line="400" w:lineRule="atLeast"/>
              <w:jc w:val="center"/>
              <w:rPr>
                <w:rFonts w:ascii="宋体" w:hAnsi="宋体" w:eastAsia="宋体" w:cs="Arial"/>
                <w:sz w:val="24"/>
                <w:szCs w:val="24"/>
                <w:highlight w:val="none"/>
              </w:rPr>
            </w:pPr>
          </w:p>
        </w:tc>
        <w:tc>
          <w:tcPr>
            <w:tcW w:w="1391" w:type="dxa"/>
            <w:tcBorders>
              <w:top w:val="single" w:color="000000" w:sz="4" w:space="0"/>
              <w:left w:val="nil"/>
              <w:bottom w:val="single" w:color="000000" w:sz="4" w:space="0"/>
              <w:right w:val="single" w:color="000000" w:sz="4" w:space="0"/>
            </w:tcBorders>
          </w:tcPr>
          <w:p w14:paraId="68DDE0E0">
            <w:pPr>
              <w:spacing w:line="400" w:lineRule="atLeast"/>
              <w:jc w:val="center"/>
              <w:rPr>
                <w:rFonts w:ascii="宋体" w:hAnsi="宋体" w:eastAsia="宋体" w:cs="Arial"/>
                <w:sz w:val="24"/>
                <w:szCs w:val="24"/>
                <w:highlight w:val="none"/>
              </w:rPr>
            </w:pPr>
          </w:p>
        </w:tc>
        <w:tc>
          <w:tcPr>
            <w:tcW w:w="1283" w:type="dxa"/>
            <w:tcBorders>
              <w:top w:val="single" w:color="000000" w:sz="4" w:space="0"/>
              <w:left w:val="nil"/>
              <w:bottom w:val="single" w:color="000000" w:sz="4" w:space="0"/>
              <w:right w:val="single" w:color="000000" w:sz="4" w:space="0"/>
            </w:tcBorders>
          </w:tcPr>
          <w:p w14:paraId="6A776063">
            <w:pPr>
              <w:spacing w:line="400" w:lineRule="atLeast"/>
              <w:jc w:val="center"/>
              <w:rPr>
                <w:rFonts w:ascii="宋体" w:hAnsi="宋体" w:eastAsia="宋体" w:cs="Arial"/>
                <w:sz w:val="24"/>
                <w:szCs w:val="24"/>
                <w:highlight w:val="none"/>
              </w:rPr>
            </w:pPr>
          </w:p>
        </w:tc>
        <w:tc>
          <w:tcPr>
            <w:tcW w:w="1013" w:type="dxa"/>
            <w:tcBorders>
              <w:top w:val="single" w:color="000000" w:sz="4" w:space="0"/>
              <w:left w:val="nil"/>
              <w:bottom w:val="single" w:color="000000" w:sz="4" w:space="0"/>
              <w:right w:val="single" w:color="000000" w:sz="4" w:space="0"/>
            </w:tcBorders>
          </w:tcPr>
          <w:p w14:paraId="5DF1B1A9">
            <w:pPr>
              <w:spacing w:line="400" w:lineRule="atLeast"/>
              <w:jc w:val="center"/>
              <w:rPr>
                <w:rFonts w:ascii="宋体" w:hAnsi="宋体" w:eastAsia="宋体" w:cs="Arial"/>
                <w:sz w:val="24"/>
                <w:szCs w:val="24"/>
                <w:highlight w:val="none"/>
              </w:rPr>
            </w:pPr>
          </w:p>
        </w:tc>
      </w:tr>
      <w:tr w14:paraId="7B55E047">
        <w:tblPrEx>
          <w:tblCellMar>
            <w:top w:w="0" w:type="dxa"/>
            <w:left w:w="108" w:type="dxa"/>
            <w:bottom w:w="0" w:type="dxa"/>
            <w:right w:w="108" w:type="dxa"/>
          </w:tblCellMar>
        </w:tblPrEx>
        <w:trPr>
          <w:trHeight w:val="567" w:hRule="atLeast"/>
          <w:jc w:val="center"/>
        </w:trPr>
        <w:tc>
          <w:tcPr>
            <w:tcW w:w="1067" w:type="dxa"/>
            <w:tcBorders>
              <w:top w:val="single" w:color="000000" w:sz="4" w:space="0"/>
              <w:left w:val="single" w:color="000000" w:sz="4" w:space="0"/>
              <w:bottom w:val="single" w:color="000000" w:sz="4" w:space="0"/>
              <w:right w:val="single" w:color="000000" w:sz="4" w:space="0"/>
            </w:tcBorders>
          </w:tcPr>
          <w:p w14:paraId="2B5B5123">
            <w:pPr>
              <w:spacing w:line="400" w:lineRule="atLeast"/>
              <w:jc w:val="center"/>
              <w:rPr>
                <w:rFonts w:ascii="宋体" w:hAnsi="宋体" w:eastAsia="宋体" w:cs="Arial"/>
                <w:sz w:val="24"/>
                <w:szCs w:val="24"/>
                <w:highlight w:val="none"/>
              </w:rPr>
            </w:pPr>
          </w:p>
        </w:tc>
        <w:tc>
          <w:tcPr>
            <w:tcW w:w="2080" w:type="dxa"/>
            <w:tcBorders>
              <w:top w:val="single" w:color="000000" w:sz="4" w:space="0"/>
              <w:left w:val="nil"/>
              <w:bottom w:val="single" w:color="000000" w:sz="4" w:space="0"/>
              <w:right w:val="single" w:color="000000" w:sz="4" w:space="0"/>
            </w:tcBorders>
          </w:tcPr>
          <w:p w14:paraId="41FDEC44">
            <w:pPr>
              <w:spacing w:line="400" w:lineRule="atLeast"/>
              <w:jc w:val="center"/>
              <w:rPr>
                <w:rFonts w:ascii="宋体" w:hAnsi="宋体" w:eastAsia="宋体" w:cs="Arial"/>
                <w:sz w:val="24"/>
                <w:szCs w:val="24"/>
                <w:highlight w:val="none"/>
              </w:rPr>
            </w:pPr>
          </w:p>
        </w:tc>
        <w:tc>
          <w:tcPr>
            <w:tcW w:w="1550" w:type="dxa"/>
            <w:tcBorders>
              <w:top w:val="single" w:color="000000" w:sz="4" w:space="0"/>
              <w:left w:val="nil"/>
              <w:bottom w:val="single" w:color="000000" w:sz="4" w:space="0"/>
              <w:right w:val="single" w:color="000000" w:sz="4" w:space="0"/>
            </w:tcBorders>
          </w:tcPr>
          <w:p w14:paraId="43CB8A50">
            <w:pPr>
              <w:spacing w:line="400" w:lineRule="atLeast"/>
              <w:jc w:val="center"/>
              <w:rPr>
                <w:rFonts w:ascii="宋体" w:hAnsi="宋体" w:eastAsia="宋体" w:cs="Arial"/>
                <w:sz w:val="24"/>
                <w:szCs w:val="24"/>
                <w:highlight w:val="none"/>
              </w:rPr>
            </w:pPr>
          </w:p>
        </w:tc>
        <w:tc>
          <w:tcPr>
            <w:tcW w:w="1200" w:type="dxa"/>
            <w:tcBorders>
              <w:top w:val="single" w:color="000000" w:sz="4" w:space="0"/>
              <w:left w:val="nil"/>
              <w:bottom w:val="single" w:color="000000" w:sz="4" w:space="0"/>
              <w:right w:val="single" w:color="000000" w:sz="4" w:space="0"/>
            </w:tcBorders>
          </w:tcPr>
          <w:p w14:paraId="638B70E1">
            <w:pPr>
              <w:spacing w:line="400" w:lineRule="atLeast"/>
              <w:jc w:val="center"/>
              <w:rPr>
                <w:rFonts w:ascii="宋体" w:hAnsi="宋体" w:eastAsia="宋体" w:cs="Arial"/>
                <w:sz w:val="24"/>
                <w:szCs w:val="24"/>
                <w:highlight w:val="none"/>
              </w:rPr>
            </w:pPr>
          </w:p>
        </w:tc>
        <w:tc>
          <w:tcPr>
            <w:tcW w:w="1391" w:type="dxa"/>
            <w:tcBorders>
              <w:top w:val="single" w:color="000000" w:sz="4" w:space="0"/>
              <w:left w:val="nil"/>
              <w:bottom w:val="single" w:color="000000" w:sz="4" w:space="0"/>
              <w:right w:val="single" w:color="000000" w:sz="4" w:space="0"/>
            </w:tcBorders>
          </w:tcPr>
          <w:p w14:paraId="4C1A4734">
            <w:pPr>
              <w:spacing w:line="400" w:lineRule="atLeast"/>
              <w:jc w:val="center"/>
              <w:rPr>
                <w:rFonts w:ascii="宋体" w:hAnsi="宋体" w:eastAsia="宋体" w:cs="Arial"/>
                <w:sz w:val="24"/>
                <w:szCs w:val="24"/>
                <w:highlight w:val="none"/>
              </w:rPr>
            </w:pPr>
          </w:p>
        </w:tc>
        <w:tc>
          <w:tcPr>
            <w:tcW w:w="1283" w:type="dxa"/>
            <w:tcBorders>
              <w:top w:val="single" w:color="000000" w:sz="4" w:space="0"/>
              <w:left w:val="nil"/>
              <w:bottom w:val="single" w:color="000000" w:sz="4" w:space="0"/>
              <w:right w:val="single" w:color="000000" w:sz="4" w:space="0"/>
            </w:tcBorders>
          </w:tcPr>
          <w:p w14:paraId="1299849C">
            <w:pPr>
              <w:spacing w:line="400" w:lineRule="atLeast"/>
              <w:jc w:val="center"/>
              <w:rPr>
                <w:rFonts w:ascii="宋体" w:hAnsi="宋体" w:eastAsia="宋体" w:cs="Arial"/>
                <w:sz w:val="24"/>
                <w:szCs w:val="24"/>
                <w:highlight w:val="none"/>
              </w:rPr>
            </w:pPr>
          </w:p>
        </w:tc>
        <w:tc>
          <w:tcPr>
            <w:tcW w:w="1013" w:type="dxa"/>
            <w:tcBorders>
              <w:top w:val="single" w:color="000000" w:sz="4" w:space="0"/>
              <w:left w:val="nil"/>
              <w:bottom w:val="single" w:color="000000" w:sz="4" w:space="0"/>
              <w:right w:val="single" w:color="000000" w:sz="4" w:space="0"/>
            </w:tcBorders>
          </w:tcPr>
          <w:p w14:paraId="39F47A01">
            <w:pPr>
              <w:spacing w:line="400" w:lineRule="atLeast"/>
              <w:jc w:val="center"/>
              <w:rPr>
                <w:rFonts w:ascii="宋体" w:hAnsi="宋体" w:eastAsia="宋体" w:cs="Arial"/>
                <w:sz w:val="24"/>
                <w:szCs w:val="24"/>
                <w:highlight w:val="none"/>
              </w:rPr>
            </w:pPr>
          </w:p>
        </w:tc>
      </w:tr>
      <w:tr w14:paraId="5FC19417">
        <w:tblPrEx>
          <w:tblCellMar>
            <w:top w:w="0" w:type="dxa"/>
            <w:left w:w="108" w:type="dxa"/>
            <w:bottom w:w="0" w:type="dxa"/>
            <w:right w:w="108" w:type="dxa"/>
          </w:tblCellMar>
        </w:tblPrEx>
        <w:trPr>
          <w:trHeight w:val="567" w:hRule="atLeast"/>
          <w:jc w:val="center"/>
        </w:trPr>
        <w:tc>
          <w:tcPr>
            <w:tcW w:w="1067" w:type="dxa"/>
            <w:tcBorders>
              <w:top w:val="single" w:color="000000" w:sz="4" w:space="0"/>
              <w:left w:val="single" w:color="000000" w:sz="4" w:space="0"/>
              <w:bottom w:val="single" w:color="000000" w:sz="4" w:space="0"/>
              <w:right w:val="single" w:color="000000" w:sz="4" w:space="0"/>
            </w:tcBorders>
          </w:tcPr>
          <w:p w14:paraId="3B923B65">
            <w:pPr>
              <w:spacing w:line="400" w:lineRule="atLeast"/>
              <w:jc w:val="center"/>
              <w:rPr>
                <w:rFonts w:ascii="宋体" w:hAnsi="宋体" w:eastAsia="宋体" w:cs="Arial"/>
                <w:sz w:val="24"/>
                <w:szCs w:val="24"/>
                <w:highlight w:val="none"/>
              </w:rPr>
            </w:pPr>
          </w:p>
        </w:tc>
        <w:tc>
          <w:tcPr>
            <w:tcW w:w="2080" w:type="dxa"/>
            <w:tcBorders>
              <w:top w:val="single" w:color="000000" w:sz="4" w:space="0"/>
              <w:left w:val="nil"/>
              <w:bottom w:val="single" w:color="000000" w:sz="4" w:space="0"/>
              <w:right w:val="single" w:color="000000" w:sz="4" w:space="0"/>
            </w:tcBorders>
          </w:tcPr>
          <w:p w14:paraId="666BAD29">
            <w:pPr>
              <w:spacing w:line="400" w:lineRule="atLeast"/>
              <w:jc w:val="center"/>
              <w:rPr>
                <w:rFonts w:ascii="宋体" w:hAnsi="宋体" w:eastAsia="宋体" w:cs="Arial"/>
                <w:sz w:val="24"/>
                <w:szCs w:val="24"/>
                <w:highlight w:val="none"/>
              </w:rPr>
            </w:pPr>
          </w:p>
        </w:tc>
        <w:tc>
          <w:tcPr>
            <w:tcW w:w="1550" w:type="dxa"/>
            <w:tcBorders>
              <w:top w:val="single" w:color="000000" w:sz="4" w:space="0"/>
              <w:left w:val="nil"/>
              <w:bottom w:val="single" w:color="000000" w:sz="4" w:space="0"/>
              <w:right w:val="single" w:color="000000" w:sz="4" w:space="0"/>
            </w:tcBorders>
          </w:tcPr>
          <w:p w14:paraId="2824B6AE">
            <w:pPr>
              <w:spacing w:line="400" w:lineRule="atLeast"/>
              <w:jc w:val="center"/>
              <w:rPr>
                <w:rFonts w:ascii="宋体" w:hAnsi="宋体" w:eastAsia="宋体" w:cs="Arial"/>
                <w:sz w:val="24"/>
                <w:szCs w:val="24"/>
                <w:highlight w:val="none"/>
              </w:rPr>
            </w:pPr>
          </w:p>
        </w:tc>
        <w:tc>
          <w:tcPr>
            <w:tcW w:w="1200" w:type="dxa"/>
            <w:tcBorders>
              <w:top w:val="single" w:color="000000" w:sz="4" w:space="0"/>
              <w:left w:val="nil"/>
              <w:bottom w:val="single" w:color="000000" w:sz="4" w:space="0"/>
              <w:right w:val="single" w:color="000000" w:sz="4" w:space="0"/>
            </w:tcBorders>
          </w:tcPr>
          <w:p w14:paraId="1455C9D7">
            <w:pPr>
              <w:spacing w:line="400" w:lineRule="atLeast"/>
              <w:jc w:val="center"/>
              <w:rPr>
                <w:rFonts w:ascii="宋体" w:hAnsi="宋体" w:eastAsia="宋体" w:cs="Arial"/>
                <w:sz w:val="24"/>
                <w:szCs w:val="24"/>
                <w:highlight w:val="none"/>
              </w:rPr>
            </w:pPr>
          </w:p>
        </w:tc>
        <w:tc>
          <w:tcPr>
            <w:tcW w:w="1391" w:type="dxa"/>
            <w:tcBorders>
              <w:top w:val="single" w:color="000000" w:sz="4" w:space="0"/>
              <w:left w:val="nil"/>
              <w:bottom w:val="single" w:color="000000" w:sz="4" w:space="0"/>
              <w:right w:val="single" w:color="000000" w:sz="4" w:space="0"/>
            </w:tcBorders>
          </w:tcPr>
          <w:p w14:paraId="2E4D4464">
            <w:pPr>
              <w:spacing w:line="400" w:lineRule="atLeast"/>
              <w:jc w:val="center"/>
              <w:rPr>
                <w:rFonts w:ascii="宋体" w:hAnsi="宋体" w:eastAsia="宋体" w:cs="Arial"/>
                <w:sz w:val="24"/>
                <w:szCs w:val="24"/>
                <w:highlight w:val="none"/>
              </w:rPr>
            </w:pPr>
          </w:p>
        </w:tc>
        <w:tc>
          <w:tcPr>
            <w:tcW w:w="1283" w:type="dxa"/>
            <w:tcBorders>
              <w:top w:val="single" w:color="000000" w:sz="4" w:space="0"/>
              <w:left w:val="nil"/>
              <w:bottom w:val="single" w:color="000000" w:sz="4" w:space="0"/>
              <w:right w:val="single" w:color="000000" w:sz="4" w:space="0"/>
            </w:tcBorders>
          </w:tcPr>
          <w:p w14:paraId="5495811A">
            <w:pPr>
              <w:spacing w:line="400" w:lineRule="atLeast"/>
              <w:jc w:val="center"/>
              <w:rPr>
                <w:rFonts w:ascii="宋体" w:hAnsi="宋体" w:eastAsia="宋体" w:cs="Arial"/>
                <w:sz w:val="24"/>
                <w:szCs w:val="24"/>
                <w:highlight w:val="none"/>
              </w:rPr>
            </w:pPr>
          </w:p>
        </w:tc>
        <w:tc>
          <w:tcPr>
            <w:tcW w:w="1013" w:type="dxa"/>
            <w:tcBorders>
              <w:top w:val="single" w:color="000000" w:sz="4" w:space="0"/>
              <w:left w:val="nil"/>
              <w:bottom w:val="single" w:color="000000" w:sz="4" w:space="0"/>
              <w:right w:val="single" w:color="000000" w:sz="4" w:space="0"/>
            </w:tcBorders>
          </w:tcPr>
          <w:p w14:paraId="5F7F60A5">
            <w:pPr>
              <w:spacing w:line="400" w:lineRule="atLeast"/>
              <w:jc w:val="center"/>
              <w:rPr>
                <w:rFonts w:ascii="宋体" w:hAnsi="宋体" w:eastAsia="宋体" w:cs="Arial"/>
                <w:sz w:val="24"/>
                <w:szCs w:val="24"/>
                <w:highlight w:val="none"/>
              </w:rPr>
            </w:pPr>
          </w:p>
        </w:tc>
      </w:tr>
    </w:tbl>
    <w:p w14:paraId="03450DBB">
      <w:pPr>
        <w:shd w:val="clear" w:color="auto" w:fill="FFFFFF"/>
        <w:spacing w:line="360" w:lineRule="auto"/>
        <w:rPr>
          <w:rFonts w:ascii="宋体" w:hAnsi="宋体" w:eastAsia="宋体" w:cs="Times New Roman"/>
          <w:sz w:val="24"/>
          <w:szCs w:val="24"/>
          <w:highlight w:val="none"/>
        </w:rPr>
      </w:pPr>
    </w:p>
    <w:p w14:paraId="3E704624">
      <w:pPr>
        <w:shd w:val="clear" w:color="auto" w:fill="FFFFFF"/>
        <w:spacing w:line="360" w:lineRule="auto"/>
        <w:rPr>
          <w:rFonts w:ascii="宋体" w:hAnsi="宋体" w:eastAsia="宋体" w:cs="Arial"/>
          <w:sz w:val="24"/>
          <w:szCs w:val="24"/>
          <w:highlight w:val="none"/>
        </w:rPr>
      </w:pPr>
      <w:r>
        <w:rPr>
          <w:rFonts w:hint="eastAsia" w:ascii="宋体" w:hAnsi="宋体" w:eastAsia="宋体" w:cs="Times New Roman"/>
          <w:sz w:val="24"/>
          <w:szCs w:val="24"/>
          <w:highlight w:val="none"/>
        </w:rPr>
        <w:t>注：按招标文件要求及评标标准的要求，提供业绩证明材料等，附后。</w:t>
      </w:r>
    </w:p>
    <w:p w14:paraId="018510F1">
      <w:pPr>
        <w:widowControl w:val="0"/>
        <w:shd w:val="clear" w:color="auto" w:fill="FFFFFF"/>
        <w:spacing w:line="360" w:lineRule="auto"/>
        <w:rPr>
          <w:rFonts w:ascii="宋体" w:hAnsi="宋体" w:eastAsia="宋体" w:cs="Arial"/>
          <w:sz w:val="24"/>
          <w:szCs w:val="24"/>
          <w:highlight w:val="none"/>
        </w:rPr>
      </w:pPr>
    </w:p>
    <w:p w14:paraId="25248ADC">
      <w:pPr>
        <w:widowControl w:val="0"/>
        <w:shd w:val="clear" w:color="auto" w:fill="FFFFFF"/>
        <w:spacing w:line="360" w:lineRule="auto"/>
        <w:rPr>
          <w:rFonts w:ascii="宋体" w:hAnsi="宋体" w:eastAsia="宋体" w:cs="Arial"/>
          <w:sz w:val="24"/>
          <w:szCs w:val="24"/>
          <w:highlight w:val="none"/>
        </w:rPr>
      </w:pPr>
      <w:r>
        <w:rPr>
          <w:rFonts w:hint="eastAsia" w:ascii="宋体" w:hAnsi="宋体" w:eastAsia="宋体" w:cs="Arial"/>
          <w:sz w:val="24"/>
          <w:szCs w:val="24"/>
          <w:highlight w:val="none"/>
        </w:rPr>
        <w:t>如果行数不够，请自行增加。</w:t>
      </w:r>
    </w:p>
    <w:p w14:paraId="69AC72FF">
      <w:pPr>
        <w:shd w:val="clear" w:color="auto" w:fill="FFFFFF"/>
        <w:spacing w:line="360" w:lineRule="auto"/>
        <w:rPr>
          <w:rFonts w:ascii="宋体" w:hAnsi="宋体" w:eastAsia="宋体" w:cs="Arial"/>
          <w:sz w:val="24"/>
          <w:szCs w:val="24"/>
          <w:highlight w:val="none"/>
        </w:rPr>
      </w:pPr>
    </w:p>
    <w:p w14:paraId="56763C2A">
      <w:pPr>
        <w:shd w:val="clear" w:color="auto" w:fill="FFFFFF"/>
        <w:spacing w:line="360" w:lineRule="auto"/>
        <w:ind w:firstLine="6240" w:firstLineChars="2600"/>
        <w:rPr>
          <w:rFonts w:ascii="宋体" w:hAnsi="宋体" w:eastAsia="宋体" w:cs="Arial"/>
          <w:sz w:val="24"/>
          <w:szCs w:val="24"/>
          <w:highlight w:val="none"/>
        </w:rPr>
      </w:pPr>
      <w:r>
        <w:rPr>
          <w:rFonts w:hint="eastAsia" w:ascii="宋体" w:hAnsi="宋体" w:eastAsia="宋体" w:cs="Arial"/>
          <w:sz w:val="24"/>
          <w:szCs w:val="24"/>
          <w:highlight w:val="none"/>
        </w:rPr>
        <w:t>投标人全称（CA公章）：</w:t>
      </w:r>
    </w:p>
    <w:p w14:paraId="35B9A9AF">
      <w:pPr>
        <w:spacing w:line="360" w:lineRule="auto"/>
        <w:jc w:val="both"/>
        <w:rPr>
          <w:rFonts w:ascii="宋体" w:hAnsi="宋体" w:eastAsia="宋体" w:cs="Arial"/>
          <w:b/>
          <w:bCs/>
          <w:szCs w:val="21"/>
          <w:highlight w:val="none"/>
        </w:rPr>
      </w:pPr>
    </w:p>
    <w:p w14:paraId="7DC12093">
      <w:pPr>
        <w:spacing w:line="360" w:lineRule="auto"/>
        <w:jc w:val="both"/>
        <w:rPr>
          <w:rFonts w:ascii="宋体" w:hAnsi="宋体" w:eastAsia="宋体" w:cs="Arial"/>
          <w:b/>
          <w:bCs/>
          <w:szCs w:val="21"/>
          <w:highlight w:val="none"/>
        </w:rPr>
      </w:pPr>
    </w:p>
    <w:p w14:paraId="1088705E">
      <w:pPr>
        <w:widowControl w:val="0"/>
        <w:spacing w:line="360" w:lineRule="auto"/>
        <w:jc w:val="both"/>
        <w:rPr>
          <w:rFonts w:ascii="宋体" w:hAnsi="宋体" w:eastAsia="宋体" w:cs="Arial"/>
          <w:szCs w:val="24"/>
          <w:highlight w:val="none"/>
        </w:rPr>
      </w:pPr>
    </w:p>
    <w:p w14:paraId="404B89A0">
      <w:pPr>
        <w:widowControl w:val="0"/>
        <w:spacing w:line="360" w:lineRule="auto"/>
        <w:jc w:val="both"/>
        <w:outlineLvl w:val="1"/>
        <w:rPr>
          <w:rFonts w:ascii="宋体" w:hAnsi="宋体" w:eastAsia="宋体" w:cs="Arial"/>
          <w:b/>
          <w:bCs/>
          <w:szCs w:val="24"/>
          <w:highlight w:val="none"/>
        </w:rPr>
      </w:pPr>
      <w:r>
        <w:rPr>
          <w:rFonts w:ascii="宋体" w:hAnsi="宋体" w:eastAsia="宋体" w:cs="Arial"/>
          <w:b/>
          <w:szCs w:val="24"/>
          <w:highlight w:val="none"/>
        </w:rPr>
        <w:br w:type="page" w:clear="all"/>
      </w:r>
      <w:bookmarkStart w:id="140" w:name="_Toc4765"/>
      <w:bookmarkStart w:id="141" w:name="_Toc3176"/>
      <w:bookmarkStart w:id="142" w:name="_Toc3744"/>
      <w:bookmarkStart w:id="143" w:name="_Toc24288"/>
      <w:r>
        <w:rPr>
          <w:rFonts w:hint="eastAsia" w:ascii="宋体" w:hAnsi="宋体" w:eastAsia="宋体" w:cs="Arial"/>
          <w:b/>
          <w:szCs w:val="24"/>
          <w:highlight w:val="none"/>
        </w:rPr>
        <w:t>十</w:t>
      </w:r>
      <w:r>
        <w:rPr>
          <w:rFonts w:hint="eastAsia" w:ascii="宋体" w:hAnsi="宋体" w:eastAsia="宋体" w:cs="Arial"/>
          <w:b/>
          <w:bCs/>
          <w:szCs w:val="24"/>
          <w:highlight w:val="none"/>
        </w:rPr>
        <w:t>、企业声明函</w:t>
      </w:r>
      <w:bookmarkEnd w:id="140"/>
      <w:bookmarkEnd w:id="141"/>
      <w:bookmarkEnd w:id="142"/>
      <w:bookmarkEnd w:id="143"/>
    </w:p>
    <w:p w14:paraId="103C03E4">
      <w:pPr>
        <w:widowControl w:val="0"/>
        <w:spacing w:line="440" w:lineRule="exact"/>
        <w:ind w:firstLine="422"/>
        <w:jc w:val="center"/>
        <w:rPr>
          <w:rFonts w:ascii="宋体" w:hAnsi="宋体" w:eastAsia="宋体" w:cs="Arial"/>
          <w:sz w:val="32"/>
          <w:szCs w:val="32"/>
          <w:highlight w:val="none"/>
        </w:rPr>
      </w:pPr>
      <w:bookmarkStart w:id="144" w:name="bookmark32"/>
      <w:bookmarkStart w:id="145" w:name="bookmark33"/>
      <w:bookmarkStart w:id="146" w:name="bookmark34"/>
      <w:r>
        <w:rPr>
          <w:rFonts w:hint="eastAsia" w:ascii="宋体" w:hAnsi="宋体" w:eastAsia="宋体" w:cs="Arial"/>
          <w:b/>
          <w:bCs/>
          <w:sz w:val="32"/>
          <w:szCs w:val="32"/>
          <w:highlight w:val="none"/>
        </w:rPr>
        <w:t>中小企业声明函（工程、服务）</w:t>
      </w:r>
      <w:bookmarkEnd w:id="144"/>
      <w:bookmarkEnd w:id="145"/>
      <w:bookmarkEnd w:id="146"/>
    </w:p>
    <w:p w14:paraId="47096762">
      <w:pPr>
        <w:widowControl w:val="0"/>
        <w:spacing w:line="360" w:lineRule="auto"/>
        <w:rPr>
          <w:rFonts w:ascii="宋体" w:hAnsi="宋体" w:eastAsia="宋体" w:cs="Arial"/>
          <w:sz w:val="24"/>
          <w:szCs w:val="24"/>
          <w:highlight w:val="none"/>
        </w:rPr>
      </w:pPr>
    </w:p>
    <w:p w14:paraId="5CB89F0E">
      <w:pPr>
        <w:widowControl w:val="0"/>
        <w:spacing w:line="360" w:lineRule="auto"/>
        <w:ind w:firstLine="480" w:firstLineChars="200"/>
        <w:rPr>
          <w:rFonts w:ascii="宋体" w:hAnsi="宋体" w:eastAsia="宋体" w:cs="Arial"/>
          <w:sz w:val="24"/>
          <w:szCs w:val="24"/>
          <w:highlight w:val="none"/>
        </w:rPr>
      </w:pPr>
      <w:r>
        <w:rPr>
          <w:rFonts w:hint="eastAsia" w:ascii="宋体" w:hAnsi="宋体" w:eastAsia="宋体" w:cs="Arial"/>
          <w:sz w:val="24"/>
          <w:szCs w:val="24"/>
          <w:highlight w:val="none"/>
        </w:rPr>
        <w:t>本公司（联合体）郑重声明，根据《政府采购促进中小企业发展管理办法》（财库〔2020〕46号）的规定，本公司（联合体）参加</w:t>
      </w:r>
      <w:r>
        <w:rPr>
          <w:rFonts w:hint="eastAsia" w:ascii="宋体" w:hAnsi="宋体" w:eastAsia="宋体" w:cs="Arial"/>
          <w:sz w:val="24"/>
          <w:szCs w:val="24"/>
          <w:highlight w:val="none"/>
          <w:u w:val="single"/>
        </w:rPr>
        <w:t>（单位名称）</w:t>
      </w:r>
      <w:r>
        <w:rPr>
          <w:rFonts w:hint="eastAsia" w:ascii="宋体" w:hAnsi="宋体" w:eastAsia="宋体" w:cs="Arial"/>
          <w:sz w:val="24"/>
          <w:szCs w:val="24"/>
          <w:highlight w:val="none"/>
        </w:rPr>
        <w:t>的</w:t>
      </w:r>
      <w:r>
        <w:rPr>
          <w:rFonts w:hint="eastAsia" w:ascii="宋体" w:hAnsi="宋体" w:eastAsia="宋体" w:cs="Arial"/>
          <w:sz w:val="24"/>
          <w:szCs w:val="24"/>
          <w:highlight w:val="none"/>
          <w:u w:val="single"/>
        </w:rPr>
        <w:t>（项目名称）</w:t>
      </w:r>
      <w:r>
        <w:rPr>
          <w:rFonts w:hint="eastAsia" w:ascii="宋体" w:hAnsi="宋体" w:eastAsia="宋体" w:cs="Arial"/>
          <w:sz w:val="24"/>
          <w:szCs w:val="24"/>
          <w:highlight w:val="none"/>
        </w:rPr>
        <w:t>采购活动，工程的施工单位全部为符合政策要求的中小企业（或者：服务全部由符合政策要求的中小企业承接）。</w:t>
      </w:r>
      <w:r>
        <w:rPr>
          <w:rFonts w:hint="eastAsia" w:ascii="宋体" w:hAnsi="宋体"/>
          <w:sz w:val="24"/>
          <w:szCs w:val="24"/>
          <w:highlight w:val="none"/>
        </w:rPr>
        <w:t>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highlight w:val="none"/>
        </w:rPr>
        <w:t>〔</w:t>
      </w:r>
      <w:r>
        <w:rPr>
          <w:rFonts w:hint="eastAsia" w:ascii="宋体" w:hAnsi="宋体"/>
          <w:sz w:val="24"/>
          <w:szCs w:val="24"/>
          <w:highlight w:val="none"/>
        </w:rPr>
        <w:t>2011</w:t>
      </w:r>
      <w:r>
        <w:rPr>
          <w:rFonts w:hint="eastAsia" w:ascii="仿宋_GB2312" w:hAnsi="仿宋_GB2312" w:eastAsia="仿宋_GB2312" w:cs="仿宋_GB2312"/>
          <w:sz w:val="24"/>
          <w:szCs w:val="24"/>
          <w:highlight w:val="none"/>
        </w:rPr>
        <w:t>〕</w:t>
      </w:r>
      <w:r>
        <w:rPr>
          <w:rFonts w:hint="eastAsia" w:ascii="宋体" w:hAnsi="宋体"/>
          <w:sz w:val="24"/>
          <w:szCs w:val="24"/>
          <w:highlight w:val="none"/>
        </w:rPr>
        <w:t>300号）的规定，相关企业（含联合体中的小微企业、签订分包意向协议的中小企业）的具体情况如下：</w:t>
      </w:r>
    </w:p>
    <w:p w14:paraId="67D4C5EF">
      <w:pPr>
        <w:widowControl w:val="0"/>
        <w:adjustRightInd w:val="0"/>
        <w:snapToGrid w:val="0"/>
        <w:spacing w:line="360" w:lineRule="auto"/>
        <w:ind w:firstLine="480" w:firstLineChars="200"/>
        <w:rPr>
          <w:rFonts w:ascii="宋体" w:hAnsi="宋体" w:eastAsia="宋体"/>
          <w:i/>
          <w:sz w:val="24"/>
          <w:szCs w:val="24"/>
          <w:highlight w:val="none"/>
          <w:u w:val="single"/>
        </w:rPr>
      </w:pPr>
      <w:bookmarkStart w:id="147" w:name="bookmark35"/>
      <w:bookmarkEnd w:id="147"/>
      <w:r>
        <w:rPr>
          <w:rFonts w:hint="eastAsia" w:ascii="宋体" w:hAnsi="宋体"/>
          <w:sz w:val="24"/>
          <w:szCs w:val="24"/>
          <w:highlight w:val="none"/>
        </w:rPr>
        <w:t>1.</w:t>
      </w:r>
      <w:r>
        <w:rPr>
          <w:rFonts w:hint="eastAsia" w:ascii="宋体" w:hAnsi="宋体"/>
          <w:sz w:val="24"/>
          <w:szCs w:val="24"/>
          <w:highlight w:val="none"/>
          <w:u w:val="single"/>
        </w:rPr>
        <w:t xml:space="preserve">      </w:t>
      </w:r>
      <w:r>
        <w:rPr>
          <w:rFonts w:hint="eastAsia" w:ascii="宋体" w:hAnsi="宋体"/>
          <w:sz w:val="24"/>
          <w:szCs w:val="24"/>
          <w:highlight w:val="none"/>
        </w:rPr>
        <w:t>（标的名称）属于</w:t>
      </w:r>
      <w:r>
        <w:rPr>
          <w:rFonts w:hint="eastAsia" w:ascii="宋体" w:hAnsi="宋体"/>
          <w:sz w:val="24"/>
          <w:szCs w:val="24"/>
          <w:highlight w:val="none"/>
          <w:u w:val="single"/>
        </w:rPr>
        <w:t xml:space="preserve">      </w:t>
      </w:r>
      <w:r>
        <w:rPr>
          <w:rFonts w:hint="eastAsia" w:ascii="宋体" w:hAnsi="宋体"/>
          <w:sz w:val="24"/>
          <w:szCs w:val="24"/>
          <w:highlight w:val="none"/>
        </w:rPr>
        <w:t>行业（</w:t>
      </w:r>
      <w:r>
        <w:rPr>
          <w:rFonts w:hint="eastAsia" w:ascii="宋体" w:hAnsi="宋体" w:eastAsia="宋体" w:cs="Times New Roman"/>
          <w:sz w:val="24"/>
          <w:szCs w:val="24"/>
          <w:highlight w:val="none"/>
        </w:rPr>
        <w:t>招标文件中明</w:t>
      </w:r>
      <w:r>
        <w:rPr>
          <w:rFonts w:hint="eastAsia" w:ascii="宋体" w:hAnsi="宋体"/>
          <w:sz w:val="24"/>
          <w:szCs w:val="24"/>
          <w:highlight w:val="none"/>
        </w:rPr>
        <w:t>确的所属行业）；承接企业为</w:t>
      </w:r>
      <w:r>
        <w:rPr>
          <w:rFonts w:hint="eastAsia" w:ascii="宋体" w:hAnsi="宋体"/>
          <w:sz w:val="24"/>
          <w:szCs w:val="24"/>
          <w:highlight w:val="none"/>
          <w:u w:val="single"/>
        </w:rPr>
        <w:t xml:space="preserve">      </w:t>
      </w:r>
      <w:r>
        <w:rPr>
          <w:rFonts w:hint="eastAsia" w:ascii="宋体" w:hAnsi="宋体"/>
          <w:sz w:val="24"/>
          <w:szCs w:val="24"/>
          <w:highlight w:val="none"/>
        </w:rPr>
        <w:t>（企业名称），从业人员</w:t>
      </w:r>
      <w:r>
        <w:rPr>
          <w:rFonts w:hint="eastAsia" w:ascii="宋体" w:hAnsi="宋体"/>
          <w:sz w:val="24"/>
          <w:szCs w:val="24"/>
          <w:highlight w:val="none"/>
          <w:u w:val="single"/>
        </w:rPr>
        <w:t xml:space="preserve">      </w:t>
      </w:r>
      <w:r>
        <w:rPr>
          <w:rFonts w:hint="eastAsia" w:ascii="宋体" w:hAnsi="宋体"/>
          <w:sz w:val="24"/>
          <w:szCs w:val="24"/>
          <w:highlight w:val="none"/>
        </w:rPr>
        <w:t>人，营业收入为</w:t>
      </w:r>
      <w:r>
        <w:rPr>
          <w:rFonts w:hint="eastAsia" w:ascii="宋体" w:hAnsi="宋体"/>
          <w:sz w:val="24"/>
          <w:szCs w:val="24"/>
          <w:highlight w:val="none"/>
          <w:u w:val="single"/>
        </w:rPr>
        <w:t xml:space="preserve">      </w:t>
      </w:r>
      <w:r>
        <w:rPr>
          <w:rFonts w:hint="eastAsia" w:ascii="宋体" w:hAnsi="宋体"/>
          <w:sz w:val="24"/>
          <w:szCs w:val="24"/>
          <w:highlight w:val="none"/>
        </w:rPr>
        <w:t>万元，资产总额为</w:t>
      </w:r>
      <w:r>
        <w:rPr>
          <w:rFonts w:hint="eastAsia" w:ascii="宋体" w:hAnsi="宋体"/>
          <w:sz w:val="24"/>
          <w:szCs w:val="24"/>
          <w:highlight w:val="none"/>
          <w:u w:val="single"/>
        </w:rPr>
        <w:t xml:space="preserve">      </w:t>
      </w:r>
      <w:r>
        <w:rPr>
          <w:rFonts w:hint="eastAsia" w:ascii="宋体" w:hAnsi="宋体"/>
          <w:sz w:val="24"/>
          <w:szCs w:val="24"/>
          <w:highlight w:val="none"/>
        </w:rPr>
        <w:t>万元</w:t>
      </w:r>
      <w:r>
        <w:rPr>
          <w:rFonts w:hint="eastAsia" w:ascii="宋体" w:hAnsi="宋体"/>
          <w:sz w:val="24"/>
          <w:szCs w:val="24"/>
          <w:highlight w:val="none"/>
          <w:vertAlign w:val="superscript"/>
        </w:rPr>
        <w:t>1</w:t>
      </w:r>
      <w:r>
        <w:rPr>
          <w:rFonts w:hint="eastAsia" w:ascii="宋体" w:hAnsi="宋体"/>
          <w:sz w:val="24"/>
          <w:szCs w:val="24"/>
          <w:highlight w:val="none"/>
        </w:rPr>
        <w:t>，属于</w:t>
      </w:r>
      <w:r>
        <w:rPr>
          <w:rFonts w:hint="eastAsia" w:ascii="宋体" w:hAnsi="宋体"/>
          <w:sz w:val="24"/>
          <w:szCs w:val="24"/>
          <w:highlight w:val="none"/>
        </w:rPr>
        <w:sym w:font="Wingdings" w:char="00A8"/>
      </w:r>
      <w:r>
        <w:rPr>
          <w:rFonts w:hint="eastAsia" w:ascii="宋体" w:hAnsi="宋体"/>
          <w:sz w:val="24"/>
          <w:szCs w:val="24"/>
          <w:highlight w:val="none"/>
        </w:rPr>
        <w:t xml:space="preserve">中型企业 </w:t>
      </w:r>
      <w:r>
        <w:rPr>
          <w:rFonts w:hint="eastAsia" w:ascii="宋体" w:hAnsi="宋体"/>
          <w:sz w:val="24"/>
          <w:szCs w:val="24"/>
          <w:highlight w:val="none"/>
        </w:rPr>
        <w:sym w:font="Wingdings" w:char="00A8"/>
      </w:r>
      <w:r>
        <w:rPr>
          <w:rFonts w:hint="eastAsia" w:ascii="宋体" w:hAnsi="宋体"/>
          <w:sz w:val="24"/>
          <w:szCs w:val="24"/>
          <w:highlight w:val="none"/>
        </w:rPr>
        <w:t xml:space="preserve">小型企业 </w:t>
      </w:r>
      <w:r>
        <w:rPr>
          <w:rFonts w:hint="eastAsia" w:ascii="宋体" w:hAnsi="宋体"/>
          <w:sz w:val="24"/>
          <w:szCs w:val="24"/>
          <w:highlight w:val="none"/>
        </w:rPr>
        <w:sym w:font="Wingdings" w:char="00A8"/>
      </w:r>
      <w:r>
        <w:rPr>
          <w:rFonts w:hint="eastAsia" w:ascii="宋体" w:hAnsi="宋体"/>
          <w:sz w:val="24"/>
          <w:szCs w:val="24"/>
          <w:highlight w:val="none"/>
        </w:rPr>
        <w:t>微型企业。</w:t>
      </w:r>
    </w:p>
    <w:p w14:paraId="54E8D38A">
      <w:pPr>
        <w:widowControl w:val="0"/>
        <w:adjustRightInd w:val="0"/>
        <w:snapToGrid w:val="0"/>
        <w:spacing w:line="360" w:lineRule="auto"/>
        <w:ind w:firstLine="480" w:firstLineChars="200"/>
        <w:rPr>
          <w:rFonts w:ascii="宋体" w:hAnsi="宋体" w:eastAsia="宋体"/>
          <w:i/>
          <w:sz w:val="24"/>
          <w:szCs w:val="24"/>
          <w:highlight w:val="none"/>
        </w:rPr>
      </w:pPr>
      <w:r>
        <w:rPr>
          <w:rFonts w:hint="eastAsia" w:ascii="宋体" w:hAnsi="宋体"/>
          <w:sz w:val="24"/>
          <w:szCs w:val="24"/>
          <w:highlight w:val="none"/>
        </w:rPr>
        <w:t>2.</w:t>
      </w:r>
      <w:r>
        <w:rPr>
          <w:rFonts w:hint="eastAsia" w:ascii="宋体" w:hAnsi="宋体"/>
          <w:sz w:val="24"/>
          <w:szCs w:val="24"/>
          <w:highlight w:val="none"/>
          <w:u w:val="single"/>
        </w:rPr>
        <w:t xml:space="preserve">      </w:t>
      </w:r>
      <w:r>
        <w:rPr>
          <w:rFonts w:hint="eastAsia" w:ascii="宋体" w:hAnsi="宋体"/>
          <w:sz w:val="24"/>
          <w:szCs w:val="24"/>
          <w:highlight w:val="none"/>
        </w:rPr>
        <w:t>（标的名称）属于</w:t>
      </w:r>
      <w:r>
        <w:rPr>
          <w:rFonts w:hint="eastAsia" w:ascii="宋体" w:hAnsi="宋体"/>
          <w:sz w:val="24"/>
          <w:szCs w:val="24"/>
          <w:highlight w:val="none"/>
          <w:u w:val="single"/>
        </w:rPr>
        <w:t xml:space="preserve">      </w:t>
      </w:r>
      <w:r>
        <w:rPr>
          <w:rFonts w:hint="eastAsia" w:ascii="宋体" w:hAnsi="宋体"/>
          <w:sz w:val="24"/>
          <w:szCs w:val="24"/>
          <w:highlight w:val="none"/>
        </w:rPr>
        <w:t>行业（招标文件中明确的所属行业）；承接企业为</w:t>
      </w:r>
      <w:r>
        <w:rPr>
          <w:rFonts w:hint="eastAsia" w:ascii="宋体" w:hAnsi="宋体"/>
          <w:sz w:val="24"/>
          <w:szCs w:val="24"/>
          <w:highlight w:val="none"/>
          <w:u w:val="single"/>
        </w:rPr>
        <w:t xml:space="preserve">      </w:t>
      </w:r>
      <w:r>
        <w:rPr>
          <w:rFonts w:hint="eastAsia" w:ascii="宋体" w:hAnsi="宋体"/>
          <w:sz w:val="24"/>
          <w:szCs w:val="24"/>
          <w:highlight w:val="none"/>
        </w:rPr>
        <w:t>（企业名称），从业人员</w:t>
      </w:r>
      <w:r>
        <w:rPr>
          <w:rFonts w:hint="eastAsia" w:ascii="宋体" w:hAnsi="宋体"/>
          <w:sz w:val="24"/>
          <w:szCs w:val="24"/>
          <w:highlight w:val="none"/>
          <w:u w:val="single"/>
        </w:rPr>
        <w:t xml:space="preserve">      </w:t>
      </w:r>
      <w:r>
        <w:rPr>
          <w:rFonts w:hint="eastAsia" w:ascii="宋体" w:hAnsi="宋体"/>
          <w:sz w:val="24"/>
          <w:szCs w:val="24"/>
          <w:highlight w:val="none"/>
        </w:rPr>
        <w:t>人，营业收入为</w:t>
      </w:r>
      <w:r>
        <w:rPr>
          <w:rFonts w:hint="eastAsia" w:ascii="宋体" w:hAnsi="宋体"/>
          <w:sz w:val="24"/>
          <w:szCs w:val="24"/>
          <w:highlight w:val="none"/>
          <w:u w:val="single"/>
        </w:rPr>
        <w:t xml:space="preserve">      </w:t>
      </w:r>
      <w:r>
        <w:rPr>
          <w:rFonts w:hint="eastAsia" w:ascii="宋体" w:hAnsi="宋体"/>
          <w:sz w:val="24"/>
          <w:szCs w:val="24"/>
          <w:highlight w:val="none"/>
        </w:rPr>
        <w:t>万元，资产总额为</w:t>
      </w:r>
      <w:r>
        <w:rPr>
          <w:rFonts w:hint="eastAsia" w:ascii="宋体" w:hAnsi="宋体"/>
          <w:sz w:val="24"/>
          <w:szCs w:val="24"/>
          <w:highlight w:val="none"/>
          <w:u w:val="single"/>
        </w:rPr>
        <w:t xml:space="preserve">      </w:t>
      </w:r>
      <w:r>
        <w:rPr>
          <w:rFonts w:hint="eastAsia" w:ascii="宋体" w:hAnsi="宋体"/>
          <w:sz w:val="24"/>
          <w:szCs w:val="24"/>
          <w:highlight w:val="none"/>
        </w:rPr>
        <w:t>万元</w:t>
      </w:r>
      <w:r>
        <w:rPr>
          <w:rFonts w:hint="eastAsia" w:ascii="宋体" w:hAnsi="宋体"/>
          <w:sz w:val="24"/>
          <w:szCs w:val="24"/>
          <w:highlight w:val="none"/>
          <w:vertAlign w:val="superscript"/>
        </w:rPr>
        <w:t>1</w:t>
      </w:r>
      <w:r>
        <w:rPr>
          <w:rFonts w:hint="eastAsia" w:ascii="宋体" w:hAnsi="宋体"/>
          <w:sz w:val="24"/>
          <w:szCs w:val="24"/>
          <w:highlight w:val="none"/>
        </w:rPr>
        <w:t>，属于</w:t>
      </w:r>
      <w:r>
        <w:rPr>
          <w:rFonts w:hint="eastAsia" w:ascii="宋体" w:hAnsi="宋体"/>
          <w:sz w:val="24"/>
          <w:szCs w:val="24"/>
          <w:highlight w:val="none"/>
        </w:rPr>
        <w:sym w:font="Wingdings" w:char="00A8"/>
      </w:r>
      <w:r>
        <w:rPr>
          <w:rFonts w:hint="eastAsia" w:ascii="宋体" w:hAnsi="宋体"/>
          <w:sz w:val="24"/>
          <w:szCs w:val="24"/>
          <w:highlight w:val="none"/>
        </w:rPr>
        <w:t xml:space="preserve">中型企业 </w:t>
      </w:r>
      <w:r>
        <w:rPr>
          <w:rFonts w:hint="eastAsia" w:ascii="宋体" w:hAnsi="宋体"/>
          <w:sz w:val="24"/>
          <w:szCs w:val="24"/>
          <w:highlight w:val="none"/>
        </w:rPr>
        <w:sym w:font="Wingdings" w:char="00A8"/>
      </w:r>
      <w:r>
        <w:rPr>
          <w:rFonts w:hint="eastAsia" w:ascii="宋体" w:hAnsi="宋体"/>
          <w:sz w:val="24"/>
          <w:szCs w:val="24"/>
          <w:highlight w:val="none"/>
        </w:rPr>
        <w:t xml:space="preserve">小型企业 </w:t>
      </w:r>
      <w:r>
        <w:rPr>
          <w:rFonts w:hint="eastAsia" w:ascii="宋体" w:hAnsi="宋体"/>
          <w:sz w:val="24"/>
          <w:szCs w:val="24"/>
          <w:highlight w:val="none"/>
        </w:rPr>
        <w:sym w:font="Wingdings" w:char="00A8"/>
      </w:r>
      <w:r>
        <w:rPr>
          <w:rFonts w:hint="eastAsia" w:ascii="宋体" w:hAnsi="宋体"/>
          <w:sz w:val="24"/>
          <w:szCs w:val="24"/>
          <w:highlight w:val="none"/>
        </w:rPr>
        <w:t>微型企业。</w:t>
      </w:r>
    </w:p>
    <w:p w14:paraId="205103B0">
      <w:pPr>
        <w:widowControl w:val="0"/>
        <w:spacing w:line="360" w:lineRule="auto"/>
        <w:ind w:firstLine="420"/>
        <w:rPr>
          <w:rFonts w:ascii="宋体" w:hAnsi="宋体" w:eastAsia="宋体" w:cs="Arial"/>
          <w:sz w:val="24"/>
          <w:szCs w:val="24"/>
          <w:highlight w:val="none"/>
        </w:rPr>
      </w:pPr>
      <w:r>
        <w:rPr>
          <w:rFonts w:hint="eastAsia" w:ascii="宋体" w:hAnsi="宋体" w:eastAsia="宋体" w:cs="Arial"/>
          <w:sz w:val="24"/>
          <w:szCs w:val="24"/>
          <w:highlight w:val="none"/>
        </w:rPr>
        <w:t>……</w:t>
      </w:r>
      <w:r>
        <w:rPr>
          <w:rFonts w:hint="eastAsia" w:ascii="宋体" w:hAnsi="宋体" w:eastAsia="宋体" w:cs="Arial"/>
          <w:sz w:val="24"/>
          <w:szCs w:val="24"/>
          <w:highlight w:val="none"/>
        </w:rPr>
        <w:tab/>
      </w:r>
    </w:p>
    <w:p w14:paraId="3B2360A7">
      <w:pPr>
        <w:widowControl w:val="0"/>
        <w:spacing w:line="360" w:lineRule="auto"/>
        <w:ind w:firstLine="420"/>
        <w:rPr>
          <w:rFonts w:ascii="宋体" w:hAnsi="宋体" w:eastAsia="宋体" w:cs="Arial"/>
          <w:sz w:val="24"/>
          <w:szCs w:val="24"/>
          <w:highlight w:val="none"/>
        </w:rPr>
      </w:pPr>
      <w:r>
        <w:rPr>
          <w:rFonts w:hint="eastAsia" w:ascii="宋体" w:hAnsi="宋体" w:eastAsia="宋体" w:cs="Arial"/>
          <w:sz w:val="24"/>
          <w:szCs w:val="24"/>
          <w:highlight w:val="none"/>
        </w:rPr>
        <w:t>以上企业，不属于大企业的分支机构，不存在控股股东 为大企业的情形，也不存在与大企业的负责人为同一人的情形。</w:t>
      </w:r>
    </w:p>
    <w:p w14:paraId="7975791E">
      <w:pPr>
        <w:widowControl w:val="0"/>
        <w:spacing w:line="360" w:lineRule="auto"/>
        <w:ind w:firstLine="420"/>
        <w:rPr>
          <w:rFonts w:ascii="宋体" w:hAnsi="宋体" w:eastAsia="宋体" w:cs="Arial"/>
          <w:sz w:val="24"/>
          <w:szCs w:val="24"/>
          <w:highlight w:val="none"/>
        </w:rPr>
      </w:pPr>
      <w:r>
        <w:rPr>
          <w:rFonts w:hint="eastAsia" w:ascii="宋体" w:hAnsi="宋体" w:eastAsia="宋体" w:cs="Arial"/>
          <w:sz w:val="24"/>
          <w:szCs w:val="24"/>
          <w:highlight w:val="none"/>
        </w:rPr>
        <w:t>本企业对上述声明内容的真实性负责。如有虚假，将依法承担相应责任。</w:t>
      </w:r>
    </w:p>
    <w:p w14:paraId="6A95890E">
      <w:pPr>
        <w:widowControl w:val="0"/>
        <w:spacing w:line="440" w:lineRule="exact"/>
        <w:rPr>
          <w:rFonts w:ascii="宋体" w:hAnsi="宋体" w:eastAsia="宋体" w:cs="Arial"/>
          <w:sz w:val="24"/>
          <w:szCs w:val="24"/>
          <w:highlight w:val="none"/>
        </w:rPr>
      </w:pPr>
    </w:p>
    <w:p w14:paraId="1EA8BC91">
      <w:pPr>
        <w:widowControl w:val="0"/>
        <w:spacing w:line="440" w:lineRule="exact"/>
        <w:ind w:firstLine="5880"/>
        <w:jc w:val="both"/>
        <w:rPr>
          <w:rFonts w:ascii="宋体" w:hAnsi="宋体" w:eastAsia="宋体" w:cs="Arial"/>
          <w:sz w:val="24"/>
          <w:szCs w:val="24"/>
          <w:highlight w:val="none"/>
        </w:rPr>
      </w:pPr>
      <w:r>
        <w:rPr>
          <w:rFonts w:hint="eastAsia" w:ascii="宋体" w:hAnsi="宋体" w:eastAsia="宋体" w:cs="Arial"/>
          <w:sz w:val="24"/>
          <w:szCs w:val="24"/>
          <w:highlight w:val="none"/>
        </w:rPr>
        <w:t>企业名称（盖章）：</w:t>
      </w:r>
    </w:p>
    <w:p w14:paraId="6963A7F4">
      <w:pPr>
        <w:widowControl w:val="0"/>
        <w:spacing w:line="440" w:lineRule="exact"/>
        <w:ind w:firstLine="420"/>
        <w:jc w:val="center"/>
        <w:rPr>
          <w:rFonts w:ascii="宋体" w:hAnsi="宋体" w:eastAsia="宋体" w:cs="Arial"/>
          <w:sz w:val="24"/>
          <w:szCs w:val="24"/>
          <w:highlight w:val="none"/>
        </w:rPr>
      </w:pPr>
      <w:r>
        <w:rPr>
          <w:rFonts w:hint="eastAsia" w:ascii="宋体" w:hAnsi="宋体" w:eastAsia="宋体" w:cs="Arial"/>
          <w:sz w:val="24"/>
          <w:szCs w:val="24"/>
          <w:highlight w:val="none"/>
        </w:rPr>
        <w:t xml:space="preserve">                    日期：</w:t>
      </w:r>
    </w:p>
    <w:p w14:paraId="4EE7EDEC">
      <w:pPr>
        <w:widowControl w:val="0"/>
        <w:spacing w:line="440" w:lineRule="exact"/>
        <w:ind w:firstLine="420"/>
        <w:jc w:val="center"/>
        <w:rPr>
          <w:rFonts w:ascii="宋体" w:hAnsi="宋体" w:eastAsia="宋体" w:cs="Arial"/>
          <w:sz w:val="24"/>
          <w:szCs w:val="24"/>
          <w:highlight w:val="none"/>
        </w:rPr>
      </w:pPr>
    </w:p>
    <w:p w14:paraId="0C512B9B">
      <w:pPr>
        <w:widowControl w:val="0"/>
        <w:spacing w:line="440" w:lineRule="exact"/>
        <w:ind w:firstLine="420"/>
        <w:jc w:val="center"/>
        <w:rPr>
          <w:rFonts w:ascii="宋体" w:hAnsi="宋体" w:eastAsia="宋体" w:cs="Arial"/>
          <w:sz w:val="24"/>
          <w:szCs w:val="24"/>
          <w:highlight w:val="none"/>
        </w:rPr>
      </w:pPr>
    </w:p>
    <w:p w14:paraId="034BF0FB">
      <w:pPr>
        <w:widowControl w:val="0"/>
        <w:spacing w:line="360" w:lineRule="auto"/>
        <w:rPr>
          <w:rFonts w:ascii="宋体" w:hAnsi="宋体" w:eastAsia="宋体" w:cs="Arial"/>
          <w:sz w:val="24"/>
          <w:szCs w:val="24"/>
          <w:highlight w:val="none"/>
        </w:rPr>
      </w:pPr>
      <w:bookmarkStart w:id="148" w:name="OLE_LINK14"/>
      <w:bookmarkStart w:id="149" w:name="OLE_LINK13"/>
      <w:r>
        <w:rPr>
          <w:rFonts w:hint="eastAsia" w:ascii="宋体" w:hAnsi="宋体" w:eastAsia="宋体" w:cs="Arial"/>
          <w:sz w:val="24"/>
          <w:szCs w:val="24"/>
          <w:highlight w:val="none"/>
          <w:vertAlign w:val="superscript"/>
        </w:rPr>
        <w:t>1</w:t>
      </w:r>
      <w:r>
        <w:rPr>
          <w:rFonts w:hint="eastAsia" w:ascii="宋体" w:hAnsi="宋体" w:eastAsia="宋体" w:cs="Arial"/>
          <w:sz w:val="24"/>
          <w:szCs w:val="24"/>
          <w:highlight w:val="none"/>
        </w:rPr>
        <w:t>从业人员、营业收入、资产总额填报上一年度数据，无上一年度数据的新成立企业可不填报。</w:t>
      </w:r>
    </w:p>
    <w:p w14:paraId="19843BC6">
      <w:pPr>
        <w:widowControl w:val="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注：根据《关于印发中小企业划型标准规定的通知》工信部联企业〔2011〕300号</w:t>
      </w:r>
    </w:p>
    <w:p w14:paraId="00946F3F">
      <w:pPr>
        <w:widowControl w:val="0"/>
        <w:spacing w:line="360" w:lineRule="auto"/>
        <w:jc w:val="center"/>
        <w:rPr>
          <w:rFonts w:ascii="宋体" w:hAnsi="宋体" w:eastAsia="宋体" w:cs="Arial"/>
          <w:b/>
          <w:bCs/>
          <w:sz w:val="28"/>
          <w:szCs w:val="24"/>
          <w:highlight w:val="none"/>
        </w:rPr>
      </w:pPr>
      <w:r>
        <w:rPr>
          <w:rFonts w:hint="eastAsia" w:ascii="宋体" w:hAnsi="宋体" w:eastAsia="宋体" w:cs="宋体"/>
          <w:sz w:val="24"/>
          <w:szCs w:val="24"/>
          <w:highlight w:val="none"/>
        </w:rPr>
        <w:t>其他未列明行业。从业人员300人以下的为中小微型企业。其中，从业人员100人及以上的为中型企业；从业人员10人及以上的为小型企业；从业人员10人以下的为微型企业。</w:t>
      </w:r>
      <w:r>
        <w:rPr>
          <w:rFonts w:ascii="宋体" w:hAnsi="宋体" w:eastAsia="宋体" w:cs="Arial"/>
          <w:b/>
          <w:bCs/>
          <w:sz w:val="28"/>
          <w:szCs w:val="24"/>
          <w:highlight w:val="none"/>
        </w:rPr>
        <w:br w:type="page" w:clear="all"/>
      </w:r>
      <w:r>
        <w:rPr>
          <w:rFonts w:hint="eastAsia" w:ascii="宋体" w:hAnsi="宋体" w:eastAsia="宋体" w:cs="Arial"/>
          <w:b/>
          <w:sz w:val="32"/>
          <w:szCs w:val="32"/>
          <w:highlight w:val="none"/>
        </w:rPr>
        <w:t>残疾人福利性单位声明函</w:t>
      </w:r>
      <w:bookmarkEnd w:id="148"/>
      <w:bookmarkEnd w:id="149"/>
    </w:p>
    <w:p w14:paraId="26771B8C">
      <w:pPr>
        <w:widowControl w:val="0"/>
        <w:spacing w:line="360" w:lineRule="auto"/>
        <w:ind w:firstLine="420"/>
        <w:rPr>
          <w:rFonts w:ascii="宋体" w:hAnsi="宋体" w:eastAsia="宋体" w:cs="Arial"/>
          <w:sz w:val="24"/>
          <w:szCs w:val="24"/>
          <w:highlight w:val="none"/>
        </w:rPr>
      </w:pPr>
    </w:p>
    <w:p w14:paraId="2C651E91">
      <w:pPr>
        <w:widowControl w:val="0"/>
        <w:spacing w:line="360" w:lineRule="auto"/>
        <w:ind w:firstLine="480" w:firstLineChars="200"/>
        <w:rPr>
          <w:rFonts w:ascii="宋体" w:hAnsi="宋体" w:eastAsia="宋体" w:cs="Arial"/>
          <w:sz w:val="24"/>
          <w:szCs w:val="24"/>
          <w:highlight w:val="none"/>
        </w:rPr>
      </w:pPr>
      <w:r>
        <w:rPr>
          <w:rFonts w:hint="eastAsia" w:ascii="宋体" w:hAnsi="宋体" w:eastAsia="宋体" w:cs="Arial"/>
          <w:sz w:val="24"/>
          <w:szCs w:val="24"/>
          <w:highlight w:val="none"/>
        </w:rPr>
        <w:t>本单位郑重声明，根据《财政部 民政部 中国残疾人联合会关于促进残疾人就业政府采购政策的通知》（财库〔2017〕141号）的规定，本单位为符合条件的残疾人福利性单位，参加</w:t>
      </w:r>
      <w:r>
        <w:rPr>
          <w:rFonts w:hint="eastAsia" w:ascii="宋体" w:hAnsi="宋体" w:eastAsia="宋体" w:cs="Arial"/>
          <w:sz w:val="24"/>
          <w:szCs w:val="24"/>
          <w:highlight w:val="none"/>
          <w:u w:val="single"/>
        </w:rPr>
        <w:t>（单位名称）</w:t>
      </w:r>
      <w:r>
        <w:rPr>
          <w:rFonts w:hint="eastAsia" w:ascii="宋体" w:hAnsi="宋体" w:eastAsia="宋体" w:cs="Arial"/>
          <w:sz w:val="24"/>
          <w:szCs w:val="24"/>
          <w:highlight w:val="none"/>
        </w:rPr>
        <w:t>采购编号为</w:t>
      </w:r>
      <w:r>
        <w:rPr>
          <w:rFonts w:hint="eastAsia" w:ascii="宋体" w:hAnsi="宋体" w:eastAsia="宋体" w:cs="Arial"/>
          <w:sz w:val="24"/>
          <w:szCs w:val="24"/>
          <w:highlight w:val="none"/>
          <w:u w:val="single"/>
        </w:rPr>
        <w:t xml:space="preserve">         </w:t>
      </w:r>
      <w:r>
        <w:rPr>
          <w:rFonts w:hint="eastAsia" w:ascii="宋体" w:hAnsi="宋体" w:eastAsia="宋体" w:cs="Arial"/>
          <w:sz w:val="24"/>
          <w:szCs w:val="24"/>
          <w:highlight w:val="none"/>
        </w:rPr>
        <w:t>项目的采购活动，服务全部由本单位提供。</w:t>
      </w:r>
    </w:p>
    <w:p w14:paraId="036BA633">
      <w:pPr>
        <w:widowControl w:val="0"/>
        <w:spacing w:line="360" w:lineRule="auto"/>
        <w:ind w:firstLine="480" w:firstLineChars="200"/>
        <w:rPr>
          <w:rFonts w:ascii="宋体" w:hAnsi="宋体" w:eastAsia="宋体" w:cs="Arial"/>
          <w:sz w:val="24"/>
          <w:szCs w:val="24"/>
          <w:highlight w:val="none"/>
        </w:rPr>
      </w:pPr>
      <w:r>
        <w:rPr>
          <w:rFonts w:hint="eastAsia" w:ascii="宋体" w:hAnsi="宋体"/>
          <w:sz w:val="24"/>
          <w:highlight w:val="none"/>
        </w:rPr>
        <w:t>本单位对上述声明的真实性负责，如有虚假，将依法承担相应责任。</w:t>
      </w:r>
      <w:r>
        <w:rPr>
          <w:rFonts w:hint="eastAsia" w:ascii="宋体" w:hAnsi="宋体" w:eastAsia="宋体" w:cs="Arial"/>
          <w:sz w:val="24"/>
          <w:szCs w:val="24"/>
          <w:highlight w:val="none"/>
        </w:rPr>
        <w:t>本单位对上述声明的真实性负责。如有虚假，将依法承担相应责任。</w:t>
      </w:r>
    </w:p>
    <w:p w14:paraId="6B31944F">
      <w:pPr>
        <w:widowControl w:val="0"/>
        <w:spacing w:line="360" w:lineRule="auto"/>
        <w:ind w:firstLine="5520" w:firstLineChars="2300"/>
        <w:rPr>
          <w:rFonts w:ascii="宋体" w:hAnsi="宋体" w:eastAsia="宋体" w:cs="Arial"/>
          <w:sz w:val="24"/>
          <w:szCs w:val="24"/>
          <w:highlight w:val="none"/>
        </w:rPr>
      </w:pPr>
    </w:p>
    <w:p w14:paraId="2585798E">
      <w:pPr>
        <w:widowControl w:val="0"/>
        <w:spacing w:line="360" w:lineRule="auto"/>
        <w:ind w:firstLine="5520" w:firstLineChars="2300"/>
        <w:rPr>
          <w:rFonts w:ascii="宋体" w:hAnsi="宋体" w:eastAsia="宋体" w:cs="Arial"/>
          <w:sz w:val="24"/>
          <w:szCs w:val="24"/>
          <w:highlight w:val="none"/>
        </w:rPr>
      </w:pPr>
      <w:r>
        <w:rPr>
          <w:rFonts w:hint="eastAsia" w:ascii="宋体" w:hAnsi="宋体" w:eastAsia="宋体" w:cs="Arial"/>
          <w:sz w:val="24"/>
          <w:szCs w:val="24"/>
          <w:highlight w:val="none"/>
        </w:rPr>
        <w:t>单位名称（盖章）：</w:t>
      </w:r>
    </w:p>
    <w:p w14:paraId="74C59DD6">
      <w:pPr>
        <w:widowControl w:val="0"/>
        <w:spacing w:line="360" w:lineRule="auto"/>
        <w:ind w:firstLine="5520" w:firstLineChars="2300"/>
        <w:rPr>
          <w:rFonts w:ascii="宋体" w:hAnsi="宋体" w:eastAsia="宋体" w:cs="Arial"/>
          <w:sz w:val="24"/>
          <w:szCs w:val="24"/>
          <w:highlight w:val="none"/>
        </w:rPr>
      </w:pPr>
      <w:r>
        <w:rPr>
          <w:rFonts w:hint="eastAsia" w:ascii="宋体" w:hAnsi="宋体" w:eastAsia="宋体" w:cs="Arial"/>
          <w:sz w:val="24"/>
          <w:szCs w:val="24"/>
          <w:highlight w:val="none"/>
        </w:rPr>
        <w:t>日期：</w:t>
      </w:r>
    </w:p>
    <w:p w14:paraId="3C12D2A1">
      <w:pPr>
        <w:widowControl w:val="0"/>
        <w:spacing w:line="360" w:lineRule="auto"/>
        <w:jc w:val="both"/>
        <w:rPr>
          <w:rFonts w:ascii="宋体" w:hAnsi="宋体" w:eastAsia="宋体" w:cs="Arial"/>
          <w:b/>
          <w:bCs/>
          <w:szCs w:val="24"/>
          <w:highlight w:val="none"/>
        </w:rPr>
      </w:pPr>
    </w:p>
    <w:p w14:paraId="688A2024">
      <w:pPr>
        <w:widowControl w:val="0"/>
        <w:spacing w:line="360" w:lineRule="auto"/>
        <w:jc w:val="both"/>
        <w:rPr>
          <w:rFonts w:ascii="宋体" w:hAnsi="宋体" w:eastAsia="宋体" w:cs="Arial"/>
          <w:b/>
          <w:szCs w:val="24"/>
          <w:highlight w:val="none"/>
        </w:rPr>
      </w:pPr>
    </w:p>
    <w:p w14:paraId="2C9CB2BD">
      <w:pPr>
        <w:widowControl w:val="0"/>
        <w:spacing w:line="360" w:lineRule="auto"/>
        <w:jc w:val="both"/>
        <w:rPr>
          <w:rFonts w:ascii="宋体" w:hAnsi="宋体" w:eastAsia="宋体" w:cs="Arial"/>
          <w:b/>
          <w:szCs w:val="24"/>
          <w:highlight w:val="none"/>
        </w:rPr>
      </w:pPr>
    </w:p>
    <w:p w14:paraId="6AF917A0">
      <w:pPr>
        <w:widowControl w:val="0"/>
        <w:spacing w:line="360" w:lineRule="auto"/>
        <w:jc w:val="both"/>
        <w:outlineLvl w:val="1"/>
        <w:rPr>
          <w:rFonts w:ascii="宋体" w:hAnsi="宋体" w:eastAsia="宋体" w:cs="Arial"/>
          <w:b/>
          <w:szCs w:val="24"/>
          <w:highlight w:val="none"/>
        </w:rPr>
      </w:pPr>
      <w:bookmarkStart w:id="150" w:name="_Toc8467"/>
      <w:bookmarkStart w:id="151" w:name="_Toc24555"/>
      <w:bookmarkStart w:id="152" w:name="_Toc22929"/>
      <w:bookmarkStart w:id="153" w:name="_Toc25327"/>
      <w:r>
        <w:rPr>
          <w:rFonts w:hint="eastAsia" w:ascii="宋体" w:hAnsi="宋体" w:eastAsia="宋体" w:cs="Arial"/>
          <w:b/>
          <w:szCs w:val="24"/>
          <w:highlight w:val="none"/>
        </w:rPr>
        <w:t>十一、无重大违法记录声明</w:t>
      </w:r>
      <w:bookmarkEnd w:id="150"/>
      <w:bookmarkEnd w:id="151"/>
      <w:bookmarkEnd w:id="152"/>
      <w:bookmarkEnd w:id="153"/>
    </w:p>
    <w:p w14:paraId="53C27A6F">
      <w:pPr>
        <w:shd w:val="clear" w:color="auto" w:fill="FFFFFF"/>
        <w:spacing w:line="360" w:lineRule="auto"/>
        <w:ind w:left="420"/>
        <w:jc w:val="center"/>
        <w:rPr>
          <w:rFonts w:ascii="宋体" w:hAnsi="宋体" w:eastAsia="宋体" w:cs="Arial"/>
          <w:b/>
          <w:sz w:val="32"/>
          <w:szCs w:val="32"/>
          <w:highlight w:val="none"/>
        </w:rPr>
      </w:pPr>
      <w:r>
        <w:rPr>
          <w:rFonts w:hint="eastAsia" w:ascii="宋体" w:hAnsi="宋体" w:eastAsia="宋体" w:cs="Arial"/>
          <w:b/>
          <w:sz w:val="32"/>
          <w:szCs w:val="32"/>
          <w:highlight w:val="none"/>
        </w:rPr>
        <w:t>无重大违法记录声明</w:t>
      </w:r>
    </w:p>
    <w:p w14:paraId="69C0F1AF">
      <w:pPr>
        <w:widowControl w:val="0"/>
        <w:spacing w:line="360" w:lineRule="auto"/>
        <w:jc w:val="both"/>
        <w:rPr>
          <w:rFonts w:ascii="宋体" w:hAnsi="宋体" w:eastAsia="宋体" w:cs="Arial"/>
          <w:sz w:val="24"/>
          <w:szCs w:val="24"/>
          <w:highlight w:val="none"/>
        </w:rPr>
      </w:pPr>
    </w:p>
    <w:p w14:paraId="67BA7A63">
      <w:pPr>
        <w:widowControl w:val="0"/>
        <w:spacing w:line="360" w:lineRule="auto"/>
        <w:jc w:val="both"/>
        <w:rPr>
          <w:rFonts w:ascii="宋体" w:hAnsi="宋体" w:eastAsia="宋体" w:cs="Arial"/>
          <w:sz w:val="24"/>
          <w:szCs w:val="24"/>
          <w:highlight w:val="none"/>
        </w:rPr>
      </w:pPr>
      <w:r>
        <w:rPr>
          <w:rFonts w:hint="eastAsia" w:ascii="宋体" w:hAnsi="宋体" w:eastAsia="宋体" w:cs="Arial"/>
          <w:sz w:val="24"/>
          <w:szCs w:val="24"/>
          <w:highlight w:val="none"/>
        </w:rPr>
        <w:t>致：南京市公安局江宁分局</w:t>
      </w:r>
    </w:p>
    <w:p w14:paraId="4CA25B94">
      <w:pPr>
        <w:widowControl w:val="0"/>
        <w:spacing w:line="360" w:lineRule="auto"/>
        <w:jc w:val="both"/>
        <w:rPr>
          <w:rFonts w:ascii="宋体" w:hAnsi="宋体" w:eastAsia="宋体" w:cs="Arial"/>
          <w:sz w:val="24"/>
          <w:szCs w:val="24"/>
          <w:highlight w:val="none"/>
        </w:rPr>
      </w:pPr>
    </w:p>
    <w:p w14:paraId="6317AA65">
      <w:pPr>
        <w:widowControl w:val="0"/>
        <w:spacing w:line="360" w:lineRule="auto"/>
        <w:ind w:firstLine="480" w:firstLineChars="200"/>
        <w:jc w:val="both"/>
        <w:rPr>
          <w:rFonts w:ascii="宋体" w:hAnsi="宋体" w:eastAsia="宋体" w:cs="Arial"/>
          <w:sz w:val="24"/>
          <w:szCs w:val="24"/>
          <w:highlight w:val="none"/>
        </w:rPr>
      </w:pPr>
      <w:r>
        <w:rPr>
          <w:rFonts w:hint="eastAsia" w:ascii="宋体" w:hAnsi="宋体" w:eastAsia="宋体" w:cs="Arial"/>
          <w:sz w:val="24"/>
          <w:szCs w:val="24"/>
          <w:highlight w:val="none"/>
        </w:rPr>
        <w:t>我单位（供应商名称）郑重声明：</w:t>
      </w:r>
    </w:p>
    <w:p w14:paraId="1783469C">
      <w:pPr>
        <w:shd w:val="clear" w:color="auto" w:fill="FFFFFF"/>
        <w:spacing w:line="360" w:lineRule="auto"/>
        <w:ind w:firstLine="480" w:firstLineChars="200"/>
        <w:jc w:val="both"/>
        <w:rPr>
          <w:rFonts w:ascii="宋体" w:hAnsi="宋体" w:eastAsia="宋体" w:cs="Arial"/>
          <w:b/>
          <w:sz w:val="24"/>
          <w:szCs w:val="24"/>
          <w:highlight w:val="none"/>
        </w:rPr>
      </w:pPr>
      <w:r>
        <w:rPr>
          <w:rFonts w:hint="eastAsia" w:ascii="宋体" w:hAnsi="宋体" w:eastAsia="宋体" w:cs="Arial"/>
          <w:sz w:val="24"/>
          <w:szCs w:val="24"/>
          <w:highlight w:val="none"/>
        </w:rPr>
        <w:t>我单位参加政府采购活动前</w:t>
      </w:r>
      <w:r>
        <w:rPr>
          <w:rFonts w:ascii="宋体" w:hAnsi="宋体" w:eastAsia="宋体" w:cs="Arial"/>
          <w:sz w:val="24"/>
          <w:szCs w:val="24"/>
          <w:highlight w:val="none"/>
        </w:rPr>
        <w:t>3</w:t>
      </w:r>
      <w:r>
        <w:rPr>
          <w:rFonts w:hint="eastAsia" w:ascii="宋体" w:hAnsi="宋体" w:eastAsia="宋体" w:cs="Arial"/>
          <w:sz w:val="24"/>
          <w:szCs w:val="24"/>
          <w:highlight w:val="none"/>
        </w:rPr>
        <w:t>年内在经营活动中（</w:t>
      </w:r>
      <w:r>
        <w:rPr>
          <w:rFonts w:hint="eastAsia" w:ascii="宋体" w:hAnsi="宋体" w:eastAsia="宋体" w:cs="Arial"/>
          <w:b/>
          <w:i/>
          <w:sz w:val="24"/>
          <w:szCs w:val="24"/>
          <w:highlight w:val="none"/>
          <w:u w:val="single"/>
        </w:rPr>
        <w:t>在下划线上如实填写：有或没有</w:t>
      </w:r>
      <w:r>
        <w:rPr>
          <w:rFonts w:hint="eastAsia" w:ascii="宋体" w:hAnsi="宋体" w:eastAsia="宋体" w:cs="Arial"/>
          <w:sz w:val="24"/>
          <w:szCs w:val="24"/>
          <w:highlight w:val="none"/>
        </w:rPr>
        <w:t>）</w:t>
      </w:r>
      <w:r>
        <w:rPr>
          <w:rFonts w:hint="eastAsia" w:ascii="宋体" w:hAnsi="宋体" w:eastAsia="宋体" w:cs="Arial"/>
          <w:b/>
          <w:sz w:val="24"/>
          <w:szCs w:val="24"/>
          <w:highlight w:val="none"/>
        </w:rPr>
        <w:t>重大违法记录，且不是失信被执行人、重大税收违法案件当事人名单、政府采购严重违法失信行为记录名单的供应商。</w:t>
      </w:r>
    </w:p>
    <w:p w14:paraId="061B94CA">
      <w:pPr>
        <w:widowControl w:val="0"/>
        <w:spacing w:line="360" w:lineRule="auto"/>
        <w:ind w:firstLine="480"/>
        <w:jc w:val="both"/>
        <w:rPr>
          <w:rFonts w:ascii="宋体" w:hAnsi="宋体" w:eastAsia="宋体" w:cs="Arial"/>
          <w:sz w:val="24"/>
          <w:szCs w:val="24"/>
          <w:highlight w:val="none"/>
        </w:rPr>
      </w:pPr>
    </w:p>
    <w:p w14:paraId="44B35278">
      <w:pPr>
        <w:widowControl w:val="0"/>
        <w:spacing w:line="360" w:lineRule="auto"/>
        <w:ind w:firstLine="360"/>
        <w:jc w:val="both"/>
        <w:rPr>
          <w:rFonts w:ascii="宋体" w:hAnsi="宋体" w:eastAsia="宋体" w:cs="Arial"/>
          <w:sz w:val="24"/>
          <w:szCs w:val="24"/>
          <w:highlight w:val="none"/>
        </w:rPr>
      </w:pPr>
      <w:r>
        <w:rPr>
          <w:rFonts w:hint="eastAsia" w:ascii="宋体" w:hAnsi="宋体" w:eastAsia="宋体" w:cs="Arial"/>
          <w:sz w:val="24"/>
          <w:szCs w:val="24"/>
          <w:highlight w:val="none"/>
        </w:rPr>
        <w:t>（说明：政府采购法第二十二条第一款第五项所称重大违法记录，是指供应商因违法经营受到刑事处罚或者责令停产停业、吊销许可证或者执照、较大数额罚款等行政处罚。）</w:t>
      </w:r>
    </w:p>
    <w:p w14:paraId="218D2A0B">
      <w:pPr>
        <w:widowControl w:val="0"/>
        <w:spacing w:line="360" w:lineRule="auto"/>
        <w:jc w:val="both"/>
        <w:rPr>
          <w:rFonts w:ascii="宋体" w:hAnsi="宋体" w:eastAsia="宋体" w:cs="Arial"/>
          <w:sz w:val="24"/>
          <w:szCs w:val="24"/>
          <w:highlight w:val="none"/>
        </w:rPr>
      </w:pPr>
    </w:p>
    <w:p w14:paraId="36A0C76A">
      <w:pPr>
        <w:widowControl w:val="0"/>
        <w:spacing w:line="360" w:lineRule="auto"/>
        <w:jc w:val="both"/>
        <w:rPr>
          <w:rFonts w:ascii="宋体" w:hAnsi="宋体" w:eastAsia="宋体" w:cs="Arial"/>
          <w:sz w:val="24"/>
          <w:szCs w:val="24"/>
          <w:highlight w:val="none"/>
        </w:rPr>
      </w:pPr>
    </w:p>
    <w:p w14:paraId="3D60C30A">
      <w:pPr>
        <w:widowControl w:val="0"/>
        <w:spacing w:line="360" w:lineRule="auto"/>
        <w:ind w:left="4520" w:firstLine="720" w:firstLineChars="300"/>
        <w:jc w:val="both"/>
        <w:rPr>
          <w:rFonts w:ascii="宋体" w:hAnsi="宋体" w:eastAsia="宋体" w:cs="Times New Roman"/>
          <w:sz w:val="24"/>
          <w:szCs w:val="24"/>
          <w:highlight w:val="none"/>
        </w:rPr>
      </w:pPr>
      <w:r>
        <w:rPr>
          <w:rFonts w:ascii="宋体" w:hAnsi="宋体" w:eastAsia="宋体" w:cs="Times New Roman"/>
          <w:sz w:val="24"/>
          <w:szCs w:val="24"/>
          <w:highlight w:val="none"/>
        </w:rPr>
        <w:t>声明人（公章）：</w:t>
      </w:r>
    </w:p>
    <w:p w14:paraId="6A12AB71">
      <w:pPr>
        <w:widowControl w:val="0"/>
        <w:tabs>
          <w:tab w:val="left" w:pos="6300"/>
          <w:tab w:val="left" w:pos="6940"/>
        </w:tabs>
        <w:spacing w:line="360" w:lineRule="auto"/>
        <w:ind w:firstLine="5184" w:firstLineChars="2160"/>
        <w:jc w:val="both"/>
        <w:rPr>
          <w:rFonts w:ascii="宋体" w:hAnsi="宋体" w:eastAsia="宋体" w:cs="Times New Roman"/>
          <w:sz w:val="24"/>
          <w:szCs w:val="24"/>
          <w:highlight w:val="none"/>
        </w:rPr>
      </w:pPr>
      <w:r>
        <w:rPr>
          <w:rFonts w:ascii="宋体" w:hAnsi="宋体" w:eastAsia="宋体" w:cs="Times New Roman"/>
          <w:sz w:val="24"/>
          <w:szCs w:val="24"/>
          <w:highlight w:val="none"/>
        </w:rPr>
        <w:t>日期：</w:t>
      </w:r>
    </w:p>
    <w:p w14:paraId="401FB76F">
      <w:pPr>
        <w:widowControl w:val="0"/>
        <w:spacing w:line="360" w:lineRule="auto"/>
        <w:ind w:firstLine="5060"/>
        <w:jc w:val="both"/>
        <w:rPr>
          <w:rFonts w:ascii="宋体" w:hAnsi="宋体" w:eastAsia="宋体" w:cs="Arial"/>
          <w:b/>
          <w:szCs w:val="24"/>
          <w:highlight w:val="none"/>
        </w:rPr>
      </w:pPr>
      <w:r>
        <w:rPr>
          <w:rFonts w:ascii="宋体" w:hAnsi="宋体" w:eastAsia="宋体" w:cs="Arial"/>
          <w:b/>
          <w:szCs w:val="21"/>
          <w:highlight w:val="none"/>
          <w:lang w:val="zh-CN"/>
        </w:rPr>
        <w:br w:type="page" w:clear="all"/>
      </w:r>
    </w:p>
    <w:p w14:paraId="248A7531">
      <w:pPr>
        <w:widowControl w:val="0"/>
        <w:spacing w:line="360" w:lineRule="auto"/>
        <w:jc w:val="both"/>
        <w:outlineLvl w:val="1"/>
        <w:rPr>
          <w:rFonts w:ascii="宋体" w:hAnsi="宋体" w:eastAsia="宋体" w:cs="Times New Roman"/>
          <w:b/>
          <w:szCs w:val="24"/>
          <w:highlight w:val="none"/>
        </w:rPr>
      </w:pPr>
      <w:bookmarkStart w:id="154" w:name="_Toc18024"/>
      <w:bookmarkStart w:id="155" w:name="_Toc5747"/>
      <w:bookmarkStart w:id="156" w:name="_Toc24602"/>
      <w:bookmarkStart w:id="157" w:name="_Toc21829"/>
      <w:r>
        <w:rPr>
          <w:rFonts w:hint="eastAsia" w:ascii="宋体" w:hAnsi="宋体" w:eastAsia="宋体" w:cs="Times New Roman"/>
          <w:b/>
          <w:szCs w:val="24"/>
          <w:highlight w:val="none"/>
        </w:rPr>
        <w:t>十二</w:t>
      </w:r>
      <w:r>
        <w:rPr>
          <w:rFonts w:ascii="宋体" w:hAnsi="宋体" w:eastAsia="宋体" w:cs="Times New Roman"/>
          <w:b/>
          <w:szCs w:val="24"/>
          <w:highlight w:val="none"/>
        </w:rPr>
        <w:t>、具备履行合同所必需的设备和专业技术能力</w:t>
      </w:r>
      <w:bookmarkEnd w:id="154"/>
      <w:bookmarkEnd w:id="155"/>
      <w:bookmarkEnd w:id="156"/>
      <w:bookmarkEnd w:id="157"/>
    </w:p>
    <w:p w14:paraId="0B137E85">
      <w:pPr>
        <w:widowControl w:val="0"/>
        <w:spacing w:line="360" w:lineRule="auto"/>
        <w:jc w:val="both"/>
        <w:rPr>
          <w:rFonts w:ascii="宋体" w:hAnsi="宋体" w:eastAsia="宋体" w:cs="Times New Roman"/>
          <w:szCs w:val="24"/>
          <w:highlight w:val="none"/>
        </w:rPr>
      </w:pPr>
    </w:p>
    <w:p w14:paraId="3A01392A">
      <w:pPr>
        <w:shd w:val="clear" w:color="auto" w:fill="FFFFFF"/>
        <w:spacing w:line="360" w:lineRule="auto"/>
        <w:ind w:left="420"/>
        <w:jc w:val="center"/>
        <w:rPr>
          <w:rFonts w:ascii="宋体" w:hAnsi="宋体" w:eastAsia="宋体" w:cs="Arial"/>
          <w:b/>
          <w:sz w:val="32"/>
          <w:szCs w:val="32"/>
          <w:highlight w:val="none"/>
        </w:rPr>
      </w:pPr>
      <w:r>
        <w:rPr>
          <w:rFonts w:ascii="宋体" w:hAnsi="宋体" w:eastAsia="宋体" w:cs="Arial"/>
          <w:b/>
          <w:sz w:val="32"/>
          <w:szCs w:val="32"/>
          <w:highlight w:val="none"/>
        </w:rPr>
        <w:t>具备履行合同所必需的设备和专业技术能力</w:t>
      </w:r>
    </w:p>
    <w:p w14:paraId="38B26CCE">
      <w:pPr>
        <w:widowControl w:val="0"/>
        <w:tabs>
          <w:tab w:val="left" w:pos="4180"/>
        </w:tabs>
        <w:spacing w:line="360" w:lineRule="auto"/>
        <w:jc w:val="both"/>
        <w:rPr>
          <w:rFonts w:ascii="宋体" w:hAnsi="宋体" w:eastAsia="宋体" w:cs="Times New Roman"/>
          <w:sz w:val="24"/>
          <w:szCs w:val="24"/>
          <w:highlight w:val="none"/>
        </w:rPr>
      </w:pPr>
    </w:p>
    <w:p w14:paraId="7115F2D3">
      <w:pPr>
        <w:widowControl w:val="0"/>
        <w:tabs>
          <w:tab w:val="left" w:pos="4180"/>
        </w:tabs>
        <w:spacing w:line="360" w:lineRule="auto"/>
        <w:jc w:val="both"/>
        <w:rPr>
          <w:rFonts w:ascii="宋体" w:hAnsi="宋体" w:eastAsia="宋体" w:cs="Times New Roman"/>
          <w:sz w:val="24"/>
          <w:szCs w:val="24"/>
          <w:highlight w:val="none"/>
        </w:rPr>
      </w:pPr>
      <w:r>
        <w:rPr>
          <w:rFonts w:hint="eastAsia" w:ascii="宋体" w:hAnsi="宋体" w:eastAsia="宋体" w:cs="Times New Roman"/>
          <w:sz w:val="24"/>
          <w:szCs w:val="24"/>
          <w:highlight w:val="none"/>
        </w:rPr>
        <w:t>致：南京市公安局江宁分局</w:t>
      </w:r>
    </w:p>
    <w:p w14:paraId="067395B4">
      <w:pPr>
        <w:widowControl w:val="0"/>
        <w:tabs>
          <w:tab w:val="left" w:pos="4180"/>
        </w:tabs>
        <w:spacing w:line="360" w:lineRule="auto"/>
        <w:ind w:firstLine="480" w:firstLineChars="200"/>
        <w:jc w:val="both"/>
        <w:rPr>
          <w:rFonts w:ascii="宋体" w:hAnsi="宋体" w:eastAsia="宋体" w:cs="Times New Roman"/>
          <w:sz w:val="24"/>
          <w:szCs w:val="24"/>
          <w:highlight w:val="none"/>
        </w:rPr>
      </w:pPr>
    </w:p>
    <w:p w14:paraId="338D23CC">
      <w:pPr>
        <w:widowControl w:val="0"/>
        <w:tabs>
          <w:tab w:val="left" w:pos="4180"/>
        </w:tabs>
        <w:spacing w:line="360" w:lineRule="auto"/>
        <w:ind w:firstLine="480" w:firstLineChars="200"/>
        <w:jc w:val="both"/>
        <w:rPr>
          <w:rFonts w:ascii="宋体" w:hAnsi="宋体" w:eastAsia="宋体" w:cs="Times New Roman"/>
          <w:sz w:val="24"/>
          <w:szCs w:val="24"/>
          <w:highlight w:val="none"/>
        </w:rPr>
      </w:pPr>
      <w:r>
        <w:rPr>
          <w:rFonts w:ascii="宋体" w:hAnsi="宋体" w:eastAsia="宋体" w:cs="Times New Roman"/>
          <w:sz w:val="24"/>
          <w:szCs w:val="24"/>
          <w:highlight w:val="none"/>
        </w:rPr>
        <w:t>我单位</w:t>
      </w:r>
      <w:r>
        <w:rPr>
          <w:rFonts w:ascii="宋体" w:hAnsi="宋体" w:eastAsia="宋体" w:cs="Times New Roman"/>
          <w:sz w:val="24"/>
          <w:szCs w:val="24"/>
          <w:highlight w:val="none"/>
          <w:u w:val="single"/>
        </w:rPr>
        <w:tab/>
      </w:r>
      <w:r>
        <w:rPr>
          <w:rFonts w:ascii="宋体" w:hAnsi="宋体" w:eastAsia="宋体" w:cs="Times New Roman"/>
          <w:sz w:val="24"/>
          <w:szCs w:val="24"/>
          <w:highlight w:val="none"/>
        </w:rPr>
        <w:t>（供应商名称）郑重声明：我公司具备履行本项采购合同所必需的设备和专业技术能力，为履行本项采购合同我单位具备如下主要设备和主要专业技术能力：</w:t>
      </w:r>
    </w:p>
    <w:p w14:paraId="2A3F5419">
      <w:pPr>
        <w:widowControl w:val="0"/>
        <w:tabs>
          <w:tab w:val="left" w:pos="4460"/>
        </w:tabs>
        <w:spacing w:line="360" w:lineRule="auto"/>
        <w:ind w:left="500"/>
        <w:jc w:val="both"/>
        <w:rPr>
          <w:rFonts w:ascii="宋体" w:hAnsi="宋体" w:eastAsia="宋体" w:cs="Times New Roman"/>
          <w:sz w:val="24"/>
          <w:szCs w:val="24"/>
          <w:highlight w:val="none"/>
        </w:rPr>
      </w:pPr>
      <w:r>
        <w:rPr>
          <w:rFonts w:ascii="宋体" w:hAnsi="宋体" w:eastAsia="宋体" w:cs="Times New Roman"/>
          <w:sz w:val="24"/>
          <w:szCs w:val="24"/>
          <w:highlight w:val="none"/>
        </w:rPr>
        <w:t>主要设备有：</w:t>
      </w:r>
      <w:r>
        <w:rPr>
          <w:rFonts w:ascii="宋体" w:hAnsi="宋体" w:eastAsia="宋体" w:cs="Times New Roman"/>
          <w:sz w:val="24"/>
          <w:szCs w:val="24"/>
          <w:highlight w:val="none"/>
          <w:u w:val="single"/>
        </w:rPr>
        <w:tab/>
      </w:r>
      <w:r>
        <w:rPr>
          <w:rFonts w:hint="eastAsia" w:ascii="宋体" w:hAnsi="宋体" w:eastAsia="宋体" w:cs="Times New Roman"/>
          <w:sz w:val="24"/>
          <w:szCs w:val="24"/>
          <w:highlight w:val="none"/>
        </w:rPr>
        <w:t>；</w:t>
      </w:r>
    </w:p>
    <w:p w14:paraId="4332B958">
      <w:pPr>
        <w:widowControl w:val="0"/>
        <w:tabs>
          <w:tab w:val="left" w:pos="4460"/>
        </w:tabs>
        <w:spacing w:line="360" w:lineRule="auto"/>
        <w:ind w:left="500"/>
        <w:jc w:val="both"/>
        <w:rPr>
          <w:rFonts w:ascii="宋体" w:hAnsi="宋体" w:eastAsia="宋体" w:cs="Times New Roman"/>
          <w:sz w:val="24"/>
          <w:szCs w:val="24"/>
          <w:highlight w:val="none"/>
        </w:rPr>
      </w:pPr>
      <w:r>
        <w:rPr>
          <w:rFonts w:ascii="宋体" w:hAnsi="宋体" w:eastAsia="宋体" w:cs="Times New Roman"/>
          <w:sz w:val="24"/>
          <w:szCs w:val="24"/>
          <w:highlight w:val="none"/>
        </w:rPr>
        <w:t>主要专业技术能力有：</w:t>
      </w:r>
      <w:r>
        <w:rPr>
          <w:rFonts w:ascii="宋体" w:hAnsi="宋体" w:eastAsia="宋体" w:cs="Times New Roman"/>
          <w:sz w:val="24"/>
          <w:szCs w:val="24"/>
          <w:highlight w:val="none"/>
          <w:u w:val="single"/>
        </w:rPr>
        <w:tab/>
      </w:r>
      <w:r>
        <w:rPr>
          <w:rFonts w:ascii="宋体" w:hAnsi="宋体" w:eastAsia="宋体" w:cs="Times New Roman"/>
          <w:sz w:val="24"/>
          <w:szCs w:val="24"/>
          <w:highlight w:val="none"/>
        </w:rPr>
        <w:t>。</w:t>
      </w:r>
    </w:p>
    <w:p w14:paraId="61CC3459">
      <w:pPr>
        <w:widowControl w:val="0"/>
        <w:spacing w:line="360" w:lineRule="auto"/>
        <w:jc w:val="both"/>
        <w:rPr>
          <w:rFonts w:ascii="宋体" w:hAnsi="宋体" w:eastAsia="宋体" w:cs="Times New Roman"/>
          <w:sz w:val="24"/>
          <w:szCs w:val="24"/>
          <w:highlight w:val="none"/>
        </w:rPr>
      </w:pPr>
    </w:p>
    <w:p w14:paraId="22ED714D">
      <w:pPr>
        <w:widowControl w:val="0"/>
        <w:spacing w:line="360" w:lineRule="auto"/>
        <w:jc w:val="both"/>
        <w:rPr>
          <w:rFonts w:ascii="宋体" w:hAnsi="宋体" w:eastAsia="宋体" w:cs="Times New Roman"/>
          <w:sz w:val="24"/>
          <w:szCs w:val="24"/>
          <w:highlight w:val="none"/>
        </w:rPr>
      </w:pPr>
    </w:p>
    <w:p w14:paraId="3D295635">
      <w:pPr>
        <w:widowControl w:val="0"/>
        <w:spacing w:line="360" w:lineRule="auto"/>
        <w:ind w:left="4535" w:firstLine="1200" w:firstLineChars="500"/>
        <w:jc w:val="both"/>
        <w:rPr>
          <w:rFonts w:ascii="宋体" w:hAnsi="宋体" w:eastAsia="宋体" w:cs="Times New Roman"/>
          <w:sz w:val="24"/>
          <w:szCs w:val="24"/>
          <w:highlight w:val="none"/>
        </w:rPr>
      </w:pPr>
      <w:r>
        <w:rPr>
          <w:rFonts w:ascii="宋体" w:hAnsi="宋体" w:eastAsia="宋体" w:cs="Times New Roman"/>
          <w:sz w:val="24"/>
          <w:szCs w:val="24"/>
          <w:highlight w:val="none"/>
        </w:rPr>
        <w:t>声明人（公章）：</w:t>
      </w:r>
    </w:p>
    <w:p w14:paraId="567DCD70">
      <w:pPr>
        <w:widowControl w:val="0"/>
        <w:tabs>
          <w:tab w:val="left" w:pos="6300"/>
          <w:tab w:val="left" w:pos="6940"/>
        </w:tabs>
        <w:spacing w:line="360" w:lineRule="auto"/>
        <w:ind w:firstLine="5760" w:firstLineChars="2400"/>
        <w:jc w:val="both"/>
        <w:rPr>
          <w:rFonts w:ascii="宋体" w:hAnsi="宋体" w:eastAsia="宋体" w:cs="Times New Roman"/>
          <w:sz w:val="24"/>
          <w:szCs w:val="24"/>
          <w:highlight w:val="none"/>
        </w:rPr>
      </w:pPr>
      <w:r>
        <w:rPr>
          <w:rFonts w:ascii="宋体" w:hAnsi="宋体" w:eastAsia="宋体" w:cs="Times New Roman"/>
          <w:sz w:val="24"/>
          <w:szCs w:val="24"/>
          <w:highlight w:val="none"/>
        </w:rPr>
        <w:t>日期：</w:t>
      </w:r>
    </w:p>
    <w:p w14:paraId="7F4580E2">
      <w:pPr>
        <w:widowControl w:val="0"/>
        <w:tabs>
          <w:tab w:val="left" w:pos="6300"/>
          <w:tab w:val="left" w:pos="6940"/>
        </w:tabs>
        <w:spacing w:line="360" w:lineRule="auto"/>
        <w:ind w:left="4440"/>
        <w:jc w:val="both"/>
        <w:rPr>
          <w:rFonts w:ascii="宋体" w:hAnsi="宋体" w:eastAsia="宋体" w:cs="Times New Roman"/>
          <w:sz w:val="24"/>
          <w:szCs w:val="24"/>
          <w:highlight w:val="none"/>
        </w:rPr>
      </w:pPr>
    </w:p>
    <w:p w14:paraId="53E093CD">
      <w:pPr>
        <w:widowControl w:val="0"/>
        <w:spacing w:line="360" w:lineRule="auto"/>
        <w:jc w:val="both"/>
        <w:rPr>
          <w:rFonts w:ascii="宋体" w:hAnsi="宋体" w:eastAsia="宋体" w:cs="Times New Roman"/>
          <w:sz w:val="24"/>
          <w:szCs w:val="24"/>
          <w:highlight w:val="none"/>
        </w:rPr>
      </w:pPr>
    </w:p>
    <w:p w14:paraId="287A412B">
      <w:pPr>
        <w:spacing w:line="360" w:lineRule="auto"/>
        <w:ind w:left="500"/>
        <w:rPr>
          <w:rFonts w:ascii="宋体" w:hAnsi="宋体" w:eastAsia="宋体" w:cs="Times New Roman"/>
          <w:sz w:val="24"/>
          <w:szCs w:val="24"/>
          <w:highlight w:val="none"/>
        </w:rPr>
      </w:pPr>
      <w:r>
        <w:rPr>
          <w:rFonts w:ascii="宋体" w:hAnsi="宋体" w:eastAsia="宋体" w:cs="Times New Roman"/>
          <w:sz w:val="24"/>
          <w:szCs w:val="24"/>
          <w:highlight w:val="none"/>
        </w:rPr>
        <w:t>其他证明材料及文件：（如果投标人认为需要提供的话）</w:t>
      </w:r>
      <w:r>
        <w:rPr>
          <w:rFonts w:ascii="宋体" w:hAnsi="宋体" w:eastAsia="宋体" w:cs="Times New Roman"/>
          <w:sz w:val="24"/>
          <w:szCs w:val="24"/>
          <w:highlight w:val="none"/>
        </w:rPr>
        <w:br w:type="textWrapping"/>
      </w:r>
    </w:p>
    <w:p w14:paraId="77F41667">
      <w:pPr>
        <w:rPr>
          <w:rFonts w:ascii="宋体" w:hAnsi="宋体" w:eastAsia="宋体" w:cs="Times New Roman"/>
          <w:sz w:val="24"/>
          <w:szCs w:val="24"/>
          <w:highlight w:val="none"/>
        </w:rPr>
      </w:pPr>
    </w:p>
    <w:p w14:paraId="488DC152">
      <w:pPr>
        <w:rPr>
          <w:rFonts w:ascii="宋体" w:hAnsi="宋体" w:eastAsia="宋体" w:cs="Times New Roman"/>
          <w:sz w:val="24"/>
          <w:szCs w:val="24"/>
          <w:highlight w:val="none"/>
        </w:rPr>
      </w:pPr>
    </w:p>
    <w:p w14:paraId="76B991DD">
      <w:pPr>
        <w:widowControl w:val="0"/>
        <w:spacing w:line="360" w:lineRule="auto"/>
        <w:jc w:val="both"/>
        <w:rPr>
          <w:rFonts w:ascii="宋体" w:hAnsi="宋体" w:eastAsia="宋体" w:cs="Arial"/>
          <w:b/>
          <w:szCs w:val="24"/>
          <w:highlight w:val="none"/>
        </w:rPr>
      </w:pPr>
    </w:p>
    <w:p w14:paraId="71E24FE6">
      <w:pPr>
        <w:widowControl w:val="0"/>
        <w:spacing w:line="360" w:lineRule="auto"/>
        <w:jc w:val="both"/>
        <w:rPr>
          <w:rFonts w:ascii="宋体" w:hAnsi="宋体" w:eastAsia="宋体" w:cs="Arial"/>
          <w:b/>
          <w:szCs w:val="24"/>
          <w:highlight w:val="none"/>
        </w:rPr>
      </w:pPr>
    </w:p>
    <w:p w14:paraId="326DB83A">
      <w:pPr>
        <w:widowControl w:val="0"/>
        <w:spacing w:line="360" w:lineRule="auto"/>
        <w:jc w:val="both"/>
        <w:rPr>
          <w:rFonts w:ascii="宋体" w:hAnsi="宋体" w:eastAsia="宋体" w:cs="Arial"/>
          <w:b/>
          <w:szCs w:val="24"/>
          <w:highlight w:val="none"/>
        </w:rPr>
      </w:pPr>
    </w:p>
    <w:p w14:paraId="1E74A801">
      <w:pPr>
        <w:widowControl w:val="0"/>
        <w:spacing w:line="360" w:lineRule="auto"/>
        <w:jc w:val="both"/>
        <w:rPr>
          <w:rFonts w:ascii="宋体" w:hAnsi="宋体" w:eastAsia="宋体" w:cs="Arial"/>
          <w:b/>
          <w:szCs w:val="24"/>
          <w:highlight w:val="none"/>
        </w:rPr>
      </w:pPr>
    </w:p>
    <w:p w14:paraId="44C4AABF">
      <w:pPr>
        <w:widowControl w:val="0"/>
        <w:spacing w:line="360" w:lineRule="auto"/>
        <w:jc w:val="both"/>
        <w:rPr>
          <w:rFonts w:ascii="宋体" w:hAnsi="宋体" w:eastAsia="宋体" w:cs="Arial"/>
          <w:b/>
          <w:szCs w:val="24"/>
          <w:highlight w:val="none"/>
        </w:rPr>
      </w:pPr>
    </w:p>
    <w:p w14:paraId="6F7DE369">
      <w:pPr>
        <w:widowControl w:val="0"/>
        <w:spacing w:line="360" w:lineRule="auto"/>
        <w:jc w:val="both"/>
        <w:rPr>
          <w:rFonts w:ascii="宋体" w:hAnsi="宋体" w:eastAsia="宋体" w:cs="Arial"/>
          <w:b/>
          <w:szCs w:val="24"/>
          <w:highlight w:val="none"/>
        </w:rPr>
      </w:pPr>
    </w:p>
    <w:p w14:paraId="5D7E42F9">
      <w:pPr>
        <w:widowControl w:val="0"/>
        <w:spacing w:line="360" w:lineRule="auto"/>
        <w:jc w:val="both"/>
        <w:rPr>
          <w:rFonts w:ascii="宋体" w:hAnsi="宋体" w:eastAsia="宋体" w:cs="Arial"/>
          <w:b/>
          <w:szCs w:val="24"/>
          <w:highlight w:val="none"/>
        </w:rPr>
      </w:pPr>
    </w:p>
    <w:p w14:paraId="69681624">
      <w:pPr>
        <w:rPr>
          <w:rFonts w:ascii="宋体" w:hAnsi="宋体" w:eastAsia="宋体" w:cs="宋体"/>
          <w:b/>
          <w:bCs/>
          <w:highlight w:val="none"/>
        </w:rPr>
      </w:pPr>
      <w:r>
        <w:rPr>
          <w:rFonts w:hint="eastAsia" w:ascii="宋体" w:hAnsi="宋体" w:eastAsia="宋体" w:cs="Arial"/>
          <w:b/>
          <w:szCs w:val="24"/>
          <w:highlight w:val="none"/>
        </w:rPr>
        <w:br w:type="page"/>
      </w:r>
    </w:p>
    <w:p w14:paraId="1FE19D9A">
      <w:pPr>
        <w:jc w:val="left"/>
        <w:outlineLvl w:val="1"/>
        <w:rPr>
          <w:rFonts w:hint="eastAsia" w:ascii="方正小标宋简体" w:hAnsi="方正小标宋简体" w:eastAsia="方正小标宋简体" w:cs="方正小标宋简体"/>
          <w:sz w:val="36"/>
          <w:szCs w:val="44"/>
          <w:highlight w:val="none"/>
          <w:lang w:val="en-US" w:eastAsia="zh-CN"/>
        </w:rPr>
      </w:pPr>
      <w:bookmarkStart w:id="158" w:name="_Toc29441"/>
      <w:bookmarkStart w:id="159" w:name="_Toc9423"/>
      <w:bookmarkStart w:id="160" w:name="_Toc24406"/>
      <w:bookmarkStart w:id="161" w:name="_Toc30317"/>
      <w:r>
        <w:rPr>
          <w:rFonts w:hint="eastAsia" w:ascii="宋体" w:hAnsi="宋体" w:eastAsia="宋体" w:cs="宋体"/>
          <w:b/>
          <w:bCs/>
          <w:highlight w:val="none"/>
        </w:rPr>
        <w:t>十三、南京市政府采购供应商信用承诺书</w:t>
      </w:r>
      <w:bookmarkEnd w:id="158"/>
    </w:p>
    <w:p w14:paraId="2B7444C5">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方正小标宋简体" w:hAnsi="方正小标宋简体" w:eastAsia="方正小标宋简体" w:cs="方正小标宋简体"/>
          <w:sz w:val="44"/>
          <w:szCs w:val="52"/>
          <w:highlight w:val="none"/>
          <w:lang w:val="en-US" w:eastAsia="zh-CN"/>
        </w:rPr>
      </w:pPr>
      <w:r>
        <w:rPr>
          <w:rFonts w:hint="eastAsia" w:ascii="方正小标宋简体" w:hAnsi="方正小标宋简体" w:eastAsia="方正小标宋简体" w:cs="方正小标宋简体"/>
          <w:sz w:val="44"/>
          <w:szCs w:val="52"/>
          <w:highlight w:val="none"/>
          <w:lang w:val="en-US" w:eastAsia="zh-CN"/>
        </w:rPr>
        <w:t>南京市政府采购供应商信用承诺书</w:t>
      </w:r>
    </w:p>
    <w:p w14:paraId="6A6ED48A">
      <w:pPr>
        <w:jc w:val="right"/>
        <w:rPr>
          <w:rFonts w:hint="default" w:ascii="方正小标宋简体" w:hAnsi="方正小标宋简体" w:eastAsia="方正小标宋简体" w:cs="方正小标宋简体"/>
          <w:sz w:val="22"/>
          <w:szCs w:val="28"/>
          <w:highlight w:val="none"/>
          <w:lang w:val="en-US" w:eastAsia="zh-CN"/>
        </w:rPr>
      </w:pPr>
      <w:r>
        <w:rPr>
          <w:rFonts w:hint="eastAsia" w:ascii="方正小标宋简体" w:hAnsi="方正小标宋简体" w:eastAsia="方正小标宋简体" w:cs="方正小标宋简体"/>
          <w:sz w:val="22"/>
          <w:szCs w:val="28"/>
          <w:highlight w:val="none"/>
          <w:lang w:val="en-US" w:eastAsia="zh-CN"/>
        </w:rPr>
        <w:t>XXXX年XX月XX日</w:t>
      </w:r>
    </w:p>
    <w:p w14:paraId="535753C0">
      <w:pPr>
        <w:jc w:val="center"/>
        <w:rPr>
          <w:rFonts w:hint="eastAsia" w:eastAsiaTheme="minorEastAsia"/>
          <w:highlight w:val="none"/>
          <w:lang w:val="en-US" w:eastAsia="zh-CN"/>
        </w:rPr>
      </w:pPr>
    </w:p>
    <w:tbl>
      <w:tblPr>
        <w:tblStyle w:val="38"/>
        <w:tblpPr w:leftFromText="180" w:rightFromText="180" w:vertAnchor="text" w:tblpXSpec="center" w:tblpY="1"/>
        <w:tblOverlap w:val="never"/>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8"/>
        <w:gridCol w:w="2284"/>
        <w:gridCol w:w="1833"/>
        <w:gridCol w:w="3331"/>
      </w:tblGrid>
      <w:tr w14:paraId="188DD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5C624D7C">
            <w:pPr>
              <w:tabs>
                <w:tab w:val="left" w:pos="2520"/>
              </w:tabs>
              <w:ind w:left="-420" w:leftChars="-200" w:firstLine="0" w:firstLineChars="0"/>
              <w:jc w:val="center"/>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 xml:space="preserve">   单位名称</w:t>
            </w:r>
          </w:p>
        </w:tc>
        <w:tc>
          <w:tcPr>
            <w:tcW w:w="2284" w:type="dxa"/>
            <w:vAlign w:val="center"/>
          </w:tcPr>
          <w:p w14:paraId="26E8A341">
            <w:pPr>
              <w:jc w:val="center"/>
              <w:rPr>
                <w:rFonts w:hint="eastAsia" w:eastAsiaTheme="minorEastAsia"/>
                <w:sz w:val="24"/>
                <w:szCs w:val="32"/>
                <w:highlight w:val="none"/>
                <w:vertAlign w:val="baseline"/>
                <w:lang w:val="en-US" w:eastAsia="zh-CN"/>
              </w:rPr>
            </w:pPr>
          </w:p>
        </w:tc>
        <w:tc>
          <w:tcPr>
            <w:tcW w:w="1833" w:type="dxa"/>
            <w:vAlign w:val="center"/>
          </w:tcPr>
          <w:p w14:paraId="25EFFA93">
            <w:pPr>
              <w:jc w:val="center"/>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统一社会信用代码</w:t>
            </w:r>
          </w:p>
        </w:tc>
        <w:tc>
          <w:tcPr>
            <w:tcW w:w="3331" w:type="dxa"/>
            <w:vAlign w:val="center"/>
          </w:tcPr>
          <w:p w14:paraId="2779E57C">
            <w:pPr>
              <w:tabs>
                <w:tab w:val="left" w:pos="2320"/>
              </w:tabs>
              <w:ind w:right="-678" w:rightChars="-323"/>
              <w:jc w:val="center"/>
              <w:rPr>
                <w:rFonts w:hint="eastAsia" w:eastAsiaTheme="minorEastAsia"/>
                <w:highlight w:val="none"/>
                <w:vertAlign w:val="baseline"/>
                <w:lang w:val="en-US" w:eastAsia="zh-CN"/>
              </w:rPr>
            </w:pPr>
          </w:p>
        </w:tc>
      </w:tr>
      <w:tr w14:paraId="184BF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0E5567DD">
            <w:pPr>
              <w:jc w:val="center"/>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法定代表人</w:t>
            </w:r>
          </w:p>
        </w:tc>
        <w:tc>
          <w:tcPr>
            <w:tcW w:w="2284" w:type="dxa"/>
            <w:vAlign w:val="center"/>
          </w:tcPr>
          <w:p w14:paraId="43D1C01F">
            <w:pPr>
              <w:jc w:val="center"/>
              <w:rPr>
                <w:rFonts w:hint="eastAsia" w:eastAsiaTheme="minorEastAsia"/>
                <w:sz w:val="24"/>
                <w:szCs w:val="32"/>
                <w:highlight w:val="none"/>
                <w:vertAlign w:val="baseline"/>
                <w:lang w:val="en-US" w:eastAsia="zh-CN"/>
              </w:rPr>
            </w:pPr>
          </w:p>
        </w:tc>
        <w:tc>
          <w:tcPr>
            <w:tcW w:w="1833" w:type="dxa"/>
            <w:vAlign w:val="center"/>
          </w:tcPr>
          <w:p w14:paraId="0F01507C">
            <w:pPr>
              <w:jc w:val="center"/>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联系人</w:t>
            </w:r>
          </w:p>
        </w:tc>
        <w:tc>
          <w:tcPr>
            <w:tcW w:w="3331" w:type="dxa"/>
            <w:vAlign w:val="center"/>
          </w:tcPr>
          <w:p w14:paraId="4018256B">
            <w:pPr>
              <w:jc w:val="center"/>
              <w:rPr>
                <w:rFonts w:hint="eastAsia" w:eastAsiaTheme="minorEastAsia"/>
                <w:highlight w:val="none"/>
                <w:vertAlign w:val="baseline"/>
                <w:lang w:val="en-US" w:eastAsia="zh-CN"/>
              </w:rPr>
            </w:pPr>
          </w:p>
        </w:tc>
      </w:tr>
      <w:tr w14:paraId="40089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52DC29DF">
            <w:pPr>
              <w:jc w:val="center"/>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联系地址</w:t>
            </w:r>
          </w:p>
        </w:tc>
        <w:tc>
          <w:tcPr>
            <w:tcW w:w="2284" w:type="dxa"/>
            <w:vAlign w:val="center"/>
          </w:tcPr>
          <w:p w14:paraId="5817B2EC">
            <w:pPr>
              <w:jc w:val="center"/>
              <w:rPr>
                <w:rFonts w:hint="eastAsia" w:eastAsiaTheme="minorEastAsia"/>
                <w:sz w:val="24"/>
                <w:szCs w:val="32"/>
                <w:highlight w:val="none"/>
                <w:vertAlign w:val="baseline"/>
                <w:lang w:val="en-US" w:eastAsia="zh-CN"/>
              </w:rPr>
            </w:pPr>
          </w:p>
        </w:tc>
        <w:tc>
          <w:tcPr>
            <w:tcW w:w="1833" w:type="dxa"/>
            <w:vAlign w:val="center"/>
          </w:tcPr>
          <w:p w14:paraId="1839D361">
            <w:pPr>
              <w:jc w:val="center"/>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联系电话</w:t>
            </w:r>
          </w:p>
        </w:tc>
        <w:tc>
          <w:tcPr>
            <w:tcW w:w="3331" w:type="dxa"/>
            <w:vAlign w:val="center"/>
          </w:tcPr>
          <w:p w14:paraId="52042602">
            <w:pPr>
              <w:jc w:val="center"/>
              <w:rPr>
                <w:rFonts w:hint="eastAsia" w:eastAsiaTheme="minorEastAsia"/>
                <w:highlight w:val="none"/>
                <w:vertAlign w:val="baseline"/>
                <w:lang w:val="en-US" w:eastAsia="zh-CN"/>
              </w:rPr>
            </w:pPr>
          </w:p>
        </w:tc>
      </w:tr>
      <w:tr w14:paraId="7D244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vAlign w:val="center"/>
          </w:tcPr>
          <w:p w14:paraId="19A1C732">
            <w:pPr>
              <w:jc w:val="center"/>
              <w:rPr>
                <w:rFonts w:hint="default"/>
                <w:sz w:val="24"/>
                <w:szCs w:val="32"/>
                <w:highlight w:val="none"/>
                <w:vertAlign w:val="baseline"/>
                <w:lang w:val="en-US" w:eastAsia="zh-CN"/>
              </w:rPr>
            </w:pPr>
            <w:r>
              <w:rPr>
                <w:rFonts w:hint="eastAsia"/>
                <w:sz w:val="24"/>
                <w:szCs w:val="32"/>
                <w:highlight w:val="none"/>
                <w:vertAlign w:val="baseline"/>
                <w:lang w:val="en-US" w:eastAsia="zh-CN"/>
              </w:rPr>
              <w:t>信用承诺</w:t>
            </w:r>
          </w:p>
        </w:tc>
        <w:tc>
          <w:tcPr>
            <w:tcW w:w="7448" w:type="dxa"/>
            <w:gridSpan w:val="3"/>
            <w:vAlign w:val="center"/>
          </w:tcPr>
          <w:p w14:paraId="03FBE538">
            <w:pPr>
              <w:ind w:firstLine="420" w:firstLineChars="200"/>
              <w:jc w:val="both"/>
              <w:rPr>
                <w:rFonts w:hint="eastAsia"/>
                <w:highlight w:val="none"/>
                <w:vertAlign w:val="baseline"/>
                <w:lang w:val="en-US" w:eastAsia="zh-CN"/>
              </w:rPr>
            </w:pPr>
            <w:r>
              <w:rPr>
                <w:rFonts w:hint="eastAsia" w:eastAsiaTheme="minorEastAsia"/>
                <w:highlight w:val="none"/>
                <w:vertAlign w:val="baseline"/>
                <w:lang w:val="en-US" w:eastAsia="zh-CN"/>
              </w:rPr>
              <w:t>我公司自愿参加贵中心</w:t>
            </w:r>
            <w:r>
              <w:rPr>
                <w:rFonts w:hint="eastAsia"/>
                <w:highlight w:val="none"/>
                <w:vertAlign w:val="baseline"/>
                <w:lang w:val="en-US" w:eastAsia="zh-CN"/>
              </w:rPr>
              <w:t>（</w:t>
            </w:r>
            <w:r>
              <w:rPr>
                <w:rFonts w:hint="eastAsia" w:eastAsiaTheme="minorEastAsia"/>
                <w:highlight w:val="none"/>
                <w:vertAlign w:val="baseline"/>
                <w:lang w:val="en-US" w:eastAsia="zh-CN"/>
              </w:rPr>
              <w:t>公司</w:t>
            </w:r>
            <w:r>
              <w:rPr>
                <w:rFonts w:hint="eastAsia"/>
                <w:highlight w:val="none"/>
                <w:vertAlign w:val="baseline"/>
                <w:lang w:val="en-US" w:eastAsia="zh-CN"/>
              </w:rPr>
              <w:t>）</w:t>
            </w:r>
            <w:r>
              <w:rPr>
                <w:rFonts w:hint="eastAsia" w:eastAsiaTheme="minorEastAsia"/>
                <w:highlight w:val="none"/>
                <w:vertAlign w:val="baseline"/>
                <w:lang w:val="en-US"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highlight w:val="none"/>
                <w:vertAlign w:val="baseline"/>
                <w:lang w:val="en-US" w:eastAsia="zh-CN"/>
              </w:rPr>
              <w:t>二</w:t>
            </w:r>
            <w:r>
              <w:rPr>
                <w:rFonts w:hint="eastAsia" w:eastAsiaTheme="minorEastAsia"/>
                <w:highlight w:val="none"/>
                <w:vertAlign w:val="baseline"/>
                <w:lang w:val="en-US" w:eastAsia="zh-CN"/>
              </w:rPr>
              <w:t>条规定的条件，包括</w:t>
            </w:r>
            <w:r>
              <w:rPr>
                <w:rFonts w:hint="eastAsia"/>
                <w:highlight w:val="none"/>
                <w:vertAlign w:val="baseline"/>
                <w:lang w:val="en-US" w:eastAsia="zh-CN"/>
              </w:rPr>
              <w:t>：</w:t>
            </w:r>
            <w:r>
              <w:rPr>
                <w:rFonts w:hint="eastAsia" w:eastAsiaTheme="minorEastAsia"/>
                <w:highlight w:val="none"/>
                <w:vertAlign w:val="baseline"/>
                <w:lang w:val="en-US" w:eastAsia="zh-CN"/>
              </w:rPr>
              <w:t>具有独立承担民事责任的能力</w:t>
            </w:r>
            <w:r>
              <w:rPr>
                <w:rFonts w:hint="eastAsia"/>
                <w:highlight w:val="none"/>
                <w:vertAlign w:val="baseline"/>
                <w:lang w:val="en-US" w:eastAsia="zh-CN"/>
              </w:rPr>
              <w:t>；</w:t>
            </w:r>
            <w:r>
              <w:rPr>
                <w:rFonts w:hint="eastAsia" w:eastAsiaTheme="minorEastAsia"/>
                <w:highlight w:val="none"/>
                <w:vertAlign w:val="baseline"/>
                <w:lang w:val="en-US" w:eastAsia="zh-CN"/>
              </w:rPr>
              <w:t>具有良好的商业信誉和健全的财务会计制度</w:t>
            </w:r>
            <w:r>
              <w:rPr>
                <w:rFonts w:hint="eastAsia"/>
                <w:highlight w:val="none"/>
                <w:vertAlign w:val="baseline"/>
                <w:lang w:val="en-US" w:eastAsia="zh-CN"/>
              </w:rPr>
              <w:t>；</w:t>
            </w:r>
            <w:r>
              <w:rPr>
                <w:rFonts w:hint="eastAsia" w:eastAsiaTheme="minorEastAsia"/>
                <w:highlight w:val="none"/>
                <w:vertAlign w:val="baseline"/>
                <w:lang w:val="en-US" w:eastAsia="zh-CN"/>
              </w:rPr>
              <w:t>有履行合同所必需的设备和专业技术能力</w:t>
            </w:r>
            <w:r>
              <w:rPr>
                <w:rFonts w:hint="eastAsia"/>
                <w:highlight w:val="none"/>
                <w:vertAlign w:val="baseline"/>
                <w:lang w:val="en-US" w:eastAsia="zh-CN"/>
              </w:rPr>
              <w:t>；</w:t>
            </w:r>
            <w:r>
              <w:rPr>
                <w:rFonts w:hint="eastAsia" w:eastAsiaTheme="minorEastAsia"/>
                <w:highlight w:val="none"/>
                <w:vertAlign w:val="baseline"/>
                <w:lang w:val="en-US" w:eastAsia="zh-CN"/>
              </w:rPr>
              <w:t>有依法缴纳税收和社会保障资金的良好记录</w:t>
            </w:r>
            <w:r>
              <w:rPr>
                <w:rFonts w:hint="eastAsia"/>
                <w:highlight w:val="none"/>
                <w:vertAlign w:val="baseline"/>
                <w:lang w:val="en-US" w:eastAsia="zh-CN"/>
              </w:rPr>
              <w:t>；</w:t>
            </w:r>
            <w:r>
              <w:rPr>
                <w:rFonts w:hint="eastAsia" w:eastAsiaTheme="minorEastAsia"/>
                <w:highlight w:val="none"/>
                <w:vertAlign w:val="baseline"/>
                <w:lang w:val="en-US" w:eastAsia="zh-CN"/>
              </w:rPr>
              <w:t>参加政府采购活动前三年内，在经营活动中没有重大违法记录</w:t>
            </w:r>
            <w:r>
              <w:rPr>
                <w:rFonts w:hint="eastAsia"/>
                <w:highlight w:val="none"/>
                <w:vertAlign w:val="baseline"/>
                <w:lang w:val="en-US" w:eastAsia="zh-CN"/>
              </w:rPr>
              <w:t>；</w:t>
            </w:r>
            <w:r>
              <w:rPr>
                <w:rFonts w:hint="eastAsia" w:eastAsiaTheme="minorEastAsia"/>
                <w:highlight w:val="none"/>
                <w:vertAlign w:val="baseline"/>
                <w:lang w:val="en-US" w:eastAsia="zh-CN"/>
              </w:rPr>
              <w:t>符合法律、行政法规和采购文件规定的其他条件</w:t>
            </w:r>
            <w:r>
              <w:rPr>
                <w:rFonts w:hint="eastAsia"/>
                <w:highlight w:val="none"/>
                <w:vertAlign w:val="baseline"/>
                <w:lang w:val="en-US" w:eastAsia="zh-CN"/>
              </w:rPr>
              <w:t>。</w:t>
            </w:r>
            <w:r>
              <w:rPr>
                <w:rFonts w:hint="eastAsia" w:eastAsiaTheme="minorEastAsia"/>
                <w:highlight w:val="none"/>
                <w:vertAlign w:val="baseline"/>
                <w:lang w:val="en-US" w:eastAsia="zh-CN"/>
              </w:rPr>
              <w:t>如有弄虚作假或其他违法违规行为，愿承担一切法律责任，接受各级政府采购监管部门和有权机关的审查和处罚</w:t>
            </w:r>
            <w:r>
              <w:rPr>
                <w:rFonts w:hint="eastAsia"/>
                <w:highlight w:val="none"/>
                <w:vertAlign w:val="baseline"/>
                <w:lang w:val="en-US" w:eastAsia="zh-CN"/>
              </w:rPr>
              <w:t>。</w:t>
            </w:r>
          </w:p>
          <w:p w14:paraId="1E9FE15E">
            <w:pPr>
              <w:ind w:firstLine="420" w:firstLineChars="200"/>
              <w:jc w:val="both"/>
              <w:rPr>
                <w:rFonts w:hint="eastAsia"/>
                <w:highlight w:val="none"/>
                <w:vertAlign w:val="baseline"/>
                <w:lang w:val="en-US" w:eastAsia="zh-CN"/>
              </w:rPr>
            </w:pPr>
          </w:p>
          <w:p w14:paraId="02528BE9">
            <w:pPr>
              <w:ind w:firstLine="420" w:firstLineChars="200"/>
              <w:jc w:val="center"/>
              <w:rPr>
                <w:rFonts w:hint="eastAsia"/>
                <w:highlight w:val="none"/>
                <w:vertAlign w:val="baseline"/>
                <w:lang w:val="en-US" w:eastAsia="zh-CN"/>
              </w:rPr>
            </w:pPr>
            <w:r>
              <w:rPr>
                <w:rFonts w:hint="eastAsia"/>
                <w:highlight w:val="none"/>
                <w:vertAlign w:val="baseline"/>
                <w:lang w:val="en-US" w:eastAsia="zh-CN"/>
              </w:rPr>
              <w:t>供应商名称（盖章）：</w:t>
            </w:r>
          </w:p>
          <w:p w14:paraId="3830C616">
            <w:pPr>
              <w:ind w:firstLine="420" w:firstLineChars="200"/>
              <w:jc w:val="center"/>
              <w:rPr>
                <w:rFonts w:hint="eastAsia"/>
                <w:highlight w:val="none"/>
                <w:vertAlign w:val="baseline"/>
                <w:lang w:val="en-US" w:eastAsia="zh-CN"/>
              </w:rPr>
            </w:pPr>
          </w:p>
          <w:p w14:paraId="1790E1A7">
            <w:pPr>
              <w:ind w:firstLine="420" w:firstLineChars="200"/>
              <w:jc w:val="center"/>
              <w:rPr>
                <w:rFonts w:hint="eastAsia"/>
                <w:highlight w:val="none"/>
                <w:vertAlign w:val="baseline"/>
                <w:lang w:val="en-US" w:eastAsia="zh-CN"/>
              </w:rPr>
            </w:pPr>
            <w:r>
              <w:rPr>
                <w:rFonts w:hint="eastAsia"/>
                <w:highlight w:val="none"/>
                <w:vertAlign w:val="baseline"/>
                <w:lang w:val="en-US" w:eastAsia="zh-CN"/>
              </w:rPr>
              <w:t>法定代表人（签字）：</w:t>
            </w:r>
          </w:p>
          <w:p w14:paraId="5A83263E">
            <w:pPr>
              <w:ind w:firstLine="420" w:firstLineChars="200"/>
              <w:jc w:val="center"/>
              <w:rPr>
                <w:rFonts w:hint="eastAsia"/>
                <w:highlight w:val="none"/>
                <w:vertAlign w:val="baseline"/>
                <w:lang w:val="en-US" w:eastAsia="zh-CN"/>
              </w:rPr>
            </w:pPr>
          </w:p>
          <w:p w14:paraId="5A8BD03F">
            <w:pPr>
              <w:ind w:firstLine="420" w:firstLineChars="200"/>
              <w:jc w:val="center"/>
              <w:rPr>
                <w:rFonts w:hint="default"/>
                <w:highlight w:val="none"/>
                <w:vertAlign w:val="baseline"/>
                <w:lang w:val="en-US" w:eastAsia="zh-CN"/>
              </w:rPr>
            </w:pPr>
            <w:r>
              <w:rPr>
                <w:rFonts w:hint="eastAsia"/>
                <w:highlight w:val="none"/>
                <w:vertAlign w:val="baseline"/>
                <w:lang w:val="en-US" w:eastAsia="zh-CN"/>
              </w:rPr>
              <w:t>XXXX年XX月XX日</w:t>
            </w:r>
          </w:p>
        </w:tc>
      </w:tr>
    </w:tbl>
    <w:p w14:paraId="683154C6">
      <w:pPr>
        <w:pBdr>
          <w:top w:val="none" w:color="auto" w:sz="0" w:space="0"/>
          <w:left w:val="none" w:color="auto" w:sz="0" w:space="0"/>
          <w:bottom w:val="none" w:color="auto" w:sz="0" w:space="0"/>
          <w:right w:val="none" w:color="auto" w:sz="0" w:space="0"/>
        </w:pBdr>
        <w:ind w:right="0"/>
        <w:jc w:val="left"/>
        <w:outlineLvl w:val="9"/>
        <w:rPr>
          <w:rFonts w:hint="eastAsia" w:ascii="宋体" w:hAnsi="宋体" w:eastAsia="宋体" w:cs="宋体"/>
          <w:b/>
          <w:bCs/>
          <w:highlight w:val="none"/>
        </w:rPr>
      </w:pPr>
      <w:r>
        <w:rPr>
          <w:rFonts w:hint="eastAsia" w:ascii="宋体" w:hAnsi="宋体" w:eastAsia="宋体" w:cs="宋体"/>
          <w:b/>
          <w:bCs/>
          <w:highlight w:val="none"/>
        </w:rPr>
        <w:br w:type="page"/>
      </w:r>
    </w:p>
    <w:p w14:paraId="557B2427">
      <w:pPr>
        <w:pBdr>
          <w:top w:val="none" w:color="000000" w:sz="0" w:space="0"/>
          <w:left w:val="none" w:color="000000" w:sz="0" w:space="0"/>
          <w:bottom w:val="none" w:color="000000" w:sz="0" w:space="0"/>
          <w:right w:val="none" w:color="000000" w:sz="0" w:space="0"/>
        </w:pBdr>
        <w:ind w:right="1470"/>
        <w:jc w:val="both"/>
        <w:outlineLvl w:val="1"/>
        <w:rPr>
          <w:rFonts w:ascii="宋体" w:hAnsi="宋体" w:eastAsia="宋体" w:cs="宋体"/>
          <w:b/>
          <w:bCs/>
          <w:highlight w:val="none"/>
        </w:rPr>
      </w:pPr>
      <w:bookmarkStart w:id="162" w:name="_Toc10928"/>
      <w:r>
        <w:rPr>
          <w:rFonts w:hint="eastAsia" w:ascii="宋体" w:hAnsi="宋体" w:eastAsia="宋体" w:cs="宋体"/>
          <w:b/>
          <w:bCs/>
          <w:highlight w:val="none"/>
        </w:rPr>
        <w:t>十</w:t>
      </w:r>
      <w:r>
        <w:rPr>
          <w:rFonts w:hint="eastAsia" w:ascii="宋体" w:hAnsi="宋体" w:eastAsia="宋体" w:cs="宋体"/>
          <w:b/>
          <w:bCs/>
          <w:highlight w:val="none"/>
          <w:lang w:val="en-US" w:eastAsia="zh-CN"/>
        </w:rPr>
        <w:t>四</w:t>
      </w:r>
      <w:r>
        <w:rPr>
          <w:rFonts w:hint="eastAsia" w:ascii="宋体" w:hAnsi="宋体" w:eastAsia="宋体" w:cs="宋体"/>
          <w:b/>
          <w:bCs/>
          <w:highlight w:val="none"/>
        </w:rPr>
        <w:t>、其他</w:t>
      </w:r>
      <w:bookmarkEnd w:id="159"/>
      <w:bookmarkEnd w:id="160"/>
      <w:bookmarkEnd w:id="161"/>
      <w:bookmarkEnd w:id="162"/>
    </w:p>
    <w:p w14:paraId="41F6D84C">
      <w:pPr>
        <w:pBdr>
          <w:top w:val="none" w:color="000000" w:sz="0" w:space="0"/>
          <w:left w:val="none" w:color="000000" w:sz="0" w:space="0"/>
          <w:bottom w:val="none" w:color="000000" w:sz="0" w:space="0"/>
          <w:right w:val="none" w:color="000000" w:sz="0" w:space="0"/>
        </w:pBdr>
        <w:ind w:right="1470"/>
        <w:jc w:val="both"/>
        <w:outlineLvl w:val="1"/>
        <w:rPr>
          <w:rFonts w:ascii="宋体" w:hAnsi="宋体" w:eastAsia="宋体" w:cs="宋体"/>
          <w:b/>
          <w:bCs/>
          <w:highlight w:val="none"/>
        </w:rPr>
      </w:pPr>
    </w:p>
    <w:p w14:paraId="78D1E1B1">
      <w:pPr>
        <w:pBdr>
          <w:top w:val="none" w:color="000000" w:sz="0" w:space="0"/>
          <w:left w:val="none" w:color="000000" w:sz="0" w:space="0"/>
          <w:bottom w:val="none" w:color="000000" w:sz="0" w:space="0"/>
          <w:right w:val="none" w:color="000000" w:sz="0" w:space="0"/>
        </w:pBdr>
        <w:ind w:right="1470"/>
        <w:jc w:val="center"/>
        <w:rPr>
          <w:rFonts w:ascii="宋体" w:hAnsi="宋体" w:eastAsia="宋体" w:cs="宋体"/>
          <w:sz w:val="24"/>
          <w:szCs w:val="24"/>
          <w:highlight w:val="none"/>
        </w:rPr>
      </w:pPr>
      <w:r>
        <w:rPr>
          <w:rFonts w:hint="eastAsia" w:ascii="宋体" w:hAnsi="宋体" w:eastAsia="宋体" w:cs="宋体"/>
          <w:sz w:val="24"/>
          <w:szCs w:val="24"/>
          <w:highlight w:val="none"/>
        </w:rPr>
        <w:t>（投标人可根据自身情况提交与本项目相关的补充资料）</w:t>
      </w:r>
    </w:p>
    <w:p w14:paraId="13769CC3">
      <w:pPr>
        <w:pBdr>
          <w:top w:val="none" w:color="000000" w:sz="0" w:space="0"/>
          <w:left w:val="none" w:color="000000" w:sz="0" w:space="0"/>
          <w:bottom w:val="none" w:color="000000" w:sz="0" w:space="0"/>
          <w:right w:val="none" w:color="000000" w:sz="0" w:space="0"/>
        </w:pBdr>
        <w:ind w:left="1470" w:right="1470"/>
        <w:jc w:val="both"/>
        <w:rPr>
          <w:rFonts w:ascii="宋体" w:hAnsi="宋体" w:eastAsia="宋体" w:cs="宋体"/>
          <w:highlight w:val="none"/>
        </w:rPr>
      </w:pPr>
      <w:r>
        <w:rPr>
          <w:rFonts w:hint="eastAsia" w:ascii="宋体" w:hAnsi="宋体" w:eastAsia="宋体" w:cs="宋体"/>
          <w:highlight w:val="none"/>
        </w:rPr>
        <w:t> </w:t>
      </w:r>
    </w:p>
    <w:p w14:paraId="78CC6E46">
      <w:pPr>
        <w:pBdr>
          <w:top w:val="none" w:color="000000" w:sz="0" w:space="0"/>
          <w:left w:val="none" w:color="000000" w:sz="0" w:space="0"/>
          <w:bottom w:val="none" w:color="000000" w:sz="0" w:space="0"/>
          <w:right w:val="none" w:color="000000" w:sz="0" w:space="0"/>
        </w:pBdr>
        <w:ind w:left="1470" w:right="1470"/>
        <w:jc w:val="both"/>
        <w:rPr>
          <w:rFonts w:ascii="宋体" w:hAnsi="宋体" w:eastAsia="宋体" w:cs="宋体"/>
          <w:highlight w:val="none"/>
        </w:rPr>
      </w:pPr>
      <w:r>
        <w:rPr>
          <w:rFonts w:hint="eastAsia" w:ascii="宋体" w:hAnsi="宋体" w:eastAsia="宋体" w:cs="宋体"/>
          <w:highlight w:val="none"/>
        </w:rPr>
        <w:t> </w:t>
      </w:r>
    </w:p>
    <w:p w14:paraId="04FA2521">
      <w:pPr>
        <w:pBdr>
          <w:top w:val="none" w:color="000000" w:sz="0" w:space="0"/>
          <w:left w:val="none" w:color="000000" w:sz="0" w:space="0"/>
          <w:bottom w:val="none" w:color="000000" w:sz="0" w:space="0"/>
          <w:right w:val="none" w:color="000000" w:sz="0" w:space="0"/>
        </w:pBdr>
        <w:ind w:left="1470" w:right="1470"/>
        <w:jc w:val="both"/>
        <w:rPr>
          <w:rFonts w:ascii="宋体" w:hAnsi="宋体" w:eastAsia="宋体" w:cs="宋体"/>
          <w:highlight w:val="none"/>
        </w:rPr>
      </w:pPr>
      <w:r>
        <w:rPr>
          <w:rFonts w:hint="eastAsia" w:ascii="宋体" w:hAnsi="宋体" w:eastAsia="宋体" w:cs="宋体"/>
          <w:highlight w:val="none"/>
        </w:rPr>
        <w:t> </w:t>
      </w:r>
    </w:p>
    <w:p w14:paraId="2B8B029B">
      <w:pPr>
        <w:pBdr>
          <w:top w:val="none" w:color="000000" w:sz="0" w:space="0"/>
          <w:left w:val="none" w:color="000000" w:sz="0" w:space="0"/>
          <w:bottom w:val="none" w:color="000000" w:sz="0" w:space="0"/>
          <w:right w:val="none" w:color="000000" w:sz="0" w:space="0"/>
        </w:pBdr>
        <w:ind w:left="1470" w:right="1470"/>
        <w:jc w:val="both"/>
        <w:rPr>
          <w:rFonts w:ascii="宋体" w:hAnsi="宋体" w:eastAsia="宋体" w:cs="宋体"/>
          <w:highlight w:val="none"/>
        </w:rPr>
      </w:pPr>
      <w:r>
        <w:rPr>
          <w:rFonts w:hint="eastAsia" w:ascii="宋体" w:hAnsi="宋体" w:eastAsia="宋体" w:cs="宋体"/>
          <w:highlight w:val="none"/>
        </w:rPr>
        <w:t> </w:t>
      </w:r>
    </w:p>
    <w:p w14:paraId="4E12E20D">
      <w:pPr>
        <w:pBdr>
          <w:top w:val="none" w:color="000000" w:sz="0" w:space="0"/>
          <w:left w:val="none" w:color="000000" w:sz="0" w:space="0"/>
          <w:bottom w:val="none" w:color="000000" w:sz="0" w:space="0"/>
          <w:right w:val="none" w:color="000000" w:sz="0" w:space="0"/>
        </w:pBdr>
        <w:ind w:right="1470"/>
        <w:jc w:val="both"/>
        <w:rPr>
          <w:rFonts w:ascii="宋体" w:hAnsi="宋体" w:eastAsia="宋体" w:cs="宋体"/>
          <w:highlight w:val="none"/>
        </w:rPr>
      </w:pPr>
      <w:r>
        <w:rPr>
          <w:rFonts w:hint="eastAsia" w:ascii="宋体" w:hAnsi="宋体" w:eastAsia="宋体" w:cs="宋体"/>
          <w:highlight w:val="none"/>
        </w:rPr>
        <w:t> </w:t>
      </w:r>
    </w:p>
    <w:p w14:paraId="705106A9">
      <w:pPr>
        <w:rPr>
          <w:highlight w:val="none"/>
        </w:rPr>
      </w:pPr>
    </w:p>
    <w:sectPr>
      <w:footerReference r:id="rId5" w:type="default"/>
      <w:pgSz w:w="11906" w:h="16838"/>
      <w:pgMar w:top="1134" w:right="1134" w:bottom="1134" w:left="1134" w:header="709" w:footer="709"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6D712BB-3365-4015-B82A-B945351332F9}"/>
  </w:font>
  <w:font w:name="Arial">
    <w:panose1 w:val="020B0604020202020204"/>
    <w:charset w:val="01"/>
    <w:family w:val="swiss"/>
    <w:pitch w:val="default"/>
    <w:sig w:usb0="E0002EFF" w:usb1="C000785B" w:usb2="00000009" w:usb3="00000000" w:csb0="400001FF" w:csb1="FFFF0000"/>
    <w:embedRegular r:id="rId2" w:fontKey="{B9BDFB16-BC57-4C4D-A70D-B16A2784ED0E}"/>
  </w:font>
  <w:font w:name="黑体">
    <w:panose1 w:val="02010609060101010101"/>
    <w:charset w:val="86"/>
    <w:family w:val="auto"/>
    <w:pitch w:val="default"/>
    <w:sig w:usb0="800002BF" w:usb1="38CF7CFA" w:usb2="00000016" w:usb3="00000000" w:csb0="00040001" w:csb1="00000000"/>
    <w:embedRegular r:id="rId3" w:fontKey="{D074CF45-48F9-4689-8E5F-3DF68F86DA4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embedRegular r:id="rId4" w:fontKey="{57CB83E2-A2BD-4591-A6E8-619529A8E17C}"/>
  </w:font>
  <w:font w:name="Calibri">
    <w:panose1 w:val="020F0502020204030204"/>
    <w:charset w:val="00"/>
    <w:family w:val="swiss"/>
    <w:pitch w:val="default"/>
    <w:sig w:usb0="E4002EFF" w:usb1="C200247B" w:usb2="00000009" w:usb3="00000000" w:csb0="200001FF" w:csb1="00000000"/>
    <w:embedRegular r:id="rId5" w:fontKey="{990D8F26-0858-4B06-96E8-1308AA7C81D6}"/>
  </w:font>
  <w:font w:name="幼圆">
    <w:altName w:val="宋体"/>
    <w:panose1 w:val="02010509060101010101"/>
    <w:charset w:val="86"/>
    <w:family w:val="modern"/>
    <w:pitch w:val="default"/>
    <w:sig w:usb0="00000000" w:usb1="00000000" w:usb2="00000000" w:usb3="00000000" w:csb0="00040000" w:csb1="00000000"/>
  </w:font>
  <w:font w:name="楷体_GB2312">
    <w:altName w:val="楷体"/>
    <w:panose1 w:val="00000000000000000000"/>
    <w:charset w:val="00"/>
    <w:family w:val="auto"/>
    <w:pitch w:val="default"/>
    <w:sig w:usb0="00000000"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
    <w:panose1 w:val="02010609060101010101"/>
    <w:charset w:val="86"/>
    <w:family w:val="modern"/>
    <w:pitch w:val="default"/>
    <w:sig w:usb0="800002BF" w:usb1="38CF7CFA" w:usb2="00000016" w:usb3="00000000" w:csb0="00040001" w:csb1="00000000"/>
    <w:embedRegular r:id="rId6" w:fontKey="{071A1E82-39F9-4BDE-B6FA-84FCE86D7505}"/>
  </w:font>
  <w:font w:name="仿宋_GB2312">
    <w:altName w:val="仿宋"/>
    <w:panose1 w:val="02010609030101010101"/>
    <w:charset w:val="86"/>
    <w:family w:val="modern"/>
    <w:pitch w:val="default"/>
    <w:sig w:usb0="00000001" w:usb1="080E0000" w:usb2="00000000" w:usb3="00000000" w:csb0="00040000" w:csb1="00000000"/>
    <w:embedRegular r:id="rId7" w:fontKey="{687E5F47-B5E7-4740-8369-760AA0A86D10}"/>
  </w:font>
  <w:font w:name="方正小标宋简体">
    <w:altName w:val="黑体"/>
    <w:panose1 w:val="03000509000000000000"/>
    <w:charset w:val="86"/>
    <w:family w:val="auto"/>
    <w:pitch w:val="default"/>
    <w:sig w:usb0="00000000" w:usb1="00000000" w:usb2="00000000" w:usb3="00000000" w:csb0="00040000" w:csb1="00000000"/>
    <w:embedRegular r:id="rId8" w:fontKey="{9893E641-72A2-4601-AE29-4C75876F0005}"/>
  </w:font>
  <w:font w:name="Arial">
    <w:panose1 w:val="020B0604020202020204"/>
    <w:charset w:val="00"/>
    <w:family w:val="auto"/>
    <w:pitch w:val="default"/>
    <w:sig w:usb0="E0002EFF" w:usb1="C000785B" w:usb2="00000009" w:usb3="00000000" w:csb0="400001FF" w:csb1="FFFF0000"/>
    <w:embedRegular r:id="rId9" w:fontKey="{6F90F987-210D-46E8-8683-1F9412A46EC4}"/>
  </w:font>
  <w:font w:name="WPSEMBED1">
    <w:panose1 w:val="02010609030101010101"/>
    <w:charset w:val="86"/>
    <w:family w:val="auto"/>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439EEF50">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FE18CE">
    <w:pPr>
      <w:pStyle w:val="2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59B631">
    <w:pPr>
      <w:pStyle w:val="22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79C8E473">
                          <w:pPr>
                            <w:pStyle w:val="224"/>
                            <w:tabs>
                              <w:tab w:val="clear" w:pos="4153"/>
                              <w:tab w:val="clear" w:pos="8306"/>
                            </w:tabs>
                          </w:pPr>
                          <w:r>
                            <w:fldChar w:fldCharType="begin"/>
                          </w:r>
                          <w:r>
                            <w:instrText xml:space="preserve"> PAGE  \* MERGEFORMAT </w:instrText>
                          </w:r>
                          <w:r>
                            <w:fldChar w:fldCharType="separate"/>
                          </w:r>
                          <w:r>
                            <w:t>20</w:t>
                          </w:r>
                          <w:r>
                            <w:fldChar w:fldCharType="end"/>
                          </w:r>
                        </w:p>
                        <w:p w14:paraId="4A45EDF7"/>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ByxJBTcAQAAsQMAAA4AAAAA&#10;AAAAAQAgAAAAIgEAAGRycy9lMm9Eb2MueG1sUEsFBgAAAAAGAAYAWQEAAHAFAAAAAA==&#10;">
              <v:fill on="f" focussize="0,0"/>
              <v:stroke on="f" weight="1.25pt"/>
              <v:imagedata o:title=""/>
              <o:lock v:ext="edit" aspectratio="f"/>
              <v:textbox inset="0mm,0mm,0mm,0mm" style="mso-fit-shape-to-text:t;">
                <w:txbxContent>
                  <w:p w14:paraId="79C8E473">
                    <w:pPr>
                      <w:pStyle w:val="224"/>
                      <w:tabs>
                        <w:tab w:val="clear" w:pos="4153"/>
                        <w:tab w:val="clear" w:pos="8306"/>
                      </w:tabs>
                    </w:pPr>
                    <w:r>
                      <w:fldChar w:fldCharType="begin"/>
                    </w:r>
                    <w:r>
                      <w:instrText xml:space="preserve"> PAGE  \* MERGEFORMAT </w:instrText>
                    </w:r>
                    <w:r>
                      <w:fldChar w:fldCharType="separate"/>
                    </w:r>
                    <w:r>
                      <w:t>20</w:t>
                    </w:r>
                    <w:r>
                      <w:fldChar w:fldCharType="end"/>
                    </w:r>
                  </w:p>
                  <w:p w14:paraId="4A45EDF7"/>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9AA56F">
    <w:pPr>
      <w:pStyle w:val="2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97485" cy="20256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97485" cy="2025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1CB29E">
                          <w:pPr>
                            <w:pStyle w:val="24"/>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15.95pt;width:15.55pt;mso-position-horizontal:center;mso-position-horizontal-relative:margin;z-index:251660288;mso-width-relative:page;mso-height-relative:page;" filled="f" stroked="f" coordsize="21600,21600" o:gfxdata="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0SbIU9IAAAADAQAADwAAAAAAAAABACAAAAAiAAAAZHJzL2Rvd25yZXYueG1sUEsBAhQA&#10;FAAAAAgAh07iQBOVeigxAgAAVQQAAA4AAAAAAAAAAQAgAAAAIQEAAGRycy9lMm9Eb2MueG1sUEsF&#10;BgAAAAAGAAYAWQEAAMQFAAAAAA==&#10;">
              <v:fill on="f" focussize="0,0"/>
              <v:stroke on="f" weight="0.5pt"/>
              <v:imagedata o:title=""/>
              <o:lock v:ext="edit" aspectratio="f"/>
              <v:textbox inset="0mm,0mm,0mm,0mm">
                <w:txbxContent>
                  <w:p w14:paraId="2A1CB29E">
                    <w:pPr>
                      <w:pStyle w:val="24"/>
                    </w:pPr>
                    <w:r>
                      <w:fldChar w:fldCharType="begin"/>
                    </w:r>
                    <w:r>
                      <w:instrText xml:space="preserve"> PAGE  \* MERGEFORMAT </w:instrText>
                    </w:r>
                    <w:r>
                      <w:fldChar w:fldCharType="separate"/>
                    </w:r>
                    <w:r>
                      <w:t>50</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4C6CE5"/>
    <w:multiLevelType w:val="singleLevel"/>
    <w:tmpl w:val="9F4C6CE5"/>
    <w:lvl w:ilvl="0" w:tentative="0">
      <w:start w:val="4"/>
      <w:numFmt w:val="chineseCounting"/>
      <w:suff w:val="nothing"/>
      <w:lvlText w:val="%1、"/>
      <w:lvlJc w:val="left"/>
      <w:rPr>
        <w:rFonts w:hint="eastAsia"/>
      </w:rPr>
    </w:lvl>
  </w:abstractNum>
  <w:abstractNum w:abstractNumId="1">
    <w:nsid w:val="25B654F3"/>
    <w:multiLevelType w:val="multilevel"/>
    <w:tmpl w:val="25B654F3"/>
    <w:lvl w:ilvl="0" w:tentative="0">
      <w:start w:val="1"/>
      <w:numFmt w:val="decimal"/>
      <w:suff w:val="nothing"/>
      <w:lvlText w:val="%1、"/>
      <w:lvlJc w:val="left"/>
      <w:rPr>
        <w:rFonts w:ascii="宋体" w:hAnsi="宋体" w:eastAsia="宋体" w:cs="宋体"/>
        <w:b w:val="0"/>
        <w:bCs w:val="0"/>
        <w:sz w:val="24"/>
        <w:szCs w:val="24"/>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72183CF9"/>
    <w:multiLevelType w:val="multilevel"/>
    <w:tmpl w:val="72183CF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documentProtection w:enforcement="0"/>
  <w:defaultTabStop w:val="709"/>
  <w:noPunctuationKerning w:val="1"/>
  <w:characterSpacingControl w:val="doNotCompress"/>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0C3"/>
    <w:rsid w:val="00011260"/>
    <w:rsid w:val="0003774A"/>
    <w:rsid w:val="00174D10"/>
    <w:rsid w:val="001D2706"/>
    <w:rsid w:val="0022119E"/>
    <w:rsid w:val="002414A0"/>
    <w:rsid w:val="002A2745"/>
    <w:rsid w:val="003011A5"/>
    <w:rsid w:val="00382603"/>
    <w:rsid w:val="003B3AE1"/>
    <w:rsid w:val="003B604B"/>
    <w:rsid w:val="003F16BE"/>
    <w:rsid w:val="004164C8"/>
    <w:rsid w:val="00453DC7"/>
    <w:rsid w:val="004A7D67"/>
    <w:rsid w:val="00520B0B"/>
    <w:rsid w:val="005361A3"/>
    <w:rsid w:val="00537FF9"/>
    <w:rsid w:val="005E31E9"/>
    <w:rsid w:val="005F045E"/>
    <w:rsid w:val="00656E53"/>
    <w:rsid w:val="00673A7B"/>
    <w:rsid w:val="006D70A7"/>
    <w:rsid w:val="006E44BE"/>
    <w:rsid w:val="00726CBE"/>
    <w:rsid w:val="0073167E"/>
    <w:rsid w:val="00740342"/>
    <w:rsid w:val="00773C7C"/>
    <w:rsid w:val="007C70C3"/>
    <w:rsid w:val="00A528A2"/>
    <w:rsid w:val="00B06E28"/>
    <w:rsid w:val="00B33530"/>
    <w:rsid w:val="00B52B5F"/>
    <w:rsid w:val="00B5382D"/>
    <w:rsid w:val="00BD5BA7"/>
    <w:rsid w:val="00BE5772"/>
    <w:rsid w:val="00BE6A5B"/>
    <w:rsid w:val="00BF6F71"/>
    <w:rsid w:val="00BF7868"/>
    <w:rsid w:val="00CE1E24"/>
    <w:rsid w:val="00D2355E"/>
    <w:rsid w:val="00D90FEE"/>
    <w:rsid w:val="00D94DE1"/>
    <w:rsid w:val="00DE411E"/>
    <w:rsid w:val="00E80370"/>
    <w:rsid w:val="00F16F62"/>
    <w:rsid w:val="00F92B9F"/>
    <w:rsid w:val="010A29DC"/>
    <w:rsid w:val="01967DCC"/>
    <w:rsid w:val="01FD609D"/>
    <w:rsid w:val="01FE2C99"/>
    <w:rsid w:val="02C137B0"/>
    <w:rsid w:val="031A5554"/>
    <w:rsid w:val="037405E1"/>
    <w:rsid w:val="04180F6C"/>
    <w:rsid w:val="04293179"/>
    <w:rsid w:val="049752DD"/>
    <w:rsid w:val="04AD3DAA"/>
    <w:rsid w:val="04B64A7E"/>
    <w:rsid w:val="04BB62A8"/>
    <w:rsid w:val="04E050B2"/>
    <w:rsid w:val="0532605E"/>
    <w:rsid w:val="056C5A14"/>
    <w:rsid w:val="057C20A4"/>
    <w:rsid w:val="05CC64B2"/>
    <w:rsid w:val="05EC26B0"/>
    <w:rsid w:val="0661309E"/>
    <w:rsid w:val="066A1827"/>
    <w:rsid w:val="066F6E3E"/>
    <w:rsid w:val="06B86A37"/>
    <w:rsid w:val="06DE297D"/>
    <w:rsid w:val="070E2AFA"/>
    <w:rsid w:val="071C5217"/>
    <w:rsid w:val="0737494B"/>
    <w:rsid w:val="074D53D1"/>
    <w:rsid w:val="08332819"/>
    <w:rsid w:val="08BB69AE"/>
    <w:rsid w:val="08DC019D"/>
    <w:rsid w:val="08DF02AB"/>
    <w:rsid w:val="08F55D20"/>
    <w:rsid w:val="09304FAA"/>
    <w:rsid w:val="0A1B3564"/>
    <w:rsid w:val="0B316C9B"/>
    <w:rsid w:val="0C801DA5"/>
    <w:rsid w:val="0D1D5845"/>
    <w:rsid w:val="0D272220"/>
    <w:rsid w:val="0D3C216F"/>
    <w:rsid w:val="0E71575C"/>
    <w:rsid w:val="0E884F40"/>
    <w:rsid w:val="0EA0228A"/>
    <w:rsid w:val="0EBC363A"/>
    <w:rsid w:val="0ED2440E"/>
    <w:rsid w:val="0EF95E3E"/>
    <w:rsid w:val="0FB57929"/>
    <w:rsid w:val="0FE4264A"/>
    <w:rsid w:val="10036F74"/>
    <w:rsid w:val="101316CB"/>
    <w:rsid w:val="10142F30"/>
    <w:rsid w:val="10572D77"/>
    <w:rsid w:val="111C4E7A"/>
    <w:rsid w:val="114A2981"/>
    <w:rsid w:val="11D5049D"/>
    <w:rsid w:val="11FC3C7B"/>
    <w:rsid w:val="123A0C48"/>
    <w:rsid w:val="126D2DCB"/>
    <w:rsid w:val="12D93FBD"/>
    <w:rsid w:val="12E0084E"/>
    <w:rsid w:val="12E116D5"/>
    <w:rsid w:val="13394A5B"/>
    <w:rsid w:val="13C72D3C"/>
    <w:rsid w:val="14832432"/>
    <w:rsid w:val="1530464E"/>
    <w:rsid w:val="156102B8"/>
    <w:rsid w:val="1609105D"/>
    <w:rsid w:val="16A11295"/>
    <w:rsid w:val="16DE1346"/>
    <w:rsid w:val="170D3471"/>
    <w:rsid w:val="1784740E"/>
    <w:rsid w:val="17936E30"/>
    <w:rsid w:val="18D47700"/>
    <w:rsid w:val="18E3544F"/>
    <w:rsid w:val="18E702C9"/>
    <w:rsid w:val="18FF0FF2"/>
    <w:rsid w:val="19CF2F48"/>
    <w:rsid w:val="19EE2A43"/>
    <w:rsid w:val="1A310B82"/>
    <w:rsid w:val="1AC15A62"/>
    <w:rsid w:val="1AF37BE5"/>
    <w:rsid w:val="1D535797"/>
    <w:rsid w:val="1D6B7F07"/>
    <w:rsid w:val="1DF93765"/>
    <w:rsid w:val="1E5729D0"/>
    <w:rsid w:val="1E62755C"/>
    <w:rsid w:val="1E7814A7"/>
    <w:rsid w:val="1ECE699F"/>
    <w:rsid w:val="1F122D30"/>
    <w:rsid w:val="1F1C0DD2"/>
    <w:rsid w:val="206A0BA7"/>
    <w:rsid w:val="20A57BD4"/>
    <w:rsid w:val="21004E0A"/>
    <w:rsid w:val="212705E9"/>
    <w:rsid w:val="21845A3B"/>
    <w:rsid w:val="21CB71C6"/>
    <w:rsid w:val="223034CD"/>
    <w:rsid w:val="22E95145"/>
    <w:rsid w:val="232638A1"/>
    <w:rsid w:val="2391082F"/>
    <w:rsid w:val="23CC456F"/>
    <w:rsid w:val="24294678"/>
    <w:rsid w:val="246F29D3"/>
    <w:rsid w:val="24D9609E"/>
    <w:rsid w:val="24E8008F"/>
    <w:rsid w:val="24EA579D"/>
    <w:rsid w:val="25BA5ED0"/>
    <w:rsid w:val="260D24A3"/>
    <w:rsid w:val="264C3087"/>
    <w:rsid w:val="26AA7CF2"/>
    <w:rsid w:val="26DD1E76"/>
    <w:rsid w:val="27015E22"/>
    <w:rsid w:val="270C62B7"/>
    <w:rsid w:val="270D0281"/>
    <w:rsid w:val="27435A51"/>
    <w:rsid w:val="279D58ED"/>
    <w:rsid w:val="27BA3720"/>
    <w:rsid w:val="27CB5F35"/>
    <w:rsid w:val="27D112AE"/>
    <w:rsid w:val="2852419D"/>
    <w:rsid w:val="28EA2584"/>
    <w:rsid w:val="28EF7C3E"/>
    <w:rsid w:val="294F445E"/>
    <w:rsid w:val="295D54F0"/>
    <w:rsid w:val="298957BD"/>
    <w:rsid w:val="299F1898"/>
    <w:rsid w:val="29B249C4"/>
    <w:rsid w:val="29EC061F"/>
    <w:rsid w:val="2A3325E4"/>
    <w:rsid w:val="2A704DAF"/>
    <w:rsid w:val="2A705F20"/>
    <w:rsid w:val="2AE15CAC"/>
    <w:rsid w:val="2AE9690F"/>
    <w:rsid w:val="2B1F5CB6"/>
    <w:rsid w:val="2B91392E"/>
    <w:rsid w:val="2BBE0747"/>
    <w:rsid w:val="2C043A01"/>
    <w:rsid w:val="2C245E51"/>
    <w:rsid w:val="2C3818FC"/>
    <w:rsid w:val="2CDC2BCF"/>
    <w:rsid w:val="2CE101E6"/>
    <w:rsid w:val="2D095047"/>
    <w:rsid w:val="2D300825"/>
    <w:rsid w:val="2E9C1044"/>
    <w:rsid w:val="2EA70616"/>
    <w:rsid w:val="2EC4391B"/>
    <w:rsid w:val="2F745341"/>
    <w:rsid w:val="2FAD43AF"/>
    <w:rsid w:val="2FF124EE"/>
    <w:rsid w:val="30000983"/>
    <w:rsid w:val="30E262DA"/>
    <w:rsid w:val="313905F0"/>
    <w:rsid w:val="3152520E"/>
    <w:rsid w:val="31701B38"/>
    <w:rsid w:val="318B24CE"/>
    <w:rsid w:val="31905D36"/>
    <w:rsid w:val="31AF08B2"/>
    <w:rsid w:val="31B00187"/>
    <w:rsid w:val="31C854D0"/>
    <w:rsid w:val="31CD7D85"/>
    <w:rsid w:val="32327209"/>
    <w:rsid w:val="32F3657D"/>
    <w:rsid w:val="330E785B"/>
    <w:rsid w:val="332826CA"/>
    <w:rsid w:val="338D3D76"/>
    <w:rsid w:val="33BE4DDD"/>
    <w:rsid w:val="33E83C08"/>
    <w:rsid w:val="34003E18"/>
    <w:rsid w:val="344277BC"/>
    <w:rsid w:val="352D676C"/>
    <w:rsid w:val="35696FCA"/>
    <w:rsid w:val="35D308DD"/>
    <w:rsid w:val="35E6631F"/>
    <w:rsid w:val="366F23BE"/>
    <w:rsid w:val="370E7E29"/>
    <w:rsid w:val="378A2E2C"/>
    <w:rsid w:val="38060B00"/>
    <w:rsid w:val="397877DC"/>
    <w:rsid w:val="399651CC"/>
    <w:rsid w:val="39985FFF"/>
    <w:rsid w:val="3A815991"/>
    <w:rsid w:val="3B950B19"/>
    <w:rsid w:val="3B9528C7"/>
    <w:rsid w:val="3BED2703"/>
    <w:rsid w:val="3BF375EE"/>
    <w:rsid w:val="3C8D359E"/>
    <w:rsid w:val="3D031AB2"/>
    <w:rsid w:val="3D84116E"/>
    <w:rsid w:val="3DE93535"/>
    <w:rsid w:val="3DE96EFA"/>
    <w:rsid w:val="3E39391E"/>
    <w:rsid w:val="3E52684D"/>
    <w:rsid w:val="3E570308"/>
    <w:rsid w:val="3E78202C"/>
    <w:rsid w:val="3EA572C5"/>
    <w:rsid w:val="3F0F2990"/>
    <w:rsid w:val="3F1C5008"/>
    <w:rsid w:val="40300E10"/>
    <w:rsid w:val="404228F2"/>
    <w:rsid w:val="406805AA"/>
    <w:rsid w:val="40CE4A65"/>
    <w:rsid w:val="40F57964"/>
    <w:rsid w:val="412F2E76"/>
    <w:rsid w:val="41BC4090"/>
    <w:rsid w:val="41C76F63"/>
    <w:rsid w:val="41CE1D04"/>
    <w:rsid w:val="41EF257E"/>
    <w:rsid w:val="41F45E6E"/>
    <w:rsid w:val="423170C2"/>
    <w:rsid w:val="42F36125"/>
    <w:rsid w:val="43016A94"/>
    <w:rsid w:val="43566DE0"/>
    <w:rsid w:val="44952F58"/>
    <w:rsid w:val="44CE67D1"/>
    <w:rsid w:val="44E4041B"/>
    <w:rsid w:val="451313F6"/>
    <w:rsid w:val="45FE72BB"/>
    <w:rsid w:val="4638488F"/>
    <w:rsid w:val="469B0FAE"/>
    <w:rsid w:val="46C16C66"/>
    <w:rsid w:val="47E155E4"/>
    <w:rsid w:val="48853CC3"/>
    <w:rsid w:val="48E21116"/>
    <w:rsid w:val="48E376BD"/>
    <w:rsid w:val="491B0C26"/>
    <w:rsid w:val="49296D45"/>
    <w:rsid w:val="493A7112"/>
    <w:rsid w:val="498B5309"/>
    <w:rsid w:val="49CA4084"/>
    <w:rsid w:val="49F17862"/>
    <w:rsid w:val="4AF9077E"/>
    <w:rsid w:val="4B0B4954"/>
    <w:rsid w:val="4B4F786C"/>
    <w:rsid w:val="4BC62629"/>
    <w:rsid w:val="4BD42F98"/>
    <w:rsid w:val="4C393BE8"/>
    <w:rsid w:val="4C63273B"/>
    <w:rsid w:val="4C7E2F03"/>
    <w:rsid w:val="4DCD5EF0"/>
    <w:rsid w:val="4EB86BA1"/>
    <w:rsid w:val="4EE41C2E"/>
    <w:rsid w:val="4EFE3A16"/>
    <w:rsid w:val="4FA233AD"/>
    <w:rsid w:val="4FD712A8"/>
    <w:rsid w:val="4FEB4D54"/>
    <w:rsid w:val="50A37DF3"/>
    <w:rsid w:val="50C51101"/>
    <w:rsid w:val="50C53BB8"/>
    <w:rsid w:val="51422751"/>
    <w:rsid w:val="51FB21F4"/>
    <w:rsid w:val="520957B0"/>
    <w:rsid w:val="521E24E7"/>
    <w:rsid w:val="52BD2D6A"/>
    <w:rsid w:val="52D40070"/>
    <w:rsid w:val="53110296"/>
    <w:rsid w:val="5345477B"/>
    <w:rsid w:val="54A86D6F"/>
    <w:rsid w:val="54E4423A"/>
    <w:rsid w:val="55760C1C"/>
    <w:rsid w:val="55D6223F"/>
    <w:rsid w:val="55E26EC3"/>
    <w:rsid w:val="56170651"/>
    <w:rsid w:val="56290384"/>
    <w:rsid w:val="56505911"/>
    <w:rsid w:val="573963A5"/>
    <w:rsid w:val="57BB325E"/>
    <w:rsid w:val="57D367F9"/>
    <w:rsid w:val="588819C1"/>
    <w:rsid w:val="589110F9"/>
    <w:rsid w:val="58C93758"/>
    <w:rsid w:val="58DF4D2A"/>
    <w:rsid w:val="591744C4"/>
    <w:rsid w:val="59613991"/>
    <w:rsid w:val="599F7074"/>
    <w:rsid w:val="5A1241F2"/>
    <w:rsid w:val="5A8E4C59"/>
    <w:rsid w:val="5AE34FA5"/>
    <w:rsid w:val="5B4044D2"/>
    <w:rsid w:val="5C9705B5"/>
    <w:rsid w:val="5D1F7DEB"/>
    <w:rsid w:val="5D3065E9"/>
    <w:rsid w:val="5D325D70"/>
    <w:rsid w:val="5D3F5111"/>
    <w:rsid w:val="5D414205"/>
    <w:rsid w:val="5D616655"/>
    <w:rsid w:val="5DBF0709"/>
    <w:rsid w:val="5DCB3ACF"/>
    <w:rsid w:val="5E4C4C10"/>
    <w:rsid w:val="5E4F64AE"/>
    <w:rsid w:val="5EC778D4"/>
    <w:rsid w:val="5F3A3A12"/>
    <w:rsid w:val="5FB131D2"/>
    <w:rsid w:val="5FC6687A"/>
    <w:rsid w:val="5FDC0215"/>
    <w:rsid w:val="601D6507"/>
    <w:rsid w:val="60822B6A"/>
    <w:rsid w:val="608664B2"/>
    <w:rsid w:val="60B757D5"/>
    <w:rsid w:val="60CF1B28"/>
    <w:rsid w:val="60DF620F"/>
    <w:rsid w:val="60F057B0"/>
    <w:rsid w:val="61486AA4"/>
    <w:rsid w:val="624F1172"/>
    <w:rsid w:val="62935DB1"/>
    <w:rsid w:val="62946B14"/>
    <w:rsid w:val="6311467A"/>
    <w:rsid w:val="631657EC"/>
    <w:rsid w:val="63316ACA"/>
    <w:rsid w:val="634618F9"/>
    <w:rsid w:val="63936E3D"/>
    <w:rsid w:val="639704E6"/>
    <w:rsid w:val="63A27DA3"/>
    <w:rsid w:val="641F05FE"/>
    <w:rsid w:val="642D7291"/>
    <w:rsid w:val="64656A2B"/>
    <w:rsid w:val="64B11C70"/>
    <w:rsid w:val="65122A08"/>
    <w:rsid w:val="65474383"/>
    <w:rsid w:val="65647CCC"/>
    <w:rsid w:val="663710E0"/>
    <w:rsid w:val="66E7201D"/>
    <w:rsid w:val="670D4A21"/>
    <w:rsid w:val="675B4115"/>
    <w:rsid w:val="678216A2"/>
    <w:rsid w:val="678836E9"/>
    <w:rsid w:val="67CA2B7C"/>
    <w:rsid w:val="67E91721"/>
    <w:rsid w:val="68000819"/>
    <w:rsid w:val="68306221"/>
    <w:rsid w:val="689B6CEA"/>
    <w:rsid w:val="68B24209"/>
    <w:rsid w:val="68D423D1"/>
    <w:rsid w:val="692F13B6"/>
    <w:rsid w:val="6931512E"/>
    <w:rsid w:val="695232F6"/>
    <w:rsid w:val="6A700331"/>
    <w:rsid w:val="6AE33AB4"/>
    <w:rsid w:val="6B317F9D"/>
    <w:rsid w:val="6BC06C3D"/>
    <w:rsid w:val="6BDF5315"/>
    <w:rsid w:val="6BE20961"/>
    <w:rsid w:val="6C21529E"/>
    <w:rsid w:val="6C785AF0"/>
    <w:rsid w:val="6CA420BB"/>
    <w:rsid w:val="6CDA3D2E"/>
    <w:rsid w:val="6D1E50B6"/>
    <w:rsid w:val="6D4B15EF"/>
    <w:rsid w:val="6E557B10"/>
    <w:rsid w:val="6E5968C3"/>
    <w:rsid w:val="6EA2087C"/>
    <w:rsid w:val="6EAE01D8"/>
    <w:rsid w:val="6F347726"/>
    <w:rsid w:val="6FEF5D43"/>
    <w:rsid w:val="70384FF4"/>
    <w:rsid w:val="70457711"/>
    <w:rsid w:val="707237E2"/>
    <w:rsid w:val="70730722"/>
    <w:rsid w:val="70983CE4"/>
    <w:rsid w:val="70B86DF1"/>
    <w:rsid w:val="70C26FB3"/>
    <w:rsid w:val="70D02C72"/>
    <w:rsid w:val="70FF2DCA"/>
    <w:rsid w:val="71A861A9"/>
    <w:rsid w:val="71C762D9"/>
    <w:rsid w:val="72534367"/>
    <w:rsid w:val="725F4256"/>
    <w:rsid w:val="72907369"/>
    <w:rsid w:val="72E2393D"/>
    <w:rsid w:val="72F53670"/>
    <w:rsid w:val="73403702"/>
    <w:rsid w:val="73915655"/>
    <w:rsid w:val="73C363C9"/>
    <w:rsid w:val="7410041A"/>
    <w:rsid w:val="74714F78"/>
    <w:rsid w:val="74C92C78"/>
    <w:rsid w:val="75120509"/>
    <w:rsid w:val="753328B9"/>
    <w:rsid w:val="753B0061"/>
    <w:rsid w:val="754D5C67"/>
    <w:rsid w:val="755F2CCE"/>
    <w:rsid w:val="75BF1D13"/>
    <w:rsid w:val="76654669"/>
    <w:rsid w:val="766E5C13"/>
    <w:rsid w:val="77C74EAF"/>
    <w:rsid w:val="77D84051"/>
    <w:rsid w:val="77FE4D75"/>
    <w:rsid w:val="780B1240"/>
    <w:rsid w:val="7821232C"/>
    <w:rsid w:val="786D24FD"/>
    <w:rsid w:val="788130DA"/>
    <w:rsid w:val="78AC2A23"/>
    <w:rsid w:val="78C064CE"/>
    <w:rsid w:val="78E71CAD"/>
    <w:rsid w:val="78FD327E"/>
    <w:rsid w:val="793547C6"/>
    <w:rsid w:val="798E3290"/>
    <w:rsid w:val="79D21E6C"/>
    <w:rsid w:val="79D8066B"/>
    <w:rsid w:val="79EB757B"/>
    <w:rsid w:val="79FE4F36"/>
    <w:rsid w:val="7A472D93"/>
    <w:rsid w:val="7A792DD8"/>
    <w:rsid w:val="7ACF29F8"/>
    <w:rsid w:val="7B917CAE"/>
    <w:rsid w:val="7BC40083"/>
    <w:rsid w:val="7BC462D5"/>
    <w:rsid w:val="7BFF2E69"/>
    <w:rsid w:val="7C5B205F"/>
    <w:rsid w:val="7C661A55"/>
    <w:rsid w:val="7CE309DD"/>
    <w:rsid w:val="7D32101D"/>
    <w:rsid w:val="7D427398"/>
    <w:rsid w:val="7D4C20DE"/>
    <w:rsid w:val="7D891584"/>
    <w:rsid w:val="7DA30042"/>
    <w:rsid w:val="7E0D0DF7"/>
    <w:rsid w:val="7E1C7D03"/>
    <w:rsid w:val="7E4D5916"/>
    <w:rsid w:val="7E503E50"/>
    <w:rsid w:val="7E5B46A5"/>
    <w:rsid w:val="7EA87C4F"/>
    <w:rsid w:val="7EAB1087"/>
    <w:rsid w:val="7EBE068F"/>
    <w:rsid w:val="7EF17DA9"/>
    <w:rsid w:val="7F567244"/>
    <w:rsid w:val="7F9D1317"/>
    <w:rsid w:val="7FE17456"/>
    <w:rsid w:val="7FEA3E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sz w:val="21"/>
      <w:szCs w:val="22"/>
      <w:lang w:val="en-US" w:eastAsia="zh-CN" w:bidi="ar-SA"/>
    </w:rPr>
  </w:style>
  <w:style w:type="paragraph" w:styleId="2">
    <w:name w:val="heading 1"/>
    <w:next w:val="1"/>
    <w:link w:val="82"/>
    <w:qFormat/>
    <w:uiPriority w:val="9"/>
    <w:pPr>
      <w:keepNext/>
      <w:keepLines/>
      <w:spacing w:before="480" w:after="200"/>
      <w:outlineLvl w:val="0"/>
    </w:pPr>
    <w:rPr>
      <w:rFonts w:ascii="Arial" w:hAnsi="Arial" w:eastAsia="Arial" w:cs="Arial"/>
      <w:sz w:val="40"/>
      <w:szCs w:val="40"/>
      <w:lang w:val="en-US" w:eastAsia="zh-CN" w:bidi="ar-SA"/>
    </w:rPr>
  </w:style>
  <w:style w:type="paragraph" w:styleId="3">
    <w:name w:val="heading 2"/>
    <w:next w:val="1"/>
    <w:link w:val="83"/>
    <w:unhideWhenUsed/>
    <w:qFormat/>
    <w:uiPriority w:val="9"/>
    <w:pPr>
      <w:keepNext/>
      <w:keepLines/>
      <w:spacing w:before="360" w:after="200"/>
      <w:outlineLvl w:val="1"/>
    </w:pPr>
    <w:rPr>
      <w:rFonts w:ascii="Arial" w:hAnsi="Arial" w:eastAsia="Arial" w:cs="Arial"/>
      <w:sz w:val="34"/>
      <w:szCs w:val="22"/>
      <w:lang w:val="en-US" w:eastAsia="zh-CN" w:bidi="ar-SA"/>
    </w:rPr>
  </w:style>
  <w:style w:type="paragraph" w:styleId="4">
    <w:name w:val="heading 3"/>
    <w:next w:val="1"/>
    <w:link w:val="84"/>
    <w:unhideWhenUsed/>
    <w:qFormat/>
    <w:uiPriority w:val="9"/>
    <w:pPr>
      <w:keepNext/>
      <w:keepLines/>
      <w:spacing w:before="320" w:after="200"/>
      <w:outlineLvl w:val="2"/>
    </w:pPr>
    <w:rPr>
      <w:rFonts w:ascii="Arial" w:hAnsi="Arial" w:eastAsia="Arial" w:cs="Arial"/>
      <w:sz w:val="30"/>
      <w:szCs w:val="30"/>
      <w:lang w:val="en-US" w:eastAsia="zh-CN" w:bidi="ar-SA"/>
    </w:rPr>
  </w:style>
  <w:style w:type="paragraph" w:styleId="5">
    <w:name w:val="heading 4"/>
    <w:basedOn w:val="1"/>
    <w:next w:val="6"/>
    <w:link w:val="85"/>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next w:val="1"/>
    <w:link w:val="86"/>
    <w:unhideWhenUsed/>
    <w:qFormat/>
    <w:uiPriority w:val="9"/>
    <w:pPr>
      <w:keepNext/>
      <w:keepLines/>
      <w:spacing w:before="320" w:after="200"/>
      <w:outlineLvl w:val="4"/>
    </w:pPr>
    <w:rPr>
      <w:rFonts w:ascii="Arial" w:hAnsi="Arial" w:eastAsia="Arial" w:cs="Arial"/>
      <w:b/>
      <w:bCs/>
      <w:sz w:val="24"/>
      <w:szCs w:val="24"/>
      <w:lang w:val="en-US" w:eastAsia="zh-CN" w:bidi="ar-SA"/>
    </w:rPr>
  </w:style>
  <w:style w:type="paragraph" w:styleId="8">
    <w:name w:val="heading 6"/>
    <w:next w:val="1"/>
    <w:link w:val="87"/>
    <w:unhideWhenUsed/>
    <w:qFormat/>
    <w:uiPriority w:val="9"/>
    <w:pPr>
      <w:keepNext/>
      <w:keepLines/>
      <w:spacing w:before="320" w:after="200"/>
      <w:outlineLvl w:val="5"/>
    </w:pPr>
    <w:rPr>
      <w:rFonts w:ascii="Arial" w:hAnsi="Arial" w:eastAsia="Arial" w:cs="Arial"/>
      <w:b/>
      <w:bCs/>
      <w:sz w:val="22"/>
      <w:szCs w:val="22"/>
      <w:lang w:val="en-US" w:eastAsia="zh-CN" w:bidi="ar-SA"/>
    </w:rPr>
  </w:style>
  <w:style w:type="paragraph" w:styleId="9">
    <w:name w:val="heading 7"/>
    <w:next w:val="1"/>
    <w:link w:val="88"/>
    <w:unhideWhenUsed/>
    <w:qFormat/>
    <w:uiPriority w:val="9"/>
    <w:pPr>
      <w:keepNext/>
      <w:keepLines/>
      <w:spacing w:before="320" w:after="200"/>
      <w:outlineLvl w:val="6"/>
    </w:pPr>
    <w:rPr>
      <w:rFonts w:ascii="Arial" w:hAnsi="Arial" w:eastAsia="Arial" w:cs="Arial"/>
      <w:b/>
      <w:bCs/>
      <w:i/>
      <w:iCs/>
      <w:sz w:val="22"/>
      <w:szCs w:val="22"/>
      <w:lang w:val="en-US" w:eastAsia="zh-CN" w:bidi="ar-SA"/>
    </w:rPr>
  </w:style>
  <w:style w:type="paragraph" w:styleId="10">
    <w:name w:val="heading 8"/>
    <w:next w:val="1"/>
    <w:link w:val="89"/>
    <w:unhideWhenUsed/>
    <w:qFormat/>
    <w:uiPriority w:val="9"/>
    <w:pPr>
      <w:keepNext/>
      <w:keepLines/>
      <w:spacing w:before="320" w:after="200"/>
      <w:outlineLvl w:val="7"/>
    </w:pPr>
    <w:rPr>
      <w:rFonts w:ascii="Arial" w:hAnsi="Arial" w:eastAsia="Arial" w:cs="Arial"/>
      <w:i/>
      <w:iCs/>
      <w:sz w:val="22"/>
      <w:szCs w:val="22"/>
      <w:lang w:val="en-US" w:eastAsia="zh-CN" w:bidi="ar-SA"/>
    </w:rPr>
  </w:style>
  <w:style w:type="paragraph" w:styleId="11">
    <w:name w:val="heading 9"/>
    <w:next w:val="1"/>
    <w:link w:val="90"/>
    <w:unhideWhenUsed/>
    <w:qFormat/>
    <w:uiPriority w:val="9"/>
    <w:pPr>
      <w:keepNext/>
      <w:keepLines/>
      <w:spacing w:before="320" w:after="200"/>
      <w:outlineLvl w:val="8"/>
    </w:pPr>
    <w:rPr>
      <w:rFonts w:ascii="Arial" w:hAnsi="Arial" w:eastAsia="Arial" w:cs="Arial"/>
      <w:i/>
      <w:iCs/>
      <w:sz w:val="21"/>
      <w:szCs w:val="21"/>
      <w:lang w:val="en-US" w:eastAsia="zh-CN" w:bidi="ar-SA"/>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6">
    <w:name w:val="Normal Indent"/>
    <w:basedOn w:val="1"/>
    <w:unhideWhenUsed/>
    <w:qFormat/>
    <w:uiPriority w:val="99"/>
    <w:pPr>
      <w:ind w:firstLine="420"/>
    </w:pPr>
    <w:rPr>
      <w:b/>
      <w:sz w:val="24"/>
    </w:rPr>
  </w:style>
  <w:style w:type="paragraph" w:styleId="12">
    <w:name w:val="toc 7"/>
    <w:next w:val="1"/>
    <w:unhideWhenUsed/>
    <w:qFormat/>
    <w:uiPriority w:val="39"/>
    <w:pPr>
      <w:spacing w:after="57"/>
      <w:ind w:left="1701"/>
    </w:pPr>
    <w:rPr>
      <w:rFonts w:asciiTheme="minorHAnsi" w:hAnsiTheme="minorHAnsi" w:eastAsiaTheme="minorEastAsia" w:cstheme="minorBidi"/>
      <w:sz w:val="21"/>
      <w:szCs w:val="22"/>
      <w:lang w:val="en-US" w:eastAsia="zh-CN" w:bidi="ar-SA"/>
    </w:rPr>
  </w:style>
  <w:style w:type="paragraph" w:styleId="13">
    <w:name w:val="caption"/>
    <w:next w:val="1"/>
    <w:semiHidden/>
    <w:unhideWhenUsed/>
    <w:qFormat/>
    <w:uiPriority w:val="35"/>
    <w:pPr>
      <w:spacing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14">
    <w:name w:val="annotation text"/>
    <w:basedOn w:val="1"/>
    <w:link w:val="214"/>
    <w:semiHidden/>
    <w:unhideWhenUsed/>
    <w:qFormat/>
    <w:uiPriority w:val="99"/>
  </w:style>
  <w:style w:type="paragraph" w:styleId="15">
    <w:name w:val="Body Text"/>
    <w:basedOn w:val="1"/>
    <w:unhideWhenUsed/>
    <w:qFormat/>
    <w:uiPriority w:val="99"/>
    <w:pPr>
      <w:jc w:val="center"/>
    </w:pPr>
    <w:rPr>
      <w:rFonts w:eastAsia="幼圆"/>
      <w:b/>
      <w:bCs/>
      <w:sz w:val="44"/>
    </w:rPr>
  </w:style>
  <w:style w:type="paragraph" w:styleId="16">
    <w:name w:val="Body Text Indent"/>
    <w:basedOn w:val="1"/>
    <w:next w:val="17"/>
    <w:qFormat/>
    <w:uiPriority w:val="0"/>
    <w:pPr>
      <w:ind w:firstLine="645"/>
    </w:pPr>
    <w:rPr>
      <w:rFonts w:ascii="楷体_GB2312" w:eastAsia="楷体_GB2312"/>
      <w:sz w:val="32"/>
      <w:szCs w:val="32"/>
    </w:rPr>
  </w:style>
  <w:style w:type="paragraph" w:styleId="17">
    <w:name w:val="envelope return"/>
    <w:basedOn w:val="1"/>
    <w:qFormat/>
    <w:uiPriority w:val="0"/>
    <w:pPr>
      <w:snapToGrid w:val="0"/>
    </w:pPr>
    <w:rPr>
      <w:rFonts w:ascii="Arial" w:hAnsi="Arial" w:cs="宋体"/>
    </w:rPr>
  </w:style>
  <w:style w:type="paragraph" w:styleId="18">
    <w:name w:val="Block Text"/>
    <w:basedOn w:val="1"/>
    <w:unhideWhenUsed/>
    <w:qFormat/>
    <w:uiPriority w:val="99"/>
    <w:pPr>
      <w:ind w:left="1440" w:leftChars="700" w:right="700" w:rightChars="700"/>
    </w:pPr>
    <w:rPr>
      <w:rFonts w:ascii="Verdana" w:hAnsi="Verdana" w:cs="Times New Roman"/>
      <w:szCs w:val="20"/>
    </w:rPr>
  </w:style>
  <w:style w:type="paragraph" w:styleId="19">
    <w:name w:val="toc 5"/>
    <w:next w:val="1"/>
    <w:unhideWhenUsed/>
    <w:qFormat/>
    <w:uiPriority w:val="39"/>
    <w:pPr>
      <w:spacing w:after="57"/>
      <w:ind w:left="1134"/>
    </w:pPr>
    <w:rPr>
      <w:rFonts w:asciiTheme="minorHAnsi" w:hAnsiTheme="minorHAnsi" w:eastAsiaTheme="minorEastAsia" w:cstheme="minorBidi"/>
      <w:sz w:val="21"/>
      <w:szCs w:val="22"/>
      <w:lang w:val="en-US" w:eastAsia="zh-CN" w:bidi="ar-SA"/>
    </w:rPr>
  </w:style>
  <w:style w:type="paragraph" w:styleId="20">
    <w:name w:val="toc 3"/>
    <w:next w:val="1"/>
    <w:unhideWhenUsed/>
    <w:qFormat/>
    <w:uiPriority w:val="39"/>
    <w:pPr>
      <w:spacing w:after="57"/>
      <w:ind w:left="567"/>
    </w:pPr>
    <w:rPr>
      <w:rFonts w:asciiTheme="minorHAnsi" w:hAnsiTheme="minorHAnsi" w:eastAsiaTheme="minorEastAsia" w:cstheme="minorBidi"/>
      <w:sz w:val="21"/>
      <w:szCs w:val="22"/>
      <w:lang w:val="en-US" w:eastAsia="zh-CN" w:bidi="ar-SA"/>
    </w:rPr>
  </w:style>
  <w:style w:type="paragraph" w:styleId="21">
    <w:name w:val="Plain Text"/>
    <w:basedOn w:val="1"/>
    <w:qFormat/>
    <w:uiPriority w:val="0"/>
    <w:rPr>
      <w:rFonts w:ascii="宋体" w:hAnsi="Courier New" w:cs="Courier New"/>
    </w:rPr>
  </w:style>
  <w:style w:type="paragraph" w:styleId="22">
    <w:name w:val="toc 8"/>
    <w:next w:val="1"/>
    <w:unhideWhenUsed/>
    <w:qFormat/>
    <w:uiPriority w:val="39"/>
    <w:pPr>
      <w:spacing w:after="57"/>
      <w:ind w:left="1984"/>
    </w:pPr>
    <w:rPr>
      <w:rFonts w:asciiTheme="minorHAnsi" w:hAnsiTheme="minorHAnsi" w:eastAsiaTheme="minorEastAsia" w:cstheme="minorBidi"/>
      <w:sz w:val="21"/>
      <w:szCs w:val="22"/>
      <w:lang w:val="en-US" w:eastAsia="zh-CN" w:bidi="ar-SA"/>
    </w:rPr>
  </w:style>
  <w:style w:type="paragraph" w:styleId="23">
    <w:name w:val="endnote text"/>
    <w:link w:val="209"/>
    <w:semiHidden/>
    <w:unhideWhenUsed/>
    <w:qFormat/>
    <w:uiPriority w:val="99"/>
    <w:rPr>
      <w:rFonts w:asciiTheme="minorHAnsi" w:hAnsiTheme="minorHAnsi" w:eastAsiaTheme="minorEastAsia" w:cstheme="minorBidi"/>
      <w:szCs w:val="22"/>
      <w:lang w:val="en-US" w:eastAsia="zh-CN" w:bidi="ar-SA"/>
    </w:rPr>
  </w:style>
  <w:style w:type="paragraph" w:styleId="24">
    <w:name w:val="footer"/>
    <w:link w:val="101"/>
    <w:unhideWhenUsed/>
    <w:qFormat/>
    <w:uiPriority w:val="99"/>
    <w:pPr>
      <w:tabs>
        <w:tab w:val="center" w:pos="7143"/>
        <w:tab w:val="right" w:pos="14287"/>
      </w:tabs>
    </w:pPr>
    <w:rPr>
      <w:rFonts w:asciiTheme="minorHAnsi" w:hAnsiTheme="minorHAnsi" w:eastAsiaTheme="minorEastAsia" w:cstheme="minorBidi"/>
      <w:sz w:val="21"/>
      <w:szCs w:val="22"/>
      <w:lang w:val="en-US" w:eastAsia="zh-CN" w:bidi="ar-SA"/>
    </w:rPr>
  </w:style>
  <w:style w:type="paragraph" w:styleId="25">
    <w:name w:val="header"/>
    <w:link w:val="99"/>
    <w:unhideWhenUsed/>
    <w:qFormat/>
    <w:uiPriority w:val="99"/>
    <w:pPr>
      <w:tabs>
        <w:tab w:val="center" w:pos="7143"/>
        <w:tab w:val="right" w:pos="14287"/>
      </w:tabs>
    </w:pPr>
    <w:rPr>
      <w:rFonts w:asciiTheme="minorHAnsi" w:hAnsiTheme="minorHAnsi" w:eastAsiaTheme="minorEastAsia" w:cstheme="minorBidi"/>
      <w:sz w:val="21"/>
      <w:szCs w:val="22"/>
      <w:lang w:val="en-US" w:eastAsia="zh-CN" w:bidi="ar-SA"/>
    </w:rPr>
  </w:style>
  <w:style w:type="paragraph" w:styleId="26">
    <w:name w:val="toc 1"/>
    <w:next w:val="1"/>
    <w:unhideWhenUsed/>
    <w:qFormat/>
    <w:uiPriority w:val="39"/>
    <w:pPr>
      <w:spacing w:after="57"/>
    </w:pPr>
    <w:rPr>
      <w:rFonts w:asciiTheme="minorHAnsi" w:hAnsiTheme="minorHAnsi" w:eastAsiaTheme="minorEastAsia" w:cstheme="minorBidi"/>
      <w:sz w:val="21"/>
      <w:szCs w:val="22"/>
      <w:lang w:val="en-US" w:eastAsia="zh-CN" w:bidi="ar-SA"/>
    </w:rPr>
  </w:style>
  <w:style w:type="paragraph" w:styleId="27">
    <w:name w:val="toc 4"/>
    <w:next w:val="1"/>
    <w:unhideWhenUsed/>
    <w:qFormat/>
    <w:uiPriority w:val="39"/>
    <w:pPr>
      <w:spacing w:after="57"/>
      <w:ind w:left="850"/>
    </w:pPr>
    <w:rPr>
      <w:rFonts w:asciiTheme="minorHAnsi" w:hAnsiTheme="minorHAnsi" w:eastAsiaTheme="minorEastAsia" w:cstheme="minorBidi"/>
      <w:sz w:val="21"/>
      <w:szCs w:val="22"/>
      <w:lang w:val="en-US" w:eastAsia="zh-CN" w:bidi="ar-SA"/>
    </w:rPr>
  </w:style>
  <w:style w:type="paragraph" w:styleId="28">
    <w:name w:val="Subtitle"/>
    <w:link w:val="94"/>
    <w:qFormat/>
    <w:uiPriority w:val="11"/>
    <w:pPr>
      <w:spacing w:before="200" w:after="200"/>
    </w:pPr>
    <w:rPr>
      <w:rFonts w:asciiTheme="minorHAnsi" w:hAnsiTheme="minorHAnsi" w:eastAsiaTheme="minorEastAsia" w:cstheme="minorBidi"/>
      <w:sz w:val="24"/>
      <w:szCs w:val="24"/>
      <w:lang w:val="en-US" w:eastAsia="zh-CN" w:bidi="ar-SA"/>
    </w:rPr>
  </w:style>
  <w:style w:type="paragraph" w:styleId="29">
    <w:name w:val="footnote text"/>
    <w:link w:val="208"/>
    <w:semiHidden/>
    <w:unhideWhenUsed/>
    <w:qFormat/>
    <w:uiPriority w:val="99"/>
    <w:pPr>
      <w:spacing w:after="40"/>
    </w:pPr>
    <w:rPr>
      <w:rFonts w:asciiTheme="minorHAnsi" w:hAnsiTheme="minorHAnsi" w:eastAsiaTheme="minorEastAsia" w:cstheme="minorBidi"/>
      <w:sz w:val="18"/>
      <w:szCs w:val="22"/>
      <w:lang w:val="en-US" w:eastAsia="zh-CN" w:bidi="ar-SA"/>
    </w:rPr>
  </w:style>
  <w:style w:type="paragraph" w:styleId="30">
    <w:name w:val="toc 6"/>
    <w:next w:val="1"/>
    <w:unhideWhenUsed/>
    <w:qFormat/>
    <w:uiPriority w:val="39"/>
    <w:pPr>
      <w:spacing w:after="57"/>
      <w:ind w:left="1417"/>
    </w:pPr>
    <w:rPr>
      <w:rFonts w:asciiTheme="minorHAnsi" w:hAnsiTheme="minorHAnsi" w:eastAsiaTheme="minorEastAsia" w:cstheme="minorBidi"/>
      <w:sz w:val="21"/>
      <w:szCs w:val="22"/>
      <w:lang w:val="en-US" w:eastAsia="zh-CN" w:bidi="ar-SA"/>
    </w:rPr>
  </w:style>
  <w:style w:type="paragraph" w:styleId="31">
    <w:name w:val="table of figures"/>
    <w:next w:val="1"/>
    <w:unhideWhenUsed/>
    <w:qFormat/>
    <w:uiPriority w:val="99"/>
    <w:rPr>
      <w:rFonts w:asciiTheme="minorHAnsi" w:hAnsiTheme="minorHAnsi" w:eastAsiaTheme="minorEastAsia" w:cstheme="minorBidi"/>
      <w:sz w:val="21"/>
      <w:szCs w:val="22"/>
      <w:lang w:val="en-US" w:eastAsia="zh-CN" w:bidi="ar-SA"/>
    </w:rPr>
  </w:style>
  <w:style w:type="paragraph" w:styleId="32">
    <w:name w:val="toc 2"/>
    <w:next w:val="1"/>
    <w:unhideWhenUsed/>
    <w:qFormat/>
    <w:uiPriority w:val="39"/>
    <w:pPr>
      <w:spacing w:after="57"/>
      <w:ind w:left="283"/>
    </w:pPr>
    <w:rPr>
      <w:rFonts w:asciiTheme="minorHAnsi" w:hAnsiTheme="minorHAnsi" w:eastAsiaTheme="minorEastAsia" w:cstheme="minorBidi"/>
      <w:sz w:val="21"/>
      <w:szCs w:val="22"/>
      <w:lang w:val="en-US" w:eastAsia="zh-CN" w:bidi="ar-SA"/>
    </w:rPr>
  </w:style>
  <w:style w:type="paragraph" w:styleId="33">
    <w:name w:val="toc 9"/>
    <w:next w:val="1"/>
    <w:unhideWhenUsed/>
    <w:qFormat/>
    <w:uiPriority w:val="39"/>
    <w:pPr>
      <w:spacing w:after="57"/>
      <w:ind w:left="2268"/>
    </w:pPr>
    <w:rPr>
      <w:rFonts w:asciiTheme="minorHAnsi" w:hAnsiTheme="minorHAnsi" w:eastAsiaTheme="minorEastAsia" w:cstheme="minorBidi"/>
      <w:sz w:val="21"/>
      <w:szCs w:val="22"/>
      <w:lang w:val="en-US" w:eastAsia="zh-CN" w:bidi="ar-SA"/>
    </w:rPr>
  </w:style>
  <w:style w:type="paragraph" w:styleId="34">
    <w:name w:val="Title"/>
    <w:link w:val="93"/>
    <w:qFormat/>
    <w:uiPriority w:val="10"/>
    <w:pPr>
      <w:spacing w:before="300" w:after="200"/>
      <w:contextualSpacing/>
    </w:pPr>
    <w:rPr>
      <w:rFonts w:asciiTheme="minorHAnsi" w:hAnsiTheme="minorHAnsi" w:eastAsiaTheme="minorEastAsia" w:cstheme="minorBidi"/>
      <w:sz w:val="48"/>
      <w:szCs w:val="48"/>
      <w:lang w:val="en-US" w:eastAsia="zh-CN" w:bidi="ar-SA"/>
    </w:rPr>
  </w:style>
  <w:style w:type="paragraph" w:styleId="35">
    <w:name w:val="annotation subject"/>
    <w:basedOn w:val="14"/>
    <w:next w:val="14"/>
    <w:link w:val="215"/>
    <w:semiHidden/>
    <w:unhideWhenUsed/>
    <w:qFormat/>
    <w:uiPriority w:val="99"/>
    <w:rPr>
      <w:b/>
      <w:bCs/>
    </w:rPr>
  </w:style>
  <w:style w:type="paragraph" w:styleId="36">
    <w:name w:val="Body Text First Indent 2"/>
    <w:basedOn w:val="16"/>
    <w:next w:val="1"/>
    <w:qFormat/>
    <w:uiPriority w:val="0"/>
    <w:pPr>
      <w:spacing w:line="360" w:lineRule="auto"/>
      <w:ind w:firstLine="420" w:firstLineChars="200"/>
    </w:pPr>
    <w:rPr>
      <w:rFonts w:ascii="宋体" w:hAnsi="宋体" w:eastAsia="宋体"/>
      <w:sz w:val="21"/>
      <w:szCs w:val="20"/>
    </w:rPr>
  </w:style>
  <w:style w:type="table" w:styleId="38">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Strong"/>
    <w:basedOn w:val="39"/>
    <w:qFormat/>
    <w:uiPriority w:val="22"/>
    <w:rPr>
      <w:b/>
    </w:rPr>
  </w:style>
  <w:style w:type="character" w:styleId="41">
    <w:name w:val="endnote reference"/>
    <w:semiHidden/>
    <w:unhideWhenUsed/>
    <w:qFormat/>
    <w:uiPriority w:val="99"/>
    <w:rPr>
      <w:vertAlign w:val="superscript"/>
    </w:rPr>
  </w:style>
  <w:style w:type="character" w:styleId="42">
    <w:name w:val="Hyperlink"/>
    <w:basedOn w:val="39"/>
    <w:unhideWhenUsed/>
    <w:qFormat/>
    <w:uiPriority w:val="99"/>
    <w:rPr>
      <w:color w:val="0000FF" w:themeColor="hyperlink"/>
      <w:u w:val="single"/>
      <w14:textFill>
        <w14:solidFill>
          <w14:schemeClr w14:val="hlink"/>
        </w14:solidFill>
      </w14:textFill>
    </w:rPr>
  </w:style>
  <w:style w:type="character" w:styleId="43">
    <w:name w:val="annotation reference"/>
    <w:basedOn w:val="39"/>
    <w:semiHidden/>
    <w:unhideWhenUsed/>
    <w:qFormat/>
    <w:uiPriority w:val="99"/>
    <w:rPr>
      <w:sz w:val="21"/>
      <w:szCs w:val="21"/>
    </w:rPr>
  </w:style>
  <w:style w:type="character" w:styleId="44">
    <w:name w:val="footnote reference"/>
    <w:unhideWhenUsed/>
    <w:qFormat/>
    <w:uiPriority w:val="99"/>
    <w:rPr>
      <w:vertAlign w:val="superscript"/>
    </w:rPr>
  </w:style>
  <w:style w:type="character" w:customStyle="1" w:styleId="45">
    <w:name w:val="Heading 1 Char"/>
    <w:basedOn w:val="39"/>
    <w:qFormat/>
    <w:uiPriority w:val="9"/>
    <w:rPr>
      <w:rFonts w:ascii="Arial" w:hAnsi="Arial" w:eastAsia="Arial" w:cs="Arial"/>
      <w:sz w:val="40"/>
      <w:szCs w:val="40"/>
    </w:rPr>
  </w:style>
  <w:style w:type="character" w:customStyle="1" w:styleId="46">
    <w:name w:val="Heading 2 Char"/>
    <w:basedOn w:val="39"/>
    <w:qFormat/>
    <w:uiPriority w:val="9"/>
    <w:rPr>
      <w:rFonts w:ascii="Arial" w:hAnsi="Arial" w:eastAsia="Arial" w:cs="Arial"/>
      <w:sz w:val="34"/>
    </w:rPr>
  </w:style>
  <w:style w:type="character" w:customStyle="1" w:styleId="47">
    <w:name w:val="Heading 3 Char"/>
    <w:basedOn w:val="39"/>
    <w:qFormat/>
    <w:uiPriority w:val="9"/>
    <w:rPr>
      <w:rFonts w:ascii="Arial" w:hAnsi="Arial" w:eastAsia="Arial" w:cs="Arial"/>
      <w:sz w:val="30"/>
      <w:szCs w:val="30"/>
    </w:rPr>
  </w:style>
  <w:style w:type="character" w:customStyle="1" w:styleId="48">
    <w:name w:val="Heading 4 Char"/>
    <w:basedOn w:val="39"/>
    <w:qFormat/>
    <w:uiPriority w:val="9"/>
    <w:rPr>
      <w:rFonts w:ascii="Arial" w:hAnsi="Arial" w:eastAsia="Arial" w:cs="Arial"/>
      <w:b/>
      <w:bCs/>
      <w:sz w:val="26"/>
      <w:szCs w:val="26"/>
    </w:rPr>
  </w:style>
  <w:style w:type="character" w:customStyle="1" w:styleId="49">
    <w:name w:val="Heading 5 Char"/>
    <w:basedOn w:val="39"/>
    <w:qFormat/>
    <w:uiPriority w:val="9"/>
    <w:rPr>
      <w:rFonts w:ascii="Arial" w:hAnsi="Arial" w:eastAsia="Arial" w:cs="Arial"/>
      <w:b/>
      <w:bCs/>
      <w:sz w:val="24"/>
      <w:szCs w:val="24"/>
    </w:rPr>
  </w:style>
  <w:style w:type="character" w:customStyle="1" w:styleId="50">
    <w:name w:val="Heading 6 Char"/>
    <w:basedOn w:val="39"/>
    <w:qFormat/>
    <w:uiPriority w:val="9"/>
    <w:rPr>
      <w:rFonts w:ascii="Arial" w:hAnsi="Arial" w:eastAsia="Arial" w:cs="Arial"/>
      <w:b/>
      <w:bCs/>
      <w:sz w:val="22"/>
      <w:szCs w:val="22"/>
    </w:rPr>
  </w:style>
  <w:style w:type="character" w:customStyle="1" w:styleId="51">
    <w:name w:val="Heading 7 Char"/>
    <w:basedOn w:val="39"/>
    <w:qFormat/>
    <w:uiPriority w:val="9"/>
    <w:rPr>
      <w:rFonts w:ascii="Arial" w:hAnsi="Arial" w:eastAsia="Arial" w:cs="Arial"/>
      <w:b/>
      <w:bCs/>
      <w:i/>
      <w:iCs/>
      <w:sz w:val="22"/>
      <w:szCs w:val="22"/>
    </w:rPr>
  </w:style>
  <w:style w:type="character" w:customStyle="1" w:styleId="52">
    <w:name w:val="Heading 8 Char"/>
    <w:basedOn w:val="39"/>
    <w:qFormat/>
    <w:uiPriority w:val="9"/>
    <w:rPr>
      <w:rFonts w:ascii="Arial" w:hAnsi="Arial" w:eastAsia="Arial" w:cs="Arial"/>
      <w:i/>
      <w:iCs/>
      <w:sz w:val="22"/>
      <w:szCs w:val="22"/>
    </w:rPr>
  </w:style>
  <w:style w:type="character" w:customStyle="1" w:styleId="53">
    <w:name w:val="Heading 9 Char"/>
    <w:basedOn w:val="39"/>
    <w:qFormat/>
    <w:uiPriority w:val="9"/>
    <w:rPr>
      <w:rFonts w:ascii="Arial" w:hAnsi="Arial" w:eastAsia="Arial" w:cs="Arial"/>
      <w:i/>
      <w:iCs/>
      <w:sz w:val="21"/>
      <w:szCs w:val="21"/>
    </w:rPr>
  </w:style>
  <w:style w:type="character" w:customStyle="1" w:styleId="54">
    <w:name w:val="Title Char"/>
    <w:basedOn w:val="39"/>
    <w:qFormat/>
    <w:uiPriority w:val="10"/>
    <w:rPr>
      <w:sz w:val="48"/>
      <w:szCs w:val="48"/>
    </w:rPr>
  </w:style>
  <w:style w:type="character" w:customStyle="1" w:styleId="55">
    <w:name w:val="Subtitle Char"/>
    <w:basedOn w:val="39"/>
    <w:qFormat/>
    <w:uiPriority w:val="11"/>
    <w:rPr>
      <w:sz w:val="24"/>
      <w:szCs w:val="24"/>
    </w:rPr>
  </w:style>
  <w:style w:type="character" w:customStyle="1" w:styleId="56">
    <w:name w:val="Quote Char"/>
    <w:qFormat/>
    <w:uiPriority w:val="29"/>
    <w:rPr>
      <w:i/>
    </w:rPr>
  </w:style>
  <w:style w:type="character" w:customStyle="1" w:styleId="57">
    <w:name w:val="Intense Quote Char"/>
    <w:qFormat/>
    <w:uiPriority w:val="30"/>
    <w:rPr>
      <w:i/>
    </w:rPr>
  </w:style>
  <w:style w:type="character" w:customStyle="1" w:styleId="58">
    <w:name w:val="Header Char"/>
    <w:basedOn w:val="39"/>
    <w:qFormat/>
    <w:uiPriority w:val="99"/>
  </w:style>
  <w:style w:type="character" w:customStyle="1" w:styleId="59">
    <w:name w:val="Caption Char"/>
    <w:qFormat/>
    <w:uiPriority w:val="99"/>
  </w:style>
  <w:style w:type="table" w:customStyle="1" w:styleId="60">
    <w:name w:val="无格式表格 11"/>
    <w:basedOn w:val="3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无格式表格 21"/>
    <w:basedOn w:val="3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无格式表格 31"/>
    <w:basedOn w:val="37"/>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无格式表格 41"/>
    <w:basedOn w:val="37"/>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无格式表格 51"/>
    <w:basedOn w:val="37"/>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网格表 1 浅色1"/>
    <w:basedOn w:val="3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网格表 21"/>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网格表 31"/>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网格表 41"/>
    <w:basedOn w:val="3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网格表 5 深色1"/>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0">
    <w:name w:val="网格表 6 彩色1"/>
    <w:basedOn w:val="3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1">
    <w:name w:val="网格表 7 彩色1"/>
    <w:basedOn w:val="3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2">
    <w:name w:val="清单表 1 浅色1"/>
    <w:basedOn w:val="37"/>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3">
    <w:name w:val="清单表 21"/>
    <w:basedOn w:val="3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4">
    <w:name w:val="清单表 31"/>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5">
    <w:name w:val="清单表 41"/>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6">
    <w:name w:val="清单表 5 深色1"/>
    <w:basedOn w:val="3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7">
    <w:name w:val="清单表 6 彩色1"/>
    <w:basedOn w:val="37"/>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8">
    <w:name w:val="清单表 7 彩色1"/>
    <w:basedOn w:val="37"/>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9">
    <w:name w:val="Footnote Text Char"/>
    <w:qFormat/>
    <w:uiPriority w:val="99"/>
    <w:rPr>
      <w:sz w:val="18"/>
    </w:rPr>
  </w:style>
  <w:style w:type="character" w:customStyle="1" w:styleId="80">
    <w:name w:val="Endnote Text Char"/>
    <w:qFormat/>
    <w:uiPriority w:val="99"/>
    <w:rPr>
      <w:sz w:val="20"/>
    </w:rPr>
  </w:style>
  <w:style w:type="paragraph" w:customStyle="1" w:styleId="81">
    <w:name w:val="TOC 标题1"/>
    <w:unhideWhenUsed/>
    <w:qFormat/>
    <w:uiPriority w:val="39"/>
    <w:rPr>
      <w:rFonts w:ascii="Times New Roman" w:hAnsi="Times New Roman" w:eastAsia="宋体" w:cs="Times New Roman"/>
      <w:lang w:val="en-US" w:eastAsia="zh-CN" w:bidi="ar-SA"/>
    </w:rPr>
  </w:style>
  <w:style w:type="character" w:customStyle="1" w:styleId="82">
    <w:name w:val="标题 1 Char"/>
    <w:link w:val="2"/>
    <w:qFormat/>
    <w:uiPriority w:val="9"/>
    <w:rPr>
      <w:rFonts w:ascii="Arial" w:hAnsi="Arial" w:eastAsia="Arial" w:cs="Arial"/>
      <w:sz w:val="40"/>
      <w:szCs w:val="40"/>
    </w:rPr>
  </w:style>
  <w:style w:type="character" w:customStyle="1" w:styleId="83">
    <w:name w:val="标题 2 Char"/>
    <w:link w:val="3"/>
    <w:qFormat/>
    <w:uiPriority w:val="9"/>
    <w:rPr>
      <w:rFonts w:ascii="Arial" w:hAnsi="Arial" w:eastAsia="Arial" w:cs="Arial"/>
      <w:sz w:val="34"/>
    </w:rPr>
  </w:style>
  <w:style w:type="character" w:customStyle="1" w:styleId="84">
    <w:name w:val="标题 3 Char"/>
    <w:link w:val="4"/>
    <w:qFormat/>
    <w:uiPriority w:val="9"/>
    <w:rPr>
      <w:rFonts w:ascii="Arial" w:hAnsi="Arial" w:eastAsia="Arial" w:cs="Arial"/>
      <w:sz w:val="30"/>
      <w:szCs w:val="30"/>
    </w:rPr>
  </w:style>
  <w:style w:type="character" w:customStyle="1" w:styleId="85">
    <w:name w:val="标题 4 Char"/>
    <w:link w:val="5"/>
    <w:qFormat/>
    <w:uiPriority w:val="9"/>
    <w:rPr>
      <w:rFonts w:ascii="Arial" w:hAnsi="Arial" w:eastAsia="Arial" w:cs="Arial"/>
      <w:b/>
      <w:bCs/>
      <w:sz w:val="26"/>
      <w:szCs w:val="26"/>
    </w:rPr>
  </w:style>
  <w:style w:type="character" w:customStyle="1" w:styleId="86">
    <w:name w:val="标题 5 Char"/>
    <w:link w:val="7"/>
    <w:qFormat/>
    <w:uiPriority w:val="9"/>
    <w:rPr>
      <w:rFonts w:ascii="Arial" w:hAnsi="Arial" w:eastAsia="Arial" w:cs="Arial"/>
      <w:b/>
      <w:bCs/>
      <w:sz w:val="24"/>
      <w:szCs w:val="24"/>
    </w:rPr>
  </w:style>
  <w:style w:type="character" w:customStyle="1" w:styleId="87">
    <w:name w:val="标题 6 Char"/>
    <w:link w:val="8"/>
    <w:qFormat/>
    <w:uiPriority w:val="9"/>
    <w:rPr>
      <w:rFonts w:ascii="Arial" w:hAnsi="Arial" w:eastAsia="Arial" w:cs="Arial"/>
      <w:b/>
      <w:bCs/>
      <w:sz w:val="22"/>
      <w:szCs w:val="22"/>
    </w:rPr>
  </w:style>
  <w:style w:type="character" w:customStyle="1" w:styleId="88">
    <w:name w:val="标题 7 Char"/>
    <w:link w:val="9"/>
    <w:qFormat/>
    <w:uiPriority w:val="9"/>
    <w:rPr>
      <w:rFonts w:ascii="Arial" w:hAnsi="Arial" w:eastAsia="Arial" w:cs="Arial"/>
      <w:b/>
      <w:bCs/>
      <w:i/>
      <w:iCs/>
      <w:sz w:val="22"/>
      <w:szCs w:val="22"/>
    </w:rPr>
  </w:style>
  <w:style w:type="character" w:customStyle="1" w:styleId="89">
    <w:name w:val="标题 8 Char"/>
    <w:link w:val="10"/>
    <w:qFormat/>
    <w:uiPriority w:val="9"/>
    <w:rPr>
      <w:rFonts w:ascii="Arial" w:hAnsi="Arial" w:eastAsia="Arial" w:cs="Arial"/>
      <w:i/>
      <w:iCs/>
      <w:sz w:val="22"/>
      <w:szCs w:val="22"/>
    </w:rPr>
  </w:style>
  <w:style w:type="character" w:customStyle="1" w:styleId="90">
    <w:name w:val="标题 9 Char"/>
    <w:link w:val="11"/>
    <w:qFormat/>
    <w:uiPriority w:val="9"/>
    <w:rPr>
      <w:rFonts w:ascii="Arial" w:hAnsi="Arial" w:eastAsia="Arial" w:cs="Arial"/>
      <w:i/>
      <w:iCs/>
      <w:sz w:val="21"/>
      <w:szCs w:val="21"/>
    </w:rPr>
  </w:style>
  <w:style w:type="paragraph" w:styleId="91">
    <w:name w:val="List Paragraph"/>
    <w:basedOn w:val="1"/>
    <w:qFormat/>
    <w:uiPriority w:val="34"/>
    <w:pPr>
      <w:ind w:left="720"/>
      <w:contextualSpacing/>
    </w:pPr>
  </w:style>
  <w:style w:type="paragraph" w:styleId="92">
    <w:name w:val="No Spacing"/>
    <w:qFormat/>
    <w:uiPriority w:val="1"/>
    <w:rPr>
      <w:rFonts w:asciiTheme="minorHAnsi" w:hAnsiTheme="minorHAnsi" w:eastAsiaTheme="minorEastAsia" w:cstheme="minorBidi"/>
      <w:sz w:val="21"/>
      <w:szCs w:val="22"/>
      <w:lang w:val="en-US" w:eastAsia="zh-CN" w:bidi="ar-SA"/>
    </w:rPr>
  </w:style>
  <w:style w:type="character" w:customStyle="1" w:styleId="93">
    <w:name w:val="标题 Char"/>
    <w:link w:val="34"/>
    <w:qFormat/>
    <w:uiPriority w:val="10"/>
    <w:rPr>
      <w:sz w:val="48"/>
      <w:szCs w:val="48"/>
    </w:rPr>
  </w:style>
  <w:style w:type="character" w:customStyle="1" w:styleId="94">
    <w:name w:val="副标题 Char"/>
    <w:link w:val="28"/>
    <w:qFormat/>
    <w:uiPriority w:val="11"/>
    <w:rPr>
      <w:sz w:val="24"/>
      <w:szCs w:val="24"/>
    </w:rPr>
  </w:style>
  <w:style w:type="paragraph" w:styleId="95">
    <w:name w:val="Quote"/>
    <w:link w:val="96"/>
    <w:qFormat/>
    <w:uiPriority w:val="29"/>
    <w:pPr>
      <w:ind w:left="720" w:right="720"/>
    </w:pPr>
    <w:rPr>
      <w:rFonts w:asciiTheme="minorHAnsi" w:hAnsiTheme="minorHAnsi" w:eastAsiaTheme="minorEastAsia" w:cstheme="minorBidi"/>
      <w:i/>
      <w:sz w:val="21"/>
      <w:szCs w:val="22"/>
      <w:lang w:val="en-US" w:eastAsia="zh-CN" w:bidi="ar-SA"/>
    </w:rPr>
  </w:style>
  <w:style w:type="character" w:customStyle="1" w:styleId="96">
    <w:name w:val="引用 Char"/>
    <w:link w:val="95"/>
    <w:qFormat/>
    <w:uiPriority w:val="29"/>
    <w:rPr>
      <w:i/>
    </w:rPr>
  </w:style>
  <w:style w:type="paragraph" w:styleId="97">
    <w:name w:val="Intense Quote"/>
    <w:link w:val="9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heme="minorHAnsi" w:hAnsiTheme="minorHAnsi" w:eastAsiaTheme="minorEastAsia" w:cstheme="minorBidi"/>
      <w:i/>
      <w:sz w:val="21"/>
      <w:szCs w:val="22"/>
      <w:lang w:val="en-US" w:eastAsia="zh-CN" w:bidi="ar-SA"/>
    </w:rPr>
  </w:style>
  <w:style w:type="character" w:customStyle="1" w:styleId="98">
    <w:name w:val="明显引用 Char"/>
    <w:link w:val="97"/>
    <w:qFormat/>
    <w:uiPriority w:val="30"/>
    <w:rPr>
      <w:i/>
    </w:rPr>
  </w:style>
  <w:style w:type="character" w:customStyle="1" w:styleId="99">
    <w:name w:val="页眉 Char"/>
    <w:link w:val="25"/>
    <w:qFormat/>
    <w:uiPriority w:val="99"/>
  </w:style>
  <w:style w:type="character" w:customStyle="1" w:styleId="100">
    <w:name w:val="Footer Char"/>
    <w:qFormat/>
    <w:uiPriority w:val="99"/>
  </w:style>
  <w:style w:type="character" w:customStyle="1" w:styleId="101">
    <w:name w:val="页脚 Char"/>
    <w:link w:val="24"/>
    <w:qFormat/>
    <w:uiPriority w:val="99"/>
  </w:style>
  <w:style w:type="table" w:customStyle="1" w:styleId="102">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3">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4">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5">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6">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7">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8">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3">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5">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6">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7">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8">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9">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0">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1">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2">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3">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4">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5">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6">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7">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8">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9">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0">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1">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2">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3">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4">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5">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6">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7">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8">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9">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0">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1">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2">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3">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4">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5">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6">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7">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8">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9">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0">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1">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2">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3">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4">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5">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6">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7">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8">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9">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0">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1">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2">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3">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4">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5">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6">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7">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8">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5">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6">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7">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8">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9">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0">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1">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2">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3">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4">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5">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6">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7">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8">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9">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0">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1">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2">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3">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4">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5">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6">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7">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8">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9">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0">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1">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2">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3">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4">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5">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6">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7">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8">
    <w:name w:val="脚注文本 Char"/>
    <w:link w:val="29"/>
    <w:qFormat/>
    <w:uiPriority w:val="99"/>
    <w:rPr>
      <w:sz w:val="18"/>
    </w:rPr>
  </w:style>
  <w:style w:type="character" w:customStyle="1" w:styleId="209">
    <w:name w:val="尾注文本 Char"/>
    <w:link w:val="23"/>
    <w:qFormat/>
    <w:uiPriority w:val="99"/>
    <w:rPr>
      <w:sz w:val="20"/>
    </w:rPr>
  </w:style>
  <w:style w:type="paragraph" w:customStyle="1" w:styleId="210">
    <w:name w:val="TOC 标题11"/>
    <w:unhideWhenUsed/>
    <w:qFormat/>
    <w:uiPriority w:val="39"/>
    <w:rPr>
      <w:rFonts w:asciiTheme="minorHAnsi" w:hAnsiTheme="minorHAnsi" w:eastAsiaTheme="minorEastAsia" w:cstheme="minorBidi"/>
      <w:sz w:val="21"/>
      <w:szCs w:val="22"/>
      <w:lang w:val="en-US" w:eastAsia="zh-CN" w:bidi="ar-SA"/>
    </w:rPr>
  </w:style>
  <w:style w:type="paragraph" w:customStyle="1" w:styleId="211">
    <w:name w:val="Table Paragraph"/>
    <w:basedOn w:val="1"/>
    <w:qFormat/>
    <w:uiPriority w:val="1"/>
    <w:rPr>
      <w:rFonts w:ascii="Calibri" w:hAnsi="Calibri"/>
      <w:sz w:val="22"/>
      <w:lang w:eastAsia="en-US"/>
    </w:rPr>
  </w:style>
  <w:style w:type="paragraph" w:customStyle="1" w:styleId="212">
    <w:name w:val="普通(网站)1"/>
    <w:basedOn w:val="1"/>
    <w:qFormat/>
    <w:uiPriority w:val="99"/>
    <w:pPr>
      <w:spacing w:before="100" w:beforeAutospacing="1" w:after="100" w:afterAutospacing="1"/>
    </w:pPr>
    <w:rPr>
      <w:rFonts w:ascii="宋体" w:hAnsi="宋体" w:cs="宋体"/>
      <w:sz w:val="24"/>
      <w:szCs w:val="24"/>
    </w:rPr>
  </w:style>
  <w:style w:type="paragraph" w:customStyle="1" w:styleId="213">
    <w:name w:val="正文文本 211"/>
    <w:basedOn w:val="1"/>
    <w:qFormat/>
    <w:uiPriority w:val="99"/>
    <w:pPr>
      <w:jc w:val="center"/>
    </w:pPr>
    <w:rPr>
      <w:b/>
      <w:bCs/>
      <w:sz w:val="20"/>
      <w:szCs w:val="20"/>
    </w:rPr>
  </w:style>
  <w:style w:type="character" w:customStyle="1" w:styleId="214">
    <w:name w:val="批注文字 Char"/>
    <w:basedOn w:val="39"/>
    <w:link w:val="14"/>
    <w:semiHidden/>
    <w:qFormat/>
    <w:uiPriority w:val="99"/>
    <w:rPr>
      <w:rFonts w:asciiTheme="minorHAnsi" w:hAnsiTheme="minorHAnsi" w:eastAsiaTheme="minorEastAsia" w:cstheme="minorBidi"/>
      <w:sz w:val="21"/>
      <w:szCs w:val="22"/>
    </w:rPr>
  </w:style>
  <w:style w:type="character" w:customStyle="1" w:styleId="215">
    <w:name w:val="批注主题 Char"/>
    <w:basedOn w:val="214"/>
    <w:link w:val="35"/>
    <w:semiHidden/>
    <w:qFormat/>
    <w:uiPriority w:val="99"/>
    <w:rPr>
      <w:rFonts w:asciiTheme="minorHAnsi" w:hAnsiTheme="minorHAnsi" w:eastAsiaTheme="minorEastAsia" w:cstheme="minorBidi"/>
      <w:b/>
      <w:bCs/>
      <w:sz w:val="21"/>
      <w:szCs w:val="22"/>
    </w:rPr>
  </w:style>
  <w:style w:type="paragraph" w:customStyle="1" w:styleId="216">
    <w:name w:val="Table Text"/>
    <w:basedOn w:val="1"/>
    <w:qFormat/>
    <w:uiPriority w:val="0"/>
    <w:pPr>
      <w:spacing w:after="80"/>
    </w:pPr>
    <w:rPr>
      <w:rFonts w:ascii="宋体" w:hAnsi="宋体" w:cs="宋体"/>
      <w:color w:val="000000"/>
      <w:sz w:val="20"/>
      <w:szCs w:val="20"/>
      <w:lang w:eastAsia="en-US"/>
    </w:rPr>
  </w:style>
  <w:style w:type="paragraph" w:customStyle="1" w:styleId="217">
    <w:name w:val="正文首行缩进 21"/>
    <w:basedOn w:val="218"/>
    <w:next w:val="1"/>
    <w:qFormat/>
    <w:uiPriority w:val="0"/>
    <w:pPr>
      <w:spacing w:line="360" w:lineRule="auto"/>
      <w:ind w:firstLine="420"/>
    </w:pPr>
    <w:rPr>
      <w:rFonts w:ascii="宋体" w:hAnsi="宋体" w:eastAsia="宋体"/>
      <w:sz w:val="21"/>
      <w:szCs w:val="20"/>
    </w:rPr>
  </w:style>
  <w:style w:type="paragraph" w:customStyle="1" w:styleId="218">
    <w:name w:val="正文文本缩进11"/>
    <w:basedOn w:val="1"/>
    <w:next w:val="219"/>
    <w:qFormat/>
    <w:uiPriority w:val="0"/>
    <w:pPr>
      <w:ind w:firstLine="645"/>
    </w:pPr>
    <w:rPr>
      <w:rFonts w:ascii="楷体_GB2312" w:eastAsia="楷体_GB2312"/>
      <w:sz w:val="32"/>
      <w:szCs w:val="32"/>
    </w:rPr>
  </w:style>
  <w:style w:type="paragraph" w:customStyle="1" w:styleId="219">
    <w:name w:val="寄信人地址1"/>
    <w:basedOn w:val="1"/>
    <w:qFormat/>
    <w:uiPriority w:val="0"/>
    <w:rPr>
      <w:rFonts w:ascii="Arial" w:hAnsi="Arial" w:eastAsia="宋体" w:cs="宋体"/>
    </w:rPr>
  </w:style>
  <w:style w:type="table" w:customStyle="1" w:styleId="220">
    <w:name w:val="网格型1"/>
    <w:basedOn w:val="221"/>
    <w:qFormat/>
    <w:uiPriority w:val="0"/>
    <w:pPr>
      <w:widowControl w:val="0"/>
      <w:jc w:val="both"/>
    </w:pPr>
    <w:tblPr>
      <w:tblCellMar>
        <w:top w:w="0" w:type="dxa"/>
        <w:left w:w="0" w:type="dxa"/>
        <w:bottom w:w="0" w:type="dxa"/>
        <w:right w:w="0" w:type="dxa"/>
      </w:tblCellMar>
    </w:tblPr>
  </w:style>
  <w:style w:type="table" w:customStyle="1" w:styleId="221">
    <w:name w:val="普通表格1"/>
    <w:semiHidden/>
    <w:qFormat/>
    <w:uiPriority w:val="0"/>
    <w:tblPr>
      <w:tblCellMar>
        <w:top w:w="0" w:type="dxa"/>
        <w:left w:w="0" w:type="dxa"/>
        <w:bottom w:w="0" w:type="dxa"/>
        <w:right w:w="0" w:type="dxa"/>
      </w:tblCellMar>
    </w:tblPr>
  </w:style>
  <w:style w:type="paragraph" w:customStyle="1" w:styleId="222">
    <w:name w:val="正文首行缩进1"/>
    <w:basedOn w:val="223"/>
    <w:qFormat/>
    <w:uiPriority w:val="0"/>
    <w:pPr>
      <w:ind w:firstLine="420"/>
    </w:pPr>
  </w:style>
  <w:style w:type="paragraph" w:customStyle="1" w:styleId="223">
    <w:name w:val="正文文本11"/>
    <w:basedOn w:val="1"/>
    <w:next w:val="1"/>
    <w:qFormat/>
    <w:uiPriority w:val="0"/>
    <w:pPr>
      <w:spacing w:after="120"/>
    </w:pPr>
  </w:style>
  <w:style w:type="paragraph" w:customStyle="1" w:styleId="224">
    <w:name w:val="页脚1"/>
    <w:basedOn w:val="1"/>
    <w:qFormat/>
    <w:uiPriority w:val="0"/>
    <w:pPr>
      <w:tabs>
        <w:tab w:val="center" w:pos="4153"/>
        <w:tab w:val="right" w:pos="8306"/>
      </w:tabs>
    </w:pPr>
    <w:rPr>
      <w:sz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71</Pages>
  <Words>14308</Words>
  <Characters>15062</Characters>
  <Lines>314</Lines>
  <Paragraphs>88</Paragraphs>
  <TotalTime>19</TotalTime>
  <ScaleCrop>false</ScaleCrop>
  <LinksUpToDate>false</LinksUpToDate>
  <CharactersWithSpaces>15216</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2026-10-23T06:54:00Z</dcterms:created>
  <dc:creator>Apache POI</dc:creator>
  <cp:lastModifiedBy>苏雨</cp:lastModifiedBy>
  <cp:lastPrinted>2026-09-18T09:58:00Z</cp:lastPrinted>
  <dcterms:modified xsi:type="dcterms:W3CDTF">2026-10-30T09:30:09Z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eyJoZGlkIjoiOWQ2MGMwMjBkN2E3ZTAwZWM4ZDI1ZWQ2NzQ5YzQwMTEiLCJ1c2VySWQiOiI1ODkzOTU5OTUifQ==</vt:lpwstr>
  </property>
  <property fmtid="{D5CDD505-2E9C-101B-9397-08002B2CF9AE}" pid="3" name="KSOProductBuildVer">
    <vt:lpwstr>2052-12.1.0.29161</vt:lpwstr>
  </property>
  <property fmtid="{D5CDD505-2E9C-101B-9397-08002B2CF9AE}" pid="4" name="ICV">
    <vt:lpwstr>21BE4B1F3585492186809149106AE2AF_13</vt:lpwstr>
  </property>
</Properties>
</file>