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0"/>
        <w:rPr>
          <w:rFonts w:hint="eastAsia" w:eastAsia="黑体"/>
          <w:b/>
          <w:bCs/>
          <w:sz w:val="84"/>
        </w:rPr>
      </w:pPr>
      <w:r>
        <w:rPr>
          <w:rFonts w:hint="eastAsia" w:eastAsia="黑体"/>
          <w:b/>
          <w:bCs/>
          <w:sz w:val="84"/>
        </w:rPr>
      </w:r>
      <w:r/>
    </w:p>
    <w:p>
      <w:pPr>
        <w:pStyle w:val="1038"/>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28"/>
          <w:szCs w:val="28"/>
        </w:rPr>
      </w:r>
      <w:r/>
    </w:p>
    <w:p>
      <w:pPr>
        <w:pStyle w:val="1038"/>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51"/>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项目名称：2025年全国智慧图书馆体系建设项目之江苏支撑平台</w:t>
      </w:r>
      <w:r>
        <w:rPr>
          <w:rFonts w:hint="eastAsia" w:ascii="方正黑体_GBK" w:hAnsi="方正黑体_GBK" w:eastAsia="方正黑体_GBK" w:cs="方正黑体_GBK"/>
          <w:b w:val="0"/>
          <w:bCs w:val="0"/>
          <w:color w:val="000000"/>
          <w:sz w:val="28"/>
          <w:szCs w:val="28"/>
        </w:rPr>
      </w:r>
      <w:r/>
    </w:p>
    <w:p>
      <w:pPr>
        <w:pStyle w:val="951"/>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：JSZC-320000-SCZX-G2026-0453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951"/>
        <w:jc w:val="center"/>
        <w:rPr>
          <w:rFonts w:hint="eastAsia" w:ascii="Times New Roman" w:hAnsi="Times New Roman" w:eastAsia="宋体"/>
          <w:b/>
          <w:color w:val="ff0000"/>
          <w:sz w:val="28"/>
          <w:szCs w:val="28"/>
          <w:lang w:val="en-US" w:eastAsia="zh-CN"/>
        </w:rPr>
      </w:pPr>
      <w:r>
        <w:rPr>
          <w:rFonts w:hint="eastAsia" w:ascii="Times New Roman" w:hAnsi="Times New Roman" w:eastAsia="宋体"/>
          <w:b/>
          <w:color w:val="ff0000"/>
          <w:sz w:val="28"/>
          <w:szCs w:val="28"/>
          <w:lang w:val="en-US" w:eastAsia="zh-CN"/>
        </w:rPr>
      </w:r>
      <w:r/>
    </w:p>
    <w:p>
      <w:pPr>
        <w:pStyle w:val="1004"/>
        <w:tabs>
          <w:tab w:val="right" w:pos="8720" w:leader="dot"/>
        </w:tabs>
        <w:rPr>
          <w:rFonts w:hint="eastAsia"/>
          <w:lang w:val="en-US" w:eastAsia="zh-CN"/>
        </w:rPr>
      </w:pPr>
      <w:r>
        <w:rPr>
          <w:rFonts w:hint="eastAsia"/>
          <w:lang w:val="en-US" w:eastAsia="zh-CN"/>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8"/>
        <w:ind w:firstLine="0"/>
        <w:rPr>
          <w:rFonts w:hint="eastAsia"/>
          <w:u w:val="single"/>
        </w:rPr>
      </w:pPr>
      <w:r>
        <w:rPr>
          <w:rFonts w:hint="eastAsia"/>
        </w:rPr>
        <w:t xml:space="preserve">                        </w:t>
      </w:r>
      <w:r>
        <w:rPr>
          <w:rFonts w:hint="eastAsia"/>
          <w:u w:val="single"/>
        </w:rPr>
      </w:r>
      <w:r/>
    </w:p>
    <w:p>
      <w:pPr>
        <w:pStyle w:val="1038"/>
        <w:ind w:firstLine="0"/>
        <w:jc w:val="center"/>
        <w:rPr>
          <w:rFonts w:hint="eastAsia"/>
        </w:rPr>
      </w:pPr>
      <w:r>
        <w:rPr>
          <w:rFonts w:hint="eastAsia"/>
        </w:rPr>
      </w:r>
      <w:r/>
    </w:p>
    <w:p>
      <w:pPr>
        <w:pStyle w:val="951"/>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36"/>
          <w:szCs w:val="36"/>
        </w:rPr>
        <w:t xml:space="preserve">总  目  录</w:t>
      </w:r>
      <w:r>
        <w:rPr>
          <w:rFonts w:hint="eastAsia" w:ascii="黑体" w:hAnsi="Arial" w:eastAsia="黑体"/>
          <w:b/>
          <w:sz w:val="28"/>
          <w:szCs w:val="28"/>
        </w:rPr>
      </w:r>
      <w:r/>
    </w:p>
    <w:p>
      <w:pPr>
        <w:pStyle w:val="951"/>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1"/>
        <w:numPr>
          <w:ilvl w:val="0"/>
          <w:numId w:val="0"/>
        </w:numPr>
        <w:jc w:val="center"/>
        <w:keepLines w:val="0"/>
        <w:keepNext w:val="0"/>
        <w:pageBreakBefore w:val="0"/>
        <w:spacing w:line="360" w:lineRule="auto"/>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360" w:lineRule="auto"/>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360" w:lineRule="auto"/>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360" w:lineRule="auto"/>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22</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360" w:lineRule="auto"/>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40</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360" w:lineRule="auto"/>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47</w:t>
      </w:r>
      <w:r>
        <w:rPr>
          <w:rFonts w:ascii="方正黑体_GBK" w:hAnsi="方正黑体_GBK" w:eastAsia="方正黑体_GBK" w:cs="方正黑体_GBK"/>
          <w:color w:val="000000"/>
          <w:sz w:val="28"/>
          <w:szCs w:val="28"/>
          <w:lang w:val="en-US" w:eastAsia="zh-CN"/>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shd w:val="nil" w:color="auto"/>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51"/>
        <w:jc w:val="center"/>
        <w:keepLines w:val="0"/>
        <w:keepNext/>
        <w:pageBreakBefore w:val="0"/>
        <w:spacing w:line="44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受南京图书馆的委托，江苏省政府采购中心就2025年全国智慧图书馆体系建设项目之江苏支撑平台(</w:t>
      </w:r>
      <w:r>
        <w:rPr>
          <w:rFonts w:hint="eastAsia" w:ascii="方正仿宋_GBK" w:hAnsi="方正仿宋_GBK" w:eastAsia="方正仿宋_GBK" w:cs="方正仿宋_GBK"/>
          <w:color w:val="000000"/>
          <w:sz w:val="28"/>
          <w:szCs w:val="28"/>
          <w:lang w:eastAsia="zh-CN"/>
        </w:rPr>
        <w:t xml:space="preserve">采购编号：JSZC-320000-SCZX-G2026-0453</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4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2025年全国智慧图书馆体系建设项目之江苏支撑平台</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5</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1"/>
        <w:ind w:firstLine="560"/>
        <w:jc w:val="left"/>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：JSZC-320000-SCZX-G2026-0453  </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2025年全国智慧图书馆体系建设项目之江苏支撑平台</w:t>
      </w:r>
      <w:r>
        <w:rPr>
          <w:rFonts w:hint="eastAsia" w:ascii="方正仿宋_GBK" w:hAnsi="方正仿宋_GBK" w:eastAsia="方正仿宋_GBK" w:cs="方正仿宋_GBK"/>
          <w:color w:val="000000"/>
          <w:sz w:val="28"/>
          <w:szCs w:val="28"/>
          <w:lang w:eastAsia="zh-CN"/>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3"/>
        <w:gridCol w:w="7482"/>
      </w:tblGrid>
      <w:tr>
        <w:trPr/>
        <w:tc>
          <w:tcPr>
            <w:tcW w:w="1623" w:type="dxa"/>
            <w:vAlign w:val="top"/>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482" w:type="dxa"/>
            <w:vAlign w:val="top"/>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预算金额（人民币：万元）</w:t>
            </w:r>
            <w:r>
              <w:rPr>
                <w:rFonts w:hint="eastAsia" w:ascii="方正仿宋_GBK" w:hAnsi="方正仿宋_GBK" w:eastAsia="方正仿宋_GBK" w:cs="方正仿宋_GBK"/>
                <w:sz w:val="28"/>
                <w:szCs w:val="28"/>
              </w:rPr>
            </w:r>
            <w:r/>
          </w:p>
        </w:tc>
      </w:tr>
      <w:tr>
        <w:trPr/>
        <w:tc>
          <w:tcPr>
            <w:tcW w:w="1623" w:type="dxa"/>
            <w:vAlign w:val="top"/>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482" w:type="dxa"/>
            <w:vAlign w:val="top"/>
            <w:textDirection w:val="lrTb"/>
            <w:noWrap w:val="false"/>
          </w:tcPr>
          <w:p>
            <w:pPr>
              <w:pStyle w:val="951"/>
              <w:jc w:val="center"/>
              <w:keepLines w:val="0"/>
              <w:keepNext w:val="0"/>
              <w:pageBreakBefore w:val="0"/>
              <w:spacing w:line="44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75</w:t>
            </w:r>
            <w:r>
              <w:rPr>
                <w:rFonts w:ascii="方正仿宋_GBK" w:hAnsi="方正仿宋_GBK" w:eastAsia="方正仿宋_GBK" w:cs="方正仿宋_GBK"/>
                <w:sz w:val="28"/>
                <w:szCs w:val="28"/>
                <w:lang w:val="en-US" w:eastAsia="zh-CN"/>
              </w:rPr>
            </w:r>
            <w:r/>
          </w:p>
        </w:tc>
      </w:tr>
    </w:tbl>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7445"/>
      </w:tblGrid>
      <w:tr>
        <w:trPr/>
        <w:tc>
          <w:tcPr>
            <w:tcW w:w="1660"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采购包号</w:t>
            </w:r>
            <w:r>
              <w:rPr>
                <w:rFonts w:hint="eastAsia" w:ascii="方正仿宋_GBK" w:hAnsi="方正仿宋_GBK" w:eastAsia="方正仿宋_GBK" w:cs="方正仿宋_GBK"/>
                <w:color w:val="000000"/>
                <w:sz w:val="28"/>
                <w:szCs w:val="28"/>
              </w:rPr>
            </w:r>
            <w:r/>
          </w:p>
        </w:tc>
        <w:tc>
          <w:tcPr>
            <w:tcW w:w="7445"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最高限价（人民币：万元）</w:t>
            </w:r>
            <w:r>
              <w:rPr>
                <w:rFonts w:hint="eastAsia" w:ascii="方正仿宋_GBK" w:hAnsi="方正仿宋_GBK" w:eastAsia="方正仿宋_GBK" w:cs="方正仿宋_GBK"/>
                <w:color w:val="000000"/>
                <w:sz w:val="28"/>
                <w:szCs w:val="28"/>
              </w:rPr>
            </w:r>
            <w:r/>
          </w:p>
        </w:tc>
      </w:tr>
      <w:tr>
        <w:trPr/>
        <w:tc>
          <w:tcPr>
            <w:tcW w:w="1660"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7445" w:type="dxa"/>
            <w:vAlign w:val="top"/>
            <w:textDirection w:val="lrTb"/>
            <w:noWrap w:val="false"/>
          </w:tcPr>
          <w:p>
            <w:pPr>
              <w:pStyle w:val="951"/>
              <w:jc w:val="center"/>
              <w:keepLines w:val="0"/>
              <w:pageBreakBefore w:val="0"/>
              <w:spacing w:line="44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75</w:t>
            </w:r>
            <w:r>
              <w:rPr>
                <w:rFonts w:ascii="方正仿宋_GBK" w:hAnsi="方正仿宋_GBK" w:eastAsia="方正仿宋_GBK" w:cs="方正仿宋_GBK"/>
                <w:color w:val="000000"/>
                <w:sz w:val="28"/>
                <w:szCs w:val="28"/>
                <w:lang w:val="en-US" w:eastAsia="zh-CN"/>
              </w:rPr>
            </w:r>
            <w:r/>
          </w:p>
        </w:tc>
      </w:tr>
    </w:tbl>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u w:val="single"/>
        </w:rPr>
      </w:pPr>
      <w:r/>
      <w:bookmarkStart w:id="12" w:name="_Toc38985264"/>
      <w:r/>
      <w:bookmarkStart w:id="13" w:name="_Toc28359080"/>
      <w:r/>
      <w:bookmarkStart w:id="14" w:name="_Toc28359003"/>
      <w:r/>
      <w:bookmarkStart w:id="15" w:name="_Toc35393622"/>
      <w:r/>
      <w:bookmarkStart w:id="16" w:name="_Toc35393791"/>
      <w:r>
        <w:rPr>
          <w:rFonts w:hint="eastAsia" w:ascii="方正仿宋_GBK" w:hAnsi="方正仿宋_GBK" w:eastAsia="方正仿宋_GBK" w:cs="方正仿宋_GBK"/>
          <w:color w:val="000000"/>
          <w:sz w:val="28"/>
          <w:szCs w:val="28"/>
        </w:rPr>
        <w:t xml:space="preserve">5.采购需求</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简介</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b w:val="0"/>
          <w:bCs w:val="0"/>
          <w:sz w:val="28"/>
          <w:szCs w:val="28"/>
          <w:highlight w:val="none"/>
          <w:lang w:val="en-US" w:eastAsia="zh-CN" w:bidi="ar-SA"/>
        </w:rPr>
        <w:t xml:space="preserve">本项目依托南京图书馆已建成的全网知识内容集中仓储系统开展定制开发服务。主要包括：一是系统业务功能及对接开发，新增硬盘挂载资源上传、异步化资源入库、中央转移支付资源上传及国图对接能力，支持文件校验、断点重传、传输状态监控；二是系统管理功能开发，实现国图数据模板自动同步更新、RBAC精细化权限管控，搭建全省阅读推广活动知识库，配套多终端活动数据填报、多源数据采集与AI分析能力；三是专网服务续期与代理对接，完成SD-WAN专网服务延续，搭建本地代理服务，实现专网内无缝访问国家图书馆全网资源展示中心。</w:t>
      </w:r>
      <w:r>
        <w:rPr>
          <w:rFonts w:hint="eastAsia" w:ascii="方正仿宋_GBK" w:hAnsi="方正仿宋_GBK" w:eastAsia="方正仿宋_GBK" w:cs="方正仿宋_GBK"/>
          <w:color w:val="000000"/>
          <w:sz w:val="28"/>
          <w:szCs w:val="28"/>
          <w:highlight w:val="none"/>
        </w:rPr>
        <w:t xml:space="preserve">（详细内容见本招标文件第四章）</w:t>
      </w:r>
      <w:r>
        <w:rPr>
          <w:rFonts w:hint="eastAsia" w:ascii="方正仿宋_GBK" w:hAnsi="方正仿宋_GBK" w:eastAsia="方正仿宋_GBK" w:cs="方正仿宋_GBK"/>
          <w:color w:val="000000"/>
          <w:sz w:val="28"/>
          <w:szCs w:val="28"/>
          <w:highlight w:val="none"/>
          <w:u w:val="single"/>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u w:val="single"/>
          <w:lang w:eastAsia="zh-CN"/>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Times New Roman" w:hAnsi="Times New Roman" w:eastAsia="方正仿宋_GBK" w:cs="Times New Roman"/>
          <w:color w:val="000000"/>
          <w:sz w:val="28"/>
          <w:szCs w:val="28"/>
          <w:highlight w:val="none"/>
          <w:lang w:val="en-US" w:eastAsia="zh-CN"/>
        </w:rPr>
        <w:t xml:space="preserve">本项目的建设周期为</w:t>
      </w:r>
      <w:r>
        <w:rPr>
          <w:rFonts w:hint="eastAsia"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val="en-US" w:eastAsia="zh-CN"/>
        </w:rPr>
        <w:t xml:space="preserve">个月，期间需要完成系统的开发、测试、部署，符合上线运行条件。</w:t>
      </w:r>
      <w:r>
        <w:rPr>
          <w:rFonts w:hint="eastAsia" w:ascii="方正仿宋_GBK" w:hAnsi="方正仿宋_GBK" w:eastAsia="方正仿宋_GBK" w:cs="方正仿宋_GBK"/>
          <w:color w:val="000000"/>
          <w:sz w:val="28"/>
          <w:szCs w:val="28"/>
          <w:highlight w:val="none"/>
          <w:u w:val="single"/>
          <w:lang w:eastAsia="zh-CN"/>
        </w:rPr>
      </w:r>
      <w:r/>
    </w:p>
    <w:p>
      <w:pPr>
        <w:pStyle w:val="951"/>
        <w:ind w:firstLine="560"/>
        <w:jc w:val="left"/>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4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28359081"/>
      <w:r/>
      <w:bookmarkStart w:id="19" w:name="_Toc28359004"/>
      <w:r/>
      <w:bookmarkStart w:id="20" w:name="_Toc35393623"/>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1"/>
        <w:ind w:firstLine="560"/>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2968"/>
        <w:gridCol w:w="4453"/>
      </w:tblGrid>
      <w:tr>
        <w:trPr/>
        <w:tc>
          <w:tcPr>
            <w:tcW w:w="1639"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968"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4453" w:type="dxa"/>
            <w:vAlign w:val="center"/>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639"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4453"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51"/>
        <w:ind w:firstLine="560"/>
        <w:keepLines w:val="0"/>
        <w:keepNext w:val="0"/>
        <w:pageBreakBefore w:val="0"/>
        <w:spacing w:line="44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7436"/>
      </w:tblGrid>
      <w:tr>
        <w:trPr/>
        <w:tc>
          <w:tcPr>
            <w:tcW w:w="1639"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436"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639" w:type="dxa"/>
            <w:vAlign w:val="top"/>
            <w:textDirection w:val="lrTb"/>
            <w:noWrap w:val="false"/>
          </w:tcPr>
          <w:p>
            <w:pPr>
              <w:pStyle w:val="951"/>
              <w:jc w:val="center"/>
              <w:keepLines w:val="0"/>
              <w:pageBreakBefore w:val="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436" w:type="dxa"/>
            <w:vAlign w:val="top"/>
            <w:textDirection w:val="lrTb"/>
            <w:noWrap w:val="false"/>
          </w:tcPr>
          <w:p>
            <w:pPr>
              <w:pStyle w:val="951"/>
              <w:jc w:val="center"/>
              <w:keepLines w:val="0"/>
              <w:pageBreakBefore w:val="0"/>
              <w:spacing w:line="440" w:lineRule="exac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无</w:t>
            </w:r>
            <w:r>
              <w:rPr>
                <w:rFonts w:ascii="方正仿宋_GBK" w:hAnsi="方正仿宋_GBK" w:eastAsia="方正仿宋_GBK" w:cs="方正仿宋_GBK"/>
                <w:sz w:val="28"/>
                <w:szCs w:val="28"/>
                <w:lang w:val="en-US" w:eastAsia="zh-CN"/>
              </w:rPr>
            </w:r>
            <w:r/>
          </w:p>
        </w:tc>
      </w:tr>
    </w:tbl>
    <w:p>
      <w:pPr>
        <w:pStyle w:val="951"/>
        <w:ind w:firstLine="560"/>
        <w:jc w:val="left"/>
        <w:keepLines w:val="0"/>
        <w:keepNext/>
        <w:pageBreakBefore w:val="0"/>
        <w:spacing w:line="44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28359084"/>
      <w:r/>
      <w:bookmarkStart w:id="24" w:name="_Toc38985267"/>
      <w:r/>
      <w:bookmarkStart w:id="25" w:name="_Toc35393794"/>
      <w:r/>
      <w:bookmarkStart w:id="26" w:name="_Toc28359007"/>
      <w:r/>
      <w:bookmarkStart w:id="27" w:name="_Toc35393624"/>
      <w:r/>
      <w:bookmarkStart w:id="28" w:name="_Toc35393793"/>
      <w:r/>
      <w:bookmarkStart w:id="29" w:name="_Toc28359005"/>
      <w:r/>
      <w:bookmarkStart w:id="30" w:name="_Toc28359082"/>
      <w:r/>
      <w:bookmarkStart w:id="31" w:name="_Toc38985266"/>
      <w:r>
        <w:rPr>
          <w:rFonts w:hint="eastAsia" w:ascii="方正黑体_GBK" w:hAnsi="方正黑体_GBK" w:eastAsia="方正黑体_GBK" w:cs="方正黑体_GBK"/>
          <w:color w:val="000000"/>
          <w:sz w:val="28"/>
          <w:szCs w:val="28"/>
        </w:rPr>
        <w:t xml:space="preserve">四、提交投标文件</w:t>
      </w:r>
      <w:bookmarkEnd w:id="29"/>
      <w:r/>
      <w:bookmarkEnd w:id="30"/>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31"/>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4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5</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08"/>
      <w:r/>
      <w:bookmarkStart w:id="36" w:name="_Toc35393796"/>
      <w:r/>
      <w:bookmarkStart w:id="37" w:name="_Toc35393627"/>
      <w:r/>
      <w:bookmarkStart w:id="38" w:name="_Toc28359085"/>
      <w:r/>
      <w:bookmarkStart w:id="39"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51"/>
        <w:ind w:firstLine="560"/>
        <w:jc w:val="left"/>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1"/>
        <w:jc w:val="left"/>
        <w:keepLines w:val="0"/>
        <w:pageBreakBefore w:val="0"/>
        <w:spacing w:line="44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南京图书馆</w:t>
      </w:r>
      <w:r>
        <w:rPr>
          <w:rFonts w:hint="eastAsia" w:ascii="方正仿宋_GBK" w:hAnsi="方正仿宋_GBK" w:eastAsia="方正仿宋_GBK" w:cs="方正仿宋_GBK"/>
          <w:color w:val="000000"/>
          <w:sz w:val="28"/>
          <w:szCs w:val="28"/>
          <w:lang w:eastAsia="zh-CN"/>
        </w:rPr>
      </w:r>
      <w:r/>
    </w:p>
    <w:p>
      <w:pPr>
        <w:pStyle w:val="951"/>
        <w:ind w:firstLine="560"/>
        <w:jc w:val="left"/>
        <w:keepLines w:val="0"/>
        <w:pageBreakBefore w:val="0"/>
        <w:spacing w:line="44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南京市玄武区中山东路189号</w:t>
      </w:r>
      <w:r>
        <w:rPr>
          <w:rFonts w:ascii="方正仿宋_GBK" w:hAnsi="方正仿宋_GBK" w:eastAsia="方正仿宋_GBK" w:cs="方正仿宋_GBK"/>
          <w:color w:val="000000"/>
          <w:sz w:val="28"/>
          <w:szCs w:val="28"/>
          <w:lang w:val="en-US" w:eastAsia="zh-CN"/>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陈明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lang w:val="en-US" w:eastAsia="zh-CN"/>
        </w:rPr>
        <w:t xml:space="preserve">025-84356303</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51"/>
        <w:ind w:firstLine="560"/>
        <w:jc w:val="left"/>
        <w:keepLines w:val="0"/>
        <w:pageBreakBefore w:val="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1"/>
        <w:ind w:firstLine="560"/>
        <w:jc w:val="left"/>
        <w:keepLines w:val="0"/>
        <w:keepNext/>
        <w:pageBreakBefore w:val="0"/>
        <w:spacing w:line="440" w:lineRule="exact"/>
        <w:rPr>
          <w:rFonts w:hint="eastAsia" w:ascii="方正仿宋_GBK" w:hAnsi="方正仿宋_GBK" w:eastAsia="方正仿宋_GBK" w:cs="方正仿宋_GBK"/>
          <w:color w:val="000000"/>
          <w:sz w:val="28"/>
          <w:szCs w:val="28"/>
          <w:highlight w:val="none"/>
        </w:rPr>
        <w:outlineLvl w:val="0"/>
      </w:pPr>
      <w:r/>
      <w:bookmarkStart w:id="42" w:name="_Toc28359010"/>
      <w:r/>
      <w:bookmarkStart w:id="43" w:name="_Toc28359087"/>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南京市汉中门大街145号省政务服务中心二期3楼</w:t>
      </w:r>
      <w:r>
        <w:rPr>
          <w:rFonts w:hint="eastAsia" w:ascii="方正仿宋_GBK" w:hAnsi="方正仿宋_GBK" w:eastAsia="方正仿宋_GBK" w:cs="方正仿宋_GBK"/>
          <w:color w:val="000000"/>
          <w:sz w:val="28"/>
          <w:szCs w:val="28"/>
          <w:highlight w:val="none"/>
        </w:rPr>
      </w:r>
      <w:r/>
    </w:p>
    <w:p>
      <w:pPr>
        <w:pStyle w:val="951"/>
        <w:ind w:firstLine="560"/>
        <w:jc w:val="left"/>
        <w:keepLines w:val="0"/>
        <w:keepNext/>
        <w:pageBreakBefore w:val="0"/>
        <w:spacing w:line="44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 陈瑜、严晓薇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951"/>
        <w:ind w:firstLine="560"/>
        <w:keepLines w:val="0"/>
        <w:pageBreakBefore w:val="0"/>
        <w:spacing w:line="4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025-83668552、83668537</w:t>
      </w:r>
      <w:r>
        <w:rPr>
          <w:rFonts w:hint="eastAsia" w:ascii="方正仿宋_GBK" w:hAnsi="方正仿宋_GBK" w:eastAsia="方正仿宋_GBK" w:cs="方正仿宋_GBK"/>
          <w:color w:val="000000"/>
          <w:sz w:val="28"/>
          <w:szCs w:val="28"/>
        </w:rPr>
      </w:r>
      <w:r/>
    </w:p>
    <w:p>
      <w:pPr>
        <w:pStyle w:val="951"/>
        <w:ind w:firstLine="560"/>
        <w:jc w:val="left"/>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4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1"/>
        <w:ind w:firstLine="560"/>
        <w:keepLines w:val="0"/>
        <w:pageBreakBefore w:val="0"/>
        <w:spacing w:line="44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1"/>
        <w:ind w:firstLine="560"/>
        <w:keepLines w:val="0"/>
        <w:pageBreakBefore w:val="0"/>
        <w:spacing w:line="44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1"/>
        <w:ind w:firstLine="560"/>
        <w:keepLines w:val="0"/>
        <w:pageBreakBefore w:val="0"/>
        <w:spacing w:line="44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1"/>
        <w:ind w:right="840"/>
        <w:rPr>
          <w:rFonts w:hint="eastAsia" w:ascii="宋体" w:hAnsi="宋体"/>
          <w:color w:val="000000"/>
          <w:sz w:val="24"/>
          <w:szCs w:val="24"/>
        </w:rPr>
      </w:pPr>
      <w:r>
        <w:rPr>
          <w:rFonts w:hint="eastAsia" w:ascii="宋体" w:hAnsi="宋体"/>
          <w:color w:val="000000"/>
          <w:sz w:val="24"/>
          <w:szCs w:val="24"/>
        </w:rPr>
      </w:r>
      <w:r/>
    </w:p>
    <w:p>
      <w:pPr>
        <w:pStyle w:val="951"/>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方正黑体_GBK" w:hAnsi="方正黑体_GBK" w:eastAsia="方正黑体_GBK" w:cs="方正黑体_GBK"/>
          <w:color w:val="000000"/>
          <w:sz w:val="32"/>
          <w:szCs w:val="32"/>
        </w:rPr>
        <w:t xml:space="preserve">投标人须知</w:t>
      </w:r>
      <w:bookmarkEnd w:id="45"/>
      <w:r/>
      <w:bookmarkEnd w:id="46"/>
      <w:r/>
      <w:bookmarkEnd w:id="47"/>
      <w:r/>
      <w:bookmarkEnd w:id="48"/>
      <w:r>
        <w:rPr>
          <w:rFonts w:hint="eastAsia" w:ascii="宋体" w:hAnsi="宋体"/>
          <w:sz w:val="28"/>
          <w:szCs w:val="28"/>
        </w:rPr>
      </w:r>
      <w:r/>
    </w:p>
    <w:p>
      <w:pPr>
        <w:pStyle w:val="951"/>
        <w:ind w:firstLine="560"/>
        <w:jc w:val="both"/>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51"/>
        <w:ind w:firstLine="560"/>
        <w:jc w:val="both"/>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1"/>
        <w:ind w:firstLine="560"/>
        <w:jc w:val="both"/>
        <w:keepLines w:val="0"/>
        <w:pageBreakBefore w:val="0"/>
        <w:spacing w:line="44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1"/>
        <w:ind w:firstLine="560"/>
        <w:jc w:val="both"/>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Start w:id="49" w:name="_Toc16938529"/>
      <w:r/>
      <w:bookmarkStart w:id="50" w:name="_Toc462564072"/>
      <w:r/>
      <w:bookmarkStart w:id="51" w:name="_Toc120614216"/>
      <w:r/>
      <w:bookmarkStart w:id="52" w:name="_Toc513029213"/>
      <w:r/>
      <w:bookmarkStart w:id="53" w:name="_Toc20823285"/>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Cs w:val="0"/>
          <w:sz w:val="28"/>
          <w:szCs w:val="28"/>
        </w:rPr>
      </w:pPr>
      <w:r/>
      <w:bookmarkStart w:id="54" w:name="_Toc462564073"/>
      <w:r/>
      <w:bookmarkStart w:id="55" w:name="_Toc20823286"/>
      <w:r/>
      <w:bookmarkStart w:id="56" w:name="_Toc513029214"/>
      <w:r/>
      <w:bookmarkStart w:id="57" w:name="_Toc16938530"/>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bookmarkStart w:id="58" w:name="_Toc16938531"/>
      <w:r/>
      <w:bookmarkStart w:id="59" w:name="_Toc20823287"/>
      <w:r/>
      <w:bookmarkStart w:id="60" w:name="_Toc462564074"/>
      <w:r/>
      <w:bookmarkStart w:id="61"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bookmarkStart w:id="62" w:name="_Hlt26668975"/>
      <w:r/>
      <w:bookmarkEnd w:id="62"/>
      <w:r/>
      <w:bookmarkStart w:id="63" w:name="_Hlt26954838"/>
      <w:r/>
      <w:bookmarkEnd w:id="63"/>
      <w:r/>
      <w:bookmarkStart w:id="64" w:name="_Hlt26670360"/>
      <w:r/>
      <w:bookmarkEnd w:id="64"/>
      <w:r/>
      <w:bookmarkStart w:id="65" w:name="_Toc14577357"/>
      <w:r/>
      <w:bookmarkStart w:id="66" w:name="_Toc49090509"/>
      <w:r/>
      <w:bookmarkStart w:id="67" w:name="_Toc513029219"/>
      <w:r/>
      <w:bookmarkStart w:id="68" w:name="_Toc49090507"/>
      <w:r/>
      <w:bookmarkStart w:id="69" w:name="_Toc513029216"/>
      <w:r/>
      <w:bookmarkStart w:id="70"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bookmarkStart w:id="76" w:name="_Hlt26670486"/>
      <w:r/>
      <w:bookmarkEnd w:id="76"/>
      <w:r/>
      <w:bookmarkStart w:id="77" w:name="_Hlt26670403"/>
      <w:r/>
      <w:bookmarkEnd w:id="77"/>
      <w:r/>
      <w:bookmarkStart w:id="78" w:name="_Hlt26954844"/>
      <w:r/>
      <w:bookmarkEnd w:id="78"/>
      <w:r/>
      <w:bookmarkStart w:id="79" w:name="_Hlt26668983"/>
      <w:r/>
      <w:bookmarkEnd w:id="79"/>
      <w:r/>
      <w:bookmarkStart w:id="80" w:name="_Hlt26954842"/>
      <w:r/>
      <w:bookmarkEnd w:id="80"/>
      <w:r/>
      <w:bookmarkStart w:id="81" w:name="_Hlt26954846"/>
      <w:r/>
      <w:bookmarkEnd w:id="81"/>
      <w:r/>
      <w:bookmarkStart w:id="82" w:name="_Hlt26954848"/>
      <w:r/>
      <w:bookmarkEnd w:id="82"/>
      <w:r/>
      <w:bookmarkStart w:id="83" w:name="_Hlt26670482"/>
      <w:r/>
      <w:bookmarkEnd w:id="83"/>
      <w:r/>
      <w:bookmarkStart w:id="84" w:name="_Hlt26670425"/>
      <w:r/>
      <w:bookmarkEnd w:id="84"/>
      <w:r/>
      <w:bookmarkStart w:id="85" w:name="_Hlt26954731"/>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954734"/>
      <w:r/>
      <w:bookmarkEnd w:id="88"/>
      <w:r/>
      <w:bookmarkStart w:id="89" w:name="_Hlt26954850"/>
      <w:r/>
      <w:bookmarkEnd w:id="89"/>
      <w:r/>
      <w:bookmarkStart w:id="90" w:name="_Hlt26670489"/>
      <w:r/>
      <w:bookmarkEnd w:id="90"/>
      <w:r/>
      <w:bookmarkStart w:id="91" w:name="_Toc49090511"/>
      <w:r/>
      <w:bookmarkStart w:id="92"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1"/>
        <w:ind w:firstLine="560"/>
        <w:jc w:val="both"/>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16938540"/>
      <w:r/>
      <w:bookmarkStart w:id="96" w:name="_Toc513029224"/>
      <w:r/>
      <w:bookmarkStart w:id="97" w:name="_Toc120614217"/>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bookmarkStart w:id="99" w:name="_Toc462564084"/>
      <w:r/>
      <w:bookmarkStart w:id="100" w:name="_Toc513029225"/>
      <w:r/>
      <w:bookmarkStart w:id="101" w:name="_Toc20823297"/>
      <w:r/>
      <w:bookmarkStart w:id="102"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3"/>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16938542"/>
      <w:r/>
      <w:bookmarkStart w:id="104" w:name="_Toc513029226"/>
      <w:r/>
      <w:bookmarkStart w:id="105" w:name="_Toc20823298"/>
      <w:r>
        <w:rPr>
          <w:rFonts w:hint="eastAsia" w:ascii="方正仿宋_GBK" w:hAnsi="方正仿宋_GBK" w:eastAsia="方正仿宋_GBK" w:cs="方正仿宋_GBK"/>
          <w:bCs/>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bookmarkStart w:id="106" w:name="_Toc513029227"/>
      <w:r/>
      <w:bookmarkStart w:id="107" w:name="_Toc16938543"/>
      <w:r/>
      <w:bookmarkStart w:id="108" w:name="_Toc20823299"/>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5"/>
        <w:ind w:firstLine="560"/>
        <w:jc w:val="both"/>
        <w:pageBreakBefore w:val="0"/>
        <w:spacing w:before="0" w:after="0" w:line="440" w:lineRule="exact"/>
        <w:widowControl w:val="off"/>
        <w:rPr>
          <w:rFonts w:hint="eastAsia" w:ascii="方正仿宋_GBK" w:hAnsi="方正仿宋_GBK" w:eastAsia="方正仿宋_GBK" w:cs="方正仿宋_GBK"/>
          <w:b w:val="0"/>
          <w:bCs w:val="0"/>
          <w:sz w:val="28"/>
          <w:szCs w:val="28"/>
        </w:rPr>
      </w:pPr>
      <w:r/>
      <w:bookmarkStart w:id="109" w:name="_Toc16938544"/>
      <w:r/>
      <w:bookmarkStart w:id="110" w:name="_Toc513029228"/>
      <w:r/>
      <w:bookmarkStart w:id="111"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1"/>
        <w:ind w:firstLine="560"/>
        <w:jc w:val="both"/>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Start w:id="112" w:name="_Toc16938545"/>
      <w:r/>
      <w:bookmarkStart w:id="113" w:name="_Toc513029229"/>
      <w:r/>
      <w:bookmarkStart w:id="114" w:name="_Toc20823301"/>
      <w:r/>
      <w:bookmarkStart w:id="115" w:name="_Toc120614218"/>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bookmarkStart w:id="119" w:name="_Toc16938547"/>
      <w:r/>
      <w:bookmarkStart w:id="120" w:name="_Toc513029231"/>
      <w:r/>
      <w:bookmarkStart w:id="121" w:name="_Toc20823303"/>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w:t>
      </w:r>
      <w:r>
        <w:rPr>
          <w:rFonts w:hint="eastAsia" w:ascii="方正仿宋_GBK" w:hAnsi="方正仿宋_GBK" w:eastAsia="方正仿宋_GBK" w:cs="方正仿宋_GBK"/>
          <w:sz w:val="28"/>
          <w:szCs w:val="28"/>
          <w:lang w:val="en-US" w:eastAsia="zh-CN"/>
        </w:rPr>
        <w:t xml:space="preserve">候选人</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bookmarkStart w:id="122" w:name="_Toc16938548"/>
      <w:r/>
      <w:bookmarkStart w:id="123" w:name="_Toc513029232"/>
      <w:r/>
      <w:bookmarkStart w:id="124"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1"/>
        <w:ind w:firstLine="560"/>
        <w:jc w:val="both"/>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bookmarkStart w:id="128" w:name="_Toc20823306"/>
      <w:r/>
      <w:bookmarkStart w:id="129" w:name="_Toc513029234"/>
      <w:r/>
      <w:bookmarkStart w:id="130"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bookmarkStart w:id="131" w:name="_Toc20823307"/>
      <w:r/>
      <w:bookmarkStart w:id="132" w:name="_Toc16938551"/>
      <w:r/>
      <w:bookmarkStart w:id="133"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51"/>
        <w:ind w:firstLine="560"/>
        <w:jc w:val="both"/>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51"/>
        <w:ind w:firstLine="560"/>
        <w:jc w:val="both"/>
        <w:keepLines w:val="0"/>
        <w:keepNext/>
        <w:pageBreakBefore w:val="0"/>
        <w:spacing w:line="44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20823308"/>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513029237"/>
      <w:r/>
      <w:bookmarkStart w:id="144" w:name="_Toc16938553"/>
      <w:r/>
      <w:bookmarkStart w:id="145"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bookmarkStart w:id="146" w:name="_Toc120614221"/>
      <w:r/>
      <w:bookmarkStart w:id="147" w:name="_Toc479757207"/>
      <w:r/>
      <w:bookmarkStart w:id="148" w:name="_Toc20823314"/>
      <w:r/>
      <w:bookmarkStart w:id="149" w:name="_Toc16938558"/>
      <w:r/>
      <w:bookmarkStart w:id="150" w:name="_Toc513029242"/>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67"/>
        <w:spacing w:line="400" w:lineRule="exact"/>
        <w:rPr>
          <w:rFonts w:hint="eastAsia" w:ascii="宋体" w:hAnsi="宋体"/>
          <w:bCs/>
          <w:sz w:val="24"/>
        </w:rPr>
      </w:pPr>
      <w:r>
        <w:rPr>
          <w:rFonts w:hint="eastAsia" w:ascii="宋体" w:hAnsi="宋体"/>
          <w:bCs/>
          <w:sz w:val="24"/>
        </w:rPr>
      </w:r>
      <w:r/>
    </w:p>
    <w:p>
      <w:pPr>
        <w:pStyle w:val="951"/>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rPr>
        <w:t xml:space="preserve">文本</w:t>
      </w:r>
      <w:r>
        <w:rPr>
          <w:rFonts w:hint="eastAsia" w:ascii="方正黑体_GBK" w:hAnsi="方正黑体_GBK" w:eastAsia="方正黑体_GBK" w:cs="方正黑体_GBK"/>
          <w:color w:val="000000"/>
          <w:sz w:val="32"/>
          <w:szCs w:val="32"/>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513029243"/>
      <w:r/>
      <w:bookmarkStart w:id="152" w:name="_Toc16938559"/>
      <w:r/>
      <w:bookmarkStart w:id="153" w:name="_Toc20823315"/>
      <w:r>
        <w:rPr>
          <w:rFonts w:hint="eastAsia" w:ascii="方正仿宋_GBK" w:hAnsi="方正仿宋_GBK" w:eastAsia="方正仿宋_GBK" w:cs="方正仿宋_GBK"/>
          <w:b w:val="0"/>
          <w:bCs/>
          <w:sz w:val="28"/>
          <w:szCs w:val="28"/>
          <w:highlight w:val="yellow"/>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b w:val="0"/>
          <w:bCs/>
          <w:sz w:val="28"/>
          <w:szCs w:val="28"/>
          <w:highlight w:val="yellow"/>
        </w:rPr>
      </w:r>
      <w:r/>
    </w:p>
    <w:p>
      <w:pPr>
        <w:pStyle w:val="982"/>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82"/>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51"/>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 w:val="0"/>
          <w:bCs/>
          <w:sz w:val="28"/>
          <w:szCs w:val="28"/>
          <w:highlight w:val="yellow"/>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6.1 乙方交纳人民币</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b w:val="0"/>
          <w:bCs w:val="0"/>
          <w:sz w:val="28"/>
          <w:szCs w:val="28"/>
          <w:highlight w:val="none"/>
          <w:u w:val="single"/>
          <w:lang w:val="en-US" w:eastAsia="zh-CN" w:bidi="ar-SA"/>
        </w:rPr>
        <w:t xml:space="preserve">30000</w:t>
      </w:r>
      <w:r>
        <w:rPr>
          <w:rFonts w:hint="eastAsia" w:ascii="方正仿宋_GBK" w:hAnsi="方正仿宋_GBK" w:eastAsia="方正仿宋_GBK" w:cs="方正仿宋_GBK"/>
          <w:sz w:val="28"/>
          <w:szCs w:val="28"/>
          <w:highlight w:val="none"/>
        </w:rPr>
        <w:t xml:space="preserve">元作为本合同的履约保证金。（不得超过合同金额的10%）</w:t>
      </w:r>
      <w:r>
        <w:rPr>
          <w:rFonts w:hint="eastAsia" w:ascii="方正仿宋_GBK" w:hAnsi="方正仿宋_GBK" w:eastAsia="方正仿宋_GBK" w:cs="方正仿宋_GBK"/>
          <w:sz w:val="28"/>
          <w:szCs w:val="28"/>
          <w:highlight w:val="none"/>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rPr>
          <w:rFonts w:hint="eastAsia" w:ascii="方正仿宋_GBK" w:hAnsi="方正仿宋_GBK" w:eastAsia="方正仿宋_GBK" w:cs="方正仿宋_GBK"/>
          <w:sz w:val="28"/>
          <w:szCs w:val="28"/>
          <w:highlight w:val="none"/>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6.2.1履约保证金退还方式：</w:t>
      </w:r>
      <w:r>
        <w:rPr>
          <w:rFonts w:hint="eastAsia" w:ascii="方正仿宋_GBK" w:hAnsi="方正仿宋_GBK" w:eastAsia="方正仿宋_GBK" w:cs="方正仿宋_GBK"/>
          <w:b w:val="0"/>
          <w:bCs w:val="0"/>
          <w:sz w:val="28"/>
          <w:szCs w:val="28"/>
          <w:highlight w:val="none"/>
          <w:lang w:val="en-US" w:eastAsia="zh-CN" w:bidi="ar-SA"/>
        </w:rPr>
        <w:t xml:space="preserve">无息原路退回中标单位基本账户。</w:t>
      </w:r>
      <w:r>
        <w:rPr>
          <w:rFonts w:ascii="方正仿宋_GBK" w:hAnsi="方正仿宋_GBK" w:eastAsia="方正仿宋_GBK" w:cs="方正仿宋_GBK"/>
          <w:sz w:val="28"/>
          <w:szCs w:val="28"/>
          <w:highlight w:val="none"/>
          <w:lang w:val="en-US" w:eastAsia="zh-CN"/>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6.2.2履约保证金退还时间：</w:t>
      </w:r>
      <w:r>
        <w:rPr>
          <w:rFonts w:hint="eastAsia" w:ascii="方正仿宋_GBK" w:hAnsi="方正仿宋_GBK" w:eastAsia="方正仿宋_GBK" w:cs="方正仿宋_GBK"/>
          <w:b w:val="0"/>
          <w:bCs w:val="0"/>
          <w:sz w:val="28"/>
          <w:szCs w:val="28"/>
          <w:highlight w:val="none"/>
          <w:lang w:val="en-US" w:eastAsia="zh-CN" w:bidi="ar-SA"/>
        </w:rPr>
        <w:t xml:space="preserve">项目验收合格后7个工作日。</w:t>
      </w:r>
      <w:r>
        <w:rPr>
          <w:rFonts w:ascii="方正仿宋_GBK" w:hAnsi="方正仿宋_GBK" w:eastAsia="方正仿宋_GBK" w:cs="方正仿宋_GBK"/>
          <w:sz w:val="28"/>
          <w:szCs w:val="28"/>
          <w:highlight w:val="none"/>
          <w:lang w:val="en-US" w:eastAsia="zh-CN"/>
        </w:rPr>
      </w:r>
      <w:r/>
    </w:p>
    <w:p>
      <w:pPr>
        <w:pStyle w:val="991"/>
        <w:ind w:firstLine="560"/>
        <w:keepLines w:val="0"/>
        <w:keepNext w:val="0"/>
        <w:pageBreakBefore w:val="0"/>
        <w:spacing w:before="120" w:after="120" w:line="400" w:lineRule="exact"/>
        <w:widowControl w:val="off"/>
        <w:rPr>
          <w:rFonts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sz w:val="28"/>
          <w:szCs w:val="28"/>
          <w:highlight w:val="none"/>
        </w:rPr>
        <w:t xml:space="preserve">6.2.3履约保证金退还条件：</w:t>
      </w:r>
      <w:r>
        <w:rPr>
          <w:rFonts w:hint="eastAsia" w:ascii="方正仿宋_GBK" w:hAnsi="方正仿宋_GBK" w:eastAsia="方正仿宋_GBK" w:cs="方正仿宋_GBK"/>
          <w:b w:val="0"/>
          <w:bCs w:val="0"/>
          <w:sz w:val="28"/>
          <w:szCs w:val="28"/>
          <w:highlight w:val="none"/>
          <w:lang w:val="en-US" w:eastAsia="zh-CN" w:bidi="ar-SA"/>
        </w:rPr>
        <w:t xml:space="preserve">项目验收合格。</w:t>
      </w:r>
      <w:r>
        <w:rPr>
          <w:rFonts w:ascii="方正仿宋_GBK" w:hAnsi="方正仿宋_GBK" w:eastAsia="方正仿宋_GBK" w:cs="方正仿宋_GBK"/>
          <w:b w:val="0"/>
          <w:bCs w:val="0"/>
          <w:sz w:val="28"/>
          <w:szCs w:val="28"/>
          <w:highlight w:val="none"/>
          <w:lang w:val="en-US" w:eastAsia="zh-CN" w:bidi="ar-SA"/>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6.2.4履约保证金不予退还的情形：</w:t>
      </w:r>
      <w:r>
        <w:rPr>
          <w:rFonts w:hint="eastAsia" w:ascii="方正仿宋_GBK" w:hAnsi="方正仿宋_GBK" w:eastAsia="方正仿宋_GBK" w:cs="方正仿宋_GBK"/>
          <w:b w:val="0"/>
          <w:bCs w:val="0"/>
          <w:sz w:val="28"/>
          <w:szCs w:val="28"/>
          <w:highlight w:val="none"/>
          <w:lang w:val="en-US" w:eastAsia="zh-CN" w:bidi="ar-SA"/>
        </w:rPr>
        <w:t xml:space="preserve">存在招标文件和合同约定的违约行为。</w:t>
      </w:r>
      <w:r>
        <w:rPr>
          <w:rFonts w:hint="eastAsia" w:ascii="方正仿宋_GBK" w:hAnsi="方正仿宋_GBK" w:eastAsia="方正仿宋_GBK" w:cs="方正仿宋_GBK"/>
          <w:sz w:val="28"/>
          <w:szCs w:val="28"/>
          <w:highlight w:val="none"/>
          <w:lang w:val="en-US" w:eastAsia="zh-CN"/>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10</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30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w:t>
      </w:r>
      <w:r>
        <w:rPr>
          <w:rFonts w:hint="eastAsia" w:ascii="方正仿宋_GBK" w:hAnsi="方正仿宋_GBK" w:eastAsia="方正仿宋_GBK" w:cs="方正仿宋_GBK"/>
          <w:sz w:val="28"/>
          <w:szCs w:val="28"/>
          <w:lang w:val="en-US" w:eastAsia="zh-CN"/>
        </w:rPr>
        <w:t xml:space="preserve">项目验收合格后，</w:t>
      </w:r>
      <w:r>
        <w:rPr>
          <w:rFonts w:hint="eastAsia" w:ascii="方正仿宋_GBK" w:hAnsi="方正仿宋_GBK" w:eastAsia="方正仿宋_GBK" w:cs="方正仿宋_GBK"/>
          <w:sz w:val="28"/>
          <w:szCs w:val="28"/>
        </w:rPr>
        <w:t xml:space="preserve">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70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甲方按照采购合同的约定对每一项技术、服务、安全标准的履约情况进行确认。验收结束后</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验收小组出具验收书</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列明各项标准的验收情况及项目总体评价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甲方将及时报告本级财政部门。</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1"/>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1"/>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91"/>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91"/>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20823346"/>
      <w:r/>
      <w:bookmarkStart w:id="158" w:name="_Toc120614244"/>
      <w:r/>
      <w:bookmarkStart w:id="159" w:name="_Toc479757211"/>
      <w:r/>
      <w:bookmarkStart w:id="160" w:name="_Toc462564139"/>
      <w:r>
        <w:rPr>
          <w:rFonts w:ascii="黑体" w:eastAsia="黑体"/>
          <w:bCs/>
          <w:sz w:val="28"/>
          <w:szCs w:val="28"/>
        </w:rPr>
        <w:br w:type="page" w:clear="all"/>
      </w:r>
      <w:r>
        <w:rPr>
          <w:rFonts w:hint="eastAsia" w:ascii="方正黑体_GBK" w:hAnsi="方正黑体_GBK" w:eastAsia="方正黑体_GBK" w:cs="方正黑体_GBK"/>
          <w:color w:val="000000"/>
          <w:sz w:val="32"/>
          <w:szCs w:val="32"/>
          <w:lang w:val="en-US" w:eastAsia="zh-CN" w:bidi="ar-SA"/>
        </w:rPr>
        <w:t xml:space="preserve">第</w:t>
      </w:r>
      <w:bookmarkEnd w:id="155"/>
      <w:r>
        <w:rPr>
          <w:rFonts w:hint="eastAsia" w:ascii="方正黑体_GBK" w:hAnsi="方正黑体_GBK" w:eastAsia="方正黑体_GBK" w:cs="方正黑体_GBK"/>
          <w:color w:val="000000"/>
          <w:sz w:val="32"/>
          <w:szCs w:val="32"/>
          <w:lang w:val="en-US" w:eastAsia="zh-CN" w:bidi="ar-SA"/>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91"/>
        <w:ind w:firstLine="560"/>
        <w:keepLines w:val="0"/>
        <w:keepNext w:val="0"/>
        <w:pageBreakBefore w:val="0"/>
        <w:spacing w:before="120" w:after="120" w:line="440" w:lineRule="exact"/>
        <w:widowControl w:val="off"/>
        <w:rPr>
          <w:rFonts w:hint="eastAsia" w:ascii="方正黑体_GBK" w:hAnsi="方正黑体_GBK" w:eastAsia="方正黑体_GBK" w:cs="方正黑体_GBK"/>
          <w:b w:val="0"/>
          <w:bCs/>
          <w:sz w:val="28"/>
          <w:szCs w:val="28"/>
        </w:rPr>
      </w:pPr>
      <w:r/>
      <w:bookmarkStart w:id="161" w:name="_Toc49090575"/>
      <w:r/>
      <w:bookmarkStart w:id="162"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6"/>
        <w:gridCol w:w="945"/>
        <w:gridCol w:w="3823"/>
        <w:gridCol w:w="2438"/>
      </w:tblGrid>
      <w:tr>
        <w:trPr>
          <w:cantSplit/>
          <w:trHeight w:val="701"/>
        </w:trPr>
        <w:tc>
          <w:tcPr>
            <w:tcW w:w="1556"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945"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823"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556"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945"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rPr>
            </w:r>
            <w:r/>
          </w:p>
        </w:tc>
        <w:tc>
          <w:tcPr>
            <w:tcW w:w="3823" w:type="dxa"/>
            <w:vAlign w:val="center"/>
            <w:textDirection w:val="lrTb"/>
            <w:noWrap w:val="false"/>
          </w:tcPr>
          <w:p>
            <w:pPr>
              <w:pStyle w:val="951"/>
              <w:jc w:val="center"/>
              <w:keepLines w:val="0"/>
              <w:keepNext w:val="0"/>
              <w:pageBreakBefore w:val="0"/>
              <w:spacing w:line="44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u w:val="none"/>
                <w:lang w:val="en-US" w:eastAsia="zh-CN" w:bidi="ar-SA"/>
              </w:rPr>
              <w:t xml:space="preserve">2025年全国智慧图书馆体系建设项目之江苏支撑平台</w:t>
            </w:r>
            <w:r>
              <w:rPr>
                <w:rFonts w:hint="eastAsia" w:ascii="方正仿宋_GBK" w:hAnsi="方正仿宋_GBK" w:eastAsia="方正仿宋_GBK" w:cs="方正仿宋_GBK"/>
                <w:sz w:val="28"/>
                <w:szCs w:val="28"/>
                <w:u w:val="none"/>
                <w:lang w:val="en-US" w:eastAsia="zh-CN"/>
              </w:rPr>
            </w:r>
            <w:r/>
          </w:p>
        </w:tc>
        <w:tc>
          <w:tcPr>
            <w:tcW w:w="2438" w:type="dxa"/>
            <w:vAlign w:val="center"/>
            <w:textDirection w:val="lrTb"/>
            <w:noWrap w:val="false"/>
          </w:tcPr>
          <w:p>
            <w:pPr>
              <w:pStyle w:val="951"/>
              <w:jc w:val="center"/>
              <w:keepLines w:val="0"/>
              <w:keepNext w:val="0"/>
              <w:pageBreakBefore w:val="0"/>
              <w:spacing w:line="44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软件和信息技术服务业</w:t>
            </w:r>
            <w:r>
              <w:rPr>
                <w:rFonts w:hint="eastAsia" w:ascii="Times New Roman" w:hAnsi="Times New Roman" w:eastAsia="方正仿宋_GBK" w:cs="Times New Roman"/>
                <w:color w:val="000000"/>
                <w:sz w:val="28"/>
                <w:szCs w:val="28"/>
                <w:u w:val="none"/>
                <w:lang w:val="en-US" w:eastAsia="zh-CN" w:bidi="ar-SA"/>
              </w:rPr>
            </w:r>
            <w:r/>
          </w:p>
        </w:tc>
      </w:tr>
    </w:tbl>
    <w:p>
      <w:pPr>
        <w:pStyle w:val="991"/>
        <w:ind w:firstLine="560"/>
        <w:keepLines w:val="0"/>
        <w:keepNext w:val="0"/>
        <w:pageBreakBefore w:val="0"/>
        <w:spacing w:before="120" w:after="120" w:line="44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51"/>
        <w:ind w:firstLine="560"/>
        <w:jc w:val="left"/>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51"/>
        <w:ind w:firstLine="560"/>
        <w:jc w:val="left"/>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51"/>
        <w:ind w:firstLine="560"/>
        <w:jc w:val="left"/>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51"/>
        <w:ind w:firstLine="562"/>
        <w:jc w:val="left"/>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本服务项目不涉及货物，投标文件中无需提供《关于符合本国产品标准的声明函》。</w:t>
      </w:r>
      <w:r>
        <w:rPr>
          <w:rFonts w:hint="eastAsia" w:ascii="方正仿宋_GBK" w:hAnsi="方正仿宋_GBK" w:eastAsia="方正仿宋_GBK" w:cs="方正仿宋_GBK"/>
          <w:b/>
          <w:bCs/>
          <w:sz w:val="28"/>
          <w:szCs w:val="28"/>
          <w:lang w:val="en-US" w:eastAsia="zh-CN"/>
        </w:rPr>
      </w:r>
      <w:r/>
    </w:p>
    <w:p>
      <w:pPr>
        <w:pStyle w:val="991"/>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在2021—2024年支撑平台建设的基础上，南京图书馆开展已建智慧图书馆支撑平台全网知识内容集中仓储系统基础设施、软件系统维护和接口定制开发等。南京图书馆继续建设和维护相关基础设施，确保与国家图书馆SD-WAN架构高速网络互联互通，实现馆际智慧图书馆业务和数字资源高速、稳定连通传输；优化全网知识内容集中仓储系统相关配置，及时排查、修复数据安全和网络安全相关的软件漏洞，确保系统安全和稳定运行。配套定制开发相关业务功能和接口，保障南京图书馆业务与全国智慧图书馆体系新增的智慧化管理和服务平台无缝对接。</w:t>
      </w:r>
      <w:r>
        <w:rPr>
          <w:rFonts w:hint="eastAsia" w:ascii="方正仿宋_GBK" w:hAnsi="方正仿宋_GBK" w:eastAsia="方正仿宋_GBK" w:cs="方正仿宋_GBK"/>
          <w:sz w:val="28"/>
          <w:szCs w:val="28"/>
          <w:lang w:val="en-US" w:eastAsia="zh-CN"/>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在南京图书馆已建设的全网知识内容集中仓储系统完成以下定制开发服务：</w:t>
      </w:r>
      <w:r>
        <w:rPr>
          <w:rFonts w:hint="eastAsia" w:ascii="方正仿宋_GBK" w:hAnsi="方正仿宋_GBK" w:eastAsia="方正仿宋_GBK" w:cs="方正仿宋_GBK"/>
          <w:b w:val="0"/>
          <w:bCs w:val="0"/>
          <w:sz w:val="28"/>
          <w:szCs w:val="28"/>
          <w:lang w:val="en-US" w:eastAsia="zh-CN" w:bidi="ar-SA"/>
        </w:rPr>
      </w:r>
      <w:r/>
    </w:p>
    <w:p>
      <w:pPr>
        <w:pStyle w:val="982"/>
        <w:ind w:left="0" w:firstLine="562"/>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
          <w:bCs/>
          <w:sz w:val="28"/>
          <w:szCs w:val="28"/>
          <w:lang w:val="en-US" w:eastAsia="zh-CN" w:bidi="ar-SA"/>
        </w:rPr>
        <w:t xml:space="preserve">（一）系统业务功能及对接的定制开发</w:t>
      </w:r>
      <w:r>
        <w:rPr>
          <w:rFonts w:hint="eastAsia" w:ascii="方正仿宋_GBK" w:hAnsi="方正仿宋_GBK" w:eastAsia="方正仿宋_GBK" w:cs="方正仿宋_GBK"/>
          <w:b/>
          <w:bCs/>
          <w:sz w:val="28"/>
          <w:szCs w:val="28"/>
          <w:lang w:val="en-US" w:eastAsia="zh-CN" w:bidi="ar-SA"/>
        </w:rPr>
        <w:tab/>
      </w:r>
      <w:r>
        <w:rPr>
          <w:rFonts w:hint="eastAsia" w:ascii="方正仿宋_GBK" w:hAnsi="方正仿宋_GBK" w:eastAsia="方正仿宋_GBK" w:cs="方正仿宋_GBK"/>
          <w:b/>
          <w:bCs/>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在已建设的仓储系统实现以下业务功能及对接：</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1.仓储系统的资源上传功能。</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可自动检测并读取新接入硬盘；支持对已挂载的硬盘内容进行选择并上传；支持数据校验机制，确保上传文件完整性。</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具体内容包括：</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（1）对仓储系统所在的服务器，仓储系统可自动检测并读取新接入硬盘，需支持多种硬盘类型（如SATA、SAS、SSD等）和文件系统格式（如EXT4、XFS等），兼容市面上主流的硬盘。</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支持对已挂载的硬盘内容进行选择并上传，在仓储系统的项目管理操作上传文件时，支持允许用户选择硬盘中的文件或文件夹内容并进行上传；应支持单个文件上传、批量文件的勾选并上传，支持在上传过程中实时查看进度。</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3）本次在仓储系统开发的硬盘挂载上传功能应提供数据校验机制，确保上传文件完整性，支持在上传文件时自动计算文件的哈希值（如MD5或SHA-256），并在上传完成后与服务器端的计算结果进行比对；如校验结果不一致则提示用户上传文件出错，可重新进行上传。</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2.仓储系统的资源入库功能。</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具体内容包括：</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（1）将仓储系统的文件匹配和入库流程修改为基于消息队列中间件的异步处理模式，要求使用高性能的消息队列中间件，将文件匹配和入库任务分解为多个独立的消息单元，实现异步处理和解耦。</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（2）对仓储系统资源入库后的特征提取，开发支持多线程的特征提取服务，提升特征提取的速度和效率。特征提取应支持服务状态检测机制具备自动恢复功能，确保特征提取服务的持续稳定运行。</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3.在仓储系统定制实现“中央转移支付”属性资源上传功能及接口对接。</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具体内容包括：</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优化仓储系统的中央转移支付上传功能，实现与国家图书馆“中央转移支付”属性资源接收的对接，对接应支持传输校验：在文件上传前，南京图书馆仓储系统自动计算文件的校验值并同步上传到国家图书馆仓储系统服务端；在文件传输完成后，国家图书馆仓储系统服务端对接收到的文件再次计算校验值，并对两组校验值进行对比，以确保文件在传输过程中的完整性和一致性。</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（2）仓储系统在中央转移支付上传过程需提供实时的文件传输状态监控，上传状态的监控展示应涵盖上传成功、传输中、上传失败等状态。</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（3）仓储系统在中央转移支付上传过程如出现文件传输异常，例如网络中断、校验失败等情况，应支持自动触发重传。同时，支持传输异常的日志记录，记录每次传输异常的原因、时间、文件信息等详细日志。</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（4）中央转移支付上传的异常重传机制应支持最大重传次数限制，对超过次数仍未上传成功的操作，仓储系统应明确提示用户上传失败。</w:t>
      </w:r>
      <w:r>
        <w:rPr>
          <w:rFonts w:hint="eastAsia" w:ascii="方正仿宋_GBK" w:hAnsi="方正仿宋_GBK" w:eastAsia="方正仿宋_GBK" w:cs="方正仿宋_GBK"/>
          <w:b w:val="0"/>
          <w:bCs w:val="0"/>
          <w:sz w:val="28"/>
          <w:szCs w:val="28"/>
          <w:lang w:val="en-US" w:eastAsia="zh-CN" w:bidi="ar-SA"/>
        </w:rPr>
      </w:r>
      <w:r/>
    </w:p>
    <w:p>
      <w:pPr>
        <w:pStyle w:val="982"/>
        <w:ind w:left="0" w:firstLine="562"/>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
          <w:bCs/>
          <w:sz w:val="28"/>
          <w:szCs w:val="28"/>
          <w:lang w:val="en-US" w:eastAsia="zh-CN" w:bidi="ar-SA"/>
        </w:rPr>
        <w:t xml:space="preserve">（二）系统管理功能及对接的定制开发</w:t>
      </w:r>
      <w:r>
        <w:rPr>
          <w:rFonts w:hint="eastAsia" w:ascii="方正仿宋_GBK" w:hAnsi="方正仿宋_GBK" w:eastAsia="方正仿宋_GBK" w:cs="方正仿宋_GBK"/>
          <w:b/>
          <w:bCs/>
          <w:sz w:val="28"/>
          <w:szCs w:val="28"/>
          <w:lang w:val="en-US" w:eastAsia="zh-CN" w:bidi="ar-SA"/>
        </w:rPr>
        <w:tab/>
      </w:r>
      <w:r>
        <w:rPr>
          <w:rFonts w:hint="eastAsia" w:ascii="方正仿宋_GBK" w:hAnsi="方正仿宋_GBK" w:eastAsia="方正仿宋_GBK" w:cs="方正仿宋_GBK"/>
          <w:b/>
          <w:bCs/>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在已建设的仓储系统实现以下管理功能及对接：</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1.在仓储系统的数据模版定制实现更新功能和对接</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支持自动检测并对比国家图书馆全网知识内容集中仓储系统的数据模板的版本状态，在南京图书馆仓储系统进行更新。具体内容包括：</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对接更新，通过图形化界面将国家图书馆的模板同步至本地系统：支持自动检测对比国家图书馆全网知识内容集中仓储系统的数据模板的版本状态，提示用户进行更新操作，将新版本数据模板同步至本地，同步过程应具备明确的进度提示和操作反馈，确保用户能够实时了解同步状态。</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应支持权限控制机制，防止未经授权的用户对模板进行篡改：从国家图书馆仓储系统同步至南京图书馆仓储系统的数据模板应以只读形式展示，南京图书馆具备查看、使用这类数据模板的权限，但不具备对其进行编辑或删除的权限；用户可以通过模板复制功能复制这类数据模板为新增的自定义模板，用户对自行创建、新增的自定义模板具备编辑或删除权限。</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2.实现仓储系统权限管理功能的定制开发</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支持基于RBAC的用户、角色、权限分配的访问控制管理，实现权限的精细化管理和控制，防止越权访问行为的发生。具体内容包括：</w:t>
      </w:r>
      <w:r>
        <w:rPr>
          <w:rFonts w:hint="eastAsia" w:ascii="方正仿宋_GBK" w:hAnsi="方正仿宋_GBK" w:eastAsia="方正仿宋_GBK" w:cs="方正仿宋_GBK"/>
          <w:b w:val="0"/>
          <w:bCs w:val="0"/>
          <w:sz w:val="28"/>
          <w:szCs w:val="28"/>
          <w:lang w:val="en-US" w:eastAsia="zh-CN" w:bidi="ar-SA"/>
        </w:rPr>
      </w:r>
      <w:r/>
    </w:p>
    <w:p>
      <w:pPr>
        <w:pStyle w:val="982"/>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（1）支持自定义角色，并能够为每个角色分配相应的权限。</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（2）应支持将权限与角色绑定，确保用户只能访问和操作其角色所允许的功能和数据。</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（3）应支持将用户与角色关联，确保每个用户的权限与其角色相匹配。</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3.实现仓储系统环境下的全省阅读推广活动知识库构建与智能应用管理</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在知识仓储系统环境下，构建全省公共图书馆阅读推广活动知识库，建设内容包括制定数据标准，研发全流程活动数据填报和多源活动管理系统数据采集等功能软件，并利用AI进行数据处理分析。具体要求如下。</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（1）制定统一完善的阅读推广活动数据标准，指标应涵盖各类型活动的完备信息。</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（2）开发全流程活动数据填报功能软件。该软件</w:t>
      </w:r>
      <w:r>
        <w:rPr>
          <w:rFonts w:hint="eastAsia" w:ascii="方正仿宋_GBK" w:hAnsi="方正仿宋_GBK" w:eastAsia="方正仿宋_GBK" w:cs="方正仿宋_GBK"/>
          <w:b w:val="0"/>
          <w:bCs w:val="0"/>
          <w:sz w:val="28"/>
          <w:szCs w:val="28"/>
          <w:lang w:val="en-US" w:eastAsia="zh-CN" w:bidi="ar-SA"/>
        </w:rPr>
        <w:t xml:space="preserve">在没有活动管理系统数据的情况下可提供完备的填报数据；在采集到活动管理系统数据的情况下，可以补充完善采集到的数据。有关要求如下：依据活动数据标准，填报收集活动全流程数据；支持手机、PC机多终端应用，支持HTML5 标准格式和小程序应用；支持多级填报项目指标及其属性值、阈值等参数的自由定义；支持管理多源活动管理系统数据采集的数据，可补充完善采集的数据；支持批量处理活动方案表格数据，自动导入活动基本信息；支持活动前活动方案、课件等数据的加载，支持活动中照片、视频等过程数据的采集加载，支持活动后评价数据采集和处理。</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（三）专网服务延续及代理访问对接接入的定制开发</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对已建设的仓储系统进行专网服务的续服及访问对接定制开发，具体内容包括：</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（1）对仓储系统的SD-WAN专网服务期限：从2026年12月1日至2027年12月31日。</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（2）实现专网内访问国家图书馆全网资源展示中心的代理服务：</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（3）仓储系统应提供基于全网知识内容集中仓储系统SD-WAN专网的本地代理服务，用户登录本地仓储系统后经代理服务可无缝访问SD-WAN专网的国家图书馆全网资源展示中心。</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（4）代理服务需支持多种协议（如HTTP、HTTPS等），确保与国家图书馆全网资源展示中心的无缝兼容。</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lang w:val="en-US" w:eastAsia="zh-CN"/>
        </w:rPr>
      </w:pPr>
      <w:r>
        <w:rPr>
          <w:rFonts w:hint="eastAsia" w:ascii="方正仿宋_GBK" w:hAnsi="方正仿宋_GBK" w:eastAsia="方正仿宋_GBK" w:cs="方正仿宋_GBK"/>
          <w:b w:val="0"/>
          <w:bCs w:val="0"/>
          <w:sz w:val="28"/>
          <w:szCs w:val="28"/>
          <w:lang w:val="en-US" w:eastAsia="zh-CN" w:bidi="ar-SA"/>
        </w:rPr>
        <w:t xml:space="preserve">（5）代理服务需与采购人现有的仓储系统无缝集成，遵循现有仓储系统的架构和接口规范，确保整体系统稳定运行。</w:t>
      </w:r>
      <w:r>
        <w:rPr>
          <w:rFonts w:hint="eastAsia"/>
          <w:lang w:val="en-US" w:eastAsia="zh-CN"/>
        </w:rPr>
      </w:r>
      <w:r/>
    </w:p>
    <w:p>
      <w:pPr>
        <w:pStyle w:val="991"/>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（一）报价要求</w:t>
      </w:r>
      <w:r>
        <w:rPr>
          <w:rFonts w:hint="eastAsia" w:ascii="方正仿宋_GBK" w:hAnsi="方正仿宋_GBK" w:eastAsia="方正仿宋_GBK" w:cs="方正仿宋_GBK"/>
          <w:b w:val="0"/>
          <w:bCs w:val="0"/>
          <w:sz w:val="28"/>
          <w:szCs w:val="28"/>
          <w:highlight w:val="none"/>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方正仿宋_GBK" w:hAnsi="方正仿宋_GBK" w:eastAsia="方正仿宋_GBK" w:cs="方正仿宋_GBK"/>
          <w:b w:val="0"/>
          <w:bCs w:val="0"/>
          <w:sz w:val="28"/>
          <w:szCs w:val="28"/>
          <w:highlight w:val="none"/>
          <w:lang w:val="en-US" w:eastAsia="zh-CN" w:bidi="ar-SA"/>
        </w:rPr>
      </w:pPr>
      <w:r>
        <w:rPr>
          <w:rFonts w:ascii="方正仿宋_GBK" w:hAnsi="方正仿宋_GBK" w:eastAsia="方正仿宋_GBK" w:cs="方正仿宋_GBK"/>
          <w:b w:val="0"/>
          <w:bCs w:val="0"/>
          <w:sz w:val="28"/>
          <w:szCs w:val="28"/>
          <w:highlight w:val="none"/>
          <w:lang w:val="en-US" w:eastAsia="zh-CN" w:bidi="ar-SA"/>
        </w:rPr>
        <w:t xml:space="preserve">1.投标人的报价应包含为完成本招标文件提出的所有开发、实施、购买版权、对接、集成、调试、部署、试运行、培训、验收、维保等全部相关工作所有可能发生的费用，即投标总报价为“交钥匙”价。对在项目实施过程中可能发生的其他费用（如：人工成本增加、政策或业务调整等因素），采购人概不负责。本文件所要求内容应视为保证系统运行所需最低要求，如有遗漏，投标人应予补充。否则，将不予以付款。</w:t>
      </w:r>
      <w:r>
        <w:rPr>
          <w:rFonts w:ascii="方正仿宋_GBK" w:hAnsi="方正仿宋_GBK" w:eastAsia="方正仿宋_GBK" w:cs="方正仿宋_GBK"/>
          <w:b w:val="0"/>
          <w:bCs w:val="0"/>
          <w:sz w:val="28"/>
          <w:szCs w:val="28"/>
          <w:highlight w:val="none"/>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方正仿宋_GBK" w:hAnsi="方正仿宋_GBK" w:eastAsia="方正仿宋_GBK" w:cs="方正仿宋_GBK"/>
          <w:b w:val="0"/>
          <w:bCs w:val="0"/>
          <w:sz w:val="28"/>
          <w:szCs w:val="28"/>
          <w:highlight w:val="none"/>
          <w:lang w:val="en-US" w:eastAsia="zh-CN" w:bidi="ar-SA"/>
        </w:rPr>
      </w:pPr>
      <w:r>
        <w:rPr>
          <w:rFonts w:ascii="方正仿宋_GBK" w:hAnsi="方正仿宋_GBK" w:eastAsia="方正仿宋_GBK" w:cs="方正仿宋_GBK"/>
          <w:b w:val="0"/>
          <w:bCs w:val="0"/>
          <w:sz w:val="28"/>
          <w:szCs w:val="28"/>
          <w:highlight w:val="none"/>
          <w:lang w:val="en-US" w:eastAsia="zh-CN" w:bidi="ar-SA"/>
        </w:rPr>
        <w:t xml:space="preserve">本项目所涉及的原系统对接、系统改造等全部相关费用，均已统一包含在本次投标总报价内，项目实施过程中采购人不另行支付任何新增、增补、隐性费用，所有相关费用风险及成本由中标人全额承担。</w:t>
      </w:r>
      <w:r>
        <w:rPr>
          <w:rFonts w:ascii="方正仿宋_GBK" w:hAnsi="方正仿宋_GBK" w:eastAsia="方正仿宋_GBK" w:cs="方正仿宋_GBK"/>
          <w:b w:val="0"/>
          <w:bCs w:val="0"/>
          <w:sz w:val="28"/>
          <w:szCs w:val="28"/>
          <w:highlight w:val="none"/>
          <w:lang w:val="en-US" w:eastAsia="zh-CN" w:bidi="ar-SA"/>
        </w:rPr>
      </w:r>
      <w:r/>
    </w:p>
    <w:p>
      <w:pPr>
        <w:pStyle w:val="982"/>
        <w:numPr>
          <w:ilvl w:val="0"/>
          <w:numId w:val="4"/>
        </w:numPr>
        <w:ind w:left="0" w:firstLine="560"/>
        <w:jc w:val="both"/>
        <w:keepLines w:val="0"/>
        <w:keepNext w:val="0"/>
        <w:pageBreakBefore w:val="0"/>
        <w:spacing w:line="440" w:lineRule="exact"/>
        <w:widowControl w:val="off"/>
        <w:tabs>
          <w:tab w:val="left" w:pos="312" w:leader="none"/>
        </w:tabs>
        <w:rPr>
          <w:rFonts w:ascii="方正仿宋_GBK" w:hAnsi="方正仿宋_GBK" w:eastAsia="方正仿宋_GBK" w:cs="方正仿宋_GBK"/>
          <w:b w:val="0"/>
          <w:bCs w:val="0"/>
          <w:sz w:val="28"/>
          <w:szCs w:val="28"/>
          <w:highlight w:val="none"/>
          <w:lang w:val="en-US" w:eastAsia="zh-CN" w:bidi="ar-SA"/>
        </w:rPr>
      </w:pPr>
      <w:r>
        <w:rPr>
          <w:rFonts w:ascii="方正仿宋_GBK" w:hAnsi="方正仿宋_GBK" w:eastAsia="方正仿宋_GBK" w:cs="方正仿宋_GBK"/>
          <w:b w:val="0"/>
          <w:bCs w:val="0"/>
          <w:sz w:val="28"/>
          <w:szCs w:val="28"/>
          <w:highlight w:val="none"/>
          <w:lang w:val="en-US" w:eastAsia="zh-CN" w:bidi="ar-SA"/>
        </w:rPr>
        <w:t xml:space="preserve">对本文件未列明，而投标人认为必需的费用也需列入投标总报价。在合同实施时，采购人将不予支付供应商没有列入的项目费用，并认为此项目的费用已包含在投标总报价中。</w:t>
      </w:r>
      <w:r>
        <w:rPr>
          <w:rFonts w:ascii="方正仿宋_GBK" w:hAnsi="方正仿宋_GBK" w:eastAsia="方正仿宋_GBK" w:cs="方正仿宋_GBK"/>
          <w:b w:val="0"/>
          <w:bCs w:val="0"/>
          <w:sz w:val="28"/>
          <w:szCs w:val="28"/>
          <w:highlight w:val="none"/>
          <w:lang w:val="en-US" w:eastAsia="zh-CN" w:bidi="ar-SA"/>
        </w:rPr>
      </w:r>
      <w:r/>
    </w:p>
    <w:p>
      <w:pPr>
        <w:pStyle w:val="982"/>
        <w:numPr>
          <w:ilvl w:val="0"/>
          <w:numId w:val="0"/>
        </w:numPr>
        <w:jc w:val="both"/>
        <w:keepLines w:val="0"/>
        <w:keepNext w:val="0"/>
        <w:pageBreakBefore w:val="0"/>
        <w:spacing w:line="440" w:lineRule="exact"/>
        <w:widowControl w:val="off"/>
        <w:rPr>
          <w:rFonts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（二）进度要求</w:t>
      </w:r>
      <w:r>
        <w:rPr>
          <w:rFonts w:ascii="方正仿宋_GBK" w:hAnsi="方正仿宋_GBK" w:eastAsia="方正仿宋_GBK" w:cs="方正仿宋_GBK"/>
          <w:b w:val="0"/>
          <w:bCs w:val="0"/>
          <w:sz w:val="28"/>
          <w:szCs w:val="28"/>
          <w:highlight w:val="none"/>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本项目的建设周期为2个月，期间需要完成系统的开发、测试、部署，符合上线运行条件。</w:t>
      </w:r>
      <w:r>
        <w:rPr>
          <w:rFonts w:hint="eastAsia" w:ascii="方正仿宋_GBK" w:hAnsi="方正仿宋_GBK" w:eastAsia="方正仿宋_GBK" w:cs="方正仿宋_GBK"/>
          <w:b w:val="0"/>
          <w:bCs w:val="0"/>
          <w:sz w:val="28"/>
          <w:szCs w:val="28"/>
          <w:highlight w:val="none"/>
          <w:lang w:val="en-US" w:eastAsia="zh-CN" w:bidi="ar-SA"/>
        </w:rPr>
      </w:r>
      <w:r/>
    </w:p>
    <w:p>
      <w:pPr>
        <w:pStyle w:val="982"/>
        <w:numPr>
          <w:ilvl w:val="0"/>
          <w:numId w:val="0"/>
        </w:numPr>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（三）验收要求</w:t>
      </w:r>
      <w:r>
        <w:rPr>
          <w:rFonts w:hint="eastAsia" w:ascii="方正仿宋_GBK" w:hAnsi="方正仿宋_GBK" w:eastAsia="方正仿宋_GBK" w:cs="方正仿宋_GBK"/>
          <w:b w:val="0"/>
          <w:bCs w:val="0"/>
          <w:sz w:val="28"/>
          <w:szCs w:val="28"/>
          <w:highlight w:val="none"/>
          <w:lang w:val="en-US" w:eastAsia="zh-CN" w:bidi="ar-SA"/>
        </w:rPr>
      </w:r>
      <w:r/>
    </w:p>
    <w:p>
      <w:pPr>
        <w:pStyle w:val="984"/>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中标人完成上述工作后向采购人提交验收申请，采购人组织项目验收，项目整体验收合格后进入质保期。</w:t>
      </w:r>
      <w:r>
        <w:rPr>
          <w:rFonts w:hint="eastAsia" w:ascii="方正仿宋_GBK" w:hAnsi="方正仿宋_GBK" w:eastAsia="方正仿宋_GBK" w:cs="方正仿宋_GBK"/>
          <w:b w:val="0"/>
          <w:bCs w:val="0"/>
          <w:sz w:val="28"/>
          <w:szCs w:val="28"/>
          <w:highlight w:val="none"/>
          <w:lang w:val="en-US" w:eastAsia="zh-CN" w:bidi="ar-SA"/>
        </w:rPr>
      </w:r>
      <w:r/>
    </w:p>
    <w:p>
      <w:pPr>
        <w:pStyle w:val="984"/>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（四）运维服务要求</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方正仿宋_GBK" w:hAnsi="方正仿宋_GBK" w:eastAsia="方正仿宋_GBK" w:cs="方正仿宋_GBK"/>
          <w:b w:val="0"/>
          <w:bCs w:val="0"/>
          <w:sz w:val="28"/>
          <w:szCs w:val="28"/>
          <w:lang w:val="en-US" w:eastAsia="zh-CN" w:bidi="ar-SA"/>
        </w:rPr>
      </w:pPr>
      <w:r>
        <w:rPr>
          <w:rFonts w:ascii="方正仿宋_GBK" w:hAnsi="方正仿宋_GBK" w:eastAsia="方正仿宋_GBK" w:cs="方正仿宋_GBK"/>
          <w:b w:val="0"/>
          <w:bCs w:val="0"/>
          <w:sz w:val="28"/>
          <w:szCs w:val="28"/>
          <w:lang w:val="en-US" w:eastAsia="zh-CN" w:bidi="ar-SA"/>
        </w:rPr>
        <w:t xml:space="preserve">1.质保运维服务内容：对支撑平台进行运维服务；质保运维服务期限：以本次项目竣工验收开始，至2027年12月31日止。</w:t>
      </w:r>
      <w:r>
        <w:rPr>
          <w:rFonts w:hint="eastAsia" w:ascii="方正仿宋_GBK" w:hAnsi="方正仿宋_GBK" w:eastAsia="方正仿宋_GBK" w:cs="方正仿宋_GBK"/>
          <w:b w:val="0"/>
          <w:bCs w:val="0"/>
          <w:sz w:val="28"/>
          <w:szCs w:val="28"/>
          <w:lang w:val="en-US" w:eastAsia="zh-CN" w:bidi="ar-SA"/>
        </w:rPr>
        <w:t xml:space="preserve">相关费用含在本次投标报价中。</w:t>
      </w:r>
      <w:r>
        <w:rPr>
          <w:rFonts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方正仿宋_GBK" w:hAnsi="方正仿宋_GBK" w:eastAsia="方正仿宋_GBK" w:cs="方正仿宋_GBK"/>
          <w:b w:val="0"/>
          <w:bCs w:val="0"/>
          <w:sz w:val="28"/>
          <w:szCs w:val="28"/>
          <w:lang w:val="en-US" w:eastAsia="zh-CN" w:bidi="ar-SA"/>
        </w:rPr>
      </w:pPr>
      <w:r>
        <w:rPr>
          <w:rFonts w:ascii="方正仿宋_GBK" w:hAnsi="方正仿宋_GBK" w:eastAsia="方正仿宋_GBK" w:cs="方正仿宋_GBK"/>
          <w:b w:val="0"/>
          <w:bCs w:val="0"/>
          <w:sz w:val="28"/>
          <w:szCs w:val="28"/>
          <w:lang w:val="en-US" w:eastAsia="zh-CN" w:bidi="ar-SA"/>
        </w:rPr>
        <w:t xml:space="preserve">2.质保运维服务期内包括对所有软件改进完善、及时排查修复数据安全和网络安全漏洞、对平台相关软件进行维护升级等。质保运维服务期内接到采购人的报修指令（包括：口头、电话、传真、邮件等形式）后立即响应，一般故障在故障发生后4小时内排除，严重故障在故障发生后24小时内排除，并以联系单方式提交采购人确认（载明故障内容、原因、修复时间和方案）。</w:t>
      </w:r>
      <w:r>
        <w:rPr>
          <w:rFonts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方正仿宋_GBK" w:hAnsi="方正仿宋_GBK" w:eastAsia="方正仿宋_GBK" w:cs="方正仿宋_GBK"/>
          <w:b w:val="0"/>
          <w:bCs w:val="0"/>
          <w:sz w:val="28"/>
          <w:szCs w:val="28"/>
          <w:lang w:val="en-US" w:eastAsia="zh-CN" w:bidi="ar-SA"/>
        </w:rPr>
      </w:pPr>
      <w:r>
        <w:rPr>
          <w:rFonts w:ascii="方正仿宋_GBK" w:hAnsi="方正仿宋_GBK" w:eastAsia="方正仿宋_GBK" w:cs="方正仿宋_GBK"/>
          <w:b w:val="0"/>
          <w:bCs w:val="0"/>
          <w:sz w:val="28"/>
          <w:szCs w:val="28"/>
          <w:lang w:val="en-US" w:eastAsia="zh-CN" w:bidi="ar-SA"/>
        </w:rPr>
        <w:t xml:space="preserve">3.质保运维服务期内，所提供的运维服务内容主要包括：日常系统故障处理（响应方式、响应时间及排除故障时间）、使用系统问题处理（响应方式、响应时间及排除故障时间）、备份（周期）、日常巡查（周期、内容）、应急（响应方式、响应时间及排除故障时间）、提供不涉及软件基本框架变动的程序适应性修改和以完善软件基本功能为目的的程序修改服务、系统的重部署和调试、系统性能日常维护（定期补丁升级、日志检查分析、错误分析及统计）、系统性能优化、运行状态监控及预警等。</w:t>
      </w:r>
      <w:r>
        <w:rPr>
          <w:rFonts w:ascii="方正仿宋_GBK" w:hAnsi="方正仿宋_GBK" w:eastAsia="方正仿宋_GBK" w:cs="方正仿宋_GBK"/>
          <w:b w:val="0"/>
          <w:bCs w:val="0"/>
          <w:sz w:val="28"/>
          <w:szCs w:val="28"/>
          <w:lang w:val="en-US" w:eastAsia="zh-CN" w:bidi="ar-SA"/>
        </w:rPr>
      </w:r>
      <w:r/>
    </w:p>
    <w:p>
      <w:pPr>
        <w:pStyle w:val="984"/>
        <w:keepLines w:val="0"/>
        <w:keepNext w:val="0"/>
        <w:pageBreakBefore w:val="0"/>
        <w:spacing w:line="440" w:lineRule="exact"/>
        <w:widowControl w:val="off"/>
        <w:rPr>
          <w:rFonts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（五）提交成果</w:t>
      </w:r>
      <w:r>
        <w:rPr>
          <w:rFonts w:ascii="方正仿宋_GBK" w:hAnsi="方正仿宋_GBK" w:eastAsia="方正仿宋_GBK" w:cs="方正仿宋_GBK"/>
          <w:b w:val="0"/>
          <w:bCs w:val="0"/>
          <w:sz w:val="28"/>
          <w:szCs w:val="28"/>
          <w:lang w:val="en-US" w:eastAsia="zh-CN" w:bidi="ar-SA"/>
        </w:rPr>
      </w:r>
      <w:r/>
    </w:p>
    <w:p>
      <w:pPr>
        <w:pStyle w:val="984"/>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在项目实施过程中，应按照相关要求形成全面详尽的软件开发项目文档，包括项目设计、项目测试、项目实施等技术文档，确保文档资料的一致性和完整性，在项目服务过程中，接受用户方的全程监控和审核。</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（六）培训要求</w:t>
      </w:r>
      <w:r>
        <w:rPr>
          <w:rFonts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为使采购人对系统能够有效使用和正确操作、维护，中标供应商有责任对采购人指派的操作维护人员进行培训，培训内容包括理论培训和实际操作培训，培训方式包括线上培训和现场培训，供应商在投标文件中应提出有关培训的安排，包括培训地点、时间、人数，被培训人员参与培训的有关组织方案等。</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1.培训内容应针对系统管理人员和各类用户分别进行。通过培训应使各类用户能独立进行相应应用与管理、故障处理、日常维护等工作，确保系统能正常安全运行。</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2.供应商应在投标文件中提出培训计划，计划包括培训项目、人数、地点等详细内容。</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3.编制提供详细用户使用手册，并根据系统的开发进展按时更新。</w:t>
      </w:r>
      <w:r>
        <w:rPr>
          <w:rFonts w:hint="eastAsia" w:ascii="方正仿宋_GBK" w:hAnsi="方正仿宋_GBK" w:eastAsia="方正仿宋_GBK" w:cs="方正仿宋_GBK"/>
          <w:b w:val="0"/>
          <w:bCs w:val="0"/>
          <w:sz w:val="28"/>
          <w:szCs w:val="28"/>
          <w:lang w:val="en-US" w:eastAsia="zh-CN" w:bidi="ar-SA"/>
        </w:rPr>
      </w:r>
      <w:r/>
    </w:p>
    <w:p>
      <w:pPr>
        <w:pStyle w:val="984"/>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（七）安全和保密要求</w:t>
      </w:r>
      <w:r>
        <w:rPr>
          <w:rFonts w:hint="eastAsia" w:ascii="方正仿宋_GBK" w:hAnsi="方正仿宋_GBK" w:eastAsia="方正仿宋_GBK" w:cs="方正仿宋_GBK"/>
          <w:b w:val="0"/>
          <w:bCs w:val="0"/>
          <w:sz w:val="28"/>
          <w:szCs w:val="28"/>
          <w:lang w:val="en-US" w:eastAsia="zh-CN" w:bidi="ar-SA"/>
        </w:rPr>
      </w:r>
      <w:r/>
    </w:p>
    <w:p>
      <w:pPr>
        <w:pStyle w:val="984"/>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1.所有参与项目的人员应在工作中坚持保密原则，应严格规范执行各项保密制度，对在项目建设、质保各阶段取得采购人各类信息进行保密管理，杜绝任何泄密事件的发生。</w:t>
      </w:r>
      <w:r>
        <w:rPr>
          <w:rFonts w:hint="eastAsia" w:ascii="方正仿宋_GBK" w:hAnsi="方正仿宋_GBK" w:eastAsia="方正仿宋_GBK" w:cs="方正仿宋_GBK"/>
          <w:b w:val="0"/>
          <w:bCs w:val="0"/>
          <w:sz w:val="28"/>
          <w:szCs w:val="28"/>
          <w:lang w:val="en-US" w:eastAsia="zh-CN" w:bidi="ar-SA"/>
        </w:rPr>
      </w:r>
      <w:r/>
    </w:p>
    <w:p>
      <w:pPr>
        <w:pStyle w:val="984"/>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2.中标供应商在项目建设、质保各阶段对南京图书馆已建成的仓储系统（一期）及本次定制开发的内容负有数据安全、网络安全管理责任，中标供应商应每季度进行1次系统安全检查，并配合采购人开展数据安全、网络安全相关工作。</w:t>
      </w:r>
      <w:r>
        <w:rPr>
          <w:rFonts w:hint="eastAsia" w:ascii="方正仿宋_GBK" w:hAnsi="方正仿宋_GBK" w:eastAsia="方正仿宋_GBK" w:cs="方正仿宋_GBK"/>
          <w:b w:val="0"/>
          <w:bCs w:val="0"/>
          <w:sz w:val="28"/>
          <w:szCs w:val="28"/>
          <w:lang w:val="en-US" w:eastAsia="zh-CN" w:bidi="ar-SA"/>
        </w:rPr>
      </w:r>
      <w:r/>
    </w:p>
    <w:p>
      <w:pPr>
        <w:pStyle w:val="984"/>
        <w:keepLines w:val="0"/>
        <w:keepNext w:val="0"/>
        <w:pageBreakBefore w:val="0"/>
        <w:spacing w:line="440" w:lineRule="exact"/>
        <w:widowControl w:val="off"/>
        <w:rPr>
          <w:rFonts w:hint="eastAsia"/>
          <w:lang w:val="en-US" w:eastAsia="zh-CN"/>
        </w:rPr>
      </w:pPr>
      <w:r>
        <w:rPr>
          <w:rFonts w:hint="eastAsia" w:ascii="方正仿宋_GBK" w:hAnsi="方正仿宋_GBK" w:eastAsia="方正仿宋_GBK" w:cs="方正仿宋_GBK"/>
          <w:b w:val="0"/>
          <w:bCs w:val="0"/>
          <w:sz w:val="28"/>
          <w:szCs w:val="28"/>
          <w:lang w:val="en-US" w:eastAsia="zh-CN" w:bidi="ar-SA"/>
        </w:rPr>
        <w:t xml:space="preserve">（八）</w:t>
      </w:r>
      <w:r>
        <w:rPr>
          <w:rFonts w:hint="eastAsia"/>
          <w:lang w:val="en-US" w:eastAsia="zh-CN"/>
        </w:rPr>
        <w:t xml:space="preserve">实施地点</w:t>
      </w:r>
      <w:r>
        <w:rPr>
          <w:rFonts w:hint="eastAsia"/>
          <w:lang w:val="en-US" w:eastAsia="zh-CN"/>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南京图书馆，南京市玄武区中山东路189号。</w:t>
      </w:r>
      <w:r>
        <w:rPr>
          <w:rFonts w:hint="eastAsia" w:ascii="方正仿宋_GBK" w:hAnsi="方正仿宋_GBK" w:eastAsia="方正仿宋_GBK" w:cs="方正仿宋_GBK"/>
          <w:b w:val="0"/>
          <w:bCs w:val="0"/>
          <w:sz w:val="28"/>
          <w:szCs w:val="28"/>
          <w:lang w:val="en-US" w:eastAsia="zh-CN" w:bidi="ar-SA"/>
        </w:rPr>
      </w:r>
      <w:r/>
    </w:p>
    <w:p>
      <w:pPr>
        <w:pStyle w:val="984"/>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（九）项目团队要求</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Times New Roman" w:hAnsi="Times New Roman" w:eastAsia="方正仿宋_GBK" w:cs="Times New Roman"/>
          <w:b w:val="0"/>
          <w:bCs w:val="0"/>
          <w:sz w:val="28"/>
          <w:szCs w:val="28"/>
          <w:lang w:val="en-US" w:eastAsia="zh-CN" w:bidi="ar-SA"/>
        </w:rPr>
      </w:pPr>
      <w:r>
        <w:rPr>
          <w:rFonts w:ascii="Times New Roman" w:hAnsi="Times New Roman" w:eastAsia="方正仿宋_GBK" w:cs="Times New Roman"/>
          <w:b w:val="0"/>
          <w:bCs w:val="0"/>
          <w:sz w:val="28"/>
          <w:szCs w:val="28"/>
          <w:lang w:val="en-US" w:eastAsia="zh-CN" w:bidi="ar-SA"/>
        </w:rPr>
        <w:t xml:space="preserve">1.项目实施过程中，供应商应当根据采购需求以及自身经验为本项目配备技术团队，</w:t>
      </w:r>
      <w:r>
        <w:rPr>
          <w:rFonts w:ascii="Times New Roman" w:hAnsi="Times New Roman" w:eastAsia="方正仿宋_GBK" w:cs="Times New Roman"/>
          <w:b w:val="0"/>
          <w:bCs w:val="0"/>
          <w:sz w:val="28"/>
          <w:szCs w:val="28"/>
          <w:highlight w:val="none"/>
          <w:lang w:val="en-US" w:eastAsia="zh-CN" w:bidi="ar-SA"/>
        </w:rPr>
        <w:t xml:space="preserve">项目组成员人数不得少于8人。</w:t>
      </w:r>
      <w:r>
        <w:rPr>
          <w:rFonts w:ascii="Times New Roman" w:hAnsi="Times New Roman" w:eastAsia="方正仿宋_GBK" w:cs="Times New Roman"/>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Times New Roman" w:hAnsi="Times New Roman" w:eastAsia="方正仿宋_GBK" w:cs="Times New Roman"/>
          <w:b w:val="0"/>
          <w:bCs w:val="0"/>
          <w:sz w:val="28"/>
          <w:szCs w:val="28"/>
          <w:lang w:val="en-US" w:eastAsia="zh-CN" w:bidi="ar-SA"/>
        </w:rPr>
      </w:pPr>
      <w:r>
        <w:rPr>
          <w:rFonts w:ascii="Times New Roman" w:hAnsi="Times New Roman" w:eastAsia="方正仿宋_GBK" w:cs="Times New Roman"/>
          <w:b w:val="0"/>
          <w:bCs w:val="0"/>
          <w:sz w:val="28"/>
          <w:szCs w:val="28"/>
          <w:lang w:val="en-US" w:eastAsia="zh-CN" w:bidi="ar-SA"/>
        </w:rPr>
        <w:t xml:space="preserve">2.技术团队人员需具有信息技术服务管理能力、信息系统建设和服务能力。</w:t>
      </w:r>
      <w:r>
        <w:rPr>
          <w:rFonts w:ascii="Times New Roman" w:hAnsi="Times New Roman" w:eastAsia="方正仿宋_GBK" w:cs="Times New Roman"/>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ascii="Times New Roman" w:hAnsi="Times New Roman" w:eastAsia="方正仿宋_GBK" w:cs="Times New Roman"/>
          <w:b w:val="0"/>
          <w:bCs w:val="0"/>
          <w:sz w:val="28"/>
          <w:szCs w:val="28"/>
          <w:lang w:val="en-US" w:eastAsia="zh-CN" w:bidi="ar-SA"/>
        </w:rPr>
      </w:pPr>
      <w:r>
        <w:rPr>
          <w:rFonts w:ascii="Times New Roman" w:hAnsi="Times New Roman" w:eastAsia="方正仿宋_GBK" w:cs="Times New Roman"/>
          <w:b w:val="0"/>
          <w:bCs w:val="0"/>
          <w:sz w:val="28"/>
          <w:szCs w:val="28"/>
          <w:lang w:val="en-US" w:eastAsia="zh-CN" w:bidi="ar-SA"/>
        </w:rPr>
        <w:t xml:space="preserve">3.投标文件中应提供团队成员名单，每个专业人员的情况和数量应该明确表示；每个参加项目人员提供履历介绍，主要内容包括学历、工作特长、经验与业绩、资质情况等，该人员参与的时间以及在项目中的责任。</w:t>
      </w:r>
      <w:r>
        <w:rPr>
          <w:rFonts w:ascii="Times New Roman" w:hAnsi="Times New Roman" w:eastAsia="方正仿宋_GBK" w:cs="Times New Roman"/>
          <w:b w:val="0"/>
          <w:bCs w:val="0"/>
          <w:sz w:val="28"/>
          <w:szCs w:val="28"/>
          <w:lang w:val="en-US" w:eastAsia="zh-CN" w:bidi="ar-SA"/>
        </w:rPr>
      </w:r>
      <w:r/>
    </w:p>
    <w:p>
      <w:pPr>
        <w:pStyle w:val="984"/>
        <w:keepLines w:val="0"/>
        <w:keepNext w:val="0"/>
        <w:pageBreakBefore w:val="0"/>
        <w:spacing w:line="440" w:lineRule="exact"/>
        <w:widowControl w:val="off"/>
        <w:rPr>
          <w:rFonts w:ascii="Times New Roman" w:hAnsi="Times New Roman" w:cs="Times New Roman"/>
          <w:highlight w:val="none"/>
          <w:lang w:val="en-US" w:eastAsia="zh-CN"/>
        </w:rPr>
      </w:pPr>
      <w:r>
        <w:rPr>
          <w:rFonts w:ascii="Times New Roman" w:hAnsi="Times New Roman" w:cs="Times New Roman"/>
          <w:highlight w:val="none"/>
          <w:lang w:val="en-US" w:eastAsia="zh-CN"/>
        </w:rPr>
        <w:t xml:space="preserve">4.项目经理：具有信息系统项目管理师证书、CCSC网络安全能力认证证书、IT服务项目经理（ITSS）证书。</w:t>
      </w:r>
      <w:r>
        <w:rPr>
          <w:rFonts w:ascii="Times New Roman" w:hAnsi="Times New Roman" w:cs="Times New Roman"/>
          <w:highlight w:val="none"/>
          <w:lang w:val="en-US" w:eastAsia="zh-CN"/>
        </w:rPr>
      </w:r>
      <w:r/>
    </w:p>
    <w:p>
      <w:pPr>
        <w:pStyle w:val="984"/>
        <w:keepLines w:val="0"/>
        <w:keepNext w:val="0"/>
        <w:pageBreakBefore w:val="0"/>
        <w:spacing w:line="440" w:lineRule="exact"/>
        <w:widowControl w:val="off"/>
        <w:rPr>
          <w:rFonts w:ascii="Times New Roman" w:hAnsi="Times New Roman" w:cs="Times New Roman"/>
          <w:highlight w:val="none"/>
          <w:lang w:val="en-US" w:eastAsia="zh-CN"/>
        </w:rPr>
      </w:pPr>
      <w:r>
        <w:rPr>
          <w:rFonts w:ascii="Times New Roman" w:hAnsi="Times New Roman" w:cs="Times New Roman"/>
          <w:highlight w:val="none"/>
          <w:lang w:val="en-US" w:eastAsia="zh-CN"/>
        </w:rPr>
        <w:t xml:space="preserve">5.项目技术负责人：具有网络规划</w:t>
      </w:r>
      <w:r>
        <w:rPr>
          <w:rFonts w:hint="eastAsia" w:ascii="Times New Roman" w:hAnsi="Times New Roman" w:cs="Times New Roman"/>
          <w:highlight w:val="none"/>
          <w:lang w:val="en-US" w:eastAsia="zh-CN"/>
        </w:rPr>
        <w:t xml:space="preserve">设计师</w:t>
      </w:r>
      <w:r>
        <w:rPr>
          <w:rFonts w:ascii="Times New Roman" w:hAnsi="Times New Roman" w:cs="Times New Roman"/>
          <w:highlight w:val="none"/>
          <w:lang w:val="en-US" w:eastAsia="zh-CN"/>
        </w:rPr>
        <w:t xml:space="preserve">证书、数据库系统工程师证书、高级工程师（电子信息）职称证书。</w:t>
      </w:r>
      <w:r>
        <w:rPr>
          <w:rFonts w:ascii="Times New Roman" w:hAnsi="Times New Roman" w:cs="Times New Roman"/>
          <w:highlight w:val="none"/>
          <w:lang w:val="en-US" w:eastAsia="zh-CN"/>
        </w:rPr>
      </w:r>
      <w:r/>
    </w:p>
    <w:p>
      <w:pPr>
        <w:pStyle w:val="984"/>
        <w:keepLines w:val="0"/>
        <w:keepNext w:val="0"/>
        <w:pageBreakBefore w:val="0"/>
        <w:spacing w:line="440" w:lineRule="exact"/>
        <w:widowControl w:val="off"/>
        <w:rPr>
          <w:highlight w:val="none"/>
          <w:lang w:val="en-US" w:eastAsia="zh-CN"/>
        </w:rPr>
      </w:pPr>
      <w:r>
        <w:rPr>
          <w:rFonts w:ascii="Times New Roman" w:hAnsi="Times New Roman" w:cs="Times New Roman"/>
          <w:highlight w:val="none"/>
          <w:lang w:val="en-US" w:eastAsia="zh-CN"/>
        </w:rPr>
        <w:t xml:space="preserve">6.</w:t>
      </w:r>
      <w:r>
        <w:rPr>
          <w:highlight w:val="none"/>
          <w:lang w:val="en-US" w:eastAsia="zh-CN"/>
        </w:rPr>
        <w:t xml:space="preserve">项目团队其他成员</w:t>
      </w:r>
      <w:r>
        <w:rPr>
          <w:rFonts w:hint="eastAsia"/>
          <w:highlight w:val="none"/>
          <w:lang w:val="en-US" w:eastAsia="zh-CN"/>
        </w:rPr>
        <w:t xml:space="preserve">：</w:t>
      </w:r>
      <w:r>
        <w:rPr>
          <w:highlight w:val="none"/>
          <w:lang w:val="en-US" w:eastAsia="zh-CN"/>
        </w:rPr>
        <w:t xml:space="preserve">具有系统架构设计师、系统分析师、系统集成项目管理工程师、网络工程师、CISAW信息安全保障人员认证证书（风险管理）、系统开发工程师</w:t>
      </w:r>
      <w:r>
        <w:rPr>
          <w:rFonts w:hint="eastAsia"/>
          <w:highlight w:val="none"/>
          <w:lang w:val="en-US" w:eastAsia="zh-CN"/>
        </w:rPr>
        <w:t xml:space="preserve">证书</w:t>
      </w:r>
      <w:r>
        <w:rPr>
          <w:highlight w:val="none"/>
          <w:lang w:val="en-US" w:eastAsia="zh-CN"/>
        </w:rPr>
        <w:t xml:space="preserve">。 </w:t>
      </w:r>
      <w:r>
        <w:rPr>
          <w:highlight w:val="none"/>
          <w:lang w:val="en-US" w:eastAsia="zh-CN"/>
        </w:rPr>
      </w:r>
      <w:r/>
    </w:p>
    <w:p>
      <w:pPr>
        <w:pStyle w:val="984"/>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（十）付款方式</w:t>
      </w:r>
      <w:r>
        <w:rPr>
          <w:rFonts w:hint="eastAsia" w:ascii="方正仿宋_GBK" w:hAnsi="方正仿宋_GBK" w:eastAsia="方正仿宋_GBK" w:cs="方正仿宋_GBK"/>
          <w:b w:val="0"/>
          <w:bCs w:val="0"/>
          <w:sz w:val="28"/>
          <w:szCs w:val="28"/>
          <w:lang w:val="en-US" w:eastAsia="zh-CN" w:bidi="ar-SA"/>
        </w:rPr>
      </w:r>
      <w:r/>
    </w:p>
    <w:p>
      <w:pPr>
        <w:pStyle w:val="984"/>
        <w:keepLines w:val="0"/>
        <w:keepNext w:val="0"/>
        <w:pageBreakBefore w:val="0"/>
        <w:spacing w:line="440" w:lineRule="exact"/>
        <w:widowControl w:val="off"/>
        <w:rPr>
          <w:rFonts w:ascii="方正仿宋_GBK" w:hAnsi="方正仿宋_GBK" w:eastAsia="方正仿宋_GBK" w:cs="方正仿宋_GBK"/>
          <w:b w:val="0"/>
          <w:bCs w:val="0"/>
          <w:sz w:val="28"/>
          <w:szCs w:val="28"/>
          <w:lang w:val="en-US" w:eastAsia="zh-CN" w:bidi="ar-SA"/>
        </w:rPr>
      </w:pPr>
      <w:r>
        <w:rPr>
          <w:rFonts w:ascii="方正仿宋_GBK" w:hAnsi="方正仿宋_GBK" w:eastAsia="方正仿宋_GBK" w:cs="方正仿宋_GBK"/>
          <w:b w:val="0"/>
          <w:bCs w:val="0"/>
          <w:sz w:val="28"/>
          <w:szCs w:val="28"/>
          <w:lang w:val="en-US" w:eastAsia="zh-CN" w:bidi="ar-SA"/>
        </w:rPr>
        <w:t xml:space="preserve">合同签订后10个工作日内，采购人支付合同款项的30%；采购人验收通过后支付合同款项的70%。</w:t>
      </w:r>
      <w:r>
        <w:rPr>
          <w:rFonts w:ascii="方正仿宋_GBK" w:hAnsi="方正仿宋_GBK" w:eastAsia="方正仿宋_GBK" w:cs="方正仿宋_GBK"/>
          <w:b w:val="0"/>
          <w:bCs w:val="0"/>
          <w:sz w:val="28"/>
          <w:szCs w:val="28"/>
          <w:lang w:val="en-US" w:eastAsia="zh-CN" w:bidi="ar-SA"/>
        </w:rPr>
      </w:r>
      <w:r/>
    </w:p>
    <w:p>
      <w:pPr>
        <w:pStyle w:val="991"/>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五、其他要求</w:t>
      </w:r>
      <w:r>
        <w:rPr>
          <w:rFonts w:hint="eastAsia" w:ascii="方正黑体_GBK" w:hAnsi="方正黑体_GBK" w:eastAsia="方正黑体_GBK" w:cs="方正黑体_GBK"/>
          <w:b w:val="0"/>
          <w:bCs/>
          <w:sz w:val="28"/>
          <w:szCs w:val="28"/>
          <w:lang w:eastAsia="zh-CN"/>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（一）项目属性：服务类项目。</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lang w:val="en-US" w:eastAsia="zh-CN" w:bidi="ar-SA"/>
        </w:rPr>
        <w:t xml:space="preserve">（二）供应商履约能力要求</w:t>
      </w:r>
      <w:r>
        <w:rPr>
          <w:rFonts w:hint="eastAsia" w:ascii="方正仿宋_GBK" w:hAnsi="方正仿宋_GBK" w:eastAsia="方正仿宋_GBK" w:cs="方正仿宋_GBK"/>
          <w:b w:val="0"/>
          <w:bCs w:val="0"/>
          <w:sz w:val="28"/>
          <w:szCs w:val="28"/>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1.投标人具有治理数据管理或网络安全相关软件著作权证书。</w:t>
      </w:r>
      <w:r>
        <w:rPr>
          <w:rFonts w:hint="eastAsia" w:ascii="方正仿宋_GBK" w:hAnsi="方正仿宋_GBK" w:eastAsia="方正仿宋_GBK" w:cs="方正仿宋_GBK"/>
          <w:b w:val="0"/>
          <w:bCs w:val="0"/>
          <w:sz w:val="28"/>
          <w:szCs w:val="28"/>
          <w:highlight w:val="none"/>
          <w:lang w:val="en-US" w:eastAsia="zh-CN" w:bidi="ar-SA"/>
        </w:rPr>
      </w:r>
      <w:r/>
    </w:p>
    <w:p>
      <w:pPr>
        <w:pStyle w:val="982"/>
        <w:numPr>
          <w:ilvl w:val="0"/>
          <w:numId w:val="0"/>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val="0"/>
          <w:bCs w:val="0"/>
          <w:sz w:val="28"/>
          <w:szCs w:val="28"/>
          <w:lang w:val="en-US" w:eastAsia="zh-CN" w:bidi="ar-SA"/>
        </w:rPr>
        <w:t xml:space="preserve">2.投标人具有2023年1月1日以来类似项目业绩（软件平台类）。</w:t>
      </w:r>
      <w:r>
        <w:rPr>
          <w:rFonts w:hint="eastAsia" w:ascii="方正仿宋_GBK" w:hAnsi="方正仿宋_GBK" w:eastAsia="方正仿宋_GBK" w:cs="方正仿宋_GBK"/>
          <w:sz w:val="28"/>
          <w:szCs w:val="28"/>
        </w:rPr>
      </w:r>
      <w:r/>
    </w:p>
    <w:p>
      <w:pPr>
        <w:pStyle w:val="984"/>
        <w:ind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项目方案要求</w:t>
      </w:r>
      <w:r>
        <w:rPr>
          <w:rFonts w:hint="eastAsia" w:ascii="方正仿宋_GBK" w:hAnsi="方正仿宋_GBK" w:eastAsia="方正仿宋_GBK" w:cs="方正仿宋_GBK"/>
          <w:sz w:val="28"/>
          <w:szCs w:val="28"/>
          <w:highlight w:val="none"/>
          <w:lang w:val="en-US" w:eastAsia="zh-CN"/>
        </w:rPr>
      </w:r>
      <w:r/>
    </w:p>
    <w:p>
      <w:pPr>
        <w:pStyle w:val="982"/>
        <w:numPr>
          <w:ilvl w:val="0"/>
          <w:numId w:val="0"/>
        </w:numPr>
        <w:ind w:left="0" w:firstLine="560"/>
        <w:jc w:val="both"/>
        <w:keepLines w:val="0"/>
        <w:keepNext w:val="0"/>
        <w:pageBreakBefore w:val="0"/>
        <w:spacing w:line="440" w:lineRule="exact"/>
        <w:widowControl w:val="off"/>
        <w:rPr>
          <w:rFonts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1.项目重难点分析</w:t>
      </w:r>
      <w:r>
        <w:rPr>
          <w:rFonts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投标人应结合现有活动管理系统的功能结构和使用对象，对项目建设中的重点和难点进行分析。分析内容应与现有系统相对应，不得提出与项目无关的复杂技术建设内容。</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项目重难点分析至少应包括以下内容：</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1.1 多角色使用和权限边界</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现有系统包含系统管理员和活动运营商两类用户。投标人应分析两类用户在功能访问和数据查看方面的差异，明确：系统管理员可管理运营商账号、系统管理员可管理活动类型、系统管理员可查看和管理系统内全部活动、活动运营商可创建和维护本人所属活动、活动运营商只能查看本人创建的活动及相关统计、未登录用户不得进入管理端页面。</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1.2 活动全生命周期管理</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系统应支持活动从创建到完成的基本管理过程。投标人应分析草稿、已发布和已完成三种状态之间的业务关系，说明活动编辑、发布、完成和查询过程中的数据一致性要求。</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1.3 活动信息完整填报</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投标人应分析活动类型、主题、地点、时间、参与人数、服务商、主讲人、目标受众、年龄段和活动描述等字段之间的关系，说明如何保证活动基本信息填写完整、格式正确、便于后续展示和统计。</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1.4 活动资料分类管理</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系统已经设置活动方案、活动PPT、活动评价、活动照片和活动视频等资料类别。投标人应分析不同资料类型的上传、展示、下载和关联管理要求，确保资料能够准确归属于对应活动。</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1.5 统计数据一致性</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提供活动总数、参与人数、已发布活动数、已完成活动数，以及按月份、活动类型和运营商进行统计的功能。投标人应分析活动新增、修改、发布和完成后对统计结果的影响，确保统计数据与活动数据保持一致。</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1.6 多终端页面适配</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现有项目采用响应式页面设计，支持在普通电脑和移动浏览器上访问。投标人应分析不同屏幕尺寸下登录、活动列表、活动详情、活动填报和统计页面的显示适配问题，确保主要功能能够正常使用。</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1.7 项目实施和交付</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投标人应结合现有项目的前端页面、数据服务、模拟数据和文档资料，分析系统部署、功能验证、数据初始化、用户培训和项目交付中的重点问题，并提出与现有项目规模相适应的实施安排。</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b w:val="0"/>
          <w:bCs w:val="0"/>
          <w:sz w:val="28"/>
          <w:szCs w:val="28"/>
          <w:highlight w:val="none"/>
          <w:lang w:val="en-US" w:eastAsia="zh-CN" w:bidi="ar-SA"/>
        </w:rPr>
        <w:t xml:space="preserve">2.</w:t>
      </w:r>
      <w:r>
        <w:rPr>
          <w:rFonts w:hint="eastAsia" w:ascii="方正仿宋_GBK" w:hAnsi="方正仿宋_GBK" w:eastAsia="方正仿宋_GBK" w:cs="方正仿宋_GBK"/>
          <w:color w:val="000000"/>
          <w:sz w:val="28"/>
          <w:szCs w:val="28"/>
          <w:highlight w:val="none"/>
          <w:lang w:val="en-US" w:eastAsia="zh-CN"/>
        </w:rPr>
        <w:t xml:space="preserve">数据标准设计方案</w:t>
      </w:r>
      <w:r>
        <w:rPr>
          <w:rFonts w:hint="eastAsia" w:ascii="方正仿宋_GBK" w:hAnsi="方正仿宋_GBK" w:eastAsia="方正仿宋_GBK" w:cs="方正仿宋_GBK"/>
          <w:color w:val="000000"/>
          <w:sz w:val="28"/>
          <w:szCs w:val="28"/>
          <w:highlight w:val="none"/>
          <w:lang w:val="en-US" w:eastAsia="zh-CN"/>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投标人应根据项目需求，对活动基础数据、活动类型、用户信息、附件资料、状态信息和统计数据进行统一整理，形成与现有系统相匹配的数据标准。</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2.1 活动基础数据</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基础信息至少应包括：活动编号、活动类型、活动主题、活动地点、开始时间、结束时间、参与人数、服务商名称、主讲人姓名、目标受众、适合年龄段、活动描述、活动备注、创建时间、修改时间、发布时间、活动状态。</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投标人应说明各字段的数据类型、填写要求和展示方式。</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2.2 活动类型数据</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系统应支持活动类型的统一管理，包括：活动类型名称、类型说明、启用状态、创建时间。</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系统管理员应能够新增、编辑、启用、停用和删除活动类型。活动类型调整后，相关活动页面和填报表单应能够正常使用。</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2.3 用户和运营商数据</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用户数据至少应包括：用户名、登录密码、用户姓名、用户角色、所属公司、联系电话、电子邮箱、账号状态、创建时间。</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系统应区分系统管理员和活动运营商两类角色，并根据角色限制功能访问范围。</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2.4 附件数据</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附件数据应与具体活动关联，并至少记录：文件编号、文件名称、文件类型、文件大小、文件地址、上传时间、所属活动、附件类别。</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附件类别至少包括：活动方案、活动PPT、活动评价、活动照片和活动视频。</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2.5 活动状态数据</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活动状态应按照现有系统设置为：草稿、已发布、已完成。</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系统应根据活动状态控制页面展示和可操作内容。运营商可编辑草稿活动，发布后活动进入门户展示，活动完成后形成完成记录。</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2.6 数据校验要求</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活动填报应对以下内容进行基本校验：</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类型是否已选择、活动主题是否填写、活动地点是否填写、开始和结束时间是否填写、参与人数是否为有效数字、服务商名称是否填写、主讲人姓名是否填写、结束时间不得早于开始时间、上传文件是否属于允许的文件类别、上传文件是否超过规定大小。</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2.7 文件格式和大小</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系统应按照现有项目设置管理附件：</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活动方案：支持 PDF、DOC、DOCX，单个文件不超过50MB；</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活动PPT：支持 PPT、PPTX、PDF，单个文件不超过100MB；</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活动评价：支持 PDF、DOC、DOCX，单个文件不超过50MB；</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活动照片：支持 JPG、PNG、GIF，单张不超过20MB；</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活动视频：支持 MP4、MOV、AVI，单个文件不超过500MB。</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2.8 统计数据标准</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统计数据至少应包括：活动总数、参与人数总数、已发布活动数、已完成活动数、按月份统计的活动数量、按月份统计的参与人数、按活动类型统计的活动数量、按运营商统计的活动数量。</w:t>
      </w:r>
      <w:r>
        <w:rPr>
          <w:rFonts w:hint="eastAsia" w:ascii="方正仿宋_GBK" w:hAnsi="方正仿宋_GBK" w:eastAsia="方正仿宋_GBK" w:cs="方正仿宋_GBK"/>
          <w:b w:val="0"/>
          <w:bCs w:val="0"/>
          <w:sz w:val="28"/>
          <w:szCs w:val="28"/>
          <w:highlight w:val="none"/>
          <w:lang w:val="en-US" w:eastAsia="zh-CN" w:bidi="ar-SA"/>
        </w:rPr>
      </w:r>
      <w:r/>
    </w:p>
    <w:p>
      <w:pPr>
        <w:pStyle w:val="954"/>
        <w:ind w:firstLine="560"/>
        <w:pageBreakBefore w:val="0"/>
        <w:spacing w:before="0" w:after="0"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b w:val="0"/>
          <w:bCs w:val="0"/>
          <w:sz w:val="28"/>
          <w:szCs w:val="28"/>
          <w:highlight w:val="none"/>
          <w:lang w:val="en-US" w:eastAsia="zh-CN" w:bidi="ar-SA"/>
        </w:rPr>
        <w:t xml:space="preserve">统计结果应根据活动数据实时或按页面刷新结果更新，不得与实际活动数据产生明显不一致。</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3.全流程活动填报方案</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投标人应围绕现有活动管理流程，编制活动创建、编辑、发布、完成和查询的填报方案。方案应与现有页面和字段保持一致。</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3.1 活动创建</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活动运营商应能够创建新的活动，并填写以下内容：活动类型、活动主题、活动地点、开始日期和时间、结束日期和时间、参与人数、服务商名称、主讲人姓名、目标受众、适合年龄段、活动描述、活动相关附件。</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3.2 活动编辑</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活动运营商应能够查看和编辑本人创建的活动。草稿状态的活动可以继续编辑；已发布或已完成活动的修改范围应按照系统权限和业务规则进行控制。</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系统管理员应能够查看全部活动，并对活动信息进行管理。</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3.3 活动发布</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活动运营商完成信息填写和资料上传后，应能够将草稿活动发布。发布后的活动进入门户活动列表和活动详情页面。</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3.4 活动完成</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已发布活动完成举办后，应能够将活动状态调整为已完成，并在统计页面中计入已完成活动数量。</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3.5 活动资料上传</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用户应能够在活动编辑页面上传和管理：活动方案、活动PPT、活动评价、活动照片、活动视频。</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系统应分别展示不同类型的附件，并支持查看、下载或预览。活动详情页面应能够分类展示文档、图片和视频资料。</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3.6 活动列表和详情</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系统应提供活动列表和活动详情功能。</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活动列表应支持：活动名称查看、活动类型查看、活动状态查看、活动时间查看、活动地点查看、参与人数查看、关键词搜索、按状态筛选、按类型筛选。</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活动详情应展示活动基本信息、运营商信息、活动描述和全部附件资料。</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3.7 管理员端填报管理</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系统管理员应能够：查看全部活动、按条件筛选活动、查看活动详情、查看活动附件、管理活动类型、查看全系统统计数据、管理运营商账号。</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3.8 运营商端填报管理</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活动运营商应能够：查看本人活动、新建活动、保存活动草稿、编辑本人活动、上传活动资料、发布活动、完成活动、查看本人活动统计数据。</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3.9 页面适配</w:t>
      </w:r>
      <w:r>
        <w:rPr>
          <w:rFonts w:hint="eastAsia" w:ascii="方正仿宋_GBK" w:hAnsi="方正仿宋_GBK" w:eastAsia="方正仿宋_GBK" w:cs="方正仿宋_GBK"/>
          <w:color w:val="000000"/>
          <w:sz w:val="28"/>
          <w:szCs w:val="28"/>
          <w:highlight w:val="none"/>
          <w:lang w:val="en-US" w:eastAsia="zh-CN"/>
        </w:rPr>
      </w:r>
      <w:r/>
    </w:p>
    <w:p>
      <w:pPr>
        <w:pStyle w:val="951"/>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lang w:val="en-US" w:eastAsia="zh-CN"/>
        </w:rPr>
        <w:t xml:space="preserve">活动填报、活动列表、活动详情和统计页面应支持响应式展示，在电脑和移动浏览器上保持基本可用。</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 系统管理功能及业务功能及对接的定制开发方案</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4.1系统业务功能及对接的定制开发</w:t>
      </w:r>
      <w:r>
        <w:rPr>
          <w:rFonts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在已建设的仓储系统实现以下业务功能及对接：</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4.1.1.仓储系统的资源上传功能。</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可自动检测并读取新接入硬盘；支持对已挂载的硬盘内容进行选择并上传；支持数据校验机制，确保上传文件完整性。</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具体内容包括：</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（1）对仓储系统所在的服务器，仓储系统可自动检测并读取新接入硬盘，需支持多种硬盘类型（如SATA、SAS、SSD等）和文件系统格式（如EXT4、XFS等），兼容市面上主流的硬盘。</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支持对已挂载的硬盘内容进行选择并上传，在仓储系统的项目管理操作上传文件时，支持允许用户选择硬盘中的文件或文件夹内容并进行上传；应支持单个文件上传、批量文件的勾选并上传，支持在上传过程中实时查看进度。</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本次在仓储系统开发的硬盘挂载上传功能应提供数据校验机制，确保上传文件完整性，支持在上传文件时自动计算文件的哈希值（如MD5或SHA-256），并在上传完成后与服务器端的计算结果进行比对；如校验结果不一致则提示用户上传文件出错，可重新进行上传。</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4.1.2.仓储系统的资源入库功能。</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具体内容包括：</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（1）将仓储系统的文件匹配和入库流程修改为基于消息队列中间件的异步处理模式，要求使用高性能的消息队列中间件，将文件匹配和入库任务分解为多个独立的消息单元，实现异步处理和解耦。</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（2）对仓储系统资源入库后的特征提取，开发支持多线程的特征提取服务，提升特征提取的速度和效率。特征提取应支持服务状态检测机制具备自动恢复功能，确保特征提取服务的持续稳定运行。</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4.1.3.在仓储系统定制实现“中央转移支付”属性资源上传功能及接口对接。</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具体内容包括：</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优化仓储系统的中央转移支付上传功能，实现与国家图书馆“中央转移支付”属性资源接收的对接，对接应支持传输校验：在文件上传前，南京图书馆仓储系统自动计算文件的校验值并同步上传到国家图书馆仓储系统服务端；在文件传输完成后，国家图书馆仓储系统服务端对接收到的文件再次计算校验值，并对两组校验值进行对比，以确保文件在传输过程中的完整性和一致性。</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（2）仓储系统在中央转移支付上传过程需提供实时的文件传输状态监控，上传状态的监控展示应涵盖上传成功、传输中、上传失败等状态。</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（3）仓储系统在中央转移支付上传过程如出现文件传输异常，例如网络中断、校验失败等情况，应支持自动触发重传。同时，支持传输异常的日志记录，记录每次传输异常的原因、时间、文件信息等详细日志。</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（4）中央转移支付上传的异常重传机制应支持最大重传次数限制，对超过次数仍未上传成功的操作，仓储系统应明确提示用户上传失败。</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4.2系统管理功能及对接的定制开发</w:t>
      </w:r>
      <w:r>
        <w:rPr>
          <w:rFonts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在已建设的仓储系统实现以下管理功能及对接：</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4.2.1.在仓储系统的数据模版定制实现更新功能和对接</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支持自动检测并对比国家图书馆全网知识内容集中仓储系统的数据模板的版本状态，在南京图书馆仓储系统进行更新。具体内容包括：</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对接更新，通过图形化界面将国家图书馆的模板同步至本地系统：支持自动检测对比国家图书馆全网知识内容集中仓储系统的数据模板的版本状态，提示用户进行更新操作，将新版本数据模板同步至本地，同步过程应具备明确的进度提示和操作反馈，确保用户能够实时了解同步状态。</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应支持权限控制机制，防止未经授权的用户对模板进行篡改：从国家图书馆仓储系统同步至南京图书馆仓储系统的数据模板应以只读形式展示，南京图书馆具备查看、使用这类数据模板的权限，但不具备对其进行编辑或删除的权限；用户可以通过模板复制功能复制这类数据模板为新增的自定义模板，用户对自行创建、新增的自定义模板具备编辑或删除权限。</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4.2.2.实现仓储系统权限管理功能的定制开发</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支持基于RBAC的用户、角色、权限分配的访问控制管理，实现权限的精细化管理和控制，防止越权访问行为的发生。具体内容包括：</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（1）支持自定义角色，并能够为每个角色分配相应的权限。</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（2）应支持将权限与角色绑定，确保用户只能访问和操作其角色所允许的功能和数据。</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（3）应支持将用户与角色关联，确保每个用户的权限与其角色相匹配。</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4.2.3.实现仓储系统环境下的全省阅读推广活动知识库构建与智能应用管理</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在知识仓储系统环境下，构建全省公共图书馆阅读推广活动知识库，建设内容包括制定数据标准，研发全流程活动数据填报和多源活动管理系统数据采集等功能软件，并利用AI进行数据处理分析。具体要求如下。</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（1）制定统一完善的阅读推广活动数据标准，指标应涵盖各类型活动的完备信息。</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（2）开发全流程活动数据填报功能软件。该软件</w:t>
      </w:r>
      <w:r>
        <w:rPr>
          <w:rFonts w:hint="eastAsia" w:ascii="方正仿宋_GBK" w:hAnsi="方正仿宋_GBK" w:eastAsia="方正仿宋_GBK" w:cs="方正仿宋_GBK"/>
          <w:color w:val="000000"/>
          <w:sz w:val="28"/>
          <w:szCs w:val="28"/>
          <w:highlight w:val="none"/>
          <w:lang w:val="en-US" w:eastAsia="zh-CN"/>
        </w:rPr>
        <w:t xml:space="preserve">在没有活动管理系统数据的情况下可提供完备的填报数据；在采集到活动管理系统数据的情况下，可以补充完善采集到的数据。有关要求如下：依据活动数据标准，填报收集活动全流程数据；支持手机、PC机多终端应用，支持HTML5 标准格式和小程序应用；支持多级填报项目指标及其属性值、阈值等参数的自由定义；支持管理多源活动管理系统数据采集的数据，可补充完善采集的数据；支持批量处理活动方案表格数据，自动导入活动基本信息；支持活动前活动方案、课件等数据的加载，支持活动中照片、视频等过程数据的采集加载，支持活动后评价数据采集和处理。</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 专网服务延续及代理访问对接接入的定制开发方案</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对已建设的仓储系统进行专网服务的续服及访问对接定制开发，具体内容包括：</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5.1对仓储系统的SD-WAN专网服务期限：从2026年12月1日至2027年12月31日。</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5.2实现专网内访问国家图书馆全网资源展示中心的代理服务：</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5.3仓储系统应提供基于全网知识内容集中仓储系统SD-WAN专网的本地代理服务，用户登录本地仓储系统后经代理服务可无缝访问SD-WAN专网的国家图书馆全网资源展示中心。</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5.4代理服务需支持多种协议（如HTTP、HTTPS等），确保与国家图书馆全网资源展示中心的无缝兼容。</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5.5代理服务需与采购人现有的仓储系统无缝集成，遵循现有仓储系统的架构和接口规范，确保整体系统稳定运行。</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6.项目实施方案</w:t>
      </w:r>
      <w:r>
        <w:rPr>
          <w:rFonts w:hint="eastAsia" w:ascii="方正仿宋_GBK" w:hAnsi="方正仿宋_GBK" w:eastAsia="方正仿宋_GBK" w:cs="方正仿宋_GBK"/>
          <w:color w:val="000000"/>
          <w:sz w:val="28"/>
          <w:szCs w:val="28"/>
          <w:highlight w:val="none"/>
          <w:lang w:val="en-US" w:eastAsia="zh-CN"/>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投标人应根据项目需求编制项目实施方案，实施内容以全流程活动填报方案的部署、完善、测试、培训和交付为主。</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6.1 实施周期</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项目建设周期为2个月。投标人应制定详细进度计划，至少包括：1.项目启动和需求确认；2.现有系统功能核对；3.数据和页面配置；4.活动管理功能完善；5.管理端和运营商端联调；6.附件上传功能验证；7.系统测试和问题整改；8.用户培训；9.项目部署和验收准备。</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6.2 项目人员</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投标人应配置能够完成项目系统实施、测试、培训和维护工作的项目人员，并明确项目负责人、技术人员、测试人员和培训人员的职责。</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6.3 系统功能实施</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实施方案应覆盖以下现有功能：登录和退出；管理员和运营商角色使用；运营商账号管理；活动类型管理；活动新增；编辑和删除；活动草稿保存；活动发布和完成；活动方案、PPT、评价、照片和视频上传；活动列表；详情和分类展示；管理员端活动管理；运营商端个人活动管理；活动统计和图表展示；公共门户展示。</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6.4 数据初始化</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投标人应根据采购人提供的基础资料完成必要的数据初始化，包括：初始管理员账号、运营商账号、活动类型、初始活动数据、活动附件资料；统计展示所需基础数据。</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初始数据导入或录入后，应进行数量、字段和页面展示核对。</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6.5 测试要求</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投标人应至少开展以下测试：</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登录和角色访问测试、</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运营商账号管理测试、</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活动类型管理测试、</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活动新增、编辑和删除测试、草稿、发布和完成状态测试、活动字段校验测试、文档、图片和视频上传测试、活动列表和详情展示测试、统计数据测试、电脑和移动浏览器适配测试、异常输入和错误提示测试。</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测试发现的问题应形成问题清单，并完成整改和复测。</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6.6 文档交付</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投标人应提交与现有项目相匹配的项目文档，包括：项目实施计划、系统功能说明、数据字段说明、测试记录和测试报告、部署说明、用户使用手册、管理员操作手册、培训材料、验收配合材料。</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6.7 验收要求</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投标人完成系统部署、功能验证、问题整改和培训后，应提交验收申请，由采购人组织验收。</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验收重点包括：登录和角色功能、运营商和活动类型管理、活动填报和状态流转、附件上传和展示、统计分析、页面适配、文档交付、培训完成情况。</w:t>
      </w:r>
      <w:r>
        <w:rPr>
          <w:rFonts w:hint="eastAsia" w:ascii="方正仿宋_GBK" w:hAnsi="方正仿宋_GBK" w:eastAsia="方正仿宋_GBK" w:cs="方正仿宋_GBK"/>
          <w:b w:val="0"/>
          <w:bCs w:val="0"/>
          <w:sz w:val="28"/>
          <w:szCs w:val="28"/>
          <w:highlight w:val="none"/>
          <w:lang w:val="en-US" w:eastAsia="zh-CN" w:bidi="ar-SA"/>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7.售后服务方案</w:t>
      </w:r>
      <w:r>
        <w:rPr>
          <w:rFonts w:hint="eastAsia" w:ascii="方正仿宋_GBK" w:hAnsi="方正仿宋_GBK" w:eastAsia="方正仿宋_GBK" w:cs="方正仿宋_GBK"/>
          <w:color w:val="000000"/>
          <w:sz w:val="28"/>
          <w:szCs w:val="28"/>
          <w:highlight w:val="none"/>
          <w:lang w:val="en-US" w:eastAsia="zh-CN"/>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投标人应根据全流程活动填报系统的规模和功能，提供与软件页面、数据服务、账号管理、活动管理和统计功能相匹配的售后服务。</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7.1 服务期限</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质保服务期限自项目验收合格之日起至2027年XX月XX日。</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7.2 服务范围</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售后服务至少包括：登录和账号问题处理、活动创建、编辑和发布问题处理、附件上传和展示问题处理、活动列表和详情页面问题处理、统计数据异常处理、活动类型和运营商数据维护、页面兼容性问题处理、系统运行异常排查、已交付功能的必要维护和优化。</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7.3 服务渠道</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投标人应提供电话、邮件、网络等服务方式，并明确服务联系人、联系方式和问题受理流程。</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7.4 故障处理</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投标人在接到采购人故障通知后应及时响应。</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一般功能故障应在4小时内完成处理；影响系统主要功能使用的严重故障应在24小时内完成处理。</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每次故障处理应记录：故障现象、发生时间、影响范围、处理过程、处理结果、修复时间、后续处理建议。</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7.5 日常维护</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投标人应定期检查：登录功能、管理员和运营商账号状态、活动数据展示、活动附件访问、统计页面、页面访问和基本运行情况。</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对于发现的数据错误、页面错误和功能异常，应及时处理并反馈结果。</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7.6 版本维护</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涉及已交付功能调整、页面优化或数据字段调整时，投标人应说明变更内容、影响范围和实施时间，并在变更后完成基本功能验证。</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7.7 保密要求</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投标人及项目人员应对采购人提供的账号信息、活动资料、用户信息和系统数据承担保密责任，不得擅自复制、传播或用于本项目以外的用途。</w:t>
      </w:r>
      <w:r>
        <w:rPr>
          <w:rFonts w:hint="eastAsia" w:ascii="方正仿宋_GBK" w:hAnsi="方正仿宋_GBK" w:eastAsia="方正仿宋_GBK" w:cs="方正仿宋_GBK"/>
          <w:b w:val="0"/>
          <w:bCs w:val="0"/>
          <w:sz w:val="28"/>
          <w:szCs w:val="28"/>
          <w:highlight w:val="none"/>
          <w:lang w:val="en-US" w:eastAsia="zh-CN" w:bidi="ar-SA"/>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8.培训方案</w:t>
      </w:r>
      <w:r>
        <w:rPr>
          <w:rFonts w:hint="eastAsia" w:ascii="方正仿宋_GBK" w:hAnsi="方正仿宋_GBK" w:eastAsia="方正仿宋_GBK" w:cs="方正仿宋_GBK"/>
          <w:color w:val="000000"/>
          <w:sz w:val="28"/>
          <w:szCs w:val="28"/>
          <w:highlight w:val="none"/>
          <w:lang w:val="en-US" w:eastAsia="zh-CN"/>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投标人应针对现有系统的实际功能组织培训，培训内容应覆盖系统管理员和活动运营商两类用户。</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培训应采用理论讲解、操作演示和实际练习相结合的方式，可采用现场培训和线上培训相结合的形式。</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8.1 系统管理员培训</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系统管理员培训至少应包括：系统登录和退出、运营商账号新增、编辑、启用、停用和删除、活动类型新增、编辑、启用、停用和删除、查看和管理全部活动、查看活动详情和附件、查看统计数据、常见问题处理、基本运行维护、用户权限和账号安全注意事项。</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8.2 活动运营商培训</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活动运营商培训至少应包括：用户登录和退出；查看本人活动；新建活动；填写活动基本信息；保存草稿、编辑活动；上传活动方案、PPT、评价、照片和视频；发布活动；完成活动；查看活动详情；查询本人活动统计数据。</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8.3 培训安排</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投标人应在培训计划中明确：培训对象、培训人数、培训时间、培训地点、培训方式、培训课程、培训讲师、培训组织人员、培训所需账号和环境。</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现场培训地点原则上为南京图书馆或采购人指定地点，线上培训安排由双方协商确定。</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8.4 培训资料</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投标人应提供：系统管理员操作手册、活动运营商操作手册、活动填报说明、附件上传说明、常见问题说明、培训课件、培训签到记录、培训总结。</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培训材料应与现有系统页面、字段和操作流程保持一致。</w:t>
      </w:r>
      <w:r>
        <w:rPr>
          <w:rFonts w:hint="eastAsia" w:ascii="方正仿宋_GBK" w:hAnsi="方正仿宋_GBK" w:eastAsia="方正仿宋_GBK" w:cs="方正仿宋_GBK"/>
          <w:b w:val="0"/>
          <w:bCs w:val="0"/>
          <w:sz w:val="28"/>
          <w:szCs w:val="28"/>
          <w:highlight w:val="none"/>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b w:val="0"/>
          <w:bCs w:val="0"/>
          <w:sz w:val="28"/>
          <w:szCs w:val="28"/>
          <w:highlight w:val="yellow"/>
          <w:lang w:val="en-US" w:eastAsia="zh-CN" w:bidi="ar-SA"/>
        </w:rPr>
      </w:pPr>
      <w:r>
        <w:rPr>
          <w:rFonts w:hint="eastAsia" w:ascii="方正仿宋_GBK" w:hAnsi="方正仿宋_GBK" w:eastAsia="方正仿宋_GBK" w:cs="方正仿宋_GBK"/>
          <w:b w:val="0"/>
          <w:bCs w:val="0"/>
          <w:sz w:val="28"/>
          <w:szCs w:val="28"/>
          <w:highlight w:val="yellow"/>
          <w:lang w:val="en-US" w:eastAsia="zh-CN" w:bidi="ar-SA"/>
        </w:rPr>
      </w:r>
      <w:r/>
    </w:p>
    <w:p>
      <w:pPr>
        <w:pStyle w:val="984"/>
        <w:ind w:firstLine="600"/>
        <w:keepLines w:val="0"/>
        <w:keepNext w:val="0"/>
        <w:pageBreakBefore w:val="0"/>
        <w:spacing w:line="440" w:lineRule="exact"/>
        <w:widowControl w:val="off"/>
        <w:rPr>
          <w:lang w:val="en-US" w:eastAsia="zh-CN"/>
        </w:rPr>
      </w:pPr>
      <w:r>
        <w:rPr>
          <w:lang w:val="en-US" w:eastAsia="zh-CN"/>
        </w:rPr>
      </w:r>
      <w:r/>
    </w:p>
    <w:p>
      <w:pPr>
        <w:pStyle w:val="953"/>
        <w:ind w:firstLine="420"/>
        <w:pageBreakBefore w:val="0"/>
        <w:spacing w:line="400" w:lineRule="exact"/>
        <w:widowControl w:val="off"/>
        <w:rPr>
          <w:rFonts w:hint="eastAsia" w:ascii="方正黑体_GBK" w:hAnsi="方正黑体_GBK" w:eastAsia="方正黑体_GBK" w:cs="方正黑体_GBK"/>
          <w:b w:val="0"/>
          <w:bCs w:val="0"/>
          <w:color w:val="000000"/>
          <w:sz w:val="32"/>
          <w:szCs w:val="32"/>
          <w:lang w:val="en-US" w:eastAsia="zh-CN" w:bidi="ar-SA"/>
        </w:rPr>
      </w:pPr>
      <w:r/>
      <w:bookmarkStart w:id="163" w:name="_Toc120614281"/>
      <w:r>
        <w:rPr>
          <w:rFonts w:hint="eastAsia" w:ascii="方正黑体_GBK" w:hAnsi="方正黑体_GBK" w:eastAsia="方正黑体_GBK" w:cs="方正黑体_GBK"/>
          <w:b w:val="0"/>
          <w:bCs w:val="0"/>
          <w:color w:val="000000"/>
          <w:sz w:val="32"/>
          <w:szCs w:val="32"/>
          <w:lang w:val="en-US" w:eastAsia="zh-CN" w:bidi="ar-SA"/>
        </w:rPr>
        <w:br w:type="page" w:clear="all"/>
      </w:r>
      <w:r>
        <w:rPr>
          <w:rFonts w:hint="eastAsia" w:ascii="方正黑体_GBK" w:hAnsi="方正黑体_GBK" w:eastAsia="方正黑体_GBK" w:cs="方正黑体_GBK"/>
          <w:b w:val="0"/>
          <w:bCs w:val="0"/>
          <w:color w:val="000000"/>
          <w:sz w:val="32"/>
          <w:szCs w:val="32"/>
          <w:lang w:val="en-US" w:eastAsia="zh-CN" w:bidi="ar-SA"/>
        </w:rPr>
        <w:t xml:space="preserve">第五章  评标方法与评标标准</w:t>
      </w:r>
      <w:r>
        <w:rPr>
          <w:rFonts w:hint="eastAsia" w:ascii="方正黑体_GBK" w:hAnsi="方正黑体_GBK" w:eastAsia="方正黑体_GBK" w:cs="方正黑体_GBK"/>
          <w:b w:val="0"/>
          <w:bCs w:val="0"/>
          <w:color w:val="000000"/>
          <w:sz w:val="32"/>
          <w:szCs w:val="32"/>
          <w:lang w:val="en-US" w:eastAsia="zh-CN" w:bidi="ar-SA"/>
        </w:rPr>
      </w:r>
      <w:r/>
    </w:p>
    <w:p>
      <w:pPr>
        <w:pStyle w:val="951"/>
        <w:ind w:firstLine="56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951"/>
              <w:jc w:val="center"/>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left"/>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1038"/>
        <w:ind w:left="0" w:firstLine="562"/>
        <w:jc w:val="both"/>
        <w:keepLines w:val="0"/>
        <w:keepNext w:val="0"/>
        <w:pageBreakBefore w:val="0"/>
        <w:spacing w:before="0" w:after="0" w:line="44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38"/>
        <w:ind w:left="0" w:firstLine="562"/>
        <w:jc w:val="both"/>
        <w:keepLines w:val="0"/>
        <w:keepNext w:val="0"/>
        <w:pageBreakBefore w:val="0"/>
        <w:spacing w:before="0" w:after="0" w:line="440" w:lineRule="exact"/>
        <w:widowControl w:val="off"/>
        <w:rPr>
          <w:rFonts w:hint="eastAsia" w:ascii="方正仿宋_GBK" w:hAnsi="方正仿宋_GBK" w:eastAsia="方正仿宋_GBK" w:cs="方正仿宋_GBK"/>
          <w:b/>
          <w:bCs/>
          <w:color w:val="000000"/>
          <w:sz w:val="28"/>
          <w:szCs w:val="28"/>
          <w:lang w:val="en-US" w:eastAsia="zh-CN" w:bidi="ar-SA"/>
        </w:rPr>
      </w:pPr>
      <w:r>
        <w:rPr>
          <w:rFonts w:hint="eastAsia" w:ascii="方正仿宋_GBK" w:hAnsi="方正仿宋_GBK" w:eastAsia="方正仿宋_GBK" w:cs="方正仿宋_GBK"/>
          <w:b/>
          <w:bCs/>
          <w:color w:val="000000"/>
          <w:sz w:val="28"/>
          <w:szCs w:val="28"/>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8"/>
        <w:ind w:left="0" w:firstLine="560"/>
        <w:jc w:val="both"/>
        <w:keepLines w:val="0"/>
        <w:keepNext w:val="0"/>
        <w:pageBreakBefore w:val="0"/>
        <w:spacing w:before="0" w:after="0" w:line="44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8"/>
        <w:ind w:left="0" w:firstLine="560"/>
        <w:jc w:val="both"/>
        <w:keepLines w:val="0"/>
        <w:keepNext w:val="0"/>
        <w:pageBreakBefore w:val="0"/>
        <w:spacing w:before="0" w:after="0" w:line="44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38"/>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51"/>
        <w:ind w:firstLine="562"/>
        <w:jc w:val="both"/>
        <w:keepLines w:val="0"/>
        <w:keepNext w:val="0"/>
        <w:pageBreakBefore w:val="0"/>
        <w:spacing w:line="44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51"/>
        <w:ind w:left="0" w:right="0" w:firstLine="562"/>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rPr>
        <w:t xml:space="preserve"> </w:t>
      </w:r>
      <w:r>
        <w:rPr>
          <w:rFonts w:ascii="仿宋" w:hAnsi="仿宋" w:eastAsia="仿宋" w:cs="仿宋"/>
          <w:color w:val="000000"/>
          <w:sz w:val="28"/>
          <w:highlight w:val="none"/>
        </w:rPr>
        <w:t xml:space="preserve">（一）投标报价</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highlight w:val="none"/>
        </w:rPr>
        <w:t xml:space="preserve">1.1价格分采用低价优先法计算，即满足招标文件要求且报价最低的供应商报价为评标基准价，其价格分为满分</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rPr>
        <w:t xml:space="preserve">分，其他投标人的价格分统一按照以下公式计算：报价得分=（评标基准价/该供应商的投标报价）</w:t>
      </w:r>
      <w:r>
        <w:rPr>
          <w:rFonts w:hint="eastAsia" w:ascii="方正仿宋_GBK" w:hAnsi="方正仿宋_GBK" w:eastAsia="方正仿宋_GBK" w:cs="方正仿宋_GBK"/>
          <w:color w:val="000000"/>
          <w:sz w:val="28"/>
          <w:szCs w:val="28"/>
          <w:lang w:val="en-US" w:eastAsia="zh-CN"/>
        </w:rPr>
        <w:t xml:space="preserve">×30分。（保留小数点后两位）。</w:t>
      </w:r>
      <w:r>
        <w:rPr>
          <w:rFonts w:hint="eastAsia" w:ascii="方正仿宋_GBK" w:hAnsi="方正仿宋_GBK" w:eastAsia="方正仿宋_GBK" w:cs="方正仿宋_GBK"/>
          <w:color w:val="000000"/>
          <w:sz w:val="28"/>
          <w:szCs w:val="28"/>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（二）项目方案（</w:t>
      </w:r>
      <w:r>
        <w:rPr>
          <w:rFonts w:hint="eastAsia" w:ascii="方正仿宋_GBK" w:hAnsi="方正仿宋_GBK" w:eastAsia="方正仿宋_GBK" w:cs="方正仿宋_GBK"/>
          <w:color w:val="000000"/>
          <w:sz w:val="28"/>
          <w:szCs w:val="28"/>
          <w:highlight w:val="none"/>
          <w:lang w:val="en-US" w:eastAsia="zh-CN"/>
        </w:rPr>
        <w:t xml:space="preserve">40</w:t>
      </w:r>
      <w:r>
        <w:rPr>
          <w:rFonts w:hint="eastAsia" w:ascii="方正仿宋_GBK" w:hAnsi="方正仿宋_GBK" w:eastAsia="方正仿宋_GBK" w:cs="方正仿宋_GBK"/>
          <w:color w:val="000000"/>
          <w:sz w:val="28"/>
          <w:szCs w:val="28"/>
          <w:lang w:val="en-US" w:eastAsia="zh-CN"/>
        </w:rPr>
        <w:t xml:space="preserve">分）</w:t>
      </w:r>
      <w:r>
        <w:rPr>
          <w:rFonts w:hint="eastAsia" w:ascii="方正仿宋_GBK" w:hAnsi="方正仿宋_GBK" w:eastAsia="方正仿宋_GBK" w:cs="方正仿宋_GBK"/>
          <w:color w:val="000000"/>
          <w:sz w:val="28"/>
          <w:szCs w:val="28"/>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2.1 项目重难点分析（5分）。评委根据投标文件对招标文件第四章“采购需求”中“项目重难点分析”要求的响应情况进行评审：</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（1）投标文件未符合“项目重难点分析”中全部条款要求的，视为不符合招标文件，本项得0分。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（2）投标文件符合“项目重难点分析”中全部条款要求的，视为符合招标文件，本项得3分。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经评委认定，投标文件对“项目重难点分析”中“多角色使用和权限边界”、“活动全生命周期管理”两项要求的响应内容全部优于招标文件要求的（投标文件对“项目重难点分析”中除“多角色使用和权限边界”、“活动全生命周期管理”外其他要求响应内容符合招标文件要求），本项得5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2.2 数据标准设计方案（5分）。评委根据投标文件对招标文件第四章“采购需求”中“数据标准设计方案”要求的响应情况进行评审：</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（1）投标文件未符合“数据标准设计方案”中全部条款要求的，视为不符合招标文件，本项得0分。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（2）投标文件符合“数据标准设计方案”中全部条款要求的，视为符合招标文件，本项得3分。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经评委认定，投标文件对“数据标准设计方案”中“活动基础数据、“活动类型数据”两项要求的响应内容全部优于招标文件要求的（投标文件对“数据标准设计方案”中除“活动基础数据”、“活动类型数据”外其他要求响应内容符合招标文件要求），本项得5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2.3 全流程活动填报方案（5分）。评委根据投标文件对招标文件第四章“采购需求”中“全流程活动填报方案”要求的响应情况进行评审：</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（1）投标文件未符合“全流程活动填报方案”中全部条款要求的，视为不符合招标文件，本项得0分。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（2）投标文件符合“全流程活动填报方案”中全部条款要求的，视为符合招标文件，本项得3分。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经评委认定，投标文件对“全流程活动填报方案”中“活动创建”、“活动编辑”两项要求的响应内容全部优于招标文件要求的（投标文件对“全流程活动填报方案”中除“活动创建”、“活动编辑”外其他要求响应内容符合招标文件要求），本项得5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2.4 系统管理功能及业务功能及对接的定制开发方案（5分）。评委根据投标文件对招标文件第四章“采购需求”中“系统管理功能及业务功能及对接的定制开发方案”要求的响应情况进行评审：</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（1）投标文件未符合“系统管理功能及业务功能及对接的定制开发方案”中全部条款要求的，视为不符合招标文件，本项得0分。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（2）投标文件符合“系统管理功能及业务功能及对接的定制开发方案”中全部条款要求的，视为符合招标文件，本项得3分。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经评委认定，投标文件对“系统管理功能及业务功能及对接的定制开发方案”中“在仓储系统的数据模版定制实现更新功能和对接”、“实现仓储系统权限管理功能的定制开发”两项要求的响应内容全部优于招标文件要求的（投标文件对“系统管理功能及业务功能及对接的定制开发方案”中除“在仓储系统的数据模版定制实现更新功能和对接”、“实现仓储系统权限管理功能的定制开发”外其他要求响应内容符合招标文件要求），本项得5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2.5 专网服务延续及代理访问对接接入的定制开发方案（5分）。评委根据投标文件对招标文件第四章“采购需求”中“专网服务延续及代理访问对接接入的定制开发方案”要求的响应情况进行评审：</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（1）投标文件未符合“专网服务延续及代理访问对接接入的定制开发方案”中全部条款要求的，视为不符合招标文件，本项得0分。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（2）投标文件符合“专网服务延续及代理访问对接接入的定制开发方案”中全部条款要求的，视为符合招标文件，本项得3分。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（3）经评委认定，投标文件对“专网服务延续及代理访问对接接入的定制开发方案”中“用户登录本地仓储系统</w:t>
      </w:r>
      <w:r>
        <w:rPr>
          <w:rFonts w:hint="eastAsia" w:ascii="方正仿宋_GBK" w:hAnsi="方正仿宋_GBK" w:eastAsia="方正仿宋_GBK" w:cs="方正仿宋_GBK"/>
          <w:color w:val="000000"/>
          <w:sz w:val="28"/>
          <w:szCs w:val="28"/>
          <w:highlight w:val="none"/>
          <w:lang w:val="en-US" w:eastAsia="zh-CN"/>
        </w:rPr>
        <w:t xml:space="preserve">后经代理服务可无缝访问SD-WAN专网的国家图书馆全网资源展示中心”、“代理服务需支持多种协议（如HTTP、HTTPS等），确保与国家图书馆全网资源展示中心的无缝兼容”两项要求的响应内容全部优于招标文件要求的（投标文件对“专网服务延续及代理访问对接接入的定制开发方案”中除“用户登录本地仓储系统后经代理服务可无缝访问SD-WAN专网的国家图书馆全网资源展示中心”、“代理服务需支持多种协议（如HTTP、HTTPS等），确保与国家图书馆全网资源展示中心的无缝兼容”外其他要求响应内容符合招标文件要求），本项得5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2.6 项目实施方案（5分）。评委根据投标文件对招标文件第四章“采购需求”中“项目实施方案”要求的响应情况进行评审：</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（1）投标文件未符合“项目实施方案”中全部条款要求的，视为不符合招标文件，本项得0分。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（2）投标文件符合“项目实施方案”中全部条款要求的，视为符合招标文件，本项得3分。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经评委认定，投标文件对“项目实施方案”中“实施周期”、“系统功能实施”两项要求的响应内容全部优于招标文件要求的（投标文件对“项目实施方案”中除“实施周期”、“系统功能实施”外其他要求响应内容符合招标文件要求），本项得5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2.7 售后服务方案（5分）。评委根据投标文件对招标文件第四章“采购需求”中“售后服务方案”要求的响应情况进行评审：</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（1）投标文件未符合“售后服务方案”中全部条款要求的，视为不符合招标文件，本项得0分。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（2）投标文件符合“售后服务方案”中全部条款要求的，视为符合招标文件，本项得3分。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经评委认定，投标文件对“售后服务方案”中“服务期限”、“服务范围”两项要求的响应内容全部优于招标文件要求的（投标文件对“售后服务方案”中除“服务期限”、“服务范围”外其他要求响应内容符合招标文件要求），本项得5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2.8 培训方案（5分）。评委根据投标文件对招标文件第四章“采购需求”中“培训方案”要求的响应情况进行评审：</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（1）投标文件未符合“培训方案”中全部条款要求的，视为不符合招标文件，本项得0分。</w:t>
      </w:r>
      <w:r>
        <w:rPr>
          <w:rFonts w:hint="eastAsia" w:ascii="方正仿宋_GBK" w:hAnsi="方正仿宋_GBK" w:eastAsia="方正仿宋_GBK" w:cs="方正仿宋_GBK"/>
          <w:color w:val="000000"/>
          <w:sz w:val="28"/>
          <w:szCs w:val="28"/>
          <w:highlight w:val="none"/>
          <w:lang w:val="en-US" w:eastAsia="zh-CN"/>
        </w:rPr>
      </w:r>
      <w:r/>
    </w:p>
    <w:p>
      <w:pPr>
        <w:pStyle w:val="951"/>
        <w:ind w:left="0"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（2）投标文件符合“培训方案”中全部条款要求的，视为符合招标文件，本项得3分。</w:t>
      </w:r>
      <w:r>
        <w:rPr>
          <w:rFonts w:hint="eastAsia" w:ascii="方正仿宋_GBK" w:hAnsi="方正仿宋_GBK" w:eastAsia="方正仿宋_GBK" w:cs="方正仿宋_GBK"/>
          <w:color w:val="000000"/>
          <w:sz w:val="28"/>
          <w:szCs w:val="28"/>
          <w:highlight w:val="none"/>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yellow"/>
          <w:lang w:val="en-US" w:eastAsia="zh-CN"/>
        </w:rPr>
      </w:pPr>
      <w:r>
        <w:rPr>
          <w:rFonts w:hint="eastAsia" w:ascii="方正仿宋_GBK" w:hAnsi="方正仿宋_GBK" w:eastAsia="方正仿宋_GBK" w:cs="方正仿宋_GBK"/>
          <w:color w:val="000000"/>
          <w:sz w:val="28"/>
          <w:szCs w:val="28"/>
          <w:highlight w:val="none"/>
          <w:lang w:val="en-US" w:eastAsia="zh-CN"/>
        </w:rPr>
        <w:t xml:space="preserve">（3）经评委认定，投标文件对“培训方案”中“系统管理员培训”、“活动运营商培训”两项要求的响应内容全部优于招标文件要求的（投标文件对“培训方案”中除“系统管理员培训”、“活动运营商培训”外其他要求响应内容符合招标文件要求），本项得5分。</w:t>
      </w:r>
      <w:r>
        <w:rPr>
          <w:rFonts w:hint="eastAsia" w:ascii="方正仿宋_GBK" w:hAnsi="方正仿宋_GBK" w:eastAsia="方正仿宋_GBK" w:cs="方正仿宋_GBK"/>
          <w:color w:val="000000"/>
          <w:sz w:val="28"/>
          <w:szCs w:val="28"/>
          <w:highlight w:val="yellow"/>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（三）项目团队（18分）</w:t>
      </w:r>
      <w:r>
        <w:rPr>
          <w:rFonts w:hint="eastAsia" w:ascii="方正仿宋_GBK" w:hAnsi="方正仿宋_GBK" w:eastAsia="方正仿宋_GBK" w:cs="方正仿宋_GBK"/>
          <w:color w:val="000000"/>
          <w:sz w:val="28"/>
          <w:szCs w:val="28"/>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3.1项目经理（6分）。投标人针对本项目派出的项目经理，具有信息系统项目管理师证书得2分，具有CCSC网络安全能力认证证书得2分，具有IT服务项目经理（ITSS）证书得2分。本项最高得6分。</w:t>
      </w:r>
      <w:r>
        <w:rPr>
          <w:rFonts w:hint="eastAsia" w:ascii="方正仿宋_GBK" w:hAnsi="方正仿宋_GBK" w:eastAsia="方正仿宋_GBK" w:cs="方正仿宋_GBK"/>
          <w:color w:val="000000"/>
          <w:sz w:val="28"/>
          <w:szCs w:val="28"/>
          <w:highlight w:val="none"/>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需提供相关证书复印件或扫描件并加盖供应商公章，以及投标人近3个月内任意1个月为其缴纳社保的证明材料。</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3.2项目技术负责人（6分）。投标人针对本项目派出的项目技术负责人，具有网络规划设计师证书得2分，具有数据库系统工程师证书得2分，具有高级工程师（电子信息）职称证书得2分。本项目最高得6分。</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需提供相关证书复印件或扫描件并加盖供应商公章，以及投标人近3个月内任意1个月为其缴纳社保的证明材料。</w:t>
      </w:r>
      <w:r>
        <w:rPr>
          <w:rFonts w:hint="eastAsia" w:ascii="方正仿宋_GBK" w:hAnsi="方正仿宋_GBK" w:eastAsia="方正仿宋_GBK" w:cs="方正仿宋_GBK"/>
          <w:color w:val="000000"/>
          <w:sz w:val="28"/>
          <w:szCs w:val="28"/>
          <w:highlight w:val="none"/>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3.3项目团队其他成员（6分）。项目团队其他成员具有系统架构设计师证书、系统分析师证书、系统集成项目管理工程师证书、网络工程师证书、CISAW信息安全保障人员认证证书（风险管理）、系统开发工程师证书，每提供一个证书得1分，本项满分6分。 </w:t>
      </w:r>
      <w:r>
        <w:rPr>
          <w:rFonts w:hint="eastAsia" w:ascii="方正仿宋_GBK" w:hAnsi="方正仿宋_GBK" w:eastAsia="方正仿宋_GBK" w:cs="方正仿宋_GBK"/>
          <w:color w:val="000000"/>
          <w:sz w:val="28"/>
          <w:szCs w:val="28"/>
          <w:highlight w:val="none"/>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需提供相关证书复印件或扫描件并加盖供应商公章，以及投标人近3个月内任意1个月为其缴纳社保的证明材料。同一证书不重复计分，且同一个人具有多个证书的按1个证书计算。</w:t>
      </w:r>
      <w:r>
        <w:rPr>
          <w:rFonts w:hint="eastAsia" w:ascii="方正仿宋_GBK" w:hAnsi="方正仿宋_GBK" w:eastAsia="方正仿宋_GBK" w:cs="方正仿宋_GBK"/>
          <w:color w:val="000000"/>
          <w:sz w:val="28"/>
          <w:szCs w:val="28"/>
          <w:highlight w:val="none"/>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（四）供应商履约能力（</w:t>
      </w:r>
      <w:r>
        <w:rPr>
          <w:rFonts w:hint="eastAsia" w:ascii="方正仿宋_GBK" w:hAnsi="方正仿宋_GBK" w:eastAsia="方正仿宋_GBK" w:cs="方正仿宋_GBK"/>
          <w:b w:val="0"/>
          <w:bCs w:val="0"/>
          <w:sz w:val="28"/>
          <w:szCs w:val="28"/>
          <w:highlight w:val="none"/>
          <w:lang w:val="en-US" w:eastAsia="zh-CN" w:bidi="ar-SA"/>
        </w:rPr>
        <w:t xml:space="preserve">12</w:t>
      </w:r>
      <w:r>
        <w:rPr>
          <w:rFonts w:hint="eastAsia" w:ascii="方正仿宋_GBK" w:hAnsi="方正仿宋_GBK" w:eastAsia="方正仿宋_GBK" w:cs="方正仿宋_GBK"/>
          <w:color w:val="000000"/>
          <w:sz w:val="28"/>
          <w:szCs w:val="28"/>
          <w:highlight w:val="none"/>
          <w:lang w:val="en-US" w:eastAsia="zh-CN"/>
        </w:rPr>
        <w:t xml:space="preserve">分）</w:t>
      </w:r>
      <w:r>
        <w:rPr>
          <w:rFonts w:hint="eastAsia" w:ascii="方正仿宋_GBK" w:hAnsi="方正仿宋_GBK" w:eastAsia="方正仿宋_GBK" w:cs="方正仿宋_GBK"/>
          <w:color w:val="000000"/>
          <w:sz w:val="28"/>
          <w:szCs w:val="28"/>
          <w:highlight w:val="none"/>
          <w:lang w:val="en-US" w:eastAsia="zh-CN"/>
        </w:rPr>
      </w:r>
      <w:r/>
    </w:p>
    <w:p>
      <w:pPr>
        <w:pStyle w:val="1004"/>
        <w:ind w:firstLine="560"/>
        <w:jc w:val="both"/>
        <w:keepLines w:val="0"/>
        <w:keepNext w:val="0"/>
        <w:pageBreakBefore w:val="0"/>
        <w:spacing w:before="0" w:after="0" w:line="440" w:lineRule="exact"/>
        <w:widowControl w:val="off"/>
        <w:tabs>
          <w:tab w:val="right" w:pos="8720" w:leader="dot"/>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4.1软件著作权证书（</w:t>
      </w:r>
      <w:r>
        <w:rPr>
          <w:rFonts w:hint="eastAsia" w:ascii="方正仿宋_GBK" w:hAnsi="方正仿宋_GBK" w:eastAsia="方正仿宋_GBK" w:cs="方正仿宋_GBK"/>
          <w:b w:val="0"/>
          <w:bCs w:val="0"/>
          <w:caps w:val="0"/>
          <w:sz w:val="28"/>
          <w:szCs w:val="28"/>
          <w:highlight w:val="none"/>
          <w:lang w:val="en-US" w:eastAsia="zh-CN" w:bidi="ar-SA"/>
        </w:rPr>
        <w:t xml:space="preserve">3</w:t>
      </w:r>
      <w:r>
        <w:rPr>
          <w:rFonts w:hint="eastAsia" w:ascii="方正仿宋_GBK" w:hAnsi="方正仿宋_GBK" w:eastAsia="方正仿宋_GBK" w:cs="方正仿宋_GBK"/>
          <w:color w:val="000000"/>
          <w:sz w:val="28"/>
          <w:szCs w:val="28"/>
          <w:highlight w:val="none"/>
          <w:lang w:val="en-US" w:eastAsia="zh-CN"/>
        </w:rPr>
        <w:t xml:space="preserve">分）。投标人具有治理数据管理或网络安全相关软件著作权证书，每提供一种证书得</w:t>
      </w:r>
      <w:r>
        <w:rPr>
          <w:rFonts w:hint="eastAsia" w:ascii="方正仿宋_GBK" w:hAnsi="方正仿宋_GBK" w:eastAsia="方正仿宋_GBK" w:cs="方正仿宋_GBK"/>
          <w:b w:val="0"/>
          <w:bCs w:val="0"/>
          <w:caps w:val="0"/>
          <w:sz w:val="28"/>
          <w:szCs w:val="28"/>
          <w:highlight w:val="none"/>
          <w:lang w:val="en-US" w:eastAsia="zh-CN" w:bidi="ar-SA"/>
        </w:rPr>
        <w:t xml:space="preserve">1.5</w:t>
      </w:r>
      <w:r>
        <w:rPr>
          <w:rFonts w:hint="eastAsia" w:ascii="方正仿宋_GBK" w:hAnsi="方正仿宋_GBK" w:eastAsia="方正仿宋_GBK" w:cs="方正仿宋_GBK"/>
          <w:color w:val="000000"/>
          <w:sz w:val="28"/>
          <w:szCs w:val="28"/>
          <w:highlight w:val="none"/>
          <w:lang w:val="en-US" w:eastAsia="zh-CN"/>
        </w:rPr>
        <w:t xml:space="preserve">分，满分</w:t>
      </w:r>
      <w:r>
        <w:rPr>
          <w:rFonts w:hint="eastAsia" w:ascii="方正仿宋_GBK" w:hAnsi="方正仿宋_GBK" w:eastAsia="方正仿宋_GBK" w:cs="方正仿宋_GBK"/>
          <w:b w:val="0"/>
          <w:bCs w:val="0"/>
          <w:caps w:val="0"/>
          <w:sz w:val="28"/>
          <w:szCs w:val="28"/>
          <w:highlight w:val="none"/>
          <w:lang w:val="en-US" w:eastAsia="zh-CN" w:bidi="ar-SA"/>
        </w:rPr>
        <w:t xml:space="preserve">3</w:t>
      </w:r>
      <w:r>
        <w:rPr>
          <w:rFonts w:hint="eastAsia" w:ascii="方正仿宋_GBK" w:hAnsi="方正仿宋_GBK" w:eastAsia="方正仿宋_GBK" w:cs="方正仿宋_GBK"/>
          <w:color w:val="000000"/>
          <w:sz w:val="28"/>
          <w:szCs w:val="28"/>
          <w:highlight w:val="none"/>
          <w:lang w:val="en-US" w:eastAsia="zh-CN"/>
        </w:rPr>
        <w:t xml:space="preserve">分。</w:t>
      </w:r>
      <w:r>
        <w:rPr>
          <w:rFonts w:hint="eastAsia" w:ascii="方正仿宋_GBK" w:hAnsi="方正仿宋_GBK" w:eastAsia="方正仿宋_GBK" w:cs="方正仿宋_GBK"/>
          <w:color w:val="000000"/>
          <w:sz w:val="28"/>
          <w:szCs w:val="28"/>
          <w:highlight w:val="none"/>
          <w:lang w:val="en-US" w:eastAsia="zh-CN"/>
        </w:rPr>
      </w:r>
      <w:r/>
    </w:p>
    <w:p>
      <w:pPr>
        <w:pStyle w:val="951"/>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需提供证书扫描件或复印件并加盖投标人公章。如投标文件中提供的著作权名称表述与招标文件描述的关键字样不一致，而该投标文件中能提供相关材料证明投标人拥有著作权的软件具有相同或相似功能和效果，且评标委员会认可的，视同符合要求。</w:t>
      </w:r>
      <w:r>
        <w:rPr>
          <w:rFonts w:hint="eastAsia" w:ascii="方正仿宋_GBK" w:hAnsi="方正仿宋_GBK" w:eastAsia="方正仿宋_GBK" w:cs="方正仿宋_GBK"/>
          <w:color w:val="000000"/>
          <w:sz w:val="28"/>
          <w:szCs w:val="28"/>
          <w:highlight w:val="none"/>
          <w:lang w:val="en-US" w:eastAsia="zh-CN"/>
        </w:rPr>
      </w:r>
      <w:r/>
    </w:p>
    <w:p>
      <w:pPr>
        <w:pStyle w:val="951"/>
        <w:ind w:firstLine="560"/>
        <w:jc w:val="both"/>
        <w:keepLines w:val="0"/>
        <w:keepNext w:val="0"/>
        <w:pageBreakBefore w:val="0"/>
        <w:spacing w:line="440" w:lineRule="exact"/>
        <w:widowControl w:val="off"/>
        <w:rPr>
          <w:lang w:val="en-US" w:eastAsia="zh-CN"/>
        </w:rPr>
      </w:pPr>
      <w:r>
        <w:rPr>
          <w:rFonts w:hint="eastAsia" w:ascii="方正仿宋_GBK" w:hAnsi="方正仿宋_GBK" w:eastAsia="方正仿宋_GBK" w:cs="方正仿宋_GBK"/>
          <w:color w:val="000000"/>
          <w:sz w:val="28"/>
          <w:szCs w:val="28"/>
          <w:highlight w:val="none"/>
          <w:lang w:val="en-US" w:eastAsia="zh-CN"/>
        </w:rPr>
        <w:t xml:space="preserve">4.2项目业绩（9分）。供应商具有2023年1月1日以来类似项目业绩（软件平台类），每提供一个得3分，最多得9分。（需</w:t>
      </w:r>
      <w:r>
        <w:rPr>
          <w:rFonts w:hint="eastAsia" w:ascii="方正仿宋_GBK" w:hAnsi="方正仿宋_GBK" w:eastAsia="方正仿宋_GBK" w:cs="方正仿宋_GBK"/>
          <w:color w:val="000000"/>
          <w:sz w:val="28"/>
          <w:szCs w:val="28"/>
          <w:lang w:val="en-US" w:eastAsia="zh-CN"/>
        </w:rPr>
        <w:t xml:space="preserve">提供合同关键页复印件，包括但不限于合同首页、标的页、金额页、盖章页等。）</w:t>
      </w:r>
      <w:r>
        <w:rPr>
          <w:lang w:val="en-US" w:eastAsia="zh-CN"/>
        </w:rPr>
      </w:r>
      <w:r/>
    </w:p>
    <w:p>
      <w:pPr>
        <w:pStyle w:val="951"/>
        <w:rPr>
          <w:lang w:val="en-US" w:eastAsia="zh-CN"/>
        </w:rPr>
      </w:pPr>
      <w:r>
        <w:rPr>
          <w:lang w:val="en-US" w:eastAsia="zh-CN"/>
        </w:rPr>
      </w:r>
      <w:r/>
    </w:p>
    <w:p>
      <w:pPr>
        <w:pStyle w:val="951"/>
        <w:rPr>
          <w:lang w:val="en-US" w:eastAsia="zh-CN"/>
        </w:rPr>
      </w:pPr>
      <w:r>
        <w:rPr>
          <w:lang w:val="en-US" w:eastAsia="zh-CN"/>
        </w:rPr>
      </w:r>
      <w:r/>
    </w:p>
    <w:p>
      <w:pPr>
        <w:pStyle w:val="951"/>
        <w:rPr>
          <w:lang w:val="en-US" w:eastAsia="zh-CN"/>
        </w:rPr>
      </w:pPr>
      <w:r>
        <w:rPr>
          <w:lang w:val="en-US" w:eastAsia="zh-CN"/>
        </w:rPr>
      </w:r>
      <w:r/>
    </w:p>
    <w:p>
      <w:pPr>
        <w:pStyle w:val="951"/>
        <w:ind w:left="0" w:right="0" w:firstLine="562"/>
        <w:jc w:val="both"/>
        <w:keepLines w:val="0"/>
        <w:keepNext w:val="0"/>
        <w:pageBreakBefore w:val="0"/>
        <w:spacing w:line="440" w:lineRule="exact"/>
        <w:widowControl w:val="off"/>
        <w:rPr>
          <w:rFonts w:hint="eastAsia" w:ascii="方正仿宋_GBK" w:hAnsi="方正仿宋_GBK" w:eastAsia="方正仿宋_GBK" w:cs="方正仿宋_GBK"/>
          <w:b/>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rPr>
      </w:r>
      <w:r/>
    </w:p>
    <w:p>
      <w:pPr>
        <w:pStyle w:val="951"/>
        <w:ind w:left="0" w:right="0" w:firstLine="562"/>
        <w:jc w:val="both"/>
        <w:keepLines w:val="0"/>
        <w:keepNext w:val="0"/>
        <w:pageBreakBefore w:val="0"/>
        <w:spacing w:line="440" w:lineRule="exact"/>
        <w:widowControl w:val="off"/>
        <w:rPr>
          <w:rFonts w:hint="eastAsia" w:ascii="方正仿宋_GBK" w:hAnsi="方正仿宋_GBK" w:eastAsia="方正仿宋_GBK" w:cs="方正仿宋_GBK"/>
          <w:b/>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32"/>
          <w:szCs w:val="32"/>
        </w:rPr>
        <w:t xml:space="preserve">第六章  投标</w:t>
      </w:r>
      <w:bookmarkEnd w:id="161"/>
      <w:r/>
      <w:bookmarkEnd w:id="162"/>
      <w:r/>
      <w:bookmarkEnd w:id="163"/>
      <w:r>
        <w:rPr>
          <w:rFonts w:hint="eastAsia" w:ascii="方正黑体_GBK" w:hAnsi="方正黑体_GBK" w:eastAsia="方正黑体_GBK" w:cs="方正黑体_GBK"/>
          <w:color w:val="000000"/>
          <w:sz w:val="32"/>
          <w:szCs w:val="32"/>
        </w:rPr>
        <w:t xml:space="preserve">文件格式 </w:t>
      </w:r>
      <w:r>
        <w:rPr>
          <w:rFonts w:hint="eastAsia" w:ascii="方正黑体_GBK" w:hAnsi="方正黑体_GBK" w:eastAsia="方正黑体_GBK" w:cs="方正黑体_GBK"/>
          <w:color w:val="000000"/>
          <w:sz w:val="32"/>
          <w:szCs w:val="32"/>
        </w:rPr>
      </w:r>
      <w:r/>
    </w:p>
    <w:p>
      <w:pPr>
        <w:pStyle w:val="951"/>
        <w:jc w:val="center"/>
        <w:rPr>
          <w:rFonts w:hint="eastAsia" w:ascii="宋体" w:hAnsi="宋体"/>
          <w:b/>
          <w:sz w:val="28"/>
          <w:szCs w:val="28"/>
        </w:rPr>
      </w:pPr>
      <w:r/>
      <w:bookmarkStart w:id="164" w:name="_Hlt26955039"/>
      <w:r/>
      <w:bookmarkEnd w:id="164"/>
      <w:r/>
      <w:bookmarkStart w:id="165" w:name="_Hlt26671244"/>
      <w:r/>
      <w:bookmarkEnd w:id="165"/>
      <w:r/>
      <w:bookmarkStart w:id="166" w:name="_Toc49090576"/>
      <w:r/>
      <w:bookmarkStart w:id="167" w:name="_Toc26554094"/>
      <w:r/>
      <w:bookmarkStart w:id="168" w:name="_Toc120614282"/>
      <w:r>
        <w:rPr>
          <w:rFonts w:hint="eastAsia" w:ascii="宋体" w:hAnsi="宋体"/>
          <w:b/>
          <w:sz w:val="28"/>
          <w:szCs w:val="28"/>
        </w:rPr>
      </w:r>
      <w:r/>
    </w:p>
    <w:p>
      <w:pPr>
        <w:pStyle w:val="951"/>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51"/>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jc w:val="center"/>
        <w:spacing w:line="440" w:lineRule="exact"/>
        <w:rPr>
          <w:rFonts w:hint="eastAsia" w:ascii="宋体" w:hAnsi="宋体"/>
          <w:b/>
          <w:bCs/>
          <w:sz w:val="32"/>
          <w:szCs w:val="32"/>
        </w:rPr>
      </w:pPr>
      <w:r>
        <w:rPr>
          <w:rFonts w:hint="eastAsia" w:ascii="宋体" w:hAnsi="宋体"/>
          <w:b/>
          <w:bCs/>
          <w:sz w:val="32"/>
          <w:szCs w:val="32"/>
        </w:rPr>
      </w:r>
      <w:r/>
    </w:p>
    <w:p>
      <w:pPr>
        <w:pStyle w:val="951"/>
        <w:spacing w:line="440" w:lineRule="exact"/>
        <w:rPr>
          <w:rFonts w:ascii="宋体" w:hAnsi="宋体"/>
        </w:rPr>
      </w:pPr>
      <w:r>
        <w:rPr>
          <w:rFonts w:ascii="宋体" w:hAnsi="宋体"/>
        </w:rPr>
      </w:r>
      <w:r/>
    </w:p>
    <w:p>
      <w:pPr>
        <w:pStyle w:val="95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1"/>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1"/>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8"/>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1"/>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5"/>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51"/>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1004"/>
        <w:tabs>
          <w:tab w:val="right" w:pos="8720" w:leader="dot"/>
        </w:tabs>
        <w:rPr>
          <w:rFonts w:hint="eastAsia"/>
        </w:rPr>
      </w:pPr>
      <w:r>
        <w:rPr>
          <w:rFonts w:hint="eastAsia"/>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8"/>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8"/>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8"/>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8"/>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8"/>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8"/>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8"/>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8"/>
        <w:ind w:left="0" w:firstLine="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8"/>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8"/>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51"/>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8"/>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004"/>
        <w:tabs>
          <w:tab w:val="right" w:pos="8720" w:leader="dot"/>
        </w:tabs>
      </w:p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6"/>
      <w:r/>
      <w:bookmarkEnd w:id="167"/>
      <w:r/>
      <w:bookmarkEnd w:id="168"/>
      <w:r/>
      <w:bookmarkStart w:id="16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1"/>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1"/>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1"/>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1"/>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1004"/>
        <w:tabs>
          <w:tab w:val="right" w:pos="8720" w:leader="dot"/>
        </w:tabs>
        <w:rPr>
          <w:rFonts w:hint="eastAsia"/>
        </w:rPr>
      </w:pPr>
      <w:r>
        <w:rPr>
          <w:rFonts w:hint="eastAsia"/>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1"/>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5"/>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5"/>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5"/>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5"/>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5"/>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rPr>
          <w:rFonts w:hint="eastAsia" w:ascii="方正黑体_GBK" w:hAnsi="方正黑体_GBK" w:eastAsia="方正黑体_GBK" w:cs="方正黑体_GBK"/>
          <w:b w:val="0"/>
          <w:bCs/>
          <w:sz w:val="28"/>
          <w:szCs w:val="28"/>
          <w:lang w:val="en-US" w:eastAsia="zh-CN"/>
        </w:rPr>
      </w:r>
      <w:r/>
    </w:p>
    <w:p>
      <w:pPr>
        <w:pStyle w:val="951"/>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rPr>
          <w:rFonts w:hint="eastAsia" w:ascii="方正黑体_GBK" w:hAnsi="方正黑体_GBK" w:eastAsia="方正黑体_GBK" w:cs="方正黑体_GBK"/>
          <w:b w:val="0"/>
          <w:bCs/>
          <w:sz w:val="28"/>
          <w:szCs w:val="28"/>
          <w:lang w:val="en-US" w:eastAsia="zh-CN"/>
        </w:rPr>
      </w:r>
      <w:r/>
    </w:p>
    <w:p>
      <w:pPr>
        <w:pStyle w:val="1015"/>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015"/>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951"/>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i w:val="0"/>
          <w:iCs w:val="0"/>
          <w:caps w:val="0"/>
          <w:color w:val="333333"/>
          <w:spacing w:val="0"/>
          <w:sz w:val="28"/>
          <w:szCs w:val="28"/>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val="0"/>
          <w:bCs w:val="0"/>
          <w:sz w:val="28"/>
          <w:szCs w:val="28"/>
          <w:lang w:val="en-US" w:eastAsia="zh-CN"/>
        </w:rPr>
      </w:r>
      <w:r/>
    </w:p>
    <w:p>
      <w:pPr>
        <w:pStyle w:val="951"/>
        <w:keepLines w:val="0"/>
        <w:keepNext w:val="0"/>
        <w:pageBreakBefore w:val="0"/>
        <w:spacing w:line="400" w:lineRule="exact"/>
        <w:rPr>
          <w:rFonts w:ascii="宋体" w:hAnsi="宋体"/>
          <w:bCs/>
          <w:sz w:val="28"/>
          <w:szCs w:val="28"/>
          <w:lang w:val="en-US"/>
        </w:rPr>
      </w:pPr>
      <w:r>
        <w:rPr>
          <w:rFonts w:ascii="宋体" w:hAnsi="宋体"/>
          <w:bCs/>
          <w:sz w:val="28"/>
          <w:szCs w:val="28"/>
          <w:lang w:val="en-US"/>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sz w:val="28"/>
          <w:szCs w:val="28"/>
        </w:rPr>
      </w:pPr>
      <w:r>
        <w:rPr>
          <w:rFonts w:hint="eastAsia"/>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9"/>
      <w:r/>
      <w:bookmarkEnd w:id="160"/>
      <w:r/>
      <w:bookmarkEnd w:id="169"/>
      <w:r>
        <w:rPr>
          <w:rFonts w:hint="eastAsia" w:ascii="方正黑体_GBK" w:hAnsi="方正黑体_GBK" w:eastAsia="方正黑体_GBK" w:cs="方正黑体_GBK"/>
          <w:b w:val="0"/>
          <w:bCs/>
          <w:sz w:val="28"/>
          <w:szCs w:val="28"/>
        </w:rPr>
        <w:br w:type="page" w:clear="all"/>
      </w:r>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1"/>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7"/>
        <w:keepLines w:val="0"/>
        <w:keepNext w:val="0"/>
        <w:pageBreakBefore w:val="0"/>
        <w:spacing w:line="400" w:lineRule="exact"/>
        <w:rPr>
          <w:rFonts w:hint="eastAsia"/>
          <w:sz w:val="28"/>
          <w:szCs w:val="28"/>
        </w:rPr>
      </w:pPr>
      <w:r>
        <w:rPr>
          <w:rFonts w:hint="eastAsia"/>
          <w:sz w:val="28"/>
          <w:szCs w:val="28"/>
        </w:rPr>
      </w:r>
      <w:r/>
    </w:p>
    <w:p>
      <w:pPr>
        <w:pStyle w:val="967"/>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rPr>
        <w:rStyle w:val="1023"/>
      </w:rPr>
    </w:r>
    <w:r/>
  </w:p>
  <w:p>
    <w:pPr>
      <w:pStyle w:val="10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p>
  <w:p>
    <w:pPr>
      <w:pStyle w:val="10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5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0"/>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7"/>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rFonts w:ascii="Times New Roman" w:hAnsi="Times New Roman"/>
      <w:sz w:val="21"/>
      <w:szCs w:val="21"/>
      <w:lang w:val="en-US" w:eastAsia="zh-CN" w:bidi="ar-SA"/>
    </w:rPr>
  </w:style>
  <w:style w:type="paragraph" w:styleId="952">
    <w:name w:val="标题 1"/>
    <w:basedOn w:val="951"/>
    <w:next w:val="951"/>
    <w:link w:val="963"/>
    <w:qFormat/>
    <w:pPr>
      <w:jc w:val="center"/>
      <w:keepNext/>
      <w:outlineLvl w:val="0"/>
    </w:pPr>
    <w:rPr>
      <w:rFonts w:ascii="楷体_GB2312" w:eastAsia="楷体_GB2312"/>
      <w:sz w:val="28"/>
      <w:szCs w:val="28"/>
    </w:rPr>
  </w:style>
  <w:style w:type="paragraph" w:styleId="953">
    <w:name w:val="标题 2"/>
    <w:basedOn w:val="951"/>
    <w:next w:val="951"/>
    <w:link w:val="964"/>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51"/>
    <w:link w:val="965"/>
    <w:qFormat/>
    <w:pPr>
      <w:keepLines/>
      <w:keepNext/>
      <w:spacing w:before="260" w:after="260" w:line="416" w:lineRule="auto"/>
      <w:outlineLvl w:val="2"/>
    </w:pPr>
    <w:rPr>
      <w:b/>
      <w:bCs/>
      <w:sz w:val="32"/>
      <w:szCs w:val="32"/>
    </w:rPr>
  </w:style>
  <w:style w:type="paragraph" w:styleId="955">
    <w:name w:val="标题 4"/>
    <w:basedOn w:val="951"/>
    <w:next w:val="967"/>
    <w:link w:val="966"/>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7"/>
    <w:link w:val="969"/>
    <w:qFormat/>
    <w:pPr>
      <w:keepNext/>
      <w:outlineLvl w:val="4"/>
    </w:pPr>
    <w:rPr>
      <w:rFonts w:ascii="宋体"/>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Char"/>
    <w:next w:val="963"/>
    <w:link w:val="952"/>
    <w:rPr>
      <w:rFonts w:ascii="楷体_GB2312" w:hAnsi="Times New Roman" w:eastAsia="楷体_GB2312" w:cs="Times New Roman"/>
      <w:sz w:val="28"/>
      <w:szCs w:val="28"/>
    </w:rPr>
  </w:style>
  <w:style w:type="character" w:styleId="964">
    <w:name w:val="标题 2 Char"/>
    <w:next w:val="964"/>
    <w:link w:val="953"/>
    <w:rPr>
      <w:rFonts w:ascii="Arial" w:hAnsi="Arial" w:eastAsia="幼圆" w:cs="Arial"/>
      <w:b/>
      <w:bCs/>
      <w:sz w:val="44"/>
      <w:szCs w:val="44"/>
    </w:rPr>
  </w:style>
  <w:style w:type="character" w:styleId="965">
    <w:name w:val="标题 3 Char"/>
    <w:next w:val="965"/>
    <w:link w:val="954"/>
    <w:rPr>
      <w:rFonts w:ascii="Times New Roman" w:hAnsi="Times New Roman" w:eastAsia="宋体" w:cs="Times New Roman"/>
      <w:b/>
      <w:bCs/>
      <w:sz w:val="32"/>
      <w:szCs w:val="32"/>
    </w:rPr>
  </w:style>
  <w:style w:type="character" w:styleId="966">
    <w:name w:val="标题 4 Char"/>
    <w:next w:val="966"/>
    <w:link w:val="955"/>
    <w:rPr>
      <w:rFonts w:ascii="Arial" w:hAnsi="Arial" w:eastAsia="黑体" w:cs="Arial"/>
      <w:b/>
      <w:bCs/>
      <w:sz w:val="28"/>
      <w:szCs w:val="28"/>
    </w:rPr>
  </w:style>
  <w:style w:type="paragraph" w:styleId="967">
    <w:name w:val="正文缩进"/>
    <w:basedOn w:val="951"/>
    <w:next w:val="967"/>
    <w:link w:val="968"/>
    <w:pPr>
      <w:ind w:firstLine="420"/>
    </w:pPr>
  </w:style>
  <w:style w:type="character" w:styleId="968">
    <w:name w:val="正文缩进 Char"/>
    <w:next w:val="968"/>
    <w:link w:val="967"/>
    <w:rPr>
      <w:rFonts w:ascii="Times New Roman" w:hAnsi="Times New Roman" w:eastAsia="宋体" w:cs="Times New Roman"/>
      <w:szCs w:val="21"/>
    </w:rPr>
  </w:style>
  <w:style w:type="character" w:styleId="969">
    <w:name w:val="标题 5 Char"/>
    <w:next w:val="969"/>
    <w:link w:val="956"/>
    <w:rPr>
      <w:rFonts w:ascii="宋体" w:hAnsi="Times New Roman" w:eastAsia="宋体" w:cs="Times New Roman"/>
      <w:color w:val="000000"/>
      <w:sz w:val="28"/>
      <w:szCs w:val="28"/>
    </w:rPr>
  </w:style>
  <w:style w:type="character" w:styleId="970">
    <w:name w:val="标题 6 Char"/>
    <w:next w:val="970"/>
    <w:link w:val="957"/>
    <w:rPr>
      <w:rFonts w:ascii="Arial" w:hAnsi="Arial" w:eastAsia="黑体" w:cs="Times New Roman"/>
      <w:b/>
      <w:bCs/>
      <w:sz w:val="24"/>
      <w:szCs w:val="24"/>
    </w:rPr>
  </w:style>
  <w:style w:type="character" w:styleId="971">
    <w:name w:val="标题 7 Char"/>
    <w:next w:val="971"/>
    <w:link w:val="958"/>
    <w:rPr>
      <w:rFonts w:ascii="Times New Roman" w:hAnsi="Times New Roman" w:eastAsia="宋体" w:cs="Times New Roman"/>
      <w:b/>
      <w:bCs/>
      <w:sz w:val="24"/>
      <w:szCs w:val="24"/>
    </w:rPr>
  </w:style>
  <w:style w:type="character" w:styleId="972">
    <w:name w:val="标题 8 Char"/>
    <w:next w:val="972"/>
    <w:link w:val="959"/>
    <w:rPr>
      <w:rFonts w:ascii="Arial" w:hAnsi="Arial" w:eastAsia="黑体" w:cs="Times New Roman"/>
      <w:sz w:val="24"/>
      <w:szCs w:val="24"/>
    </w:rPr>
  </w:style>
  <w:style w:type="character" w:styleId="973">
    <w:name w:val="标题 9 Char"/>
    <w:next w:val="973"/>
    <w:link w:val="960"/>
    <w:rPr>
      <w:rFonts w:ascii="Arial" w:hAnsi="Arial" w:eastAsia="黑体" w:cs="Times New Roman"/>
      <w:szCs w:val="21"/>
    </w:rPr>
  </w:style>
  <w:style w:type="paragraph" w:styleId="974">
    <w:name w:val="列表 3"/>
    <w:basedOn w:val="951"/>
    <w:next w:val="974"/>
    <w:link w:val="951"/>
    <w:pPr>
      <w:ind w:left="100" w:hanging="200"/>
    </w:pPr>
  </w:style>
  <w:style w:type="paragraph" w:styleId="975">
    <w:name w:val="目录 7"/>
    <w:basedOn w:val="951"/>
    <w:next w:val="951"/>
    <w:link w:val="951"/>
    <w:semiHidden/>
    <w:pPr>
      <w:ind w:left="1260"/>
      <w:jc w:val="left"/>
    </w:pPr>
  </w:style>
  <w:style w:type="paragraph" w:styleId="976">
    <w:name w:val="文档结构图"/>
    <w:basedOn w:val="951"/>
    <w:next w:val="976"/>
    <w:link w:val="977"/>
    <w:semiHidden/>
    <w:pPr>
      <w:shd w:val="clear" w:color="auto" w:fill="000080"/>
    </w:pPr>
  </w:style>
  <w:style w:type="character" w:styleId="977">
    <w:name w:val="文档结构图 Char"/>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semiHidden/>
    <w:pPr>
      <w:jc w:val="left"/>
    </w:pPr>
  </w:style>
  <w:style w:type="character" w:styleId="979">
    <w:name w:val="批注文字 Char"/>
    <w:next w:val="979"/>
    <w:link w:val="978"/>
    <w:semiHidden/>
    <w:rPr>
      <w:rFonts w:ascii="Times New Roman" w:hAnsi="Times New Roman" w:eastAsia="宋体" w:cs="Times New Roman"/>
      <w:szCs w:val="21"/>
    </w:rPr>
  </w:style>
  <w:style w:type="paragraph" w:styleId="980">
    <w:name w:val="正文文本 3"/>
    <w:basedOn w:val="951"/>
    <w:next w:val="980"/>
    <w:link w:val="981"/>
    <w:rPr>
      <w:rFonts w:ascii="仿宋_GB2312" w:hAnsi="Arial" w:eastAsia="仿宋_GB2312"/>
      <w:sz w:val="32"/>
      <w:szCs w:val="32"/>
    </w:rPr>
  </w:style>
  <w:style w:type="character" w:styleId="981">
    <w:name w:val="正文文本 3 Char"/>
    <w:next w:val="981"/>
    <w:link w:val="980"/>
    <w:rPr>
      <w:rFonts w:ascii="仿宋_GB2312" w:hAnsi="Arial" w:eastAsia="仿宋_GB2312" w:cs="Times New Roman"/>
      <w:sz w:val="32"/>
      <w:szCs w:val="32"/>
    </w:rPr>
  </w:style>
  <w:style w:type="paragraph" w:styleId="982">
    <w:name w:val="正文文本"/>
    <w:basedOn w:val="951"/>
    <w:next w:val="984"/>
    <w:link w:val="983"/>
    <w:rPr>
      <w:rFonts w:ascii="楷体_GB2312" w:hAnsi="Arial" w:eastAsia="楷体_GB2312"/>
      <w:sz w:val="28"/>
      <w:szCs w:val="28"/>
    </w:rPr>
  </w:style>
  <w:style w:type="character" w:styleId="983">
    <w:name w:val="正文文本 Char"/>
    <w:next w:val="983"/>
    <w:link w:val="982"/>
    <w:rPr>
      <w:rFonts w:ascii="楷体_GB2312" w:hAnsi="Arial" w:eastAsia="楷体_GB2312" w:cs="Times New Roman"/>
      <w:sz w:val="28"/>
      <w:szCs w:val="28"/>
    </w:rPr>
  </w:style>
  <w:style w:type="paragraph" w:styleId="984">
    <w:name w:val="正文首行缩进"/>
    <w:basedOn w:val="982"/>
    <w:next w:val="951"/>
    <w:link w:val="985"/>
    <w:pPr>
      <w:ind w:firstLine="200"/>
      <w:spacing w:line="360" w:lineRule="auto"/>
    </w:pPr>
    <w:rPr>
      <w:rFonts w:ascii="仿宋_GB2312" w:eastAsia="仿宋_GB2312"/>
      <w:sz w:val="30"/>
      <w:szCs w:val="30"/>
    </w:rPr>
  </w:style>
  <w:style w:type="character" w:styleId="985">
    <w:name w:val="正文首行缩进 Char"/>
    <w:next w:val="985"/>
    <w:link w:val="984"/>
    <w:rPr>
      <w:rFonts w:ascii="仿宋_GB2312" w:hAnsi="Times New Roman" w:eastAsia="仿宋_GB2312" w:cs="Times New Roman"/>
      <w:sz w:val="30"/>
      <w:szCs w:val="30"/>
    </w:rPr>
  </w:style>
  <w:style w:type="paragraph" w:styleId="986">
    <w:name w:val="正文文本缩进"/>
    <w:basedOn w:val="951"/>
    <w:next w:val="986"/>
    <w:link w:val="987"/>
    <w:pPr>
      <w:ind w:firstLine="645"/>
    </w:pPr>
    <w:rPr>
      <w:rFonts w:ascii="楷体_GB2312" w:eastAsia="楷体_GB2312"/>
      <w:sz w:val="32"/>
      <w:szCs w:val="32"/>
    </w:rPr>
  </w:style>
  <w:style w:type="character" w:styleId="987">
    <w:name w:val="正文文本缩进 Char"/>
    <w:next w:val="987"/>
    <w:link w:val="986"/>
    <w:rPr>
      <w:rFonts w:ascii="楷体_GB2312" w:hAnsi="Times New Roman" w:eastAsia="楷体_GB2312" w:cs="Times New Roman"/>
      <w:sz w:val="32"/>
      <w:szCs w:val="32"/>
    </w:rPr>
  </w:style>
  <w:style w:type="paragraph" w:styleId="988">
    <w:name w:val="列表 2"/>
    <w:basedOn w:val="951"/>
    <w:next w:val="988"/>
    <w:link w:val="951"/>
    <w:pPr>
      <w:ind w:left="100" w:hanging="200"/>
    </w:pPr>
  </w:style>
  <w:style w:type="paragraph" w:styleId="989">
    <w:name w:val="目录 5"/>
    <w:basedOn w:val="951"/>
    <w:next w:val="951"/>
    <w:link w:val="951"/>
    <w:semiHidden/>
    <w:pPr>
      <w:ind w:left="840"/>
      <w:jc w:val="left"/>
    </w:pPr>
  </w:style>
  <w:style w:type="paragraph" w:styleId="990">
    <w:name w:val="目录 3"/>
    <w:basedOn w:val="951"/>
    <w:next w:val="951"/>
    <w:link w:val="951"/>
    <w:semiHidden/>
    <w:pPr>
      <w:ind w:left="420"/>
      <w:jc w:val="left"/>
    </w:pPr>
    <w:rPr>
      <w:i/>
      <w:iCs/>
      <w:szCs w:val="24"/>
    </w:rPr>
  </w:style>
  <w:style w:type="paragraph" w:styleId="991">
    <w:name w:val="纯文本"/>
    <w:basedOn w:val="951"/>
    <w:next w:val="991"/>
    <w:link w:val="992"/>
    <w:rPr>
      <w:rFonts w:ascii="宋体" w:hAnsi="Courier New" w:cs="Courier New"/>
    </w:rPr>
  </w:style>
  <w:style w:type="character" w:styleId="992">
    <w:name w:val="纯文本 Char"/>
    <w:next w:val="992"/>
    <w:link w:val="991"/>
    <w:rPr>
      <w:rFonts w:ascii="宋体" w:hAnsi="Courier New" w:eastAsia="宋体" w:cs="Courier New"/>
      <w:szCs w:val="21"/>
    </w:rPr>
  </w:style>
  <w:style w:type="paragraph" w:styleId="993">
    <w:name w:val="目录 8"/>
    <w:basedOn w:val="951"/>
    <w:next w:val="951"/>
    <w:link w:val="951"/>
    <w:semiHidden/>
    <w:pPr>
      <w:ind w:left="1470"/>
      <w:jc w:val="left"/>
    </w:pPr>
  </w:style>
  <w:style w:type="paragraph" w:styleId="994">
    <w:name w:val="日期"/>
    <w:basedOn w:val="951"/>
    <w:next w:val="951"/>
    <w:link w:val="995"/>
    <w:rPr>
      <w:sz w:val="24"/>
      <w:szCs w:val="24"/>
    </w:rPr>
  </w:style>
  <w:style w:type="character" w:styleId="995">
    <w:name w:val="日期 Char"/>
    <w:next w:val="995"/>
    <w:link w:val="994"/>
    <w:rPr>
      <w:rFonts w:ascii="Times New Roman" w:hAnsi="Times New Roman" w:eastAsia="宋体" w:cs="Times New Roman"/>
      <w:sz w:val="24"/>
      <w:szCs w:val="24"/>
    </w:rPr>
  </w:style>
  <w:style w:type="paragraph" w:styleId="996">
    <w:name w:val="正文文本缩进 2"/>
    <w:basedOn w:val="951"/>
    <w:next w:val="996"/>
    <w:link w:val="997"/>
    <w:pPr>
      <w:ind w:left="630" w:firstLine="645"/>
    </w:pPr>
    <w:rPr>
      <w:rFonts w:ascii="Arial" w:hAnsi="Arial" w:eastAsia="仿宋_GB2312" w:cs="Arial"/>
      <w:sz w:val="32"/>
      <w:szCs w:val="32"/>
    </w:rPr>
  </w:style>
  <w:style w:type="character" w:styleId="997">
    <w:name w:val="正文文本缩进 2 Char"/>
    <w:next w:val="997"/>
    <w:link w:val="996"/>
    <w:rPr>
      <w:rFonts w:ascii="Arial" w:hAnsi="Arial" w:eastAsia="仿宋_GB2312" w:cs="Arial"/>
      <w:sz w:val="32"/>
      <w:szCs w:val="32"/>
    </w:rPr>
  </w:style>
  <w:style w:type="paragraph" w:styleId="998">
    <w:name w:val="批注框文本"/>
    <w:basedOn w:val="951"/>
    <w:next w:val="998"/>
    <w:link w:val="999"/>
    <w:semiHidden/>
    <w:rPr>
      <w:sz w:val="18"/>
      <w:szCs w:val="18"/>
    </w:rPr>
  </w:style>
  <w:style w:type="character" w:styleId="999">
    <w:name w:val="批注框文本 Char"/>
    <w:next w:val="999"/>
    <w:link w:val="998"/>
    <w:semiHidden/>
    <w:rPr>
      <w:rFonts w:ascii="Times New Roman" w:hAnsi="Times New Roman" w:eastAsia="宋体" w:cs="Times New Roman"/>
      <w:sz w:val="18"/>
      <w:szCs w:val="18"/>
    </w:rPr>
  </w:style>
  <w:style w:type="paragraph" w:styleId="1000">
    <w:name w:val="页脚"/>
    <w:basedOn w:val="951"/>
    <w:next w:val="1000"/>
    <w:link w:val="1001"/>
    <w:uiPriority w:val="99"/>
    <w:pPr>
      <w:jc w:val="left"/>
      <w:tabs>
        <w:tab w:val="center" w:pos="4153" w:leader="none"/>
        <w:tab w:val="right" w:pos="8306" w:leader="none"/>
      </w:tabs>
    </w:pPr>
    <w:rPr>
      <w:sz w:val="18"/>
      <w:szCs w:val="18"/>
    </w:rPr>
  </w:style>
  <w:style w:type="character" w:styleId="1001">
    <w:name w:val="页脚 Char"/>
    <w:next w:val="1001"/>
    <w:link w:val="1000"/>
    <w:uiPriority w:val="99"/>
    <w:rPr>
      <w:rFonts w:ascii="Times New Roman" w:hAnsi="Times New Roman" w:eastAsia="宋体" w:cs="Times New Roman"/>
      <w:sz w:val="18"/>
      <w:szCs w:val="18"/>
    </w:rPr>
  </w:style>
  <w:style w:type="paragraph" w:styleId="1002">
    <w:name w:val="页眉"/>
    <w:basedOn w:val="951"/>
    <w:next w:val="1002"/>
    <w:link w:val="1003"/>
    <w:pPr>
      <w:jc w:val="center"/>
      <w:tabs>
        <w:tab w:val="center" w:pos="4153" w:leader="none"/>
        <w:tab w:val="right" w:pos="8306" w:leader="none"/>
      </w:tabs>
      <w:pBdr>
        <w:bottom w:val="single" w:color="000000" w:sz="6" w:space="1"/>
      </w:pBdr>
    </w:pPr>
    <w:rPr>
      <w:sz w:val="18"/>
      <w:szCs w:val="18"/>
    </w:rPr>
  </w:style>
  <w:style w:type="character" w:styleId="1003">
    <w:name w:val="页眉 Char"/>
    <w:next w:val="1003"/>
    <w:link w:val="1002"/>
    <w:rPr>
      <w:rFonts w:ascii="Times New Roman" w:hAnsi="Times New Roman" w:eastAsia="宋体" w:cs="Times New Roman"/>
      <w:sz w:val="18"/>
      <w:szCs w:val="18"/>
    </w:rPr>
  </w:style>
  <w:style w:type="paragraph" w:styleId="1004">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1005">
    <w:name w:val="目录 4"/>
    <w:basedOn w:val="951"/>
    <w:next w:val="951"/>
    <w:link w:val="951"/>
    <w:semiHidden/>
    <w:pPr>
      <w:ind w:left="630"/>
      <w:jc w:val="left"/>
    </w:pPr>
  </w:style>
  <w:style w:type="paragraph" w:styleId="1006">
    <w:name w:val="列表"/>
    <w:basedOn w:val="951"/>
    <w:next w:val="1006"/>
    <w:link w:val="951"/>
    <w:pPr>
      <w:ind w:left="200" w:hanging="200"/>
    </w:pPr>
  </w:style>
  <w:style w:type="paragraph" w:styleId="1007">
    <w:name w:val="目录 6"/>
    <w:basedOn w:val="951"/>
    <w:next w:val="951"/>
    <w:link w:val="951"/>
    <w:semiHidden/>
    <w:pPr>
      <w:ind w:left="1050"/>
      <w:jc w:val="left"/>
    </w:pPr>
  </w:style>
  <w:style w:type="paragraph" w:styleId="1008">
    <w:name w:val="正文文本缩进 3"/>
    <w:basedOn w:val="951"/>
    <w:next w:val="1008"/>
    <w:link w:val="1009"/>
    <w:pPr>
      <w:ind w:left="645" w:firstLine="645"/>
    </w:pPr>
    <w:rPr>
      <w:rFonts w:ascii="Arial" w:hAnsi="Arial" w:eastAsia="仿宋_GB2312" w:cs="Arial"/>
      <w:color w:val="ffff00"/>
      <w:sz w:val="32"/>
      <w:szCs w:val="32"/>
    </w:rPr>
  </w:style>
  <w:style w:type="character" w:styleId="1009">
    <w:name w:val="正文文本缩进 3 Char"/>
    <w:next w:val="1009"/>
    <w:link w:val="1008"/>
    <w:rPr>
      <w:rFonts w:ascii="Arial" w:hAnsi="Arial" w:eastAsia="仿宋_GB2312" w:cs="Arial"/>
      <w:color w:val="ffff00"/>
      <w:sz w:val="32"/>
      <w:szCs w:val="32"/>
    </w:rPr>
  </w:style>
  <w:style w:type="paragraph" w:styleId="1010">
    <w:name w:val="图表目录"/>
    <w:basedOn w:val="951"/>
    <w:next w:val="951"/>
    <w:link w:val="951"/>
    <w:semiHidden/>
    <w:pPr>
      <w:ind w:left="840" w:hanging="420"/>
    </w:pPr>
  </w:style>
  <w:style w:type="paragraph" w:styleId="1011">
    <w:name w:val="目录 2"/>
    <w:basedOn w:val="951"/>
    <w:next w:val="951"/>
    <w:link w:val="951"/>
    <w:semiHidden/>
    <w:pPr>
      <w:ind w:left="210"/>
      <w:jc w:val="left"/>
    </w:pPr>
    <w:rPr>
      <w:smallCaps/>
      <w:szCs w:val="24"/>
    </w:rPr>
  </w:style>
  <w:style w:type="paragraph" w:styleId="1012">
    <w:name w:val="目录 9"/>
    <w:basedOn w:val="951"/>
    <w:next w:val="951"/>
    <w:link w:val="951"/>
    <w:semiHidden/>
    <w:pPr>
      <w:ind w:left="1680"/>
      <w:jc w:val="left"/>
    </w:pPr>
  </w:style>
  <w:style w:type="paragraph" w:styleId="1013">
    <w:name w:val="正文文本 2"/>
    <w:basedOn w:val="951"/>
    <w:next w:val="1013"/>
    <w:link w:val="1014"/>
    <w:pPr>
      <w:jc w:val="center"/>
      <w:widowControl/>
    </w:pPr>
    <w:rPr>
      <w:rFonts w:ascii="楷体_GB2312" w:eastAsia="楷体_GB2312"/>
      <w:sz w:val="28"/>
      <w:szCs w:val="28"/>
    </w:rPr>
  </w:style>
  <w:style w:type="character" w:styleId="1014">
    <w:name w:val="正文文本 2 Char"/>
    <w:next w:val="1014"/>
    <w:link w:val="1013"/>
    <w:rPr>
      <w:rFonts w:ascii="楷体_GB2312" w:hAnsi="Times New Roman" w:eastAsia="楷体_GB2312" w:cs="Times New Roman"/>
      <w:sz w:val="28"/>
      <w:szCs w:val="28"/>
    </w:rPr>
  </w:style>
  <w:style w:type="paragraph" w:styleId="1015">
    <w:name w:val="普通(网站)"/>
    <w:basedOn w:val="951"/>
    <w:next w:val="1015"/>
    <w:link w:val="951"/>
    <w:uiPriority w:val="99"/>
    <w:pPr>
      <w:jc w:val="left"/>
      <w:spacing w:before="100" w:beforeAutospacing="1" w:after="100" w:afterAutospacing="1"/>
      <w:widowControl/>
    </w:pPr>
    <w:rPr>
      <w:rFonts w:ascii="宋体" w:hAnsi="宋体" w:cs="宋体"/>
      <w:sz w:val="24"/>
      <w:szCs w:val="24"/>
    </w:rPr>
  </w:style>
  <w:style w:type="paragraph" w:styleId="1016">
    <w:name w:val="索引 1"/>
    <w:basedOn w:val="951"/>
    <w:next w:val="951"/>
    <w:link w:val="951"/>
    <w:semiHidden/>
    <w:pPr>
      <w:spacing w:line="240" w:lineRule="atLeast"/>
    </w:pPr>
    <w:rPr>
      <w:b/>
      <w:bCs/>
    </w:rPr>
  </w:style>
  <w:style w:type="paragraph" w:styleId="1017">
    <w:name w:val="批注主题"/>
    <w:basedOn w:val="978"/>
    <w:next w:val="978"/>
    <w:link w:val="1018"/>
    <w:semiHidden/>
    <w:rPr>
      <w:b/>
      <w:bCs/>
    </w:rPr>
  </w:style>
  <w:style w:type="character" w:styleId="1018">
    <w:name w:val="批注主题 Char"/>
    <w:next w:val="1018"/>
    <w:link w:val="1017"/>
    <w:semiHidden/>
    <w:rPr>
      <w:rFonts w:ascii="Times New Roman" w:hAnsi="Times New Roman" w:eastAsia="宋体" w:cs="Times New Roman"/>
      <w:b/>
      <w:bCs/>
      <w:szCs w:val="21"/>
    </w:rPr>
  </w:style>
  <w:style w:type="paragraph" w:styleId="1019">
    <w:name w:val="正文首行缩进 2"/>
    <w:basedOn w:val="986"/>
    <w:next w:val="1019"/>
    <w:link w:val="1020"/>
    <w:pPr>
      <w:ind w:firstLine="420"/>
      <w:spacing w:line="360" w:lineRule="auto"/>
    </w:pPr>
    <w:rPr>
      <w:rFonts w:ascii="宋体" w:hAnsi="宋体" w:eastAsia="宋体"/>
      <w:sz w:val="21"/>
      <w:szCs w:val="20"/>
    </w:rPr>
  </w:style>
  <w:style w:type="character" w:styleId="1020">
    <w:name w:val="正文首行缩进 2 Char"/>
    <w:next w:val="1020"/>
    <w:link w:val="1019"/>
    <w:rPr>
      <w:rFonts w:ascii="宋体" w:hAnsi="宋体" w:eastAsia="宋体" w:cs="Times New Roman"/>
      <w:sz w:val="32"/>
      <w:szCs w:val="20"/>
    </w:rPr>
  </w:style>
  <w:style w:type="table" w:styleId="1021">
    <w:name w:val="网格型"/>
    <w:basedOn w:val="962"/>
    <w:next w:val="1021"/>
    <w:link w:val="951"/>
    <w:pPr>
      <w:jc w:val="both"/>
      <w:widowControl w:val="off"/>
    </w:pPr>
    <w:rPr>
      <w:rFonts w:ascii="Times New Roman" w:hAnsi="Times New Roman" w:eastAsia="宋体" w:cs="Times New Roman"/>
      <w:sz w:val="20"/>
      <w:szCs w:val="20"/>
    </w:rPr>
    <w:tblPr/>
  </w:style>
  <w:style w:type="character" w:styleId="1022">
    <w:name w:val="要点"/>
    <w:next w:val="1022"/>
    <w:link w:val="951"/>
    <w:qFormat/>
    <w:rPr>
      <w:b/>
      <w:bCs/>
    </w:rPr>
  </w:style>
  <w:style w:type="character" w:styleId="1023">
    <w:name w:val="页码"/>
    <w:next w:val="1023"/>
    <w:link w:val="951"/>
  </w:style>
  <w:style w:type="character" w:styleId="1024">
    <w:name w:val="已访问的超链接"/>
    <w:next w:val="1024"/>
    <w:link w:val="951"/>
    <w:rPr>
      <w:color w:val="800080"/>
      <w:u w:val="single"/>
    </w:rPr>
  </w:style>
  <w:style w:type="character" w:styleId="1025">
    <w:name w:val="强调"/>
    <w:basedOn w:val="961"/>
    <w:next w:val="1025"/>
    <w:link w:val="951"/>
    <w:qFormat/>
    <w:rPr>
      <w:i/>
    </w:rPr>
  </w:style>
  <w:style w:type="character" w:styleId="1026">
    <w:name w:val="超链接"/>
    <w:next w:val="1026"/>
    <w:link w:val="951"/>
    <w:rPr>
      <w:color w:val="0000ff"/>
      <w:u w:val="single"/>
    </w:rPr>
  </w:style>
  <w:style w:type="character" w:styleId="1027">
    <w:name w:val="批注引用"/>
    <w:next w:val="1027"/>
    <w:link w:val="951"/>
    <w:semiHidden/>
    <w:rPr>
      <w:sz w:val="21"/>
      <w:szCs w:val="21"/>
    </w:rPr>
  </w:style>
  <w:style w:type="character" w:styleId="1028">
    <w:name w:val="font5 Char"/>
    <w:next w:val="1028"/>
    <w:link w:val="951"/>
    <w:rPr>
      <w:rFonts w:ascii="宋体" w:hAnsi="宋体" w:eastAsia="宋体"/>
      <w:sz w:val="28"/>
      <w:szCs w:val="28"/>
      <w:lang w:val="en-US" w:eastAsia="zh-CN" w:bidi="ar-SA"/>
    </w:rPr>
  </w:style>
  <w:style w:type="character" w:styleId="1029">
    <w:name w:val="二级目录 Char"/>
    <w:next w:val="1029"/>
    <w:link w:val="1030"/>
    <w:rPr>
      <w:b/>
      <w:sz w:val="30"/>
      <w:szCs w:val="28"/>
    </w:rPr>
  </w:style>
  <w:style w:type="paragraph" w:styleId="1030">
    <w:name w:val="二级目录"/>
    <w:next w:val="951"/>
    <w:link w:val="1029"/>
    <w:pPr>
      <w:numPr>
        <w:ilvl w:val="0"/>
        <w:numId w:val="2"/>
      </w:numPr>
      <w:tabs>
        <w:tab w:val="left" w:pos="907" w:leader="none"/>
        <w:tab w:val="left" w:pos="1145" w:leader="none"/>
      </w:tabs>
      <w:outlineLvl w:val="1"/>
    </w:pPr>
    <w:rPr>
      <w:b/>
      <w:sz w:val="30"/>
      <w:szCs w:val="28"/>
      <w:lang w:val="en-US" w:eastAsia="zh-CN" w:bidi="ar-SA"/>
    </w:rPr>
  </w:style>
  <w:style w:type="character" w:styleId="1031">
    <w:name w:val="列出段落 Char,Bullet List Char,numbered Char,FooterText Char,List Paragraph1 Char,Paragraphe de liste1 Char"/>
    <w:next w:val="1031"/>
    <w:link w:val="1032"/>
    <w:rPr>
      <w:rFonts w:ascii="Calibri" w:hAnsi="Calibri"/>
      <w:sz w:val="24"/>
      <w:szCs w:val="24"/>
      <w:lang w:eastAsia="en-US" w:bidi="en-US"/>
    </w:rPr>
  </w:style>
  <w:style w:type="paragraph" w:styleId="1032">
    <w:name w:val="列出段落1"/>
    <w:basedOn w:val="951"/>
    <w:next w:val="1032"/>
    <w:link w:val="1031"/>
    <w:qFormat/>
    <w:pPr>
      <w:contextualSpacing/>
      <w:ind w:left="720"/>
      <w:jc w:val="left"/>
      <w:widowControl/>
    </w:pPr>
    <w:rPr>
      <w:rFonts w:ascii="Calibri" w:hAnsi="Calibri" w:eastAsia="宋体" w:cs="Times New Roman"/>
      <w:sz w:val="24"/>
      <w:szCs w:val="24"/>
      <w:lang w:eastAsia="en-US" w:bidi="en-US"/>
    </w:rPr>
  </w:style>
  <w:style w:type="paragraph" w:styleId="1033">
    <w:name w:val="Body Text(ch)"/>
    <w:basedOn w:val="951"/>
    <w:next w:val="982"/>
    <w:link w:val="951"/>
    <w:pPr>
      <w:spacing w:after="120"/>
    </w:pPr>
    <w:rPr>
      <w:rFonts w:ascii="宋体" w:hAnsi="Arial"/>
      <w:bCs/>
      <w:iCs/>
      <w:szCs w:val="24"/>
    </w:rPr>
  </w:style>
  <w:style w:type="paragraph" w:styleId="1034">
    <w:name w:val="xl27"/>
    <w:basedOn w:val="951"/>
    <w:next w:val="1034"/>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name w:val="xl26"/>
    <w:basedOn w:val="951"/>
    <w:next w:val="1035"/>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name w:val="Char"/>
    <w:basedOn w:val="951"/>
    <w:next w:val="1036"/>
    <w:link w:val="951"/>
    <w:pPr>
      <w:ind w:firstLine="200"/>
      <w:tabs>
        <w:tab w:val="left" w:pos="360" w:leader="none"/>
      </w:tabs>
    </w:pPr>
    <w:rPr>
      <w:sz w:val="28"/>
      <w:szCs w:val="30"/>
    </w:rPr>
  </w:style>
  <w:style w:type="paragraph" w:styleId="1037">
    <w:name w:val=" Char"/>
    <w:basedOn w:val="976"/>
    <w:next w:val="1037"/>
    <w:link w:val="951"/>
    <w:rPr>
      <w:rFonts w:ascii="Tahoma" w:hAnsi="Tahoma"/>
      <w:sz w:val="24"/>
      <w:szCs w:val="24"/>
    </w:rPr>
  </w:style>
  <w:style w:type="paragraph" w:styleId="1038">
    <w:name w:val="普通正文"/>
    <w:basedOn w:val="951"/>
    <w:next w:val="1038"/>
    <w:link w:val="951"/>
    <w:pPr>
      <w:ind w:firstLine="480"/>
      <w:jc w:val="left"/>
      <w:spacing w:before="120" w:after="120" w:line="360" w:lineRule="auto"/>
    </w:pPr>
    <w:rPr>
      <w:rFonts w:ascii="Arial" w:hAnsi="Arial"/>
      <w:sz w:val="24"/>
      <w:szCs w:val="24"/>
    </w:rPr>
  </w:style>
  <w:style w:type="paragraph" w:styleId="1039">
    <w:name w:val="table_lines"/>
    <w:basedOn w:val="951"/>
    <w:next w:val="1039"/>
    <w:link w:val="951"/>
    <w:pPr>
      <w:jc w:val="left"/>
      <w:widowControl/>
    </w:pPr>
    <w:rPr>
      <w:sz w:val="20"/>
      <w:szCs w:val="20"/>
      <w:lang w:val="de-DE" w:eastAsia="de-DE"/>
    </w:rPr>
  </w:style>
  <w:style w:type="paragraph" w:styleId="1040">
    <w:name w:val="附录1"/>
    <w:next w:val="1040"/>
    <w:link w:val="95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1">
    <w:name w:val="font7"/>
    <w:basedOn w:val="951"/>
    <w:next w:val="1041"/>
    <w:link w:val="951"/>
    <w:pPr>
      <w:jc w:val="left"/>
      <w:spacing w:before="100" w:beforeAutospacing="1" w:after="100" w:afterAutospacing="1"/>
      <w:widowControl/>
    </w:pPr>
    <w:rPr>
      <w:rFonts w:hint="eastAsia" w:ascii="宋体" w:hAnsi="宋体"/>
      <w:sz w:val="18"/>
      <w:szCs w:val="18"/>
    </w:rPr>
  </w:style>
  <w:style w:type="paragraph" w:styleId="1042">
    <w:name w:val=" Char Char Char Char"/>
    <w:basedOn w:val="976"/>
    <w:next w:val="1042"/>
    <w:link w:val="951"/>
    <w:pPr>
      <w:spacing w:line="360" w:lineRule="auto"/>
    </w:pPr>
    <w:rPr>
      <w:rFonts w:ascii="Tahoma" w:hAnsi="Tahoma"/>
      <w:sz w:val="24"/>
      <w:szCs w:val="24"/>
    </w:rPr>
  </w:style>
  <w:style w:type="paragraph" w:styleId="1043">
    <w:name w:val="列出段落"/>
    <w:basedOn w:val="951"/>
    <w:next w:val="1043"/>
    <w:link w:val="951"/>
    <w:qFormat/>
    <w:pPr>
      <w:contextualSpacing/>
      <w:ind w:left="720"/>
      <w:jc w:val="left"/>
      <w:widowControl/>
    </w:pPr>
    <w:rPr>
      <w:rFonts w:ascii="Calibri" w:hAnsi="Calibri"/>
      <w:sz w:val="24"/>
      <w:szCs w:val="24"/>
      <w:lang w:eastAsia="en-US" w:bidi="en-US"/>
    </w:rPr>
  </w:style>
  <w:style w:type="paragraph" w:styleId="1044">
    <w:name w:val="4"/>
    <w:basedOn w:val="951"/>
    <w:next w:val="1008"/>
    <w:link w:val="951"/>
    <w:pPr>
      <w:ind w:firstLine="420"/>
      <w:spacing w:line="360" w:lineRule="auto"/>
    </w:pPr>
    <w:rPr>
      <w:color w:val="ff0000"/>
      <w:sz w:val="24"/>
      <w:szCs w:val="24"/>
    </w:rPr>
  </w:style>
  <w:style w:type="paragraph" w:styleId="1045">
    <w:name w:val="普通 (Web)"/>
    <w:basedOn w:val="951"/>
    <w:next w:val="1045"/>
    <w:link w:val="951"/>
    <w:pPr>
      <w:jc w:val="left"/>
      <w:spacing w:before="100" w:beforeAutospacing="1" w:after="100" w:afterAutospacing="1"/>
      <w:widowControl/>
    </w:pPr>
    <w:rPr>
      <w:rFonts w:ascii="宋体" w:hAnsi="宋体"/>
      <w:sz w:val="24"/>
      <w:szCs w:val="24"/>
    </w:rPr>
  </w:style>
  <w:style w:type="paragraph" w:styleId="1046">
    <w:name w:val=" Char Char Char Char Char Char Char Char Char Char"/>
    <w:basedOn w:val="951"/>
    <w:next w:val="1046"/>
    <w:link w:val="951"/>
    <w:pPr>
      <w:spacing w:line="360" w:lineRule="auto"/>
    </w:pPr>
    <w:rPr>
      <w:sz w:val="24"/>
      <w:szCs w:val="20"/>
    </w:rPr>
  </w:style>
  <w:style w:type="paragraph" w:styleId="1047">
    <w:name w:val="样式1"/>
    <w:basedOn w:val="951"/>
    <w:next w:val="1047"/>
    <w:link w:val="951"/>
    <w:pPr>
      <w:numPr>
        <w:ilvl w:val="0"/>
        <w:numId w:val="3"/>
      </w:numPr>
      <w:tabs>
        <w:tab w:val="left" w:pos="709" w:leader="none"/>
      </w:tabs>
    </w:pPr>
    <w:rPr>
      <w:rFonts w:ascii="宋体" w:hAnsi="宋体"/>
    </w:rPr>
  </w:style>
  <w:style w:type="paragraph" w:styleId="1048">
    <w:name w:val="font6"/>
    <w:basedOn w:val="951"/>
    <w:next w:val="1048"/>
    <w:link w:val="951"/>
    <w:pPr>
      <w:jc w:val="left"/>
      <w:spacing w:before="100" w:beforeAutospacing="1" w:after="100" w:afterAutospacing="1"/>
      <w:widowControl/>
    </w:pPr>
    <w:rPr>
      <w:rFonts w:hint="eastAsia" w:ascii="宋体" w:hAnsi="宋体"/>
      <w:sz w:val="28"/>
      <w:szCs w:val="28"/>
      <w:u w:val="single"/>
    </w:rPr>
  </w:style>
  <w:style w:type="paragraph" w:styleId="1049">
    <w:name w:val="xl25"/>
    <w:basedOn w:val="951"/>
    <w:next w:val="1049"/>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name w:val="图标"/>
    <w:basedOn w:val="951"/>
    <w:next w:val="951"/>
    <w:link w:val="9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name w:val="标题3"/>
    <w:basedOn w:val="951"/>
    <w:next w:val="951"/>
    <w:link w:val="951"/>
    <w:pPr>
      <w:ind w:firstLine="624"/>
      <w:spacing w:line="590" w:lineRule="atLeast"/>
    </w:pPr>
    <w:rPr>
      <w:rFonts w:ascii="方正黑体_GBK" w:eastAsia="方正黑体_GBK"/>
      <w:sz w:val="32"/>
      <w:szCs w:val="32"/>
    </w:rPr>
  </w:style>
  <w:style w:type="paragraph" w:styleId="1052">
    <w:name w:val="xl24"/>
    <w:basedOn w:val="951"/>
    <w:next w:val="1052"/>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name w:val="xl29"/>
    <w:basedOn w:val="951"/>
    <w:next w:val="1053"/>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name w:val="Char Char Char Char Char Char Char Char"/>
    <w:basedOn w:val="951"/>
    <w:next w:val="1054"/>
    <w:link w:val="951"/>
    <w:pPr>
      <w:jc w:val="left"/>
      <w:spacing w:after="160" w:line="240" w:lineRule="exact"/>
      <w:widowControl/>
    </w:pPr>
    <w:rPr>
      <w:rFonts w:ascii="Verdana" w:hAnsi="Verdana"/>
      <w:sz w:val="20"/>
      <w:szCs w:val="20"/>
      <w:lang w:eastAsia="en-US"/>
    </w:rPr>
  </w:style>
  <w:style w:type="paragraph" w:styleId="1055">
    <w:name w:val="xl28"/>
    <w:basedOn w:val="951"/>
    <w:next w:val="1055"/>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name w:val=" Char Char Char Char Char Char Char Char"/>
    <w:basedOn w:val="951"/>
    <w:next w:val="1056"/>
    <w:link w:val="951"/>
    <w:pPr>
      <w:jc w:val="left"/>
      <w:spacing w:after="160" w:line="240" w:lineRule="exact"/>
      <w:widowControl/>
    </w:pPr>
    <w:rPr>
      <w:rFonts w:ascii="Verdana" w:hAnsi="Verdana"/>
      <w:sz w:val="20"/>
      <w:szCs w:val="20"/>
      <w:lang w:eastAsia="en-US"/>
    </w:rPr>
  </w:style>
  <w:style w:type="paragraph" w:styleId="1057">
    <w:name w:val="xl30"/>
    <w:basedOn w:val="951"/>
    <w:next w:val="1057"/>
    <w:link w:val="951"/>
    <w:pPr>
      <w:jc w:val="center"/>
      <w:spacing w:before="100" w:beforeAutospacing="1" w:after="100" w:afterAutospacing="1"/>
      <w:widowControl/>
    </w:pPr>
    <w:rPr>
      <w:rFonts w:ascii="宋体" w:hAnsi="宋体"/>
      <w:b/>
      <w:bCs/>
      <w:sz w:val="36"/>
      <w:szCs w:val="36"/>
    </w:rPr>
  </w:style>
  <w:style w:type="paragraph" w:styleId="1058">
    <w:name w:val="Char Char Char Char"/>
    <w:basedOn w:val="976"/>
    <w:next w:val="1058"/>
    <w:link w:val="951"/>
    <w:pPr>
      <w:spacing w:line="360" w:lineRule="auto"/>
    </w:pPr>
    <w:rPr>
      <w:rFonts w:ascii="Tahoma" w:hAnsi="Tahoma"/>
      <w:sz w:val="24"/>
      <w:szCs w:val="24"/>
    </w:rPr>
  </w:style>
  <w:style w:type="paragraph" w:styleId="1059">
    <w:name w:val="table_1stline"/>
    <w:basedOn w:val="951"/>
    <w:next w:val="1059"/>
    <w:link w:val="951"/>
    <w:pPr>
      <w:jc w:val="left"/>
      <w:spacing w:before="120"/>
      <w:widowControl/>
    </w:pPr>
    <w:rPr>
      <w:bCs/>
      <w:sz w:val="20"/>
      <w:szCs w:val="20"/>
      <w:lang w:val="de-DE" w:eastAsia="de-DE"/>
    </w:rPr>
  </w:style>
  <w:style w:type="paragraph" w:styleId="1060">
    <w:name w:val="font5"/>
    <w:basedOn w:val="951"/>
    <w:next w:val="1060"/>
    <w:link w:val="951"/>
    <w:pPr>
      <w:jc w:val="left"/>
      <w:spacing w:before="100" w:beforeAutospacing="1" w:after="100" w:afterAutospacing="1"/>
      <w:widowControl/>
    </w:pPr>
    <w:rPr>
      <w:rFonts w:hint="eastAsia" w:ascii="宋体" w:hAnsi="宋体"/>
      <w:sz w:val="28"/>
      <w:szCs w:val="28"/>
    </w:rPr>
  </w:style>
  <w:style w:type="paragraph" w:styleId="1061">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name w:val="修订"/>
    <w:next w:val="1062"/>
    <w:link w:val="951"/>
    <w:uiPriority w:val="99"/>
    <w:semiHidden/>
    <w:rPr>
      <w:rFonts w:ascii="Times New Roman" w:hAnsi="Times New Roman"/>
      <w:sz w:val="21"/>
      <w:szCs w:val="21"/>
      <w:lang w:val="en-US" w:eastAsia="zh-CN" w:bidi="ar-SA"/>
    </w:rPr>
  </w:style>
  <w:style w:type="paragraph" w:styleId="1063">
    <w:name w:val="无间隔"/>
    <w:next w:val="1063"/>
    <w:link w:val="951"/>
    <w:uiPriority w:val="99"/>
    <w:qFormat/>
    <w:pPr>
      <w:jc w:val="both"/>
      <w:widowControl w:val="off"/>
    </w:pPr>
    <w:rPr>
      <w:rFonts w:ascii="Times New Roman" w:hAnsi="Times New Roman"/>
      <w:sz w:val="21"/>
      <w:szCs w:val="21"/>
      <w:lang w:val="en-US" w:eastAsia="zh-CN" w:bidi="ar-SA"/>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8</cp:revision>
  <dcterms:created xsi:type="dcterms:W3CDTF">2023-03-16T02:16:00Z</dcterms:created>
  <dcterms:modified xsi:type="dcterms:W3CDTF">2026-10-15T03:33:21Z</dcterms:modified>
</cp:coreProperties>
</file>