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rPr>
          <w:highlight w:val="none"/>
        </w:rPr>
      </w:r>
      <w:r/>
    </w:p>
    <w:p>
      <w:pPr>
        <w:pStyle w:val="968"/>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封闭式框架协议采购</w:t>
      </w:r>
      <w:r>
        <w:rPr>
          <w:highlight w:val="none"/>
        </w:rPr>
      </w:r>
      <w:r/>
    </w:p>
    <w:p>
      <w:pPr>
        <w:pStyle w:val="968"/>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征集文件</w:t>
      </w:r>
      <w:r>
        <w:rPr>
          <w:highlight w:val="none"/>
        </w:rPr>
      </w:r>
      <w:r/>
    </w:p>
    <w:p>
      <w:pPr>
        <w:pStyle w:val="968"/>
        <w:ind w:firstLine="0"/>
        <w:jc w:val="center"/>
        <w:rPr>
          <w:rFonts w:ascii="黑体" w:hAnsi="华文中宋" w:eastAsia="黑体" w:cs="Times New Roman"/>
          <w:bCs/>
          <w:color w:val="000000"/>
          <w:spacing w:val="20"/>
          <w:sz w:val="52"/>
          <w:szCs w:val="52"/>
          <w:highlight w:val="none"/>
        </w:rPr>
      </w:pPr>
      <w:r>
        <w:rPr>
          <w:rFonts w:ascii="黑体" w:hAnsi="华文中宋" w:eastAsia="黑体" w:cs="Times New Roman"/>
          <w:bCs/>
          <w:color w:val="000000"/>
          <w:spacing w:val="20"/>
          <w:sz w:val="52"/>
          <w:szCs w:val="52"/>
          <w:highlight w:val="none"/>
          <w:lang w:val="en-US" w:eastAsia="zh-CN"/>
        </w:rPr>
      </w:r>
      <w:r>
        <w:rPr>
          <w:highlight w:val="none"/>
        </w:rPr>
      </w:r>
      <w:r/>
    </w:p>
    <w:p>
      <w:pPr>
        <w:pStyle w:val="968"/>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rPr>
          <w:highlight w:val="none"/>
        </w:rPr>
      </w:r>
      <w:r/>
    </w:p>
    <w:p>
      <w:pPr>
        <w:pStyle w:val="968"/>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rPr>
          <w:highlight w:val="none"/>
        </w:rPr>
      </w:r>
      <w:r/>
    </w:p>
    <w:p>
      <w:pPr>
        <w:pStyle w:val="881"/>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JSZC-320200-JZCG-K2026-0097</w:t>
      </w:r>
      <w:r>
        <w:rPr>
          <w:highlight w:val="none"/>
        </w:rPr>
      </w:r>
      <w:r/>
    </w:p>
    <w:p>
      <w:pPr>
        <w:pStyle w:val="881"/>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2027-2028年度无锡市市本级车辆维修和保养服务框架协议采购</w:t>
      </w:r>
      <w:r>
        <w:rPr>
          <w:highlight w:val="none"/>
        </w:rPr>
      </w:r>
      <w:r/>
    </w:p>
    <w:p>
      <w:pPr>
        <w:pStyle w:val="881"/>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征 集 人：</w:t>
      </w:r>
      <w:r>
        <w:rPr>
          <w:rFonts w:hint="eastAsia" w:ascii="黑体" w:hAnsi="华文中宋" w:eastAsia="黑体"/>
          <w:bCs/>
          <w:color w:val="000000"/>
          <w:sz w:val="32"/>
          <w:szCs w:val="32"/>
          <w:highlight w:val="none"/>
          <w:lang w:eastAsia="zh-CN"/>
        </w:rPr>
        <w:t xml:space="preserve">无锡市公共资源交易中心</w:t>
      </w:r>
      <w:r>
        <w:rPr>
          <w:highlight w:val="none"/>
        </w:rPr>
      </w:r>
      <w:r/>
    </w:p>
    <w:p>
      <w:pPr>
        <w:pStyle w:val="881"/>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rPr>
          <w:highlight w:val="none"/>
        </w:rPr>
      </w:r>
      <w:r/>
    </w:p>
    <w:p>
      <w:pPr>
        <w:pStyle w:val="96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rPr>
          <w:highlight w:val="none"/>
        </w:rPr>
      </w:r>
      <w:r/>
    </w:p>
    <w:p>
      <w:pPr>
        <w:pStyle w:val="96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rPr>
          <w:highlight w:val="none"/>
        </w:rPr>
      </w:r>
      <w:r/>
    </w:p>
    <w:p>
      <w:pPr>
        <w:pStyle w:val="96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rPr>
          <w:highlight w:val="none"/>
        </w:rPr>
      </w:r>
      <w:r/>
    </w:p>
    <w:p>
      <w:pPr>
        <w:pStyle w:val="96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rPr>
          <w:highlight w:val="none"/>
        </w:rPr>
      </w:r>
      <w:r/>
    </w:p>
    <w:p>
      <w:pPr>
        <w:pStyle w:val="968"/>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rPr>
        <w:t xml:space="preserve">十</w:t>
      </w:r>
      <w:r>
        <w:rPr>
          <w:rFonts w:hint="eastAsia" w:ascii="黑体" w:hAnsi="华文中宋" w:eastAsia="黑体"/>
          <w:bCs/>
          <w:color w:val="000000"/>
          <w:sz w:val="32"/>
          <w:szCs w:val="32"/>
          <w:highlight w:val="none"/>
        </w:rPr>
        <w:t xml:space="preserve">月</w:t>
      </w:r>
      <w:r>
        <w:rPr>
          <w:highlight w:val="none"/>
        </w:rPr>
      </w:r>
      <w:r/>
    </w:p>
    <w:p>
      <w:pPr>
        <w:pStyle w:val="968"/>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rPr>
          <w:highlight w:val="none"/>
        </w:rPr>
      </w:r>
      <w:bookmarkStart w:id="1" w:name="_Toc20823272"/>
      <w:r>
        <w:rPr>
          <w:highlight w:val="none"/>
        </w:rPr>
      </w:r>
      <w:bookmarkStart w:id="2" w:name="_Toc523127445"/>
      <w:r>
        <w:rPr>
          <w:highlight w:val="none"/>
        </w:rPr>
      </w:r>
      <w:bookmarkStart w:id="3" w:name="_Toc513029200"/>
      <w:r>
        <w:rPr>
          <w:highlight w:val="none"/>
        </w:rPr>
      </w:r>
      <w:bookmarkStart w:id="4" w:name="_Toc479757206"/>
      <w:r>
        <w:rPr>
          <w:highlight w:val="none"/>
        </w:rPr>
      </w:r>
      <w:bookmarkStart w:id="5" w:name="_Toc16938516"/>
      <w:r>
        <w:rPr>
          <w:rFonts w:hint="eastAsia" w:ascii="黑体" w:hAnsi="黑体" w:eastAsia="黑体"/>
          <w:color w:val="000000"/>
          <w:sz w:val="36"/>
          <w:szCs w:val="36"/>
          <w:highlight w:val="none"/>
        </w:rPr>
        <w:t xml:space="preserve">总  目  录</w:t>
      </w:r>
      <w:r>
        <w:rPr>
          <w:highlight w:val="none"/>
        </w:rPr>
      </w:r>
      <w:r/>
    </w:p>
    <w:p>
      <w:pPr>
        <w:pStyle w:val="881"/>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参加征集活动的邀请--------------------------</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供应商须知----------------------------------</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框架协议文本和采购合同文本------------------</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评审方法与评审标准--------------------------</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响应文件内容与格式--------------------------</w:t>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参加征集活动的邀请</w:t>
      </w:r>
      <w:r>
        <w:rPr>
          <w:highlight w:val="none"/>
        </w:rPr>
      </w:r>
      <w:r/>
    </w:p>
    <w:p>
      <w:pPr>
        <w:pStyle w:val="881"/>
        <w:ind w:firstLine="480"/>
        <w:spacing w:line="500" w:lineRule="exact"/>
        <w:rPr>
          <w:rFonts w:hint="eastAsia" w:ascii="宋体" w:hAnsi="宋体"/>
          <w:color w:val="000000"/>
          <w:sz w:val="24"/>
          <w:szCs w:val="24"/>
          <w:highlight w:val="none"/>
        </w:rPr>
      </w:pPr>
      <w:r>
        <w:rPr>
          <w:highlight w:val="none"/>
        </w:rPr>
      </w:r>
      <w:bookmarkEnd w:id="0"/>
      <w:r>
        <w:rPr>
          <w:rFonts w:hint="eastAsia" w:ascii="宋体" w:hAnsi="宋体"/>
          <w:color w:val="000000"/>
          <w:sz w:val="24"/>
          <w:szCs w:val="24"/>
          <w:highlight w:val="none"/>
        </w:rPr>
        <w:t xml:space="preserve">无锡市公共资源交易中心就</w:t>
      </w:r>
      <w:r>
        <w:rPr>
          <w:rFonts w:hint="eastAsia" w:ascii="宋体" w:hAnsi="宋体"/>
          <w:color w:val="000000"/>
          <w:sz w:val="24"/>
          <w:szCs w:val="24"/>
          <w:highlight w:val="none"/>
          <w:lang w:eastAsia="zh-CN"/>
        </w:rPr>
        <w:t xml:space="preserve">2027-2028年度无锡市市本级车辆维修和保养服务框架协议采购</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JSZC-320200-JZCG-K2026-0097</w:t>
      </w:r>
      <w:r>
        <w:rPr>
          <w:rFonts w:hint="eastAsia" w:ascii="宋体" w:hAnsi="宋体"/>
          <w:color w:val="000000"/>
          <w:sz w:val="24"/>
          <w:szCs w:val="24"/>
          <w:highlight w:val="none"/>
        </w:rPr>
        <w:t xml:space="preserve">）进行封闭式框架协议采购，欢迎符合条件的供应商参加本次采购活动。</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6" w:name="_Toc35393790"/>
      <w:r>
        <w:rPr>
          <w:highlight w:val="none"/>
        </w:rPr>
      </w:r>
      <w:bookmarkStart w:id="7" w:name="_Toc35393621"/>
      <w:r>
        <w:rPr>
          <w:highlight w:val="none"/>
        </w:rPr>
      </w:r>
      <w:bookmarkStart w:id="8" w:name="_Toc28359079"/>
      <w:r>
        <w:rPr>
          <w:highlight w:val="none"/>
        </w:rPr>
      </w:r>
      <w:bookmarkStart w:id="9" w:name="_Toc28359002"/>
      <w:r>
        <w:rPr>
          <w:highlight w:val="none"/>
        </w:rPr>
      </w:r>
      <w:bookmarkStart w:id="10" w:name="_Toc38985263"/>
      <w:r>
        <w:rPr>
          <w:highlight w:val="none"/>
        </w:rPr>
      </w:r>
      <w:bookmarkStart w:id="11" w:name="_Hlk24379207"/>
      <w:r>
        <w:rPr>
          <w:rFonts w:hint="eastAsia"/>
          <w:color w:val="000000"/>
          <w:sz w:val="30"/>
          <w:szCs w:val="30"/>
          <w:highlight w:val="none"/>
        </w:rPr>
        <w:t xml:space="preserve">一、</w:t>
      </w:r>
      <w:r>
        <w:rPr>
          <w:rFonts w:hint="eastAsia"/>
          <w:color w:val="000000"/>
          <w:sz w:val="30"/>
          <w:szCs w:val="30"/>
          <w:highlight w:val="none"/>
          <w:lang w:eastAsia="zh-CN"/>
        </w:rPr>
        <w:t xml:space="preserve">征集人</w:t>
      </w:r>
      <w:r>
        <w:rPr>
          <w:rFonts w:hint="eastAsia"/>
          <w:color w:val="000000"/>
          <w:sz w:val="30"/>
          <w:szCs w:val="30"/>
          <w:highlight w:val="none"/>
        </w:rPr>
        <w:t xml:space="preserve">信息</w:t>
      </w:r>
      <w:r>
        <w:rPr>
          <w:highlight w:val="none"/>
        </w:rPr>
      </w:r>
      <w:r/>
    </w:p>
    <w:p>
      <w:pPr>
        <w:pStyle w:val="881"/>
        <w:ind w:firstLine="480"/>
        <w:spacing w:line="5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1.征集人名称：</w:t>
      </w:r>
      <w:r>
        <w:rPr>
          <w:rFonts w:hint="eastAsia" w:ascii="宋体" w:hAnsi="宋体"/>
          <w:color w:val="000000"/>
          <w:sz w:val="24"/>
          <w:szCs w:val="24"/>
          <w:highlight w:val="none"/>
          <w:lang w:eastAsia="zh-CN"/>
        </w:rPr>
        <w:t xml:space="preserve">无锡市公共资源交易中心</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2.征集人地址：无锡市滨湖区观山路199号市民中心10号楼3楼</w:t>
      </w:r>
      <w:r>
        <w:rPr>
          <w:highlight w:val="none"/>
        </w:rPr>
      </w:r>
      <w:r/>
    </w:p>
    <w:p>
      <w:pPr>
        <w:pStyle w:val="881"/>
        <w:ind w:firstLine="480"/>
        <w:spacing w:line="5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3.征集人联系人：</w:t>
      </w:r>
      <w:r>
        <w:rPr>
          <w:rFonts w:hint="eastAsia" w:ascii="宋体" w:hAnsi="宋体"/>
          <w:color w:val="000000"/>
          <w:sz w:val="24"/>
          <w:szCs w:val="24"/>
          <w:highlight w:val="none"/>
          <w:lang w:val="en-US" w:eastAsia="zh-CN"/>
        </w:rPr>
        <w:t xml:space="preserve">吴冰梦</w:t>
      </w:r>
      <w:r>
        <w:rPr>
          <w:highlight w:val="none"/>
        </w:rPr>
      </w:r>
      <w:r/>
    </w:p>
    <w:p>
      <w:pPr>
        <w:pStyle w:val="881"/>
        <w:ind w:firstLine="480"/>
        <w:spacing w:line="50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4.征集人联系方式：0510-</w:t>
      </w:r>
      <w:r>
        <w:rPr>
          <w:rFonts w:hint="eastAsia" w:ascii="宋体" w:hAnsi="宋体"/>
          <w:color w:val="000000"/>
          <w:sz w:val="24"/>
          <w:szCs w:val="24"/>
          <w:highlight w:val="none"/>
          <w:lang w:val="en-US" w:eastAsia="zh-CN"/>
        </w:rPr>
        <w:t xml:space="preserve">81827747</w:t>
      </w:r>
      <w:r>
        <w:rPr>
          <w:highlight w:val="none"/>
        </w:rPr>
      </w:r>
      <w:r/>
    </w:p>
    <w:p>
      <w:pPr>
        <w:pStyle w:val="884"/>
        <w:ind w:firstLine="452"/>
        <w:keepLines w:val="0"/>
        <w:keepNext w:val="0"/>
        <w:spacing w:before="0" w:after="0" w:line="500" w:lineRule="exact"/>
        <w:rPr>
          <w:color w:val="000000"/>
          <w:sz w:val="30"/>
          <w:szCs w:val="30"/>
          <w:highlight w:val="none"/>
        </w:rPr>
      </w:pPr>
      <w:r>
        <w:rPr>
          <w:rFonts w:hint="eastAsia"/>
          <w:color w:val="000000"/>
          <w:sz w:val="30"/>
          <w:szCs w:val="30"/>
          <w:highlight w:val="none"/>
          <w:lang w:eastAsia="zh-CN"/>
        </w:rPr>
        <w:t xml:space="preserve">二</w:t>
      </w:r>
      <w:r>
        <w:rPr>
          <w:rFonts w:hint="eastAsia"/>
          <w:color w:val="000000"/>
          <w:sz w:val="30"/>
          <w:szCs w:val="30"/>
          <w:highlight w:val="none"/>
        </w:rPr>
        <w:t xml:space="preserve">、</w:t>
      </w:r>
      <w:bookmarkEnd w:id="6"/>
      <w:r>
        <w:rPr>
          <w:highlight w:val="none"/>
        </w:rPr>
      </w:r>
      <w:bookmarkEnd w:id="7"/>
      <w:r>
        <w:rPr>
          <w:highlight w:val="none"/>
        </w:rPr>
      </w:r>
      <w:bookmarkEnd w:id="8"/>
      <w:r>
        <w:rPr>
          <w:highlight w:val="none"/>
        </w:rPr>
      </w:r>
      <w:bookmarkEnd w:id="9"/>
      <w:r>
        <w:rPr>
          <w:highlight w:val="none"/>
        </w:rPr>
      </w:r>
      <w:bookmarkEnd w:id="10"/>
      <w:r>
        <w:rPr>
          <w:rFonts w:hint="eastAsia"/>
          <w:color w:val="000000"/>
          <w:sz w:val="30"/>
          <w:szCs w:val="30"/>
          <w:highlight w:val="none"/>
          <w:lang w:eastAsia="zh-CN"/>
        </w:rPr>
        <w:t xml:space="preserve">采购</w:t>
      </w:r>
      <w:r>
        <w:rPr>
          <w:rFonts w:hint="eastAsia"/>
          <w:color w:val="000000"/>
          <w:sz w:val="30"/>
          <w:szCs w:val="30"/>
          <w:highlight w:val="none"/>
        </w:rPr>
        <w:t xml:space="preserve">项目信息</w:t>
      </w:r>
      <w:r>
        <w:rPr>
          <w:highlight w:val="none"/>
        </w:rPr>
      </w:r>
      <w:r/>
    </w:p>
    <w:p>
      <w:pPr>
        <w:pStyle w:val="881"/>
        <w:ind w:firstLine="480"/>
        <w:spacing w:line="5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JSZC-320200-JZCG-K2026-0097</w:t>
      </w:r>
      <w:r>
        <w:rPr>
          <w:highlight w:val="none"/>
        </w:rPr>
      </w:r>
      <w:r/>
    </w:p>
    <w:p>
      <w:pPr>
        <w:pStyle w:val="881"/>
        <w:ind w:firstLine="480"/>
        <w:spacing w:line="5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2027-2028年度无锡市市本级车辆维修和保养服务框架协议采购</w:t>
      </w:r>
      <w:r>
        <w:rPr>
          <w:highlight w:val="none"/>
        </w:rPr>
      </w:r>
      <w:r/>
    </w:p>
    <w:p>
      <w:pPr>
        <w:pStyle w:val="881"/>
        <w:ind w:firstLine="480"/>
        <w:spacing w:line="500" w:lineRule="exact"/>
        <w:rPr>
          <w:rFonts w:hint="eastAsia" w:ascii="宋体" w:hAnsi="宋体"/>
          <w:color w:val="000000"/>
          <w:sz w:val="24"/>
          <w:szCs w:val="24"/>
          <w:highlight w:val="none"/>
        </w:rPr>
      </w:pPr>
      <w:r>
        <w:rPr>
          <w:highlight w:val="none"/>
        </w:rPr>
      </w:r>
      <w:bookmarkEnd w:id="11"/>
      <w:r>
        <w:rPr>
          <w:rFonts w:hint="eastAsia" w:ascii="宋体" w:hAnsi="宋体"/>
          <w:color w:val="000000"/>
          <w:sz w:val="24"/>
          <w:szCs w:val="24"/>
          <w:highlight w:val="none"/>
        </w:rPr>
        <w:t xml:space="preserve">3.采购方式：封闭式框架协议采购</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4.适用框架协议的采购人或者服务对象范围：无锡市市本级的国家机关、事业单位和团体组织</w:t>
      </w:r>
      <w:r>
        <w:rPr>
          <w:highlight w:val="none"/>
        </w:rPr>
      </w:r>
      <w:r/>
    </w:p>
    <w:p>
      <w:pPr>
        <w:pStyle w:val="8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5.最高限制单价：详见征集文件</w:t>
      </w:r>
      <w:r>
        <w:rPr>
          <w:rFonts w:hint="eastAsia" w:ascii="宋体" w:hAnsi="宋体" w:cs="宋体"/>
          <w:color w:val="000000"/>
          <w:sz w:val="24"/>
          <w:szCs w:val="24"/>
          <w:highlight w:val="none"/>
        </w:rPr>
        <w:t xml:space="preserve">第四章《采购需求》</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详见征集文件第四章《采购需求》</w:t>
      </w:r>
      <w:r>
        <w:rPr>
          <w:highlight w:val="none"/>
        </w:rPr>
      </w:r>
      <w:r/>
    </w:p>
    <w:p>
      <w:pPr>
        <w:pStyle w:val="88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7.本项目不接受联合体参与本次框架协议采购活动。</w:t>
      </w:r>
      <w:r>
        <w:rPr>
          <w:highlight w:val="none"/>
        </w:rPr>
      </w:r>
      <w:r/>
    </w:p>
    <w:p>
      <w:pPr>
        <w:pStyle w:val="884"/>
        <w:ind w:firstLine="452"/>
        <w:keepLines w:val="0"/>
        <w:keepNext w:val="0"/>
        <w:spacing w:before="0" w:after="0" w:line="500" w:lineRule="exact"/>
        <w:rPr>
          <w:color w:val="000000"/>
          <w:sz w:val="30"/>
          <w:szCs w:val="30"/>
          <w:highlight w:val="none"/>
        </w:rPr>
      </w:pPr>
      <w:r>
        <w:rPr>
          <w:highlight w:val="none"/>
        </w:rPr>
      </w:r>
      <w:bookmarkStart w:id="12" w:name="_Toc28359003"/>
      <w:r>
        <w:rPr>
          <w:highlight w:val="none"/>
        </w:rPr>
      </w:r>
      <w:bookmarkStart w:id="13" w:name="_Toc35393791"/>
      <w:r>
        <w:rPr>
          <w:highlight w:val="none"/>
        </w:rPr>
      </w:r>
      <w:bookmarkStart w:id="14" w:name="_Toc38985264"/>
      <w:r>
        <w:rPr>
          <w:highlight w:val="none"/>
        </w:rPr>
      </w:r>
      <w:bookmarkStart w:id="15" w:name="_Toc28359080"/>
      <w:r>
        <w:rPr>
          <w:highlight w:val="none"/>
        </w:rPr>
      </w:r>
      <w:bookmarkStart w:id="16" w:name="_Toc35393622"/>
      <w:r>
        <w:rPr>
          <w:rFonts w:hint="eastAsia"/>
          <w:color w:val="000000"/>
          <w:sz w:val="30"/>
          <w:szCs w:val="30"/>
          <w:highlight w:val="none"/>
          <w:lang w:eastAsia="zh-CN"/>
        </w:rPr>
        <w:t xml:space="preserve">三</w:t>
      </w:r>
      <w:r>
        <w:rPr>
          <w:rFonts w:hint="eastAsia"/>
          <w:color w:val="000000"/>
          <w:sz w:val="30"/>
          <w:szCs w:val="30"/>
          <w:highlight w:val="none"/>
        </w:rPr>
        <w:t xml:space="preserve">、</w:t>
      </w:r>
      <w:r>
        <w:rPr>
          <w:rFonts w:hint="eastAsia"/>
          <w:color w:val="000000"/>
          <w:sz w:val="30"/>
          <w:szCs w:val="30"/>
          <w:highlight w:val="none"/>
          <w:lang w:eastAsia="zh-CN"/>
        </w:rPr>
        <w:t xml:space="preserve">供应商</w:t>
      </w:r>
      <w:r>
        <w:rPr>
          <w:rFonts w:hint="eastAsia"/>
          <w:color w:val="000000"/>
          <w:sz w:val="30"/>
          <w:szCs w:val="30"/>
          <w:highlight w:val="none"/>
        </w:rPr>
        <w:t xml:space="preserve">的资格条件</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881"/>
        <w:ind w:firstLine="480"/>
        <w:spacing w:line="500" w:lineRule="exact"/>
        <w:rPr>
          <w:rFonts w:ascii="宋体" w:hAnsi="宋体"/>
          <w:color w:val="000000"/>
          <w:sz w:val="24"/>
          <w:szCs w:val="24"/>
          <w:highlight w:val="none"/>
        </w:rPr>
      </w:pPr>
      <w:r>
        <w:rPr>
          <w:highlight w:val="none"/>
        </w:rPr>
      </w:r>
      <w:bookmarkStart w:id="17" w:name="_Toc28359004"/>
      <w:r>
        <w:rPr>
          <w:highlight w:val="none"/>
        </w:rPr>
      </w:r>
      <w:bookmarkStart w:id="18" w:name="_Toc35393792"/>
      <w:r>
        <w:rPr>
          <w:highlight w:val="none"/>
        </w:rPr>
      </w:r>
      <w:bookmarkStart w:id="19" w:name="_Toc35393623"/>
      <w:r>
        <w:rPr>
          <w:highlight w:val="none"/>
        </w:rPr>
      </w:r>
      <w:bookmarkStart w:id="20" w:name="_Toc38985265"/>
      <w:r>
        <w:rPr>
          <w:highlight w:val="none"/>
        </w:rPr>
      </w:r>
      <w:bookmarkStart w:id="21" w:name="_Toc28359081"/>
      <w:r>
        <w:rPr>
          <w:rFonts w:hint="eastAsia" w:ascii="宋体" w:hAnsi="宋体"/>
          <w:color w:val="000000"/>
          <w:sz w:val="24"/>
          <w:szCs w:val="24"/>
          <w:highlight w:val="none"/>
        </w:rPr>
        <w:t xml:space="preserve">1.满足《中华人民共和国政府采购法》第二十二条规定；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highlight w:val="none"/>
        </w:rPr>
      </w:r>
      <w:r/>
    </w:p>
    <w:p>
      <w:pPr>
        <w:pStyle w:val="881"/>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3.本项目的特定资格要求：供应商须为一类汽车维修企业，须提供具有有效期内的《机动车维修经营备案表》（经营范围为汽车维修一类）扫描件。</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rFonts w:hint="eastAsia"/>
          <w:color w:val="000000"/>
          <w:sz w:val="30"/>
          <w:szCs w:val="30"/>
          <w:highlight w:val="none"/>
          <w:lang w:eastAsia="zh-CN"/>
        </w:rPr>
        <w:t xml:space="preserve">四、框架协议的期限</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日至202</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年1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31</w:t>
      </w:r>
      <w:r>
        <w:rPr>
          <w:rFonts w:hint="eastAsia" w:ascii="宋体" w:hAnsi="宋体"/>
          <w:color w:val="000000"/>
          <w:sz w:val="24"/>
          <w:szCs w:val="24"/>
          <w:highlight w:val="none"/>
        </w:rPr>
        <w:t xml:space="preserve">日（本项目框架协议的期限暂定为2年，若省厅另有统一征集的，按省厅征集要求及结果执行）</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rFonts w:hint="eastAsia"/>
          <w:color w:val="000000"/>
          <w:sz w:val="30"/>
          <w:szCs w:val="30"/>
          <w:highlight w:val="none"/>
          <w:lang w:eastAsia="zh-CN"/>
        </w:rPr>
        <w:t xml:space="preserve">五、获取征集文件的时间、地点和方式</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时间：</w:t>
      </w:r>
      <w:r>
        <w:rPr>
          <w:rFonts w:hint="eastAsia" w:ascii="宋体" w:hAnsi="宋体"/>
          <w:color w:val="000000"/>
          <w:sz w:val="24"/>
          <w:szCs w:val="24"/>
          <w:highlight w:val="none"/>
        </w:rPr>
        <w:t xml:space="preserve">本征集文件有效获取期限以本项目征集公告中规定的获取征集文件时间为准。</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地点：“江苏省政府采购（苏采云）平台”。</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方式：供应商应在“江苏政府采购网”自行浏览征集文件，如有参加意向须在本征集文件有效获取期内通过登录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https://jszfcg.jsczt.cn/</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下载的方式依法获取征集文件（“项目参与”——“框架项目参与”——“封闭框架参与”找到需要获取征集文件的项目，点击“我要参与”——“参与投标”——“下载文件”）。在征集文件有效获取期限内，从“江苏省政府采购（苏采云）平台”获取的征集文件，视为依法获取的征集文件。本项目征集文件免费。</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color w:val="000000"/>
          <w:sz w:val="30"/>
          <w:szCs w:val="30"/>
          <w:highlight w:val="none"/>
          <w:lang w:eastAsia="zh-CN"/>
        </w:rPr>
        <w:t xml:space="preserve">六、响应文件的提交方式、提交截止时间和地点，开启方式、时间和地点</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响应文件的提交截止时间及开启时间</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2026年11月26日09点30分</w:t>
      </w:r>
      <w:r>
        <w:rPr>
          <w:rFonts w:hint="eastAsia" w:ascii="宋体" w:hAnsi="宋体"/>
          <w:bCs/>
          <w:color w:val="000000" w:themeColor="text1"/>
          <w:sz w:val="24"/>
          <w:szCs w:val="24"/>
          <w:highlight w:val="none"/>
        </w:rPr>
        <w:t xml:space="preserve">（北京</w:t>
      </w:r>
      <w:r>
        <w:rPr>
          <w:rFonts w:hint="eastAsia" w:ascii="宋体" w:hAnsi="宋体"/>
          <w:bCs/>
          <w:color w:val="000000"/>
          <w:sz w:val="24"/>
          <w:szCs w:val="24"/>
          <w:highlight w:val="none"/>
        </w:rPr>
        <w:t xml:space="preserve">时间），提交时间截止后同时开启。截止时间后上传的任何响应文件恕不接受。</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响应文件的提交方式和地点：供应商通过“江苏省政府采购（苏采云）平台”提交数据电文形式（电子形式）的响应文件。</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响应文件的开启方式和地点：供应商通过“江苏省政府采购（苏采云）平台”进入 “开标大厅”开启（解密）响应文件。</w:t>
      </w:r>
      <w:r>
        <w:rPr>
          <w:highlight w:val="none"/>
        </w:rPr>
      </w:r>
      <w:r/>
    </w:p>
    <w:p>
      <w:pPr>
        <w:pStyle w:val="884"/>
        <w:ind w:firstLine="452"/>
        <w:keepLines w:val="0"/>
        <w:keepNext w:val="0"/>
        <w:spacing w:before="0" w:after="0" w:line="500" w:lineRule="exact"/>
        <w:rPr>
          <w:color w:val="000000"/>
          <w:sz w:val="30"/>
          <w:szCs w:val="30"/>
          <w:highlight w:val="none"/>
        </w:rPr>
      </w:pPr>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Start w:id="22" w:name="_Toc35393794"/>
      <w:r>
        <w:rPr>
          <w:highlight w:val="none"/>
        </w:rPr>
      </w:r>
      <w:bookmarkStart w:id="23" w:name="_Toc35393625"/>
      <w:r>
        <w:rPr>
          <w:highlight w:val="none"/>
        </w:rPr>
      </w:r>
      <w:bookmarkStart w:id="24" w:name="_Toc28359084"/>
      <w:r>
        <w:rPr>
          <w:highlight w:val="none"/>
        </w:rPr>
      </w:r>
      <w:bookmarkStart w:id="25" w:name="_Toc38985267"/>
      <w:r>
        <w:rPr>
          <w:highlight w:val="none"/>
        </w:rPr>
      </w:r>
      <w:bookmarkStart w:id="26" w:name="_Toc28359007"/>
      <w:r>
        <w:rPr>
          <w:rFonts w:hint="eastAsia"/>
          <w:color w:val="000000"/>
          <w:sz w:val="30"/>
          <w:szCs w:val="30"/>
          <w:highlight w:val="none"/>
          <w:lang w:eastAsia="zh-CN"/>
        </w:rPr>
        <w:t xml:space="preserve">七</w:t>
      </w:r>
      <w:r>
        <w:rPr>
          <w:rFonts w:hint="eastAsia"/>
          <w:color w:val="000000"/>
          <w:sz w:val="30"/>
          <w:szCs w:val="30"/>
          <w:highlight w:val="none"/>
        </w:rPr>
        <w:t xml:space="preserve">、公告期限</w:t>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r/>
    </w:p>
    <w:p>
      <w:pPr>
        <w:pStyle w:val="881"/>
        <w:ind w:firstLine="480"/>
        <w:spacing w:line="500" w:lineRule="exact"/>
        <w:rPr>
          <w:rFonts w:ascii="宋体" w:hAnsi="宋体" w:cs="宋体"/>
          <w:color w:val="000000"/>
          <w:sz w:val="24"/>
          <w:szCs w:val="24"/>
          <w:highlight w:val="none"/>
        </w:rPr>
      </w:pPr>
      <w:r>
        <w:rPr>
          <w:highlight w:val="none"/>
        </w:rPr>
      </w:r>
      <w:bookmarkStart w:id="27" w:name="_Toc38985268"/>
      <w:r>
        <w:rPr>
          <w:highlight w:val="none"/>
        </w:rPr>
      </w:r>
      <w:bookmarkStart w:id="28" w:name="_Toc35393626"/>
      <w:r>
        <w:rPr>
          <w:highlight w:val="none"/>
        </w:rPr>
      </w:r>
      <w:bookmarkStart w:id="29" w:name="_Toc35393795"/>
      <w:r>
        <w:rPr>
          <w:rFonts w:hint="eastAsia" w:ascii="宋体" w:hAnsi="宋体" w:cs="宋体"/>
          <w:color w:val="000000"/>
          <w:sz w:val="24"/>
          <w:szCs w:val="24"/>
          <w:highlight w:val="none"/>
        </w:rPr>
        <w:t xml:space="preserve">征集公告及征集文件公告期限为自本公告发布之日起5个工作日。</w:t>
      </w:r>
      <w:r>
        <w:rPr>
          <w:highlight w:val="none"/>
        </w:rPr>
      </w:r>
      <w:r/>
    </w:p>
    <w:p>
      <w:pPr>
        <w:pStyle w:val="884"/>
        <w:ind w:firstLine="452"/>
        <w:keepLines w:val="0"/>
        <w:keepNext w:val="0"/>
        <w:spacing w:before="0" w:after="0" w:line="500" w:lineRule="exact"/>
        <w:rPr>
          <w:color w:val="000000"/>
          <w:sz w:val="30"/>
          <w:szCs w:val="30"/>
          <w:highlight w:val="none"/>
        </w:rPr>
      </w:pPr>
      <w:r>
        <w:rPr>
          <w:highlight w:val="none"/>
        </w:rPr>
      </w:r>
      <w:bookmarkEnd w:id="27"/>
      <w:r>
        <w:rPr>
          <w:highlight w:val="none"/>
        </w:rPr>
      </w:r>
      <w:bookmarkEnd w:id="28"/>
      <w:r>
        <w:rPr>
          <w:highlight w:val="none"/>
        </w:rPr>
      </w:r>
      <w:bookmarkEnd w:id="29"/>
      <w:r>
        <w:rPr>
          <w:rFonts w:hint="eastAsia"/>
          <w:color w:val="000000"/>
          <w:sz w:val="30"/>
          <w:szCs w:val="30"/>
          <w:highlight w:val="none"/>
          <w:lang w:eastAsia="zh-CN"/>
        </w:rPr>
        <w:t xml:space="preserve">八、</w:t>
      </w:r>
      <w:r>
        <w:rPr>
          <w:rFonts w:hint="eastAsia"/>
          <w:color w:val="000000"/>
          <w:sz w:val="30"/>
          <w:szCs w:val="30"/>
          <w:highlight w:val="none"/>
        </w:rPr>
        <w:t xml:space="preserve">省级以上财政部门规定的其他事项</w:t>
      </w:r>
      <w:r>
        <w:rPr>
          <w:highlight w:val="none"/>
        </w:rPr>
      </w:r>
      <w:r/>
    </w:p>
    <w:p>
      <w:pPr>
        <w:pStyle w:val="88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highlight w:val="none"/>
        </w:rPr>
      </w:r>
      <w:r/>
    </w:p>
    <w:p>
      <w:pPr>
        <w:pStyle w:val="884"/>
        <w:ind w:firstLine="452"/>
        <w:keepLines w:val="0"/>
        <w:keepNext w:val="0"/>
        <w:spacing w:before="0" w:after="0" w:line="500" w:lineRule="exact"/>
        <w:rPr>
          <w:color w:val="000000"/>
          <w:sz w:val="30"/>
          <w:szCs w:val="30"/>
          <w:highlight w:val="none"/>
        </w:rPr>
      </w:pPr>
      <w:r>
        <w:rPr>
          <w:rFonts w:hint="eastAsia"/>
          <w:color w:val="000000"/>
          <w:sz w:val="30"/>
          <w:szCs w:val="30"/>
          <w:highlight w:val="none"/>
          <w:lang w:eastAsia="zh-CN"/>
        </w:rPr>
        <w:t xml:space="preserve">九</w:t>
      </w:r>
      <w:r>
        <w:rPr>
          <w:rFonts w:hint="eastAsia"/>
          <w:color w:val="000000"/>
          <w:sz w:val="30"/>
          <w:szCs w:val="30"/>
          <w:highlight w:val="none"/>
        </w:rPr>
        <w:t xml:space="preserve">、其他</w:t>
      </w:r>
      <w:r>
        <w:rPr>
          <w:highlight w:val="none"/>
        </w:rPr>
      </w:r>
      <w:r/>
    </w:p>
    <w:p>
      <w:pPr>
        <w:pStyle w:val="881"/>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中填写资质信息并提交。也可以直接通过https://jszfcg.jsczt.cn/进入界面。</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号12号楼一楼</w:t>
      </w:r>
      <w:r>
        <w:rPr>
          <w:rFonts w:ascii="宋体" w:hAnsi="宋体"/>
          <w:color w:val="000000"/>
          <w:sz w:val="24"/>
          <w:szCs w:val="24"/>
          <w:highlight w:val="none"/>
        </w:rPr>
        <w:t xml:space="preserve">），办理指南链接：http://jsxcmm.com/help/help.html。</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highlight w:val="none"/>
        </w:rPr>
      </w:r>
      <w:r/>
    </w:p>
    <w:p>
      <w:pPr>
        <w:pStyle w:val="881"/>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（二）完成项目参与，获取征集文件</w:t>
      </w:r>
      <w:r>
        <w:rPr>
          <w:highlight w:val="none"/>
        </w:rPr>
      </w:r>
      <w:r/>
    </w:p>
    <w:p>
      <w:pPr>
        <w:pStyle w:val="881"/>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公告附件中查看征集文件，如确定参加本次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color w:val="000000"/>
          <w:sz w:val="24"/>
          <w:szCs w:val="24"/>
          <w:highlight w:val="none"/>
        </w:rPr>
        <w:t xml:space="preserve">征集</w:t>
      </w:r>
      <w:r>
        <w:rPr>
          <w:rFonts w:hint="eastAsia" w:ascii="宋体" w:hAnsi="宋体"/>
          <w:bCs/>
          <w:color w:val="000000"/>
          <w:sz w:val="24"/>
          <w:szCs w:val="24"/>
          <w:highlight w:val="none"/>
        </w:rPr>
        <w:t xml:space="preserve">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w:t>
      </w:r>
      <w:r>
        <w:rPr>
          <w:rFonts w:hint="eastAsia" w:ascii="宋体" w:hAnsi="宋体"/>
          <w:color w:val="000000"/>
          <w:sz w:val="24"/>
          <w:szCs w:val="24"/>
          <w:highlight w:val="none"/>
        </w:rPr>
        <w:t xml:space="preserve">（“项目参与”——“框架项目参与”——“封闭框架参与”找到需要获取征集文件的项目，点击“我要参与”——“参与投标”——“下载文件”）</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文件无效。</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注，因</w:t>
      </w:r>
      <w:r>
        <w:rPr>
          <w:rFonts w:hint="eastAsia" w:ascii="宋体" w:hAnsi="宋体"/>
          <w:bCs/>
          <w:color w:val="000000"/>
          <w:sz w:val="24"/>
          <w:szCs w:val="24"/>
          <w:highlight w:val="none"/>
        </w:rPr>
        <w:t xml:space="preserve">“苏采云”系统原因，系统中如有针对本项目所称投标文件即指响应文件。</w:t>
      </w:r>
      <w:r>
        <w:rPr>
          <w:highlight w:val="none"/>
        </w:rPr>
      </w:r>
      <w:r/>
    </w:p>
    <w:p>
      <w:pPr>
        <w:pStyle w:val="881"/>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（三）有关本次采购的事项若存在变动或修改，敬请及时关注“江苏政府采购网”发布的更正公告。</w:t>
      </w:r>
      <w:r>
        <w:rPr>
          <w:highlight w:val="none"/>
        </w:rPr>
      </w:r>
      <w:r/>
    </w:p>
    <w:p>
      <w:pPr>
        <w:pStyle w:val="881"/>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（四）本次采购不收取征集活动保证金。</w:t>
      </w:r>
      <w:r>
        <w:rPr>
          <w:highlight w:val="none"/>
        </w:rPr>
      </w:r>
      <w:r/>
    </w:p>
    <w:p>
      <w:pPr>
        <w:pStyle w:val="881"/>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highlight w:val="none"/>
        </w:rPr>
      </w:r>
      <w:r/>
    </w:p>
    <w:p>
      <w:pPr>
        <w:pStyle w:val="881"/>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shd w:val="clear" w:color="ffffff" w:fill="d9d9d9"/>
        </w:rPr>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30" w:name="_Toc120614211"/>
      <w:r>
        <w:rPr>
          <w:rFonts w:hint="eastAsia" w:ascii="黑体" w:hAnsi="黑体" w:eastAsia="黑体"/>
          <w:color w:val="000000"/>
          <w:sz w:val="36"/>
          <w:szCs w:val="36"/>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30"/>
      <w:r>
        <w:rPr>
          <w:highlight w:val="none"/>
        </w:rPr>
      </w:r>
      <w:bookmarkStart w:id="31" w:name="_Toc16938518"/>
      <w:r>
        <w:rPr>
          <w:highlight w:val="none"/>
        </w:rPr>
      </w:r>
      <w:bookmarkStart w:id="32" w:name="_Toc120614213"/>
      <w:r>
        <w:rPr>
          <w:highlight w:val="none"/>
        </w:rPr>
      </w:r>
      <w:bookmarkStart w:id="33" w:name="_Toc513029202"/>
      <w:r>
        <w:rPr>
          <w:highlight w:val="none"/>
        </w:rPr>
      </w:r>
      <w:bookmarkStart w:id="34" w:name="_Toc20823274"/>
      <w:r>
        <w:rPr>
          <w:rFonts w:hint="eastAsia" w:ascii="黑体" w:hAnsi="黑体" w:eastAsia="黑体"/>
          <w:color w:val="000000"/>
          <w:sz w:val="36"/>
          <w:szCs w:val="36"/>
          <w:highlight w:val="none"/>
        </w:rPr>
        <w:t xml:space="preserve">供应商须知</w:t>
      </w:r>
      <w:bookmarkEnd w:id="31"/>
      <w:r>
        <w:rPr>
          <w:highlight w:val="none"/>
        </w:rPr>
      </w:r>
      <w:bookmarkEnd w:id="32"/>
      <w:r>
        <w:rPr>
          <w:highlight w:val="none"/>
        </w:rPr>
      </w:r>
      <w:bookmarkEnd w:id="33"/>
      <w:r>
        <w:rPr>
          <w:highlight w:val="none"/>
        </w:rPr>
      </w:r>
      <w:bookmarkEnd w:id="34"/>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35" w:name="_Toc513029203"/>
      <w:r>
        <w:rPr>
          <w:highlight w:val="none"/>
        </w:rPr>
      </w:r>
      <w:bookmarkStart w:id="36" w:name="_Toc120614214"/>
      <w:r>
        <w:rPr>
          <w:highlight w:val="none"/>
        </w:rPr>
      </w:r>
      <w:bookmarkStart w:id="37" w:name="_Toc20823275"/>
      <w:r>
        <w:rPr>
          <w:highlight w:val="none"/>
        </w:rPr>
      </w:r>
      <w:bookmarkStart w:id="38" w:name="_Toc16938519"/>
      <w:r>
        <w:rPr>
          <w:rFonts w:hint="eastAsia"/>
          <w:color w:val="000000"/>
          <w:sz w:val="30"/>
          <w:szCs w:val="30"/>
          <w:highlight w:val="none"/>
        </w:rPr>
        <w:t xml:space="preserve">一、总则</w:t>
      </w:r>
      <w:bookmarkEnd w:id="35"/>
      <w:r>
        <w:rPr>
          <w:highlight w:val="none"/>
        </w:rPr>
      </w:r>
      <w:bookmarkEnd w:id="36"/>
      <w:r>
        <w:rPr>
          <w:highlight w:val="none"/>
        </w:rPr>
      </w:r>
      <w:bookmarkEnd w:id="37"/>
      <w:r>
        <w:rPr>
          <w:highlight w:val="none"/>
        </w:rPr>
      </w:r>
      <w:bookmarkEnd w:id="38"/>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39" w:name="_Hlt16619475"/>
      <w:r>
        <w:rPr>
          <w:highlight w:val="none"/>
        </w:rPr>
      </w:r>
      <w:bookmarkEnd w:id="39"/>
      <w:r>
        <w:rPr>
          <w:highlight w:val="none"/>
        </w:rPr>
      </w:r>
      <w:bookmarkStart w:id="40" w:name="_Toc513029204"/>
      <w:r>
        <w:rPr>
          <w:highlight w:val="none"/>
        </w:rPr>
      </w:r>
      <w:bookmarkStart w:id="41" w:name="_Toc16938520"/>
      <w:r>
        <w:rPr>
          <w:highlight w:val="none"/>
        </w:rPr>
      </w:r>
      <w:bookmarkStart w:id="42" w:name="_Toc20823276"/>
      <w:r>
        <w:rPr>
          <w:rFonts w:hint="eastAsia" w:ascii="宋体" w:hAnsi="宋体" w:eastAsia="宋体"/>
          <w:bCs w:val="0"/>
          <w:color w:val="000000"/>
          <w:highlight w:val="none"/>
        </w:rPr>
        <w:t xml:space="preserve">1.</w:t>
      </w:r>
      <w:r>
        <w:rPr>
          <w:rFonts w:hint="eastAsia" w:ascii="宋体" w:hAnsi="宋体" w:eastAsia="宋体"/>
          <w:bCs w:val="0"/>
          <w:color w:val="000000"/>
          <w:highlight w:val="none"/>
          <w:lang w:eastAsia="zh-CN"/>
        </w:rPr>
        <w:t xml:space="preserve">采购</w:t>
      </w:r>
      <w:r>
        <w:rPr>
          <w:rFonts w:hint="eastAsia" w:ascii="宋体" w:hAnsi="宋体" w:eastAsia="宋体"/>
          <w:bCs w:val="0"/>
          <w:color w:val="000000"/>
          <w:highlight w:val="none"/>
        </w:rPr>
        <w:t xml:space="preserve">方式</w:t>
      </w:r>
      <w:bookmarkEnd w:id="40"/>
      <w:r>
        <w:rPr>
          <w:highlight w:val="none"/>
        </w:rPr>
      </w:r>
      <w:bookmarkEnd w:id="41"/>
      <w:r>
        <w:rPr>
          <w:highlight w:val="none"/>
        </w:rPr>
      </w:r>
      <w:bookmarkEnd w:id="42"/>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1.1本次政府采购活动采取封闭式框架协议采购方式，本征集文件仅适用于征集公告中所述项目。</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43" w:name="_Toc513029205"/>
      <w:r>
        <w:rPr>
          <w:highlight w:val="none"/>
        </w:rPr>
      </w:r>
      <w:bookmarkStart w:id="44" w:name="_Toc16938521"/>
      <w:r>
        <w:rPr>
          <w:highlight w:val="none"/>
        </w:rPr>
      </w:r>
      <w:bookmarkStart w:id="45" w:name="_Toc20823277"/>
      <w:r>
        <w:rPr>
          <w:rFonts w:hint="eastAsia" w:ascii="宋体" w:hAnsi="宋体" w:eastAsia="宋体"/>
          <w:bCs w:val="0"/>
          <w:color w:val="000000"/>
          <w:highlight w:val="none"/>
        </w:rPr>
        <w:t xml:space="preserve">2.</w:t>
      </w:r>
      <w:bookmarkEnd w:id="43"/>
      <w:r>
        <w:rPr>
          <w:highlight w:val="none"/>
        </w:rPr>
      </w:r>
      <w:bookmarkEnd w:id="44"/>
      <w:r>
        <w:rPr>
          <w:highlight w:val="none"/>
        </w:rPr>
      </w:r>
      <w:bookmarkEnd w:id="45"/>
      <w:r>
        <w:rPr>
          <w:rFonts w:hint="eastAsia" w:ascii="宋体" w:hAnsi="宋体" w:eastAsia="宋体"/>
          <w:bCs w:val="0"/>
          <w:color w:val="000000"/>
          <w:highlight w:val="none"/>
          <w:lang w:eastAsia="zh-CN"/>
        </w:rPr>
        <w:t xml:space="preserve">征集人</w:t>
      </w:r>
      <w:r>
        <w:rPr>
          <w:rFonts w:hint="eastAsia" w:ascii="宋体" w:hAnsi="宋体" w:eastAsia="宋体"/>
          <w:bCs w:val="0"/>
          <w:color w:val="000000"/>
          <w:highlight w:val="none"/>
        </w:rPr>
        <w:t xml:space="preserve">、</w:t>
      </w:r>
      <w:r>
        <w:rPr>
          <w:rFonts w:hint="eastAsia" w:ascii="宋体" w:hAnsi="宋体" w:eastAsia="宋体"/>
          <w:bCs w:val="0"/>
          <w:color w:val="000000"/>
          <w:highlight w:val="none"/>
          <w:lang w:eastAsia="zh-CN"/>
        </w:rPr>
        <w:t xml:space="preserve">供应商</w:t>
      </w:r>
      <w:r>
        <w:rPr>
          <w:rFonts w:hint="eastAsia" w:ascii="宋体" w:hAnsi="宋体" w:eastAsia="宋体"/>
          <w:bCs w:val="0"/>
          <w:color w:val="000000"/>
          <w:highlight w:val="none"/>
        </w:rPr>
        <w:t xml:space="preserve">、联合体</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2.1征集人：负责征集程序和订立框架协议的集中采购机构或者主管预算单位。本项目征集人及其相关信息详见第一章《参加征集活动的邀请》。</w:t>
      </w:r>
      <w:r>
        <w:rPr>
          <w:highlight w:val="none"/>
        </w:rPr>
      </w:r>
      <w:r/>
    </w:p>
    <w:p>
      <w:pPr>
        <w:pStyle w:val="8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2.2供应商：是指响应及参加征集活动的法人、其他组织或者自然人。合格的供应商应满足征集公告中供应商的资格要求以及本文件实质性要求和条件的规定。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协议项下的政府采购活动。若联合体中任一成员单位中途退出，则该联合体的响应无效。</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46" w:name="_Toc16938522"/>
      <w:r>
        <w:rPr>
          <w:highlight w:val="none"/>
        </w:rPr>
      </w:r>
      <w:bookmarkStart w:id="47" w:name="_Toc513029206"/>
      <w:r>
        <w:rPr>
          <w:highlight w:val="none"/>
        </w:rPr>
      </w:r>
      <w:bookmarkStart w:id="48" w:name="_Toc20823278"/>
      <w:r>
        <w:rPr>
          <w:rFonts w:hint="eastAsia" w:ascii="宋体" w:hAnsi="宋体" w:eastAsia="宋体"/>
          <w:bCs w:val="0"/>
          <w:color w:val="000000"/>
          <w:highlight w:val="none"/>
        </w:rPr>
        <w:t xml:space="preserve">3.适用法律</w:t>
      </w:r>
      <w:bookmarkEnd w:id="46"/>
      <w:r>
        <w:rPr>
          <w:highlight w:val="none"/>
        </w:rPr>
      </w:r>
      <w:bookmarkEnd w:id="47"/>
      <w:r>
        <w:rPr>
          <w:highlight w:val="none"/>
        </w:rPr>
      </w:r>
      <w:bookmarkEnd w:id="48"/>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3.1本次征集活动及由此产生的</w:t>
      </w:r>
      <w:r>
        <w:rPr>
          <w:rFonts w:hint="eastAsia" w:ascii="宋体" w:hAnsi="宋体"/>
          <w:color w:val="000000"/>
          <w:sz w:val="24"/>
          <w:szCs w:val="24"/>
          <w:highlight w:val="none"/>
        </w:rPr>
        <w:t xml:space="preserve">协议</w:t>
      </w:r>
      <w:r>
        <w:rPr>
          <w:rFonts w:hint="eastAsia" w:ascii="宋体" w:hAnsi="宋体"/>
          <w:color w:val="000000"/>
          <w:sz w:val="24"/>
          <w:highlight w:val="none"/>
        </w:rPr>
        <w:t xml:space="preserve">受中华人民共和国法律的制约和保护。</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49" w:name="_Toc16938523"/>
      <w:r>
        <w:rPr>
          <w:highlight w:val="none"/>
        </w:rPr>
      </w:r>
      <w:bookmarkStart w:id="50" w:name="_Toc513029207"/>
      <w:r>
        <w:rPr>
          <w:highlight w:val="none"/>
        </w:rPr>
      </w:r>
      <w:bookmarkStart w:id="51" w:name="_Toc462564067"/>
      <w:r>
        <w:rPr>
          <w:highlight w:val="none"/>
        </w:rPr>
      </w:r>
      <w:bookmarkStart w:id="52" w:name="_Toc20823279"/>
      <w:r>
        <w:rPr>
          <w:rFonts w:hint="eastAsia" w:ascii="宋体" w:hAnsi="宋体" w:eastAsia="宋体"/>
          <w:bCs w:val="0"/>
          <w:color w:val="000000"/>
          <w:highlight w:val="none"/>
        </w:rPr>
        <w:t xml:space="preserve">4.</w:t>
      </w:r>
      <w:r>
        <w:rPr>
          <w:rFonts w:hint="eastAsia" w:ascii="宋体" w:hAnsi="宋体" w:eastAsia="宋体"/>
          <w:bCs w:val="0"/>
          <w:color w:val="000000"/>
          <w:highlight w:val="none"/>
          <w:lang w:eastAsia="zh-CN"/>
        </w:rPr>
        <w:t xml:space="preserve">征集活动</w:t>
      </w:r>
      <w:r>
        <w:rPr>
          <w:rFonts w:hint="eastAsia" w:ascii="宋体" w:hAnsi="宋体" w:eastAsia="宋体"/>
          <w:bCs w:val="0"/>
          <w:color w:val="000000"/>
          <w:highlight w:val="none"/>
        </w:rPr>
        <w:t xml:space="preserve">费用</w:t>
      </w:r>
      <w:bookmarkEnd w:id="49"/>
      <w:r>
        <w:rPr>
          <w:highlight w:val="none"/>
        </w:rPr>
      </w:r>
      <w:bookmarkEnd w:id="50"/>
      <w:r>
        <w:rPr>
          <w:highlight w:val="none"/>
        </w:rPr>
      </w:r>
      <w:bookmarkEnd w:id="51"/>
      <w:r>
        <w:rPr>
          <w:highlight w:val="none"/>
        </w:rPr>
      </w:r>
      <w:bookmarkEnd w:id="52"/>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供应商应自行承担所有与参加本次征集活动有关的费用，无论征集过程中的做法和结果如何，征集人或无锡市公共资源交易中心（以下简称交易中心）在任何情况下均无义务和责任承担这些费用。</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4.2本次征集文件工本费、入围服务费、采购代理机构代理费用的收取标准和方式均免费。</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w:t>
      </w:r>
      <w:r>
        <w:rPr>
          <w:rFonts w:hint="eastAsia" w:ascii="宋体" w:hAnsi="宋体" w:eastAsia="宋体"/>
          <w:bCs w:val="0"/>
          <w:color w:val="000000"/>
          <w:highlight w:val="none"/>
          <w:lang w:eastAsia="zh-CN"/>
        </w:rPr>
        <w:t xml:space="preserve">征集</w:t>
      </w:r>
      <w:r>
        <w:rPr>
          <w:rFonts w:hint="eastAsia" w:ascii="宋体" w:hAnsi="宋体" w:eastAsia="宋体"/>
          <w:bCs w:val="0"/>
          <w:color w:val="000000"/>
          <w:highlight w:val="none"/>
        </w:rPr>
        <w:t xml:space="preserve">文件的约束力</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供应商一旦参加本项目征集活动，即被认为接受了本征集文件的规定和约束。</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53" w:name="_Toc20823281"/>
      <w:r>
        <w:rPr>
          <w:highlight w:val="none"/>
        </w:rPr>
      </w:r>
      <w:bookmarkStart w:id="54" w:name="_Toc513029209"/>
      <w:r>
        <w:rPr>
          <w:highlight w:val="none"/>
        </w:rPr>
      </w:r>
      <w:bookmarkStart w:id="55" w:name="_Toc16938525"/>
      <w:r>
        <w:rPr>
          <w:highlight w:val="none"/>
        </w:rPr>
      </w:r>
      <w:bookmarkStart w:id="56" w:name="_Toc120614215"/>
      <w:r>
        <w:rPr>
          <w:rFonts w:hint="eastAsia"/>
          <w:color w:val="000000"/>
          <w:sz w:val="30"/>
          <w:szCs w:val="30"/>
          <w:highlight w:val="none"/>
        </w:rPr>
        <w:t xml:space="preserve">二、</w:t>
      </w:r>
      <w:r>
        <w:rPr>
          <w:rFonts w:hint="eastAsia"/>
          <w:color w:val="000000"/>
          <w:sz w:val="30"/>
          <w:szCs w:val="30"/>
          <w:highlight w:val="none"/>
          <w:lang w:eastAsia="zh-CN"/>
        </w:rPr>
        <w:t xml:space="preserve">征集</w:t>
      </w:r>
      <w:r>
        <w:rPr>
          <w:rFonts w:hint="eastAsia"/>
          <w:color w:val="000000"/>
          <w:sz w:val="30"/>
          <w:szCs w:val="30"/>
          <w:highlight w:val="none"/>
        </w:rPr>
        <w:t xml:space="preserve">文件</w:t>
      </w:r>
      <w:bookmarkEnd w:id="53"/>
      <w:r>
        <w:rPr>
          <w:highlight w:val="none"/>
        </w:rPr>
      </w:r>
      <w:bookmarkEnd w:id="54"/>
      <w:r>
        <w:rPr>
          <w:highlight w:val="none"/>
        </w:rPr>
      </w:r>
      <w:bookmarkEnd w:id="55"/>
      <w:r>
        <w:rPr>
          <w:highlight w:val="none"/>
        </w:rPr>
      </w:r>
      <w:bookmarkEnd w:id="56"/>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57" w:name="_Toc16938526"/>
      <w:r>
        <w:rPr>
          <w:highlight w:val="none"/>
        </w:rPr>
      </w:r>
      <w:bookmarkStart w:id="58" w:name="_Toc513029210"/>
      <w:r>
        <w:rPr>
          <w:highlight w:val="none"/>
        </w:rPr>
      </w:r>
      <w:bookmarkStart w:id="59" w:name="_Toc20823282"/>
      <w:r>
        <w:rPr>
          <w:rFonts w:hint="eastAsia" w:ascii="宋体" w:hAnsi="宋体" w:eastAsia="宋体"/>
          <w:bCs w:val="0"/>
          <w:color w:val="000000"/>
          <w:highlight w:val="none"/>
        </w:rPr>
        <w:t xml:space="preserve">6.</w:t>
      </w:r>
      <w:r>
        <w:rPr>
          <w:rFonts w:hint="eastAsia" w:ascii="宋体" w:hAnsi="宋体" w:eastAsia="宋体"/>
          <w:bCs w:val="0"/>
          <w:color w:val="000000"/>
          <w:highlight w:val="none"/>
          <w:lang w:eastAsia="zh-CN"/>
        </w:rPr>
        <w:t xml:space="preserve">征集</w:t>
      </w:r>
      <w:r>
        <w:rPr>
          <w:rFonts w:hint="eastAsia" w:ascii="宋体" w:hAnsi="宋体" w:eastAsia="宋体"/>
          <w:bCs w:val="0"/>
          <w:color w:val="000000"/>
          <w:highlight w:val="none"/>
        </w:rPr>
        <w:t xml:space="preserve">文件构成</w:t>
      </w:r>
      <w:bookmarkEnd w:id="57"/>
      <w:r>
        <w:rPr>
          <w:highlight w:val="none"/>
        </w:rPr>
      </w:r>
      <w:bookmarkEnd w:id="58"/>
      <w:r>
        <w:rPr>
          <w:highlight w:val="none"/>
        </w:rPr>
      </w:r>
      <w:bookmarkEnd w:id="59"/>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征集文件由以下部分组成：</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（1）参加征集活动的邀请</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（3）框架协议文本和采购合同文本</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highlight w:val="none"/>
        </w:rPr>
      </w:r>
      <w:r/>
    </w:p>
    <w:p>
      <w:pPr>
        <w:pStyle w:val="881"/>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评审方法与评审标准</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（6）响应文件内容与格式</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请仔细检查征集文件是否齐全，如有缺漏请立即与征集人联系解决。</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60" w:name="_Toc20823283"/>
      <w:r>
        <w:rPr>
          <w:highlight w:val="none"/>
        </w:rPr>
      </w:r>
      <w:bookmarkStart w:id="61" w:name="_Toc16938527"/>
      <w:r>
        <w:rPr>
          <w:highlight w:val="none"/>
        </w:rPr>
      </w:r>
      <w:bookmarkStart w:id="62" w:name="_Toc462564070"/>
      <w:r>
        <w:rPr>
          <w:highlight w:val="none"/>
        </w:rPr>
      </w:r>
      <w:bookmarkStart w:id="63" w:name="_Toc513029211"/>
      <w:r>
        <w:rPr>
          <w:rFonts w:hint="eastAsia" w:ascii="宋体" w:hAnsi="宋体" w:eastAsia="宋体"/>
          <w:bCs w:val="0"/>
          <w:color w:val="000000"/>
          <w:highlight w:val="none"/>
        </w:rPr>
        <w:t xml:space="preserve">7.</w:t>
      </w:r>
      <w:r>
        <w:rPr>
          <w:rFonts w:hint="eastAsia" w:ascii="宋体" w:hAnsi="宋体" w:eastAsia="宋体"/>
          <w:bCs w:val="0"/>
          <w:color w:val="000000"/>
          <w:highlight w:val="none"/>
          <w:lang w:eastAsia="zh-CN"/>
        </w:rPr>
        <w:t xml:space="preserve">征集文件</w:t>
      </w:r>
      <w:r>
        <w:rPr>
          <w:rFonts w:hint="eastAsia" w:ascii="宋体" w:hAnsi="宋体" w:eastAsia="宋体"/>
          <w:bCs w:val="0"/>
          <w:color w:val="000000"/>
          <w:highlight w:val="none"/>
        </w:rPr>
        <w:t xml:space="preserve">的澄清</w:t>
      </w:r>
      <w:bookmarkEnd w:id="60"/>
      <w:r>
        <w:rPr>
          <w:highlight w:val="none"/>
        </w:rPr>
      </w:r>
      <w:bookmarkEnd w:id="61"/>
      <w:r>
        <w:rPr>
          <w:highlight w:val="none"/>
        </w:rPr>
      </w:r>
      <w:bookmarkEnd w:id="62"/>
      <w:r>
        <w:rPr>
          <w:highlight w:val="none"/>
        </w:rPr>
      </w:r>
      <w:bookmarkEnd w:id="63"/>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7.1供应商对征集文件如有疑问，可通过征集文件中载明的联系方式向征集人提出，征集人将在收到需澄清的问题后以适当形式予以答复，并在必要时将答复内容在征集文件发布媒体上以公告方式进行澄清。</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64" w:name="_Toc16938528"/>
      <w:r>
        <w:rPr>
          <w:highlight w:val="none"/>
        </w:rPr>
      </w:r>
      <w:bookmarkStart w:id="65" w:name="_Toc513029212"/>
      <w:r>
        <w:rPr>
          <w:highlight w:val="none"/>
        </w:rPr>
      </w:r>
      <w:bookmarkStart w:id="66" w:name="_Toc20823284"/>
      <w:r>
        <w:rPr>
          <w:highlight w:val="none"/>
        </w:rPr>
      </w:r>
      <w:bookmarkStart w:id="67" w:name="_Toc462564071"/>
      <w:r>
        <w:rPr>
          <w:rFonts w:hint="eastAsia" w:ascii="宋体" w:hAnsi="宋体" w:eastAsia="宋体"/>
          <w:bCs w:val="0"/>
          <w:color w:val="000000"/>
          <w:highlight w:val="none"/>
        </w:rPr>
        <w:t xml:space="preserve">8.征集文件的修改</w:t>
      </w:r>
      <w:bookmarkEnd w:id="64"/>
      <w:r>
        <w:rPr>
          <w:highlight w:val="none"/>
        </w:rPr>
      </w:r>
      <w:bookmarkEnd w:id="65"/>
      <w:r>
        <w:rPr>
          <w:highlight w:val="none"/>
        </w:rPr>
      </w:r>
      <w:bookmarkEnd w:id="66"/>
      <w:r>
        <w:rPr>
          <w:highlight w:val="none"/>
        </w:rPr>
      </w:r>
      <w:bookmarkEnd w:id="67"/>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8.1在响应文件提交截止时间前，征集人可以对征集文件进行澄清和修改, 澄清或者修改的内容作为征集文件的组成部分。澄清或者修改的内容可能影响响应文件编制的，将在提交首次响应文件截止时间至少15日前，在</w:t>
      </w:r>
      <w:r>
        <w:rPr>
          <w:rFonts w:hint="eastAsia" w:ascii="宋体" w:hAnsi="宋体"/>
          <w:bCs/>
          <w:color w:val="000000"/>
          <w:sz w:val="24"/>
          <w:szCs w:val="24"/>
          <w:highlight w:val="none"/>
        </w:rPr>
        <w:t xml:space="preserve">江苏政府采购网</w:t>
      </w:r>
      <w:r>
        <w:rPr>
          <w:rFonts w:hint="eastAsia" w:ascii="宋体" w:hAnsi="宋体"/>
          <w:color w:val="000000"/>
          <w:sz w:val="24"/>
          <w:highlight w:val="none"/>
        </w:rPr>
        <w:t xml:space="preserve">上发布更正公告形式通知所有获取征集文件的供应商,更正公告内容将作为征集文件的组成部分，并对供应商具有约束力。不足15日的，将顺延提交首次响应文件截止时间。发布更正公告形式通知的方式将视同书面通知。</w:t>
      </w:r>
      <w:r>
        <w:rPr>
          <w:rFonts w:hint="eastAsia" w:ascii="宋体" w:hAnsi="宋体"/>
          <w:bCs/>
          <w:color w:val="000000"/>
          <w:sz w:val="24"/>
          <w:szCs w:val="24"/>
          <w:highlight w:val="none"/>
        </w:rPr>
        <w:t xml:space="preserve">因供应商未尽注意义务，未及时更新上传响应文件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全面地关注更正公告导致其提交的响应材料不符合本项目相关要求，而造成的损失及风险（包括但不限于未入围）由供应商自行承担。</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68" w:name="_Toc120614216"/>
      <w:r>
        <w:rPr>
          <w:highlight w:val="none"/>
        </w:rPr>
      </w:r>
      <w:bookmarkStart w:id="69" w:name="_Toc20823285"/>
      <w:r>
        <w:rPr>
          <w:highlight w:val="none"/>
        </w:rPr>
      </w:r>
      <w:bookmarkStart w:id="70" w:name="_Toc513029213"/>
      <w:r>
        <w:rPr>
          <w:highlight w:val="none"/>
        </w:rPr>
      </w:r>
      <w:bookmarkStart w:id="71" w:name="_Toc462564072"/>
      <w:r>
        <w:rPr>
          <w:highlight w:val="none"/>
        </w:rPr>
      </w:r>
      <w:bookmarkStart w:id="72" w:name="_Toc16938529"/>
      <w:r>
        <w:rPr>
          <w:rFonts w:hint="eastAsia"/>
          <w:color w:val="000000"/>
          <w:sz w:val="30"/>
          <w:szCs w:val="30"/>
          <w:highlight w:val="none"/>
        </w:rPr>
        <w:t xml:space="preserve">三、</w:t>
      </w:r>
      <w:r>
        <w:rPr>
          <w:rFonts w:hint="eastAsia"/>
          <w:color w:val="000000"/>
          <w:sz w:val="30"/>
          <w:szCs w:val="30"/>
          <w:highlight w:val="none"/>
          <w:lang w:eastAsia="zh-CN"/>
        </w:rPr>
        <w:t xml:space="preserve">响应</w:t>
      </w:r>
      <w:r>
        <w:rPr>
          <w:rFonts w:hint="eastAsia"/>
          <w:color w:val="000000"/>
          <w:sz w:val="30"/>
          <w:szCs w:val="30"/>
          <w:highlight w:val="none"/>
        </w:rPr>
        <w:t xml:space="preserve">文件的编制</w:t>
      </w:r>
      <w:bookmarkEnd w:id="68"/>
      <w:r>
        <w:rPr>
          <w:highlight w:val="none"/>
        </w:rPr>
      </w:r>
      <w:bookmarkEnd w:id="69"/>
      <w:r>
        <w:rPr>
          <w:highlight w:val="none"/>
        </w:rPr>
      </w:r>
      <w:bookmarkEnd w:id="70"/>
      <w:r>
        <w:rPr>
          <w:highlight w:val="none"/>
        </w:rPr>
      </w:r>
      <w:bookmarkEnd w:id="71"/>
      <w:r>
        <w:rPr>
          <w:highlight w:val="none"/>
        </w:rPr>
      </w:r>
      <w:bookmarkEnd w:id="72"/>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73" w:name="_Toc462564073"/>
      <w:r>
        <w:rPr>
          <w:highlight w:val="none"/>
        </w:rPr>
      </w:r>
      <w:bookmarkStart w:id="74" w:name="_Toc513029214"/>
      <w:r>
        <w:rPr>
          <w:highlight w:val="none"/>
        </w:rPr>
      </w:r>
      <w:bookmarkStart w:id="75" w:name="_Toc20823286"/>
      <w:r>
        <w:rPr>
          <w:highlight w:val="none"/>
        </w:rPr>
      </w:r>
      <w:bookmarkStart w:id="76" w:name="_Toc16938530"/>
      <w:r>
        <w:rPr>
          <w:rFonts w:hint="eastAsia" w:ascii="宋体" w:hAnsi="宋体" w:eastAsia="宋体"/>
          <w:bCs w:val="0"/>
          <w:color w:val="000000"/>
          <w:highlight w:val="none"/>
        </w:rPr>
        <w:t xml:space="preserve">9.</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文件的语言及度量衡单位</w:t>
      </w:r>
      <w:bookmarkEnd w:id="73"/>
      <w:r>
        <w:rPr>
          <w:highlight w:val="none"/>
        </w:rPr>
      </w:r>
      <w:bookmarkEnd w:id="74"/>
      <w:r>
        <w:rPr>
          <w:highlight w:val="none"/>
        </w:rPr>
      </w:r>
      <w:bookmarkEnd w:id="75"/>
      <w:r>
        <w:rPr>
          <w:highlight w:val="none"/>
        </w:rPr>
      </w:r>
      <w:bookmarkEnd w:id="76"/>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供应商提交的响应文件以及供应商与征集人就有关征集活动的所有来往通知、函件和文件均应使用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除技术性能另有规定外，响应文件所使用的度量衡单位，均须采用国家法定计量单位。</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77" w:name="_Toc513029215"/>
      <w:r>
        <w:rPr>
          <w:highlight w:val="none"/>
        </w:rPr>
      </w:r>
      <w:bookmarkStart w:id="78" w:name="_Toc462564074"/>
      <w:r>
        <w:rPr>
          <w:highlight w:val="none"/>
        </w:rPr>
      </w:r>
      <w:bookmarkStart w:id="79" w:name="_Toc20823287"/>
      <w:r>
        <w:rPr>
          <w:highlight w:val="none"/>
        </w:rPr>
      </w:r>
      <w:bookmarkStart w:id="80" w:name="_Toc16938531"/>
      <w:r>
        <w:rPr>
          <w:rFonts w:hint="eastAsia" w:ascii="宋体" w:hAnsi="宋体" w:eastAsia="宋体"/>
          <w:bCs w:val="0"/>
          <w:color w:val="000000"/>
          <w:highlight w:val="none"/>
        </w:rPr>
        <w:t xml:space="preserve">10.响应文件构成</w:t>
      </w:r>
      <w:bookmarkEnd w:id="77"/>
      <w:r>
        <w:rPr>
          <w:highlight w:val="none"/>
        </w:rPr>
      </w:r>
      <w:bookmarkEnd w:id="78"/>
      <w:r>
        <w:rPr>
          <w:highlight w:val="none"/>
        </w:rPr>
      </w:r>
      <w:bookmarkEnd w:id="79"/>
      <w:r>
        <w:rPr>
          <w:highlight w:val="none"/>
        </w:rPr>
      </w:r>
      <w:bookmarkEnd w:id="80"/>
      <w:r>
        <w:rPr>
          <w:highlight w:val="none"/>
        </w:rPr>
      </w:r>
      <w:r/>
    </w:p>
    <w:p>
      <w:pPr>
        <w:pStyle w:val="8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供应商编写的响应文件应包括资格证明文件、符合性证明文件（响应函、承诺书、报价一览表、响应偏离表、《采购需求》中如有要求须提供的证明文件等）、其他证明文件（《评审方法与评审标准》中涉及的证明文件、其他供应商认为应附的文件）等内容。</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10.2供应商应当提交的资格材料、所须提供的相关证明文件和要求以及响应文件的部分格式要求，详见第六章《响应文件内容与格式》。</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10.3如标书制作工具中格式和内容与征集文件不一致的，请以征集文件为准。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81" w:name="_Hlt26668975"/>
      <w:r>
        <w:rPr>
          <w:highlight w:val="none"/>
        </w:rPr>
      </w:r>
      <w:bookmarkEnd w:id="81"/>
      <w:r>
        <w:rPr>
          <w:highlight w:val="none"/>
        </w:rPr>
      </w:r>
      <w:bookmarkStart w:id="82" w:name="_Hlt26954838"/>
      <w:r>
        <w:rPr>
          <w:highlight w:val="none"/>
        </w:rPr>
      </w:r>
      <w:bookmarkEnd w:id="82"/>
      <w:r>
        <w:rPr>
          <w:highlight w:val="none"/>
        </w:rPr>
      </w:r>
      <w:bookmarkStart w:id="83" w:name="_Hlt26670360"/>
      <w:r>
        <w:rPr>
          <w:highlight w:val="none"/>
        </w:rPr>
      </w:r>
      <w:bookmarkEnd w:id="83"/>
      <w:r>
        <w:rPr>
          <w:highlight w:val="none"/>
        </w:rPr>
      </w:r>
      <w:bookmarkStart w:id="84" w:name="_Toc49090509"/>
      <w:r>
        <w:rPr>
          <w:highlight w:val="none"/>
        </w:rPr>
      </w:r>
      <w:bookmarkStart w:id="85" w:name="_Toc14577357"/>
      <w:r>
        <w:rPr>
          <w:highlight w:val="none"/>
        </w:rPr>
      </w:r>
      <w:bookmarkStart w:id="86" w:name="_Toc513029219"/>
      <w:r>
        <w:rPr>
          <w:highlight w:val="none"/>
        </w:rPr>
      </w:r>
      <w:bookmarkStart w:id="87" w:name="_Toc49090507"/>
      <w:r>
        <w:rPr>
          <w:highlight w:val="none"/>
        </w:rPr>
      </w:r>
      <w:bookmarkStart w:id="88" w:name="_Toc513029216"/>
      <w:r>
        <w:rPr>
          <w:highlight w:val="none"/>
        </w:rPr>
      </w:r>
      <w:bookmarkStart w:id="89" w:name="_Toc14577354"/>
      <w:r>
        <w:rPr>
          <w:rFonts w:hint="eastAsia" w:ascii="宋体" w:hAnsi="宋体" w:eastAsia="宋体"/>
          <w:bCs w:val="0"/>
          <w:color w:val="000000"/>
          <w:highlight w:val="none"/>
        </w:rPr>
        <w:t xml:space="preserve">11.</w:t>
      </w:r>
      <w:bookmarkEnd w:id="84"/>
      <w:r>
        <w:rPr>
          <w:highlight w:val="none"/>
        </w:rPr>
      </w:r>
      <w:bookmarkEnd w:id="85"/>
      <w:r>
        <w:rPr>
          <w:highlight w:val="none"/>
        </w:rPr>
      </w:r>
      <w:bookmarkEnd w:id="86"/>
      <w:r>
        <w:rPr>
          <w:rFonts w:hint="eastAsia" w:ascii="宋体" w:hAnsi="宋体" w:eastAsia="宋体"/>
          <w:bCs w:val="0"/>
          <w:color w:val="000000"/>
          <w:highlight w:val="none"/>
        </w:rPr>
        <w:t xml:space="preserve">证明响应标的符合征集文件规定的文件</w:t>
      </w:r>
      <w:r>
        <w:rPr>
          <w:highlight w:val="none"/>
        </w:rPr>
      </w:r>
      <w:r/>
    </w:p>
    <w:p>
      <w:pPr>
        <w:pStyle w:val="881"/>
        <w:ind w:firstLine="480"/>
        <w:spacing w:line="500" w:lineRule="exact"/>
        <w:rPr>
          <w:rFonts w:hint="eastAsia" w:ascii="宋体" w:hAnsi="宋体"/>
          <w:bCs/>
          <w:color w:val="000000"/>
          <w:sz w:val="24"/>
          <w:highlight w:val="none"/>
        </w:rPr>
      </w:pPr>
      <w:r>
        <w:rPr>
          <w:highlight w:val="none"/>
        </w:rPr>
      </w:r>
      <w:bookmarkEnd w:id="87"/>
      <w:r>
        <w:rPr>
          <w:highlight w:val="none"/>
        </w:rPr>
      </w:r>
      <w:bookmarkEnd w:id="88"/>
      <w:r>
        <w:rPr>
          <w:highlight w:val="none"/>
        </w:rPr>
      </w:r>
      <w:bookmarkEnd w:id="89"/>
      <w:r>
        <w:rPr>
          <w:highlight w:val="none"/>
        </w:rPr>
      </w:r>
      <w:bookmarkStart w:id="90" w:name="_Toc49090508"/>
      <w:r>
        <w:rPr>
          <w:highlight w:val="none"/>
        </w:rPr>
      </w:r>
      <w:bookmarkStart w:id="91" w:name="_Toc14577355"/>
      <w:r>
        <w:rPr>
          <w:rFonts w:hint="eastAsia" w:ascii="宋体" w:hAnsi="宋体"/>
          <w:bCs/>
          <w:color w:val="000000"/>
          <w:sz w:val="24"/>
          <w:highlight w:val="none"/>
        </w:rPr>
        <w:t xml:space="preserve">11.1供应商应按照法律法规、规章和规范性文件以及征集文件要求提交证明文件，证明其响应标的符合征集文件规定。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11.2征集文件对证明文件无明确形式要求的，证明文件可以以文字资料、图纸和数据等形式提交。</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92" w:name="_Toc14577359"/>
      <w:r>
        <w:rPr>
          <w:highlight w:val="none"/>
        </w:rPr>
      </w:r>
      <w:bookmarkStart w:id="93" w:name="_Toc49090510"/>
      <w:r>
        <w:rPr>
          <w:rFonts w:hint="eastAsia" w:ascii="宋体" w:hAnsi="宋体" w:eastAsia="宋体"/>
          <w:bCs w:val="0"/>
          <w:color w:val="000000"/>
          <w:highlight w:val="none"/>
        </w:rPr>
        <w:t xml:space="preserve">12.</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函、承诺书</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供应商应按照征集文件中提供的格式，完整、正确填写响应函、承诺书。</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End w:id="92"/>
      <w:r>
        <w:rPr>
          <w:highlight w:val="none"/>
        </w:rPr>
      </w:r>
      <w:bookmarkEnd w:id="93"/>
      <w:r>
        <w:rPr>
          <w:rFonts w:hint="eastAsia" w:ascii="宋体" w:hAnsi="宋体" w:eastAsia="宋体"/>
          <w:bCs w:val="0"/>
          <w:color w:val="000000"/>
          <w:highlight w:val="none"/>
        </w:rPr>
        <w:t xml:space="preserve">13.</w:t>
      </w:r>
      <w:bookmarkEnd w:id="90"/>
      <w:r>
        <w:rPr>
          <w:highlight w:val="none"/>
        </w:rPr>
      </w:r>
      <w:bookmarkEnd w:id="91"/>
      <w:r>
        <w:rPr>
          <w:rFonts w:hint="eastAsia" w:ascii="宋体" w:hAnsi="宋体" w:eastAsia="宋体"/>
          <w:bCs w:val="0"/>
          <w:color w:val="000000"/>
          <w:highlight w:val="none"/>
          <w:lang w:eastAsia="zh-CN"/>
        </w:rPr>
        <w:t xml:space="preserve">报价</w:t>
      </w:r>
      <w:r>
        <w:rPr>
          <w:rFonts w:hint="eastAsia" w:ascii="宋体" w:hAnsi="宋体" w:eastAsia="宋体"/>
          <w:bCs w:val="0"/>
          <w:color w:val="000000"/>
          <w:highlight w:val="none"/>
        </w:rPr>
        <w:t xml:space="preserve">一览表</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供应商应按照征集文件规定格式填报</w:t>
      </w:r>
      <w:bookmarkStart w:id="94" w:name="_Hlt26670399"/>
      <w:r>
        <w:rPr>
          <w:highlight w:val="none"/>
        </w:rPr>
      </w:r>
      <w:bookmarkEnd w:id="94"/>
      <w:r>
        <w:rPr>
          <w:rFonts w:hint="eastAsia" w:ascii="宋体" w:hAnsi="宋体"/>
          <w:color w:val="000000"/>
          <w:sz w:val="24"/>
          <w:highlight w:val="none"/>
        </w:rPr>
        <w:t xml:space="preserve">报价一览表。</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报价货币。响应文件中的单价和总价无特殊规定的采用人民币报价，以“元”为单位标注。</w:t>
      </w:r>
      <w:r>
        <w:rPr>
          <w:rFonts w:hint="eastAsia" w:ascii="宋体" w:hAnsi="宋体"/>
          <w:color w:val="000000"/>
          <w:sz w:val="24"/>
          <w:highlight w:val="none"/>
        </w:rPr>
        <w:t xml:space="preserve">征集文件中另有规定的按规定执行。</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95" w:name="_Hlt26670403"/>
      <w:r>
        <w:rPr>
          <w:highlight w:val="none"/>
        </w:rPr>
      </w:r>
      <w:bookmarkEnd w:id="95"/>
      <w:r>
        <w:rPr>
          <w:highlight w:val="none"/>
        </w:rPr>
      </w:r>
      <w:bookmarkStart w:id="96" w:name="_Hlt26668983"/>
      <w:r>
        <w:rPr>
          <w:highlight w:val="none"/>
        </w:rPr>
      </w:r>
      <w:bookmarkEnd w:id="96"/>
      <w:r>
        <w:rPr>
          <w:highlight w:val="none"/>
        </w:rPr>
      </w:r>
      <w:bookmarkStart w:id="97" w:name="_Hlt26954842"/>
      <w:r>
        <w:rPr>
          <w:highlight w:val="none"/>
        </w:rPr>
      </w:r>
      <w:bookmarkEnd w:id="97"/>
      <w:r>
        <w:rPr>
          <w:highlight w:val="none"/>
        </w:rPr>
      </w:r>
      <w:bookmarkStart w:id="98" w:name="_Hlt26670486"/>
      <w:r>
        <w:rPr>
          <w:highlight w:val="none"/>
        </w:rPr>
      </w:r>
      <w:bookmarkEnd w:id="98"/>
      <w:r>
        <w:rPr>
          <w:highlight w:val="none"/>
        </w:rPr>
      </w:r>
      <w:bookmarkStart w:id="99" w:name="_Hlt26670482"/>
      <w:r>
        <w:rPr>
          <w:highlight w:val="none"/>
        </w:rPr>
      </w:r>
      <w:bookmarkEnd w:id="99"/>
      <w:r>
        <w:rPr>
          <w:highlight w:val="none"/>
        </w:rPr>
      </w:r>
      <w:bookmarkStart w:id="100" w:name="_Hlt26954844"/>
      <w:r>
        <w:rPr>
          <w:highlight w:val="none"/>
        </w:rPr>
      </w:r>
      <w:bookmarkEnd w:id="100"/>
      <w:r>
        <w:rPr>
          <w:highlight w:val="none"/>
        </w:rPr>
      </w:r>
      <w:bookmarkStart w:id="101" w:name="_Hlt26954731"/>
      <w:r>
        <w:rPr>
          <w:highlight w:val="none"/>
        </w:rPr>
      </w:r>
      <w:bookmarkEnd w:id="101"/>
      <w:r>
        <w:rPr>
          <w:highlight w:val="none"/>
        </w:rPr>
      </w:r>
      <w:bookmarkStart w:id="102" w:name="_Hlt26670425"/>
      <w:r>
        <w:rPr>
          <w:highlight w:val="none"/>
        </w:rPr>
      </w:r>
      <w:bookmarkEnd w:id="102"/>
      <w:r>
        <w:rPr>
          <w:highlight w:val="none"/>
        </w:rPr>
      </w:r>
      <w:bookmarkStart w:id="103" w:name="_Hlt26954848"/>
      <w:r>
        <w:rPr>
          <w:highlight w:val="none"/>
        </w:rPr>
      </w:r>
      <w:bookmarkEnd w:id="103"/>
      <w:r>
        <w:rPr>
          <w:highlight w:val="none"/>
        </w:rPr>
      </w:r>
      <w:bookmarkStart w:id="104" w:name="_Hlt26954846"/>
      <w:r>
        <w:rPr>
          <w:highlight w:val="none"/>
        </w:rPr>
      </w:r>
      <w:bookmarkEnd w:id="104"/>
      <w:r>
        <w:rPr>
          <w:rFonts w:hint="eastAsia" w:ascii="宋体" w:hAnsi="宋体" w:eastAsia="宋体"/>
          <w:bCs w:val="0"/>
          <w:color w:val="000000"/>
          <w:highlight w:val="none"/>
        </w:rPr>
        <w:t xml:space="preserve">14.</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偏离表</w:t>
      </w:r>
      <w:r>
        <w:rPr>
          <w:highlight w:val="none"/>
        </w:rPr>
      </w:r>
      <w:r/>
    </w:p>
    <w:p>
      <w:pPr>
        <w:pStyle w:val="881"/>
        <w:ind w:firstLine="480"/>
        <w:spacing w:line="500" w:lineRule="exact"/>
        <w:tabs>
          <w:tab w:val="left" w:pos="1035" w:leader="none"/>
        </w:tabs>
        <w:rPr>
          <w:rFonts w:ascii="宋体" w:hAnsi="Arial" w:cs="宋体"/>
          <w:color w:val="000000"/>
          <w:sz w:val="24"/>
          <w:highlight w:val="none"/>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供应商可在响应文件中提供认为需要的其他技术文件或说明。</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05" w:name="_Hlt26954734"/>
      <w:r>
        <w:rPr>
          <w:highlight w:val="none"/>
        </w:rPr>
      </w:r>
      <w:bookmarkEnd w:id="105"/>
      <w:r>
        <w:rPr>
          <w:highlight w:val="none"/>
        </w:rPr>
      </w:r>
      <w:bookmarkStart w:id="106" w:name="_Hlt26670489"/>
      <w:r>
        <w:rPr>
          <w:highlight w:val="none"/>
        </w:rPr>
      </w:r>
      <w:bookmarkEnd w:id="106"/>
      <w:r>
        <w:rPr>
          <w:highlight w:val="none"/>
        </w:rPr>
      </w:r>
      <w:bookmarkStart w:id="107" w:name="_Hlt26954850"/>
      <w:r>
        <w:rPr>
          <w:highlight w:val="none"/>
        </w:rPr>
      </w:r>
      <w:bookmarkEnd w:id="107"/>
      <w:r>
        <w:rPr>
          <w:highlight w:val="none"/>
        </w:rPr>
      </w:r>
      <w:bookmarkStart w:id="108" w:name="_Toc49090511"/>
      <w:r>
        <w:rPr>
          <w:highlight w:val="none"/>
        </w:rPr>
      </w:r>
      <w:bookmarkStart w:id="109" w:name="_Toc14577360"/>
      <w:r>
        <w:rPr>
          <w:rFonts w:hint="eastAsia" w:ascii="宋体" w:hAnsi="宋体" w:eastAsia="宋体"/>
          <w:bCs w:val="0"/>
          <w:color w:val="000000"/>
          <w:highlight w:val="none"/>
        </w:rPr>
        <w:t xml:space="preserve">15.</w:t>
      </w:r>
      <w:r>
        <w:rPr>
          <w:rFonts w:hint="eastAsia" w:ascii="宋体" w:hAnsi="宋体" w:eastAsia="宋体"/>
          <w:bCs w:val="0"/>
          <w:color w:val="000000"/>
          <w:highlight w:val="none"/>
          <w:lang w:eastAsia="zh-CN"/>
        </w:rPr>
        <w:t xml:space="preserve">响应文件</w:t>
      </w:r>
      <w:r>
        <w:rPr>
          <w:rFonts w:hint="eastAsia" w:ascii="宋体" w:hAnsi="宋体" w:eastAsia="宋体"/>
          <w:bCs w:val="0"/>
          <w:color w:val="000000"/>
          <w:highlight w:val="none"/>
        </w:rPr>
        <w:t xml:space="preserve">有效期</w:t>
      </w:r>
      <w:bookmarkEnd w:id="108"/>
      <w:r>
        <w:rPr>
          <w:highlight w:val="none"/>
        </w:rPr>
      </w:r>
      <w:bookmarkEnd w:id="109"/>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15.1响应文件</w:t>
      </w:r>
      <w:r>
        <w:rPr>
          <w:rFonts w:hint="eastAsia" w:ascii="宋体" w:hAnsi="宋体"/>
          <w:bCs/>
          <w:color w:val="000000"/>
          <w:sz w:val="24"/>
          <w:highlight w:val="none"/>
        </w:rPr>
        <w:t xml:space="preserve">有效期为征集文件规定的提交响应文件截止之日后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。响应文件有效期比规定短的将被视为未实质性响应征集文件而予以拒绝。</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w:t>
      </w:r>
      <w:r>
        <w:rPr>
          <w:rFonts w:hint="eastAsia" w:ascii="宋体" w:hAnsi="宋体" w:eastAsia="宋体"/>
          <w:bCs w:val="0"/>
          <w:color w:val="000000"/>
          <w:highlight w:val="none"/>
          <w:lang w:eastAsia="zh-CN"/>
        </w:rPr>
        <w:t xml:space="preserve">响应文件</w:t>
      </w:r>
      <w:r>
        <w:rPr>
          <w:rFonts w:hint="eastAsia" w:ascii="宋体" w:hAnsi="宋体" w:eastAsia="宋体"/>
          <w:bCs w:val="0"/>
          <w:color w:val="000000"/>
          <w:highlight w:val="none"/>
        </w:rPr>
        <w:t xml:space="preserve">有效期的延长</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在特殊情况下，征集人于原响应文件有效期满之前，可向供应商提出延长响应文件有效期的要求。这种要求与答复均应采用书面形式。供应商可以拒绝这一要求而放弃征集活动</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同意延长响应文件有效期的供应商既不能要求也不允许修改其响应文件</w:t>
      </w:r>
      <w:r>
        <w:rPr>
          <w:rFonts w:hint="eastAsia" w:ascii="宋体" w:hAnsi="宋体"/>
          <w:color w:val="000000"/>
          <w:sz w:val="24"/>
          <w:szCs w:val="24"/>
          <w:highlight w:val="none"/>
        </w:rPr>
        <w:t xml:space="preserve">，同时受响应文件有效期约束的所有权利与义务均延长至新的有效期</w:t>
      </w:r>
      <w:r>
        <w:rPr>
          <w:rFonts w:hint="eastAsia" w:ascii="宋体" w:hAnsi="宋体"/>
          <w:bCs/>
          <w:color w:val="000000"/>
          <w:sz w:val="24"/>
          <w:highlight w:val="none"/>
        </w:rPr>
        <w:t xml:space="preserve">。</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110" w:name="_Hlt26954852"/>
      <w:r>
        <w:rPr>
          <w:highlight w:val="none"/>
        </w:rPr>
      </w:r>
      <w:bookmarkEnd w:id="110"/>
      <w:r>
        <w:rPr>
          <w:highlight w:val="none"/>
        </w:rPr>
      </w:r>
      <w:bookmarkStart w:id="111" w:name="_Hlt26954739"/>
      <w:r>
        <w:rPr>
          <w:highlight w:val="none"/>
        </w:rPr>
      </w:r>
      <w:bookmarkEnd w:id="111"/>
      <w:r>
        <w:rPr>
          <w:highlight w:val="none"/>
        </w:rPr>
      </w:r>
      <w:bookmarkStart w:id="112" w:name="_Toc513029224"/>
      <w:r>
        <w:rPr>
          <w:highlight w:val="none"/>
        </w:rPr>
      </w:r>
      <w:bookmarkStart w:id="113" w:name="_Toc120614217"/>
      <w:r>
        <w:rPr>
          <w:highlight w:val="none"/>
        </w:rPr>
      </w:r>
      <w:bookmarkStart w:id="114" w:name="_Toc20823296"/>
      <w:r>
        <w:rPr>
          <w:highlight w:val="none"/>
        </w:rPr>
      </w:r>
      <w:bookmarkStart w:id="115" w:name="_Toc16938540"/>
      <w:r>
        <w:rPr>
          <w:rFonts w:hint="eastAsia"/>
          <w:color w:val="000000"/>
          <w:sz w:val="30"/>
          <w:szCs w:val="30"/>
          <w:highlight w:val="none"/>
        </w:rPr>
        <w:t xml:space="preserve">四、</w:t>
      </w:r>
      <w:r>
        <w:rPr>
          <w:rFonts w:hint="eastAsia"/>
          <w:color w:val="000000"/>
          <w:sz w:val="30"/>
          <w:szCs w:val="30"/>
          <w:highlight w:val="none"/>
          <w:lang w:eastAsia="zh-CN"/>
        </w:rPr>
        <w:t xml:space="preserve">响应</w:t>
      </w:r>
      <w:r>
        <w:rPr>
          <w:rFonts w:hint="eastAsia"/>
          <w:color w:val="000000"/>
          <w:sz w:val="30"/>
          <w:szCs w:val="30"/>
          <w:highlight w:val="none"/>
        </w:rPr>
        <w:t xml:space="preserve">文件的递交</w:t>
      </w:r>
      <w:bookmarkEnd w:id="112"/>
      <w:r>
        <w:rPr>
          <w:highlight w:val="none"/>
        </w:rPr>
      </w:r>
      <w:bookmarkEnd w:id="113"/>
      <w:r>
        <w:rPr>
          <w:highlight w:val="none"/>
        </w:rPr>
      </w:r>
      <w:bookmarkEnd w:id="114"/>
      <w:r>
        <w:rPr>
          <w:highlight w:val="none"/>
        </w:rPr>
      </w:r>
      <w:bookmarkEnd w:id="115"/>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16" w:name="_Toc462564084"/>
      <w:r>
        <w:rPr>
          <w:highlight w:val="none"/>
        </w:rPr>
      </w:r>
      <w:bookmarkStart w:id="117" w:name="_Toc513029225"/>
      <w:r>
        <w:rPr>
          <w:highlight w:val="none"/>
        </w:rPr>
      </w:r>
      <w:bookmarkStart w:id="118" w:name="_Toc16938541"/>
      <w:r>
        <w:rPr>
          <w:highlight w:val="none"/>
        </w:rPr>
      </w:r>
      <w:bookmarkStart w:id="119" w:name="_Toc20823297"/>
      <w:r>
        <w:rPr>
          <w:rFonts w:hint="eastAsia" w:ascii="宋体" w:hAnsi="宋体" w:eastAsia="宋体"/>
          <w:bCs w:val="0"/>
          <w:color w:val="000000"/>
          <w:highlight w:val="none"/>
        </w:rPr>
        <w:t xml:space="preserve">17.</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文件</w:t>
      </w:r>
      <w:bookmarkEnd w:id="116"/>
      <w:r>
        <w:rPr>
          <w:highlight w:val="none"/>
        </w:rPr>
      </w:r>
      <w:bookmarkEnd w:id="117"/>
      <w:r>
        <w:rPr>
          <w:highlight w:val="none"/>
        </w:rPr>
      </w:r>
      <w:bookmarkEnd w:id="118"/>
      <w:r>
        <w:rPr>
          <w:highlight w:val="none"/>
        </w:rPr>
      </w:r>
      <w:bookmarkEnd w:id="119"/>
      <w:r>
        <w:rPr>
          <w:rFonts w:hint="eastAsia" w:ascii="宋体" w:hAnsi="宋体" w:eastAsia="宋体"/>
          <w:bCs w:val="0"/>
          <w:color w:val="000000"/>
          <w:highlight w:val="none"/>
        </w:rPr>
        <w:t xml:space="preserve">的递交</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电子响应文件的递交</w:t>
      </w:r>
      <w:r>
        <w:rPr>
          <w:highlight w:val="none"/>
        </w:rPr>
      </w:r>
      <w:r/>
    </w:p>
    <w:p>
      <w:pPr>
        <w:pStyle w:val="9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供应商应当按照《操作手册》规定，在提交响应文件截止时间前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并上传电子响应文件。</w:t>
      </w:r>
      <w:bookmarkStart w:id="120" w:name="_Toc16938542"/>
      <w:r>
        <w:rPr>
          <w:highlight w:val="none"/>
        </w:rPr>
      </w:r>
      <w:bookmarkStart w:id="121" w:name="_Toc513029226"/>
      <w:r>
        <w:rPr>
          <w:highlight w:val="none"/>
        </w:rPr>
      </w:r>
      <w:bookmarkStart w:id="122" w:name="_Toc20823298"/>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w:t>
      </w:r>
      <w:bookmarkEnd w:id="120"/>
      <w:r>
        <w:rPr>
          <w:highlight w:val="none"/>
        </w:rPr>
      </w:r>
      <w:bookmarkEnd w:id="121"/>
      <w:r>
        <w:rPr>
          <w:highlight w:val="none"/>
        </w:rPr>
      </w:r>
      <w:bookmarkEnd w:id="122"/>
      <w:r>
        <w:rPr>
          <w:rFonts w:hint="eastAsia" w:ascii="宋体" w:hAnsi="宋体" w:eastAsia="宋体"/>
          <w:bCs w:val="0"/>
          <w:color w:val="000000"/>
          <w:highlight w:val="none"/>
        </w:rPr>
        <w:t xml:space="preserve">提交响应文件截止时间</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供应商上传电子响应文件的时间不得迟于征集公告中规定的提交响应文件截止时间。</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供应商应充分考虑网络环境、网络带宽等风险因素，如因供应商自身原因造成的电子响应文件上传不成功的视作供应商未按照征集文件要求上传电子响应文件，作无效响应处理。</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征集人可以按照规定，通过更正公告修改提交响应文件截止时间，供应商的所有权利和义务以及供应商受制的截止时间均应以延长后新的截止时间为准。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23" w:name="_Toc513029227"/>
      <w:r>
        <w:rPr>
          <w:highlight w:val="none"/>
        </w:rPr>
      </w:r>
      <w:bookmarkStart w:id="124" w:name="_Toc20823299"/>
      <w:r>
        <w:rPr>
          <w:highlight w:val="none"/>
        </w:rPr>
      </w:r>
      <w:bookmarkStart w:id="125" w:name="_Toc16938543"/>
      <w:r>
        <w:rPr>
          <w:rFonts w:hint="eastAsia" w:ascii="宋体" w:hAnsi="宋体" w:eastAsia="宋体"/>
          <w:bCs w:val="0"/>
          <w:color w:val="000000"/>
          <w:highlight w:val="none"/>
        </w:rPr>
        <w:t xml:space="preserve">19.</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文件</w:t>
      </w:r>
      <w:bookmarkEnd w:id="123"/>
      <w:r>
        <w:rPr>
          <w:highlight w:val="none"/>
        </w:rPr>
      </w:r>
      <w:bookmarkEnd w:id="124"/>
      <w:r>
        <w:rPr>
          <w:highlight w:val="none"/>
        </w:rPr>
      </w:r>
      <w:bookmarkEnd w:id="125"/>
      <w:r>
        <w:rPr>
          <w:rFonts w:hint="eastAsia" w:ascii="宋体" w:hAnsi="宋体" w:eastAsia="宋体"/>
          <w:bCs w:val="0"/>
          <w:color w:val="000000"/>
          <w:highlight w:val="none"/>
        </w:rPr>
        <w:t xml:space="preserve">的拒收</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在规定的提交响应文件截止时间后上传的任何响应文件将被拒绝接收。</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26" w:name="_Toc513029228"/>
      <w:r>
        <w:rPr>
          <w:highlight w:val="none"/>
        </w:rPr>
      </w:r>
      <w:bookmarkStart w:id="127" w:name="_Toc16938544"/>
      <w:r>
        <w:rPr>
          <w:highlight w:val="none"/>
        </w:rPr>
      </w:r>
      <w:bookmarkStart w:id="128" w:name="_Toc20823300"/>
      <w:r>
        <w:rPr>
          <w:rFonts w:hint="eastAsia" w:ascii="宋体" w:hAnsi="宋体" w:eastAsia="宋体"/>
          <w:bCs w:val="0"/>
          <w:color w:val="000000"/>
          <w:highlight w:val="none"/>
        </w:rPr>
        <w:t xml:space="preserve">20.响应文件的撤回和修改</w:t>
      </w:r>
      <w:bookmarkEnd w:id="126"/>
      <w:r>
        <w:rPr>
          <w:highlight w:val="none"/>
        </w:rPr>
      </w:r>
      <w:bookmarkEnd w:id="127"/>
      <w:r>
        <w:rPr>
          <w:highlight w:val="none"/>
        </w:rPr>
      </w:r>
      <w:bookmarkEnd w:id="128"/>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20.1响应文件的撤回</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20.1.1电子响应文件的撤回</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供应商可在</w:t>
      </w:r>
      <w:r>
        <w:rPr>
          <w:rFonts w:hint="eastAsia" w:ascii="宋体" w:hAnsi="宋体"/>
          <w:bCs/>
          <w:color w:val="000000"/>
          <w:sz w:val="24"/>
          <w:highlight w:val="none"/>
        </w:rPr>
        <w:t xml:space="preserve">提交响应文件</w:t>
      </w:r>
      <w:r>
        <w:rPr>
          <w:rFonts w:hint="eastAsia" w:ascii="宋体" w:hAnsi="宋体"/>
          <w:color w:val="000000"/>
          <w:sz w:val="24"/>
          <w:highlight w:val="none"/>
        </w:rPr>
        <w:t xml:space="preserve">截止时间前，撤回其电子响应文件，具体操作方法见《操作手册》。</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供应商撤回电子响应文件，则认为其不再参与本项目征集活动。</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20.2响应文件的修改</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20.2.1供应商可在</w:t>
      </w:r>
      <w:r>
        <w:rPr>
          <w:rFonts w:hint="eastAsia" w:ascii="宋体" w:hAnsi="宋体"/>
          <w:bCs/>
          <w:color w:val="000000"/>
          <w:sz w:val="24"/>
          <w:highlight w:val="none"/>
        </w:rPr>
        <w:t xml:space="preserve">提交响应文件</w:t>
      </w:r>
      <w:r>
        <w:rPr>
          <w:rFonts w:hint="eastAsia" w:ascii="宋体" w:hAnsi="宋体"/>
          <w:color w:val="000000"/>
          <w:sz w:val="24"/>
          <w:highlight w:val="none"/>
        </w:rPr>
        <w:t xml:space="preserve">截止时间前，对其电子响应文件进行修改，具体操作方法见《操作手册》。</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在提交响应文件截止时间之后，供应商不得对其电子响应文件作任何修改。</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在提交响应文件截止时间至征集文件中规定的响应文件有效期满之间的这段时间内，供应商不得撤回其响应文件。</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129" w:name="_Toc513029229"/>
      <w:r>
        <w:rPr>
          <w:highlight w:val="none"/>
        </w:rPr>
      </w:r>
      <w:bookmarkStart w:id="130" w:name="_Toc16938545"/>
      <w:r>
        <w:rPr>
          <w:highlight w:val="none"/>
        </w:rPr>
      </w:r>
      <w:bookmarkStart w:id="131" w:name="_Toc120614218"/>
      <w:r>
        <w:rPr>
          <w:highlight w:val="none"/>
        </w:rPr>
      </w:r>
      <w:bookmarkStart w:id="132" w:name="_Toc20823301"/>
      <w:r>
        <w:rPr>
          <w:rFonts w:hint="eastAsia"/>
          <w:color w:val="000000"/>
          <w:sz w:val="30"/>
          <w:szCs w:val="30"/>
          <w:highlight w:val="none"/>
        </w:rPr>
        <w:t xml:space="preserve">五、</w:t>
      </w:r>
      <w:bookmarkEnd w:id="129"/>
      <w:r>
        <w:rPr>
          <w:highlight w:val="none"/>
        </w:rPr>
      </w:r>
      <w:bookmarkEnd w:id="130"/>
      <w:r>
        <w:rPr>
          <w:highlight w:val="none"/>
        </w:rPr>
      </w:r>
      <w:bookmarkEnd w:id="131"/>
      <w:r>
        <w:rPr>
          <w:highlight w:val="none"/>
        </w:rPr>
      </w:r>
      <w:bookmarkEnd w:id="132"/>
      <w:r>
        <w:rPr>
          <w:rFonts w:hint="eastAsia"/>
          <w:color w:val="000000"/>
          <w:sz w:val="30"/>
          <w:szCs w:val="30"/>
          <w:highlight w:val="none"/>
        </w:rPr>
        <w:t xml:space="preserve">响应文件的解密与评审</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33" w:name="_Toc16938546"/>
      <w:r>
        <w:rPr>
          <w:highlight w:val="none"/>
        </w:rPr>
      </w:r>
      <w:bookmarkStart w:id="134" w:name="_Toc20823302"/>
      <w:r>
        <w:rPr>
          <w:highlight w:val="none"/>
        </w:rPr>
      </w:r>
      <w:bookmarkStart w:id="135" w:name="_Toc513029230"/>
      <w:r>
        <w:rPr>
          <w:rFonts w:hint="eastAsia" w:ascii="宋体" w:hAnsi="宋体" w:eastAsia="宋体"/>
          <w:bCs w:val="0"/>
          <w:color w:val="000000"/>
          <w:highlight w:val="none"/>
        </w:rPr>
        <w:t xml:space="preserve">21.</w:t>
      </w:r>
      <w:bookmarkEnd w:id="133"/>
      <w:r>
        <w:rPr>
          <w:highlight w:val="none"/>
        </w:rPr>
      </w:r>
      <w:bookmarkEnd w:id="134"/>
      <w:r>
        <w:rPr>
          <w:highlight w:val="none"/>
        </w:rPr>
      </w:r>
      <w:bookmarkEnd w:id="135"/>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文件解密</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21.1供应商应当按照《操作手册》规定，在</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规定的时间内对响应文件进行解密。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36" w:name="_Toc16938547"/>
      <w:r>
        <w:rPr>
          <w:highlight w:val="none"/>
        </w:rPr>
      </w:r>
      <w:bookmarkStart w:id="137" w:name="_Toc20823303"/>
      <w:r>
        <w:rPr>
          <w:highlight w:val="none"/>
        </w:rPr>
      </w:r>
      <w:bookmarkStart w:id="138" w:name="_Toc513029231"/>
      <w:r>
        <w:rPr>
          <w:rFonts w:hint="eastAsia" w:ascii="宋体" w:hAnsi="宋体" w:eastAsia="宋体"/>
          <w:bCs w:val="0"/>
          <w:color w:val="000000"/>
          <w:highlight w:val="none"/>
        </w:rPr>
        <w:t xml:space="preserve">22.</w:t>
      </w:r>
      <w:r>
        <w:rPr>
          <w:rFonts w:hint="eastAsia" w:ascii="宋体" w:hAnsi="宋体" w:eastAsia="宋体"/>
          <w:bCs w:val="0"/>
          <w:color w:val="000000"/>
          <w:highlight w:val="none"/>
          <w:lang w:eastAsia="zh-CN"/>
        </w:rPr>
        <w:t xml:space="preserve">评审小组</w:t>
      </w:r>
      <w:r>
        <w:rPr>
          <w:highlight w:val="none"/>
        </w:rPr>
      </w:r>
      <w:r/>
    </w:p>
    <w:p>
      <w:pPr>
        <w:pStyle w:val="881"/>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22.1交易中心将组织评审小组对响应文件进行评审。评审小组依法组建，且人员构成符合政府采购有关规定。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22.2评审小组独立工作，负责对征集</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负责评审所有响应文件并确定入围供应商。如有争议最终由评审小组认定。</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w:t>
      </w:r>
      <w:r>
        <w:rPr>
          <w:rFonts w:hint="eastAsia" w:ascii="宋体" w:hAnsi="宋体" w:eastAsia="宋体"/>
          <w:bCs w:val="0"/>
          <w:color w:val="000000"/>
          <w:highlight w:val="none"/>
          <w:lang w:eastAsia="zh-CN"/>
        </w:rPr>
        <w:t xml:space="preserve">审</w:t>
      </w:r>
      <w:r>
        <w:rPr>
          <w:rFonts w:hint="eastAsia" w:ascii="宋体" w:hAnsi="宋体" w:eastAsia="宋体"/>
          <w:bCs w:val="0"/>
          <w:color w:val="000000"/>
          <w:highlight w:val="none"/>
        </w:rPr>
        <w:t xml:space="preserve">过程的保密与公正</w:t>
      </w:r>
      <w:r>
        <w:rPr>
          <w:highlight w:val="none"/>
        </w:rPr>
      </w:r>
      <w:r/>
    </w:p>
    <w:p>
      <w:pPr>
        <w:pStyle w:val="881"/>
        <w:ind w:firstLine="480"/>
        <w:spacing w:line="500" w:lineRule="exact"/>
        <w:rPr>
          <w:rFonts w:hint="eastAsia" w:ascii="宋体" w:hAnsi="宋体"/>
          <w:bCs/>
          <w:color w:val="000000"/>
          <w:sz w:val="24"/>
          <w:highlight w:val="none"/>
        </w:rPr>
      </w:pPr>
      <w:r>
        <w:rPr>
          <w:highlight w:val="none"/>
        </w:rPr>
      </w:r>
      <w:bookmarkEnd w:id="136"/>
      <w:r>
        <w:rPr>
          <w:highlight w:val="none"/>
        </w:rPr>
      </w:r>
      <w:bookmarkEnd w:id="137"/>
      <w:r>
        <w:rPr>
          <w:highlight w:val="none"/>
        </w:rPr>
      </w:r>
      <w:bookmarkEnd w:id="138"/>
      <w:r>
        <w:rPr>
          <w:rFonts w:hint="eastAsia" w:ascii="宋体" w:hAnsi="宋体"/>
          <w:bCs/>
          <w:color w:val="000000"/>
          <w:sz w:val="24"/>
          <w:highlight w:val="none"/>
        </w:rPr>
        <w:t xml:space="preserve">23.1评审小组、征集人和交易中心工作人员、相关监督人员等与评审工作有关的人员，对评审情况以及在评审过程中获悉的国家秘密、商业秘密负有保密责任。</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在评审过程中，供应商不得以任何行为影响评审过程，否则其响应文件将被作为无效响应文件。</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征集人、交易中心和评审小组不向未入围的供应商解释未入围原因，也不公布评审过程中的相关细节。</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39" w:name="_Toc20823304"/>
      <w:r>
        <w:rPr>
          <w:highlight w:val="none"/>
        </w:rPr>
      </w:r>
      <w:bookmarkStart w:id="140" w:name="_Toc513029232"/>
      <w:r>
        <w:rPr>
          <w:highlight w:val="none"/>
        </w:rPr>
      </w:r>
      <w:bookmarkStart w:id="141" w:name="_Toc16938548"/>
      <w:r>
        <w:rPr>
          <w:rFonts w:hint="eastAsia" w:ascii="宋体" w:hAnsi="宋体" w:eastAsia="宋体"/>
          <w:bCs w:val="0"/>
          <w:color w:val="000000"/>
          <w:highlight w:val="none"/>
        </w:rPr>
        <w:t xml:space="preserve">24.</w:t>
      </w:r>
      <w:r>
        <w:rPr>
          <w:rFonts w:hint="eastAsia" w:ascii="宋体" w:hAnsi="宋体" w:eastAsia="宋体"/>
          <w:bCs w:val="0"/>
          <w:color w:val="000000"/>
          <w:highlight w:val="none"/>
          <w:lang w:eastAsia="zh-CN"/>
        </w:rPr>
        <w:t xml:space="preserve">评审过程</w:t>
      </w:r>
      <w:r>
        <w:rPr>
          <w:rFonts w:hint="eastAsia" w:ascii="宋体" w:hAnsi="宋体" w:eastAsia="宋体"/>
          <w:bCs w:val="0"/>
          <w:color w:val="000000"/>
          <w:highlight w:val="none"/>
        </w:rPr>
        <w:t xml:space="preserve">中的澄清</w:t>
      </w:r>
      <w:bookmarkEnd w:id="139"/>
      <w:r>
        <w:rPr>
          <w:highlight w:val="none"/>
        </w:rPr>
      </w:r>
      <w:bookmarkEnd w:id="140"/>
      <w:r>
        <w:rPr>
          <w:highlight w:val="none"/>
        </w:rPr>
      </w:r>
      <w:bookmarkEnd w:id="141"/>
      <w:r>
        <w:rPr>
          <w:highlight w:val="none"/>
        </w:rPr>
      </w:r>
      <w:r/>
    </w:p>
    <w:p>
      <w:pPr>
        <w:pStyle w:val="881"/>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评审期间，评审小组对响应文件中含义不明确、同类问题表述不一致或者有明显文字和计算错误的内容，有权要求供应商作出必要的澄清、说明或者补正。</w:t>
      </w:r>
      <w:r>
        <w:rPr>
          <w:highlight w:val="none"/>
        </w:rPr>
      </w:r>
      <w:r/>
    </w:p>
    <w:p>
      <w:pPr>
        <w:pStyle w:val="8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供应商的澄清、说明或者补正不得超出响应文件的范围或者改变响应文件的实质性内容。</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24.2需要供应商进行澄清、说明和补正的，评审小组将通过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向供应商发出“澄清要求函”，接到“澄清要求函”的供应商应当按照要求在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中提交“澄清响应函”并加盖CA电子公章。澄清、说明和补正的内容作为响应文件的补充部分，具体操作方式见《操作手册》。</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24.3接到评审小组澄清、说明和补正要求的供应商如未按规定及时做出澄清、说明和补正，其风险由供应商自行承担。</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42" w:name="_Toc513029233"/>
      <w:r>
        <w:rPr>
          <w:highlight w:val="none"/>
        </w:rPr>
      </w:r>
      <w:bookmarkStart w:id="143" w:name="_Toc20823305"/>
      <w:r>
        <w:rPr>
          <w:highlight w:val="none"/>
        </w:rPr>
      </w:r>
      <w:bookmarkStart w:id="144" w:name="_Toc16938549"/>
      <w:r>
        <w:rPr>
          <w:rFonts w:hint="eastAsia" w:ascii="宋体" w:hAnsi="宋体" w:eastAsia="宋体"/>
          <w:bCs w:val="0"/>
          <w:color w:val="000000"/>
          <w:highlight w:val="none"/>
        </w:rPr>
        <w:t xml:space="preserve">25.评审程序</w:t>
      </w:r>
      <w:r>
        <w:rPr>
          <w:highlight w:val="none"/>
        </w:rPr>
      </w:r>
      <w:r/>
    </w:p>
    <w:p>
      <w:pPr>
        <w:pStyle w:val="881"/>
        <w:ind w:firstLine="480"/>
        <w:spacing w:line="500" w:lineRule="exact"/>
        <w:rPr>
          <w:rFonts w:hint="eastAsia" w:ascii="宋体" w:hAnsi="宋体"/>
          <w:color w:val="000000"/>
          <w:sz w:val="24"/>
          <w:highlight w:val="none"/>
        </w:rPr>
      </w:pPr>
      <w:r>
        <w:rPr>
          <w:highlight w:val="none"/>
        </w:rPr>
      </w:r>
      <w:bookmarkEnd w:id="142"/>
      <w:r>
        <w:rPr>
          <w:highlight w:val="none"/>
        </w:rPr>
      </w:r>
      <w:bookmarkEnd w:id="143"/>
      <w:r>
        <w:rPr>
          <w:highlight w:val="none"/>
        </w:rPr>
      </w:r>
      <w:bookmarkEnd w:id="144"/>
      <w:r>
        <w:rPr>
          <w:rFonts w:hint="eastAsia" w:ascii="宋体" w:hAnsi="宋体"/>
          <w:color w:val="000000"/>
          <w:sz w:val="24"/>
          <w:highlight w:val="none"/>
        </w:rPr>
        <w:t xml:space="preserve">25.1对响应文件的审查</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响应文件审查分为资格审查和符合性审查。</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25.1.1资格审查：依据法律法规和征集文件的规定，由评审小组对响应文件中的资格证明文件进行审查，以确定供应商是否具备参加征集活动的资格。</w:t>
      </w:r>
      <w:r>
        <w:rPr>
          <w:highlight w:val="none"/>
        </w:rPr>
      </w:r>
      <w:r/>
    </w:p>
    <w:p>
      <w:pPr>
        <w:pStyle w:val="881"/>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评审小组在进行资格审查的同时，将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查询供应商在提交响应文件截止时间之前，是否被列入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以确定供应商是否具备参加征集活动的资格。</w:t>
      </w:r>
      <w:r>
        <w:rPr>
          <w:rFonts w:hint="eastAsia" w:ascii="宋体" w:hAnsi="宋体" w:cs="宋体"/>
          <w:color w:val="000000"/>
          <w:sz w:val="24"/>
          <w:szCs w:val="24"/>
          <w:highlight w:val="none"/>
        </w:rPr>
        <w:t xml:space="preserve">查询结果以纸质形式打印后留存并归档。</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25.1.2符合性审查：依据征集文件的规定，由评审小组从响应文件的有效性、完整性和对征集文件的响应程度进行审查，以确定是否对征集文件的实质性要求作出响应。</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3未通过资格审查或符合性审查的供应商，将在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rPr>
        <w:t xml:space="preserve">审</w:t>
      </w:r>
      <w:r>
        <w:rPr>
          <w:rFonts w:ascii="宋体" w:hAnsi="宋体"/>
          <w:bCs/>
          <w:color w:val="000000"/>
          <w:sz w:val="24"/>
          <w:highlight w:val="none"/>
        </w:rPr>
        <w:t xml:space="preserve">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.2由评审小组审查每份响应文件是否实质性响应了征集文件的要求。实质性响应的响应文件应该是与征集文件要求的全部条款、条件和规格相符，没有重大偏离或保留。</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征集文件规定的实质性要求存在负偏离，或者在实质上与征集文件不一致，而且限制了协议中征集人的权利或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highlight w:val="none"/>
        </w:rPr>
      </w:r>
      <w:r/>
    </w:p>
    <w:p>
      <w:pPr>
        <w:pStyle w:val="8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.3如果响应文件实质上没有响应征集文件的要求，评审小组将予以拒绝，其响应文件无效，供应商不得通过修改或撤销不符合要求的偏离或保留而使其响应成为实质性响应。</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评审小组将对确定为实质性响应的响应文件进行进一步审核，确定其是否有计算上或累加上的算术错误，修正错误的原则如下：</w:t>
      </w:r>
      <w:r>
        <w:rPr>
          <w:highlight w:val="none"/>
        </w:rPr>
      </w:r>
      <w:r/>
    </w:p>
    <w:p>
      <w:pPr>
        <w:pStyle w:val="8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（1）响应文件中报价一览表内容与响应文件中相应内容不一致的，以报价一览表为准。</w:t>
      </w:r>
      <w:r>
        <w:rPr>
          <w:highlight w:val="none"/>
        </w:rPr>
      </w:r>
      <w:r/>
    </w:p>
    <w:p>
      <w:pPr>
        <w:pStyle w:val="8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highlight w:val="none"/>
        </w:rPr>
      </w:r>
      <w:r/>
    </w:p>
    <w:p>
      <w:pPr>
        <w:pStyle w:val="8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（3）单价金额小数点或者百分比有明显错位的，以报价一览表的总价（总数）为准，并修改单价。</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highlight w:val="none"/>
        </w:rPr>
      </w:r>
      <w:r/>
    </w:p>
    <w:p>
      <w:pPr>
        <w:pStyle w:val="8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评审小组将按上述修正错误的方法调整响应文件中的报价，并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告知供应商</w:t>
      </w:r>
      <w:r>
        <w:rPr>
          <w:rFonts w:ascii="宋体" w:hAnsi="宋体"/>
          <w:bCs/>
          <w:color w:val="000000"/>
          <w:sz w:val="24"/>
          <w:highlight w:val="none"/>
        </w:rPr>
        <w:t xml:space="preserve">，</w:t>
      </w:r>
      <w:r>
        <w:rPr>
          <w:rFonts w:hint="eastAsia" w:ascii="宋体" w:hAnsi="宋体"/>
          <w:bCs/>
          <w:color w:val="000000"/>
          <w:sz w:val="24"/>
          <w:highlight w:val="none"/>
        </w:rPr>
        <w:t xml:space="preserve">调整后的价格应对供应商具有约束力。如果供应商不确认或不接受修正后的价格，则其响应文件将被拒绝，其响应无效。</w:t>
      </w:r>
      <w:r>
        <w:rPr>
          <w:highlight w:val="none"/>
        </w:rPr>
      </w:r>
      <w:r/>
    </w:p>
    <w:p>
      <w:pPr>
        <w:pStyle w:val="881"/>
        <w:ind w:firstLine="420"/>
        <w:spacing w:line="500" w:lineRule="exact"/>
        <w:rPr>
          <w:rFonts w:hint="eastAsia" w:ascii="宋体" w:hAnsi="宋体"/>
          <w:color w:val="000000"/>
          <w:sz w:val="24"/>
          <w:highlight w:val="none"/>
        </w:rPr>
      </w:pPr>
      <w:r>
        <w:rPr>
          <w:highlight w:val="none"/>
        </w:rPr>
      </w:r>
      <w:bookmarkStart w:id="145" w:name="_Toc513029234"/>
      <w:r>
        <w:rPr>
          <w:highlight w:val="none"/>
        </w:rPr>
      </w:r>
      <w:bookmarkStart w:id="146" w:name="_Toc16938550"/>
      <w:r>
        <w:rPr>
          <w:highlight w:val="none"/>
        </w:rPr>
      </w:r>
      <w:bookmarkStart w:id="147" w:name="_Toc20823306"/>
      <w:r>
        <w:rPr>
          <w:rFonts w:hint="eastAsia" w:ascii="宋体" w:hAnsi="宋体"/>
          <w:color w:val="000000"/>
          <w:sz w:val="24"/>
          <w:highlight w:val="none"/>
        </w:rPr>
        <w:t xml:space="preserve">25.6供应商在评审全过程中应保持通信畅通，及时登录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并安排专人随时接受评审小组的相关询问。</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w:t>
      </w:r>
      <w:r>
        <w:rPr>
          <w:rFonts w:hint="eastAsia" w:ascii="宋体" w:hAnsi="宋体"/>
          <w:color w:val="000000"/>
          <w:sz w:val="24"/>
          <w:highlight w:val="none"/>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25.8供应商响应文件通过</w:t>
      </w:r>
      <w:r>
        <w:rPr>
          <w:rFonts w:hint="eastAsia" w:ascii="宋体" w:hAnsi="宋体"/>
          <w:bCs/>
          <w:color w:val="000000"/>
          <w:sz w:val="24"/>
          <w:highlight w:val="none"/>
        </w:rPr>
        <w:t xml:space="preserve">资格审查和符合性审查的，将根据本征集文件规定的</w:t>
      </w:r>
      <w:r>
        <w:rPr>
          <w:rFonts w:hint="eastAsia" w:ascii="宋体" w:hAnsi="宋体"/>
          <w:color w:val="000000"/>
          <w:sz w:val="24"/>
          <w:highlight w:val="none"/>
        </w:rPr>
        <w:t xml:space="preserve">评审方法与评审标准确定第一阶段入围供应商。第一阶段入围供应商的评审方法、评审标准、入围供应商的淘汰率以及入围供应商数量上限等内容详见第五章《评审方法与评审标准》。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45"/>
      <w:r>
        <w:rPr>
          <w:highlight w:val="none"/>
        </w:rPr>
      </w:r>
      <w:bookmarkEnd w:id="146"/>
      <w:r>
        <w:rPr>
          <w:highlight w:val="none"/>
        </w:rPr>
      </w:r>
      <w:bookmarkEnd w:id="147"/>
      <w:r>
        <w:rPr>
          <w:rFonts w:hint="eastAsia" w:ascii="宋体" w:hAnsi="宋体" w:eastAsia="宋体"/>
          <w:bCs w:val="0"/>
          <w:color w:val="000000"/>
          <w:highlight w:val="none"/>
        </w:rPr>
        <w:t xml:space="preserve">.响应文件无效情形和</w:t>
      </w:r>
      <w:r>
        <w:rPr>
          <w:rFonts w:hint="eastAsia" w:ascii="宋体" w:hAnsi="宋体" w:eastAsia="宋体"/>
          <w:bCs w:val="0"/>
          <w:color w:val="000000"/>
          <w:highlight w:val="none"/>
          <w:lang w:eastAsia="zh-CN"/>
        </w:rPr>
        <w:t xml:space="preserve">征集活动终止情形</w:t>
      </w:r>
      <w:r>
        <w:rPr>
          <w:highlight w:val="none"/>
        </w:rPr>
      </w:r>
      <w:r/>
    </w:p>
    <w:p>
      <w:pPr>
        <w:pStyle w:val="881"/>
        <w:ind w:left="479"/>
        <w:spacing w:line="500" w:lineRule="exact"/>
        <w:rPr>
          <w:rFonts w:hint="eastAsia" w:ascii="宋体" w:hAnsi="宋体"/>
          <w:bCs/>
          <w:color w:val="000000"/>
          <w:sz w:val="24"/>
          <w:highlight w:val="none"/>
        </w:rPr>
      </w:pPr>
      <w:r>
        <w:rPr>
          <w:highlight w:val="none"/>
        </w:rPr>
      </w:r>
      <w:bookmarkStart w:id="148" w:name="_Toc513029235"/>
      <w:r>
        <w:rPr>
          <w:highlight w:val="none"/>
        </w:rPr>
      </w:r>
      <w:bookmarkStart w:id="149" w:name="_Toc20823307"/>
      <w:r>
        <w:rPr>
          <w:highlight w:val="none"/>
        </w:rPr>
      </w:r>
      <w:bookmarkStart w:id="150" w:name="_Toc16938551"/>
      <w:r>
        <w:rPr>
          <w:rFonts w:hint="eastAsia" w:ascii="宋体" w:hAnsi="宋体"/>
          <w:bCs/>
          <w:color w:val="000000"/>
          <w:sz w:val="24"/>
          <w:highlight w:val="none"/>
        </w:rPr>
        <w:t xml:space="preserve">26.1响应文件无效情形</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26.1.2供应商在“苏采云”系统规定的时间内未成功解密电子响应文件的。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26.1.3供应商</w:t>
      </w:r>
      <w:r>
        <w:rPr>
          <w:rFonts w:hint="eastAsia" w:ascii="宋体" w:hAnsi="宋体"/>
          <w:bCs/>
          <w:color w:val="000000"/>
          <w:sz w:val="24"/>
          <w:highlight w:val="none"/>
        </w:rPr>
        <w:t xml:space="preserve">未按照征集文件要求上传电子响应文件、</w:t>
      </w:r>
      <w:r>
        <w:rPr>
          <w:rFonts w:hint="eastAsia" w:ascii="宋体" w:hAnsi="宋体"/>
          <w:bCs/>
          <w:color w:val="000000"/>
          <w:sz w:val="24"/>
          <w:szCs w:val="24"/>
          <w:highlight w:val="none"/>
        </w:rPr>
        <w:t xml:space="preserve">电子响应文件未按规定期限提交的，纸质响应文件（如有）未按规定的期限、地点送达的。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26.1.4供应商</w:t>
      </w:r>
      <w:r>
        <w:rPr>
          <w:rFonts w:hint="eastAsia" w:ascii="宋体" w:hAnsi="宋体"/>
          <w:bCs/>
          <w:color w:val="000000"/>
          <w:sz w:val="24"/>
          <w:highlight w:val="none"/>
        </w:rPr>
        <w:t xml:space="preserve">的</w:t>
      </w:r>
      <w:r>
        <w:rPr>
          <w:rFonts w:hint="eastAsia" w:ascii="宋体" w:hAnsi="宋体"/>
          <w:bCs/>
          <w:color w:val="000000"/>
          <w:sz w:val="24"/>
          <w:szCs w:val="24"/>
          <w:highlight w:val="none"/>
        </w:rPr>
        <w:t xml:space="preserve">电子响应文件未按征集文件要求签章的。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26.1.5供应商的被授权代表无授权委托书或授权委托日期晚于提交响应文件截止日期的。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26.1.6供应商不具备征集文件中规定的资格要求或未按征集文件规定的要求提供资格证明文件的。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w:t>
      </w:r>
      <w:r>
        <w:rPr>
          <w:rFonts w:hint="eastAsia" w:ascii="宋体" w:hAnsi="宋体"/>
          <w:bCs/>
          <w:color w:val="000000"/>
          <w:sz w:val="24"/>
          <w:szCs w:val="24"/>
          <w:highlight w:val="none"/>
        </w:rPr>
        <w:t xml:space="preserve">供应商</w:t>
      </w:r>
      <w:r>
        <w:rPr>
          <w:rFonts w:hint="eastAsia" w:ascii="宋体" w:hAnsi="宋体"/>
          <w:bCs/>
          <w:color w:val="000000"/>
          <w:sz w:val="24"/>
          <w:highlight w:val="none"/>
        </w:rPr>
        <w:t xml:space="preserve">提交了两种（含两种）以上不同报价的。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w:t>
      </w:r>
      <w:r>
        <w:rPr>
          <w:rFonts w:hint="eastAsia" w:ascii="宋体" w:hAnsi="宋体"/>
          <w:bCs/>
          <w:color w:val="000000"/>
          <w:sz w:val="24"/>
          <w:szCs w:val="24"/>
          <w:highlight w:val="none"/>
        </w:rPr>
        <w:t xml:space="preserve">供应商</w:t>
      </w:r>
      <w:r>
        <w:rPr>
          <w:rFonts w:hint="eastAsia" w:ascii="宋体" w:hAnsi="宋体"/>
          <w:color w:val="000000"/>
          <w:sz w:val="24"/>
          <w:szCs w:val="24"/>
          <w:highlight w:val="none"/>
        </w:rPr>
        <w:t xml:space="preserve">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后发现供应商存在其他不符合《中华人民共和国政府采购法》第二十二条规定条件的信用记录。</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26.1.9响应文件未按征集文件规定的内容和要求填写的。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26.1.10供应商报价超过本征集文件规定的最高限制单价的。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26.1.12响应文件含有征集人不能接受的附加条件的。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26.1.13电子响应文件图片、字迹模糊不清、无法辨认导致无法评审的。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26.1.14响应文件中有征集文件未允许提供的选择性内容。</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不同供应商委托同一单位或者个人办理征集活动事宜的。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不同供应商的单位负责人为同一人或者存在直接控股、管理关系的。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26.1.17不同供应商的响应文件的装订形式、纸张情况、目录序号、排版格式、文字风格等存在明显的相似性或一致性，特征显示由同一单位或者同一个人编制的。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26.1.18不同供应商响应文件内容存在非正常一致、项目组成员出现同一人、响应文件中错误（或异常）一致或雷同、电子文档信息一致或雷同的、报价呈规律性差异的。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26.1.19不同供应商的响应资料相互混装、不同供应商的委托代理人、项目负责人以及其他相关人员有在同一个单位缴纳社会保险、同一响应文件中单位名称落款与公章不是同一单位的。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26.1.22评审小组</w:t>
      </w:r>
      <w:r>
        <w:rPr>
          <w:rFonts w:hint="eastAsia" w:ascii="宋体" w:hAnsi="宋体"/>
          <w:color w:val="000000"/>
          <w:sz w:val="24"/>
          <w:highlight w:val="none"/>
        </w:rPr>
        <w:t xml:space="preserve">按照本征集文件规定对供应商进行异常低价投标（响应）审查后，认为供应商不能证明其报价合理性的。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26.1.23响应文件内容不全或不符合征集文件中规定的其他实质性要求和条件的。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的标书制作设备MAC地址一致或标书制作客户端唯一标识码一致的。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26.1.25其他法律法规及本征集文件规定的属于无效响应的情形。</w:t>
      </w:r>
      <w:r>
        <w:rPr>
          <w:highlight w:val="none"/>
        </w:rPr>
      </w:r>
      <w:r/>
    </w:p>
    <w:p>
      <w:pPr>
        <w:pStyle w:val="881"/>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26.2征集活动终止情形</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26.2.1在“苏采云”系统规定时间内成功解密电子响应文件的供应商不足2家的。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26.2.2</w:t>
      </w:r>
      <w:r>
        <w:rPr>
          <w:rFonts w:hint="eastAsia" w:ascii="宋体" w:hAnsi="宋体"/>
          <w:bCs/>
          <w:color w:val="000000"/>
          <w:sz w:val="24"/>
          <w:highlight w:val="none"/>
        </w:rPr>
        <w:t xml:space="preserve">出现影响采购公正的违法、违规行为的。</w:t>
      </w:r>
      <w:r>
        <w:rPr>
          <w:highlight w:val="none"/>
        </w:rPr>
      </w:r>
      <w:r/>
    </w:p>
    <w:p>
      <w:pPr>
        <w:pStyle w:val="881"/>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26.2.3在采购活动中因重大变故，采购任务取消的。</w:t>
      </w:r>
      <w:r>
        <w:rPr>
          <w:highlight w:val="none"/>
        </w:rPr>
      </w:r>
      <w:r/>
    </w:p>
    <w:p>
      <w:pPr>
        <w:pStyle w:val="881"/>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26.2.4因情况变化，不再符合规定的封闭式框架协议采购方式适用情形的。</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151" w:name="_Toc120614219"/>
      <w:r>
        <w:rPr>
          <w:rFonts w:hint="eastAsia"/>
          <w:color w:val="000000"/>
          <w:sz w:val="30"/>
          <w:szCs w:val="30"/>
          <w:highlight w:val="none"/>
        </w:rPr>
        <w:t xml:space="preserve">六、</w:t>
      </w:r>
      <w:bookmarkEnd w:id="148"/>
      <w:r>
        <w:rPr>
          <w:highlight w:val="none"/>
        </w:rPr>
      </w:r>
      <w:bookmarkEnd w:id="149"/>
      <w:r>
        <w:rPr>
          <w:highlight w:val="none"/>
        </w:rPr>
      </w:r>
      <w:bookmarkEnd w:id="150"/>
      <w:r>
        <w:rPr>
          <w:highlight w:val="none"/>
        </w:rPr>
      </w:r>
      <w:bookmarkEnd w:id="151"/>
      <w:r>
        <w:rPr>
          <w:rFonts w:hint="eastAsia"/>
          <w:color w:val="000000"/>
          <w:sz w:val="30"/>
          <w:szCs w:val="30"/>
          <w:highlight w:val="none"/>
        </w:rPr>
        <w:t xml:space="preserve">入围及成交</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52" w:name="_Toc20823310"/>
      <w:r>
        <w:rPr>
          <w:highlight w:val="none"/>
        </w:rPr>
      </w:r>
      <w:bookmarkStart w:id="153" w:name="_Toc16938554"/>
      <w:r>
        <w:rPr>
          <w:rFonts w:hint="eastAsia" w:ascii="宋体" w:hAnsi="宋体" w:eastAsia="宋体"/>
          <w:bCs w:val="0"/>
          <w:color w:val="000000"/>
          <w:highlight w:val="none"/>
        </w:rPr>
        <w:t xml:space="preserve">2</w:t>
      </w:r>
      <w:r>
        <w:rPr>
          <w:rFonts w:hint="eastAsia" w:ascii="宋体" w:hAnsi="宋体" w:eastAsia="宋体"/>
          <w:bCs w:val="0"/>
          <w:color w:val="000000"/>
          <w:highlight w:val="none"/>
          <w:lang w:eastAsia="zh-CN"/>
        </w:rPr>
        <w:t xml:space="preserve">7</w:t>
      </w:r>
      <w:r>
        <w:rPr>
          <w:rFonts w:hint="eastAsia" w:ascii="宋体" w:hAnsi="宋体" w:eastAsia="宋体"/>
          <w:bCs w:val="0"/>
          <w:color w:val="000000"/>
          <w:highlight w:val="none"/>
        </w:rPr>
        <w:t xml:space="preserve">.入围</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27.1评审小组对通过资格性检查和符合性检查的有效响应文件，根据征集文件规定的评审方法、评审标准确定入围供应商。征集人将在“江苏政府采购网”发布入围结果公告，公告期限为1个工作日。</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入围结果确定后，征集人将向入围供应商发出入围通知书。如通过“苏采云”系统进行发放的，请入围供应商在入围结果公告届满之日起30日内,使用CA数字证书登录“苏采云”系统及时下载入围通知书。因系统存储空间有限，自入围结果公告届满之日起30日后，“苏采云”系统不再保证提供下载入围通知书服务,因未及时下载而造成的不利后果由入围供应商自行承担。</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27.3入围通知书将是框架协议的一个组成部分。对征集人和入围供应商均具有法律效力。入围通知书发出后，入围供应商无正当理由，不得主动放弃入围资格或者退出框架协议，否则应当依法承担法律责任。</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27.4供应商电子响应文件将作为本项目征集活动的电子档案保存，电子档案与纸档案具有同等效力。</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27.5入围供应商在框架协议约定期限内，应当以不高于其报价的价格向适用框架协议的采购人或服务对象提供便捷、优质服务。</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27.6若有充分证据证明，入围供应商出现下列情况之一的，一经查实，将被取消入围资格：</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27.6.1</w:t>
      </w:r>
      <w:r>
        <w:rPr>
          <w:rFonts w:hint="eastAsia" w:ascii="宋体" w:hAnsi="宋体"/>
          <w:bCs/>
          <w:color w:val="000000"/>
          <w:sz w:val="24"/>
          <w:szCs w:val="24"/>
          <w:highlight w:val="none"/>
        </w:rPr>
        <w:t xml:space="preserve">提供虚假材料谋取入围或者合同成交的</w:t>
      </w:r>
      <w:r>
        <w:rPr>
          <w:rFonts w:hint="eastAsia" w:ascii="宋体" w:hAnsi="宋体"/>
          <w:bCs/>
          <w:color w:val="000000"/>
          <w:sz w:val="24"/>
          <w:highlight w:val="none"/>
        </w:rPr>
        <w:t xml:space="preserve">。</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27.6.2向征集人、交易中心行贿或者提供其他不正当利益的。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27.6.3属于本文件规定的无效响应条款的，但在评审过程中又未被评审小组发现的。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27.6.4与征集人或者其他供应商恶意串通的。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27.6.5采取不正当手段诋毁、排挤其他供应商的。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27.6.6在征集过程中与征集人进行协商谈判、不按照征集文件和入围供应商的响应文件订立框架协议，或者与征集人另行订立背离框架协议实质性内容的协议的。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27.6.7在框架协议约定期限内与采购人进行协商谈判、不按照框架协议订立合同的，或者与采购人另行订立背离框架协议实质性内容的合同的。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27.6.8拒绝有关部门监督检查或者提供虚假情况的。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27.7入围供应商的清退和补充规则</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27.7.1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27.7.2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w:t>
      </w:r>
      <w:r>
        <w:rPr>
          <w:rFonts w:hint="eastAsia" w:ascii="宋体" w:hAnsi="宋体" w:eastAsia="宋体"/>
          <w:bCs w:val="0"/>
          <w:color w:val="000000"/>
          <w:highlight w:val="none"/>
          <w:lang w:eastAsia="zh-CN"/>
        </w:rPr>
        <w:t xml:space="preserve">8</w:t>
      </w:r>
      <w:r>
        <w:rPr>
          <w:rFonts w:hint="eastAsia" w:ascii="宋体" w:hAnsi="宋体" w:eastAsia="宋体"/>
          <w:bCs w:val="0"/>
          <w:color w:val="000000"/>
          <w:highlight w:val="none"/>
        </w:rPr>
        <w:t xml:space="preserve">.成交</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28.1确定第二阶段成交供应商的方式为直接选定。由采购人从第一阶段入围供应商中直接选定。</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28.2第一阶段入围供应商的协议价格是采购人确定第二阶段成交供应商的最高限价。</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28.3采购人在确定成交供应商后，不得擅自改变框架协议约定的实质性条款。供应商履行合同后，依据采购合同的约定，与采购人进行费用结算。</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End w:id="152"/>
      <w:r>
        <w:rPr>
          <w:highlight w:val="none"/>
        </w:rPr>
      </w:r>
      <w:bookmarkEnd w:id="153"/>
      <w:r>
        <w:rPr>
          <w:highlight w:val="none"/>
        </w:rPr>
      </w:r>
      <w:bookmarkStart w:id="154" w:name="_Toc200451960"/>
      <w:r>
        <w:rPr>
          <w:rFonts w:hint="eastAsia" w:ascii="宋体" w:hAnsi="宋体" w:eastAsia="宋体"/>
          <w:bCs w:val="0"/>
          <w:color w:val="000000"/>
          <w:highlight w:val="none"/>
        </w:rPr>
        <w:t xml:space="preserve">2</w:t>
      </w:r>
      <w:r>
        <w:rPr>
          <w:rFonts w:hint="eastAsia" w:ascii="宋体" w:hAnsi="宋体" w:eastAsia="宋体"/>
          <w:bCs w:val="0"/>
          <w:color w:val="000000"/>
          <w:highlight w:val="none"/>
          <w:lang w:eastAsia="zh-CN"/>
        </w:rPr>
        <w:t xml:space="preserve">9</w:t>
      </w:r>
      <w:r>
        <w:rPr>
          <w:rFonts w:hint="eastAsia" w:ascii="宋体" w:hAnsi="宋体" w:eastAsia="宋体"/>
          <w:bCs w:val="0"/>
          <w:color w:val="000000"/>
          <w:highlight w:val="none"/>
        </w:rPr>
        <w:t xml:space="preserve">.质疑处理</w:t>
      </w:r>
      <w:bookmarkEnd w:id="154"/>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29.1 提出质疑的供应商应当是参与所</w:t>
      </w:r>
      <w:r>
        <w:rPr>
          <w:rFonts w:hint="eastAsia" w:ascii="宋体" w:hAnsi="宋体"/>
          <w:color w:val="000000"/>
          <w:sz w:val="24"/>
          <w:szCs w:val="24"/>
          <w:highlight w:val="none"/>
        </w:rPr>
        <w:t xml:space="preserve">质疑项目采购活动的供应商。潜在供应商依法获取其可质疑的征集文件的，可以对征集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供应商认为征集文件、采购过程和入围结果使自己的权益受到损害的，可以在知道或应知其权益受到损害之日起七个工作日内，以书面形式根据下述29.4条款的规定向征集人或集中采购机构提出质疑，供应商因未按该规定以相应事项向相应机构提出质疑从而造成质疑超出政府采购法定期限或其他情形导致质疑不予受理或无法受理的，由供应商自行承担。上述应知其权益受到损害之日，是指：</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29.2.1</w:t>
      </w:r>
      <w:r>
        <w:rPr>
          <w:rFonts w:ascii="宋体" w:hAnsi="宋体"/>
          <w:color w:val="000000"/>
          <w:sz w:val="24"/>
          <w:szCs w:val="24"/>
          <w:highlight w:val="none"/>
        </w:rPr>
        <w:t xml:space="preserve">对可以质疑的</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文件提出质疑的，为收到</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文件之日或者</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文件公告期限届满之日；</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29.2.2</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过程提出质疑的，为各采购程序环节结束之日；</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29.2.3</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入围</w:t>
      </w:r>
      <w:r>
        <w:rPr>
          <w:rFonts w:ascii="宋体" w:hAnsi="宋体"/>
          <w:color w:val="000000"/>
          <w:sz w:val="24"/>
          <w:szCs w:val="24"/>
          <w:highlight w:val="none"/>
        </w:rPr>
        <w:t xml:space="preserve">结果提出质疑的，为</w:t>
      </w:r>
      <w:r>
        <w:rPr>
          <w:rFonts w:hint="eastAsia" w:ascii="宋体" w:hAnsi="宋体"/>
          <w:color w:val="000000"/>
          <w:sz w:val="24"/>
          <w:szCs w:val="24"/>
          <w:highlight w:val="none"/>
        </w:rPr>
        <w:t xml:space="preserve">入围</w:t>
      </w:r>
      <w:r>
        <w:rPr>
          <w:rFonts w:ascii="宋体" w:hAnsi="宋体"/>
          <w:color w:val="000000"/>
          <w:sz w:val="24"/>
          <w:szCs w:val="24"/>
          <w:highlight w:val="none"/>
        </w:rPr>
        <w:t xml:space="preserve">结果公告期限届满之日。</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供应商如组成联合体参加采购活动，则《质疑函范本》中要求签字、盖章、加盖公章之处，联合体各方均须按要求签字、盖章、加盖公章。</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29.4供应商（含潜在供应商）对征集文件的质疑请向征集人提出，由征集人负责答复。</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供应商对采购过程和入围结果的质疑请向征集人提出，征集人若委托集中采购机构进行征集的，可向集中采购机构提出，由征集人配合进行答复。</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征集人、集中采购机构只接收以纸质原件形式送达的质疑，质疑供应商可通过面交或邮寄方式送达（征集人和集中采购机构不接受未填写快递运单的快件）。</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 以下情形的质疑不予受理</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29.5.1 内容不符合《政府采购质疑和投诉办法》第十二条规定的质疑。</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29.5.2 超出政府采购法定期限的质疑。</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29.5.3 以传真、电子邮件等方式递交的非原件形式的质疑。</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29.5.4未参加采购活动的供应商或在采购活动中自身权益未受到损害的供应商所提出的质疑。</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29.5.5供应商组成联合体参加采购活动，联合体中任何一方或多方未按要求签字、盖章、加盖公章的质疑。</w:t>
      </w:r>
      <w:r>
        <w:rPr>
          <w:highlight w:val="none"/>
        </w:rPr>
      </w:r>
      <w:r/>
    </w:p>
    <w:p>
      <w:pPr>
        <w:pStyle w:val="881"/>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一经查实，征集人、集中采购机构有权依据政府采购的有关规定，报请政府采购监管部门对该供应商进行相应的行政处罚和记录该供应商的失信信息。</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155" w:name="_Toc120614220"/>
      <w:r>
        <w:rPr>
          <w:highlight w:val="none"/>
        </w:rPr>
      </w:r>
      <w:bookmarkStart w:id="156" w:name="_Toc20823308"/>
      <w:r>
        <w:rPr>
          <w:highlight w:val="none"/>
        </w:rPr>
      </w:r>
      <w:bookmarkStart w:id="157" w:name="_Toc513029236"/>
      <w:r>
        <w:rPr>
          <w:highlight w:val="none"/>
        </w:rPr>
      </w:r>
      <w:bookmarkStart w:id="158" w:name="_Toc16938552"/>
      <w:r>
        <w:rPr>
          <w:rFonts w:hint="eastAsia"/>
          <w:color w:val="000000"/>
          <w:sz w:val="30"/>
          <w:szCs w:val="30"/>
          <w:highlight w:val="none"/>
        </w:rPr>
        <w:t xml:space="preserve">七、</w:t>
      </w:r>
      <w:bookmarkEnd w:id="155"/>
      <w:r>
        <w:rPr>
          <w:rFonts w:hint="eastAsia"/>
          <w:color w:val="000000"/>
          <w:sz w:val="30"/>
          <w:szCs w:val="30"/>
          <w:highlight w:val="none"/>
        </w:rPr>
        <w:t xml:space="preserve">其他事项</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End w:id="156"/>
      <w:r>
        <w:rPr>
          <w:highlight w:val="none"/>
        </w:rPr>
      </w:r>
      <w:bookmarkEnd w:id="157"/>
      <w:r>
        <w:rPr>
          <w:highlight w:val="none"/>
        </w:rPr>
      </w:r>
      <w:bookmarkEnd w:id="158"/>
      <w:r>
        <w:rPr>
          <w:highlight w:val="none"/>
        </w:rPr>
      </w:r>
      <w:bookmarkStart w:id="159" w:name="_Toc20823309"/>
      <w:r>
        <w:rPr>
          <w:highlight w:val="none"/>
        </w:rPr>
      </w:r>
      <w:bookmarkStart w:id="160" w:name="_Toc513029237"/>
      <w:r>
        <w:rPr>
          <w:highlight w:val="none"/>
        </w:rPr>
      </w:r>
      <w:bookmarkStart w:id="161" w:name="_Toc16938553"/>
      <w:r>
        <w:rPr>
          <w:rFonts w:hint="eastAsia" w:ascii="宋体" w:hAnsi="宋体" w:eastAsia="宋体"/>
          <w:bCs w:val="0"/>
          <w:color w:val="000000"/>
          <w:highlight w:val="none"/>
        </w:rPr>
        <w:t xml:space="preserve">3</w:t>
      </w:r>
      <w:r>
        <w:rPr>
          <w:rFonts w:hint="eastAsia" w:ascii="宋体" w:hAnsi="宋体" w:eastAsia="宋体"/>
          <w:bCs w:val="0"/>
          <w:color w:val="000000"/>
          <w:highlight w:val="none"/>
          <w:lang w:eastAsia="zh-CN"/>
        </w:rPr>
        <w:t xml:space="preserve">0</w:t>
      </w:r>
      <w:r>
        <w:rPr>
          <w:rFonts w:hint="eastAsia" w:ascii="宋体" w:hAnsi="宋体" w:eastAsia="宋体"/>
          <w:bCs w:val="0"/>
          <w:color w:val="000000"/>
          <w:highlight w:val="none"/>
        </w:rPr>
        <w:t xml:space="preserve">.框架协议的签订</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30.1征集人在入围通知书发出之日起三十日内和入围供应商签订框架协议，</w:t>
      </w:r>
      <w:r>
        <w:rPr>
          <w:rFonts w:hint="eastAsia" w:ascii="宋体" w:hAnsi="宋体"/>
          <w:bCs/>
          <w:color w:val="000000"/>
          <w:sz w:val="24"/>
          <w:highlight w:val="none"/>
        </w:rPr>
        <w:t xml:space="preserve">如通过“苏采云”系统进行框架协议签订的，</w:t>
      </w:r>
      <w:r>
        <w:rPr>
          <w:rFonts w:hint="eastAsia" w:ascii="宋体" w:hAnsi="宋体"/>
          <w:bCs/>
          <w:color w:val="000000"/>
          <w:sz w:val="24"/>
          <w:szCs w:val="24"/>
          <w:highlight w:val="none"/>
        </w:rPr>
        <w:t xml:space="preserve">入围供应商在收到或应当收到入围通知后</w:t>
      </w:r>
      <w:r>
        <w:rPr>
          <w:rFonts w:hint="eastAsia" w:ascii="宋体" w:hAnsi="宋体"/>
          <w:color w:val="000000"/>
          <w:sz w:val="24"/>
          <w:szCs w:val="24"/>
          <w:highlight w:val="none"/>
        </w:rPr>
        <w:t xml:space="preserve">需及时使用CA数字证书登录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完成电子框架协议的签订工作</w:t>
      </w:r>
      <w:r>
        <w:rPr>
          <w:rFonts w:hint="eastAsia" w:ascii="宋体" w:hAnsi="宋体"/>
          <w:bCs/>
          <w:color w:val="000000"/>
          <w:sz w:val="24"/>
          <w:szCs w:val="24"/>
          <w:highlight w:val="none"/>
        </w:rPr>
        <w:t xml:space="preserve">。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30.2征集文件、入围供应商的响应文件及评审过程中有关澄清、承诺文件均应作为框架协议的附件。</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30.4入围供应商非因不可抗力未履行征集文件、响应文件和合同规定的义务，一经查实，征集人将根据具体情况提请市政府采购监督管理部门作出相应处理。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w:t>
      </w:r>
      <w:r>
        <w:rPr>
          <w:rFonts w:hint="eastAsia" w:ascii="宋体" w:hAnsi="宋体" w:eastAsia="宋体"/>
          <w:bCs w:val="0"/>
          <w:color w:val="000000"/>
          <w:highlight w:val="none"/>
          <w:lang w:eastAsia="zh-CN"/>
        </w:rPr>
        <w:t xml:space="preserve">1</w:t>
      </w:r>
      <w:r>
        <w:rPr>
          <w:rFonts w:hint="eastAsia" w:ascii="宋体" w:hAnsi="宋体" w:eastAsia="宋体"/>
          <w:bCs w:val="0"/>
          <w:color w:val="000000"/>
          <w:highlight w:val="none"/>
        </w:rPr>
        <w:t xml:space="preserve">.用户反馈和评价机制</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31.1本项目征集人</w:t>
      </w:r>
      <w:r>
        <w:rPr>
          <w:rFonts w:ascii="宋体" w:hAnsi="宋体"/>
          <w:bCs/>
          <w:color w:val="000000"/>
          <w:sz w:val="24"/>
          <w:szCs w:val="24"/>
          <w:highlight w:val="none"/>
        </w:rPr>
        <w:t xml:space="preserve">建立</w:t>
      </w:r>
      <w:r>
        <w:rPr>
          <w:rFonts w:hint="eastAsia" w:ascii="宋体" w:hAnsi="宋体"/>
          <w:bCs/>
          <w:color w:val="000000"/>
          <w:sz w:val="24"/>
          <w:szCs w:val="24"/>
          <w:highlight w:val="none"/>
        </w:rPr>
        <w:t xml:space="preserve">用户反馈和评价机制，接受采购人和服务对象对入围供应商履行框架协议和采购合同情况的反馈与评价，并将用户反馈和评价情况向采购人和服务对象公开，作为第二阶段选定成交供应商的参考。</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w:t>
      </w:r>
      <w:r>
        <w:rPr>
          <w:rFonts w:hint="eastAsia" w:ascii="宋体" w:hAnsi="宋体" w:eastAsia="宋体"/>
          <w:bCs w:val="0"/>
          <w:color w:val="000000"/>
          <w:highlight w:val="none"/>
          <w:lang w:eastAsia="zh-CN"/>
        </w:rPr>
        <w:t xml:space="preserve">2</w:t>
      </w:r>
      <w:r>
        <w:rPr>
          <w:rFonts w:hint="eastAsia" w:ascii="宋体" w:hAnsi="宋体" w:eastAsia="宋体"/>
          <w:bCs w:val="0"/>
          <w:color w:val="000000"/>
          <w:highlight w:val="none"/>
        </w:rPr>
        <w:t xml:space="preserve">.其他</w:t>
      </w:r>
      <w:r>
        <w:rPr>
          <w:rFonts w:hint="eastAsia" w:ascii="宋体" w:hAnsi="宋体" w:eastAsia="宋体"/>
          <w:bCs w:val="0"/>
          <w:color w:val="000000"/>
          <w:highlight w:val="none"/>
          <w:lang w:eastAsia="zh-CN"/>
        </w:rPr>
        <w:t xml:space="preserve">未尽</w:t>
      </w:r>
      <w:r>
        <w:rPr>
          <w:rFonts w:hint="eastAsia" w:ascii="宋体" w:hAnsi="宋体" w:eastAsia="宋体"/>
          <w:bCs w:val="0"/>
          <w:color w:val="000000"/>
          <w:highlight w:val="none"/>
        </w:rPr>
        <w:t xml:space="preserve">事宜</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32.1关于本项目的报价要求、采购资金的支付方式、时间和条件、入围产品（服务）升级换代规则等详见本征集文件第三章《框架协议文本和采购合同文本》或第四章《采购需求》。</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32.2入围供应商须按照征集文件要求和框架协议约定接受采购人或者服务对象的合同授予，并履行政府采购合同。</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32.3省级以上财政部门规定的其他事项。</w:t>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highlight w:val="none"/>
        </w:rPr>
      </w:r>
      <w:bookmarkEnd w:id="159"/>
      <w:r>
        <w:rPr>
          <w:highlight w:val="none"/>
        </w:rPr>
      </w:r>
      <w:bookmarkEnd w:id="160"/>
      <w:r>
        <w:rPr>
          <w:highlight w:val="none"/>
        </w:rPr>
      </w:r>
      <w:bookmarkEnd w:id="161"/>
      <w:r>
        <w:rPr>
          <w:highlight w:val="none"/>
        </w:rPr>
      </w:r>
      <w:bookmarkStart w:id="162" w:name="_Toc20823314"/>
      <w:r>
        <w:rPr>
          <w:highlight w:val="none"/>
        </w:rPr>
      </w:r>
      <w:bookmarkStart w:id="163" w:name="_Toc120614221"/>
      <w:r>
        <w:rPr>
          <w:highlight w:val="none"/>
        </w:rPr>
      </w:r>
      <w:bookmarkStart w:id="164" w:name="_Toc16938558"/>
      <w:r>
        <w:rPr>
          <w:highlight w:val="none"/>
        </w:rPr>
      </w:r>
      <w:bookmarkStart w:id="165" w:name="_Toc513029242"/>
      <w:r>
        <w:rPr>
          <w:highlight w:val="none"/>
        </w:rPr>
      </w:r>
      <w:bookmarkStart w:id="166" w:name="_Toc479757207"/>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w:t>
      </w:r>
      <w:bookmarkEnd w:id="162"/>
      <w:r>
        <w:rPr>
          <w:highlight w:val="none"/>
        </w:rPr>
      </w:r>
      <w:bookmarkEnd w:id="163"/>
      <w:r>
        <w:rPr>
          <w:highlight w:val="none"/>
        </w:rPr>
      </w:r>
      <w:bookmarkEnd w:id="164"/>
      <w:r>
        <w:rPr>
          <w:highlight w:val="none"/>
        </w:rPr>
      </w:r>
      <w:bookmarkEnd w:id="165"/>
      <w:r>
        <w:rPr>
          <w:highlight w:val="none"/>
        </w:rPr>
      </w:r>
      <w:bookmarkEnd w:id="166"/>
      <w:r>
        <w:rPr>
          <w:rFonts w:hint="eastAsia" w:ascii="黑体" w:hAnsi="黑体" w:eastAsia="黑体"/>
          <w:color w:val="000000"/>
          <w:sz w:val="36"/>
          <w:szCs w:val="36"/>
          <w:highlight w:val="none"/>
        </w:rPr>
        <w:t xml:space="preserve">框架协议文本和采购合同文本</w:t>
      </w:r>
      <w:r>
        <w:rPr>
          <w:highlight w:val="none"/>
        </w:rPr>
      </w:r>
      <w:r/>
    </w:p>
    <w:p>
      <w:pPr>
        <w:pStyle w:val="881"/>
        <w:ind w:firstLine="602"/>
        <w:jc w:val="center"/>
        <w:spacing w:line="360" w:lineRule="auto"/>
        <w:rPr>
          <w:rFonts w:hint="eastAsia" w:ascii="宋体" w:hAnsi="宋体"/>
          <w:b/>
          <w:color w:val="000000"/>
          <w:sz w:val="30"/>
          <w:szCs w:val="30"/>
          <w:highlight w:val="none"/>
        </w:rPr>
      </w:pPr>
      <w:r>
        <w:rPr>
          <w:highlight w:val="none"/>
        </w:rPr>
      </w:r>
      <w:bookmarkStart w:id="167" w:name="_Toc513029243"/>
      <w:r>
        <w:rPr>
          <w:highlight w:val="none"/>
        </w:rPr>
      </w:r>
      <w:bookmarkStart w:id="168" w:name="_Toc16938559"/>
      <w:r>
        <w:rPr>
          <w:highlight w:val="none"/>
        </w:rPr>
      </w:r>
      <w:bookmarkStart w:id="169" w:name="_Toc20823315"/>
      <w:r>
        <w:rPr>
          <w:rFonts w:hint="eastAsia" w:ascii="宋体" w:hAnsi="宋体"/>
          <w:b/>
          <w:color w:val="000000"/>
          <w:sz w:val="30"/>
          <w:szCs w:val="30"/>
          <w:highlight w:val="none"/>
        </w:rPr>
        <w:t xml:space="preserve">第一部分  框架协议文本</w:t>
      </w:r>
      <w:r>
        <w:rPr>
          <w:highlight w:val="none"/>
        </w:rPr>
      </w:r>
      <w:r/>
    </w:p>
    <w:p>
      <w:pPr>
        <w:pStyle w:val="88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881"/>
        <w:jc w:val="center"/>
        <w:spacing w:line="360" w:lineRule="auto"/>
        <w:rPr>
          <w:rFonts w:ascii="宋体" w:hAnsi="宋体"/>
          <w:color w:val="000000"/>
          <w:sz w:val="28"/>
          <w:szCs w:val="28"/>
          <w:highlight w:val="none"/>
        </w:rPr>
      </w:pPr>
      <w:r>
        <w:rPr>
          <w:rFonts w:hint="eastAsia" w:ascii="宋体" w:hAnsi="宋体" w:eastAsia="宋体" w:cs="Times New Roman"/>
          <w:color w:val="000000"/>
          <w:sz w:val="24"/>
          <w:szCs w:val="24"/>
          <w:highlight w:val="none"/>
          <w:lang w:eastAsia="zh-CN"/>
        </w:rPr>
        <w:t xml:space="preserve">2027-2028年度无锡市市本级车辆维修和保养服务框架协议采购</w:t>
      </w:r>
      <w:r>
        <w:rPr>
          <w:highlight w:val="none"/>
        </w:rPr>
      </w:r>
      <w:r/>
    </w:p>
    <w:p>
      <w:pPr>
        <w:pStyle w:val="881"/>
        <w:jc w:val="cente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JSZC-320200-JZCG-K2026-0097：</w:t>
      </w:r>
      <w:r>
        <w:rPr>
          <w:highlight w:val="none"/>
        </w:rPr>
      </w:r>
      <w:r/>
    </w:p>
    <w:p>
      <w:pPr>
        <w:pStyle w:val="88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甲方：无锡市公共资源交易中心</w:t>
      </w:r>
      <w:r>
        <w:rPr>
          <w:highlight w:val="none"/>
        </w:rPr>
      </w:r>
      <w:r/>
    </w:p>
    <w:p>
      <w:pPr>
        <w:pStyle w:val="881"/>
        <w:ind w:left="4320" w:hanging="43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乙方（入围供应商）：</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根据</w:t>
      </w:r>
      <w:r>
        <w:rPr>
          <w:rFonts w:hint="eastAsia" w:ascii="宋体" w:hAnsi="宋体"/>
          <w:color w:val="000000"/>
          <w:sz w:val="24"/>
          <w:szCs w:val="24"/>
          <w:highlight w:val="none"/>
          <w:lang w:eastAsia="zh-CN"/>
        </w:rPr>
        <w:t xml:space="preserve">2027-2028年度无锡市市本级车辆维修和保养服务框架协议采购</w:t>
      </w:r>
      <w:r>
        <w:rPr>
          <w:rFonts w:hint="eastAsia" w:ascii="宋体" w:hAnsi="宋体"/>
          <w:color w:val="000000"/>
          <w:sz w:val="24"/>
          <w:szCs w:val="24"/>
          <w:highlight w:val="none"/>
        </w:rPr>
        <w:t xml:space="preserve">成交入围结果，甲、乙双方达成以下公务用车车辆维修和保养服务框架协议：</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第一条</w:t>
      </w:r>
      <w:r>
        <w:rPr>
          <w:rFonts w:hint="eastAsia" w:ascii="宋体" w:hAnsi="宋体"/>
          <w:color w:val="000000"/>
          <w:sz w:val="24"/>
          <w:szCs w:val="24"/>
          <w:highlight w:val="none"/>
        </w:rPr>
        <w:t xml:space="preserve">  维修服务范围：采购人（以下称“托修方”）是无锡市市本级的国家机关、事业单位和团体组织，使用财政性资金进行的公务用车（不含摩托车、新能源车）的维修和保养。</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第二条  </w:t>
      </w:r>
      <w:r>
        <w:rPr>
          <w:rFonts w:hint="eastAsia" w:ascii="宋体" w:hAnsi="宋体"/>
          <w:color w:val="000000"/>
          <w:sz w:val="24"/>
          <w:szCs w:val="24"/>
          <w:highlight w:val="none"/>
        </w:rPr>
        <w:t xml:space="preserve">维修服务项目：车辆的维修和保养服务，包括提供车辆整车修理、总成修理、二级维护、一级维护、车辆小修和车辆专项修理、二十四小时维修救援和其他《江苏省机动车维修结算工时定额与收费指南》（2014版）中规定的相关项目</w:t>
      </w:r>
      <w:r>
        <w:rPr>
          <w:rFonts w:hint="eastAsia" w:ascii="宋体" w:hAnsi="宋体"/>
          <w:bCs/>
          <w:color w:val="000000"/>
          <w:sz w:val="24"/>
          <w:szCs w:val="24"/>
          <w:highlight w:val="none"/>
        </w:rPr>
        <w:t xml:space="preserve">（如有最新版，则按最新版执行，下同，不再赘述）</w:t>
      </w:r>
      <w:r>
        <w:rPr>
          <w:rFonts w:hint="eastAsia" w:ascii="宋体" w:hAnsi="宋体"/>
          <w:color w:val="000000"/>
          <w:sz w:val="24"/>
          <w:szCs w:val="24"/>
          <w:highlight w:val="none"/>
        </w:rPr>
        <w:t xml:space="preserve">。</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第三条  </w:t>
      </w:r>
      <w:r>
        <w:rPr>
          <w:rFonts w:hint="eastAsia" w:ascii="宋体" w:hAnsi="宋体"/>
          <w:color w:val="000000"/>
          <w:sz w:val="24"/>
          <w:szCs w:val="24"/>
          <w:highlight w:val="none"/>
        </w:rPr>
        <w:t xml:space="preserve">自协议生效之日起，采购人可以在“苏采云”系统的“框架协议门户”菜单中进行框架协议采购。</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第四条  </w:t>
      </w:r>
      <w:r>
        <w:rPr>
          <w:rFonts w:hint="eastAsia" w:ascii="宋体" w:hAnsi="宋体"/>
          <w:color w:val="000000"/>
          <w:sz w:val="24"/>
          <w:szCs w:val="24"/>
          <w:highlight w:val="none"/>
        </w:rPr>
        <w:t xml:space="preserve">维修服务及质量要求：</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hint="eastAsia" w:ascii="宋体" w:hAnsi="宋体"/>
          <w:color w:val="000000"/>
          <w:sz w:val="24"/>
          <w:szCs w:val="24"/>
          <w:highlight w:val="none"/>
        </w:rPr>
        <w:t xml:space="preserve">服务流程及服务规范按</w:t>
      </w:r>
      <w:r>
        <w:rPr>
          <w:rFonts w:ascii="宋体" w:hAnsi="宋体" w:eastAsia="宋体" w:cs="宋体"/>
          <w:color w:val="000000"/>
          <w:sz w:val="24"/>
          <w:szCs w:val="24"/>
          <w:highlight w:val="none"/>
        </w:rPr>
        <w:t xml:space="preserve">《机动车维修服务规范》（JT/T 816—2021）</w:t>
      </w:r>
      <w:r>
        <w:rPr>
          <w:rFonts w:hint="eastAsia" w:ascii="宋体" w:hAnsi="宋体"/>
          <w:color w:val="000000"/>
          <w:sz w:val="24"/>
          <w:szCs w:val="24"/>
          <w:highlight w:val="none"/>
        </w:rPr>
        <w:t xml:space="preserve">执行；</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（二）维修企业须服从无锡市公共资源交易中心、公务用车主管部门、行业主管部门、政采监管部门的监督、管理；</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（三）维修企业应严格遵守中华人民共和国交通运输部令（2023年第14号）《机动车维修管理规定》和江苏省人民政府发布的《江苏省机动车维修管理条例》（2021年9月修正）中的相关规定；</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（四）所采用的零部件、配件等材料必须符合国家或部颁标准和行业标准以及汽车维修相关标准。必须有合法的进货渠道，不得使用不合格产品或假冒伪劣产品或以次充好等；</w:t>
      </w:r>
      <w:r>
        <w:rPr>
          <w:highlight w:val="none"/>
        </w:rPr>
      </w:r>
      <w:r/>
    </w:p>
    <w:p>
      <w:pPr>
        <w:pStyle w:val="881"/>
        <w:ind w:firstLine="480"/>
        <w:jc w:val="left"/>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（五）所有维修车辆出厂时必须达到《机动车运行安全技术条件》GB7258-2017等国家安全技术标准及车辆维修标准。框架协议期间如有新的《机动车运行安全技术条件》正式替代《机动车运行安全技术条件》 GB7258-2017的，则按最新《机动车运行安全技术条件》执行。</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第五条  </w:t>
      </w:r>
      <w:r>
        <w:rPr>
          <w:rFonts w:hint="eastAsia" w:ascii="宋体" w:hAnsi="宋体"/>
          <w:color w:val="000000"/>
          <w:sz w:val="24"/>
          <w:szCs w:val="24"/>
          <w:highlight w:val="none"/>
        </w:rPr>
        <w:t xml:space="preserve">维修费用及结算：</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（一）维修结算总费用=工时费用（工时单价×工时定额）＋材料费用[材料购进价格×（1＋材料进销差价率%）]。如有其他费用的均按《江苏省机动车维修结算工时定额与收费指南》（2014版）执行；</w:t>
      </w:r>
      <w:r>
        <w:rPr>
          <w:highlight w:val="none"/>
        </w:rPr>
      </w:r>
      <w:r/>
    </w:p>
    <w:p>
      <w:pPr>
        <w:pStyle w:val="881"/>
        <w:ind w:firstLine="5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（二）工时定额按《江苏省机动车维修结算工时定额与收费指南》（2014版）执行；</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（三）材料进销差率最高限定为30%，且不得高于4S 店报价以及同类型企业市场行情平均价格，汽车零配件材料实物、进价单、发票须一致。（注：进销差价限定为30%，不是平均差价为30%，是指某些零部件差价高于30%的，公务用车维修结算按不高于30%计算，零部件进销差价低于30%的，仍按市场行情计算）；</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（四）维修企业履行合同后，经用户验收合格并签字确认后，依据采购合同的约定与采购人进行费用结算；</w:t>
      </w:r>
      <w:r>
        <w:rPr>
          <w:highlight w:val="none"/>
        </w:rPr>
      </w:r>
      <w:r/>
    </w:p>
    <w:p>
      <w:pPr>
        <w:pStyle w:val="881"/>
        <w:ind w:firstLine="54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（五）维修结算清单格式</w:t>
      </w:r>
      <w:r>
        <w:rPr>
          <w:rFonts w:hint="eastAsia" w:ascii="宋体" w:hAnsi="宋体"/>
          <w:b/>
          <w:bCs/>
          <w:color w:val="000000"/>
          <w:sz w:val="24"/>
          <w:szCs w:val="24"/>
          <w:highlight w:val="none"/>
          <w:lang w:val="en-US" w:eastAsia="zh-CN"/>
        </w:rPr>
        <w:t xml:space="preserve">参照</w:t>
      </w:r>
      <w:r>
        <w:rPr>
          <w:rFonts w:hint="eastAsia" w:ascii="宋体" w:hAnsi="宋体"/>
          <w:b/>
          <w:bCs/>
          <w:color w:val="000000"/>
          <w:sz w:val="24"/>
          <w:szCs w:val="24"/>
          <w:highlight w:val="none"/>
        </w:rPr>
        <w:t xml:space="preserve">《机动车维修费用结算清单》（JT/T 1133</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2017）执行。</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第六条  </w:t>
      </w:r>
      <w:r>
        <w:rPr>
          <w:rFonts w:hint="eastAsia" w:ascii="宋体" w:hAnsi="宋体"/>
          <w:color w:val="000000"/>
          <w:sz w:val="24"/>
          <w:szCs w:val="24"/>
          <w:highlight w:val="none"/>
        </w:rPr>
        <w:t xml:space="preserve">甲方和托修方的权利：</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（一）托修方有权获得优先服务；</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（二）对已完工车辆，如发现不合格或与征集文件要求、响应文件承诺不符的，托修方有权要求乙方无偿返工，直至符合要求为止。因乙方原因给甲方或托修方造成损失的，由乙方赔偿相应经济损失；</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（三）甲方和托修方均有权向有关部门投诉乙方违约行为；</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（四）甲方有权对车辆维修质量进行监督和检查；</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（五）甲方有权联合相关管理部门对乙方的财务、维修记录、维修设备等情况进行定期、不定期检查，包括但不限于：</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1.乙方财务资料；</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2.询问当事人或者有关人员，并可以要求其提供证明材料和与维修行为有关的其他资料；</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3.查询、复制与维修行为有关的台账、单据、凭证、文件及其他资料，核对与维修行为有关的技术资料；</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4.在证据可能灭失或者以后难以取得的情况下，可以先行登记保存，乙方不得转移、隐匿或者销毁证据；</w:t>
      </w:r>
      <w:r>
        <w:rPr>
          <w:highlight w:val="none"/>
        </w:rPr>
      </w:r>
      <w:r/>
    </w:p>
    <w:p>
      <w:pPr>
        <w:pStyle w:val="88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5.委派第三方进行审计。</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（六）要求查询乙方所售配件的质量检验证书、产地、生产厂家的，乙方应如实提供有关资料和凭证；</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（七）甲方有权将本框架协议所有内容向托修方及社会予以公布，具体方式和方法由甲方确定；</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（八）甲方有权向托修方及社会公布乙方材料费、外加工费等相关的信息，内容包括不限于：材料进价、材料名称、材料规格型号、材料产地、材料生产厂家、适用车型等内容；</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（九）如乙方未能履行本协议规定的义务，甲方有权单方暂停或终止与乙方的框架协议；</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（十）对于托修方和乙方在车辆维修费结算过程中发生的经济纠纷，由托修方和乙方自行协商解决，甲方不承担任何责任。</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第七条  </w:t>
      </w:r>
      <w:r>
        <w:rPr>
          <w:rFonts w:hint="eastAsia" w:ascii="宋体" w:hAnsi="宋体"/>
          <w:color w:val="000000"/>
          <w:sz w:val="24"/>
          <w:szCs w:val="24"/>
          <w:highlight w:val="none"/>
        </w:rPr>
        <w:t xml:space="preserve">甲方的义务：</w:t>
      </w:r>
      <w:r>
        <w:rPr>
          <w:highlight w:val="none"/>
        </w:rPr>
      </w:r>
      <w:r/>
    </w:p>
    <w:p>
      <w:pPr>
        <w:pStyle w:val="881"/>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（一）为第二阶段合同授予提供工作便利；</w:t>
      </w:r>
      <w:r>
        <w:rPr>
          <w:highlight w:val="none"/>
        </w:rPr>
      </w:r>
      <w:r/>
    </w:p>
    <w:p>
      <w:pPr>
        <w:pStyle w:val="881"/>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（二）对第二阶段最高限价和需求标准执行情况进行管理；</w:t>
      </w:r>
      <w:r>
        <w:rPr>
          <w:highlight w:val="none"/>
        </w:rPr>
      </w:r>
      <w:r/>
    </w:p>
    <w:p>
      <w:pPr>
        <w:pStyle w:val="881"/>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（三）对第二阶段确定成交供应商情况进行管理；</w:t>
      </w:r>
      <w:r>
        <w:rPr>
          <w:highlight w:val="none"/>
        </w:rPr>
      </w:r>
      <w:r/>
    </w:p>
    <w:p>
      <w:pPr>
        <w:pStyle w:val="881"/>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（四）建立用户反馈和评价机制，接受采购人和服务对象对入围供应商履行框架协议和采购合同情况的反馈与评价，并将用户反馈和评价情况向采购人和服务对象公开，作为第二阶段直接选定成交供应商的参考；</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（五）第二阶段直接选定，采购人无需发布单笔公告，在框架协议有效期满后，按相关规定由系统汇总配合甲方完成汇总公告发布；</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（六）办理入围供应商清退和补充相关事宜。</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第八条  </w:t>
      </w:r>
      <w:r>
        <w:rPr>
          <w:rFonts w:hint="eastAsia" w:ascii="宋体" w:hAnsi="宋体"/>
          <w:color w:val="000000"/>
          <w:sz w:val="24"/>
          <w:szCs w:val="24"/>
          <w:highlight w:val="none"/>
        </w:rPr>
        <w:t xml:space="preserve">乙方的权利：</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（一）有权要求甲方督促托修方按时结清车辆维修费用；</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（二）有权拒绝甲方及托修方提出的除维修服务以外的要求；</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（三）有权向有关部门投诉甲方及托修方的违约行为；</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（四）乙方对于拖欠维修费用的托修方有权拒绝维修；</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（五）甲方同意乙方在本框架协议有效期限内以“2027-2028年度无锡市市本级车辆维修和保养服务框架协议入围供应商”的名义进行广告宣传。</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第九条  </w:t>
      </w:r>
      <w:r>
        <w:rPr>
          <w:rFonts w:hint="eastAsia" w:ascii="宋体" w:hAnsi="宋体"/>
          <w:color w:val="000000"/>
          <w:sz w:val="24"/>
          <w:szCs w:val="24"/>
          <w:highlight w:val="none"/>
        </w:rPr>
        <w:t xml:space="preserve">乙方的义务：</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（一）乙方应设有24小时应急电话，在接到托修方报修电话后2小时内予以响应；</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（二）向托修方公示收费项目、收费标准、服务承诺、甲方和</w:t>
      </w:r>
      <w:r>
        <w:rPr>
          <w:rFonts w:hint="eastAsia" w:ascii="宋体" w:hAnsi="宋体"/>
          <w:bCs/>
          <w:color w:val="000000"/>
          <w:sz w:val="24"/>
          <w:szCs w:val="24"/>
          <w:highlight w:val="none"/>
        </w:rPr>
        <w:t xml:space="preserve">政采监管部门</w:t>
      </w:r>
      <w:r>
        <w:rPr>
          <w:rFonts w:hint="eastAsia" w:ascii="宋体" w:hAnsi="宋体"/>
          <w:color w:val="000000"/>
          <w:sz w:val="24"/>
          <w:szCs w:val="24"/>
          <w:highlight w:val="none"/>
        </w:rPr>
        <w:t xml:space="preserve">的监督电话。向甲方和托修方公示零配件的价格，乙方不得在任何情况下加以拒绝，否则视为违约；</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（三）乙方须保证按时、按质、按量完成维修工作；维修质量须符合征集文件的相应要求及响应文件作出的相应承诺；</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（四）已竣工车辆，乙方应逐项填写“维修费用结算清单”，机动车维修费用由工时费用、材料费用及其他费用组成，结算时应当分项计算；</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（五）乙方应妥善保管托修方的送修车辆，不得出现丢失或损毁；</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（六）保存好所有的维修单据和资料，包括“维修费用结算清单”和维修记录的复印件（材料清单和工时清单）等与维修档案一并装订成册；</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（七）保证维修材料进价明细清单齐全，入库、出库单据账目清晰；</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（八）甲乙双方在业务合作来往过程中，均应遵守国家法律法规和廉洁自律规定，遵守行业管理有关规定，共同抵制商业贿赂和不正当竞争；</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（九）按服务承诺兑现各项服务措施；</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（十）在接待大厅，免费向甲方和托修方提供《江苏省机动车维修结算工时定额与收费指南》（2014版）查询服务，并有明确指示；</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（十一）不得拒绝甲方、公务用车主管部门、行业主管部门、政采监管部门的监督检查。</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第十条  </w:t>
      </w:r>
      <w:r>
        <w:rPr>
          <w:rFonts w:hint="eastAsia" w:ascii="宋体" w:hAnsi="宋体"/>
          <w:color w:val="000000"/>
          <w:sz w:val="24"/>
          <w:szCs w:val="24"/>
          <w:highlight w:val="none"/>
        </w:rPr>
        <w:t xml:space="preserve">违约责任：</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（一）乙方应按本框架协议规定或与托修方商定的维修项目和期限完成维修；</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（二）因维修质量、服务承诺未履行及其他乙方原因给甲方或托修方造成的损失，乙方应承担相应的赔偿责任；</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（三）对乙方非因不可抗力而造成的托修方车辆丢失、损坏等事故，乙方应承担相应赔偿责任；</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乙方接受托修方车辆维修委托后，不得擅自转厂维修，否则将追究相应责任并按相关管理措施要求进行处理。托修方自行提出转厂要求，或因乙方技术、设备等原因确实无法维修必须转厂的，承担厂亦应为本次框架协议采购的入围供应商。</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第十一条  </w:t>
      </w:r>
      <w:r>
        <w:rPr>
          <w:rFonts w:hint="eastAsia" w:ascii="宋体" w:hAnsi="宋体"/>
          <w:bCs/>
          <w:color w:val="000000"/>
          <w:sz w:val="24"/>
          <w:szCs w:val="24"/>
          <w:highlight w:val="none"/>
        </w:rPr>
        <w:t xml:space="preserve">履约管理要求：</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（一）</w:t>
      </w:r>
      <w:r>
        <w:rPr>
          <w:rFonts w:hint="eastAsia" w:ascii="宋体" w:hAnsi="宋体"/>
          <w:bCs/>
          <w:color w:val="000000"/>
          <w:sz w:val="24"/>
          <w:szCs w:val="24"/>
          <w:highlight w:val="none"/>
        </w:rPr>
        <w:t xml:space="preserve">管理形式：</w:t>
      </w:r>
      <w:r>
        <w:rPr>
          <w:rFonts w:hint="eastAsia" w:ascii="宋体" w:hAnsi="宋体" w:cs="宋体"/>
          <w:bCs/>
          <w:color w:val="000000"/>
          <w:sz w:val="24"/>
          <w:szCs w:val="24"/>
          <w:highlight w:val="none"/>
        </w:rPr>
        <w:t xml:space="preserve">无锡市公共资源交易中心按管理要求通过系统反馈的采购人评价、供应商违规预警提示信息、配合</w:t>
      </w:r>
      <w:r>
        <w:rPr>
          <w:rFonts w:hint="eastAsia" w:ascii="宋体" w:hAnsi="宋体"/>
          <w:bCs/>
          <w:color w:val="000000"/>
          <w:sz w:val="24"/>
          <w:szCs w:val="24"/>
          <w:highlight w:val="none"/>
        </w:rPr>
        <w:t xml:space="preserve">公务用车主管部门、行业主管部门、政采监管部门</w:t>
      </w:r>
      <w:r>
        <w:rPr>
          <w:rFonts w:hint="eastAsia" w:ascii="宋体" w:hAnsi="宋体" w:cs="宋体"/>
          <w:bCs/>
          <w:color w:val="000000"/>
          <w:sz w:val="24"/>
          <w:szCs w:val="24"/>
          <w:highlight w:val="none"/>
        </w:rPr>
        <w:t xml:space="preserve">进行满意度调查、随机抽查等方式，对框架协议入围供应商开展履约及售后服务进行监督。</w:t>
      </w:r>
      <w:r>
        <w:rPr>
          <w:rFonts w:hint="eastAsia" w:ascii="宋体" w:hAnsi="宋体"/>
          <w:color w:val="000000"/>
          <w:sz w:val="24"/>
          <w:szCs w:val="24"/>
          <w:highlight w:val="none"/>
        </w:rPr>
        <w:t xml:space="preserve">如检查后中心发现需对相关供应商进行整改、暂停交易资格、终止交易资格等</w:t>
      </w:r>
      <w:r>
        <w:rPr>
          <w:rFonts w:hint="eastAsia" w:ascii="宋体" w:hAnsi="宋体"/>
          <w:color w:val="000000"/>
          <w:sz w:val="24"/>
          <w:szCs w:val="24"/>
          <w:highlight w:val="none"/>
          <w:lang w:val="en-US" w:eastAsia="zh-CN"/>
        </w:rPr>
        <w:t xml:space="preserve">处理</w:t>
      </w:r>
      <w:r>
        <w:rPr>
          <w:rFonts w:hint="eastAsia" w:ascii="宋体" w:hAnsi="宋体"/>
          <w:color w:val="000000"/>
          <w:sz w:val="24"/>
          <w:szCs w:val="24"/>
          <w:highlight w:val="none"/>
        </w:rPr>
        <w:t xml:space="preserve">的，中心将在框架协议系统及无锡市公共资源交易中心官网曝光台公布相关情况。</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（二）</w:t>
      </w:r>
      <w:r>
        <w:rPr>
          <w:rFonts w:hint="eastAsia" w:ascii="宋体" w:hAnsi="宋体"/>
          <w:bCs/>
          <w:color w:val="000000"/>
          <w:sz w:val="24"/>
          <w:szCs w:val="24"/>
          <w:highlight w:val="none"/>
        </w:rPr>
        <w:t xml:space="preserve">管理措施：对履约监管中发现的不合格行为，按以下措施处理：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1.约谈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入围供应商在框架协议采购（第二阶段）出现下列情况，无锡市公共资源交易中心将对相应供应商进行约谈：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1.1入围供应商提供的服务不符合国家有关规定、响应承诺和框架协议规定；</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1.2无正当理由拒单或不按照承诺提供服务；</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1.3具体项目成交价高于其入围价格或服务承诺；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1.4使用不正当竞争手段，影响采购单位正常采购活动；</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1.5满意度调查中采购人反馈不满意，经核实确系供应商责任；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1.6其他违法违规行为。</w:t>
      </w:r>
      <w:r>
        <w:rPr>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出现上述情况时，无锡市公共资源交易中心将向相关供应商发“约谈通知书”，进行约谈并填写“约谈记录表”</w:t>
      </w:r>
      <w:r>
        <w:rPr>
          <w:rFonts w:hint="eastAsia" w:ascii="宋体" w:hAnsi="宋体"/>
          <w:bCs/>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并根据实际情况决定是否开具</w:t>
      </w:r>
      <w:r>
        <w:rPr>
          <w:rFonts w:hint="eastAsia" w:ascii="宋体" w:hAnsi="宋体"/>
          <w:color w:val="000000"/>
          <w:sz w:val="24"/>
          <w:szCs w:val="24"/>
          <w:highlight w:val="none"/>
        </w:rPr>
        <w:t xml:space="preserve">“责令整改通知书”。</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2.整改</w:t>
      </w:r>
      <w:r>
        <w:rPr>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2.1经约谈后，供应商仍存在以上违规行为的，无锡市公共资源交易中心开具“责令整改通知书”限定其在规定时间内完成整改（整改期限原则上为7日）</w:t>
      </w:r>
      <w:r>
        <w:rPr>
          <w:rFonts w:hint="eastAsia" w:ascii="宋体" w:hAnsi="宋体"/>
          <w:bCs/>
          <w:color w:val="000000"/>
          <w:sz w:val="24"/>
          <w:szCs w:val="24"/>
          <w:highlight w:val="none"/>
          <w:lang w:eastAsia="zh-CN"/>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2.2根据当期征集文件要求，被开具“责令整改通知书”的供应商，且供应商未提异议或异议不成立，将视作差评，记录在案</w:t>
      </w:r>
      <w:r>
        <w:rPr>
          <w:rFonts w:hint="eastAsia" w:ascii="宋体" w:hAnsi="宋体"/>
          <w:bCs/>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并在相应系统公示。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3.暂停交易资格</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3.1对出现下列情形的入围供应商，无锡市公共资源交易中心核实情况后暂停其框架协议交易资格三个月，并在框架协议系统公示：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（1）拒不接受公共资源交易中心约谈（通知三次仍无回应）。</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（2）未按“责令整改通知书”规定的时间完成整改和上报整改情况的供应商。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（3）整改结束后仍出现类似违法违规行为。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3.2对于暂停其框架协议交易资格期满后，仍出现类似违法违规行为的入围供应商，无锡市公共资源交易中心核实情况后暂停其框架协议交易资格六个月，并在框架协议系统公示。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4.终止交易资格</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存在财政部第110号令涉及的情形以及无正当理由放弃封闭式框架协议入围资格或者退出封闭式框架协议的，将取消其入围资格，解除与其签订的框架协议，同时报请市财政部门，列入供应商诚信档案，并依照相关法律、行政法规追究法律责任。</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
          <w:bCs/>
          <w:color w:val="000000"/>
          <w:sz w:val="24"/>
          <w:szCs w:val="24"/>
          <w:highlight w:val="none"/>
        </w:rPr>
        <w:t xml:space="preserve">第十二条  </w:t>
      </w:r>
      <w:r>
        <w:rPr>
          <w:rFonts w:hint="eastAsia" w:ascii="宋体" w:hAnsi="宋体"/>
          <w:bCs/>
          <w:color w:val="000000"/>
          <w:sz w:val="24"/>
          <w:szCs w:val="24"/>
          <w:highlight w:val="none"/>
        </w:rPr>
        <w:t xml:space="preserve">框架协议的修正和终止：</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（一）任何一方无正当理由不得擅自解除本框架协议，否则擅自解除框架协议的一方应向对方支付违约金；</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（二）经甲、乙双方一致同意，可以修正或依法终止本框架协议；</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三）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（四）乙方发生下列情况，甲方有权单方面依法终止本框架协议：</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1.乙方破产、解散、清算、停业以及其他原因无法为公务用车提供车辆维修服务的；</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2.乙方设施、设备、场地发生重大变化，无法满足车辆维修需要，由乙方递交情况说明并经相关部门确认的。</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
          <w:bCs/>
          <w:color w:val="000000"/>
          <w:sz w:val="24"/>
          <w:szCs w:val="24"/>
          <w:highlight w:val="none"/>
        </w:rPr>
        <w:t xml:space="preserve">第十三条  </w:t>
      </w:r>
      <w:r>
        <w:rPr>
          <w:rFonts w:hint="eastAsia" w:ascii="宋体" w:hAnsi="宋体"/>
          <w:bCs/>
          <w:color w:val="000000"/>
          <w:sz w:val="24"/>
          <w:szCs w:val="24"/>
          <w:highlight w:val="none"/>
        </w:rPr>
        <w:t xml:space="preserve">框架协议的期限：202</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月1日至202</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年12月31日（期间若江苏省省厅另有统一征集的，按省厅征集要求及结果执行）。</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
          <w:bCs/>
          <w:color w:val="000000"/>
          <w:sz w:val="24"/>
          <w:szCs w:val="24"/>
          <w:highlight w:val="none"/>
        </w:rPr>
        <w:t xml:space="preserve">第十四条  </w:t>
      </w:r>
      <w:r>
        <w:rPr>
          <w:rFonts w:hint="eastAsia" w:ascii="宋体" w:hAnsi="宋体"/>
          <w:bCs/>
          <w:color w:val="000000"/>
          <w:sz w:val="24"/>
          <w:szCs w:val="24"/>
          <w:highlight w:val="none"/>
        </w:rPr>
        <w:t xml:space="preserve">框架协议合同授予：确定第二阶段成交供应商应当由采购人或服务对象依据入围产品价格、质量以及服务便利性、用户评价等因素，从第一阶段入围供应商中直接选定。</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
          <w:bCs/>
          <w:color w:val="000000"/>
          <w:sz w:val="24"/>
          <w:szCs w:val="24"/>
          <w:highlight w:val="none"/>
        </w:rPr>
        <w:t xml:space="preserve">第十五条  </w:t>
      </w:r>
      <w:r>
        <w:rPr>
          <w:rFonts w:hint="eastAsia" w:ascii="宋体" w:hAnsi="宋体"/>
          <w:bCs/>
          <w:color w:val="000000"/>
          <w:sz w:val="24"/>
          <w:szCs w:val="24"/>
          <w:highlight w:val="none"/>
        </w:rPr>
        <w:t xml:space="preserve">入围供应商的清退和补充规则：</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一）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highlight w:val="none"/>
        </w:rPr>
      </w:r>
      <w:r/>
    </w:p>
    <w:p>
      <w:pPr>
        <w:pStyle w:val="881"/>
        <w:spacing w:line="400" w:lineRule="exact"/>
        <w:rPr>
          <w:rFonts w:hint="eastAsia" w:ascii="宋体" w:hAnsi="宋体"/>
          <w:bCs/>
          <w:i/>
          <w:color w:val="000000"/>
          <w:sz w:val="24"/>
          <w:highlight w:val="none"/>
        </w:rPr>
      </w:pPr>
      <w:r>
        <w:rPr>
          <w:rFonts w:hint="eastAsia" w:ascii="宋体" w:hAnsi="宋体"/>
          <w:bCs/>
          <w:color w:val="000000"/>
          <w:sz w:val="24"/>
          <w:szCs w:val="24"/>
          <w:highlight w:val="none"/>
        </w:rPr>
        <w:t xml:space="preserve">（二）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w:t>
      </w:r>
      <w:r>
        <w:rPr>
          <w:highlight w:val="none"/>
        </w:rPr>
      </w:r>
      <w:r/>
    </w:p>
    <w:p>
      <w:pPr>
        <w:pStyle w:val="88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88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88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881"/>
        <w:ind w:firstLine="480"/>
        <w:jc w:val="center"/>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第二部分  采购合同文本</w:t>
      </w:r>
      <w:r>
        <w:rPr>
          <w:highlight w:val="none"/>
        </w:rPr>
      </w:r>
      <w:r/>
    </w:p>
    <w:p>
      <w:pPr>
        <w:pStyle w:val="881"/>
        <w:ind w:firstLine="482"/>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本项目的采购合同文本即具有合同性质的凭单、订单。</w:t>
      </w:r>
      <w:r>
        <w:rPr>
          <w:highlight w:val="none"/>
        </w:rPr>
      </w:r>
      <w:r/>
    </w:p>
    <w:p>
      <w:pPr>
        <w:pStyle w:val="881"/>
        <w:ind w:firstLine="482"/>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政府采购公务用车维修委托单（格式）：</w:t>
      </w:r>
      <w:r>
        <w:rPr>
          <w:highlight w:val="none"/>
        </w:rPr>
      </w:r>
      <w:r/>
    </w:p>
    <w:p>
      <w:pPr>
        <w:pStyle w:val="881"/>
        <w:ind w:firstLine="643"/>
        <w:jc w:val="center"/>
        <w:spacing w:line="348" w:lineRule="auto"/>
        <w:rPr>
          <w:rFonts w:ascii="宋体" w:hAnsi="宋体"/>
          <w:b/>
          <w:color w:val="000000"/>
          <w:sz w:val="32"/>
          <w:szCs w:val="32"/>
          <w:highlight w:val="none"/>
        </w:rPr>
      </w:pPr>
      <w:r>
        <w:rPr>
          <w:rFonts w:hint="eastAsia" w:ascii="宋体" w:hAnsi="宋体"/>
          <w:b/>
          <w:color w:val="000000"/>
          <w:sz w:val="32"/>
          <w:szCs w:val="32"/>
          <w:highlight w:val="none"/>
        </w:rPr>
        <w:t xml:space="preserve">政府采购公务用车维修委托单</w:t>
      </w:r>
      <w:r>
        <w:rPr>
          <w:highlight w:val="none"/>
        </w:rPr>
      </w:r>
      <w:r/>
    </w:p>
    <w:p>
      <w:pPr>
        <w:pStyle w:val="881"/>
        <w:ind w:firstLine="480"/>
        <w:jc w:val="center"/>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(本委托单一式两份，托修方和承修方各一份)</w:t>
      </w:r>
      <w:r>
        <w:rPr>
          <w:highlight w:val="none"/>
        </w:rPr>
      </w:r>
      <w:r/>
    </w:p>
    <w:p>
      <w:pPr>
        <w:pStyle w:val="881"/>
        <w:ind w:firstLine="480"/>
        <w:jc w:val="center"/>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委托单编号：</w:t>
      </w:r>
      <w:r>
        <w:rPr>
          <w:highlight w:val="none"/>
        </w:rPr>
      </w:r>
      <w:r/>
    </w:p>
    <w:p>
      <w:pPr>
        <w:pStyle w:val="881"/>
        <w:ind w:firstLine="480"/>
        <w:jc w:val="center"/>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第一联：由托修方（采购人、需方）填写</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1"/>
        <w:gridCol w:w="375"/>
        <w:gridCol w:w="1778"/>
        <w:gridCol w:w="1456"/>
        <w:gridCol w:w="505"/>
        <w:gridCol w:w="2624"/>
      </w:tblGrid>
      <w:tr>
        <w:trPr/>
        <w:tc>
          <w:tcPr>
            <w:gridSpan w:val="2"/>
            <w:tcW w:w="3085"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t xml:space="preserve">承修方（维修单位、供方）</w:t>
            </w:r>
            <w:r>
              <w:rPr>
                <w:highlight w:val="none"/>
              </w:rPr>
            </w:r>
            <w:r/>
          </w:p>
        </w:tc>
        <w:tc>
          <w:tcPr>
            <w:gridSpan w:val="4"/>
            <w:tcW w:w="7052"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gridSpan w:val="2"/>
            <w:tcW w:w="3085"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车牌号码</w:t>
            </w:r>
            <w:r>
              <w:rPr>
                <w:highlight w:val="none"/>
              </w:rPr>
            </w:r>
            <w:r/>
          </w:p>
        </w:tc>
        <w:tc>
          <w:tcPr>
            <w:tcW w:w="1983"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1"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车辆型号</w:t>
            </w:r>
            <w:r>
              <w:rPr>
                <w:highlight w:val="none"/>
              </w:rPr>
            </w:r>
            <w:r/>
          </w:p>
        </w:tc>
        <w:tc>
          <w:tcPr>
            <w:gridSpan w:val="2"/>
            <w:tcW w:w="3508"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5011"/>
        </w:trPr>
        <w:tc>
          <w:tcPr>
            <w:gridSpan w:val="6"/>
            <w:tcW w:w="10137"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t xml:space="preserve">托修项目（或故障描述）：</w:t>
            </w:r>
            <w:r>
              <w:rPr>
                <w:highlight w:val="none"/>
              </w:rPr>
            </w:r>
            <w:r/>
          </w:p>
        </w:tc>
      </w:tr>
      <w:tr>
        <w:trPr/>
        <w:tc>
          <w:tcPr>
            <w:tcW w:w="2660"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托修方（采购人、需方）</w:t>
            </w:r>
            <w:r>
              <w:rPr>
                <w:highlight w:val="none"/>
              </w:rPr>
            </w:r>
            <w:r/>
          </w:p>
        </w:tc>
        <w:tc>
          <w:tcPr>
            <w:gridSpan w:val="2"/>
            <w:tcW w:w="2408"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gridSpan w:val="2"/>
            <w:tcW w:w="2128"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车辆管理负责人：</w:t>
            </w:r>
            <w:r>
              <w:rPr>
                <w:highlight w:val="none"/>
              </w:rPr>
            </w:r>
            <w:r/>
          </w:p>
        </w:tc>
        <w:tc>
          <w:tcPr>
            <w:tcW w:w="2941"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1943"/>
        </w:trPr>
        <w:tc>
          <w:tcPr>
            <w:gridSpan w:val="6"/>
            <w:tcW w:w="10137" w:type="dxa"/>
            <w:vAlign w:val="bottom"/>
            <w:textDirection w:val="lrTb"/>
            <w:noWrap w:val="false"/>
          </w:tcPr>
          <w:p>
            <w:pPr>
              <w:pStyle w:val="881"/>
              <w:jc w:val="right"/>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托修方（盖章）：        年  月  日</w:t>
            </w:r>
            <w:r>
              <w:rPr>
                <w:highlight w:val="none"/>
              </w:rPr>
            </w:r>
            <w:r/>
          </w:p>
        </w:tc>
      </w:tr>
    </w:tbl>
    <w:p>
      <w:pPr>
        <w:pStyle w:val="881"/>
        <w:ind w:firstLine="480"/>
        <w:spacing w:line="400" w:lineRule="exact"/>
        <w:rPr>
          <w:rFonts w:ascii="宋体" w:hAnsi="宋体"/>
          <w:bCs/>
          <w:color w:val="000000"/>
          <w:sz w:val="24"/>
          <w:highlight w:val="none"/>
        </w:rPr>
      </w:pPr>
      <w:r>
        <w:rPr>
          <w:rFonts w:ascii="宋体" w:hAnsi="宋体"/>
          <w:bCs/>
          <w:color w:val="000000"/>
          <w:sz w:val="24"/>
          <w:highlight w:val="none"/>
        </w:rPr>
      </w:r>
      <w:r>
        <w:rPr>
          <w:highlight w:val="none"/>
        </w:rPr>
      </w:r>
      <w:r/>
    </w:p>
    <w:p>
      <w:pPr>
        <w:pStyle w:val="881"/>
        <w:ind w:firstLine="480"/>
        <w:jc w:val="center"/>
        <w:spacing w:line="348" w:lineRule="auto"/>
        <w:rPr>
          <w:rFonts w:ascii="宋体" w:hAnsi="宋体"/>
          <w:color w:val="000000"/>
          <w:sz w:val="24"/>
          <w:szCs w:val="24"/>
          <w:highlight w:val="none"/>
        </w:rPr>
      </w:pPr>
      <w:r>
        <w:rPr>
          <w:rFonts w:ascii="宋体" w:hAnsi="宋体"/>
          <w:bCs/>
          <w:color w:val="000000"/>
          <w:sz w:val="24"/>
          <w:highlight w:val="none"/>
        </w:rPr>
        <w:br w:type="page" w:clear="all"/>
      </w:r>
      <w:r>
        <w:rPr>
          <w:rFonts w:hint="eastAsia" w:ascii="宋体" w:hAnsi="宋体"/>
          <w:color w:val="000000"/>
          <w:sz w:val="24"/>
          <w:szCs w:val="24"/>
          <w:highlight w:val="none"/>
        </w:rPr>
        <w:t xml:space="preserve">第二联：由承修方（维修单位、供方）填写</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19"/>
        <w:gridCol w:w="3051"/>
        <w:gridCol w:w="3099"/>
      </w:tblGrid>
      <w:tr>
        <w:trPr>
          <w:trHeight w:val="2190"/>
        </w:trPr>
        <w:tc>
          <w:tcPr>
            <w:gridSpan w:val="3"/>
            <w:tcW w:w="916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故障诊断、维修项目、作业内容：</w:t>
            </w:r>
            <w:r>
              <w:rPr>
                <w:highlight w:val="none"/>
              </w:rPr>
            </w:r>
            <w:r/>
          </w:p>
          <w:p>
            <w:pPr>
              <w:pStyle w:val="881"/>
              <w:spacing w:line="348"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881"/>
              <w:spacing w:line="348"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维修工期：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天</w:t>
            </w:r>
            <w:r>
              <w:rPr>
                <w:highlight w:val="none"/>
              </w:rPr>
            </w:r>
            <w:r/>
          </w:p>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检验员：</w:t>
            </w:r>
            <w:r>
              <w:rPr>
                <w:highlight w:val="none"/>
              </w:rPr>
            </w:r>
            <w:r/>
          </w:p>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承修方联络人及联系方式：</w:t>
            </w:r>
            <w:r>
              <w:rPr>
                <w:highlight w:val="none"/>
              </w:rPr>
            </w:r>
            <w:r/>
          </w:p>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维修费用一览见下表</w:t>
            </w:r>
            <w:r>
              <w:rPr>
                <w:highlight w:val="none"/>
              </w:rPr>
            </w:r>
            <w:r/>
          </w:p>
          <w:p>
            <w:pPr>
              <w:pStyle w:val="881"/>
              <w:jc w:val="right"/>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承修方（盖章）：           </w:t>
            </w:r>
            <w:r>
              <w:rPr>
                <w:highlight w:val="none"/>
              </w:rPr>
            </w:r>
            <w:r/>
          </w:p>
        </w:tc>
      </w:tr>
      <w:tr>
        <w:trPr/>
        <w:tc>
          <w:tcPr>
            <w:gridSpan w:val="3"/>
            <w:tcW w:w="9169" w:type="dxa"/>
            <w:vAlign w:val="top"/>
            <w:textDirection w:val="lrTb"/>
            <w:noWrap w:val="false"/>
          </w:tcPr>
          <w:p>
            <w:pPr>
              <w:pStyle w:val="881"/>
              <w:jc w:val="center"/>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维修费用一览</w:t>
            </w:r>
            <w:r>
              <w:rPr>
                <w:highlight w:val="none"/>
              </w:rPr>
            </w:r>
            <w:r/>
          </w:p>
        </w:tc>
      </w:tr>
      <w:tr>
        <w:trPr/>
        <w:tc>
          <w:tcPr>
            <w:tcW w:w="3019" w:type="dxa"/>
            <w:vAlign w:val="top"/>
            <w:textDirection w:val="lrTb"/>
            <w:noWrap w:val="false"/>
          </w:tcPr>
          <w:p>
            <w:pPr>
              <w:pStyle w:val="881"/>
              <w:jc w:val="center"/>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费用名称</w:t>
            </w:r>
            <w:r>
              <w:rPr>
                <w:highlight w:val="none"/>
              </w:rPr>
            </w:r>
            <w:r/>
          </w:p>
        </w:tc>
        <w:tc>
          <w:tcPr>
            <w:tcW w:w="3051" w:type="dxa"/>
            <w:vAlign w:val="top"/>
            <w:textDirection w:val="lrTb"/>
            <w:noWrap w:val="false"/>
          </w:tcPr>
          <w:p>
            <w:pPr>
              <w:pStyle w:val="881"/>
              <w:jc w:val="center"/>
              <w:spacing w:line="348" w:lineRule="auto"/>
              <w:rPr>
                <w:rFonts w:ascii="宋体" w:hAnsi="宋体"/>
                <w:b/>
                <w:color w:val="000000"/>
                <w:sz w:val="24"/>
                <w:szCs w:val="24"/>
                <w:highlight w:val="none"/>
              </w:rPr>
            </w:pPr>
            <w:r>
              <w:rPr>
                <w:rFonts w:ascii="宋体" w:hAnsi="宋体"/>
                <w:b/>
                <w:color w:val="000000"/>
                <w:sz w:val="24"/>
                <w:szCs w:val="24"/>
                <w:highlight w:val="none"/>
              </w:rPr>
              <w:t xml:space="preserve">金额（元）</w:t>
            </w:r>
            <w:r>
              <w:rPr>
                <w:highlight w:val="none"/>
              </w:rPr>
            </w:r>
            <w:r/>
          </w:p>
        </w:tc>
        <w:tc>
          <w:tcPr>
            <w:tcW w:w="3099" w:type="dxa"/>
            <w:vAlign w:val="top"/>
            <w:textDirection w:val="lrTb"/>
            <w:noWrap w:val="false"/>
          </w:tcPr>
          <w:p>
            <w:pPr>
              <w:pStyle w:val="881"/>
              <w:jc w:val="center"/>
              <w:spacing w:line="348" w:lineRule="auto"/>
              <w:rPr>
                <w:rFonts w:ascii="宋体" w:hAnsi="宋体"/>
                <w:b/>
                <w:color w:val="000000"/>
                <w:sz w:val="24"/>
                <w:szCs w:val="24"/>
                <w:highlight w:val="none"/>
              </w:rPr>
            </w:pPr>
            <w:r>
              <w:rPr>
                <w:rFonts w:ascii="宋体" w:hAnsi="宋体"/>
                <w:b/>
                <w:color w:val="000000"/>
                <w:sz w:val="24"/>
                <w:szCs w:val="24"/>
                <w:highlight w:val="none"/>
              </w:rPr>
              <w:t xml:space="preserve">备注</w:t>
            </w:r>
            <w:r>
              <w:rPr>
                <w:highlight w:val="none"/>
              </w:rPr>
            </w:r>
            <w:r/>
          </w:p>
        </w:tc>
      </w:tr>
      <w:tr>
        <w:trPr/>
        <w:tc>
          <w:tcPr>
            <w:tcW w:w="301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工时费用</w:t>
            </w:r>
            <w:r>
              <w:rPr>
                <w:highlight w:val="none"/>
              </w:rPr>
            </w:r>
            <w:r/>
          </w:p>
        </w:tc>
        <w:tc>
          <w:tcPr>
            <w:tcW w:w="3051"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99" w:type="dxa"/>
            <w:vAlign w:val="top"/>
            <w:textDirection w:val="lrTb"/>
            <w:noWrap w:val="false"/>
          </w:tcPr>
          <w:p>
            <w:pPr>
              <w:pStyle w:val="881"/>
              <w:spacing w:line="348" w:lineRule="auto"/>
              <w:rPr>
                <w:rFonts w:hint="eastAsia" w:ascii="宋体" w:hAnsi="宋体" w:eastAsia="宋体"/>
                <w:color w:val="000000"/>
                <w:sz w:val="24"/>
                <w:szCs w:val="24"/>
                <w:highlight w:val="none"/>
              </w:rPr>
            </w:pPr>
            <w:r>
              <w:rPr>
                <w:rFonts w:ascii="宋体" w:hAnsi="宋体"/>
                <w:color w:val="000000"/>
                <w:sz w:val="24"/>
                <w:szCs w:val="24"/>
                <w:highlight w:val="none"/>
              </w:rPr>
              <w:t xml:space="preserve">工时单价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lang w:eastAsia="zh-CN"/>
              </w:rPr>
              <w:t xml:space="preserve">元 /(人・时)</w:t>
            </w:r>
            <w:r>
              <w:rPr>
                <w:highlight w:val="none"/>
              </w:rPr>
            </w:r>
            <w:r/>
          </w:p>
        </w:tc>
      </w:tr>
      <w:tr>
        <w:trPr/>
        <w:tc>
          <w:tcPr>
            <w:tcW w:w="301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材料费用</w:t>
            </w:r>
            <w:r>
              <w:rPr>
                <w:highlight w:val="none"/>
              </w:rPr>
            </w:r>
            <w:r/>
          </w:p>
        </w:tc>
        <w:tc>
          <w:tcPr>
            <w:tcW w:w="3051"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99"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t xml:space="preserve">材料进销差价率</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highlight w:val="none"/>
              </w:rPr>
            </w:r>
            <w:r/>
          </w:p>
        </w:tc>
      </w:tr>
      <w:tr>
        <w:trPr/>
        <w:tc>
          <w:tcPr>
            <w:tcW w:w="301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其他费用（如有）</w:t>
            </w:r>
            <w:r>
              <w:rPr>
                <w:highlight w:val="none"/>
              </w:rPr>
            </w:r>
            <w:r/>
          </w:p>
        </w:tc>
        <w:tc>
          <w:tcPr>
            <w:tcW w:w="3051"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99"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3019" w:type="dxa"/>
            <w:vAlign w:val="top"/>
            <w:textDirection w:val="lrTb"/>
            <w:noWrap w:val="false"/>
          </w:tcPr>
          <w:p>
            <w:pPr>
              <w:pStyle w:val="881"/>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维修费用合计</w:t>
            </w:r>
            <w:r>
              <w:rPr>
                <w:highlight w:val="none"/>
              </w:rPr>
            </w:r>
            <w:r/>
          </w:p>
        </w:tc>
        <w:tc>
          <w:tcPr>
            <w:tcW w:w="3051"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r>
            <w:r>
              <w:rPr>
                <w:highlight w:val="none"/>
              </w:rPr>
            </w:r>
            <w:r/>
          </w:p>
        </w:tc>
        <w:tc>
          <w:tcPr>
            <w:tcW w:w="3099"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r>
            <w:r>
              <w:rPr>
                <w:highlight w:val="none"/>
              </w:rPr>
            </w:r>
            <w:r/>
          </w:p>
        </w:tc>
      </w:tr>
      <w:tr>
        <w:trPr/>
        <w:tc>
          <w:tcPr>
            <w:tcW w:w="3019"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t xml:space="preserve">折扣</w:t>
            </w:r>
            <w:r>
              <w:rPr>
                <w:highlight w:val="none"/>
              </w:rPr>
            </w:r>
            <w:r/>
          </w:p>
        </w:tc>
        <w:tc>
          <w:tcPr>
            <w:gridSpan w:val="2"/>
            <w:tcW w:w="6150"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r>
            <w:r>
              <w:rPr>
                <w:highlight w:val="none"/>
              </w:rPr>
            </w:r>
            <w:r/>
          </w:p>
        </w:tc>
      </w:tr>
      <w:tr>
        <w:trPr/>
        <w:tc>
          <w:tcPr>
            <w:gridSpan w:val="3"/>
            <w:tcW w:w="9169"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t xml:space="preserve">实收金额大写（元）</w:t>
            </w:r>
            <w:r>
              <w:rPr>
                <w:highlight w:val="none"/>
              </w:rPr>
            </w:r>
            <w:r/>
          </w:p>
        </w:tc>
      </w:tr>
      <w:tr>
        <w:trPr/>
        <w:tc>
          <w:tcPr>
            <w:gridSpan w:val="3"/>
            <w:tcW w:w="9169" w:type="dxa"/>
            <w:vAlign w:val="top"/>
            <w:textDirection w:val="lrTb"/>
            <w:noWrap w:val="false"/>
          </w:tcPr>
          <w:p>
            <w:pPr>
              <w:pStyle w:val="881"/>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注：</w:t>
            </w:r>
            <w:r>
              <w:rPr>
                <w:rFonts w:hint="eastAsia" w:ascii="宋体" w:hAnsi="宋体"/>
                <w:b/>
                <w:bCs/>
                <w:color w:val="000000"/>
                <w:sz w:val="24"/>
                <w:szCs w:val="24"/>
                <w:highlight w:val="none"/>
              </w:rPr>
              <w:t xml:space="preserve">维修结算清单格式</w:t>
            </w:r>
            <w:r>
              <w:rPr>
                <w:rFonts w:hint="eastAsia" w:ascii="宋体" w:hAnsi="宋体"/>
                <w:b/>
                <w:bCs/>
                <w:color w:val="000000"/>
                <w:sz w:val="24"/>
                <w:szCs w:val="24"/>
                <w:highlight w:val="none"/>
                <w:lang w:val="en-US" w:eastAsia="zh-CN"/>
              </w:rPr>
              <w:t xml:space="preserve">参照</w:t>
            </w:r>
            <w:r>
              <w:rPr>
                <w:rFonts w:hint="eastAsia" w:ascii="宋体" w:hAnsi="宋体"/>
                <w:b/>
                <w:bCs/>
                <w:color w:val="000000"/>
                <w:sz w:val="24"/>
                <w:szCs w:val="24"/>
                <w:highlight w:val="none"/>
              </w:rPr>
              <w:t xml:space="preserve">《机动车维修费用结算清单》（JT/T 1133</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2017）执行</w:t>
            </w:r>
            <w:r>
              <w:rPr>
                <w:rFonts w:hint="eastAsia" w:ascii="宋体" w:hAnsi="宋体"/>
                <w:b/>
                <w:color w:val="000000"/>
                <w:sz w:val="24"/>
                <w:szCs w:val="24"/>
                <w:highlight w:val="none"/>
              </w:rPr>
              <w:t xml:space="preserve">。</w:t>
            </w:r>
            <w:r>
              <w:rPr>
                <w:highlight w:val="none"/>
              </w:rPr>
            </w:r>
            <w:r/>
          </w:p>
        </w:tc>
      </w:tr>
      <w:tr>
        <w:trPr>
          <w:trHeight w:val="3482"/>
        </w:trPr>
        <w:tc>
          <w:tcPr>
            <w:gridSpan w:val="3"/>
            <w:tcW w:w="916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托修方意见：</w:t>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jc w:val="right"/>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托修方盖章（或托修方签字）：           </w:t>
            </w:r>
            <w:r>
              <w:rPr>
                <w:highlight w:val="none"/>
              </w:rPr>
            </w:r>
            <w:r/>
          </w:p>
        </w:tc>
      </w:tr>
    </w:tbl>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说明：（1）</w:t>
      </w:r>
      <w:r>
        <w:rPr>
          <w:rFonts w:hint="eastAsia" w:ascii="宋体" w:hAnsi="宋体"/>
          <w:color w:val="000000"/>
          <w:sz w:val="24"/>
          <w:szCs w:val="24"/>
          <w:highlight w:val="none"/>
        </w:rPr>
        <w:t xml:space="preserve">维修结算总费用=工时费用（工时单价×工时定额）＋材料费用[材料购进价格×（1＋材料进销差价率%）]。如有其他费用的均按《江苏省机动车维修结算工时定额与收费指南》（2014版）执行。</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工时定额按照《江苏省机动车维修结算工时定额与收费指南》（2014版）执行。材料进销差率最高限定为30%，且不得高于4S 店报价以及同类型企业市场行情平均价格，汽车零配件材料实物、进价单、发票须一致。（注：进销差价限定为30%，不是平均差价为30%，是指某些零部件差价高于30%的，公务用车维修结算按不高于30%计算，零部件进销差价低于30%的，仍按市场行情计算）。</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（3）上述所有费用均为含税价。</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（4）供应商履行合同后，依据框架协议与该维修委托单的约定，与采购人进行费用结算。本单一式两联，一联由承修单位留存备查，另一联由托修单位连同发票作为财务报销依据，未见维修委托单不予报销。</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供应商入围价格要上墙公示，采购人签订</w:t>
      </w:r>
      <w:r>
        <w:rPr>
          <w:rFonts w:hint="eastAsia" w:ascii="宋体" w:hAnsi="宋体"/>
          <w:bCs/>
          <w:color w:val="000000"/>
          <w:sz w:val="24"/>
          <w:szCs w:val="24"/>
          <w:highlight w:val="none"/>
        </w:rPr>
        <w:t xml:space="preserve">维修委托单</w:t>
      </w:r>
      <w:r>
        <w:rPr>
          <w:rFonts w:hint="eastAsia" w:ascii="宋体" w:hAnsi="宋体"/>
          <w:bCs/>
          <w:color w:val="000000"/>
          <w:sz w:val="24"/>
          <w:szCs w:val="24"/>
          <w:highlight w:val="none"/>
          <w:lang w:val="en-US" w:eastAsia="zh-CN"/>
        </w:rPr>
        <w:t xml:space="preserve">时应登录苏采云系统进行核查</w:t>
      </w:r>
      <w:r>
        <w:rPr>
          <w:rFonts w:hint="eastAsia" w:ascii="宋体" w:hAnsi="宋体"/>
          <w:bCs/>
          <w:color w:val="000000"/>
          <w:sz w:val="24"/>
          <w:szCs w:val="24"/>
          <w:highlight w:val="none"/>
        </w:rPr>
        <w:t xml:space="preserve">。</w:t>
      </w:r>
      <w:r>
        <w:rPr>
          <w:highlight w:val="none"/>
        </w:rPr>
      </w:r>
      <w:r/>
    </w:p>
    <w:p>
      <w:pPr>
        <w:pStyle w:val="881"/>
        <w:ind w:firstLine="482"/>
        <w:spacing w:line="440" w:lineRule="exact"/>
        <w:tabs>
          <w:tab w:val="left" w:pos="840" w:leader="none"/>
          <w:tab w:val="left" w:pos="1260" w:leader="none"/>
        </w:tabs>
        <w:rPr>
          <w:rFonts w:ascii="宋体" w:hAnsi="宋体"/>
          <w:b/>
          <w:bCs w:val="0"/>
          <w:color w:val="000000"/>
          <w:sz w:val="24"/>
          <w:szCs w:val="24"/>
          <w:highlight w:val="none"/>
        </w:rPr>
      </w:pPr>
      <w:r>
        <w:rPr>
          <w:rFonts w:hint="eastAsia" w:ascii="宋体" w:hAnsi="宋体"/>
          <w:b/>
          <w:bCs w:val="0"/>
          <w:color w:val="000000"/>
          <w:sz w:val="24"/>
          <w:szCs w:val="24"/>
          <w:highlight w:val="none"/>
        </w:rPr>
        <w:t xml:space="preserve">（6）其他未尽事项参照</w:t>
      </w:r>
      <w:r>
        <w:rPr>
          <w:rFonts w:hint="eastAsia" w:ascii="宋体" w:hAnsi="宋体"/>
          <w:b/>
          <w:bCs/>
          <w:color w:val="000000"/>
          <w:sz w:val="24"/>
          <w:szCs w:val="24"/>
          <w:highlight w:val="none"/>
        </w:rPr>
        <w:t xml:space="preserve">《机动车维修费用结算清单》（JT/T 1133</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2017）</w:t>
      </w:r>
      <w:r>
        <w:rPr>
          <w:rFonts w:hint="eastAsia" w:ascii="宋体" w:hAnsi="宋体"/>
          <w:b/>
          <w:bCs/>
          <w:color w:val="000000"/>
          <w:sz w:val="24"/>
          <w:szCs w:val="24"/>
          <w:highlight w:val="none"/>
          <w:lang w:val="en-US" w:eastAsia="zh-CN"/>
        </w:rPr>
        <w:t xml:space="preserve">执行</w:t>
      </w:r>
      <w:r>
        <w:rPr>
          <w:rFonts w:hint="eastAsia" w:ascii="宋体" w:hAnsi="宋体"/>
          <w:b/>
          <w:bCs/>
          <w:color w:val="000000"/>
          <w:sz w:val="24"/>
          <w:szCs w:val="24"/>
          <w:highlight w:val="none"/>
        </w:rPr>
        <w:t xml:space="preserve">。</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2.合同不可分割部分</w:t>
      </w:r>
      <w:r>
        <w:rPr>
          <w:highlight w:val="none"/>
        </w:rPr>
      </w:r>
      <w:r/>
    </w:p>
    <w:p>
      <w:pPr>
        <w:pStyle w:val="881"/>
        <w:ind w:firstLine="480"/>
        <w:spacing w:line="440" w:lineRule="exact"/>
        <w:tabs>
          <w:tab w:val="left" w:pos="210" w:leader="none"/>
          <w:tab w:val="left" w:pos="420"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征集文件、响应文件、框架协议及入围通知书，供应商在报价、评审过程中所作其他有关承诺、声明、书面澄清等均为合同不可分割的部分，与主合同具有同等法律效力。</w:t>
      </w:r>
      <w:r>
        <w:rPr>
          <w:highlight w:val="none"/>
        </w:rPr>
      </w:r>
      <w:r/>
    </w:p>
    <w:p>
      <w:pPr>
        <w:pStyle w:val="881"/>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并在不违反框架协议内容的前提下，供需双方自行拟定补充条款。</w:t>
      </w:r>
      <w:r>
        <w:rPr>
          <w:highlight w:val="none"/>
        </w:rPr>
      </w:r>
      <w:r/>
    </w:p>
    <w:p>
      <w:pPr>
        <w:pStyle w:val="881"/>
        <w:ind w:firstLine="480"/>
        <w:spacing w:line="400" w:lineRule="exact"/>
        <w:rPr>
          <w:rFonts w:ascii="宋体" w:hAnsi="宋体"/>
          <w:bCs/>
          <w:color w:val="000000"/>
          <w:sz w:val="24"/>
          <w:highlight w:val="none"/>
        </w:rPr>
      </w:pPr>
      <w:r>
        <w:rPr>
          <w:rFonts w:hint="eastAsia" w:ascii="宋体" w:hAnsi="宋体"/>
          <w:bCs/>
          <w:color w:val="000000"/>
          <w:sz w:val="24"/>
          <w:szCs w:val="24"/>
          <w:highlight w:val="none"/>
        </w:rPr>
        <w:t xml:space="preserve">4.根据《中华人民共和国政府采购法》相关规定，供需双方不得擅自变更、中止或终止合同。</w:t>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67"/>
      <w:r>
        <w:rPr>
          <w:highlight w:val="none"/>
        </w:rPr>
      </w:r>
      <w:bookmarkEnd w:id="168"/>
      <w:r>
        <w:rPr>
          <w:highlight w:val="none"/>
        </w:rPr>
      </w:r>
      <w:bookmarkEnd w:id="169"/>
      <w:r>
        <w:rPr>
          <w:highlight w:val="none"/>
        </w:rPr>
      </w:r>
      <w:bookmarkStart w:id="170" w:name="_Hlt16619369"/>
      <w:r>
        <w:rPr>
          <w:highlight w:val="none"/>
        </w:rPr>
      </w:r>
      <w:bookmarkEnd w:id="170"/>
      <w:r>
        <w:rPr>
          <w:highlight w:val="none"/>
        </w:rPr>
      </w:r>
      <w:bookmarkStart w:id="171" w:name="_Hlt16619350"/>
      <w:r>
        <w:rPr>
          <w:highlight w:val="none"/>
        </w:rPr>
      </w:r>
      <w:bookmarkStart w:id="172" w:name="_Toc16938590"/>
      <w:r>
        <w:rPr>
          <w:highlight w:val="none"/>
        </w:rPr>
      </w:r>
      <w:bookmarkStart w:id="173" w:name="_Toc120614244"/>
      <w:r>
        <w:rPr>
          <w:highlight w:val="none"/>
        </w:rPr>
      </w:r>
      <w:bookmarkStart w:id="174" w:name="_Toc20823346"/>
      <w:r>
        <w:rPr>
          <w:highlight w:val="none"/>
        </w:rPr>
      </w:r>
      <w:bookmarkStart w:id="175" w:name="_Toc462564139"/>
      <w:r>
        <w:rPr>
          <w:highlight w:val="none"/>
        </w:rPr>
      </w:r>
      <w:bookmarkStart w:id="176" w:name="_Toc479757211"/>
      <w:r>
        <w:rPr>
          <w:rFonts w:hint="eastAsia" w:ascii="黑体" w:hAnsi="黑体" w:eastAsia="黑体"/>
          <w:color w:val="000000"/>
          <w:sz w:val="36"/>
          <w:szCs w:val="36"/>
          <w:highlight w:val="none"/>
        </w:rPr>
        <w:t xml:space="preserve">第</w:t>
      </w:r>
      <w:bookmarkEnd w:id="171"/>
      <w:r>
        <w:rPr>
          <w:rFonts w:hint="eastAsia" w:ascii="黑体" w:hAnsi="黑体" w:eastAsia="黑体"/>
          <w:color w:val="000000"/>
          <w:sz w:val="36"/>
          <w:szCs w:val="36"/>
          <w:highlight w:val="none"/>
        </w:rPr>
        <w:t xml:space="preserve">四章 采购需求</w:t>
      </w:r>
      <w:bookmarkEnd w:id="172"/>
      <w:r>
        <w:rPr>
          <w:highlight w:val="none"/>
        </w:rPr>
      </w:r>
      <w:bookmarkEnd w:id="173"/>
      <w:r>
        <w:rPr>
          <w:highlight w:val="none"/>
        </w:rPr>
      </w:r>
      <w:bookmarkEnd w:id="174"/>
      <w:r>
        <w:rPr>
          <w:highlight w:val="none"/>
        </w:rPr>
      </w:r>
      <w:r/>
    </w:p>
    <w:p>
      <w:pPr>
        <w:pStyle w:val="881"/>
        <w:ind w:firstLine="480"/>
        <w:jc w:val="left"/>
        <w:spacing w:line="360" w:lineRule="auto"/>
        <w:rPr>
          <w:rFonts w:hint="eastAsia" w:ascii="黑体" w:hAnsi="黑体" w:eastAsia="黑体"/>
          <w:color w:val="000000"/>
          <w:sz w:val="30"/>
          <w:szCs w:val="30"/>
          <w:highlight w:val="none"/>
        </w:rPr>
      </w:pPr>
      <w:r>
        <w:rPr>
          <w:highlight w:val="none"/>
        </w:rPr>
      </w:r>
      <w:bookmarkStart w:id="177" w:name="_Toc26554093"/>
      <w:r>
        <w:rPr>
          <w:highlight w:val="none"/>
        </w:rPr>
      </w:r>
      <w:bookmarkStart w:id="178" w:name="_Toc49090575"/>
      <w:r>
        <w:rPr>
          <w:rFonts w:hint="eastAsia" w:ascii="宋体" w:hAnsi="宋体"/>
          <w:color w:val="000000"/>
          <w:sz w:val="24"/>
          <w:szCs w:val="24"/>
          <w:highlight w:val="none"/>
        </w:rPr>
        <w:t xml:space="preserve">供应商所响应内容必须满足以下要求，不得有负偏离。</w:t>
      </w:r>
      <w:r>
        <w:rPr>
          <w:highlight w:val="none"/>
        </w:rPr>
      </w:r>
      <w:r/>
    </w:p>
    <w:p>
      <w:pPr>
        <w:pStyle w:val="881"/>
        <w:ind w:firstLine="600"/>
        <w:jc w:val="left"/>
        <w:spacing w:line="360" w:lineRule="auto"/>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本项目属性：服务类项目</w:t>
      </w:r>
      <w:r>
        <w:rPr>
          <w:highlight w:val="none"/>
        </w:rPr>
      </w:r>
      <w:r/>
    </w:p>
    <w:p>
      <w:pPr>
        <w:pStyle w:val="88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供应商所响应内容必须满足以下要求，不得有负偏离。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本项目标的物所属行业：其他未列明行业</w:t>
      </w:r>
      <w:r>
        <w:rPr>
          <w:highlight w:val="none"/>
        </w:rPr>
      </w:r>
      <w:r/>
    </w:p>
    <w:p>
      <w:pPr>
        <w:pStyle w:val="881"/>
        <w:ind w:firstLine="602"/>
        <w:spacing w:line="360" w:lineRule="auto"/>
        <w:rPr>
          <w:rFonts w:ascii="宋体" w:hAnsi="宋体"/>
          <w:b/>
          <w:color w:val="000000"/>
          <w:sz w:val="30"/>
          <w:szCs w:val="30"/>
          <w:highlight w:val="none"/>
          <w:u w:val="none"/>
        </w:rPr>
      </w:pPr>
      <w:r>
        <w:rPr>
          <w:rFonts w:hint="eastAsia" w:ascii="宋体" w:hAnsi="宋体"/>
          <w:b/>
          <w:color w:val="000000"/>
          <w:sz w:val="30"/>
          <w:szCs w:val="30"/>
          <w:highlight w:val="none"/>
          <w:u w:val="none"/>
        </w:rPr>
        <w:t xml:space="preserve">第一部分  项目技术要求</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1.项目概况</w:t>
      </w:r>
      <w:r>
        <w:rPr>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1.1  项目名称：</w:t>
      </w:r>
      <w:r>
        <w:rPr>
          <w:rFonts w:hint="eastAsia" w:ascii="宋体" w:hAnsi="宋体"/>
          <w:color w:val="000000"/>
          <w:sz w:val="24"/>
          <w:szCs w:val="24"/>
          <w:highlight w:val="none"/>
          <w:lang w:eastAsia="zh-CN"/>
        </w:rPr>
        <w:t xml:space="preserve">2027-2028年度无锡市市本级车辆维修和保养服务框架协议采购</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  框架协议的期限：</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月1日至202</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年12月31日（期间若江苏省省厅另有统一征集的，按省厅征集要求及结果执行）</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  采购方式：封闭式框架协议采购</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  征集人：无锡市公共资源交易中心</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  适用框架协议的采购人或服务对象范围：</w:t>
      </w:r>
      <w:r>
        <w:rPr>
          <w:rFonts w:hint="eastAsia" w:ascii="宋体" w:hAnsi="宋体"/>
          <w:color w:val="000000"/>
          <w:sz w:val="24"/>
          <w:szCs w:val="24"/>
          <w:highlight w:val="none"/>
        </w:rPr>
        <w:t xml:space="preserve">无锡市市本级的国家机关、事业单位和团体组织</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2.商务要求</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  报价要求</w:t>
      </w:r>
      <w:r>
        <w:rPr>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（1）本框架协议采购项目</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个标段：</w:t>
      </w:r>
      <w:r>
        <w:rPr>
          <w:rFonts w:hint="eastAsia" w:ascii="宋体" w:hAnsi="宋体"/>
          <w:color w:val="000000"/>
          <w:sz w:val="24"/>
          <w:szCs w:val="24"/>
          <w:highlight w:val="none"/>
          <w:lang w:eastAsia="zh-CN"/>
        </w:rPr>
        <w:t xml:space="preserve">2027-2028年度无锡市市本级</w:t>
      </w:r>
      <w:r>
        <w:rPr>
          <w:rFonts w:hint="eastAsia" w:ascii="宋体" w:hAnsi="宋体"/>
          <w:color w:val="000000"/>
          <w:sz w:val="24"/>
          <w:szCs w:val="24"/>
          <w:highlight w:val="none"/>
        </w:rPr>
        <w:t xml:space="preserve">车辆维修和保养服务</w:t>
      </w:r>
      <w:r>
        <w:rPr>
          <w:rFonts w:hint="eastAsia" w:ascii="宋体" w:hAnsi="宋体"/>
          <w:bCs/>
          <w:color w:val="000000"/>
          <w:sz w:val="24"/>
          <w:szCs w:val="24"/>
          <w:highlight w:val="none"/>
        </w:rPr>
        <w:t xml:space="preserve">（一类汽车维修）</w:t>
      </w:r>
      <w:r>
        <w:rPr>
          <w:rFonts w:hint="eastAsia" w:ascii="宋体" w:hAnsi="宋体"/>
          <w:bCs/>
          <w:color w:val="000000"/>
          <w:sz w:val="24"/>
          <w:szCs w:val="24"/>
          <w:highlight w:val="none"/>
          <w:lang w:eastAsia="zh-CN"/>
        </w:rPr>
        <w:t xml:space="preserve">。</w:t>
      </w:r>
      <w:r>
        <w:rPr>
          <w:highlight w:val="none"/>
        </w:rPr>
      </w:r>
      <w:r/>
    </w:p>
    <w:p>
      <w:pPr>
        <w:pStyle w:val="881"/>
        <w:ind w:firstLine="42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
          <w:bCs/>
          <w:color w:val="000000"/>
          <w:sz w:val="24"/>
          <w:szCs w:val="24"/>
          <w:highlight w:val="none"/>
          <w:u w:val="single"/>
        </w:rPr>
        <w:t xml:space="preserve">报价按工时单价进行报价。</w:t>
      </w:r>
      <w:r>
        <w:rPr>
          <w:rFonts w:hint="eastAsia" w:ascii="宋体" w:hAnsi="宋体"/>
          <w:bCs/>
          <w:color w:val="000000"/>
          <w:sz w:val="24"/>
          <w:szCs w:val="24"/>
          <w:highlight w:val="none"/>
        </w:rPr>
        <w:t xml:space="preserve">所报工时单价应按市场价格及自身实际情况客观报价，报价价格均应大于零，否则将被视为无效响应文件。</w:t>
      </w:r>
      <w:r>
        <w:rPr>
          <w:rFonts w:hint="eastAsia" w:ascii="宋体" w:hAnsi="宋体"/>
          <w:b/>
          <w:bCs w:val="0"/>
          <w:color w:val="000000"/>
          <w:sz w:val="24"/>
          <w:szCs w:val="24"/>
          <w:highlight w:val="none"/>
          <w:lang w:val="en-US" w:eastAsia="zh-CN"/>
        </w:rPr>
        <w:t xml:space="preserve">所有参与的供应商将进行</w:t>
      </w:r>
      <w:r>
        <w:rPr>
          <w:rFonts w:hint="eastAsia" w:ascii="宋体" w:hAnsi="宋体"/>
          <w:b/>
          <w:bCs w:val="0"/>
          <w:color w:val="000000"/>
          <w:sz w:val="24"/>
          <w:highlight w:val="none"/>
        </w:rPr>
        <w:t xml:space="preserve">异常低价投标（响应）审查</w:t>
      </w:r>
      <w:r>
        <w:rPr>
          <w:rFonts w:hint="eastAsia" w:ascii="宋体" w:hAnsi="宋体"/>
          <w:b/>
          <w:bCs w:val="0"/>
          <w:color w:val="000000"/>
          <w:sz w:val="24"/>
          <w:szCs w:val="24"/>
          <w:highlight w:val="none"/>
          <w:lang w:val="en-US" w:eastAsia="zh-CN"/>
        </w:rPr>
        <w:t xml:space="preserve">，详见第二章供应商须知</w:t>
      </w:r>
      <w:r>
        <w:rPr>
          <w:rFonts w:hint="eastAsia" w:ascii="宋体" w:hAnsi="宋体"/>
          <w:b/>
          <w:bCs w:val="0"/>
          <w:color w:val="000000"/>
          <w:sz w:val="24"/>
          <w:highlight w:val="none"/>
        </w:rPr>
        <w:t xml:space="preserve">25.7异常低价投标（响应）审查</w:t>
      </w:r>
      <w:r>
        <w:rPr>
          <w:rFonts w:hint="eastAsia" w:ascii="宋体" w:hAnsi="宋体"/>
          <w:b/>
          <w:bCs w:val="0"/>
          <w:color w:val="000000"/>
          <w:sz w:val="24"/>
          <w:highlight w:val="none"/>
          <w:lang w:eastAsia="zh-CN"/>
        </w:rPr>
        <w:t xml:space="preserve">。</w:t>
      </w:r>
      <w:r>
        <w:rPr>
          <w:rFonts w:hint="eastAsia" w:ascii="宋体" w:hAnsi="宋体"/>
          <w:bCs/>
          <w:color w:val="000000"/>
          <w:sz w:val="24"/>
          <w:szCs w:val="24"/>
          <w:highlight w:val="none"/>
        </w:rPr>
        <w:t xml:space="preserve">供应商所报价格即为第一阶段入围后的协议价格也是采购人确定第二阶段成交供应商的最高限价。</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（3）供应商所报工时单价的报价最多均只能精确到小数点后两位。即供应商所报工时单价： a </w:t>
      </w:r>
      <w:r>
        <w:rPr>
          <w:rFonts w:hint="eastAsia" w:ascii="宋体" w:hAnsi="宋体"/>
          <w:bCs/>
          <w:color w:val="000000"/>
          <w:sz w:val="24"/>
          <w:szCs w:val="24"/>
          <w:highlight w:val="none"/>
          <w:lang w:eastAsia="zh-CN"/>
        </w:rPr>
        <w:t xml:space="preserve">元 /(人・时)</w:t>
      </w:r>
      <w:r>
        <w:rPr>
          <w:rFonts w:hint="eastAsia" w:ascii="宋体" w:hAnsi="宋体"/>
          <w:bCs/>
          <w:color w:val="000000"/>
          <w:sz w:val="24"/>
          <w:szCs w:val="24"/>
          <w:highlight w:val="none"/>
        </w:rPr>
        <w:t xml:space="preserve">，则a值最多只能精确到小数点后两位。否则将被视为无效响应文件。</w:t>
      </w:r>
      <w:r>
        <w:rPr>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（4）材料进销差率（不需要报价，不参与价格评审）最高限定为30%，且不得高于4S 店报价以及同类型企业市场行情平均价格，汽车零配件材料实物、进价单、发票须一致。（注：进销差价限定为30%，不是平均差价为30%，是指某些零部件差价高于30%的，公务用车维修结算按不高于30%计算，零部件进销差价低于30%的，仍按市场行情计算）</w:t>
      </w:r>
      <w:r>
        <w:rPr>
          <w:rFonts w:ascii="宋体" w:hAnsi="宋体" w:eastAsia="宋体" w:cs="宋体"/>
          <w:color w:val="000000"/>
          <w:sz w:val="24"/>
          <w:szCs w:val="24"/>
          <w:highlight w:val="none"/>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（5）工时定额参照《江苏省机动车维修结算工时定额与收费指南》（2014版）执行。</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（6）最高限制单价</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本项目最高限制单价均为：（工时单价）10</w:t>
      </w:r>
      <w:r>
        <w:rPr>
          <w:rFonts w:hint="eastAsia" w:ascii="宋体" w:hAnsi="宋体"/>
          <w:bCs/>
          <w:color w:val="000000"/>
          <w:sz w:val="24"/>
          <w:szCs w:val="24"/>
          <w:highlight w:val="none"/>
          <w:lang w:eastAsia="zh-CN"/>
        </w:rPr>
        <w:t xml:space="preserve">元 /(人・时)</w:t>
      </w:r>
      <w:r>
        <w:rPr>
          <w:rFonts w:hint="eastAsia" w:ascii="宋体" w:hAnsi="宋体"/>
          <w:bCs/>
          <w:color w:val="000000"/>
          <w:sz w:val="24"/>
          <w:szCs w:val="24"/>
          <w:highlight w:val="none"/>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供应商报价时不得超过所报标段最高限制单价，否则将被视为无效响应文件。</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  第二阶段费用结算方式</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（1）维修结算总费用=工时费用（工时单价×工时定额）＋材料费用[材料购进价格×（1＋材料进销差价率%）]。如有其他费用的均参照《江苏省机动车维修结算工时定额与收费指南》（2014版）执行。</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（2）上述所有费用均为含税价。</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（3）供应商履行合同后，依据采购合同的约定，与采购人进行费用结算。</w:t>
      </w:r>
      <w:r>
        <w:rPr>
          <w:highlight w:val="none"/>
        </w:rPr>
      </w:r>
      <w:r/>
    </w:p>
    <w:p>
      <w:pPr>
        <w:pStyle w:val="881"/>
        <w:ind w:firstLine="482"/>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2.3  其他未尽事项参照</w:t>
      </w:r>
      <w:r>
        <w:rPr>
          <w:rFonts w:hint="eastAsia" w:ascii="宋体" w:hAnsi="宋体"/>
          <w:b/>
          <w:bCs/>
          <w:color w:val="000000"/>
          <w:sz w:val="24"/>
          <w:szCs w:val="24"/>
          <w:highlight w:val="none"/>
        </w:rPr>
        <w:t xml:space="preserve">《机动车维修费用结算清单》（JT/T 1133</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2017）</w:t>
      </w:r>
      <w:r>
        <w:rPr>
          <w:rFonts w:hint="eastAsia" w:ascii="宋体" w:hAnsi="宋体"/>
          <w:b/>
          <w:bCs/>
          <w:color w:val="000000"/>
          <w:sz w:val="24"/>
          <w:szCs w:val="24"/>
          <w:highlight w:val="none"/>
          <w:lang w:val="en-US" w:eastAsia="zh-CN"/>
        </w:rPr>
        <w:t xml:space="preserve">执行</w:t>
      </w:r>
      <w:r>
        <w:rPr>
          <w:rFonts w:hint="eastAsia" w:ascii="宋体" w:hAnsi="宋体"/>
          <w:b/>
          <w:bCs/>
          <w:color w:val="000000"/>
          <w:sz w:val="24"/>
          <w:szCs w:val="24"/>
          <w:highlight w:val="none"/>
        </w:rPr>
        <w:t xml:space="preserve">。</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3.技术要求</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  服务要求</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 维修服务对象及范围：采购人（以下称“托修方”）是无锡市市本级的国家机关、事业单位和团体组织，使用财政性资金进行的公务用车（不含摩托车、新能源车）的维修和保养。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维修服务项目及内容：车辆的维修和保养服务，包括提供车辆整车修理、总成修理、二级维护、一级维护、车辆小修和车辆专项修理、二十四小时维修救援和其他《江苏省机动车维修结算工时定额与收费指南》（2014版）中规定的相关项目。</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 维修企业应设有24小时应急电话，在接到托修方报修电话后2小时内予以响应。对托修方所送车辆随到随修，急用急修，小修不过夜，大修不超过预定期限，保证托修方及时用车。</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 场地要求：应设有合理、明显的指示标志，修理车间布局合理、车间设施良好、修理工位标示明确，企业各功能区标志清晰，有停车场地、接待区、客户休息区。各作业区域需制定相应操作规程并上墙</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并作为二阶段管理检查内容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针对本项目提供的固定服务场地，应达到《汽车维修业经营业务条件》GB/T 16739.1-2023的要求。停车场面积不得占用公共用地。入围供应商的场地应当满足下</w:t>
      </w:r>
      <w:r>
        <w:rPr>
          <w:rFonts w:hint="eastAsia" w:ascii="宋体" w:hAnsi="宋体"/>
          <w:bCs/>
          <w:color w:val="000000"/>
          <w:sz w:val="24"/>
          <w:szCs w:val="24"/>
          <w:highlight w:val="none"/>
          <w:lang w:val="en-US" w:eastAsia="zh-CN"/>
        </w:rPr>
        <w:t xml:space="preserve">列</w:t>
      </w:r>
      <w:r>
        <w:rPr>
          <w:rFonts w:hint="eastAsia" w:ascii="宋体" w:hAnsi="宋体"/>
          <w:bCs/>
          <w:color w:val="000000"/>
          <w:sz w:val="24"/>
          <w:szCs w:val="24"/>
          <w:highlight w:val="none"/>
        </w:rPr>
        <w:t xml:space="preserve">要求：</w:t>
      </w:r>
      <w:r>
        <w:rPr>
          <w:highlight w:val="none"/>
        </w:rPr>
      </w:r>
      <w:r/>
    </w:p>
    <w:p>
      <w:pPr>
        <w:pStyle w:val="881"/>
        <w:ind w:firstLine="480"/>
        <w:spacing w:line="360" w:lineRule="auto"/>
        <w:rPr>
          <w:rFonts w:hint="eastAsia" w:ascii="宋体" w:hAnsi="宋体"/>
          <w:bCs/>
          <w:color w:val="000000"/>
          <w:sz w:val="24"/>
          <w:szCs w:val="24"/>
          <w:highlight w:val="none"/>
        </w:rPr>
      </w:pPr>
      <w:r>
        <w:rPr>
          <w:rFonts w:ascii="宋体" w:hAnsi="宋体" w:eastAsia="宋体" w:cs="宋体"/>
          <w:color w:val="000000"/>
          <w:sz w:val="24"/>
          <w:szCs w:val="24"/>
          <w:highlight w:val="none"/>
        </w:rPr>
        <w:t xml:space="preserve">①</w:t>
      </w:r>
      <w:r>
        <w:rPr>
          <w:rFonts w:hint="eastAsia" w:ascii="宋体" w:hAnsi="宋体"/>
          <w:bCs/>
          <w:color w:val="000000"/>
          <w:sz w:val="24"/>
          <w:szCs w:val="24"/>
          <w:highlight w:val="none"/>
        </w:rPr>
        <w:t xml:space="preserve">报备面积要求如下表:</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4444"/>
        <w:gridCol w:w="2832"/>
      </w:tblGrid>
      <w:tr>
        <w:trPr/>
        <w:tc>
          <w:tcPr>
            <w:tcW w:w="1668"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类别</w:t>
            </w:r>
            <w:r>
              <w:rPr>
                <w:highlight w:val="none"/>
              </w:rPr>
            </w:r>
            <w:r/>
          </w:p>
        </w:tc>
        <w:tc>
          <w:tcPr>
            <w:tcW w:w="4444"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名称</w:t>
            </w:r>
            <w:r>
              <w:rPr>
                <w:highlight w:val="none"/>
              </w:rPr>
            </w:r>
            <w:r/>
          </w:p>
        </w:tc>
        <w:tc>
          <w:tcPr>
            <w:tcW w:w="2832"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面积要求（㎡）</w:t>
            </w:r>
            <w:r>
              <w:rPr>
                <w:highlight w:val="none"/>
              </w:rPr>
            </w:r>
            <w:r/>
          </w:p>
        </w:tc>
      </w:tr>
      <w:tr>
        <w:trPr/>
        <w:tc>
          <w:tcPr>
            <w:tcW w:w="1668" w:type="dxa"/>
            <w:vAlign w:val="center"/>
            <w:vMerge w:val="restart"/>
            <w:textDirection w:val="lrTb"/>
            <w:noWrap w:val="false"/>
          </w:tcPr>
          <w:p>
            <w:pPr>
              <w:pStyle w:val="881"/>
              <w:jc w:val="center"/>
              <w:rPr>
                <w:rFonts w:hint="eastAsia" w:ascii="宋体" w:hAnsi="宋体"/>
                <w:bCs/>
                <w:color w:val="000000"/>
                <w:sz w:val="18"/>
                <w:szCs w:val="18"/>
                <w:highlight w:val="none"/>
              </w:rPr>
            </w:pPr>
            <w:r>
              <w:rPr>
                <w:rFonts w:hint="eastAsia" w:ascii="宋体" w:hAnsi="宋体"/>
                <w:b/>
                <w:bCs/>
                <w:color w:val="000000"/>
                <w:sz w:val="18"/>
                <w:szCs w:val="18"/>
                <w:highlight w:val="none"/>
              </w:rPr>
              <w:t xml:space="preserve">一类汽车维修企业</w:t>
            </w:r>
            <w:r>
              <w:rPr>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接待室（含客户休息室）</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≥80</w:t>
            </w:r>
            <w:r>
              <w:rPr>
                <w:highlight w:val="none"/>
              </w:rPr>
            </w:r>
            <w:r/>
          </w:p>
        </w:tc>
      </w:tr>
      <w:tr>
        <w:trPr/>
        <w:tc>
          <w:tcPr>
            <w:tcW w:w="1668" w:type="dxa"/>
            <w:vAlign w:val="center"/>
            <w:vMerge w:val="continue"/>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停车场</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≥200</w:t>
            </w:r>
            <w:r>
              <w:rPr>
                <w:highlight w:val="none"/>
              </w:rPr>
            </w:r>
            <w:r/>
          </w:p>
        </w:tc>
      </w:tr>
      <w:tr>
        <w:trPr/>
        <w:tc>
          <w:tcPr>
            <w:tcW w:w="1668" w:type="dxa"/>
            <w:vAlign w:val="center"/>
            <w:vMerge w:val="continue"/>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生产厂房</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≥800</w:t>
            </w:r>
            <w:r>
              <w:rPr>
                <w:highlight w:val="none"/>
              </w:rPr>
            </w:r>
            <w:r/>
          </w:p>
        </w:tc>
      </w:tr>
      <w:tr>
        <w:trPr/>
        <w:tc>
          <w:tcPr>
            <w:tcW w:w="1668" w:type="dxa"/>
            <w:vAlign w:val="center"/>
            <w:vMerge w:val="continue"/>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总成间（包含在生产厂房内）</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≥20</w:t>
            </w:r>
            <w:r>
              <w:rPr>
                <w:highlight w:val="none"/>
              </w:rPr>
            </w:r>
            <w:r/>
          </w:p>
        </w:tc>
      </w:tr>
      <w:tr>
        <w:trPr/>
        <w:tc>
          <w:tcPr>
            <w:tcW w:w="1668" w:type="dxa"/>
            <w:vAlign w:val="center"/>
            <w:vMerge w:val="continue"/>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总面积</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≥1080</w:t>
            </w:r>
            <w:r>
              <w:rPr>
                <w:highlight w:val="none"/>
              </w:rPr>
            </w:r>
            <w:r/>
          </w:p>
        </w:tc>
      </w:tr>
    </w:tbl>
    <w:p>
      <w:pPr>
        <w:pStyle w:val="881"/>
        <w:ind w:firstLine="480"/>
        <w:spacing w:line="360" w:lineRule="auto"/>
        <w:rPr>
          <w:rFonts w:hint="eastAsia" w:ascii="宋体" w:hAnsi="宋体" w:eastAsia="宋体"/>
          <w:b w:val="0"/>
          <w:bCs w:val="0"/>
          <w:color w:val="000000"/>
          <w:sz w:val="24"/>
          <w:szCs w:val="24"/>
          <w:highlight w:val="none"/>
        </w:rPr>
      </w:pPr>
      <w:r>
        <w:rPr>
          <w:rFonts w:ascii="宋体" w:hAnsi="宋体" w:eastAsia="宋体" w:cs="宋体"/>
          <w:b w:val="0"/>
          <w:bCs w:val="0"/>
          <w:color w:val="000000"/>
          <w:sz w:val="24"/>
          <w:szCs w:val="24"/>
          <w:highlight w:val="none"/>
        </w:rPr>
        <w:t xml:space="preserve">②</w:t>
      </w:r>
      <w:r>
        <w:rPr>
          <w:rFonts w:hint="eastAsia" w:ascii="宋体" w:hAnsi="宋体"/>
          <w:b w:val="0"/>
          <w:bCs w:val="0"/>
          <w:color w:val="000000"/>
          <w:sz w:val="24"/>
          <w:szCs w:val="24"/>
          <w:highlight w:val="none"/>
        </w:rPr>
        <w:t xml:space="preserve">租赁期限不少于1年;</w:t>
      </w:r>
      <w:r>
        <w:rPr>
          <w:highlight w:val="none"/>
        </w:rPr>
      </w:r>
      <w:r/>
    </w:p>
    <w:p>
      <w:pPr>
        <w:pStyle w:val="881"/>
        <w:ind w:firstLine="480"/>
        <w:spacing w:line="360" w:lineRule="auto"/>
        <w:rPr>
          <w:rFonts w:hint="eastAsia" w:ascii="宋体" w:hAnsi="宋体"/>
          <w:bCs/>
          <w:color w:val="000000"/>
          <w:sz w:val="24"/>
          <w:szCs w:val="24"/>
          <w:highlight w:val="none"/>
        </w:rPr>
      </w:pP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t xml:space="preserve">租赁合同中租用的面积不得小于报备的场地面积</w:t>
      </w:r>
      <w:r>
        <w:rPr>
          <w:rFonts w:hint="eastAsia" w:ascii="宋体" w:hAnsi="宋体"/>
          <w:b w:val="0"/>
          <w:bCs w:val="0"/>
          <w:color w:val="000000"/>
          <w:sz w:val="24"/>
          <w:szCs w:val="24"/>
          <w:highlight w:val="none"/>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ascii="宋体" w:hAnsi="宋体" w:eastAsia="宋体" w:cs="宋体"/>
          <w:color w:val="000000"/>
          <w:sz w:val="24"/>
          <w:szCs w:val="24"/>
          <w:highlight w:val="none"/>
        </w:rPr>
        <w:t xml:space="preserve">④</w:t>
      </w:r>
      <w:r>
        <w:rPr>
          <w:rFonts w:hint="eastAsia" w:ascii="宋体" w:hAnsi="宋体"/>
          <w:bCs/>
          <w:color w:val="000000"/>
          <w:sz w:val="24"/>
          <w:szCs w:val="24"/>
          <w:highlight w:val="none"/>
        </w:rPr>
        <w:t xml:space="preserve">从事小型车、大中型客车以及大型货车维修多个经营项目的企业，其生产厂房面积应不小于单一经营项目维修企业生产厂房面积的累加值。</w:t>
      </w:r>
      <w:r>
        <w:rPr>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监控要求：车辆维修全程监控，要求提供大环境监控点位以及具体工位监控点位至少2处的监控点位，并能够单独存放随时调用和复制，相关视频监控影像资料保存时间≥30天。采购人、公务用车主管部门、监管等部门有要求的，入围供应商应按要求定期拷贝刻录光盘交于相关部门。</w:t>
      </w:r>
      <w:r>
        <w:rPr>
          <w:rFonts w:hint="eastAsia" w:ascii="宋体" w:hAnsi="宋体"/>
          <w:bCs/>
          <w:color w:val="000000"/>
          <w:sz w:val="24"/>
          <w:szCs w:val="24"/>
          <w:highlight w:val="none"/>
          <w:lang w:val="en-US" w:eastAsia="zh-CN"/>
        </w:rPr>
        <w:t xml:space="preserve">此项将作为二阶段管理检查内容。</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）人员要求：供应商应针对本项目成立专门的项目组团队，针对公车维修的特点，及时全面的提供专业服务。入围供应商的人员配备应当满足下表要求：</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653"/>
        <w:gridCol w:w="2190"/>
        <w:gridCol w:w="3645"/>
      </w:tblGrid>
      <w:tr>
        <w:trPr/>
        <w:tc>
          <w:tcPr>
            <w:gridSpan w:val="4"/>
            <w:tcW w:w="8944"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一类汽车维修企业</w:t>
            </w:r>
            <w:r>
              <w:rPr>
                <w:highlight w:val="none"/>
              </w:rPr>
            </w:r>
            <w:r/>
          </w:p>
        </w:tc>
      </w:tr>
      <w:tr>
        <w:trPr/>
        <w:tc>
          <w:tcPr>
            <w:tcW w:w="456"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序号</w:t>
            </w:r>
            <w:r>
              <w:rPr>
                <w:highlight w:val="none"/>
              </w:rPr>
            </w:r>
            <w:r/>
          </w:p>
        </w:tc>
        <w:tc>
          <w:tcPr>
            <w:tcW w:w="2653"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工种</w:t>
            </w:r>
            <w:r>
              <w:rPr>
                <w:highlight w:val="none"/>
              </w:rPr>
            </w:r>
            <w:r/>
          </w:p>
        </w:tc>
        <w:tc>
          <w:tcPr>
            <w:tcW w:w="2190"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应配人数</w:t>
            </w:r>
            <w:r>
              <w:rPr>
                <w:highlight w:val="none"/>
              </w:rPr>
            </w:r>
            <w:r/>
          </w:p>
        </w:tc>
        <w:tc>
          <w:tcPr>
            <w:tcW w:w="3645"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备注</w:t>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技术负责人</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安全生产管理人员</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w:t>
            </w:r>
            <w:r>
              <w:rPr>
                <w:highlight w:val="none"/>
              </w:rPr>
            </w:r>
            <w:r/>
          </w:p>
        </w:tc>
        <w:tc>
          <w:tcPr>
            <w:tcW w:w="3645" w:type="dxa"/>
            <w:vAlign w:val="center"/>
            <w:textDirection w:val="lrTb"/>
            <w:noWrap w:val="false"/>
          </w:tcPr>
          <w:p>
            <w:pPr>
              <w:pStyle w:val="881"/>
              <w:rPr>
                <w:rFonts w:hint="eastAsia" w:ascii="宋体" w:hAnsi="宋体"/>
                <w:bCs/>
                <w:color w:val="000000"/>
                <w:sz w:val="18"/>
                <w:szCs w:val="18"/>
                <w:highlight w:val="none"/>
              </w:rPr>
            </w:pPr>
            <w:r>
              <w:rPr>
                <w:rFonts w:hint="eastAsia" w:ascii="宋体" w:hAnsi="宋体"/>
                <w:bCs/>
                <w:color w:val="000000"/>
                <w:sz w:val="18"/>
                <w:szCs w:val="18"/>
                <w:highlight w:val="none"/>
              </w:rPr>
              <w:t xml:space="preserve">企业人员数量在100人以下的，安全生产管理人员可兼职</w:t>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3</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质量检验员</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4</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业务接待员</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5</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机修</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6</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电器</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7</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钣金</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8</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涂漆</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bl>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严格按照交车时限来安排维修服务，不能在规定时限内交车的，要提前与托修方联系，经协调一致后可延期。</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如托修方有要求，维修企业有义务向托修方解释说明维修的项目、作业的内容、配件的来源渠道及价格、维修时间和维修费用。</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协议维修企业不得以任何借口动用公务车，未经托修方允许不得将车开出厂试车或作它用。</w:t>
      </w:r>
      <w:r>
        <w:rPr>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档案管理要求：维修企业须建立机动车维修档案并实行档案电子化、信息化管理。</w:t>
      </w:r>
      <w:r>
        <w:rPr>
          <w:rFonts w:hint="eastAsia" w:ascii="宋体" w:hAnsi="宋体"/>
          <w:color w:val="000000"/>
          <w:sz w:val="24"/>
          <w:szCs w:val="24"/>
          <w:highlight w:val="none"/>
        </w:rPr>
        <w:t xml:space="preserve">公务用车主管部门有要求的，入围供应商应按要求及时填报“无锡市公务用车管理平台”上的相关信息。</w:t>
      </w:r>
      <w:r>
        <w:rPr>
          <w:rFonts w:hint="eastAsia" w:ascii="宋体" w:hAnsi="宋体"/>
          <w:color w:val="000000"/>
          <w:sz w:val="24"/>
          <w:szCs w:val="24"/>
          <w:highlight w:val="none"/>
          <w:lang w:val="en-US" w:eastAsia="zh-CN"/>
        </w:rPr>
        <w:t xml:space="preserve">维保费用单（详见附件1）按要求填写并上传至苏采云系统。</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11</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框架协议期间入围供应商的名称、法定代表人、经营地址等备案事项发生变化的，应当向交通运输主管部门办理备案变更。场地发生搬迁的，应当提前一个月向交通运输主管部门报备。备案后3个工作日内须向无锡市公共资源交易中心报备并提交备案证明复印件（公务用车主管部门、财政监管部门如有要求的也应当同步向其进行备案）。同时入围供应商应在“苏采云”系统中同步更新相应上架信息。</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为了统一监管，保障采购人及入围供应商双方的权利和效益，建立以下投诉监管制度。具体方式为：采购人可就入围供应商的维修质量或服务问题向无锡市公共资源交易中心、公务用车主管部门、行业主管部门、政采监管部门投诉，除向政采监管部门投诉外，向其他部门投诉的将由该部门收集相关材料后递交政采监管部门，经政采监管部门核查如情况属实则该投诉有效将依规处理。入围供应商可就采购人所提出的除维修或服务以外的要求向政采监管部门反映。</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维修企业须服从无锡市公共资源交易中心、公务用车主管部门、行业主管部门、政采监管部门的监督、管理。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维修企业应严格遵守中华人民共和国交通运输部令（2023年第14号）《机动车维修管理规定》和江苏省人民政府发布的《江苏省机动车维修管理条例》（2021年9月修正）中的相关规定。</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  质量要求</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车辆返修率须为零，在质量保证期内，因维修质量造成的直接经济损失，由维修企业负责。被修车辆达不到规定的质量标准和技术要求的，返修不得再计价收费。因维修质量造成的车辆故障或损坏的，维修企业应负责及时返修，由于维修质量问题造成的车辆异常损坏或车辆机件事故的，由维修企业负责。</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车辆实行竣工出厂质量保证期：整车修理或总成修理质量保证期为车辆行驶20000公里或者100日；二级维护质量保证期为车辆行驶5000公里或者30日；一级维护、小修及专项修理质量保证期为车辆行驶2000公里或者10日。</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所有维修车辆出厂时必须达到《机动车运行安全技术条件》GB7258-2017等国家安全技术标准及车辆维修标准。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所采用的零部件、配件等材料必须符合国家或部颁标准和行业标准以及汽车维修相关标准。必须有合法的进货渠道，不得使用不合格产品或假冒伪劣产品或以次充好等。“维修企业应当记录配件采购、使用信息，查验产品合格证等相关证明，并按规定留存配件来源凭证。”</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关于维修企业的绿色、环保的要求应当符合《汽车维修行业大气污染物排放标准》（DB32/ 3814—2020）。</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4.第二阶段采购合同授予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确定第二阶段成交供应商应当由采购人或服务对象依据入围产品价格、质量以及服务便利性、用户评价等因素，从第一阶段入围供应商中直接选定。</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4.2  第二阶段采购人操作流程</w:t>
      </w:r>
      <w:r>
        <w:rPr>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4.2.1采购人与</w:t>
      </w:r>
      <w:r>
        <w:rPr>
          <w:rFonts w:hint="eastAsia" w:ascii="宋体" w:hAnsi="宋体"/>
          <w:bCs/>
          <w:color w:val="000000"/>
          <w:sz w:val="24"/>
          <w:szCs w:val="24"/>
          <w:highlight w:val="none"/>
        </w:rPr>
        <w:t xml:space="preserve">入围供应商</w:t>
      </w:r>
      <w:r>
        <w:rPr>
          <w:rFonts w:hint="eastAsia" w:ascii="宋体" w:hAnsi="宋体" w:eastAsia="宋体" w:cs="宋体"/>
          <w:color w:val="000000"/>
          <w:sz w:val="24"/>
          <w:szCs w:val="24"/>
          <w:highlight w:val="none"/>
          <w:lang w:val="en-US" w:eastAsia="zh-CN"/>
        </w:rPr>
        <w:t xml:space="preserve">签订合同时工时单价不得超过</w:t>
      </w:r>
      <w:r>
        <w:rPr>
          <w:rFonts w:hint="eastAsia" w:ascii="宋体" w:hAnsi="宋体" w:eastAsia="宋体" w:cs="Times New Roman"/>
          <w:bCs/>
          <w:color w:val="000000"/>
          <w:sz w:val="24"/>
          <w:szCs w:val="24"/>
          <w:highlight w:val="none"/>
        </w:rPr>
        <w:t xml:space="preserve">供应商</w:t>
      </w:r>
      <w:r>
        <w:rPr>
          <w:rFonts w:hint="eastAsia" w:ascii="宋体" w:hAnsi="宋体" w:eastAsia="宋体" w:cs="Times New Roman"/>
          <w:bCs/>
          <w:color w:val="000000"/>
          <w:sz w:val="24"/>
          <w:szCs w:val="24"/>
          <w:highlight w:val="none"/>
          <w:lang w:val="en-US" w:eastAsia="zh-CN"/>
        </w:rPr>
        <w:t xml:space="preserve">投标时所</w:t>
      </w:r>
      <w:r>
        <w:rPr>
          <w:rFonts w:hint="eastAsia" w:ascii="宋体" w:hAnsi="宋体" w:eastAsia="宋体" w:cs="宋体"/>
          <w:color w:val="000000"/>
          <w:sz w:val="24"/>
          <w:szCs w:val="24"/>
          <w:highlight w:val="none"/>
          <w:lang w:val="en-US" w:eastAsia="zh-CN"/>
        </w:rPr>
        <w:t xml:space="preserve">报工时单价，</w:t>
      </w:r>
      <w:r>
        <w:rPr>
          <w:rFonts w:hint="eastAsia" w:ascii="宋体" w:hAnsi="宋体"/>
          <w:bCs/>
          <w:color w:val="000000"/>
          <w:sz w:val="24"/>
          <w:szCs w:val="24"/>
          <w:highlight w:val="none"/>
        </w:rPr>
        <w:t xml:space="preserve">材料进销差率（不需要报价，不参与价格评审）最高限定为30%，且不得高于4S 店报价以及同类型企业市场行情平均价格，汽车零配件材料实物、进价单、发票须一致</w:t>
      </w:r>
      <w:r>
        <w:rPr>
          <w:rFonts w:hint="eastAsia" w:ascii="宋体" w:hAnsi="宋体" w:eastAsia="宋体" w:cs="宋体"/>
          <w:color w:val="000000"/>
          <w:sz w:val="24"/>
          <w:szCs w:val="24"/>
          <w:highlight w:val="none"/>
          <w:lang w:val="en-US" w:eastAsia="zh-CN"/>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4.2.2</w:t>
      </w:r>
      <w:r>
        <w:rPr>
          <w:rFonts w:hint="eastAsia" w:ascii="宋体" w:hAnsi="宋体"/>
          <w:color w:val="000000"/>
          <w:sz w:val="24"/>
          <w:szCs w:val="24"/>
          <w:highlight w:val="none"/>
        </w:rPr>
        <w:t xml:space="preserve">自协议生效之日起，采购人可以在“苏采云”系统的“框架协议门户”菜单中进行框架协议采购。具体操作流程，</w:t>
      </w:r>
      <w:r>
        <w:rPr>
          <w:rFonts w:hint="eastAsia" w:ascii="宋体" w:hAnsi="宋体"/>
          <w:bCs/>
          <w:color w:val="000000"/>
          <w:sz w:val="24"/>
          <w:szCs w:val="24"/>
          <w:highlight w:val="none"/>
        </w:rPr>
        <w:t xml:space="preserve">采购人登录“苏采云”系统，下载《“苏采云”系统框架协议采购人操作手册》，根据《“苏采云”系统框架协议采购人操作手册》操作。</w:t>
      </w:r>
      <w:r>
        <w:rPr>
          <w:highlight w:val="none"/>
        </w:rPr>
      </w:r>
      <w:r/>
    </w:p>
    <w:p>
      <w:pPr>
        <w:pStyle w:val="881"/>
        <w:ind w:firstLine="480"/>
        <w:spacing w:line="360" w:lineRule="auto"/>
        <w:rPr>
          <w:color w:val="000000"/>
          <w:highlight w:val="none"/>
        </w:rPr>
      </w:pPr>
      <w:r>
        <w:rPr>
          <w:rFonts w:hint="eastAsia" w:ascii="宋体" w:hAnsi="宋体" w:eastAsia="宋体" w:cs="宋体"/>
          <w:color w:val="000000"/>
          <w:sz w:val="24"/>
          <w:szCs w:val="24"/>
          <w:highlight w:val="none"/>
          <w:lang w:val="en-US" w:eastAsia="zh-CN"/>
        </w:rPr>
        <w:t xml:space="preserve">4.2.3验收标准</w:t>
      </w:r>
      <w:r>
        <w:rPr>
          <w:highlight w:val="none"/>
        </w:rPr>
      </w:r>
      <w:r/>
    </w:p>
    <w:p>
      <w:pPr>
        <w:pStyle w:val="881"/>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承修供应商应根据送修单对送修公务用车进行认真检查，按政府采购公务用车维修委托单中的工时费用、材料费用等进行维修费用报价，承修供应商所报的工时单价不得超过入围时所报的工时单价，同时材料进销差价率须符合征集文件要求，采购人应当严格按照相关文件规定进行审核。承修供应商须及时向送修单位反馈送修公务用车维修情况。如超出维修范围、新增维修项目、增加维修费用，应重新报价</w:t>
      </w:r>
      <w:r>
        <w:rPr>
          <w:rFonts w:ascii="宋体" w:hAnsi="宋体" w:eastAsia="宋体" w:cs="Times New Roman"/>
          <w:bCs/>
          <w:color w:val="000000"/>
          <w:sz w:val="24"/>
          <w:szCs w:val="24"/>
          <w:highlight w:val="none"/>
          <w:lang w:val="en-US" w:eastAsia="zh-CN"/>
        </w:rPr>
        <w:t xml:space="preserve">。</w:t>
      </w:r>
      <w:r>
        <w:rPr>
          <w:highlight w:val="none"/>
        </w:rPr>
      </w:r>
      <w:r/>
    </w:p>
    <w:p>
      <w:pPr>
        <w:pStyle w:val="881"/>
        <w:ind w:firstLine="480"/>
        <w:spacing w:line="360" w:lineRule="auto"/>
        <w:rPr>
          <w:color w:val="000000"/>
          <w:highlight w:val="none"/>
        </w:rPr>
      </w:pPr>
      <w:r>
        <w:rPr>
          <w:rFonts w:hint="eastAsia" w:ascii="宋体" w:hAnsi="宋体" w:eastAsia="宋体" w:cs="Times New Roman"/>
          <w:bCs/>
          <w:color w:val="000000"/>
          <w:sz w:val="24"/>
          <w:szCs w:val="24"/>
          <w:highlight w:val="none"/>
          <w:lang w:val="en-US" w:eastAsia="zh-CN"/>
        </w:rPr>
        <w:t xml:space="preserve">(2)入围供应商对送</w:t>
      </w:r>
      <w:r>
        <w:rPr>
          <w:rFonts w:hint="eastAsia" w:ascii="宋体" w:hAnsi="宋体" w:eastAsia="宋体" w:cs="Times New Roman"/>
          <w:bCs/>
          <w:color w:val="000000"/>
          <w:sz w:val="24"/>
          <w:szCs w:val="24"/>
          <w:highlight w:val="none"/>
          <w:lang w:val="en-US" w:eastAsia="zh-CN"/>
        </w:rPr>
        <w:t xml:space="preserve">修公务用车实施二级维护、总成修理、整车修理的，应当执行维修前诊断检验、维修过程检验和竣工质量检验制度；竣工质量检验应使用符合有关标准且在检定有效期内的设备，按照有关标准进行检测，如实提供检测结果证明，并对检测结果承担法律责任。检验合格的，应由维修质量检验人员签发《机动车维修竣工出厂合格证》；未签发机动车维修竣工出厂合格证的，不得交付使用，送修单位可以拒绝接车或拒付费用。验收不合格，或在质量保修期内因维修质量出现问题的，供应商应无偿返工；因维修质量造成机械事故或经济损失的，由入围供应商承担全部责任并负责赔偿。</w:t>
      </w:r>
      <w:r>
        <w:rPr>
          <w:highlight w:val="none"/>
        </w:rPr>
      </w:r>
      <w:r/>
    </w:p>
    <w:p>
      <w:pPr>
        <w:pStyle w:val="881"/>
        <w:ind w:firstLine="480"/>
        <w:spacing w:line="360" w:lineRule="auto"/>
        <w:rPr>
          <w:color w:val="000000"/>
          <w:highlight w:val="none"/>
        </w:rPr>
      </w:pPr>
      <w:r>
        <w:rPr>
          <w:rFonts w:hint="eastAsia" w:ascii="宋体" w:hAnsi="宋体" w:eastAsia="宋体" w:cs="Times New Roman"/>
          <w:bCs/>
          <w:color w:val="000000"/>
          <w:sz w:val="24"/>
          <w:szCs w:val="24"/>
          <w:highlight w:val="none"/>
          <w:lang w:val="en-US" w:eastAsia="zh-CN"/>
        </w:rPr>
        <w:t xml:space="preserve">(3)采购人为公务用车维修验收责任人，应加强公务用车维修管理，健全内部管理制度，严格公务用车维修审批和结算审核手续。</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5.履约管理要求</w:t>
      </w:r>
      <w:r>
        <w:rPr>
          <w:highlight w:val="none"/>
        </w:rPr>
      </w:r>
      <w:r/>
    </w:p>
    <w:p>
      <w:pPr>
        <w:pStyle w:val="881"/>
        <w:ind w:firstLine="480"/>
        <w:spacing w:line="360" w:lineRule="auto"/>
        <w:rPr>
          <w:rFonts w:hint="eastAsia"/>
          <w:color w:val="000000"/>
          <w:highlight w:val="none"/>
        </w:rPr>
      </w:pPr>
      <w:r>
        <w:rPr>
          <w:rFonts w:hint="eastAsia" w:ascii="宋体" w:hAnsi="宋体"/>
          <w:color w:val="000000"/>
          <w:sz w:val="24"/>
          <w:szCs w:val="24"/>
          <w:highlight w:val="none"/>
          <w:lang w:val="en-US" w:eastAsia="zh-CN"/>
        </w:rPr>
        <w:t xml:space="preserve">5.1  检查内容(包括但不限于下列要求)</w:t>
      </w:r>
      <w:r>
        <w:rPr>
          <w:rFonts w:hint="eastAsia"/>
          <w:color w:val="000000"/>
          <w:highlight w:val="none"/>
          <w:lang w:eastAsia="zh-CN"/>
        </w:rPr>
        <w:t xml:space="preserve">：</w:t>
      </w:r>
      <w:r>
        <w:rPr>
          <w:highlight w:val="none"/>
        </w:rPr>
      </w:r>
      <w:r/>
    </w:p>
    <w:p>
      <w:pPr>
        <w:pStyle w:val="88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5.1.1 维修企业机修工位、电器维修工位、钣金作业区、涂漆烤漆房、总成维修间、配件库房、危废存放区等全部作业区域，应当编制与岗位作业相匹配的安全操作规程、设备操作规程、环保作业操作规程；操作规程内容应当完整、可执行，不得照搬通用模板，应当结合本企业设备配置、维修作业实际编制；所有操作规程须在对应作业区域醒目位置上墙公示，公示内容清晰完整，无破损、遮挡。相关部门开展二阶段管理现场抽查时，供应商须配合检查，无法现场提供对应上墙操作规程的，</w:t>
      </w:r>
      <w:r>
        <w:rPr>
          <w:rFonts w:ascii="宋体" w:hAnsi="宋体" w:eastAsia="宋体" w:cs="宋体"/>
          <w:color w:val="000000"/>
          <w:sz w:val="24"/>
          <w:szCs w:val="24"/>
          <w:highlight w:val="none"/>
        </w:rPr>
        <w:t xml:space="preserve">视为未按框架协议约定履行义务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并根据相关规定处理</w:t>
      </w:r>
      <w:r>
        <w:rPr>
          <w:rFonts w:hint="eastAsia" w:ascii="宋体" w:hAnsi="宋体" w:eastAsia="宋体" w:cs="Times New Roman"/>
          <w:color w:val="000000"/>
          <w:sz w:val="24"/>
          <w:szCs w:val="24"/>
          <w:highlight w:val="none"/>
          <w:lang w:val="en-US" w:eastAsia="zh-CN"/>
        </w:rPr>
        <w:t xml:space="preserve">。</w:t>
      </w:r>
      <w:r>
        <w:rPr>
          <w:highlight w:val="none"/>
        </w:rPr>
      </w:r>
      <w:r/>
    </w:p>
    <w:p>
      <w:pPr>
        <w:pStyle w:val="881"/>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入围供应商须保证视频画面清晰，能够识别车辆、作业人员及维修作业过程。接到</w:t>
      </w:r>
      <w:r>
        <w:rPr>
          <w:rFonts w:hint="eastAsia" w:ascii="宋体" w:hAnsi="宋体" w:eastAsia="宋体" w:cs="宋体"/>
          <w:color w:val="000000"/>
          <w:sz w:val="24"/>
          <w:szCs w:val="24"/>
          <w:highlight w:val="none"/>
          <w:lang w:val="en-US" w:eastAsia="zh-CN"/>
        </w:rPr>
        <w:t xml:space="preserve">相关部门</w:t>
      </w:r>
      <w:r>
        <w:rPr>
          <w:rFonts w:hint="eastAsia" w:ascii="宋体" w:hAnsi="宋体" w:eastAsia="宋体" w:cs="宋体"/>
          <w:color w:val="000000"/>
          <w:sz w:val="24"/>
          <w:szCs w:val="24"/>
          <w:highlight w:val="none"/>
        </w:rPr>
        <w:t xml:space="preserve">调取通知后，须在通知规定时限内完成指定时段监控视频调取、拷贝、光盘刻录工作，光盘内容应当标注维修单位名称、调取时段、车牌信息，完整可读，不得剪辑、篡改、删减原始监控录像，按时提交至要求调取资料的相关部门；无法提供完整原始监控录像、视频篡改、视频存储时长不足、逾期拒不提交的，</w:t>
      </w:r>
      <w:r>
        <w:rPr>
          <w:rFonts w:ascii="宋体" w:hAnsi="宋体" w:eastAsia="宋体" w:cs="宋体"/>
          <w:color w:val="000000"/>
          <w:sz w:val="24"/>
          <w:szCs w:val="24"/>
          <w:highlight w:val="none"/>
        </w:rPr>
        <w:t xml:space="preserve">视为未按框架协议约定履行义务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并根据相关规定处理</w:t>
      </w:r>
      <w:r>
        <w:rPr>
          <w:rFonts w:hint="eastAsia" w:ascii="宋体" w:hAnsi="宋体" w:eastAsia="宋体" w:cs="宋体"/>
          <w:color w:val="000000"/>
          <w:sz w:val="24"/>
          <w:szCs w:val="24"/>
          <w:highlight w:val="none"/>
        </w:rPr>
        <w:t xml:space="preserve">。</w:t>
      </w:r>
      <w:r>
        <w:rPr>
          <w:highlight w:val="none"/>
        </w:rPr>
      </w:r>
      <w:r/>
    </w:p>
    <w:p>
      <w:pPr>
        <w:pStyle w:val="881"/>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5.1.3</w:t>
      </w:r>
      <w:r>
        <w:rPr>
          <w:rFonts w:hint="eastAsia" w:ascii="宋体" w:hAnsi="宋体" w:eastAsia="宋体" w:cs="宋体"/>
          <w:color w:val="000000"/>
          <w:sz w:val="24"/>
          <w:szCs w:val="24"/>
          <w:highlight w:val="none"/>
          <w:lang w:val="en-US" w:eastAsia="zh-CN"/>
        </w:rPr>
        <w:t xml:space="preserve"> 维保费用单（详见附件1）</w:t>
      </w:r>
      <w:r>
        <w:rPr>
          <w:rFonts w:ascii="宋体" w:hAnsi="宋体" w:eastAsia="宋体" w:cs="宋体"/>
          <w:color w:val="000000"/>
          <w:sz w:val="24"/>
          <w:szCs w:val="24"/>
          <w:highlight w:val="none"/>
        </w:rPr>
        <w:t xml:space="preserve">内容应当如实完整填写公务用车维修全部关键信息，</w:t>
      </w:r>
      <w:r>
        <w:rPr>
          <w:rFonts w:hint="eastAsia" w:ascii="宋体" w:hAnsi="宋体" w:eastAsia="宋体" w:cs="宋体"/>
          <w:color w:val="000000"/>
          <w:sz w:val="24"/>
          <w:szCs w:val="24"/>
          <w:highlight w:val="none"/>
          <w:lang w:val="en-US" w:eastAsia="zh-CN"/>
        </w:rPr>
        <w:t xml:space="preserve">不</w:t>
      </w:r>
      <w:r>
        <w:rPr>
          <w:rFonts w:ascii="宋体" w:hAnsi="宋体" w:eastAsia="宋体" w:cs="宋体"/>
          <w:color w:val="000000"/>
          <w:sz w:val="24"/>
          <w:szCs w:val="24"/>
          <w:highlight w:val="none"/>
        </w:rPr>
        <w:t xml:space="preserve">得空项、漏项、虚假填报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按“无锡公车管理平台”相关要求</w:t>
      </w:r>
      <w:r>
        <w:rPr>
          <w:rFonts w:ascii="宋体" w:hAnsi="宋体" w:eastAsia="宋体" w:cs="宋体"/>
          <w:color w:val="000000"/>
          <w:sz w:val="24"/>
          <w:szCs w:val="24"/>
          <w:highlight w:val="none"/>
        </w:rPr>
        <w:t xml:space="preserve">数据应当与维修委托单、维修结算清单、维修电子健康档案记录保持一致。维修业务办结完成后须在规定时限内完成</w:t>
      </w:r>
      <w:r>
        <w:rPr>
          <w:rFonts w:hint="eastAsia" w:ascii="宋体" w:hAnsi="宋体" w:eastAsia="宋体" w:cs="宋体"/>
          <w:color w:val="000000"/>
          <w:sz w:val="24"/>
          <w:szCs w:val="24"/>
          <w:highlight w:val="none"/>
          <w:lang w:val="en-US" w:eastAsia="zh-CN"/>
        </w:rPr>
        <w:t xml:space="preserve">维保费用单（详见附件1）</w:t>
      </w:r>
      <w:r>
        <w:rPr>
          <w:rFonts w:ascii="宋体" w:hAnsi="宋体" w:eastAsia="宋体" w:cs="宋体"/>
          <w:color w:val="000000"/>
          <w:sz w:val="24"/>
          <w:szCs w:val="24"/>
          <w:highlight w:val="none"/>
        </w:rPr>
        <w:t xml:space="preserve"> 导出，并准确上传至苏采云对应框架协议业务模块，做到一车一档。监管抽查过程中，出现漏传、迟传、错传、信息填报不实， 与实际维修档案资料不一致的，视为未按框架协议约定履行义务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并根据相关规定处理</w:t>
      </w:r>
      <w:r>
        <w:rPr>
          <w:rFonts w:ascii="宋体" w:hAnsi="宋体" w:eastAsia="宋体" w:cs="宋体"/>
          <w:color w:val="000000"/>
          <w:sz w:val="24"/>
          <w:szCs w:val="24"/>
          <w:highlight w:val="none"/>
        </w:rPr>
        <w:t xml:space="preserve">。</w:t>
      </w:r>
      <w:r>
        <w:rPr>
          <w:highlight w:val="none"/>
        </w:rPr>
      </w:r>
      <w:r/>
    </w:p>
    <w:p>
      <w:pPr>
        <w:pStyle w:val="881"/>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5.1.4</w:t>
      </w:r>
      <w:r>
        <w:rPr>
          <w:rFonts w:hint="eastAsia" w:ascii="宋体" w:hAnsi="宋体" w:eastAsia="宋体" w:cs="宋体"/>
          <w:color w:val="000000"/>
          <w:sz w:val="24"/>
          <w:szCs w:val="24"/>
          <w:highlight w:val="none"/>
          <w:lang w:val="en-US" w:eastAsia="zh-CN"/>
        </w:rPr>
        <w:t xml:space="preserve"> 每一笔公务用车维修业务，承修供应商均应当完整归集全套交接验收归档资料，做到一车一档，资料齐全、逻辑对应。①政府采购公务用车维修委托单，应当完整履行托修方、承修方签字盖章手续，维修项目、预估费用填写完整；②维保费用单（详见附件1）必须加盖入围供应商公章</w:t>
      </w:r>
      <w:r>
        <w:rPr>
          <w:rFonts w:hint="eastAsia"/>
          <w:color w:val="000000"/>
          <w:highlight w:val="none"/>
          <w:lang w:eastAsia="zh-CN"/>
        </w:rPr>
        <w:t xml:space="preserve">。</w:t>
      </w:r>
      <w:r>
        <w:rPr>
          <w:rFonts w:hint="eastAsia" w:ascii="宋体" w:hAnsi="宋体" w:eastAsia="宋体" w:cs="宋体"/>
          <w:color w:val="000000"/>
          <w:sz w:val="24"/>
          <w:szCs w:val="24"/>
          <w:highlight w:val="none"/>
          <w:lang w:val="en-US" w:eastAsia="zh-CN"/>
        </w:rPr>
        <w:t xml:space="preserve">维保费用单（详见附件1）记录内容须与维修委托单、结算清单、配件进货凭证保持一致；③维修服务发票须为正规有效增值税发票，发票服务内容、金额与实际维修结算总费用一致。全套归档资料供应商应当留存保管，保管期限按照政府采购档案及机动车维修档案管理相关规定执行，监管部门开展抽查、核查时，供应商应当完整提供全套纸质或电子归档资料；资料缺失、公章缺失、单据之间信息矛盾不一致，</w:t>
      </w:r>
      <w:r>
        <w:rPr>
          <w:rFonts w:ascii="宋体" w:hAnsi="宋体" w:eastAsia="宋体" w:cs="宋体"/>
          <w:color w:val="000000"/>
          <w:sz w:val="24"/>
          <w:szCs w:val="24"/>
          <w:highlight w:val="none"/>
        </w:rPr>
        <w:t xml:space="preserve">视为未按框架协议约定履行义务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并根据相关规定处理。</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管理形式：</w:t>
      </w:r>
      <w:r>
        <w:rPr>
          <w:rFonts w:hint="eastAsia" w:ascii="宋体" w:hAnsi="宋体" w:cs="宋体"/>
          <w:bCs/>
          <w:color w:val="000000"/>
          <w:sz w:val="24"/>
          <w:szCs w:val="24"/>
          <w:highlight w:val="none"/>
        </w:rPr>
        <w:t xml:space="preserve">无锡市公共资源交易中心按管理要求通过系统反馈的采购人评价、供应商违规预警提示信息、配合</w:t>
      </w:r>
      <w:r>
        <w:rPr>
          <w:rFonts w:hint="eastAsia" w:ascii="宋体" w:hAnsi="宋体"/>
          <w:bCs/>
          <w:color w:val="000000"/>
          <w:sz w:val="24"/>
          <w:szCs w:val="24"/>
          <w:highlight w:val="none"/>
        </w:rPr>
        <w:t xml:space="preserve">公务用车主管部门、行业主管部门、政采监管部门</w:t>
      </w:r>
      <w:r>
        <w:rPr>
          <w:rFonts w:hint="eastAsia" w:ascii="宋体" w:hAnsi="宋体" w:cs="宋体"/>
          <w:bCs/>
          <w:color w:val="000000"/>
          <w:sz w:val="24"/>
          <w:szCs w:val="24"/>
          <w:highlight w:val="none"/>
        </w:rPr>
        <w:t xml:space="preserve">进行满意度调查、随机抽查等方式，对框架协议入围供应商开展履约及售后服务进行监督。</w:t>
      </w:r>
      <w:r>
        <w:rPr>
          <w:rFonts w:hint="eastAsia" w:ascii="宋体" w:hAnsi="宋体"/>
          <w:bCs/>
          <w:color w:val="000000"/>
          <w:sz w:val="24"/>
          <w:szCs w:val="24"/>
          <w:highlight w:val="none"/>
        </w:rPr>
        <w:t xml:space="preserve">检查和处理结果将在框架协议系统</w:t>
      </w:r>
      <w:r>
        <w:rPr>
          <w:rFonts w:hint="eastAsia" w:ascii="宋体" w:hAnsi="宋体"/>
          <w:bCs/>
          <w:color w:val="000000"/>
          <w:sz w:val="24"/>
          <w:szCs w:val="24"/>
          <w:highlight w:val="none"/>
          <w:lang w:val="en-US" w:eastAsia="zh-CN"/>
        </w:rPr>
        <w:t xml:space="preserve">公示</w:t>
      </w:r>
      <w:r>
        <w:rPr>
          <w:rFonts w:hint="eastAsia" w:ascii="宋体" w:hAnsi="宋体"/>
          <w:bCs/>
          <w:color w:val="000000"/>
          <w:sz w:val="24"/>
          <w:szCs w:val="24"/>
          <w:highlight w:val="none"/>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管理措施：对履约监管中发现的不合规行为，按以下措施处理：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.1  约谈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入围供应商在框架协议采购（第二阶段）</w:t>
      </w:r>
      <w:r>
        <w:rPr>
          <w:rFonts w:hint="eastAsia" w:ascii="宋体" w:hAnsi="宋体"/>
          <w:bCs/>
          <w:color w:val="000000"/>
          <w:sz w:val="24"/>
          <w:szCs w:val="24"/>
          <w:highlight w:val="none"/>
          <w:lang w:val="en-US" w:eastAsia="zh-CN"/>
        </w:rPr>
        <w:t xml:space="preserve">管理过程中</w:t>
      </w:r>
      <w:r>
        <w:rPr>
          <w:rFonts w:hint="eastAsia" w:ascii="宋体" w:hAnsi="宋体"/>
          <w:bCs/>
          <w:color w:val="000000"/>
          <w:sz w:val="24"/>
          <w:szCs w:val="24"/>
          <w:highlight w:val="none"/>
        </w:rPr>
        <w:t xml:space="preserve">出现下列情况，无锡市公共资源交易中心将配合相关监管部门对相应供应商进行约谈：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（1）入围供应商提供的服务不符合国家有关规定、响应承诺和框架协议规定；</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（2）无正当理由拒单或不按照承诺提供服务；</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（3）具体项目成交价高于其入围价格或服务承诺；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（4）使用不正当竞争手段，影响采购单位正常采购活动；</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（5）满意度调查中采购人反馈不满意，经核实确系供应商责任；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（6）其他违法违规行为。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出现上述情况时，无锡市公共资源交易中心将向相关供应商发“约谈通知书”，进行约谈并填写“约谈记录表”。</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.2  整改</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（1）经约谈后，供应商仍存在以上违规行为的，无锡市公共资源交易中心开具“责令整改通知书”限定其在规定时间内完成整改（整改期限原则上为7日）。</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（2）根据当期征集文件要求，被开具“责令整改通知书”的供应商，且供应商未提异议或异议不成立，将视作差评，记录在案。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.3  暂停交易资格</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（1）对出现下列情形的入围供应商，无锡市公共资源交易中心核实情况并向监管部门报告后暂停其框架协议交易资格三个月，并在框架协议系统公示：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①拒不接受公共资源交易中心约谈（通知三次仍无回应）。</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②未按“责令整改通知书”规定的时间完成整改和上报整改情况的供应商。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③整改结束后仍出现类似违法违规行为。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（2）对于暂停其框架协议交易资格期满后，仍出现类似违法违规行为的入围供应商，无锡市公共资源交易中心核实情况后暂停其框架协议交易资格六个月，并在框架协议系统公示。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.4  终止交易资格</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存在财政部第110号令涉及的情形以及无正当理由放弃封闭式框架协议入围资格或者退出封闭式框架协议的，将取消其入围资格，解除与其签订的框架协议，同时报请市财政部门，列入供应商诚信档案，并依照相关法律、行政法规追究法律责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  解决争议的方法</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双方在执行合同中所发生的一切争议，应通过协商解决。如协商不成，可向采购人所在地人民法院起诉。</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6.响应文件中须提供的材料及证明</w:t>
      </w:r>
      <w:r>
        <w:rPr>
          <w:highlight w:val="none"/>
        </w:rPr>
      </w:r>
      <w:r/>
    </w:p>
    <w:p>
      <w:pPr>
        <w:pStyle w:val="881"/>
        <w:ind w:firstLine="482"/>
        <w:spacing w:line="360" w:lineRule="auto"/>
        <w:rPr>
          <w:rFonts w:hint="eastAsia" w:ascii="宋体" w:hAnsi="宋体"/>
          <w:b/>
          <w:bCs/>
          <w:color w:val="000000"/>
          <w:sz w:val="24"/>
          <w:szCs w:val="24"/>
          <w:highlight w:val="none"/>
          <w:u w:val="single"/>
        </w:rPr>
      </w:pPr>
      <w:r>
        <w:rPr>
          <w:rFonts w:hint="eastAsia" w:ascii="宋体" w:hAnsi="宋体"/>
          <w:b/>
          <w:bCs/>
          <w:color w:val="000000"/>
          <w:sz w:val="24"/>
          <w:szCs w:val="24"/>
          <w:highlight w:val="none"/>
          <w:u w:val="single"/>
        </w:rPr>
        <w:t xml:space="preserve">供应商须根据征集文件要求，在响应文件中提供以下材料及相关证明，所须提供的材料及证明要求如下，未按要求提供或未提供的将被视为无效响应文件。</w:t>
      </w:r>
      <w:r>
        <w:rPr>
          <w:highlight w:val="none"/>
        </w:rPr>
      </w:r>
      <w:r/>
    </w:p>
    <w:tbl>
      <w:tblPr>
        <w:tblW w:w="9606" w:type="dxa"/>
        <w:jc w:val="center"/>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559"/>
        <w:gridCol w:w="5593"/>
        <w:gridCol w:w="1843"/>
      </w:tblGrid>
      <w:tr>
        <w:trPr/>
        <w:tc>
          <w:tcPr>
            <w:tcW w:w="611" w:type="dxa"/>
            <w:vAlign w:val="center"/>
            <w:textDirection w:val="lrTb"/>
            <w:noWrap w:val="false"/>
          </w:tcPr>
          <w:p>
            <w:pPr>
              <w:pStyle w:val="881"/>
              <w:jc w:val="center"/>
              <w:rPr>
                <w:rFonts w:ascii="宋体" w:hAnsi="宋体"/>
                <w:b/>
                <w:color w:val="000000"/>
                <w:sz w:val="18"/>
                <w:szCs w:val="18"/>
                <w:highlight w:val="none"/>
              </w:rPr>
            </w:pPr>
            <w:r>
              <w:rPr>
                <w:rFonts w:ascii="宋体" w:hAnsi="宋体"/>
                <w:b/>
                <w:color w:val="000000"/>
                <w:sz w:val="18"/>
                <w:szCs w:val="18"/>
                <w:highlight w:val="none"/>
              </w:rPr>
              <w:t xml:space="preserve">序号</w:t>
            </w:r>
            <w:r>
              <w:rPr>
                <w:highlight w:val="none"/>
              </w:rPr>
            </w:r>
            <w:r/>
          </w:p>
        </w:tc>
        <w:tc>
          <w:tcPr>
            <w:tcW w:w="1559" w:type="dxa"/>
            <w:vAlign w:val="center"/>
            <w:textDirection w:val="lrTb"/>
            <w:noWrap w:val="false"/>
          </w:tcPr>
          <w:p>
            <w:pPr>
              <w:pStyle w:val="881"/>
              <w:jc w:val="center"/>
              <w:rPr>
                <w:rFonts w:ascii="宋体" w:hAnsi="宋体"/>
                <w:b/>
                <w:color w:val="000000"/>
                <w:sz w:val="18"/>
                <w:szCs w:val="18"/>
                <w:highlight w:val="none"/>
              </w:rPr>
            </w:pPr>
            <w:r>
              <w:rPr>
                <w:rFonts w:hint="eastAsia" w:ascii="宋体" w:hAnsi="宋体"/>
                <w:b/>
                <w:color w:val="000000"/>
                <w:sz w:val="18"/>
                <w:szCs w:val="18"/>
                <w:highlight w:val="none"/>
              </w:rPr>
              <w:t xml:space="preserve">项目内容</w:t>
            </w:r>
            <w:r>
              <w:rPr>
                <w:highlight w:val="none"/>
              </w:rPr>
            </w:r>
            <w:r/>
          </w:p>
        </w:tc>
        <w:tc>
          <w:tcPr>
            <w:tcW w:w="5593" w:type="dxa"/>
            <w:vAlign w:val="center"/>
            <w:textDirection w:val="lrTb"/>
            <w:noWrap w:val="false"/>
          </w:tcPr>
          <w:p>
            <w:pPr>
              <w:pStyle w:val="881"/>
              <w:jc w:val="center"/>
              <w:rPr>
                <w:rFonts w:ascii="宋体" w:hAnsi="宋体"/>
                <w:b/>
                <w:color w:val="000000"/>
                <w:sz w:val="18"/>
                <w:szCs w:val="18"/>
                <w:highlight w:val="none"/>
              </w:rPr>
            </w:pPr>
            <w:r>
              <w:rPr>
                <w:rFonts w:ascii="宋体" w:hAnsi="宋体"/>
                <w:b/>
                <w:color w:val="000000"/>
                <w:sz w:val="18"/>
                <w:szCs w:val="18"/>
                <w:highlight w:val="none"/>
              </w:rPr>
              <w:t xml:space="preserve">材料及证明要求</w:t>
            </w:r>
            <w:r>
              <w:rPr>
                <w:highlight w:val="none"/>
              </w:rPr>
            </w:r>
            <w:r/>
          </w:p>
        </w:tc>
        <w:tc>
          <w:tcPr>
            <w:tcW w:w="1843" w:type="dxa"/>
            <w:vAlign w:val="center"/>
            <w:textDirection w:val="lrTb"/>
            <w:noWrap w:val="false"/>
          </w:tcPr>
          <w:p>
            <w:pPr>
              <w:pStyle w:val="881"/>
              <w:jc w:val="center"/>
              <w:rPr>
                <w:rFonts w:ascii="宋体" w:hAnsi="宋体"/>
                <w:b/>
                <w:color w:val="000000"/>
                <w:sz w:val="18"/>
                <w:szCs w:val="18"/>
                <w:highlight w:val="none"/>
              </w:rPr>
            </w:pPr>
            <w:r>
              <w:rPr>
                <w:rFonts w:ascii="宋体" w:hAnsi="宋体"/>
                <w:b/>
                <w:color w:val="000000"/>
                <w:sz w:val="18"/>
                <w:szCs w:val="18"/>
                <w:highlight w:val="none"/>
              </w:rPr>
              <w:t xml:space="preserve">备注</w:t>
            </w:r>
            <w:r>
              <w:rPr>
                <w:highlight w:val="none"/>
              </w:rPr>
            </w:r>
            <w:r/>
          </w:p>
        </w:tc>
      </w:tr>
      <w:tr>
        <w:trPr/>
        <w:tc>
          <w:tcPr>
            <w:tcW w:w="611" w:type="dxa"/>
            <w:vAlign w:val="center"/>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highlight w:val="none"/>
              </w:rPr>
            </w:r>
            <w:r/>
          </w:p>
        </w:tc>
        <w:tc>
          <w:tcPr>
            <w:tcW w:w="1559" w:type="dxa"/>
            <w:vAlign w:val="center"/>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供应商基本情况</w:t>
            </w:r>
            <w:r>
              <w:rPr>
                <w:highlight w:val="none"/>
              </w:rPr>
            </w:r>
            <w:r/>
          </w:p>
        </w:tc>
        <w:tc>
          <w:tcPr>
            <w:tcW w:w="5593" w:type="dxa"/>
            <w:vAlign w:val="center"/>
            <w:textDirection w:val="lrTb"/>
            <w:noWrap w:val="false"/>
          </w:tcPr>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须按要求填报</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供应商基本情况表</w:t>
            </w:r>
            <w:r>
              <w:rPr>
                <w:rFonts w:ascii="宋体" w:hAnsi="宋体"/>
                <w:color w:val="000000"/>
                <w:sz w:val="18"/>
                <w:szCs w:val="18"/>
                <w:highlight w:val="none"/>
              </w:rPr>
              <w:t xml:space="preserve">》</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供应商基本情况表</w:t>
            </w:r>
            <w:r>
              <w:rPr>
                <w:rFonts w:ascii="宋体" w:hAnsi="宋体"/>
                <w:color w:val="000000"/>
                <w:sz w:val="18"/>
                <w:szCs w:val="18"/>
                <w:highlight w:val="none"/>
              </w:rPr>
              <w:t xml:space="preserve">》格式详见第六章</w:t>
            </w:r>
            <w:r>
              <w:rPr>
                <w:highlight w:val="none"/>
              </w:rPr>
            </w:r>
            <w:r/>
          </w:p>
        </w:tc>
      </w:tr>
      <w:tr>
        <w:trPr/>
        <w:tc>
          <w:tcPr>
            <w:tcW w:w="611" w:type="dxa"/>
            <w:vAlign w:val="center"/>
            <w:vMerge w:val="restart"/>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2</w:t>
            </w:r>
            <w:r>
              <w:rPr>
                <w:highlight w:val="none"/>
              </w:rPr>
            </w:r>
            <w:r/>
          </w:p>
        </w:tc>
        <w:tc>
          <w:tcPr>
            <w:tcW w:w="1559" w:type="dxa"/>
            <w:vAlign w:val="center"/>
            <w:vMerge w:val="restart"/>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t xml:space="preserve">场地相关材料及证明</w:t>
            </w:r>
            <w:r>
              <w:rPr>
                <w:highlight w:val="none"/>
              </w:rPr>
            </w:r>
            <w:r/>
          </w:p>
        </w:tc>
        <w:tc>
          <w:tcPr>
            <w:tcW w:w="5593" w:type="dxa"/>
            <w:vAlign w:val="center"/>
            <w:textDirection w:val="lrTb"/>
            <w:noWrap w:val="false"/>
          </w:tcPr>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场地平面布局图：</w:t>
            </w:r>
            <w:r>
              <w:rPr>
                <w:highlight w:val="none"/>
              </w:rPr>
            </w:r>
            <w:r/>
          </w:p>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提供场地布局平面图，平面图注明地址，同时按停车场、接待室、机修、电器、钣金、油漆等区域分别注明面积。</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rPr>
                <w:highlight w:val="none"/>
              </w:rPr>
            </w:r>
            <w:r/>
          </w:p>
        </w:tc>
      </w:tr>
      <w:tr>
        <w:trPr/>
        <w:tc>
          <w:tcPr>
            <w:tcW w:w="611" w:type="dxa"/>
            <w:vAlign w:val="center"/>
            <w:vMerge w:val="continue"/>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vMerge w:val="continue"/>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p>
        </w:tc>
        <w:tc>
          <w:tcPr>
            <w:tcW w:w="5593" w:type="dxa"/>
            <w:vAlign w:val="center"/>
            <w:textDirection w:val="lrTb"/>
            <w:noWrap w:val="false"/>
          </w:tcPr>
          <w:p>
            <w:pPr>
              <w:pStyle w:val="881"/>
              <w:jc w:val="left"/>
              <w:rPr>
                <w:rFonts w:hint="eastAsia" w:ascii="宋体" w:hAnsi="宋体"/>
                <w:color w:val="000000"/>
                <w:sz w:val="18"/>
                <w:szCs w:val="18"/>
                <w:highlight w:val="none"/>
              </w:rPr>
            </w:pPr>
            <w:r>
              <w:rPr>
                <w:rFonts w:ascii="宋体" w:hAnsi="宋体"/>
                <w:color w:val="000000"/>
                <w:sz w:val="18"/>
                <w:szCs w:val="18"/>
                <w:highlight w:val="none"/>
              </w:rPr>
              <w:t xml:space="preserve">场地证明材料：</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（1）若场地为自有产权的，须提供：</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①</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提供房屋产权证复印件、国土证复印件；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②</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提供房地产权证复印件；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③</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提供不动产权证书复印件；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注：上述①-③项，提供其中任意一条即可。</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（2）若场地为租赁的，须提供租赁合同复印件和发票复印件</w:t>
            </w:r>
            <w:r>
              <w:rPr>
                <w:rFonts w:hint="eastAsia" w:ascii="宋体" w:hAnsi="宋体"/>
                <w:color w:val="000000"/>
                <w:sz w:val="18"/>
                <w:szCs w:val="18"/>
                <w:highlight w:val="none"/>
                <w:lang w:eastAsia="zh-CN"/>
              </w:rPr>
              <w:t xml:space="preserve">（</w:t>
            </w:r>
            <w:r>
              <w:rPr>
                <w:rFonts w:hint="eastAsia" w:ascii="宋体" w:hAnsi="宋体"/>
                <w:color w:val="000000"/>
                <w:sz w:val="18"/>
                <w:szCs w:val="18"/>
                <w:highlight w:val="none"/>
                <w:lang w:val="en-US" w:eastAsia="zh-CN"/>
              </w:rPr>
              <w:t xml:space="preserve">租赁期限不得少于1年</w:t>
            </w:r>
            <w:r>
              <w:rPr>
                <w:rFonts w:hint="eastAsia" w:ascii="宋体" w:hAnsi="宋体"/>
                <w:color w:val="000000"/>
                <w:sz w:val="18"/>
                <w:szCs w:val="18"/>
                <w:highlight w:val="none"/>
                <w:lang w:eastAsia="zh-CN"/>
              </w:rPr>
              <w:t xml:space="preserve">）</w:t>
            </w:r>
            <w:r>
              <w:rPr>
                <w:rFonts w:hint="eastAsia" w:ascii="宋体" w:hAnsi="宋体"/>
                <w:color w:val="000000"/>
                <w:sz w:val="18"/>
                <w:szCs w:val="18"/>
                <w:highlight w:val="none"/>
              </w:rPr>
              <w:t xml:space="preserve">，同时提供下列证明材料：</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①</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提供房屋产权证复印件、国土证复印件；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②</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提供房地产权证复印件；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③</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提供不动产权证书复印件；</w:t>
            </w:r>
            <w:r>
              <w:rPr>
                <w:highlight w:val="none"/>
              </w:rPr>
            </w:r>
            <w:r/>
          </w:p>
          <w:p>
            <w:pPr>
              <w:pStyle w:val="881"/>
              <w:jc w:val="left"/>
              <w:rPr>
                <w:rFonts w:hint="eastAsia" w:ascii="宋体" w:hAnsi="宋体" w:eastAsia="宋体"/>
                <w:b/>
                <w:bCs/>
                <w:color w:val="000000"/>
                <w:sz w:val="18"/>
                <w:szCs w:val="18"/>
                <w:highlight w:val="none"/>
              </w:rPr>
            </w:pPr>
            <w:r>
              <w:rPr>
                <w:rFonts w:hint="eastAsia" w:ascii="宋体" w:hAnsi="宋体"/>
                <w:b/>
                <w:bCs/>
                <w:color w:val="000000"/>
                <w:sz w:val="18"/>
                <w:szCs w:val="18"/>
                <w:highlight w:val="none"/>
              </w:rPr>
              <w:t xml:space="preserve">如供应商现有场地租赁合同将于 2027 年至 2028 年期间届满，供应则还须提供承诺函，承诺到期后将续租，续租期限至2028年12月31日</w:t>
            </w:r>
            <w:r>
              <w:rPr>
                <w:rFonts w:hint="eastAsia" w:ascii="宋体" w:hAnsi="宋体"/>
                <w:b/>
                <w:bCs/>
                <w:color w:val="000000"/>
                <w:sz w:val="18"/>
                <w:szCs w:val="18"/>
                <w:highlight w:val="none"/>
                <w:lang w:eastAsia="zh-CN"/>
              </w:rPr>
              <w:t xml:space="preserve">。</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注：上述①-③项，提供其中任意一条即可。</w:t>
            </w:r>
            <w:r>
              <w:rPr>
                <w:highlight w:val="none"/>
              </w:rPr>
            </w:r>
            <w:r/>
          </w:p>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（3）若房屋产权人正在办理不动产权证书的，须提供由产权人出具办理不动产权证书的情况说明或提供法院裁决书复印件。</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rPr>
                <w:highlight w:val="none"/>
              </w:rPr>
            </w:r>
            <w:r/>
          </w:p>
        </w:tc>
      </w:tr>
      <w:tr>
        <w:trPr/>
        <w:tc>
          <w:tcPr>
            <w:tcW w:w="611" w:type="dxa"/>
            <w:vAlign w:val="center"/>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3</w:t>
            </w:r>
            <w:r>
              <w:rPr>
                <w:highlight w:val="none"/>
              </w:rPr>
            </w:r>
            <w:r/>
          </w:p>
        </w:tc>
        <w:tc>
          <w:tcPr>
            <w:tcW w:w="1559"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t xml:space="preserve">设备相关材料及证明</w:t>
            </w:r>
            <w:r>
              <w:rPr>
                <w:highlight w:val="none"/>
              </w:rPr>
            </w:r>
            <w:r/>
          </w:p>
        </w:tc>
        <w:tc>
          <w:tcPr>
            <w:tcW w:w="5593" w:type="dxa"/>
            <w:vAlign w:val="center"/>
            <w:textDirection w:val="lrTb"/>
            <w:noWrap w:val="false"/>
          </w:tcPr>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设备照片：</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（1）提供机修、电器、钣金、油漆工序所需的举升机（或地沟）照片（至少1张）；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（2）烤房照片（至少1张）；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（3）大梁校正仪照片（至少1张）；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（4）车轮动平衡机照片（至少1张）；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（5）四轮定位仪照片（至少1张）；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（6）排气分析仪照片（至少1张）；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（7）汽车故障电脑诊断仪照片（至少1张）。</w:t>
            </w:r>
            <w:r>
              <w:rPr>
                <w:highlight w:val="none"/>
              </w:rPr>
            </w:r>
            <w:r/>
          </w:p>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注：供应商提供的以上照片均须备注好相应设备的名称。</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rPr>
                <w:highlight w:val="none"/>
              </w:rPr>
            </w:r>
            <w:r/>
          </w:p>
        </w:tc>
      </w:tr>
      <w:tr>
        <w:trPr/>
        <w:tc>
          <w:tcPr>
            <w:tcW w:w="611" w:type="dxa"/>
            <w:vAlign w:val="center"/>
            <w:textDirection w:val="lrTb"/>
            <w:noWrap w:val="false"/>
          </w:tcPr>
          <w:p>
            <w:pPr>
              <w:pStyle w:val="881"/>
              <w:jc w:val="center"/>
              <w:rPr>
                <w:rFonts w:hint="eastAsia" w:ascii="宋体" w:hAnsi="宋体" w:eastAsia="宋体"/>
                <w:color w:val="000000"/>
                <w:sz w:val="18"/>
                <w:szCs w:val="18"/>
                <w:highlight w:val="none"/>
              </w:rPr>
            </w:pPr>
            <w:r>
              <w:rPr>
                <w:rFonts w:hint="eastAsia" w:ascii="宋体" w:hAnsi="宋体"/>
                <w:color w:val="000000"/>
                <w:sz w:val="18"/>
                <w:szCs w:val="18"/>
                <w:highlight w:val="none"/>
                <w:lang w:val="en-US" w:eastAsia="zh-CN"/>
              </w:rPr>
              <w:t xml:space="preserve">4</w:t>
            </w:r>
            <w:r>
              <w:rPr>
                <w:highlight w:val="none"/>
              </w:rPr>
            </w:r>
            <w:r/>
          </w:p>
        </w:tc>
        <w:tc>
          <w:tcPr>
            <w:tcW w:w="1559"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t xml:space="preserve">人员相关材料及证明</w:t>
            </w:r>
            <w:r>
              <w:rPr>
                <w:highlight w:val="none"/>
              </w:rPr>
            </w:r>
            <w:r/>
          </w:p>
        </w:tc>
        <w:tc>
          <w:tcPr>
            <w:tcW w:w="5593" w:type="dxa"/>
            <w:vAlign w:val="center"/>
            <w:textDirection w:val="lrTb"/>
            <w:noWrap w:val="false"/>
          </w:tcPr>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人员证明材料：</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（1）技术负责人提供具有机动车维修（或相关专业）的大专（含）以上学历证书复印件或中级及以上汽车维修职业资格证书复印件或中级及以上职业技能等级证书复印件。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（2）质量检验员提供高中及以上学历证明复印件或汽车维修职业资格证书复印件或职业技能证书复印件；并提供与承修车型种类相适应的有效机动车驾驶证复印件。</w:t>
            </w:r>
            <w:r>
              <w:rPr>
                <w:highlight w:val="none"/>
              </w:rPr>
            </w:r>
            <w:r/>
          </w:p>
          <w:p>
            <w:pPr>
              <w:pStyle w:val="881"/>
              <w:jc w:val="left"/>
              <w:rPr>
                <w:rFonts w:ascii="宋体" w:hAnsi="宋体" w:eastAsia="宋体"/>
                <w:color w:val="000000"/>
                <w:sz w:val="18"/>
                <w:szCs w:val="18"/>
                <w:highlight w:val="none"/>
              </w:rPr>
            </w:pPr>
            <w:r>
              <w:rPr>
                <w:rFonts w:hint="eastAsia" w:ascii="宋体" w:hAnsi="宋体"/>
                <w:color w:val="000000"/>
                <w:sz w:val="18"/>
                <w:szCs w:val="18"/>
                <w:highlight w:val="none"/>
              </w:rPr>
              <w:t xml:space="preserve">（3）机修、电器、钣金、涂漆的维修技术人员提供初中及以上学历证明复印件或汽车维修职业资格证书复印件或职业技能证书复印件。</w:t>
            </w:r>
            <w:r>
              <w:rPr>
                <w:rFonts w:hint="eastAsia" w:ascii="宋体" w:hAnsi="宋体"/>
                <w:color w:val="000000"/>
                <w:sz w:val="18"/>
                <w:szCs w:val="18"/>
                <w:highlight w:val="none"/>
                <w:lang w:val="en-US" w:eastAsia="zh-CN"/>
              </w:rPr>
              <w:t xml:space="preserve">从事焊接与热切割作业的钣金工需提供焊工证复印件。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（4）人员以填列的《人员配置考察表》为准，并按表格要求提供所填人员近一年中任意一个月份（不含征集活动当月）由供应商为其缴纳的社保证明复印件或提供供应商与其签订的劳动合同复印件。</w:t>
            </w:r>
            <w:r>
              <w:rPr>
                <w:highlight w:val="none"/>
              </w:rPr>
            </w:r>
            <w:r/>
          </w:p>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（5）注：安全生产管理人员、业务接待员等其他人员不进行考察，可不用列出，供应商满足征集文件要求，入围后按要求配备即可。</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《人员配置考察表》</w:t>
            </w:r>
            <w:r>
              <w:rPr>
                <w:rFonts w:ascii="宋体" w:hAnsi="宋体"/>
                <w:color w:val="000000"/>
                <w:sz w:val="18"/>
                <w:szCs w:val="18"/>
                <w:highlight w:val="none"/>
              </w:rPr>
              <w:t xml:space="preserve">格式详见第六章</w:t>
            </w:r>
            <w:r>
              <w:rPr>
                <w:highlight w:val="none"/>
              </w:rPr>
            </w:r>
            <w:r/>
          </w:p>
        </w:tc>
      </w:tr>
    </w:tbl>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highlight w:val="none"/>
        </w:rPr>
      </w:r>
      <w:r/>
    </w:p>
    <w:p>
      <w:pPr>
        <w:pStyle w:val="881"/>
        <w:numPr>
          <w:ilvl w:val="1"/>
          <w:numId w:val="5"/>
        </w:numPr>
        <w:ind w:left="0"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供应商报价时应充分考虑</w:t>
      </w:r>
      <w:r>
        <w:rPr>
          <w:rFonts w:hint="eastAsia" w:ascii="宋体" w:hAnsi="宋体"/>
          <w:bCs/>
          <w:color w:val="000000"/>
          <w:sz w:val="24"/>
          <w:szCs w:val="24"/>
          <w:highlight w:val="none"/>
        </w:rPr>
        <w:t xml:space="preserve">框架协议期内</w:t>
      </w:r>
      <w:r>
        <w:rPr>
          <w:rFonts w:hint="eastAsia" w:ascii="宋体" w:hAnsi="宋体"/>
          <w:color w:val="000000"/>
          <w:sz w:val="24"/>
          <w:szCs w:val="24"/>
          <w:highlight w:val="none"/>
        </w:rPr>
        <w:t xml:space="preserve">所有可能影响到报价的因素，</w:t>
      </w:r>
      <w:r>
        <w:rPr>
          <w:rFonts w:hint="eastAsia" w:ascii="宋体" w:hAnsi="宋体"/>
          <w:bCs/>
          <w:color w:val="000000"/>
          <w:sz w:val="24"/>
          <w:szCs w:val="24"/>
          <w:highlight w:val="none"/>
        </w:rPr>
        <w:t xml:space="preserve">供应商框架协议期内的综合报价应包括满足本项目服务要求的从项目入围起到项目正式交付所发生的一切费用。</w:t>
      </w:r>
      <w:r>
        <w:rPr>
          <w:highlight w:val="none"/>
        </w:rPr>
      </w:r>
      <w:r/>
    </w:p>
    <w:p>
      <w:pPr>
        <w:pStyle w:val="881"/>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供应商必须在满足征集文件要求的基础上进行报价，如有技术偏离请于响应偏离表中说明。</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征集文件、入围供应商的响应文件以及合同约定的内容和验收标准进行验收。验收情况作为支付货款的依据。如有质疑，以相关质量技术检验检测机构的检验结果为准，如产生检验费用，则该费用由过失方承担。</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入围供应商为残疾人福利性单位的，其《残疾人福利性单位声明函》将随入围公告同时发布，接受社会监督。入围供应商提供的《残疾人福利性单位声明函》与事实不符的，依照《中华人民共和国政府采购法》第七十七条第一款的规定追究法律责任。</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供应商须自行准备设备（包括但不限于笔记本电脑、无线网络）登录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，按规定时间解密，解密后，在评审过程中保持在线，等待评审小组的询问和评审结果，中途不得离开。如未按要求应答，由此所产生的损失及风险由供应商自行承担。</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highlight w:val="none"/>
        </w:rPr>
      </w:pPr>
      <w:r>
        <w:rPr>
          <w:rFonts w:hint="eastAsia" w:ascii="宋体" w:hAnsi="宋体"/>
          <w:color w:val="000000"/>
          <w:sz w:val="24"/>
          <w:szCs w:val="24"/>
          <w:highlight w:val="none"/>
        </w:rPr>
        <w:t xml:space="preserve">2027年7月1日起《机动车运行安全技术条件》GB725</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-2026正式替代《机动车运行安全技术条件》 GB7258-2017</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届时所有标准以新文件为准。</w:t>
      </w:r>
      <w:r>
        <w:rPr>
          <w:highlight w:val="none"/>
        </w:rPr>
      </w:r>
      <w:r/>
    </w:p>
    <w:p>
      <w:pPr>
        <w:pStyle w:val="881"/>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ascii="宋体" w:hAnsi="宋体"/>
          <w:bCs/>
          <w:color w:val="000000"/>
          <w:sz w:val="24"/>
          <w:highlight w:val="none"/>
        </w:rPr>
      </w:r>
      <w:r>
        <w:rPr>
          <w:highlight w:val="none"/>
        </w:rPr>
      </w:r>
      <w:r/>
    </w:p>
    <w:p>
      <w:pPr>
        <w:pStyle w:val="881"/>
        <w:ind w:firstLine="480"/>
        <w:spacing w:line="360" w:lineRule="auto"/>
        <w:rPr>
          <w:rFonts w:hint="eastAsia" w:ascii="宋体"/>
          <w:bCs/>
          <w:color w:val="000000"/>
          <w:sz w:val="24"/>
          <w:szCs w:val="24"/>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highlight w:val="none"/>
        </w:rPr>
      </w:r>
      <w:r/>
    </w:p>
    <w:p>
      <w:pPr>
        <w:pStyle w:val="881"/>
        <w:numPr>
          <w:ilvl w:val="1"/>
          <w:numId w:val="6"/>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79" w:name="OLE_LINK1"/>
      <w:r>
        <w:rPr>
          <w:highlight w:val="none"/>
        </w:rPr>
      </w:r>
      <w:bookmarkStart w:id="180" w:name="OLE_LINK2"/>
      <w:r>
        <w:rPr>
          <w:rFonts w:hint="eastAsia" w:ascii="宋体"/>
          <w:bCs/>
          <w:color w:val="000000"/>
          <w:sz w:val="24"/>
          <w:szCs w:val="24"/>
          <w:highlight w:val="none"/>
        </w:rPr>
        <w:t xml:space="preserve">《保障中小企业款项支付条例》（中华人民共和国国务院令第802号）</w:t>
      </w:r>
      <w:bookmarkEnd w:id="179"/>
      <w:r>
        <w:rPr>
          <w:highlight w:val="none"/>
        </w:rPr>
      </w:r>
      <w:bookmarkEnd w:id="180"/>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根据财库〔2026〕10号相关要求，在政府采购活动中不得采购该文中规定的相关企业生成的产品。</w:t>
      </w:r>
      <w:r>
        <w:rPr>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81" w:name="_Toc120614281"/>
      <w:r>
        <w:rPr>
          <w:rFonts w:hint="eastAsia" w:ascii="黑体" w:hAnsi="黑体" w:eastAsia="黑体"/>
          <w:color w:val="000000"/>
          <w:sz w:val="36"/>
          <w:szCs w:val="36"/>
          <w:highlight w:val="none"/>
        </w:rPr>
        <w:t xml:space="preserve">第五章  评审方法与评审标准</w:t>
      </w:r>
      <w:r>
        <w:rPr>
          <w:highlight w:val="none"/>
        </w:rPr>
      </w:r>
      <w:r/>
    </w:p>
    <w:p>
      <w:pPr>
        <w:pStyle w:val="968"/>
        <w:ind w:firstLine="602"/>
        <w:spacing w:before="0" w:after="0" w:line="500" w:lineRule="exact"/>
        <w:rPr>
          <w:rFonts w:hint="eastAsia" w:ascii="宋体" w:hAnsi="宋体" w:cs="Arial"/>
          <w:b/>
          <w:color w:val="000000"/>
          <w:sz w:val="30"/>
          <w:szCs w:val="30"/>
          <w:highlight w:val="none"/>
        </w:rPr>
      </w:pPr>
      <w:r>
        <w:rPr>
          <w:rFonts w:hint="eastAsia" w:ascii="宋体" w:hAnsi="宋体" w:cs="Arial"/>
          <w:b/>
          <w:color w:val="000000"/>
          <w:sz w:val="30"/>
          <w:szCs w:val="30"/>
          <w:highlight w:val="none"/>
        </w:rPr>
        <w:t xml:space="preserve">一、确定入围供应商</w:t>
      </w:r>
      <w:r>
        <w:rPr>
          <w:highlight w:val="none"/>
        </w:rPr>
      </w:r>
      <w:r/>
    </w:p>
    <w:p>
      <w:pPr>
        <w:pStyle w:val="968"/>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1.确定第一阶段入围供应商的评审方法</w:t>
      </w:r>
      <w:r>
        <w:rPr>
          <w:highlight w:val="none"/>
        </w:rPr>
      </w:r>
      <w:r/>
    </w:p>
    <w:p>
      <w:pPr>
        <w:pStyle w:val="968"/>
        <w:spacing w:before="0" w:after="0" w:line="500" w:lineRule="exact"/>
        <w:rPr>
          <w:rFonts w:hint="eastAsia" w:ascii="宋体" w:hAnsi="宋体" w:cs="Arial"/>
          <w:i/>
          <w:color w:val="000000"/>
          <w:highlight w:val="none"/>
        </w:rPr>
      </w:pPr>
      <w:r>
        <w:rPr>
          <w:rFonts w:hint="eastAsia" w:ascii="宋体" w:hAnsi="宋体" w:cs="Arial"/>
          <w:color w:val="000000"/>
          <w:highlight w:val="none"/>
        </w:rPr>
        <w:t xml:space="preserve">1.1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rPr>
          <w:highlight w:val="none"/>
        </w:rPr>
      </w:r>
      <w:r/>
    </w:p>
    <w:p>
      <w:pPr>
        <w:pStyle w:val="968"/>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2.入围供应商的淘汰率</w:t>
      </w:r>
      <w:r>
        <w:rPr>
          <w:highlight w:val="none"/>
        </w:rPr>
      </w:r>
      <w:r/>
    </w:p>
    <w:p>
      <w:pPr>
        <w:pStyle w:val="968"/>
        <w:spacing w:before="0" w:after="0" w:line="500" w:lineRule="exact"/>
        <w:rPr>
          <w:rFonts w:hint="eastAsia" w:cs="Arial"/>
          <w:color w:val="000000"/>
          <w:highlight w:val="none"/>
        </w:rPr>
      </w:pPr>
      <w:r>
        <w:rPr>
          <w:rFonts w:hint="eastAsia" w:ascii="宋体" w:hAnsi="宋体"/>
          <w:bCs/>
          <w:color w:val="000000"/>
          <w:highlight w:val="none"/>
        </w:rPr>
        <w:t xml:space="preserve">2.1提交响应文件和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rPr>
          <w:highlight w:val="none"/>
        </w:rPr>
      </w:r>
      <w:r/>
    </w:p>
    <w:p>
      <w:pPr>
        <w:pStyle w:val="968"/>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3.入围供应商数量上限</w:t>
      </w:r>
      <w:r>
        <w:rPr>
          <w:highlight w:val="none"/>
        </w:rPr>
      </w:r>
      <w:r/>
    </w:p>
    <w:p>
      <w:pPr>
        <w:pStyle w:val="968"/>
        <w:spacing w:before="0" w:after="0" w:line="500" w:lineRule="exact"/>
        <w:rPr>
          <w:rFonts w:hint="eastAsia" w:ascii="宋体" w:hAnsi="宋体" w:cs="Arial"/>
          <w:color w:val="000000"/>
          <w:highlight w:val="none"/>
        </w:rPr>
      </w:pPr>
      <w:r>
        <w:rPr>
          <w:rFonts w:hint="eastAsia" w:ascii="宋体" w:hAnsi="宋体" w:cs="Arial"/>
          <w:color w:val="000000"/>
          <w:highlight w:val="none"/>
        </w:rPr>
        <w:t xml:space="preserve">3.1本项目不设入围供应商数量上限。</w:t>
      </w:r>
      <w:r>
        <w:rPr>
          <w:highlight w:val="none"/>
        </w:rPr>
      </w:r>
      <w:r/>
    </w:p>
    <w:p>
      <w:pPr>
        <w:pStyle w:val="968"/>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4.综合计算得数（价格）相同的供应商推荐入围供应商排序规则</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4.1  供应商在所报标段中同时具有小型车辆及大中型客车经营范围的（例如供应商报的一类汽车维修企业，该供应商既具有一类汽车维修小型车辆经营范围且同时具有一类汽车维修大中型客车经营范围的），排序在前；</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4.2  如按上述4.1的条件排序后仍并列的，则经营范围中具有摩托车维修的，排序在前；</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4.3  如按上述4.1及4.2的条件排序后仍并列的，则经营范围中具有电动汽车的，排序在前；</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4.4  如按上述4.1、4.2及4.3的条件排序后仍并列的，则所配技术负责人人数多的，排序在前（技术负责人均须按本征集文件第四章“6.响应文件中须提供的材料及证明”提供相应证明的才算有效人数）；</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4.5  如按上述4.1、4.2、4.3及4.4的条件排序后仍并列的，则由评审小组随机抽签确定。</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若按上述情况依次比对后仍相同的，最终由评审小组随机抽签确定。</w:t>
      </w:r>
      <w:r>
        <w:rPr>
          <w:highlight w:val="none"/>
        </w:rPr>
      </w:r>
      <w:r/>
    </w:p>
    <w:p>
      <w:pPr>
        <w:pStyle w:val="968"/>
        <w:spacing w:before="0" w:after="0" w:line="500" w:lineRule="exact"/>
        <w:rPr>
          <w:rFonts w:hint="eastAsia" w:ascii="宋体" w:hAnsi="宋体" w:cs="Arial"/>
          <w:b/>
          <w:color w:val="000000"/>
          <w:sz w:val="30"/>
          <w:szCs w:val="30"/>
          <w:highlight w:val="none"/>
        </w:rPr>
      </w:pPr>
      <w:r>
        <w:rPr>
          <w:rFonts w:ascii="宋体" w:hAnsi="宋体"/>
          <w:bCs/>
          <w:color w:val="000000"/>
          <w:highlight w:val="none"/>
        </w:rPr>
        <w:br w:type="page" w:clear="all"/>
      </w:r>
      <w:r>
        <w:rPr>
          <w:rFonts w:hint="eastAsia" w:ascii="宋体" w:hAnsi="宋体" w:cs="Arial"/>
          <w:b/>
          <w:color w:val="000000"/>
          <w:sz w:val="30"/>
          <w:szCs w:val="30"/>
          <w:highlight w:val="none"/>
        </w:rPr>
        <w:t xml:space="preserve">二、落实政府采购政策的价格调整</w:t>
      </w:r>
      <w:r>
        <w:rPr>
          <w:highlight w:val="none"/>
        </w:rPr>
      </w:r>
      <w:r/>
    </w:p>
    <w:p>
      <w:pPr>
        <w:pStyle w:val="881"/>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w:t>
      </w:r>
      <w:r>
        <w:rPr>
          <w:rFonts w:hint="eastAsia" w:ascii="宋体" w:hAnsi="宋体"/>
          <w:b/>
          <w:bCs/>
          <w:color w:val="000000"/>
          <w:sz w:val="24"/>
          <w:szCs w:val="24"/>
          <w:highlight w:val="none"/>
          <w:lang w:val="en-US" w:eastAsia="zh-CN"/>
        </w:rPr>
        <w:t xml:space="preserve">为</w:t>
      </w:r>
      <w:r>
        <w:rPr>
          <w:rFonts w:hint="eastAsia" w:ascii="宋体" w:hAnsi="宋体"/>
          <w:b/>
          <w:bCs/>
          <w:color w:val="000000"/>
          <w:sz w:val="24"/>
          <w:szCs w:val="24"/>
          <w:highlight w:val="none"/>
        </w:rPr>
        <w:t xml:space="preserve">专门面向中小企业</w:t>
      </w:r>
      <w:r>
        <w:rPr>
          <w:rFonts w:hint="eastAsia" w:ascii="宋体" w:hAnsi="宋体"/>
          <w:b/>
          <w:bCs/>
          <w:color w:val="000000"/>
          <w:sz w:val="24"/>
          <w:szCs w:val="24"/>
          <w:highlight w:val="none"/>
          <w:lang w:val="en-US" w:eastAsia="zh-CN"/>
        </w:rPr>
        <w:t xml:space="preserve">项目</w:t>
      </w:r>
      <w:r>
        <w:rPr>
          <w:rFonts w:hint="eastAsia" w:ascii="宋体" w:hAnsi="宋体"/>
          <w:b/>
          <w:bCs/>
          <w:color w:val="000000"/>
          <w:sz w:val="24"/>
          <w:szCs w:val="24"/>
          <w:highlight w:val="none"/>
        </w:rPr>
        <w:t xml:space="preserve">，不再享受小微型企业价格扣除政策。</w:t>
      </w:r>
      <w:r>
        <w:rPr>
          <w:highlight w:val="none"/>
        </w:rPr>
      </w:r>
      <w:r/>
    </w:p>
    <w:p>
      <w:pPr>
        <w:pStyle w:val="8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color w:val="000000"/>
          <w:highlight w:val="none"/>
        </w:rPr>
        <w:br w:type="page" w:clear="all"/>
      </w:r>
      <w:r>
        <w:rPr>
          <w:rFonts w:hint="eastAsia" w:ascii="黑体" w:hAnsi="黑体" w:eastAsia="黑体"/>
          <w:color w:val="000000"/>
          <w:sz w:val="36"/>
          <w:szCs w:val="36"/>
          <w:highlight w:val="none"/>
        </w:rPr>
        <w:t xml:space="preserve">第六章  </w:t>
      </w:r>
      <w:bookmarkEnd w:id="177"/>
      <w:r>
        <w:rPr>
          <w:highlight w:val="none"/>
        </w:rPr>
      </w:r>
      <w:bookmarkEnd w:id="178"/>
      <w:r>
        <w:rPr>
          <w:highlight w:val="none"/>
        </w:rPr>
      </w:r>
      <w:bookmarkEnd w:id="181"/>
      <w:r>
        <w:rPr>
          <w:rFonts w:hint="eastAsia" w:ascii="黑体" w:hAnsi="黑体" w:eastAsia="黑体"/>
          <w:color w:val="000000"/>
          <w:sz w:val="36"/>
          <w:szCs w:val="36"/>
          <w:highlight w:val="none"/>
        </w:rPr>
        <w:t xml:space="preserve">响应文件内容与格式</w:t>
      </w:r>
      <w:r>
        <w:rPr>
          <w:highlight w:val="none"/>
        </w:rPr>
      </w:r>
      <w:r/>
    </w:p>
    <w:p>
      <w:pPr>
        <w:pStyle w:val="968"/>
        <w:ind w:firstLine="602"/>
        <w:spacing w:before="0" w:after="0" w:line="500" w:lineRule="exact"/>
        <w:rPr>
          <w:rFonts w:hint="eastAsia" w:cs="Arial"/>
          <w:b/>
          <w:color w:val="000000"/>
          <w:sz w:val="30"/>
          <w:szCs w:val="30"/>
          <w:highlight w:val="none"/>
        </w:rPr>
      </w:pPr>
      <w:r>
        <w:rPr>
          <w:highlight w:val="none"/>
        </w:rPr>
      </w:r>
      <w:bookmarkStart w:id="182" w:name="_Hlt26955039"/>
      <w:r>
        <w:rPr>
          <w:highlight w:val="none"/>
        </w:rPr>
      </w:r>
      <w:bookmarkEnd w:id="182"/>
      <w:r>
        <w:rPr>
          <w:highlight w:val="none"/>
        </w:rPr>
      </w:r>
      <w:bookmarkStart w:id="183" w:name="_Hlt26671244"/>
      <w:r>
        <w:rPr>
          <w:highlight w:val="none"/>
        </w:rPr>
      </w:r>
      <w:bookmarkEnd w:id="183"/>
      <w:r>
        <w:rPr>
          <w:highlight w:val="none"/>
        </w:rPr>
      </w:r>
      <w:bookmarkStart w:id="184" w:name="_Toc26554094"/>
      <w:r>
        <w:rPr>
          <w:highlight w:val="none"/>
        </w:rPr>
      </w:r>
      <w:bookmarkStart w:id="185" w:name="_Toc120614282"/>
      <w:r>
        <w:rPr>
          <w:highlight w:val="none"/>
        </w:rPr>
      </w:r>
      <w:bookmarkStart w:id="186" w:name="_Toc49090576"/>
      <w:r>
        <w:rPr>
          <w:rFonts w:hint="eastAsia" w:cs="Arial"/>
          <w:b/>
          <w:color w:val="000000"/>
          <w:sz w:val="30"/>
          <w:szCs w:val="30"/>
          <w:highlight w:val="none"/>
        </w:rPr>
        <w:t xml:space="preserve">第一部分  响应文件内容</w:t>
      </w:r>
      <w:r>
        <w:rPr>
          <w:highlight w:val="none"/>
        </w:rPr>
      </w:r>
      <w:r/>
    </w:p>
    <w:p>
      <w:pPr>
        <w:pStyle w:val="968"/>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highlight w:val="none"/>
        </w:rPr>
      </w:r>
      <w:r/>
    </w:p>
    <w:tbl>
      <w:tblPr>
        <w:tblW w:w="9272" w:type="dxa"/>
        <w:jc w:val="center"/>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68"/>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highlight w:val="none"/>
              </w:rPr>
            </w:r>
            <w:r/>
          </w:p>
        </w:tc>
        <w:tc>
          <w:tcPr>
            <w:tcW w:w="6104" w:type="dxa"/>
            <w:vAlign w:val="center"/>
            <w:textDirection w:val="lrTb"/>
            <w:noWrap w:val="false"/>
          </w:tcPr>
          <w:p>
            <w:pPr>
              <w:pStyle w:val="968"/>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highlight w:val="none"/>
              </w:rPr>
            </w:r>
            <w:r/>
          </w:p>
        </w:tc>
        <w:tc>
          <w:tcPr>
            <w:tcW w:w="2449" w:type="dxa"/>
            <w:vAlign w:val="center"/>
            <w:textDirection w:val="lrTb"/>
            <w:noWrap w:val="false"/>
          </w:tcPr>
          <w:p>
            <w:pPr>
              <w:pStyle w:val="968"/>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highlight w:val="none"/>
              </w:rPr>
            </w:r>
            <w:r/>
          </w:p>
        </w:tc>
      </w:tr>
      <w:tr>
        <w:trPr>
          <w:trHeight w:val="1335"/>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具有独立承担民事责任能力的供应商营业执照或相关部门的登记证明文件（供应商如是允许以分支机构身份参加的，提供供应商分支机构的营业执照；供应商如是自然人情形的，提供有效身份证证明）。</w:t>
            </w:r>
            <w:r>
              <w:rPr>
                <w:highlight w:val="none"/>
              </w:rPr>
            </w:r>
            <w:r/>
          </w:p>
        </w:tc>
        <w:tc>
          <w:tcPr>
            <w:tcW w:w="2449" w:type="dxa"/>
            <w:vAlign w:val="center"/>
            <w:vMerge w:val="restart"/>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highlight w:val="none"/>
              </w:rPr>
            </w:r>
            <w:r/>
          </w:p>
        </w:tc>
      </w:tr>
      <w:tr>
        <w:trPr>
          <w:trHeight w:val="812"/>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《授权委托书》（给定格式；供应商如是自然人情形的，可不提供）。</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供应商近一年中任意一个月份（不含征集活动当月）的财务状况报告（资产负债表和利润表）或由会计师事务所出具的近两年中任意一个年度的审计报告和所附已审财务报告（供应商如是自然人情形的，没有经审计的财务报告的，可以提供银行出具的资信证明）</w:t>
            </w:r>
            <w:r>
              <w:rPr>
                <w:rStyle w:val="957"/>
                <w:rFonts w:hint="eastAsia" w:ascii="宋体" w:hAnsi="宋体" w:cs="宋体"/>
                <w:color w:val="000000"/>
                <w:sz w:val="24"/>
                <w:szCs w:val="24"/>
                <w:highlight w:val="none"/>
              </w:rPr>
              <w:t xml:space="preserve">。</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供应商近一年中任意一个月份（不含征集活动当月）的依法缴纳税收的相关材料（提供相关主管部门证明或银行代扣证明）。</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供应商近一年中任意一个月份（不含征集活动当月）的依法缴纳社会保障资金的相关材料（提供相关主管部门证明或银行代扣证明）。</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968"/>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7</w:t>
            </w:r>
            <w:r>
              <w:rPr>
                <w:highlight w:val="none"/>
              </w:rPr>
            </w:r>
            <w:r/>
          </w:p>
        </w:tc>
        <w:tc>
          <w:tcPr>
            <w:tcW w:w="6104" w:type="dxa"/>
            <w:vAlign w:val="center"/>
            <w:textDirection w:val="lrTb"/>
            <w:noWrap w:val="false"/>
          </w:tcPr>
          <w:p>
            <w:pPr>
              <w:pStyle w:val="968"/>
              <w:ind w:firstLine="0"/>
              <w:spacing w:before="0" w:after="0" w:line="240" w:lineRule="auto"/>
              <w:rPr>
                <w:rFonts w:ascii="宋体" w:hAnsi="宋体" w:cs="宋体"/>
                <w:bCs/>
                <w:color w:val="000000"/>
                <w:highlight w:val="none"/>
              </w:rPr>
            </w:pPr>
            <w:r>
              <w:rPr>
                <w:rFonts w:hint="eastAsia"/>
                <w:color w:val="000000"/>
                <w:highlight w:val="none"/>
              </w:rPr>
              <w:t xml:space="preserve">中小企业声明函（服务）</w:t>
            </w:r>
            <w:r>
              <w:rPr>
                <w:highlight w:val="none"/>
              </w:rPr>
            </w:r>
            <w:r/>
          </w:p>
        </w:tc>
        <w:tc>
          <w:tcPr>
            <w:tcW w:w="2449" w:type="dxa"/>
            <w:vAlign w:val="center"/>
            <w:textDirection w:val="lrTb"/>
            <w:noWrap w:val="false"/>
          </w:tcPr>
          <w:p>
            <w:pPr>
              <w:pStyle w:val="968"/>
              <w:ind w:firstLine="0"/>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满足中小企业政策的证明文件</w:t>
            </w:r>
            <w:r>
              <w:rPr>
                <w:highlight w:val="none"/>
              </w:rPr>
            </w:r>
            <w:r/>
          </w:p>
        </w:tc>
      </w:tr>
      <w:tr>
        <w:trPr>
          <w:trHeight w:val="726"/>
        </w:trPr>
        <w:tc>
          <w:tcPr>
            <w:tcW w:w="719" w:type="dxa"/>
            <w:vAlign w:val="center"/>
            <w:textDirection w:val="lrTb"/>
            <w:noWrap w:val="false"/>
          </w:tcPr>
          <w:p>
            <w:pPr>
              <w:pStyle w:val="968"/>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bCs/>
                <w:color w:val="000000"/>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t xml:space="preserve">供应商须为一类汽车维修企业，须提供具有有效期内的《机动车维修经营备案表》（经营范围为汽车维修一类）扫描件</w:t>
            </w:r>
            <w:r>
              <w:rPr>
                <w:rFonts w:hint="eastAsia" w:ascii="宋体" w:hAnsi="宋体" w:cs="宋体"/>
                <w:color w:val="000000"/>
                <w:highlight w:val="none"/>
              </w:rPr>
              <w:t xml:space="preserve">。</w:t>
            </w:r>
            <w:r>
              <w:rPr>
                <w:highlight w:val="none"/>
              </w:rPr>
            </w:r>
            <w:r/>
          </w:p>
        </w:tc>
        <w:tc>
          <w:tcPr>
            <w:tcW w:w="2449" w:type="dxa"/>
            <w:vAlign w:val="center"/>
            <w:textDirection w:val="lrTb"/>
            <w:noWrap w:val="false"/>
          </w:tcPr>
          <w:p>
            <w:pPr>
              <w:pStyle w:val="968"/>
              <w:ind w:firstLine="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highlight w:val="none"/>
              </w:rPr>
            </w:r>
            <w:r/>
          </w:p>
        </w:tc>
      </w:tr>
    </w:tbl>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highlight w:val="none"/>
        </w:rPr>
      </w:r>
      <w:r/>
    </w:p>
    <w:p>
      <w:pPr>
        <w:pStyle w:val="881"/>
        <w:numPr>
          <w:ilvl w:val="0"/>
          <w:numId w:val="7"/>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项必须全部按要求提供（有给定格式的，必须按给定格式的要求正确填报并提供，相应格式见本章第二部分），否则响应文件无效。</w:t>
      </w:r>
      <w:r>
        <w:rPr>
          <w:rFonts w:ascii="宋体" w:hAnsi="宋体"/>
          <w:color w:val="000000"/>
          <w:sz w:val="24"/>
          <w:szCs w:val="24"/>
          <w:highlight w:val="none"/>
        </w:rPr>
        <w:t xml:space="preserve">如遇年检、换证，则必须提供法定年检、换证单位出具的有效证明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w:t>
      </w:r>
      <w:r>
        <w:rPr>
          <w:highlight w:val="none"/>
        </w:rPr>
      </w:r>
      <w:r/>
    </w:p>
    <w:p>
      <w:pPr>
        <w:pStyle w:val="881"/>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highlight w:val="none"/>
        </w:rPr>
      </w:r>
      <w:r/>
    </w:p>
    <w:p>
      <w:pPr>
        <w:pStyle w:val="881"/>
        <w:rPr>
          <w:b/>
          <w:color w:val="000000"/>
          <w:sz w:val="28"/>
          <w:szCs w:val="28"/>
          <w:highlight w:val="none"/>
        </w:rPr>
      </w:pPr>
      <w:r>
        <w:rPr>
          <w:rFonts w:hint="eastAsia"/>
          <w:b/>
          <w:color w:val="000000"/>
          <w:sz w:val="28"/>
          <w:szCs w:val="28"/>
          <w:highlight w:val="none"/>
        </w:rPr>
        <w:t xml:space="preserve">（一）符合性证明文件</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68"/>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highlight w:val="none"/>
              </w:rPr>
            </w:r>
            <w:r/>
          </w:p>
        </w:tc>
        <w:tc>
          <w:tcPr>
            <w:tcW w:w="6095" w:type="dxa"/>
            <w:vAlign w:val="center"/>
            <w:textDirection w:val="lrTb"/>
            <w:noWrap w:val="false"/>
          </w:tcPr>
          <w:p>
            <w:pPr>
              <w:pStyle w:val="968"/>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highlight w:val="none"/>
              </w:rPr>
            </w:r>
            <w:r/>
          </w:p>
        </w:tc>
        <w:tc>
          <w:tcPr>
            <w:tcW w:w="1979" w:type="dxa"/>
            <w:vAlign w:val="center"/>
            <w:textDirection w:val="lrTb"/>
            <w:noWrap w:val="false"/>
          </w:tcPr>
          <w:p>
            <w:pPr>
              <w:pStyle w:val="968"/>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highlight w:val="none"/>
              </w:rPr>
            </w:r>
            <w:r/>
          </w:p>
        </w:tc>
        <w:tc>
          <w:tcPr>
            <w:tcW w:w="6095" w:type="dxa"/>
            <w:vAlign w:val="center"/>
            <w:textDirection w:val="lrTb"/>
            <w:noWrap w:val="false"/>
          </w:tcPr>
          <w:p>
            <w:pPr>
              <w:pStyle w:val="968"/>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响应函（给定格式）</w:t>
            </w:r>
            <w:r>
              <w:rPr>
                <w:highlight w:val="none"/>
              </w:rPr>
            </w:r>
            <w:r/>
          </w:p>
        </w:tc>
        <w:tc>
          <w:tcPr>
            <w:tcW w:w="1979" w:type="dxa"/>
            <w:vAlign w:val="center"/>
            <w:vMerge w:val="restart"/>
            <w:textDirection w:val="lrTb"/>
            <w:noWrap w:val="false"/>
          </w:tcPr>
          <w:p>
            <w:pPr>
              <w:pStyle w:val="968"/>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highlight w:val="none"/>
              </w:rPr>
            </w:r>
            <w:r/>
          </w:p>
        </w:tc>
        <w:tc>
          <w:tcPr>
            <w:tcW w:w="6095" w:type="dxa"/>
            <w:vAlign w:val="center"/>
            <w:textDirection w:val="lrTb"/>
            <w:noWrap w:val="false"/>
          </w:tcPr>
          <w:p>
            <w:pPr>
              <w:pStyle w:val="968"/>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highlight w:val="none"/>
              </w:rPr>
            </w:r>
            <w:r/>
          </w:p>
        </w:tc>
        <w:tc>
          <w:tcPr>
            <w:tcW w:w="1979" w:type="dxa"/>
            <w:vAlign w:val="center"/>
            <w:vMerge w:val="continue"/>
            <w:textDirection w:val="lrTb"/>
            <w:noWrap w:val="false"/>
          </w:tcPr>
          <w:p>
            <w:pPr>
              <w:pStyle w:val="968"/>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highlight w:val="none"/>
              </w:rPr>
            </w:r>
            <w:r/>
          </w:p>
        </w:tc>
        <w:tc>
          <w:tcPr>
            <w:tcW w:w="6095" w:type="dxa"/>
            <w:vAlign w:val="center"/>
            <w:textDirection w:val="lrTb"/>
            <w:noWrap w:val="false"/>
          </w:tcPr>
          <w:p>
            <w:pPr>
              <w:pStyle w:val="968"/>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报价一览表（给定格式）</w:t>
            </w:r>
            <w:r>
              <w:rPr>
                <w:highlight w:val="none"/>
              </w:rPr>
            </w:r>
            <w:r/>
          </w:p>
        </w:tc>
        <w:tc>
          <w:tcPr>
            <w:tcW w:w="1979" w:type="dxa"/>
            <w:vAlign w:val="center"/>
            <w:textDirection w:val="lrTb"/>
            <w:noWrap w:val="false"/>
          </w:tcPr>
          <w:p>
            <w:pPr>
              <w:pStyle w:val="968"/>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highlight w:val="none"/>
              </w:rPr>
            </w:r>
            <w:r/>
          </w:p>
        </w:tc>
        <w:tc>
          <w:tcPr>
            <w:tcW w:w="6095" w:type="dxa"/>
            <w:vAlign w:val="center"/>
            <w:textDirection w:val="lrTb"/>
            <w:noWrap w:val="false"/>
          </w:tcPr>
          <w:p>
            <w:pPr>
              <w:pStyle w:val="968"/>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响应偏离表（给定格式）</w:t>
            </w:r>
            <w:r>
              <w:rPr>
                <w:highlight w:val="none"/>
              </w:rPr>
            </w:r>
            <w:r/>
          </w:p>
        </w:tc>
        <w:tc>
          <w:tcPr>
            <w:tcW w:w="1979" w:type="dxa"/>
            <w:vAlign w:val="center"/>
            <w:vMerge w:val="restart"/>
            <w:textDirection w:val="lrTb"/>
            <w:noWrap w:val="false"/>
          </w:tcPr>
          <w:p>
            <w:pPr>
              <w:pStyle w:val="968"/>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highlight w:val="none"/>
              </w:rPr>
            </w:r>
            <w:r/>
          </w:p>
        </w:tc>
        <w:tc>
          <w:tcPr>
            <w:tcW w:w="6095" w:type="dxa"/>
            <w:vAlign w:val="center"/>
            <w:textDirection w:val="lrTb"/>
            <w:noWrap w:val="false"/>
          </w:tcPr>
          <w:p>
            <w:pPr>
              <w:pStyle w:val="968"/>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w:t>
            </w:r>
            <w:r>
              <w:rPr>
                <w:highlight w:val="none"/>
              </w:rPr>
            </w:r>
            <w:r/>
          </w:p>
        </w:tc>
        <w:tc>
          <w:tcPr>
            <w:tcW w:w="1979" w:type="dxa"/>
            <w:vAlign w:val="center"/>
            <w:vMerge w:val="continue"/>
            <w:textDirection w:val="lrTb"/>
            <w:noWrap w:val="false"/>
          </w:tcPr>
          <w:p>
            <w:pPr>
              <w:pStyle w:val="968"/>
              <w:ind w:firstLine="0"/>
              <w:jc w:val="both"/>
              <w:spacing w:before="0" w:after="0" w:line="240" w:lineRule="auto"/>
              <w:rPr>
                <w:rFonts w:hint="eastAsia" w:cs="Arial"/>
                <w:color w:val="000000"/>
                <w:highlight w:val="none"/>
              </w:rPr>
            </w:pPr>
            <w:r>
              <w:rPr>
                <w:rFonts w:hint="eastAsia" w:cs="Arial"/>
                <w:color w:val="000000"/>
                <w:highlight w:val="none"/>
              </w:rPr>
            </w:r>
            <w:r/>
          </w:p>
        </w:tc>
      </w:tr>
    </w:tbl>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highlight w:val="none"/>
        </w:rPr>
      </w:r>
      <w:r/>
    </w:p>
    <w:p>
      <w:pPr>
        <w:pStyle w:val="881"/>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符合性证明文件及其他证明文件第</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项必须按要求全部提供（有给定格式的，必须按给定格式的要求正确填报并提供，相应格式见本章第二部分），否则响应文件无效。</w:t>
      </w:r>
      <w:r>
        <w:rPr>
          <w:highlight w:val="none"/>
        </w:rPr>
      </w:r>
      <w:r/>
    </w:p>
    <w:p>
      <w:pPr>
        <w:pStyle w:val="881"/>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符合性证明文件第5项，《采购需求》中有要求提供证明材料的，须按要求提供，否则响应文件无效。</w:t>
      </w:r>
      <w:r>
        <w:rPr>
          <w:highlight w:val="none"/>
        </w:rPr>
      </w:r>
      <w:r/>
    </w:p>
    <w:p>
      <w:pPr>
        <w:pStyle w:val="881"/>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881"/>
        <w:rPr>
          <w:rFonts w:hint="eastAsia"/>
          <w:b/>
          <w:color w:val="000000"/>
          <w:sz w:val="28"/>
          <w:szCs w:val="28"/>
          <w:highlight w:val="none"/>
        </w:rPr>
      </w:pPr>
      <w:r>
        <w:rPr>
          <w:rFonts w:hint="eastAsia"/>
          <w:b/>
          <w:color w:val="000000"/>
          <w:sz w:val="28"/>
          <w:szCs w:val="28"/>
          <w:highlight w:val="none"/>
        </w:rPr>
        <w:t xml:space="preserve">（二）其他证明文件</w:t>
      </w:r>
      <w:r>
        <w:rPr>
          <w:highlight w:val="none"/>
        </w:rPr>
      </w:r>
      <w:r/>
    </w:p>
    <w:p>
      <w:pPr>
        <w:pStyle w:val="881"/>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供应商认为如有其他应附的文件可自拟并自行添加。</w:t>
      </w:r>
      <w:r>
        <w:rPr>
          <w:highlight w:val="none"/>
        </w:rPr>
      </w:r>
      <w:r/>
    </w:p>
    <w:p>
      <w:pPr>
        <w:pStyle w:val="881"/>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响应文件格式</w:t>
      </w:r>
      <w:r>
        <w:rPr>
          <w:highlight w:val="none"/>
        </w:rPr>
      </w:r>
      <w:r/>
    </w:p>
    <w:p>
      <w:pPr>
        <w:pStyle w:val="968"/>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响  应  文  件</w:t>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JSZC-320200-JZCG-K2026-0097</w:t>
      </w:r>
      <w:r>
        <w:rPr>
          <w:highlight w:val="none"/>
        </w:rPr>
      </w:r>
      <w:r/>
    </w:p>
    <w:p>
      <w:pPr>
        <w:pStyle w:val="881"/>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2027-2028年度无锡市市本级车辆维修和保养服务框架协议采购</w:t>
      </w:r>
      <w:r>
        <w:rPr>
          <w:highlight w:val="none"/>
        </w:rPr>
      </w:r>
      <w:r/>
    </w:p>
    <w:p>
      <w:pPr>
        <w:pStyle w:val="881"/>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供 应 商：</w:t>
      </w:r>
      <w:r>
        <w:rPr>
          <w:highlight w:val="none"/>
        </w:rPr>
      </w:r>
      <w:r/>
    </w:p>
    <w:p>
      <w:pPr>
        <w:pStyle w:val="881"/>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highlight w:val="none"/>
        </w:rPr>
      </w:r>
      <w:r/>
    </w:p>
    <w:p>
      <w:pPr>
        <w:pStyle w:val="881"/>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highlight w:val="none"/>
        </w:rPr>
      </w:r>
      <w:r/>
    </w:p>
    <w:p>
      <w:pPr>
        <w:pStyle w:val="881"/>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JSZC-320200-JZCG-K2026-0097</w:t>
      </w:r>
      <w:r>
        <w:rPr>
          <w:rFonts w:hint="eastAsia" w:ascii="宋体" w:hAnsi="宋体"/>
          <w:bCs/>
          <w:color w:val="000000"/>
          <w:sz w:val="24"/>
          <w:szCs w:val="24"/>
          <w:highlight w:val="none"/>
        </w:rPr>
        <w:t xml:space="preserve">项目，兹授权：</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针对本次项目的采购活动、参与征集活动、签约等具体工作，并签署全部有关的文件、协议及合同以及其他</w:t>
      </w:r>
      <w:r>
        <w:rPr>
          <w:rFonts w:hint="eastAsia"/>
          <w:color w:val="000000"/>
          <w:sz w:val="24"/>
          <w:szCs w:val="24"/>
          <w:highlight w:val="none"/>
        </w:rPr>
        <w:t xml:space="preserve">一切与该项目采购有关的事务。</w:t>
      </w:r>
      <w:r>
        <w:rPr>
          <w:highlight w:val="none"/>
        </w:rPr>
      </w:r>
      <w:r/>
    </w:p>
    <w:p>
      <w:pPr>
        <w:pStyle w:val="966"/>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highlight w:val="none"/>
        </w:rPr>
      </w:r>
      <w:r/>
    </w:p>
    <w:p>
      <w:pPr>
        <w:pStyle w:val="966"/>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供应商名称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highlight w:val="none"/>
        </w:rPr>
      </w:r>
      <w:r/>
    </w:p>
    <w:p>
      <w:pPr>
        <w:pStyle w:val="966"/>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highlight w:val="none"/>
        </w:rPr>
      </w:r>
      <w:r/>
    </w:p>
    <w:p>
      <w:pPr>
        <w:pStyle w:val="966"/>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响应文件中须提供本授权委托书中的被授权人有效身份证复印件；如被授权人为法定代表人（或以下说明所述的单位负责人）时，则提供法定代表人（或以下说明所述的单位负责人）有效身份证复印件。</w:t>
      </w:r>
      <w:r>
        <w:rPr>
          <w:highlight w:val="none"/>
        </w:rPr>
      </w:r>
      <w:r/>
    </w:p>
    <w:p>
      <w:pPr>
        <w:pStyle w:val="966"/>
        <w:ind w:firstLine="0"/>
        <w:tabs>
          <w:tab w:val="left" w:pos="360" w:leader="none"/>
        </w:tabs>
        <w:rPr>
          <w:rFonts w:hint="eastAsia"/>
          <w:color w:val="000000"/>
          <w:sz w:val="24"/>
          <w:szCs w:val="24"/>
          <w:highlight w:val="none"/>
        </w:rPr>
      </w:pPr>
      <w:r>
        <w:rPr>
          <w:rFonts w:hint="eastAsia"/>
          <w:color w:val="000000"/>
          <w:sz w:val="24"/>
          <w:szCs w:val="24"/>
          <w:highlight w:val="none"/>
        </w:rPr>
      </w:r>
      <w:r>
        <w:rPr>
          <w:highlight w:val="none"/>
        </w:rPr>
      </w:r>
      <w:r/>
    </w:p>
    <w:p>
      <w:pPr>
        <w:pStyle w:val="966"/>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highlight w:val="none"/>
        </w:rPr>
      </w:r>
      <w:r/>
    </w:p>
    <w:p>
      <w:pPr>
        <w:pStyle w:val="966"/>
        <w:numPr>
          <w:ilvl w:val="0"/>
          <w:numId w:val="9"/>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color w:val="000000"/>
          <w:sz w:val="21"/>
          <w:szCs w:val="21"/>
          <w:highlight w:val="none"/>
        </w:rPr>
        <w:t xml:space="preserve">供应商</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限征集文件</w:t>
      </w:r>
      <w:r>
        <w:rPr>
          <w:rFonts w:ascii="宋体" w:hAnsi="宋体"/>
          <w:color w:val="000000"/>
          <w:sz w:val="21"/>
          <w:szCs w:val="21"/>
          <w:highlight w:val="none"/>
        </w:rPr>
        <w:t xml:space="preserve">注明允许分支机构</w:t>
      </w:r>
      <w:r>
        <w:rPr>
          <w:rFonts w:hint="eastAsia" w:ascii="宋体" w:hAnsi="宋体"/>
          <w:color w:val="000000"/>
          <w:sz w:val="21"/>
          <w:szCs w:val="21"/>
          <w:highlight w:val="none"/>
        </w:rPr>
        <w:t xml:space="preserve">参与情形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highlight w:val="none"/>
        </w:rPr>
      </w:r>
      <w:r/>
    </w:p>
    <w:p>
      <w:pPr>
        <w:pStyle w:val="966"/>
        <w:numPr>
          <w:ilvl w:val="0"/>
          <w:numId w:val="9"/>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highlight w:val="none"/>
        </w:rPr>
      </w:r>
      <w:r/>
    </w:p>
    <w:p>
      <w:pPr>
        <w:pStyle w:val="966"/>
        <w:numPr>
          <w:ilvl w:val="0"/>
          <w:numId w:val="9"/>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highlight w:val="none"/>
        </w:rPr>
      </w:r>
      <w:r/>
    </w:p>
    <w:p>
      <w:pPr>
        <w:pStyle w:val="966"/>
        <w:numPr>
          <w:ilvl w:val="0"/>
          <w:numId w:val="9"/>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highlight w:val="none"/>
        </w:rPr>
      </w:r>
      <w:r/>
    </w:p>
    <w:p>
      <w:pPr>
        <w:pStyle w:val="966"/>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highlight w:val="none"/>
        </w:rPr>
      </w:r>
      <w:r/>
    </w:p>
    <w:p>
      <w:pPr>
        <w:pStyle w:val="881"/>
        <w:jc w:val="center"/>
        <w:rPr>
          <w:rFonts w:ascii="黑体" w:eastAsia="黑体"/>
          <w:bCs/>
          <w:color w:val="000000"/>
          <w:sz w:val="28"/>
          <w:szCs w:val="28"/>
          <w:highlight w:val="none"/>
        </w:rPr>
        <w:outlineLvl w:val="0"/>
      </w:pPr>
      <w:r>
        <w:rPr>
          <w:highlight w:val="none"/>
        </w:rPr>
      </w:r>
      <w:bookmarkStart w:id="187" w:name="报价方关于资格的声明函（格式）"/>
      <w:r>
        <w:rPr>
          <w:highlight w:val="none"/>
        </w:rPr>
      </w:r>
      <w:bookmarkEnd w:id="187"/>
      <w:r>
        <w:rPr>
          <w:rFonts w:hint="eastAsia" w:ascii="黑体" w:eastAsia="黑体"/>
          <w:bCs/>
          <w:color w:val="000000"/>
          <w:sz w:val="28"/>
          <w:szCs w:val="28"/>
          <w:highlight w:val="none"/>
        </w:rPr>
        <w:t xml:space="preserve">资格声明函</w:t>
      </w:r>
      <w:r>
        <w:rPr>
          <w:highlight w:val="none"/>
        </w:rPr>
      </w:r>
      <w:r/>
    </w:p>
    <w:p>
      <w:pPr>
        <w:pStyle w:val="881"/>
        <w:jc w:val="center"/>
        <w:spacing w:line="480" w:lineRule="auto"/>
        <w:rPr>
          <w:rFonts w:ascii="宋体"/>
          <w:bCs/>
          <w:color w:val="000000"/>
          <w:sz w:val="24"/>
          <w:szCs w:val="24"/>
          <w:highlight w:val="none"/>
        </w:rPr>
      </w:pPr>
      <w:r>
        <w:rPr>
          <w:rFonts w:ascii="宋体"/>
          <w:bCs/>
          <w:color w:val="000000"/>
          <w:sz w:val="24"/>
          <w:szCs w:val="24"/>
          <w:highlight w:val="none"/>
        </w:rPr>
      </w:r>
      <w:r>
        <w:rPr>
          <w:highlight w:val="none"/>
        </w:rPr>
      </w:r>
      <w:r/>
    </w:p>
    <w:p>
      <w:pPr>
        <w:pStyle w:val="881"/>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w:t>
      </w:r>
      <w:r>
        <w:rPr>
          <w:rFonts w:hint="eastAsia" w:ascii="宋体" w:hAnsi="宋体"/>
          <w:bCs/>
          <w:color w:val="000000"/>
          <w:sz w:val="24"/>
          <w:szCs w:val="24"/>
          <w:highlight w:val="none"/>
        </w:rPr>
        <w:t xml:space="preserve">：</w:t>
      </w:r>
      <w:r>
        <w:rPr>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JSZC-320200-JZCG-K2026-0097</w:t>
      </w:r>
      <w:r>
        <w:rPr>
          <w:rFonts w:hint="eastAsia" w:ascii="宋体" w:hAnsi="宋体"/>
          <w:bCs/>
          <w:color w:val="000000"/>
          <w:sz w:val="24"/>
          <w:szCs w:val="24"/>
          <w:highlight w:val="none"/>
        </w:rPr>
        <w:t xml:space="preserve">参与征集活动，并作如下声明</w:t>
      </w:r>
      <w:r>
        <w:rPr>
          <w:highlight w:val="none"/>
        </w:rPr>
      </w:r>
      <w:r/>
    </w:p>
    <w:p>
      <w:pPr>
        <w:pStyle w:val="88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highlight w:val="none"/>
        </w:rPr>
      </w:r>
      <w:r/>
    </w:p>
    <w:p>
      <w:pPr>
        <w:pStyle w:val="88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highlight w:val="none"/>
        </w:rPr>
      </w:r>
      <w:r/>
    </w:p>
    <w:p>
      <w:pPr>
        <w:pStyle w:val="88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highlight w:val="none"/>
        </w:rPr>
      </w:r>
      <w:r/>
    </w:p>
    <w:p>
      <w:pPr>
        <w:pStyle w:val="881"/>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我公司（单位、联合体）针对本次项目的上述声明以及响应文件中所有关于报价资格的文件、证明、陈述均是真实的、准确的。若有违背，我公司（单位、联合体）愿意承担由此而产生的一切后果。</w:t>
      </w:r>
      <w:r>
        <w:rPr>
          <w:highlight w:val="none"/>
        </w:rPr>
      </w:r>
      <w:r/>
    </w:p>
    <w:p>
      <w:pPr>
        <w:pStyle w:val="881"/>
        <w:spacing w:line="480" w:lineRule="auto"/>
        <w:rPr>
          <w:rFonts w:ascii="宋体"/>
          <w:bCs/>
          <w:color w:val="000000"/>
          <w:sz w:val="24"/>
          <w:szCs w:val="24"/>
          <w:highlight w:val="none"/>
        </w:rPr>
      </w:pPr>
      <w:r>
        <w:rPr>
          <w:rFonts w:ascii="宋体"/>
          <w:bCs/>
          <w:color w:val="000000"/>
          <w:sz w:val="24"/>
          <w:szCs w:val="24"/>
          <w:highlight w:val="none"/>
        </w:rPr>
      </w:r>
      <w:r>
        <w:rPr>
          <w:highlight w:val="none"/>
        </w:rPr>
      </w:r>
      <w:r/>
    </w:p>
    <w:p>
      <w:pPr>
        <w:pStyle w:val="881"/>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供应商名称（盖章）：</w:t>
      </w:r>
      <w:r>
        <w:rPr>
          <w:highlight w:val="none"/>
        </w:rPr>
      </w:r>
      <w:r/>
    </w:p>
    <w:p>
      <w:pPr>
        <w:pStyle w:val="881"/>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rPr>
          <w:highlight w:val="none"/>
        </w:rPr>
      </w:r>
      <w:r/>
    </w:p>
    <w:p>
      <w:pPr>
        <w:pStyle w:val="881"/>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highlight w:val="none"/>
        </w:rPr>
      </w:r>
      <w:r/>
    </w:p>
    <w:p>
      <w:pPr>
        <w:pStyle w:val="8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highlight w:val="none"/>
        </w:rPr>
      </w:r>
      <w:r/>
    </w:p>
    <w:p>
      <w:pPr>
        <w:pStyle w:val="8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车辆维修和保养服务</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其他未列明</w:t>
      </w:r>
      <w:r>
        <w:rPr>
          <w:rFonts w:ascii="宋体" w:hAnsi="宋体"/>
          <w:bCs/>
          <w:color w:val="000000"/>
          <w:sz w:val="24"/>
          <w:szCs w:val="24"/>
          <w:highlight w:val="none"/>
          <w:u w:val="single"/>
        </w:rPr>
        <w:t xml:space="preserve">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highlight w:val="none"/>
        </w:rPr>
      </w:r>
      <w:r/>
    </w:p>
    <w:p>
      <w:pPr>
        <w:pStyle w:val="8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highlight w:val="none"/>
        </w:rPr>
      </w:r>
      <w:r/>
    </w:p>
    <w:p>
      <w:pPr>
        <w:pStyle w:val="881"/>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highlight w:val="none"/>
        </w:rPr>
      </w:r>
      <w:r/>
    </w:p>
    <w:p>
      <w:pPr>
        <w:pStyle w:val="881"/>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highlight w:val="none"/>
        </w:rPr>
      </w:r>
      <w:r/>
    </w:p>
    <w:p>
      <w:pPr>
        <w:pStyle w:val="881"/>
        <w:ind w:firstLine="420"/>
        <w:spacing w:line="360" w:lineRule="auto"/>
        <w:rPr>
          <w:rFonts w:hint="eastAsia"/>
          <w:color w:val="000000"/>
          <w:highlight w:val="none"/>
        </w:rPr>
      </w:pPr>
      <w:r>
        <w:rPr>
          <w:rFonts w:hint="eastAsia"/>
          <w:color w:val="000000"/>
          <w:highlight w:val="none"/>
        </w:rPr>
      </w:r>
      <w:r>
        <w:rPr>
          <w:highlight w:val="none"/>
        </w:rPr>
      </w:r>
      <w:r/>
    </w:p>
    <w:p>
      <w:pPr>
        <w:pStyle w:val="881"/>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供应商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供应商未按上述要求逐一进行填报的将被视为无效响应文件；非专门面向中小企业的项目供应商未按上述要求逐一进行填报的将不进行中、小、微型企业认定。</w:t>
      </w:r>
      <w:r>
        <w:rPr>
          <w:highlight w:val="none"/>
        </w:rPr>
      </w:r>
      <w:r/>
    </w:p>
    <w:p>
      <w:pPr>
        <w:pStyle w:val="881"/>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highlight w:val="none"/>
        </w:rPr>
      </w:r>
      <w:r/>
    </w:p>
    <w:p>
      <w:pPr>
        <w:pStyle w:val="881"/>
        <w:ind w:firstLine="420"/>
        <w:spacing w:line="360" w:lineRule="auto"/>
        <w:rPr>
          <w:rFonts w:hint="eastAsia"/>
          <w:color w:val="000000"/>
          <w:highlight w:val="none"/>
        </w:rPr>
      </w:pPr>
      <w:r>
        <w:rPr>
          <w:rFonts w:hint="eastAsia"/>
          <w:color w:val="000000"/>
          <w:highlight w:val="none"/>
        </w:rPr>
        <w:t xml:space="preserve">（3）入围供应商的《</w:t>
      </w:r>
      <w:r>
        <w:rPr>
          <w:color w:val="000000"/>
          <w:highlight w:val="none"/>
        </w:rPr>
        <w:t xml:space="preserve">中小企业声明函</w:t>
      </w:r>
      <w:r>
        <w:rPr>
          <w:rFonts w:hint="eastAsia"/>
          <w:color w:val="000000"/>
          <w:highlight w:val="none"/>
        </w:rPr>
        <w:t xml:space="preserve">》将随入围公告进行公示。供应商按照本办法规定提供声明函内容不实的，属于提供虚假材料谋取入围（成交），依照《中华人民共和国政府采购法》等国家有关规定追究相应责任。</w:t>
      </w:r>
      <w:r>
        <w:rPr>
          <w:highlight w:val="none"/>
        </w:rPr>
      </w:r>
      <w:r/>
    </w:p>
    <w:p>
      <w:pPr>
        <w:pStyle w:val="881"/>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highlight w:val="none"/>
        </w:rPr>
      </w:r>
      <w:r/>
    </w:p>
    <w:p>
      <w:pPr>
        <w:pStyle w:val="881"/>
        <w:ind w:firstLine="482"/>
        <w:spacing w:line="440" w:lineRule="exact"/>
        <w:rPr>
          <w:rFonts w:ascii="Arial" w:hAnsi="Arial"/>
          <w:b/>
          <w:color w:val="000000"/>
          <w:sz w:val="24"/>
          <w:highlight w:val="none"/>
        </w:rPr>
      </w:pPr>
      <w:r>
        <w:rPr>
          <w:rFonts w:ascii="Arial" w:hAnsi="Arial"/>
          <w:b/>
          <w:color w:val="000000"/>
          <w:sz w:val="24"/>
          <w:highlight w:val="none"/>
        </w:rPr>
      </w:r>
      <w:r>
        <w:rPr>
          <w:highlight w:val="none"/>
        </w:rPr>
      </w:r>
      <w:r/>
    </w:p>
    <w:p>
      <w:pPr>
        <w:pStyle w:val="88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highlight w:val="none"/>
        </w:rPr>
      </w:r>
      <w:r/>
    </w:p>
    <w:p>
      <w:pPr>
        <w:pStyle w:val="881"/>
        <w:jc w:val="center"/>
        <w:rPr>
          <w:rFonts w:ascii="黑体" w:eastAsia="黑体"/>
          <w:bCs/>
          <w:color w:val="000000"/>
          <w:sz w:val="28"/>
          <w:szCs w:val="28"/>
          <w:highlight w:val="none"/>
        </w:rPr>
      </w:pPr>
      <w:r>
        <w:rPr>
          <w:rFonts w:ascii="黑体" w:eastAsia="黑体"/>
          <w:bCs/>
          <w:color w:val="000000"/>
          <w:sz w:val="28"/>
          <w:szCs w:val="28"/>
          <w:highlight w:val="none"/>
        </w:rPr>
      </w:r>
      <w:r>
        <w:rPr>
          <w:highlight w:val="none"/>
        </w:rPr>
      </w:r>
      <w:r/>
    </w:p>
    <w:p>
      <w:pPr>
        <w:pStyle w:val="8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pStyle w:val="8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highlight w:val="none"/>
        </w:rPr>
      </w:r>
      <w:r/>
    </w:p>
    <w:p>
      <w:pPr>
        <w:pStyle w:val="881"/>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highlight w:val="none"/>
        </w:rPr>
      </w:r>
      <w:r/>
    </w:p>
    <w:p>
      <w:pPr>
        <w:pStyle w:val="8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highlight w:val="none"/>
        </w:rPr>
      </w:r>
      <w:r/>
    </w:p>
    <w:p>
      <w:pPr>
        <w:pStyle w:val="881"/>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w:t>
      </w:r>
      <w:r>
        <w:rPr>
          <w:rFonts w:hint="eastAsia"/>
          <w:b/>
          <w:color w:val="000000"/>
          <w:sz w:val="28"/>
          <w:szCs w:val="28"/>
          <w:highlight w:val="none"/>
        </w:rPr>
        <w:t xml:space="preserve">响应</w:t>
      </w:r>
      <w:r>
        <w:rPr>
          <w:b/>
          <w:color w:val="000000"/>
          <w:sz w:val="28"/>
          <w:szCs w:val="28"/>
          <w:highlight w:val="none"/>
        </w:rPr>
        <w:t xml:space="preserve">函</w:t>
      </w:r>
      <w:r>
        <w:rPr>
          <w:rFonts w:hint="eastAsia"/>
          <w:b/>
          <w:color w:val="000000"/>
          <w:sz w:val="28"/>
          <w:szCs w:val="28"/>
          <w:highlight w:val="none"/>
        </w:rPr>
        <w:t xml:space="preserve">（给定格式）：</w:t>
      </w:r>
      <w:r>
        <w:rPr>
          <w:highlight w:val="none"/>
        </w:rPr>
      </w:r>
      <w:r/>
    </w:p>
    <w:p>
      <w:pPr>
        <w:pStyle w:val="881"/>
        <w:spacing w:line="360" w:lineRule="auto"/>
        <w:rPr>
          <w:rFonts w:hint="eastAsia"/>
          <w:b/>
          <w:color w:val="000000"/>
          <w:sz w:val="30"/>
          <w:szCs w:val="30"/>
          <w:highlight w:val="none"/>
        </w:rPr>
      </w:pPr>
      <w:r>
        <w:rPr>
          <w:rFonts w:hint="eastAsia"/>
          <w:b/>
          <w:color w:val="000000"/>
          <w:sz w:val="30"/>
          <w:szCs w:val="30"/>
          <w:highlight w:val="none"/>
        </w:rPr>
      </w:r>
      <w:r>
        <w:rPr>
          <w:highlight w:val="none"/>
        </w:rPr>
      </w:r>
      <w:r/>
    </w:p>
    <w:p>
      <w:pPr>
        <w:pStyle w:val="881"/>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响应函</w:t>
      </w:r>
      <w:r>
        <w:rPr>
          <w:highlight w:val="none"/>
        </w:rPr>
      </w:r>
      <w:r/>
    </w:p>
    <w:p>
      <w:pPr>
        <w:pStyle w:val="881"/>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w:t>
      </w:r>
      <w:r>
        <w:rPr>
          <w:rFonts w:hint="eastAsia" w:ascii="宋体" w:hAnsi="宋体"/>
          <w:bCs/>
          <w:color w:val="000000"/>
          <w:sz w:val="24"/>
          <w:szCs w:val="24"/>
          <w:highlight w:val="none"/>
        </w:rPr>
        <w:t xml:space="preserve">：</w:t>
      </w:r>
      <w:r>
        <w:rPr>
          <w:highlight w:val="none"/>
        </w:rPr>
      </w:r>
      <w:r/>
    </w:p>
    <w:p>
      <w:pPr>
        <w:pStyle w:val="881"/>
        <w:ind w:firstLine="480"/>
        <w:spacing w:line="400" w:lineRule="exact"/>
        <w:rPr>
          <w:rFonts w:ascii="宋体"/>
          <w:bCs/>
          <w:color w:val="000000"/>
          <w:sz w:val="24"/>
          <w:szCs w:val="24"/>
          <w:highlight w:val="none"/>
        </w:rPr>
      </w:pPr>
      <w:r>
        <w:rPr>
          <w:rFonts w:ascii="宋体"/>
          <w:bCs/>
          <w:color w:val="000000"/>
          <w:sz w:val="24"/>
          <w:szCs w:val="24"/>
          <w:highlight w:val="none"/>
        </w:rPr>
      </w:r>
      <w:r>
        <w:rPr>
          <w:highlight w:val="none"/>
        </w:rPr>
      </w:r>
      <w:r/>
    </w:p>
    <w:p>
      <w:pPr>
        <w:pStyle w:val="881"/>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JSZC-320200-JZCG-K2026-0097</w:t>
      </w:r>
      <w:r>
        <w:rPr>
          <w:rFonts w:hint="eastAsia" w:ascii="宋体" w:hAnsi="宋体"/>
          <w:bCs/>
          <w:color w:val="000000"/>
          <w:sz w:val="24"/>
          <w:szCs w:val="24"/>
          <w:highlight w:val="none"/>
        </w:rPr>
        <w:t xml:space="preserve">征集文件，经仔细阅读和研究，我方决定参加此项目的征集活动。</w:t>
      </w:r>
      <w:r>
        <w:rPr>
          <w:highlight w:val="none"/>
        </w:rPr>
      </w:r>
      <w:r/>
    </w:p>
    <w:p>
      <w:pPr>
        <w:pStyle w:val="881"/>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我方愿意按照征集文件的一切要求，提供本项目的报价，报价见《报价一览表》。</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5"/>
          <w:bCs/>
          <w:color w:val="000000"/>
          <w:highlight w:val="none"/>
        </w:rPr>
      </w:pPr>
      <w:r>
        <w:rPr>
          <w:rFonts w:hint="eastAsia" w:ascii="宋体" w:hAnsi="宋体"/>
          <w:bCs/>
          <w:color w:val="000000"/>
          <w:sz w:val="24"/>
          <w:szCs w:val="24"/>
          <w:highlight w:val="none"/>
        </w:rPr>
        <w:t xml:space="preserve">我方愿意提供征集文件中要求的文件、资料。</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我方同意按征集文件中的规定，从征集文件规定的</w:t>
      </w:r>
      <w:r>
        <w:rPr>
          <w:rFonts w:hint="eastAsia" w:ascii="宋体" w:hAnsi="宋体"/>
          <w:bCs/>
          <w:color w:val="000000"/>
          <w:sz w:val="24"/>
          <w:highlight w:val="none"/>
        </w:rPr>
        <w:t xml:space="preserve">响应文件有效期</w:t>
      </w:r>
      <w:r>
        <w:rPr>
          <w:rFonts w:hint="eastAsia" w:ascii="宋体" w:hAnsi="宋体"/>
          <w:bCs/>
          <w:color w:val="000000"/>
          <w:sz w:val="24"/>
          <w:szCs w:val="24"/>
          <w:highlight w:val="none"/>
        </w:rPr>
        <w:t xml:space="preserve">内遵循本响应文件，并在规定的</w:t>
      </w:r>
      <w:r>
        <w:rPr>
          <w:rFonts w:hint="eastAsia" w:ascii="宋体" w:hAnsi="宋体"/>
          <w:bCs/>
          <w:color w:val="000000"/>
          <w:sz w:val="24"/>
          <w:highlight w:val="none"/>
        </w:rPr>
        <w:t xml:space="preserve">响应文件</w:t>
      </w:r>
      <w:r>
        <w:rPr>
          <w:rFonts w:hint="eastAsia" w:ascii="宋体" w:hAnsi="宋体"/>
          <w:bCs/>
          <w:color w:val="000000"/>
          <w:sz w:val="24"/>
          <w:szCs w:val="24"/>
          <w:highlight w:val="none"/>
        </w:rPr>
        <w:t xml:space="preserve">有效期期满之前均具有约束力。</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如果我方的响应文件被接受，我方将履行征集文件中规定的每一项要求，按期、按质、按量，完成交货任务。</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我方完全同意征集文件规定的决定成交者的方式。</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我方愿意遵守《中华人民共和国政府采购法》，并按《中华人民共和国民法典》等相关法律法规和合同条款履行自己的全部责任。</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我方已详细审核全部征集文件及其有效补充文件，我们知道必须放弃提出含糊不清或误解问题的权利。</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如我方在提交响应文件截止期后撤回响应文件及成交后拒绝遵守响应承诺或拒绝在规定的时间内与采购人签订合同，则接受政府采购监督管理部门的处理。</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第二阶段被确定为成交供应商，我方愿意按采购人要求交纳履约保证金。且我方如无不可抗力，又未履行征集文件、响应文件和合同条款的，一经查实，我方愿意赔偿由此而造成的一切损失，并同意接受按征集文件的相关要求对我方进行的处理。</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入围或成交、决不采取不正当手段诋毁、排挤其他供应商、决不与征集人、采购人、其他供应商恶意串通、决不向采购人、征集人和评委等相关人员进行商业贿赂、决不在采购过程中与征集人进行协商谈判、决不拒绝有关部门监督检查或提供虚假情况，如有违反，无条件接受相关管理部门的处罚。</w:t>
      </w:r>
      <w:r>
        <w:rPr>
          <w:highlight w:val="none"/>
        </w:rPr>
      </w:r>
      <w:r/>
    </w:p>
    <w:p>
      <w:pPr>
        <w:pStyle w:val="881"/>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highlight w:val="none"/>
        </w:rPr>
      </w:r>
      <w:r/>
    </w:p>
    <w:p>
      <w:pPr>
        <w:pStyle w:val="881"/>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highlight w:val="none"/>
        </w:rPr>
      </w:r>
      <w:r/>
    </w:p>
    <w:p>
      <w:pPr>
        <w:pStyle w:val="881"/>
        <w:ind w:firstLine="480"/>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highlight w:val="none"/>
        </w:rPr>
      </w:r>
      <w:r/>
    </w:p>
    <w:p>
      <w:pPr>
        <w:pStyle w:val="881"/>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highlight w:val="none"/>
        </w:rPr>
      </w:r>
      <w:r/>
    </w:p>
    <w:p>
      <w:pPr>
        <w:pStyle w:val="881"/>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highlight w:val="none"/>
        </w:rPr>
      </w:r>
      <w:r/>
    </w:p>
    <w:p>
      <w:pPr>
        <w:pStyle w:val="881"/>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JSZC-320200-JZCG-K2026-0097</w:t>
      </w:r>
      <w:r>
        <w:rPr>
          <w:rFonts w:hint="eastAsia" w:ascii="宋体" w:hAnsi="宋体"/>
          <w:color w:val="000000"/>
          <w:sz w:val="24"/>
          <w:szCs w:val="24"/>
          <w:highlight w:val="none"/>
        </w:rPr>
        <w:t xml:space="preserve">在此承诺：</w:t>
      </w:r>
      <w:r>
        <w:rPr>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对本项目所提供的货物均为原厂全新合格产品，提供的服务符合征集文件要求。</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具备履行本框架协议所必需的设备和专业技术能力</w:t>
      </w:r>
      <w:r>
        <w:rPr>
          <w:highlight w:val="none"/>
        </w:rPr>
      </w:r>
      <w:r/>
    </w:p>
    <w:p>
      <w:pPr>
        <w:pStyle w:val="881"/>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highlight w:val="none"/>
        </w:rPr>
      </w:r>
      <w:r/>
    </w:p>
    <w:p>
      <w:pPr>
        <w:pStyle w:val="881"/>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highlight w:val="none"/>
        </w:rPr>
      </w:r>
      <w:r/>
    </w:p>
    <w:p>
      <w:pPr>
        <w:pStyle w:val="881"/>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《需求标准》的前提下，如征集文件中对七种软硬件有其他要求的，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满足征集文件要求。如采购人在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highlight w:val="none"/>
        </w:rPr>
      </w:r>
      <w:r/>
    </w:p>
    <w:p>
      <w:pPr>
        <w:pStyle w:val="881"/>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highlight w:val="none"/>
        </w:rPr>
      </w:r>
      <w:r/>
    </w:p>
    <w:p>
      <w:pPr>
        <w:pStyle w:val="881"/>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rPr>
          <w:highlight w:val="none"/>
        </w:rPr>
      </w:r>
      <w:r/>
    </w:p>
    <w:p>
      <w:pPr>
        <w:pStyle w:val="881"/>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（供应商如有其他承诺的可在此处添加）</w:t>
      </w:r>
      <w:r>
        <w:rPr>
          <w:highlight w:val="none"/>
        </w:rPr>
      </w:r>
      <w:r/>
    </w:p>
    <w:p>
      <w:pPr>
        <w:pStyle w:val="881"/>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rPr>
          <w:highlight w:val="none"/>
        </w:rPr>
      </w:r>
      <w:r/>
    </w:p>
    <w:p>
      <w:pPr>
        <w:pStyle w:val="881"/>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highlight w:val="none"/>
        </w:rPr>
      </w:r>
      <w:r/>
    </w:p>
    <w:p>
      <w:pPr>
        <w:pStyle w:val="881"/>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highlight w:val="none"/>
        </w:rPr>
      </w:r>
      <w:r/>
    </w:p>
    <w:p>
      <w:pPr>
        <w:pStyle w:val="881"/>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八、报价一览表（给定格式）：</w:t>
      </w:r>
      <w:r>
        <w:rPr>
          <w:highlight w:val="none"/>
        </w:rPr>
      </w:r>
      <w:r/>
    </w:p>
    <w:p>
      <w:pPr>
        <w:pStyle w:val="881"/>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rPr>
          <w:highlight w:val="none"/>
        </w:rPr>
      </w:r>
      <w:r/>
    </w:p>
    <w:p>
      <w:pPr>
        <w:pStyle w:val="881"/>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报价一览表</w:t>
      </w:r>
      <w:r>
        <w:rPr>
          <w:highlight w:val="none"/>
        </w:rPr>
      </w:r>
      <w:r/>
    </w:p>
    <w:p>
      <w:pPr>
        <w:pStyle w:val="881"/>
        <w:jc w:val="center"/>
        <w:rPr>
          <w:rFonts w:ascii="黑体" w:eastAsia="黑体"/>
          <w:bCs/>
          <w:color w:val="000000"/>
          <w:sz w:val="28"/>
          <w:szCs w:val="28"/>
          <w:highlight w:val="none"/>
        </w:rPr>
        <w:outlineLvl w:val="0"/>
      </w:pPr>
      <w:r>
        <w:rPr>
          <w:rFonts w:ascii="黑体" w:eastAsia="黑体"/>
          <w:bCs/>
          <w:color w:val="000000"/>
          <w:sz w:val="28"/>
          <w:szCs w:val="28"/>
          <w:highlight w:val="none"/>
        </w:rPr>
      </w:r>
      <w:r>
        <w:rPr>
          <w:highlight w:val="none"/>
        </w:rPr>
      </w:r>
      <w:r/>
    </w:p>
    <w:p>
      <w:pPr>
        <w:pStyle w:val="881"/>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JSZC-320200-JZCG-K2026-0097</w:t>
      </w:r>
      <w:r>
        <w:rPr>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highlight w:val="none"/>
              </w:rPr>
            </w:r>
            <w:r/>
          </w:p>
        </w:tc>
        <w:tc>
          <w:tcPr>
            <w:tcW w:w="3188"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项目报价（工时单价）</w:t>
            </w:r>
            <w:r>
              <w:rPr>
                <w:highlight w:val="none"/>
              </w:rPr>
            </w:r>
            <w:r/>
          </w:p>
        </w:tc>
      </w:tr>
      <w:tr>
        <w:trPr>
          <w:cantSplit/>
          <w:trHeight w:val="1630"/>
        </w:trPr>
        <w:tc>
          <w:tcPr>
            <w:tcW w:w="5697" w:type="dxa"/>
            <w:vAlign w:val="center"/>
            <w:textDirection w:val="lrTb"/>
            <w:noWrap w:val="false"/>
          </w:tcPr>
          <w:p>
            <w:pPr>
              <w:pStyle w:val="994"/>
              <w:jc w:val="center"/>
              <w:spacing w:line="400" w:lineRule="exact"/>
              <w:rPr>
                <w:rFonts w:hint="eastAsia" w:hAnsi="宋体" w:eastAsia="宋体"/>
                <w:bCs/>
                <w:color w:val="000000"/>
                <w:szCs w:val="24"/>
                <w:highlight w:val="none"/>
              </w:rPr>
            </w:pPr>
            <w:r>
              <w:rPr>
                <w:rFonts w:hint="eastAsia" w:hAnsi="宋体"/>
                <w:bCs/>
                <w:color w:val="000000"/>
                <w:szCs w:val="24"/>
                <w:highlight w:val="none"/>
                <w:lang w:eastAsia="zh-CN"/>
              </w:rPr>
              <w:t xml:space="preserve">2027-2028年度无锡市市本级车辆维修和保养服务框架协议采购</w:t>
            </w:r>
            <w:r>
              <w:rPr>
                <w:highlight w:val="none"/>
              </w:rPr>
            </w:r>
            <w:r/>
          </w:p>
        </w:tc>
        <w:tc>
          <w:tcPr>
            <w:tcW w:w="3188" w:type="dxa"/>
            <w:vAlign w:val="center"/>
            <w:textDirection w:val="lrTb"/>
            <w:noWrap w:val="false"/>
          </w:tcPr>
          <w:p>
            <w:pPr>
              <w:pStyle w:val="994"/>
              <w:ind w:firstLine="964"/>
              <w:rPr>
                <w:rFonts w:hAnsi="宋体"/>
                <w:b/>
                <w:color w:val="000000"/>
                <w:szCs w:val="24"/>
                <w:highlight w:val="none"/>
              </w:rPr>
            </w:pPr>
            <w:r>
              <w:rPr>
                <w:rFonts w:hint="eastAsia" w:hAnsi="宋体"/>
                <w:b/>
                <w:color w:val="000000"/>
                <w:szCs w:val="24"/>
                <w:highlight w:val="none"/>
                <w:u w:val="single"/>
              </w:rPr>
              <w:t xml:space="preserve">    </w:t>
            </w:r>
            <w:r>
              <w:rPr>
                <w:rFonts w:hint="eastAsia" w:hAnsi="宋体"/>
                <w:b/>
                <w:color w:val="000000"/>
                <w:szCs w:val="24"/>
                <w:highlight w:val="none"/>
                <w:lang w:eastAsia="zh-CN"/>
              </w:rPr>
              <w:t xml:space="preserve">元 /(人・时)</w:t>
            </w:r>
            <w:r>
              <w:rPr>
                <w:highlight w:val="none"/>
              </w:rPr>
            </w:r>
            <w:r/>
          </w:p>
        </w:tc>
      </w:tr>
    </w:tbl>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供应商名称（盖章）：</w:t>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rPr>
          <w:highlight w:val="none"/>
        </w:rPr>
      </w:r>
      <w:r/>
    </w:p>
    <w:p>
      <w:pPr>
        <w:pStyle w:val="996"/>
        <w:rPr>
          <w:rFonts w:hAnsi="宋体" w:eastAsia="宋体"/>
          <w:color w:val="000000"/>
          <w:sz w:val="21"/>
          <w:szCs w:val="21"/>
          <w:highlight w:val="none"/>
        </w:rPr>
      </w:pPr>
      <w:r>
        <w:rPr>
          <w:rFonts w:hint="eastAsia" w:hAnsi="宋体" w:eastAsia="宋体"/>
          <w:b/>
          <w:color w:val="000000"/>
          <w:sz w:val="21"/>
          <w:szCs w:val="21"/>
          <w:highlight w:val="none"/>
        </w:rPr>
        <w:t xml:space="preserve">说明：</w:t>
      </w:r>
      <w:r>
        <w:rPr>
          <w:rFonts w:hint="eastAsia" w:hAnsi="宋体" w:eastAsia="宋体"/>
          <w:color w:val="000000"/>
          <w:sz w:val="21"/>
          <w:szCs w:val="21"/>
          <w:highlight w:val="none"/>
        </w:rPr>
        <w:t xml:space="preserve">（1）供应商按所报标段进行报价。若未进行填报的，则视为未响应，响应文件无效。</w:t>
      </w:r>
      <w:r>
        <w:rPr>
          <w:highlight w:val="none"/>
        </w:rPr>
      </w:r>
      <w:r/>
    </w:p>
    <w:p>
      <w:pPr>
        <w:pStyle w:val="996"/>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（2）最高限制单价均为：工时单价：10</w:t>
      </w:r>
      <w:r>
        <w:rPr>
          <w:rFonts w:hint="eastAsia" w:hAnsi="宋体" w:eastAsia="宋体"/>
          <w:color w:val="000000"/>
          <w:sz w:val="21"/>
          <w:szCs w:val="21"/>
          <w:highlight w:val="none"/>
          <w:lang w:eastAsia="zh-CN"/>
        </w:rPr>
        <w:t xml:space="preserve">元 /(人・时)</w:t>
      </w:r>
      <w:r>
        <w:rPr>
          <w:rFonts w:hint="eastAsia" w:hAnsi="宋体" w:eastAsia="宋体"/>
          <w:color w:val="000000"/>
          <w:sz w:val="21"/>
          <w:szCs w:val="21"/>
          <w:highlight w:val="none"/>
        </w:rPr>
        <w:t xml:space="preserve">。供应商报价时不得超过最高限制单价，否则将被视为无效响应文件。</w:t>
      </w:r>
      <w:r>
        <w:rPr>
          <w:highlight w:val="none"/>
        </w:rPr>
      </w:r>
      <w:r/>
    </w:p>
    <w:p>
      <w:pPr>
        <w:pStyle w:val="996"/>
        <w:ind w:firstLine="630"/>
        <w:rPr>
          <w:rFonts w:hAnsi="宋体" w:eastAsia="宋体"/>
          <w:color w:val="000000"/>
          <w:sz w:val="21"/>
          <w:szCs w:val="21"/>
          <w:highlight w:val="none"/>
        </w:rPr>
      </w:pPr>
      <w:r>
        <w:rPr>
          <w:rFonts w:hint="eastAsia" w:hAnsi="宋体" w:eastAsia="宋体"/>
          <w:color w:val="000000"/>
          <w:sz w:val="21"/>
          <w:szCs w:val="21"/>
          <w:highlight w:val="none"/>
        </w:rPr>
        <w:t xml:space="preserve">（3）所报工时单价应按市场价格及自身实际情况客观报价，报价价格均应大于零。供应商所报价格即为第一阶段入围后的协议价格也是采购人确定第二阶段成交供应商的最高限价。</w:t>
      </w:r>
      <w:r>
        <w:rPr>
          <w:highlight w:val="none"/>
        </w:rPr>
      </w:r>
      <w:r/>
    </w:p>
    <w:p>
      <w:pPr>
        <w:pStyle w:val="996"/>
        <w:ind w:firstLine="630"/>
        <w:rPr>
          <w:rFonts w:hAnsi="宋体" w:eastAsia="宋体"/>
          <w:color w:val="000000"/>
          <w:sz w:val="21"/>
          <w:szCs w:val="21"/>
          <w:highlight w:val="none"/>
        </w:rPr>
      </w:pPr>
      <w:r>
        <w:rPr>
          <w:rFonts w:hint="eastAsia" w:hAnsi="宋体" w:eastAsia="宋体"/>
          <w:color w:val="000000"/>
          <w:sz w:val="21"/>
          <w:szCs w:val="21"/>
          <w:highlight w:val="none"/>
        </w:rPr>
        <w:t xml:space="preserve">（4）供应商所报工时单价的报价最多均只能精确到小数点后两位。即供应商所报工时单价：</w:t>
      </w:r>
      <w:r>
        <w:rPr>
          <w:rFonts w:hint="eastAsia" w:hAnsi="宋体" w:eastAsia="宋体"/>
          <w:color w:val="000000"/>
          <w:sz w:val="21"/>
          <w:szCs w:val="21"/>
          <w:highlight w:val="none"/>
          <w:u w:val="single"/>
        </w:rPr>
        <w:t xml:space="preserve"> a </w:t>
      </w:r>
      <w:r>
        <w:rPr>
          <w:rFonts w:hint="eastAsia" w:hAnsi="宋体" w:eastAsia="宋体"/>
          <w:color w:val="000000"/>
          <w:sz w:val="21"/>
          <w:szCs w:val="21"/>
          <w:highlight w:val="none"/>
          <w:lang w:eastAsia="zh-CN"/>
        </w:rPr>
        <w:t xml:space="preserve">元 /(人・时)</w:t>
      </w:r>
      <w:r>
        <w:rPr>
          <w:rFonts w:hint="eastAsia" w:hAnsi="宋体" w:eastAsia="宋体"/>
          <w:color w:val="000000"/>
          <w:sz w:val="21"/>
          <w:szCs w:val="21"/>
          <w:highlight w:val="none"/>
        </w:rPr>
        <w:t xml:space="preserve">，则a值最多均只能精确到小数点后两位。否则将被视为无效响应文件。</w:t>
      </w:r>
      <w:r>
        <w:rPr>
          <w:highlight w:val="none"/>
        </w:rPr>
      </w:r>
      <w:r/>
    </w:p>
    <w:p>
      <w:pPr>
        <w:pStyle w:val="996"/>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5）因“苏采云”系统自带“报价一览表”模块，供应商须按“苏采云”系统中给定的模块格式，完整、正确地进行填报（具体位置为“基本目录”——“报价一览表”），供应商填报的报价应当一致。否则将以供应商在“苏采云”系统自带的模块格式中填报的报价为准。</w:t>
      </w:r>
      <w:r>
        <w:rPr>
          <w:highlight w:val="none"/>
        </w:rPr>
      </w:r>
      <w:r/>
    </w:p>
    <w:p>
      <w:pPr>
        <w:pStyle w:val="996"/>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（6）其他未尽事宜详见第四章《采购需求》中“报价要求”。</w:t>
      </w:r>
      <w:r>
        <w:rPr>
          <w:highlight w:val="none"/>
        </w:rPr>
      </w:r>
      <w:r/>
    </w:p>
    <w:p>
      <w:pPr>
        <w:pStyle w:val="881"/>
        <w:ind w:firstLine="420"/>
        <w:spacing w:line="500" w:lineRule="exact"/>
        <w:rPr>
          <w:rFonts w:hint="eastAsia" w:ascii="宋体" w:hAnsi="宋体"/>
          <w:color w:val="000000"/>
          <w:sz w:val="24"/>
          <w:highlight w:val="none"/>
        </w:rPr>
      </w:pPr>
      <w:r>
        <w:rPr>
          <w:rFonts w:hint="eastAsia"/>
          <w:color w:val="000000"/>
          <w:highlight w:val="none"/>
          <w:lang w:val="en-US" w:eastAsia="zh-CN"/>
        </w:rPr>
        <w:t xml:space="preserve">  </w:t>
      </w:r>
      <w:r>
        <w:rPr>
          <w:rFonts w:hint="eastAsia" w:ascii="宋体" w:hAnsi="宋体" w:eastAsia="宋体" w:cs="Times New Roman"/>
          <w:color w:val="000000"/>
          <w:sz w:val="21"/>
          <w:szCs w:val="21"/>
          <w:highlight w:val="none"/>
          <w:lang w:val="en-US" w:eastAsia="zh-CN" w:bidi="ar-SA"/>
        </w:rPr>
        <w:t xml:space="preserve">（7）关于异常低价投标（响应）审查详见第二章25.7。</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08"/>
        <w:rPr>
          <w:color w:val="000000"/>
          <w:highlight w:val="none"/>
        </w:rPr>
      </w:pPr>
      <w:r>
        <w:rPr>
          <w:color w:val="000000"/>
          <w:highlight w:val="none"/>
          <w:lang w:val="en-US" w:eastAsia="zh-CN"/>
        </w:rPr>
      </w:r>
      <w:r>
        <w:rPr>
          <w:highlight w:val="none"/>
        </w:rPr>
      </w:r>
      <w:r/>
    </w:p>
    <w:p>
      <w:pPr>
        <w:pStyle w:val="996"/>
        <w:ind w:firstLine="630"/>
        <w:rPr>
          <w:rFonts w:hAnsi="宋体" w:eastAsia="楷体_GB2312"/>
          <w:color w:val="000000"/>
          <w:sz w:val="21"/>
          <w:szCs w:val="21"/>
          <w:highlight w:val="none"/>
        </w:rPr>
      </w:pPr>
      <w:r>
        <w:rPr>
          <w:rFonts w:hAnsi="宋体" w:eastAsia="楷体_GB2312"/>
          <w:color w:val="000000"/>
          <w:sz w:val="21"/>
          <w:szCs w:val="21"/>
          <w:highlight w:val="none"/>
          <w:lang w:val="en-US" w:eastAsia="zh-CN"/>
        </w:rPr>
      </w:r>
      <w:r>
        <w:rPr>
          <w:highlight w:val="none"/>
        </w:rPr>
      </w:r>
      <w:r/>
    </w:p>
    <w:p>
      <w:pPr>
        <w:pStyle w:val="881"/>
        <w:spacing w:line="400" w:lineRule="exact"/>
        <w:rPr>
          <w:rFonts w:ascii="宋体"/>
          <w:bCs/>
          <w:color w:val="000000"/>
          <w:highlight w:val="none"/>
        </w:rPr>
        <w:outlineLvl w:val="0"/>
      </w:pPr>
      <w:r>
        <w:rPr>
          <w:rFonts w:ascii="宋体"/>
          <w:bCs/>
          <w:color w:val="000000"/>
          <w:highlight w:val="none"/>
        </w:rPr>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rPr>
          <w:highlight w:val="none"/>
        </w:rPr>
      </w:r>
      <w:r/>
    </w:p>
    <w:p>
      <w:pPr>
        <w:pStyle w:val="881"/>
        <w:spacing w:line="360" w:lineRule="auto"/>
        <w:rPr>
          <w:rFonts w:hint="eastAsia"/>
          <w:b/>
          <w:color w:val="000000"/>
          <w:sz w:val="28"/>
          <w:szCs w:val="28"/>
          <w:highlight w:val="none"/>
        </w:rPr>
      </w:pPr>
      <w:r>
        <w:rPr>
          <w:rFonts w:ascii="黑体" w:eastAsia="黑体"/>
          <w:bCs/>
          <w:color w:val="000000"/>
          <w:sz w:val="24"/>
          <w:szCs w:val="24"/>
          <w:highlight w:val="none"/>
        </w:rPr>
        <w:br w:type="page" w:clear="all"/>
      </w:r>
      <w:bookmarkEnd w:id="184"/>
      <w:r>
        <w:rPr>
          <w:highlight w:val="none"/>
        </w:rPr>
      </w:r>
      <w:bookmarkEnd w:id="185"/>
      <w:r>
        <w:rPr>
          <w:highlight w:val="none"/>
        </w:rPr>
      </w:r>
      <w:bookmarkEnd w:id="186"/>
      <w:r>
        <w:rPr>
          <w:highlight w:val="none"/>
        </w:rPr>
      </w:r>
      <w:bookmarkStart w:id="188" w:name="_Toc120614284"/>
      <w:r>
        <w:rPr>
          <w:rFonts w:hint="eastAsia"/>
          <w:b/>
          <w:color w:val="000000"/>
          <w:sz w:val="28"/>
          <w:szCs w:val="28"/>
          <w:highlight w:val="none"/>
        </w:rPr>
        <w:t xml:space="preserve">九</w:t>
      </w:r>
      <w:r>
        <w:rPr>
          <w:b/>
          <w:color w:val="000000"/>
          <w:sz w:val="28"/>
          <w:szCs w:val="28"/>
          <w:highlight w:val="none"/>
        </w:rPr>
        <w:t xml:space="preserve">、</w:t>
      </w:r>
      <w:r>
        <w:rPr>
          <w:rFonts w:hint="eastAsia"/>
          <w:b/>
          <w:color w:val="000000"/>
          <w:sz w:val="28"/>
          <w:szCs w:val="28"/>
          <w:highlight w:val="none"/>
        </w:rPr>
        <w:t xml:space="preserve">响应偏离表（给定格式）：</w:t>
      </w:r>
      <w:r>
        <w:rPr>
          <w:highlight w:val="none"/>
        </w:rPr>
      </w:r>
      <w:r/>
    </w:p>
    <w:p>
      <w:pPr>
        <w:pStyle w:val="881"/>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rPr>
          <w:highlight w:val="none"/>
        </w:rPr>
      </w:r>
      <w:r/>
    </w:p>
    <w:p>
      <w:pPr>
        <w:pStyle w:val="881"/>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响应偏离表</w:t>
      </w:r>
      <w:r>
        <w:rPr>
          <w:highlight w:val="none"/>
        </w:rPr>
      </w:r>
      <w:r/>
    </w:p>
    <w:p>
      <w:pPr>
        <w:pStyle w:val="881"/>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rPr>
          <w:highlight w:val="none"/>
        </w:rPr>
      </w:r>
      <w:r/>
    </w:p>
    <w:p>
      <w:pPr>
        <w:pStyle w:val="881"/>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JSZC-320200-JZCG-K2026-0097</w:t>
      </w:r>
      <w:r>
        <w:rPr>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响应情况</w:t>
            </w:r>
            <w:r>
              <w:rPr>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Cs/>
                <w:color w:val="000000"/>
                <w:highlight w:val="none"/>
              </w:rPr>
            </w:pPr>
            <w:r>
              <w:rPr>
                <w:rFonts w:ascii="宋体"/>
                <w:bCs/>
                <w:color w:val="000000"/>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rPr>
                <w:rFonts w:ascii="宋体"/>
                <w:bCs/>
                <w:color w:val="000000"/>
                <w:highlight w:val="none"/>
              </w:rPr>
            </w:pPr>
            <w:r>
              <w:rPr>
                <w:rFonts w:ascii="宋体"/>
                <w:bCs/>
                <w:color w:val="000000"/>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Cs/>
                <w:color w:val="000000"/>
                <w:highlight w:val="none"/>
              </w:rPr>
            </w:pPr>
            <w:r>
              <w:rPr>
                <w:rFonts w:ascii="宋体"/>
                <w:bCs/>
                <w:color w:val="000000"/>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1"/>
              <w:jc w:val="center"/>
              <w:rPr>
                <w:rFonts w:ascii="宋体"/>
                <w:bCs/>
                <w:color w:val="000000"/>
                <w:highlight w:val="none"/>
              </w:rPr>
            </w:pPr>
            <w:r>
              <w:rPr>
                <w:rFonts w:ascii="宋体"/>
                <w:bCs/>
                <w:color w:val="000000"/>
                <w:highlight w:val="none"/>
              </w:rPr>
            </w:r>
            <w:r>
              <w:rPr>
                <w:highlight w:val="none"/>
              </w:rPr>
            </w:r>
            <w:r/>
          </w:p>
        </w:tc>
      </w:tr>
    </w:tbl>
    <w:p>
      <w:pPr>
        <w:pStyle w:val="881"/>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供应商名称（盖章）：</w:t>
      </w:r>
      <w:r>
        <w:rPr>
          <w:highlight w:val="none"/>
        </w:rPr>
      </w:r>
      <w:r/>
    </w:p>
    <w:p>
      <w:pPr>
        <w:pStyle w:val="881"/>
        <w:rPr>
          <w:rFonts w:ascii="宋体"/>
          <w:bCs/>
          <w:color w:val="000000"/>
          <w:sz w:val="30"/>
          <w:highlight w:val="none"/>
        </w:rPr>
      </w:pPr>
      <w:r>
        <w:rPr>
          <w:rFonts w:ascii="宋体"/>
          <w:bCs/>
          <w:color w:val="000000"/>
          <w:sz w:val="30"/>
          <w:highlight w:val="none"/>
        </w:rPr>
      </w:r>
      <w:r>
        <w:rPr>
          <w:highlight w:val="none"/>
        </w:rPr>
      </w:r>
      <w:r/>
    </w:p>
    <w:p>
      <w:pPr>
        <w:pStyle w:val="881"/>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highlight w:val="none"/>
        </w:rPr>
      </w:r>
      <w:r/>
    </w:p>
    <w:p>
      <w:pPr>
        <w:pStyle w:val="881"/>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）对本征集文件中所有采购需求如无任何偏离情况，请于本表“响应情况”中注明“响应”，于“偏离</w:t>
      </w:r>
      <w:r>
        <w:rPr>
          <w:rFonts w:hint="eastAsia" w:ascii="宋体" w:hAnsi="宋体"/>
          <w:bCs/>
          <w:color w:val="000000"/>
          <w:sz w:val="24"/>
          <w:szCs w:val="24"/>
          <w:highlight w:val="none"/>
          <w:lang w:val="en-US" w:eastAsia="zh-CN"/>
        </w:rPr>
        <w:t xml:space="preserve">说明</w:t>
      </w:r>
      <w:r>
        <w:rPr>
          <w:rFonts w:hint="eastAsia" w:ascii="宋体" w:hAnsi="宋体"/>
          <w:bCs/>
          <w:color w:val="000000"/>
          <w:sz w:val="24"/>
          <w:szCs w:val="24"/>
          <w:highlight w:val="none"/>
        </w:rPr>
        <w:t xml:space="preserve">”中注明“无偏离”。</w:t>
      </w:r>
      <w:r>
        <w:rPr>
          <w:highlight w:val="none"/>
        </w:rPr>
      </w:r>
      <w:r/>
    </w:p>
    <w:p>
      <w:pPr>
        <w:pStyle w:val="881"/>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w:t>
      </w:r>
      <w:bookmarkEnd w:id="175"/>
      <w:r>
        <w:rPr>
          <w:highlight w:val="none"/>
        </w:rPr>
      </w:r>
      <w:bookmarkEnd w:id="176"/>
      <w:r>
        <w:rPr>
          <w:highlight w:val="none"/>
        </w:rPr>
      </w:r>
      <w:bookmarkEnd w:id="188"/>
      <w:r>
        <w:rPr>
          <w:highlight w:val="none"/>
        </w:rPr>
      </w:r>
      <w:bookmarkStart w:id="189" w:name="_Hlt26955066"/>
      <w:r>
        <w:rPr>
          <w:highlight w:val="none"/>
        </w:rPr>
      </w:r>
      <w:bookmarkEnd w:id="189"/>
      <w:r>
        <w:rPr>
          <w:highlight w:val="none"/>
        </w:rPr>
      </w:r>
      <w:bookmarkStart w:id="190" w:name="_格式2__法定代表人授权书"/>
      <w:r>
        <w:rPr>
          <w:highlight w:val="none"/>
        </w:rPr>
      </w:r>
      <w:bookmarkEnd w:id="190"/>
      <w:r>
        <w:rPr>
          <w:highlight w:val="none"/>
        </w:rPr>
      </w:r>
      <w:bookmarkStart w:id="191" w:name="_Hlt26609389"/>
      <w:r>
        <w:rPr>
          <w:highlight w:val="none"/>
        </w:rPr>
      </w:r>
      <w:bookmarkEnd w:id="191"/>
      <w:r>
        <w:rPr>
          <w:highlight w:val="none"/>
        </w:rPr>
      </w:r>
      <w:bookmarkStart w:id="192" w:name="_Hlt26671374"/>
      <w:r>
        <w:rPr>
          <w:highlight w:val="none"/>
        </w:rPr>
      </w:r>
      <w:bookmarkEnd w:id="192"/>
      <w:r>
        <w:rPr>
          <w:rFonts w:hint="eastAsia" w:ascii="宋体" w:hAnsi="宋体"/>
          <w:bCs/>
          <w:color w:val="000000"/>
          <w:sz w:val="24"/>
          <w:szCs w:val="24"/>
          <w:highlight w:val="none"/>
        </w:rPr>
        <w:t xml:space="preserve">如有偏离项，请于本表“响应情况”中写明实报内容，于“偏离</w:t>
      </w:r>
      <w:r>
        <w:rPr>
          <w:rFonts w:hint="eastAsia" w:ascii="宋体" w:hAnsi="宋体"/>
          <w:bCs/>
          <w:color w:val="000000"/>
          <w:sz w:val="24"/>
          <w:szCs w:val="24"/>
          <w:highlight w:val="none"/>
          <w:lang w:val="en-US" w:eastAsia="zh-CN"/>
        </w:rPr>
        <w:t xml:space="preserve">说明</w:t>
      </w:r>
      <w:r>
        <w:rPr>
          <w:rFonts w:hint="eastAsia" w:ascii="宋体" w:hAnsi="宋体"/>
          <w:bCs/>
          <w:color w:val="000000"/>
          <w:sz w:val="24"/>
          <w:szCs w:val="24"/>
          <w:highlight w:val="none"/>
        </w:rPr>
        <w:t xml:space="preserve">”中注明实际偏离情况（比如“正偏离”），本项目采购需求均不接受负偏离。其余无偏离内容不须赘述。</w:t>
      </w:r>
      <w:r>
        <w:rPr>
          <w:highlight w:val="none"/>
        </w:rPr>
      </w:r>
      <w:r/>
    </w:p>
    <w:p>
      <w:pPr>
        <w:pStyle w:val="881"/>
        <w:ind w:firstLine="90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（4）表格不够可自行延长。</w:t>
      </w:r>
      <w:r>
        <w:rPr>
          <w:highlight w:val="none"/>
        </w:rPr>
      </w:r>
      <w:r/>
    </w:p>
    <w:p>
      <w:pPr>
        <w:pStyle w:val="881"/>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十、供应商基本情况表：</w:t>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供应商基本情况表</w:t>
      </w:r>
      <w:r>
        <w:rPr>
          <w:highlight w:val="none"/>
        </w:rPr>
      </w:r>
      <w:r/>
    </w:p>
    <w:p>
      <w:pPr>
        <w:pStyle w:val="881"/>
        <w:jc w:val="center"/>
        <w:rPr>
          <w:rFonts w:hint="eastAsia" w:ascii="黑体" w:hAnsi="宋体" w:eastAsia="黑体"/>
          <w:bCs/>
          <w:color w:val="000000"/>
          <w:sz w:val="24"/>
          <w:szCs w:val="24"/>
          <w:highlight w:val="none"/>
        </w:rPr>
      </w:pPr>
      <w:r>
        <w:rPr>
          <w:rFonts w:hint="eastAsia" w:ascii="黑体" w:eastAsia="黑体"/>
          <w:bCs/>
          <w:color w:val="000000"/>
          <w:sz w:val="24"/>
          <w:szCs w:val="24"/>
          <w:highlight w:val="none"/>
        </w:rPr>
        <w:t xml:space="preserve">供应商名称（盖章）              项目编号：</w:t>
      </w:r>
      <w:r>
        <w:rPr>
          <w:rFonts w:hint="eastAsia" w:ascii="黑体" w:eastAsia="黑体"/>
          <w:bCs/>
          <w:color w:val="000000"/>
          <w:sz w:val="24"/>
          <w:szCs w:val="24"/>
          <w:highlight w:val="none"/>
          <w:lang w:eastAsia="zh-CN"/>
        </w:rPr>
        <w:t xml:space="preserve">JSZC-320200-JZCG-K2026-0097</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1"/>
        <w:gridCol w:w="1319"/>
        <w:gridCol w:w="800"/>
        <w:gridCol w:w="576"/>
        <w:gridCol w:w="544"/>
        <w:gridCol w:w="795"/>
        <w:gridCol w:w="78"/>
        <w:gridCol w:w="593"/>
        <w:gridCol w:w="886"/>
        <w:gridCol w:w="1307"/>
      </w:tblGrid>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供应商名称（全称）</w:t>
            </w:r>
            <w:r>
              <w:rPr>
                <w:highlight w:val="none"/>
              </w:rPr>
            </w:r>
            <w:r/>
          </w:p>
        </w:tc>
        <w:tc>
          <w:tcPr>
            <w:gridSpan w:val="9"/>
            <w:tcW w:w="6898"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企业地址</w:t>
            </w:r>
            <w:r>
              <w:rPr>
                <w:highlight w:val="none"/>
              </w:rPr>
            </w:r>
            <w:r/>
          </w:p>
        </w:tc>
        <w:tc>
          <w:tcPr>
            <w:gridSpan w:val="9"/>
            <w:tcW w:w="6898" w:type="dxa"/>
            <w:vAlign w:val="top"/>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   区）</w:t>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统一社会信用代码</w:t>
            </w:r>
            <w:r>
              <w:rPr>
                <w:highlight w:val="none"/>
              </w:rPr>
            </w:r>
            <w:r/>
          </w:p>
        </w:tc>
        <w:tc>
          <w:tcPr>
            <w:gridSpan w:val="9"/>
            <w:tcW w:w="6898"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维修资质</w:t>
            </w:r>
            <w:r>
              <w:rPr>
                <w:highlight w:val="none"/>
              </w:rPr>
            </w:r>
            <w:r/>
          </w:p>
        </w:tc>
        <w:tc>
          <w:tcPr>
            <w:gridSpan w:val="2"/>
            <w:tcW w:w="2119" w:type="dxa"/>
            <w:vAlign w:val="top"/>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4"/>
            <w:tcW w:w="1993" w:type="dxa"/>
            <w:vAlign w:val="top"/>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经营范围</w:t>
            </w:r>
            <w:r>
              <w:rPr>
                <w:highlight w:val="none"/>
              </w:rPr>
            </w:r>
            <w:r/>
          </w:p>
        </w:tc>
        <w:tc>
          <w:tcPr>
            <w:gridSpan w:val="3"/>
            <w:tcW w:w="2786" w:type="dxa"/>
            <w:vAlign w:val="top"/>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开户银行</w:t>
            </w:r>
            <w:r>
              <w:rPr>
                <w:highlight w:val="none"/>
              </w:rPr>
            </w:r>
            <w:r/>
          </w:p>
        </w:tc>
        <w:tc>
          <w:tcPr>
            <w:gridSpan w:val="9"/>
            <w:tcW w:w="6898" w:type="dxa"/>
            <w:vAlign w:val="top"/>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开户行、开户名称、银行账号</w:t>
            </w:r>
            <w:r>
              <w:rPr>
                <w:rFonts w:ascii="宋体" w:hAnsi="宋体"/>
                <w:bCs/>
                <w:color w:val="000000"/>
                <w:sz w:val="24"/>
                <w:szCs w:val="24"/>
                <w:highlight w:val="none"/>
              </w:rPr>
              <w:t xml:space="preserve">）</w:t>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法定代表人</w:t>
            </w:r>
            <w:r>
              <w:rPr>
                <w:highlight w:val="none"/>
              </w:rPr>
            </w:r>
            <w:r/>
          </w:p>
        </w:tc>
        <w:tc>
          <w:tcPr>
            <w:gridSpan w:val="4"/>
            <w:tcW w:w="3239"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3"/>
            <w:tcW w:w="1466"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联系电话</w:t>
            </w:r>
            <w:r>
              <w:rPr>
                <w:highlight w:val="none"/>
              </w:rPr>
            </w:r>
            <w:r/>
          </w:p>
        </w:tc>
        <w:tc>
          <w:tcPr>
            <w:gridSpan w:val="2"/>
            <w:tcW w:w="2193"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车辆维修和保养服务总协调人</w:t>
            </w:r>
            <w:r>
              <w:rPr>
                <w:highlight w:val="none"/>
              </w:rPr>
            </w:r>
            <w:r/>
          </w:p>
        </w:tc>
        <w:tc>
          <w:tcPr>
            <w:gridSpan w:val="4"/>
            <w:tcW w:w="3239"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3"/>
            <w:tcW w:w="1466"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联系电话</w:t>
            </w:r>
            <w:r>
              <w:rPr>
                <w:highlight w:val="none"/>
              </w:rPr>
            </w:r>
            <w:r/>
          </w:p>
        </w:tc>
        <w:tc>
          <w:tcPr>
            <w:gridSpan w:val="2"/>
            <w:tcW w:w="2193"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职工人员总数</w:t>
            </w:r>
            <w:r>
              <w:rPr>
                <w:highlight w:val="none"/>
              </w:rPr>
            </w:r>
            <w:r/>
          </w:p>
        </w:tc>
        <w:tc>
          <w:tcPr>
            <w:tcW w:w="1319"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2"/>
            <w:tcW w:w="1376"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管理人员数</w:t>
            </w:r>
            <w:r>
              <w:rPr>
                <w:highlight w:val="none"/>
              </w:rPr>
            </w:r>
            <w:r/>
          </w:p>
        </w:tc>
        <w:tc>
          <w:tcPr>
            <w:gridSpan w:val="2"/>
            <w:tcW w:w="1339"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3"/>
            <w:tcW w:w="1557"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技术工人数量</w:t>
            </w:r>
            <w:r>
              <w:rPr>
                <w:highlight w:val="none"/>
              </w:rPr>
            </w:r>
            <w:r/>
          </w:p>
        </w:tc>
        <w:tc>
          <w:tcPr>
            <w:tcW w:w="1307"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其他需要说明的情况：</w:t>
            </w:r>
            <w:r>
              <w:rPr>
                <w:highlight w:val="none"/>
              </w:rPr>
            </w:r>
            <w:r/>
          </w:p>
        </w:tc>
        <w:tc>
          <w:tcPr>
            <w:gridSpan w:val="9"/>
            <w:tcW w:w="6898"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bl>
    <w:p>
      <w:pPr>
        <w:pStyle w:val="881"/>
        <w:ind w:firstLine="90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rPr>
          <w:highlight w:val="none"/>
        </w:rPr>
      </w:r>
      <w:r/>
    </w:p>
    <w:p>
      <w:pPr>
        <w:pStyle w:val="881"/>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b/>
          <w:color w:val="000000"/>
          <w:sz w:val="28"/>
          <w:szCs w:val="28"/>
          <w:highlight w:val="none"/>
        </w:rPr>
        <w:t xml:space="preserve">十一、人员配置考察表</w:t>
      </w:r>
      <w:r>
        <w:rPr>
          <w:highlight w:val="none"/>
        </w:rPr>
      </w:r>
      <w:r/>
    </w:p>
    <w:p>
      <w:pPr>
        <w:pStyle w:val="881"/>
        <w:spacing w:line="360" w:lineRule="auto"/>
        <w:rPr>
          <w:rFonts w:hint="eastAsia"/>
          <w:b/>
          <w:color w:val="000000"/>
          <w:sz w:val="28"/>
          <w:szCs w:val="28"/>
          <w:highlight w:val="none"/>
        </w:rPr>
      </w:pPr>
      <w:r>
        <w:rPr>
          <w:rFonts w:hint="eastAsia"/>
          <w:b/>
          <w:color w:val="000000"/>
          <w:sz w:val="28"/>
          <w:szCs w:val="28"/>
          <w:highlight w:val="none"/>
        </w:rPr>
      </w:r>
      <w:r>
        <w:rPr>
          <w:highlight w:val="none"/>
        </w:rPr>
      </w:r>
      <w:r/>
    </w:p>
    <w:p>
      <w:pPr>
        <w:pStyle w:val="881"/>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《人员配置考察表》</w:t>
      </w:r>
      <w:r>
        <w:rPr>
          <w:highlight w:val="none"/>
        </w:rPr>
      </w:r>
      <w:r/>
    </w:p>
    <w:p>
      <w:pPr>
        <w:pStyle w:val="881"/>
        <w:jc w:val="center"/>
        <w:rPr>
          <w:rFonts w:hint="eastAsia" w:ascii="黑体" w:eastAsia="黑体"/>
          <w:bCs/>
          <w:color w:val="000000"/>
          <w:sz w:val="28"/>
          <w:szCs w:val="28"/>
          <w:highlight w:val="none"/>
        </w:rPr>
      </w:pPr>
      <w:r>
        <w:rPr>
          <w:rFonts w:hint="eastAsia" w:ascii="黑体" w:eastAsia="黑体"/>
          <w:bCs/>
          <w:color w:val="000000"/>
          <w:sz w:val="24"/>
          <w:szCs w:val="24"/>
          <w:highlight w:val="none"/>
        </w:rPr>
        <w:t xml:space="preserve">供应商名称（盖章）              项目编号：</w:t>
      </w:r>
      <w:r>
        <w:rPr>
          <w:rFonts w:hint="eastAsia" w:ascii="黑体" w:eastAsia="黑体"/>
          <w:bCs/>
          <w:color w:val="000000"/>
          <w:sz w:val="24"/>
          <w:szCs w:val="24"/>
          <w:highlight w:val="none"/>
          <w:lang w:eastAsia="zh-CN"/>
        </w:rPr>
        <w:t xml:space="preserve">JSZC-320200-JZCG-K2026-0097</w:t>
      </w:r>
      <w:r>
        <w:rPr>
          <w:highlight w:val="none"/>
        </w:rPr>
      </w:r>
      <w:r/>
    </w:p>
    <w:tbl>
      <w:tblPr>
        <w:tblW w:w="99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126"/>
        <w:gridCol w:w="1134"/>
        <w:gridCol w:w="709"/>
        <w:gridCol w:w="850"/>
        <w:gridCol w:w="1560"/>
        <w:gridCol w:w="2795"/>
      </w:tblGrid>
      <w:tr>
        <w:trPr/>
        <w:tc>
          <w:tcPr>
            <w:tcW w:w="789"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序号</w:t>
            </w:r>
            <w:r>
              <w:rPr>
                <w:highlight w:val="none"/>
              </w:rPr>
            </w:r>
            <w:r/>
          </w:p>
        </w:tc>
        <w:tc>
          <w:tcPr>
            <w:tcW w:w="2126"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岗位</w:t>
            </w:r>
            <w:r>
              <w:rPr>
                <w:highlight w:val="none"/>
              </w:rPr>
            </w:r>
            <w:r/>
          </w:p>
        </w:tc>
        <w:tc>
          <w:tcPr>
            <w:tcW w:w="1134"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姓名</w:t>
            </w:r>
            <w:r>
              <w:rPr>
                <w:highlight w:val="none"/>
              </w:rPr>
            </w:r>
            <w:r/>
          </w:p>
        </w:tc>
        <w:tc>
          <w:tcPr>
            <w:tcW w:w="709"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性别</w:t>
            </w:r>
            <w:r>
              <w:rPr>
                <w:highlight w:val="none"/>
              </w:rPr>
            </w:r>
            <w:r/>
          </w:p>
        </w:tc>
        <w:tc>
          <w:tcPr>
            <w:tcW w:w="850"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学历</w:t>
            </w:r>
            <w:r>
              <w:rPr>
                <w:highlight w:val="none"/>
              </w:rPr>
            </w:r>
            <w:r/>
          </w:p>
        </w:tc>
        <w:tc>
          <w:tcPr>
            <w:tcW w:w="1560"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身份证号</w:t>
            </w:r>
            <w:r>
              <w:rPr>
                <w:highlight w:val="none"/>
              </w:rPr>
            </w:r>
            <w:r/>
          </w:p>
        </w:tc>
        <w:tc>
          <w:tcPr>
            <w:tcW w:w="2795"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提供的</w:t>
            </w:r>
            <w:r>
              <w:rPr>
                <w:rFonts w:hint="eastAsia" w:ascii="宋体" w:hAnsi="宋体"/>
                <w:b/>
                <w:color w:val="000000"/>
                <w:sz w:val="24"/>
                <w:szCs w:val="24"/>
                <w:highlight w:val="none"/>
              </w:rPr>
              <w:t xml:space="preserve">证明</w:t>
            </w:r>
            <w:r>
              <w:rPr>
                <w:rFonts w:ascii="宋体" w:hAnsi="宋体"/>
                <w:b/>
                <w:color w:val="000000"/>
                <w:sz w:val="24"/>
                <w:szCs w:val="24"/>
                <w:highlight w:val="none"/>
              </w:rPr>
              <w:t xml:space="preserve">材料名称</w:t>
            </w:r>
            <w:r>
              <w:rPr>
                <w:highlight w:val="none"/>
              </w:rPr>
            </w:r>
            <w:r/>
          </w:p>
        </w:tc>
      </w:tr>
      <w:tr>
        <w:trPr/>
        <w:tc>
          <w:tcPr>
            <w:tcW w:w="789" w:type="dxa"/>
            <w:vAlign w:val="center"/>
            <w:textDirection w:val="lrTb"/>
            <w:noWrap w:val="false"/>
          </w:tcPr>
          <w:p>
            <w:pPr>
              <w:pStyle w:val="881"/>
              <w:jc w:val="center"/>
              <w:rPr>
                <w:rFonts w:ascii="宋体" w:hAnsi="宋体"/>
                <w:color w:val="000000"/>
                <w:sz w:val="24"/>
                <w:szCs w:val="24"/>
                <w:highlight w:val="none"/>
              </w:rPr>
            </w:pPr>
            <w:r>
              <w:rPr>
                <w:highlight w:val="none"/>
              </w:rPr>
            </w:r>
            <w:bookmarkStart w:id="193" w:name="_Hlk145187104"/>
            <w:r>
              <w:rPr>
                <w:rFonts w:ascii="宋体" w:hAnsi="宋体"/>
                <w:color w:val="000000"/>
                <w:sz w:val="24"/>
                <w:szCs w:val="24"/>
                <w:highlight w:val="none"/>
              </w:rPr>
              <w:t xml:space="preserve">1</w:t>
            </w:r>
            <w:r>
              <w:rPr>
                <w:highlight w:val="none"/>
              </w:rPr>
            </w:r>
            <w:r/>
          </w:p>
        </w:tc>
        <w:tc>
          <w:tcPr>
            <w:tcW w:w="2126"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技术负责人</w:t>
            </w:r>
            <w:r>
              <w:rPr>
                <w:highlight w:val="none"/>
              </w:rPr>
            </w:r>
            <w:r/>
          </w:p>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（≥1人）</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质量检验员</w:t>
            </w:r>
            <w:r>
              <w:rPr>
                <w:highlight w:val="none"/>
              </w:rPr>
            </w:r>
            <w:r/>
          </w:p>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（≥2人）</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465"/>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highlight w:val="none"/>
              </w:rPr>
            </w:r>
            <w:bookmarkEnd w:id="193"/>
            <w:r>
              <w:rPr>
                <w:rFonts w:hint="eastAsia" w:ascii="宋体" w:hAnsi="宋体"/>
                <w:color w:val="000000"/>
                <w:sz w:val="24"/>
                <w:szCs w:val="24"/>
                <w:highlight w:val="none"/>
              </w:rPr>
              <w:t xml:space="preserve">3</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ascii="宋体" w:hAnsi="宋体"/>
                <w:color w:val="000000"/>
                <w:sz w:val="24"/>
                <w:szCs w:val="24"/>
                <w:highlight w:val="none"/>
              </w:rPr>
              <w:t xml:space="preserve">机修人员</w:t>
            </w:r>
            <w:r>
              <w:rPr>
                <w:highlight w:val="none"/>
              </w:rPr>
            </w:r>
            <w:r/>
          </w:p>
          <w:p>
            <w:pPr>
              <w:pStyle w:val="881"/>
              <w:jc w:val="center"/>
              <w:rPr>
                <w:rFonts w:ascii="宋体" w:hAnsi="宋体"/>
                <w:color w:val="000000"/>
                <w:sz w:val="24"/>
                <w:szCs w:val="24"/>
                <w:highlight w:val="none"/>
              </w:rPr>
            </w:pPr>
            <w:r>
              <w:rPr>
                <w:rFonts w:ascii="宋体" w:hAnsi="宋体"/>
                <w:color w:val="000000"/>
                <w:sz w:val="24"/>
                <w:szCs w:val="24"/>
                <w:highlight w:val="none"/>
              </w:rPr>
              <w:t xml:space="preserve">（一类</w:t>
            </w:r>
            <w:r>
              <w:rPr>
                <w:rFonts w:hint="eastAsia" w:ascii="宋体" w:hAnsi="宋体"/>
                <w:color w:val="000000"/>
                <w:sz w:val="24"/>
                <w:szCs w:val="24"/>
                <w:highlight w:val="none"/>
              </w:rPr>
              <w:t xml:space="preserve">≥2人</w:t>
            </w:r>
            <w:r>
              <w:rPr>
                <w:rFonts w:ascii="宋体" w:hAnsi="宋体"/>
                <w:color w:val="000000"/>
                <w:sz w:val="24"/>
                <w:szCs w:val="24"/>
                <w:highlight w:val="none"/>
              </w:rPr>
              <w:t xml:space="preserve">）</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center"/>
            <w:vMerge w:val="continue"/>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507"/>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ascii="宋体" w:hAnsi="宋体"/>
                <w:color w:val="000000"/>
                <w:sz w:val="24"/>
                <w:szCs w:val="24"/>
                <w:highlight w:val="none"/>
              </w:rPr>
              <w:t xml:space="preserve">电器维修人员</w:t>
            </w:r>
            <w:r>
              <w:rPr>
                <w:highlight w:val="none"/>
              </w:rPr>
            </w:r>
            <w:r/>
          </w:p>
          <w:p>
            <w:pPr>
              <w:pStyle w:val="881"/>
              <w:jc w:val="center"/>
              <w:rPr>
                <w:rFonts w:ascii="宋体" w:hAnsi="宋体"/>
                <w:color w:val="000000"/>
                <w:sz w:val="24"/>
                <w:szCs w:val="24"/>
                <w:highlight w:val="none"/>
              </w:rPr>
            </w:pPr>
            <w:r>
              <w:rPr>
                <w:rFonts w:ascii="宋体" w:hAnsi="宋体"/>
                <w:color w:val="000000"/>
                <w:sz w:val="24"/>
                <w:szCs w:val="24"/>
                <w:highlight w:val="none"/>
              </w:rPr>
              <w:t xml:space="preserve">（一类</w:t>
            </w:r>
            <w:r>
              <w:rPr>
                <w:rFonts w:hint="eastAsia" w:ascii="宋体" w:hAnsi="宋体"/>
                <w:color w:val="000000"/>
                <w:sz w:val="24"/>
                <w:szCs w:val="24"/>
                <w:highlight w:val="none"/>
              </w:rPr>
              <w:t xml:space="preserve">≥2人</w:t>
            </w:r>
            <w:r>
              <w:rPr>
                <w:rFonts w:ascii="宋体" w:hAnsi="宋体"/>
                <w:color w:val="000000"/>
                <w:sz w:val="24"/>
                <w:szCs w:val="24"/>
                <w:highlight w:val="none"/>
              </w:rPr>
              <w:t xml:space="preserve">）</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center"/>
            <w:vMerge w:val="continue"/>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548"/>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ascii="宋体" w:hAnsi="宋体"/>
                <w:color w:val="000000"/>
                <w:sz w:val="24"/>
                <w:szCs w:val="24"/>
                <w:highlight w:val="none"/>
              </w:rPr>
              <w:t xml:space="preserve">钣金(车身修复)人员</w:t>
            </w:r>
            <w:r>
              <w:rPr>
                <w:highlight w:val="none"/>
              </w:rPr>
            </w:r>
            <w:r/>
          </w:p>
          <w:p>
            <w:pPr>
              <w:pStyle w:val="881"/>
              <w:jc w:val="center"/>
              <w:rPr>
                <w:rFonts w:ascii="宋体" w:hAnsi="宋体"/>
                <w:color w:val="000000"/>
                <w:sz w:val="24"/>
                <w:szCs w:val="24"/>
                <w:highlight w:val="none"/>
              </w:rPr>
            </w:pPr>
            <w:r>
              <w:rPr>
                <w:rFonts w:ascii="宋体" w:hAnsi="宋体"/>
                <w:color w:val="000000"/>
                <w:sz w:val="24"/>
                <w:szCs w:val="24"/>
                <w:highlight w:val="none"/>
              </w:rPr>
              <w:t xml:space="preserve">（一类</w:t>
            </w:r>
            <w:r>
              <w:rPr>
                <w:rFonts w:hint="eastAsia" w:ascii="宋体" w:hAnsi="宋体"/>
                <w:color w:val="000000"/>
                <w:sz w:val="24"/>
                <w:szCs w:val="24"/>
                <w:highlight w:val="none"/>
              </w:rPr>
              <w:t xml:space="preserve">≥2人</w:t>
            </w:r>
            <w:r>
              <w:rPr>
                <w:rFonts w:ascii="宋体" w:hAnsi="宋体"/>
                <w:color w:val="000000"/>
                <w:sz w:val="24"/>
                <w:szCs w:val="24"/>
                <w:highlight w:val="none"/>
              </w:rPr>
              <w:t xml:space="preserve">）</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center"/>
            <w:vMerge w:val="continue"/>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566"/>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6</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ascii="宋体" w:hAnsi="宋体"/>
                <w:color w:val="000000"/>
                <w:sz w:val="24"/>
                <w:szCs w:val="24"/>
                <w:highlight w:val="none"/>
              </w:rPr>
              <w:t xml:space="preserve">涂漆(车身涂装)人员</w:t>
            </w:r>
            <w:r>
              <w:rPr>
                <w:highlight w:val="none"/>
              </w:rPr>
            </w:r>
            <w:r/>
          </w:p>
          <w:p>
            <w:pPr>
              <w:pStyle w:val="881"/>
              <w:jc w:val="center"/>
              <w:rPr>
                <w:rFonts w:ascii="宋体" w:hAnsi="宋体"/>
                <w:color w:val="000000"/>
                <w:sz w:val="24"/>
                <w:szCs w:val="24"/>
                <w:highlight w:val="none"/>
              </w:rPr>
            </w:pPr>
            <w:r>
              <w:rPr>
                <w:rFonts w:ascii="宋体" w:hAnsi="宋体"/>
                <w:color w:val="000000"/>
                <w:sz w:val="24"/>
                <w:szCs w:val="24"/>
                <w:highlight w:val="none"/>
              </w:rPr>
              <w:t xml:space="preserve">（一类</w:t>
            </w:r>
            <w:r>
              <w:rPr>
                <w:rFonts w:hint="eastAsia" w:ascii="宋体" w:hAnsi="宋体"/>
                <w:color w:val="000000"/>
                <w:sz w:val="24"/>
                <w:szCs w:val="24"/>
                <w:highlight w:val="none"/>
              </w:rPr>
              <w:t xml:space="preserve">≥2人</w:t>
            </w:r>
            <w:r>
              <w:rPr>
                <w:rFonts w:ascii="宋体" w:hAnsi="宋体"/>
                <w:color w:val="000000"/>
                <w:sz w:val="24"/>
                <w:szCs w:val="24"/>
                <w:highlight w:val="none"/>
              </w:rPr>
              <w:t xml:space="preserve">）</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top"/>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top"/>
            <w:vMerge w:val="continue"/>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2126"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bl>
    <w:p>
      <w:pPr>
        <w:pStyle w:val="881"/>
        <w:rPr>
          <w:rFonts w:hint="eastAsia" w:ascii="宋体" w:hAnsi="宋体"/>
          <w:bCs/>
          <w:color w:val="000000"/>
          <w:highlight w:val="none"/>
        </w:rPr>
      </w:pPr>
      <w:r>
        <w:rPr>
          <w:rFonts w:hint="eastAsia" w:ascii="宋体" w:hAnsi="宋体"/>
          <w:bCs/>
          <w:color w:val="000000"/>
          <w:highlight w:val="none"/>
        </w:rPr>
        <w:t xml:space="preserve">注：1.上表所填人员须按征集文件要求提供的相关证明材料。</w:t>
      </w:r>
      <w:r>
        <w:rPr>
          <w:highlight w:val="none"/>
        </w:rPr>
      </w:r>
      <w:r/>
    </w:p>
    <w:p>
      <w:pPr>
        <w:pStyle w:val="881"/>
        <w:ind w:firstLine="420"/>
        <w:rPr>
          <w:rFonts w:hint="eastAsia" w:ascii="宋体" w:hAnsi="宋体"/>
          <w:bCs/>
          <w:color w:val="000000"/>
          <w:highlight w:val="none"/>
        </w:rPr>
      </w:pPr>
      <w:r>
        <w:rPr>
          <w:rFonts w:hint="eastAsia" w:ascii="宋体" w:hAnsi="宋体"/>
          <w:bCs/>
          <w:color w:val="000000"/>
          <w:highlight w:val="none"/>
        </w:rPr>
        <w:t xml:space="preserve">2.</w:t>
      </w:r>
      <w:r>
        <w:rPr>
          <w:rFonts w:hint="eastAsia"/>
          <w:color w:val="000000"/>
          <w:highlight w:val="none"/>
        </w:rPr>
        <w:t xml:space="preserve">所填人员须提供近一年中任意一个月份（不含征集活动当月）由供应商为其缴纳的社保证明复印件或提供供应商与其签订的劳动合同复印件。</w:t>
      </w:r>
      <w:r>
        <w:rPr>
          <w:highlight w:val="none"/>
        </w:rPr>
      </w:r>
      <w:r/>
    </w:p>
    <w:p>
      <w:pPr>
        <w:pStyle w:val="881"/>
        <w:ind w:firstLine="420"/>
        <w:rPr>
          <w:rFonts w:hint="eastAsia" w:ascii="宋体" w:hAnsi="宋体"/>
          <w:bCs/>
          <w:color w:val="000000"/>
          <w:highlight w:val="none"/>
        </w:rPr>
      </w:pPr>
      <w:r>
        <w:rPr>
          <w:rFonts w:hint="eastAsia" w:ascii="宋体" w:hAnsi="宋体"/>
          <w:bCs/>
          <w:color w:val="000000"/>
          <w:highlight w:val="none"/>
        </w:rPr>
        <w:t xml:space="preserve">3.上述材料及证明请附本表之后，方便查看。</w:t>
      </w:r>
      <w:r>
        <w:rPr>
          <w:highlight w:val="none"/>
        </w:rPr>
      </w:r>
      <w:r/>
    </w:p>
    <w:p>
      <w:pPr>
        <w:pStyle w:val="881"/>
        <w:ind w:firstLine="420"/>
        <w:rPr>
          <w:rFonts w:hint="eastAsia" w:ascii="宋体" w:hAnsi="宋体"/>
          <w:bCs/>
          <w:color w:val="000000"/>
          <w:highlight w:val="none"/>
        </w:rPr>
      </w:pPr>
      <w:r>
        <w:rPr>
          <w:rFonts w:hint="eastAsia" w:ascii="宋体" w:hAnsi="宋体"/>
          <w:bCs/>
          <w:color w:val="000000"/>
          <w:highlight w:val="none"/>
        </w:rPr>
        <w:t xml:space="preserve">4.一类汽车维修企业：技术负责人至少1人，质量检验员至少2人，机修人员至少2人、电器维修人员至少2人、钣金(车身修复)人员至少2人、涂漆(车身涂装)人员至少2人。以上人员均不可兼任。</w:t>
      </w:r>
      <w:r>
        <w:rPr>
          <w:highlight w:val="none"/>
        </w:rPr>
      </w:r>
      <w:r/>
    </w:p>
    <w:p>
      <w:pPr>
        <w:pStyle w:val="881"/>
        <w:ind w:firstLine="420"/>
        <w:rPr>
          <w:rFonts w:hint="eastAsia" w:ascii="宋体" w:hAnsi="宋体"/>
          <w:bCs/>
          <w:color w:val="000000"/>
          <w:highlight w:val="none"/>
        </w:rPr>
      </w:pPr>
      <w:r>
        <w:rPr>
          <w:rFonts w:hint="eastAsia" w:ascii="宋体" w:hAnsi="宋体"/>
          <w:bCs/>
          <w:color w:val="000000"/>
          <w:highlight w:val="none"/>
          <w:lang w:val="en-US" w:eastAsia="zh-CN"/>
        </w:rPr>
        <w:t xml:space="preserve">5</w:t>
      </w:r>
      <w:r>
        <w:rPr>
          <w:rFonts w:hint="eastAsia" w:ascii="宋体" w:hAnsi="宋体"/>
          <w:bCs/>
          <w:color w:val="000000"/>
          <w:highlight w:val="none"/>
        </w:rPr>
        <w:t xml:space="preserve">.除上表所要求的人员外，安全生产管理人员、业务接待员等其他人员不进行考察，可不用列出，供应商满足征集文件要求，入围后按要求配备即可。</w:t>
      </w:r>
      <w:r>
        <w:rPr>
          <w:highlight w:val="none"/>
        </w:rPr>
      </w:r>
      <w:r/>
    </w:p>
    <w:p>
      <w:pPr>
        <w:pStyle w:val="881"/>
        <w:ind w:firstLine="420"/>
        <w:rPr>
          <w:rFonts w:hint="eastAsia" w:ascii="宋体" w:hAnsi="宋体"/>
          <w:bCs/>
          <w:color w:val="000000"/>
          <w:sz w:val="24"/>
          <w:szCs w:val="24"/>
          <w:highlight w:val="none"/>
        </w:rPr>
      </w:pPr>
      <w:r>
        <w:rPr>
          <w:rFonts w:hint="eastAsia" w:ascii="宋体" w:hAnsi="宋体"/>
          <w:bCs/>
          <w:color w:val="000000"/>
          <w:highlight w:val="none"/>
          <w:lang w:val="en-US" w:eastAsia="zh-CN"/>
        </w:rPr>
        <w:t xml:space="preserve">6</w:t>
      </w:r>
      <w:r>
        <w:rPr>
          <w:rFonts w:hint="eastAsia" w:ascii="宋体" w:hAnsi="宋体"/>
          <w:bCs/>
          <w:color w:val="000000"/>
          <w:highlight w:val="none"/>
        </w:rPr>
        <w:t xml:space="preserve">.表格不够可自行延长。</w:t>
      </w:r>
      <w:r>
        <w:rPr>
          <w:highlight w:val="none"/>
        </w:rPr>
      </w:r>
      <w:r/>
    </w:p>
    <w:p>
      <w:pPr>
        <w:pStyle w:val="881"/>
        <w:ind w:firstLine="90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rPr>
          <w:highlight w:val="none"/>
        </w:rPr>
      </w:r>
      <w:r/>
    </w:p>
    <w:p>
      <w:pPr>
        <w:pStyle w:val="881"/>
        <w:ind w:firstLine="900"/>
        <w:rPr>
          <w:rFonts w:hint="eastAsia" w:ascii="宋体" w:hAnsi="宋体"/>
          <w:bCs/>
          <w:color w:val="000000"/>
          <w:sz w:val="24"/>
          <w:szCs w:val="24"/>
          <w:highlight w:val="none"/>
        </w:rPr>
        <w:outlineLvl w:val="0"/>
      </w:pPr>
      <w:r>
        <w:rPr>
          <w:rFonts w:hint="eastAsia" w:ascii="宋体" w:hAnsi="宋体"/>
          <w:bCs/>
          <w:color w:val="000000"/>
          <w:sz w:val="24"/>
          <w:szCs w:val="24"/>
          <w:highlight w:val="none"/>
        </w:rPr>
        <w:br w:type="page" w:clear="all"/>
      </w:r>
      <w:r>
        <w:rPr>
          <w:highlight w:val="none"/>
        </w:rPr>
      </w:r>
      <w:r/>
    </w:p>
    <w:tbl>
      <w:tblPr>
        <w:tblpPr w:horzAnchor="page" w:tblpX="1551" w:vertAnchor="page" w:tblpY="2718" w:leftFromText="180" w:topFromText="0" w:rightFromText="180" w:bottomFromText="0"/>
        <w:tblW w:w="857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93"/>
        <w:gridCol w:w="956"/>
        <w:gridCol w:w="1050"/>
        <w:gridCol w:w="989"/>
        <w:gridCol w:w="1072"/>
        <w:gridCol w:w="1072"/>
        <w:gridCol w:w="1073"/>
        <w:gridCol w:w="1073"/>
      </w:tblGrid>
      <w:tr>
        <w:trPr>
          <w:trHeight w:val="1133"/>
        </w:trPr>
        <w:tc>
          <w:tcPr>
            <w:shd w:val="clear" w:color="ffffff" w:fill="auto"/>
            <w:tcW w:w="1293"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送修单位名称</w:t>
            </w:r>
            <w:r>
              <w:rPr>
                <w:highlight w:val="none"/>
              </w:rPr>
            </w:r>
            <w:r/>
          </w:p>
        </w:tc>
        <w:tc>
          <w:tcPr>
            <w:shd w:val="clear" w:color="ffffff" w:fill="auto"/>
            <w:tcW w:w="956"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车型</w:t>
            </w:r>
            <w:r>
              <w:rPr>
                <w:highlight w:val="none"/>
              </w:rPr>
            </w:r>
            <w:r/>
          </w:p>
        </w:tc>
        <w:tc>
          <w:tcPr>
            <w:shd w:val="clear" w:color="ffffff" w:fill="auto"/>
            <w:tcW w:w="1050"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车牌号码</w:t>
            </w:r>
            <w:r>
              <w:rPr>
                <w:highlight w:val="none"/>
              </w:rPr>
            </w:r>
            <w:r/>
          </w:p>
        </w:tc>
        <w:tc>
          <w:tcPr>
            <w:shd w:val="clear" w:color="ffffff" w:fill="auto"/>
            <w:tcW w:w="989"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保修及检修内容</w:t>
            </w:r>
            <w:r>
              <w:rPr>
                <w:highlight w:val="none"/>
              </w:rPr>
            </w:r>
            <w:r/>
          </w:p>
        </w:tc>
        <w:tc>
          <w:tcPr>
            <w:shd w:val="clear" w:color="ffffff" w:fill="auto"/>
            <w:tcW w:w="1072"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修理开始时间</w:t>
            </w:r>
            <w:r>
              <w:rPr>
                <w:highlight w:val="none"/>
              </w:rPr>
            </w:r>
            <w:r/>
          </w:p>
        </w:tc>
        <w:tc>
          <w:tcPr>
            <w:shd w:val="clear" w:color="ffffff" w:fill="auto"/>
            <w:tcW w:w="1072"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修理结束时间</w:t>
            </w:r>
            <w:r>
              <w:rPr>
                <w:highlight w:val="none"/>
              </w:rPr>
            </w:r>
            <w:r/>
          </w:p>
        </w:tc>
        <w:tc>
          <w:tcPr>
            <w:shd w:val="clear" w:color="ffffff" w:fill="auto"/>
            <w:tcW w:w="1073" w:type="dxa"/>
            <w:vAlign w:val="bottom"/>
            <w:textDirection w:val="lrTb"/>
            <w:noWrap/>
          </w:tcPr>
          <w:p>
            <w:pPr>
              <w:pStyle w:val="881"/>
              <w:jc w:val="center"/>
              <w:keepLines w:val="0"/>
              <w:keepNext w:val="0"/>
              <w:widowControl/>
              <w:rPr>
                <w:rFonts w:ascii="宋体" w:hAnsi="宋体" w:eastAsia="宋体" w:cs="宋体"/>
                <w:i w:val="0"/>
                <w:iCs w:val="0"/>
                <w:color w:val="000000"/>
                <w:sz w:val="20"/>
                <w:szCs w:val="20"/>
                <w:highlight w:val="none"/>
                <w:u w:val="none"/>
              </w:rPr>
              <w:framePr w:vAnchor="text" w:hAnchor="margin" w:x="1551" w:y="2718"/>
              <w:suppressLineNumbers w:val="0"/>
            </w:pPr>
            <w:r>
              <w:rPr>
                <w:rFonts w:hint="eastAsia" w:ascii="宋体" w:hAnsi="宋体" w:eastAsia="宋体" w:cs="宋体"/>
                <w:i w:val="0"/>
                <w:iCs w:val="0"/>
                <w:color w:val="000000"/>
                <w:sz w:val="20"/>
                <w:szCs w:val="20"/>
                <w:highlight w:val="none"/>
                <w:u w:val="none"/>
                <w:lang w:val="en-US" w:eastAsia="zh-CN" w:bidi="ar"/>
              </w:rPr>
              <w:t xml:space="preserve">材料进价（元）</w:t>
            </w:r>
            <w:r>
              <w:rPr>
                <w:highlight w:val="none"/>
              </w:rPr>
            </w:r>
            <w:r/>
          </w:p>
        </w:tc>
        <w:tc>
          <w:tcPr>
            <w:shd w:val="clear" w:color="ffffff" w:fill="auto"/>
            <w:tcW w:w="1073" w:type="dxa"/>
            <w:vAlign w:val="bottom"/>
            <w:textDirection w:val="lrTb"/>
            <w:noWrap/>
          </w:tcPr>
          <w:p>
            <w:pPr>
              <w:pStyle w:val="881"/>
              <w:jc w:val="center"/>
              <w:keepLines w:val="0"/>
              <w:keepNext w:val="0"/>
              <w:widowControl/>
              <w:rPr>
                <w:rFonts w:hint="eastAsia" w:ascii="宋体" w:hAnsi="宋体" w:eastAsia="宋体" w:cs="宋体"/>
                <w:i w:val="0"/>
                <w:iCs w:val="0"/>
                <w:color w:val="000000"/>
                <w:sz w:val="20"/>
                <w:szCs w:val="20"/>
                <w:highlight w:val="none"/>
                <w:u w:val="none"/>
              </w:rPr>
              <w:framePr w:vAnchor="text" w:hAnchor="margin" w:x="1551" w:y="2718"/>
              <w:suppressLineNumbers w:val="0"/>
            </w:pPr>
            <w:r>
              <w:rPr>
                <w:rFonts w:hint="eastAsia" w:ascii="宋体" w:hAnsi="宋体" w:eastAsia="宋体" w:cs="宋体"/>
                <w:i w:val="0"/>
                <w:iCs w:val="0"/>
                <w:color w:val="000000"/>
                <w:sz w:val="20"/>
                <w:szCs w:val="20"/>
                <w:highlight w:val="none"/>
                <w:u w:val="none"/>
                <w:shd w:val="clear" w:color="auto" w:fill="auto"/>
                <w:lang w:val="en-US" w:eastAsia="zh-CN" w:bidi="ar"/>
              </w:rPr>
              <w:t xml:space="preserve">材料</w:t>
            </w:r>
            <w:r>
              <w:rPr>
                <w:rFonts w:hint="eastAsia" w:ascii="宋体" w:hAnsi="宋体" w:eastAsia="宋体" w:cs="宋体"/>
                <w:i w:val="0"/>
                <w:iCs w:val="0"/>
                <w:color w:val="000000"/>
                <w:sz w:val="20"/>
                <w:szCs w:val="20"/>
                <w:highlight w:val="none"/>
                <w:u w:val="none"/>
                <w:lang w:val="en-US" w:eastAsia="zh-CN" w:bidi="ar"/>
              </w:rPr>
              <w:t xml:space="preserve">单价（元）</w:t>
            </w:r>
            <w:r>
              <w:rPr>
                <w:highlight w:val="none"/>
              </w:rPr>
            </w:r>
            <w:r/>
          </w:p>
        </w:tc>
      </w:tr>
      <w:tr>
        <w:trPr>
          <w:trHeight w:val="2401"/>
        </w:trPr>
        <w:tc>
          <w:tcPr>
            <w:shd w:val="clear" w:color="ffffff" w:fill="auto"/>
            <w:tcW w:w="1293"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956"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50"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989"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2"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2"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3"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3"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r>
      <w:tr>
        <w:trPr>
          <w:trHeight w:val="1111"/>
        </w:trPr>
        <w:tc>
          <w:tcPr>
            <w:shd w:val="clear" w:color="ffffff" w:fill="auto"/>
            <w:tcW w:w="1293" w:type="dxa"/>
            <w:vAlign w:val="bottom"/>
            <w:textDirection w:val="lrTb"/>
            <w:noWrap/>
          </w:tcPr>
          <w:p>
            <w:pPr>
              <w:pStyle w:val="881"/>
              <w:jc w:val="center"/>
              <w:keepLines w:val="0"/>
              <w:keepNext w:val="0"/>
              <w:widowControl/>
              <w:rPr>
                <w:rFonts w:ascii="宋体" w:hAnsi="宋体" w:eastAsia="宋体" w:cs="宋体"/>
                <w:i w:val="0"/>
                <w:iCs w:val="0"/>
                <w:color w:val="000000"/>
                <w:sz w:val="20"/>
                <w:szCs w:val="20"/>
                <w:highlight w:val="none"/>
                <w:u w:val="none"/>
              </w:rPr>
              <w:framePr w:vAnchor="text" w:hAnchor="margin" w:x="1551" w:y="2718"/>
              <w:suppressLineNumbers w:val="0"/>
            </w:pPr>
            <w:r>
              <w:rPr>
                <w:rFonts w:hint="eastAsia" w:ascii="宋体" w:hAnsi="宋体" w:eastAsia="宋体" w:cs="宋体"/>
                <w:i w:val="0"/>
                <w:iCs w:val="0"/>
                <w:color w:val="000000"/>
                <w:sz w:val="20"/>
                <w:szCs w:val="20"/>
                <w:highlight w:val="none"/>
                <w:u w:val="none"/>
                <w:lang w:val="en-US" w:eastAsia="zh-CN" w:bidi="ar"/>
              </w:rPr>
              <w:t xml:space="preserve">材料数量</w:t>
            </w:r>
            <w:r>
              <w:rPr>
                <w:highlight w:val="none"/>
              </w:rPr>
            </w:r>
            <w:r/>
          </w:p>
        </w:tc>
        <w:tc>
          <w:tcPr>
            <w:shd w:val="clear" w:color="ffffff" w:fill="auto"/>
            <w:tcW w:w="956" w:type="dxa"/>
            <w:vAlign w:val="bottom"/>
            <w:textDirection w:val="lrTb"/>
            <w:noWrap/>
          </w:tcPr>
          <w:p>
            <w:pPr>
              <w:pStyle w:val="881"/>
              <w:jc w:val="center"/>
              <w:keepLines w:val="0"/>
              <w:keepNext w:val="0"/>
              <w:widowControl/>
              <w:rPr>
                <w:rFonts w:ascii="宋体" w:hAnsi="宋体" w:eastAsia="宋体" w:cs="宋体"/>
                <w:i w:val="0"/>
                <w:iCs w:val="0"/>
                <w:color w:val="000000"/>
                <w:sz w:val="20"/>
                <w:szCs w:val="20"/>
                <w:highlight w:val="none"/>
                <w:u w:val="none"/>
              </w:rPr>
              <w:framePr w:vAnchor="text" w:hAnchor="margin" w:x="1551" w:y="2718"/>
              <w:suppressLineNumbers w:val="0"/>
            </w:pPr>
            <w:r>
              <w:rPr>
                <w:rFonts w:hint="eastAsia" w:ascii="宋体" w:hAnsi="宋体" w:eastAsia="宋体" w:cs="宋体"/>
                <w:i w:val="0"/>
                <w:iCs w:val="0"/>
                <w:color w:val="000000"/>
                <w:sz w:val="20"/>
                <w:szCs w:val="20"/>
                <w:highlight w:val="none"/>
                <w:u w:val="none"/>
                <w:lang w:val="en-US" w:eastAsia="zh-CN" w:bidi="ar"/>
              </w:rPr>
              <w:t xml:space="preserve">进销差价率（%）</w:t>
            </w:r>
            <w:r>
              <w:rPr>
                <w:highlight w:val="none"/>
              </w:rPr>
            </w:r>
            <w:r/>
          </w:p>
        </w:tc>
        <w:tc>
          <w:tcPr>
            <w:shd w:val="clear" w:color="ffffff" w:fill="auto"/>
            <w:tcW w:w="1050"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政府采购结算价</w:t>
            </w:r>
            <w:r>
              <w:rPr>
                <w:rFonts w:hint="eastAsia" w:ascii="宋体" w:hAnsi="宋体" w:eastAsia="宋体" w:cs="宋体"/>
                <w:i w:val="0"/>
                <w:iCs w:val="0"/>
                <w:color w:val="000000"/>
                <w:sz w:val="20"/>
                <w:szCs w:val="20"/>
                <w:highlight w:val="none"/>
                <w:u w:val="none"/>
                <w:lang w:val="en-US" w:eastAsia="zh-CN" w:bidi="ar"/>
              </w:rPr>
              <w:t xml:space="preserve">（元）</w:t>
            </w:r>
            <w:r>
              <w:rPr>
                <w:highlight w:val="none"/>
              </w:rPr>
            </w:r>
            <w:r/>
          </w:p>
        </w:tc>
        <w:tc>
          <w:tcPr>
            <w:shd w:val="clear" w:color="ffffff" w:fill="auto"/>
            <w:tcW w:w="989"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工时定额</w:t>
            </w:r>
            <w:r>
              <w:rPr>
                <w:highlight w:val="none"/>
              </w:rPr>
            </w:r>
            <w:r/>
          </w:p>
        </w:tc>
        <w:tc>
          <w:tcPr>
            <w:shd w:val="clear" w:color="ffffff" w:fill="auto"/>
            <w:tcW w:w="1072"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工时单价元 /(人・时)</w:t>
            </w:r>
            <w:r>
              <w:rPr>
                <w:highlight w:val="none"/>
              </w:rPr>
            </w:r>
            <w:r/>
          </w:p>
        </w:tc>
        <w:tc>
          <w:tcPr>
            <w:shd w:val="clear" w:color="ffffff" w:fill="auto"/>
            <w:tcW w:w="1072"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其他</w:t>
            </w:r>
            <w:r>
              <w:rPr>
                <w:highlight w:val="none"/>
              </w:rPr>
            </w:r>
            <w:r/>
          </w:p>
        </w:tc>
        <w:tc>
          <w:tcPr>
            <w:shd w:val="clear" w:color="ffffff" w:fill="auto"/>
            <w:tcW w:w="1073"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维修费用</w:t>
            </w:r>
            <w:r>
              <w:rPr>
                <w:highlight w:val="none"/>
              </w:rPr>
            </w:r>
            <w:r/>
          </w:p>
        </w:tc>
        <w:tc>
          <w:tcPr>
            <w:shd w:val="clear" w:color="ffffff" w:fill="auto"/>
            <w:tcW w:w="1073"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维修厂名称</w:t>
            </w:r>
            <w:r>
              <w:rPr>
                <w:highlight w:val="none"/>
              </w:rPr>
            </w:r>
            <w:r/>
          </w:p>
        </w:tc>
      </w:tr>
      <w:tr>
        <w:trPr>
          <w:trHeight w:val="1779"/>
        </w:trPr>
        <w:tc>
          <w:tcPr>
            <w:shd w:val="clear" w:color="ffffff" w:fill="auto"/>
            <w:tcW w:w="1293"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956"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50"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989"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2"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2"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3"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3"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r>
    </w:tbl>
    <w:p>
      <w:pPr>
        <w:pStyle w:val="881"/>
        <w:rPr>
          <w:rFonts w:hint="eastAsia" w:ascii="宋体" w:hAnsi="宋体" w:eastAsia="宋体" w:cs="宋体"/>
          <w:color w:val="000000"/>
          <w:sz w:val="28"/>
          <w:szCs w:val="28"/>
          <w:highlight w:val="none"/>
          <w:u w:val="none"/>
        </w:rPr>
      </w:pPr>
      <w:r>
        <w:rPr>
          <w:rFonts w:hint="eastAsia" w:ascii="宋体" w:hAnsi="宋体" w:eastAsia="宋体" w:cs="宋体"/>
          <w:color w:val="000000"/>
          <w:sz w:val="28"/>
          <w:szCs w:val="28"/>
          <w:highlight w:val="none"/>
          <w:u w:val="none"/>
          <w:lang w:val="en-US" w:eastAsia="zh-CN"/>
        </w:rPr>
        <w:t xml:space="preserve">附件1：维保费用</w:t>
      </w:r>
      <w:r>
        <w:rPr>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５</w:t>
    </w:r>
    <w:r>
      <w:rPr>
        <w:rFonts w:ascii="宋体" w:hAnsi="宋体"/>
      </w:rPr>
      <w:fldChar w:fldCharType="end"/>
    </w:r>
    <w:r>
      <w:rPr>
        <w:rStyle w:val="953"/>
        <w:rFonts w:ascii="宋体" w:hAnsi="宋体"/>
      </w:rPr>
    </w:r>
    <w:r/>
  </w:p>
  <w:p>
    <w:pPr>
      <w:pStyle w:val="92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rPr>
        <w:rStyle w:val="953"/>
      </w:rPr>
    </w:r>
    <w:r/>
  </w:p>
  <w:p>
    <w:pPr>
      <w:pStyle w:val="9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1"/>
        <w:ind w:left="1080" w:hanging="1080"/>
        <w:tabs>
          <w:tab w:val="num" w:pos="1080" w:leader="none"/>
        </w:tabs>
      </w:pPr>
      <w:rPr>
        <w:rFonts w:hint="eastAsia" w:cs="Times New Roman"/>
      </w:rPr>
    </w:lvl>
    <w:lvl w:ilvl="1">
      <w:start w:val="1"/>
      <w:numFmt w:val="decimal"/>
      <w:isLgl w:val="false"/>
      <w:suff w:val="tab"/>
      <w:lvlText w:val="%2."/>
      <w:lvlJc w:val="left"/>
      <w:pPr>
        <w:pStyle w:val="88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1"/>
        <w:ind w:left="1260" w:hanging="420"/>
        <w:tabs>
          <w:tab w:val="num" w:pos="126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0"/>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1"/>
        <w:ind w:left="1080" w:hanging="1080"/>
        <w:tabs>
          <w:tab w:val="num" w:pos="1080" w:leader="none"/>
        </w:tabs>
      </w:pPr>
      <w:rPr>
        <w:rFonts w:hint="eastAsia" w:cs="Times New Roman"/>
      </w:rPr>
    </w:lvl>
    <w:lvl w:ilvl="1">
      <w:start w:val="1"/>
      <w:numFmt w:val="decimal"/>
      <w:isLgl w:val="false"/>
      <w:suff w:val="tab"/>
      <w:lvlText w:val="%2."/>
      <w:lvlJc w:val="left"/>
      <w:pPr>
        <w:pStyle w:val="88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1"/>
        <w:ind w:left="1260" w:hanging="420"/>
        <w:tabs>
          <w:tab w:val="num" w:pos="126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5">
    <w:multiLevelType w:val="hybridMultilevel"/>
    <w:lvl w:ilvl="0">
      <w:start w:val="1"/>
      <w:numFmt w:val="decimal"/>
      <w:pStyle w:val="977"/>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abstractNum w:abstractNumId="7">
    <w:multiLevelType w:val="hybridMultilevel"/>
    <w:lvl w:ilvl="0">
      <w:start w:val="1"/>
      <w:numFmt w:val="japaneseCounting"/>
      <w:isLgl w:val="false"/>
      <w:suff w:val="tab"/>
      <w:lvlText w:val="%1、"/>
      <w:lvlJc w:val="left"/>
      <w:pPr>
        <w:pStyle w:val="88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1"/>
        <w:ind w:left="840" w:hanging="420"/>
        <w:tabs>
          <w:tab w:val="num" w:pos="840" w:leader="none"/>
        </w:tabs>
      </w:pPr>
      <w:rPr>
        <w:rFonts w:cs="Times New Roman"/>
      </w:rPr>
    </w:lvl>
    <w:lvl w:ilvl="2">
      <w:start w:val="10"/>
      <w:numFmt w:val="decimal"/>
      <w:isLgl w:val="false"/>
      <w:suff w:val="tab"/>
      <w:lvlText w:val="%3."/>
      <w:lvlJc w:val="left"/>
      <w:pPr>
        <w:pStyle w:val="881"/>
        <w:ind w:left="1200" w:hanging="360"/>
        <w:tabs>
          <w:tab w:val="num" w:pos="120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9"/>
  </w:num>
  <w:num w:numId="5">
    <w:abstractNumId w:val="4"/>
  </w:num>
  <w:num w:numId="6">
    <w:abstractNumId w:val="1"/>
  </w:num>
  <w:num w:numId="7">
    <w:abstractNumId w:val="2"/>
  </w:num>
  <w:num w:numId="8">
    <w:abstractNumId w:val="8"/>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rFonts w:ascii="Times New Roman" w:hAnsi="Times New Roman"/>
      <w:sz w:val="21"/>
      <w:szCs w:val="21"/>
      <w:lang w:val="en-US" w:eastAsia="zh-CN" w:bidi="ar-SA"/>
    </w:rPr>
  </w:style>
  <w:style w:type="paragraph" w:styleId="882">
    <w:name w:val="标题 1"/>
    <w:basedOn w:val="881"/>
    <w:next w:val="881"/>
    <w:link w:val="893"/>
    <w:qFormat/>
    <w:pPr>
      <w:jc w:val="center"/>
      <w:keepNext/>
      <w:outlineLvl w:val="0"/>
    </w:pPr>
    <w:rPr>
      <w:rFonts w:ascii="楷体_GB2312" w:eastAsia="楷体_GB2312"/>
      <w:sz w:val="28"/>
      <w:szCs w:val="28"/>
    </w:rPr>
  </w:style>
  <w:style w:type="paragraph" w:styleId="883">
    <w:name w:val="标题 2"/>
    <w:basedOn w:val="881"/>
    <w:next w:val="895"/>
    <w:link w:val="894"/>
    <w:qFormat/>
    <w:pPr>
      <w:jc w:val="center"/>
      <w:keepLines/>
      <w:keepNext/>
      <w:spacing w:before="260" w:after="260" w:line="416" w:lineRule="auto"/>
      <w:outlineLvl w:val="1"/>
    </w:pPr>
    <w:rPr>
      <w:rFonts w:ascii="Arial" w:hAnsi="Arial" w:eastAsia="幼圆"/>
      <w:b/>
      <w:bCs/>
      <w:sz w:val="44"/>
      <w:szCs w:val="44"/>
    </w:rPr>
  </w:style>
  <w:style w:type="paragraph" w:styleId="884">
    <w:name w:val="标题 3"/>
    <w:basedOn w:val="881"/>
    <w:next w:val="895"/>
    <w:link w:val="897"/>
    <w:qFormat/>
    <w:pPr>
      <w:keepLines/>
      <w:keepNext/>
      <w:spacing w:before="260" w:after="260" w:line="416" w:lineRule="auto"/>
      <w:outlineLvl w:val="2"/>
    </w:pPr>
    <w:rPr>
      <w:b/>
      <w:bCs/>
      <w:sz w:val="32"/>
      <w:szCs w:val="32"/>
    </w:rPr>
  </w:style>
  <w:style w:type="paragraph" w:styleId="885">
    <w:name w:val="标题 4"/>
    <w:basedOn w:val="881"/>
    <w:next w:val="895"/>
    <w:link w:val="898"/>
    <w:qFormat/>
    <w:pPr>
      <w:keepLines/>
      <w:keepNext/>
      <w:spacing w:before="280" w:after="290" w:line="376" w:lineRule="auto"/>
      <w:outlineLvl w:val="3"/>
    </w:pPr>
    <w:rPr>
      <w:rFonts w:ascii="Arial" w:hAnsi="Arial" w:eastAsia="黑体"/>
      <w:b/>
      <w:bCs/>
      <w:sz w:val="28"/>
      <w:szCs w:val="28"/>
    </w:rPr>
  </w:style>
  <w:style w:type="paragraph" w:styleId="886">
    <w:name w:val="标题 5"/>
    <w:basedOn w:val="881"/>
    <w:next w:val="895"/>
    <w:link w:val="899"/>
    <w:qFormat/>
    <w:pPr>
      <w:keepNext/>
      <w:outlineLvl w:val="4"/>
    </w:pPr>
    <w:rPr>
      <w:rFonts w:ascii="宋体"/>
      <w:color w:val="000000"/>
      <w:sz w:val="28"/>
      <w:szCs w:val="28"/>
    </w:rPr>
  </w:style>
  <w:style w:type="paragraph" w:styleId="887">
    <w:name w:val="标题 6"/>
    <w:basedOn w:val="881"/>
    <w:next w:val="881"/>
    <w:link w:val="90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1"/>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2"/>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3"/>
    <w:qFormat/>
    <w:pPr>
      <w:numPr>
        <w:ilvl w:val="8"/>
        <w:numId w:val="1"/>
      </w:numPr>
      <w:keepLines/>
      <w:keepNext/>
      <w:spacing w:before="240" w:after="64" w:line="320" w:lineRule="auto"/>
      <w:outlineLvl w:val="8"/>
    </w:pPr>
    <w:rPr>
      <w:rFonts w:ascii="Arial" w:hAnsi="Arial" w:eastAsia="黑体"/>
      <w:sz w:val="20"/>
    </w:rPr>
  </w:style>
  <w:style w:type="character" w:styleId="891">
    <w:name w:val="默认段落字体"/>
    <w:next w:val="891"/>
    <w:link w:val="881"/>
    <w:uiPriority w:val="1"/>
    <w:unhideWhenUsed/>
  </w:style>
  <w:style w:type="table" w:styleId="892">
    <w:name w:val="普通表格"/>
    <w:next w:val="892"/>
    <w:link w:val="881"/>
    <w:uiPriority w:val="99"/>
    <w:unhideWhenUsed/>
    <w:tblPr/>
  </w:style>
  <w:style w:type="character" w:styleId="893">
    <w:name w:val="标题 1 Char"/>
    <w:next w:val="893"/>
    <w:link w:val="882"/>
    <w:rPr>
      <w:rFonts w:ascii="楷体_GB2312" w:hAnsi="Times New Roman" w:eastAsia="楷体_GB2312" w:cs="Times New Roman"/>
      <w:sz w:val="28"/>
      <w:szCs w:val="28"/>
    </w:rPr>
  </w:style>
  <w:style w:type="character" w:styleId="894">
    <w:name w:val="标题 2 Char"/>
    <w:next w:val="894"/>
    <w:link w:val="883"/>
    <w:rPr>
      <w:rFonts w:ascii="Arial" w:hAnsi="Arial" w:eastAsia="幼圆" w:cs="Arial"/>
      <w:b/>
      <w:bCs/>
      <w:sz w:val="44"/>
      <w:szCs w:val="44"/>
    </w:rPr>
  </w:style>
  <w:style w:type="paragraph" w:styleId="895">
    <w:name w:val="正文缩进"/>
    <w:basedOn w:val="881"/>
    <w:next w:val="895"/>
    <w:link w:val="896"/>
    <w:pPr>
      <w:ind w:firstLine="420"/>
    </w:pPr>
    <w:rPr>
      <w:sz w:val="20"/>
    </w:rPr>
  </w:style>
  <w:style w:type="character" w:styleId="896">
    <w:name w:val="正文缩进 Char"/>
    <w:next w:val="896"/>
    <w:link w:val="895"/>
    <w:rPr>
      <w:rFonts w:ascii="Times New Roman" w:hAnsi="Times New Roman" w:eastAsia="宋体" w:cs="Times New Roman"/>
      <w:szCs w:val="21"/>
    </w:rPr>
  </w:style>
  <w:style w:type="character" w:styleId="897">
    <w:name w:val="标题 3 Char"/>
    <w:next w:val="897"/>
    <w:link w:val="884"/>
    <w:rPr>
      <w:rFonts w:ascii="Times New Roman" w:hAnsi="Times New Roman" w:eastAsia="宋体" w:cs="Times New Roman"/>
      <w:b/>
      <w:bCs/>
      <w:sz w:val="32"/>
      <w:szCs w:val="32"/>
    </w:rPr>
  </w:style>
  <w:style w:type="character" w:styleId="898">
    <w:name w:val="标题 4 Char"/>
    <w:next w:val="898"/>
    <w:link w:val="885"/>
    <w:rPr>
      <w:rFonts w:ascii="Arial" w:hAnsi="Arial" w:eastAsia="黑体" w:cs="Arial"/>
      <w:b/>
      <w:bCs/>
      <w:sz w:val="28"/>
      <w:szCs w:val="28"/>
    </w:rPr>
  </w:style>
  <w:style w:type="character" w:styleId="899">
    <w:name w:val="标题 5 Char"/>
    <w:next w:val="899"/>
    <w:link w:val="886"/>
    <w:rPr>
      <w:rFonts w:ascii="宋体" w:hAnsi="Times New Roman" w:eastAsia="宋体" w:cs="Times New Roman"/>
      <w:color w:val="000000"/>
      <w:sz w:val="28"/>
      <w:szCs w:val="28"/>
    </w:rPr>
  </w:style>
  <w:style w:type="character" w:styleId="900">
    <w:name w:val="标题 6 Char"/>
    <w:next w:val="900"/>
    <w:link w:val="887"/>
    <w:rPr>
      <w:rFonts w:ascii="Arial" w:hAnsi="Arial" w:eastAsia="黑体" w:cs="Times New Roman"/>
      <w:b/>
      <w:bCs/>
      <w:sz w:val="24"/>
      <w:szCs w:val="24"/>
    </w:rPr>
  </w:style>
  <w:style w:type="character" w:styleId="901">
    <w:name w:val="标题 7 Char"/>
    <w:next w:val="901"/>
    <w:link w:val="888"/>
    <w:rPr>
      <w:rFonts w:ascii="Times New Roman" w:hAnsi="Times New Roman" w:eastAsia="宋体" w:cs="Times New Roman"/>
      <w:b/>
      <w:bCs/>
      <w:sz w:val="24"/>
      <w:szCs w:val="24"/>
    </w:rPr>
  </w:style>
  <w:style w:type="character" w:styleId="902">
    <w:name w:val="标题 8 Char"/>
    <w:next w:val="902"/>
    <w:link w:val="889"/>
    <w:rPr>
      <w:rFonts w:ascii="Arial" w:hAnsi="Arial" w:eastAsia="黑体" w:cs="Times New Roman"/>
      <w:sz w:val="24"/>
      <w:szCs w:val="24"/>
    </w:rPr>
  </w:style>
  <w:style w:type="character" w:styleId="903">
    <w:name w:val="标题 9 Char"/>
    <w:next w:val="903"/>
    <w:link w:val="890"/>
    <w:rPr>
      <w:rFonts w:ascii="Arial" w:hAnsi="Arial" w:eastAsia="黑体" w:cs="Times New Roman"/>
      <w:szCs w:val="21"/>
    </w:rPr>
  </w:style>
  <w:style w:type="paragraph" w:styleId="904">
    <w:name w:val="列表 3"/>
    <w:basedOn w:val="881"/>
    <w:next w:val="904"/>
    <w:link w:val="881"/>
    <w:pPr>
      <w:ind w:left="100" w:hanging="200"/>
    </w:pPr>
  </w:style>
  <w:style w:type="paragraph" w:styleId="905">
    <w:name w:val="目录 7"/>
    <w:basedOn w:val="881"/>
    <w:next w:val="881"/>
    <w:link w:val="881"/>
    <w:semiHidden/>
    <w:pPr>
      <w:ind w:left="1260"/>
      <w:jc w:val="left"/>
    </w:pPr>
  </w:style>
  <w:style w:type="paragraph" w:styleId="906">
    <w:name w:val="文档结构图"/>
    <w:basedOn w:val="881"/>
    <w:next w:val="906"/>
    <w:link w:val="907"/>
    <w:semiHidden/>
    <w:pPr>
      <w:shd w:val="clear" w:color="auto" w:fill="000080"/>
    </w:pPr>
    <w:rPr>
      <w:sz w:val="20"/>
    </w:rPr>
  </w:style>
  <w:style w:type="character" w:styleId="907">
    <w:name w:val="文档结构图 Char"/>
    <w:next w:val="907"/>
    <w:link w:val="906"/>
    <w:semiHidden/>
    <w:rPr>
      <w:rFonts w:ascii="Times New Roman" w:hAnsi="Times New Roman" w:eastAsia="宋体" w:cs="Times New Roman"/>
      <w:szCs w:val="21"/>
      <w:shd w:val="clear" w:color="auto" w:fill="000080"/>
    </w:rPr>
  </w:style>
  <w:style w:type="paragraph" w:styleId="908">
    <w:name w:val="批注文字"/>
    <w:basedOn w:val="881"/>
    <w:next w:val="908"/>
    <w:link w:val="909"/>
    <w:semiHidden/>
    <w:pPr>
      <w:jc w:val="left"/>
    </w:pPr>
    <w:rPr>
      <w:sz w:val="20"/>
    </w:rPr>
  </w:style>
  <w:style w:type="character" w:styleId="909">
    <w:name w:val="批注文字 Char"/>
    <w:next w:val="909"/>
    <w:link w:val="908"/>
    <w:semiHidden/>
    <w:rPr>
      <w:rFonts w:ascii="Times New Roman" w:hAnsi="Times New Roman" w:eastAsia="宋体" w:cs="Times New Roman"/>
      <w:szCs w:val="21"/>
    </w:rPr>
  </w:style>
  <w:style w:type="paragraph" w:styleId="910">
    <w:name w:val="正文文本 3"/>
    <w:basedOn w:val="881"/>
    <w:next w:val="910"/>
    <w:link w:val="911"/>
    <w:rPr>
      <w:rFonts w:ascii="仿宋_GB2312" w:hAnsi="Arial" w:eastAsia="仿宋_GB2312"/>
      <w:sz w:val="32"/>
      <w:szCs w:val="32"/>
    </w:rPr>
  </w:style>
  <w:style w:type="character" w:styleId="911">
    <w:name w:val="正文文本 3 Char"/>
    <w:next w:val="911"/>
    <w:link w:val="910"/>
    <w:rPr>
      <w:rFonts w:ascii="仿宋_GB2312" w:hAnsi="Arial" w:eastAsia="仿宋_GB2312" w:cs="Times New Roman"/>
      <w:sz w:val="32"/>
      <w:szCs w:val="32"/>
    </w:rPr>
  </w:style>
  <w:style w:type="paragraph" w:styleId="912">
    <w:name w:val="正文文本"/>
    <w:basedOn w:val="881"/>
    <w:next w:val="912"/>
    <w:link w:val="913"/>
    <w:rPr>
      <w:rFonts w:ascii="楷体_GB2312" w:hAnsi="Arial" w:eastAsia="楷体_GB2312"/>
      <w:sz w:val="28"/>
      <w:szCs w:val="28"/>
    </w:rPr>
  </w:style>
  <w:style w:type="character" w:styleId="913">
    <w:name w:val="正文文本 Char"/>
    <w:next w:val="913"/>
    <w:link w:val="912"/>
    <w:rPr>
      <w:rFonts w:ascii="楷体_GB2312" w:hAnsi="Arial" w:eastAsia="楷体_GB2312" w:cs="Times New Roman"/>
      <w:sz w:val="28"/>
      <w:szCs w:val="28"/>
    </w:rPr>
  </w:style>
  <w:style w:type="paragraph" w:styleId="914">
    <w:name w:val="正文文本缩进"/>
    <w:basedOn w:val="881"/>
    <w:next w:val="914"/>
    <w:link w:val="915"/>
    <w:pPr>
      <w:ind w:firstLine="645"/>
    </w:pPr>
    <w:rPr>
      <w:rFonts w:ascii="楷体_GB2312" w:eastAsia="楷体_GB2312"/>
      <w:sz w:val="32"/>
      <w:szCs w:val="32"/>
    </w:rPr>
  </w:style>
  <w:style w:type="character" w:styleId="915">
    <w:name w:val="正文文本缩进 Char"/>
    <w:next w:val="915"/>
    <w:link w:val="914"/>
    <w:rPr>
      <w:rFonts w:ascii="楷体_GB2312" w:hAnsi="Times New Roman" w:eastAsia="楷体_GB2312" w:cs="Times New Roman"/>
      <w:sz w:val="32"/>
      <w:szCs w:val="32"/>
    </w:rPr>
  </w:style>
  <w:style w:type="paragraph" w:styleId="916">
    <w:name w:val="列表 2"/>
    <w:basedOn w:val="881"/>
    <w:next w:val="916"/>
    <w:link w:val="881"/>
    <w:pPr>
      <w:ind w:left="100" w:hanging="200"/>
    </w:pPr>
  </w:style>
  <w:style w:type="paragraph" w:styleId="917">
    <w:name w:val="目录 5"/>
    <w:basedOn w:val="881"/>
    <w:next w:val="881"/>
    <w:link w:val="881"/>
    <w:semiHidden/>
    <w:pPr>
      <w:ind w:left="840"/>
      <w:jc w:val="left"/>
    </w:pPr>
  </w:style>
  <w:style w:type="paragraph" w:styleId="918">
    <w:name w:val="目录 3"/>
    <w:basedOn w:val="881"/>
    <w:next w:val="881"/>
    <w:link w:val="881"/>
    <w:semiHidden/>
    <w:pPr>
      <w:ind w:left="420"/>
      <w:jc w:val="left"/>
    </w:pPr>
    <w:rPr>
      <w:i/>
      <w:iCs/>
      <w:szCs w:val="24"/>
    </w:rPr>
  </w:style>
  <w:style w:type="paragraph" w:styleId="919">
    <w:name w:val="纯文本"/>
    <w:basedOn w:val="881"/>
    <w:next w:val="919"/>
    <w:link w:val="920"/>
    <w:rPr>
      <w:rFonts w:ascii="宋体" w:hAnsi="Courier New"/>
      <w:sz w:val="20"/>
    </w:rPr>
  </w:style>
  <w:style w:type="character" w:styleId="920">
    <w:name w:val="纯文本 Char"/>
    <w:next w:val="920"/>
    <w:link w:val="919"/>
    <w:rPr>
      <w:rFonts w:ascii="宋体" w:hAnsi="Courier New" w:eastAsia="宋体" w:cs="Courier New"/>
      <w:szCs w:val="21"/>
    </w:rPr>
  </w:style>
  <w:style w:type="paragraph" w:styleId="921">
    <w:name w:val="目录 8"/>
    <w:basedOn w:val="881"/>
    <w:next w:val="881"/>
    <w:link w:val="881"/>
    <w:semiHidden/>
    <w:pPr>
      <w:ind w:left="1470"/>
      <w:jc w:val="left"/>
    </w:pPr>
  </w:style>
  <w:style w:type="paragraph" w:styleId="922">
    <w:name w:val="日期"/>
    <w:basedOn w:val="881"/>
    <w:next w:val="881"/>
    <w:link w:val="923"/>
    <w:rPr>
      <w:sz w:val="24"/>
      <w:szCs w:val="24"/>
    </w:rPr>
  </w:style>
  <w:style w:type="character" w:styleId="923">
    <w:name w:val="日期 Char"/>
    <w:next w:val="923"/>
    <w:link w:val="922"/>
    <w:rPr>
      <w:rFonts w:ascii="Times New Roman" w:hAnsi="Times New Roman" w:eastAsia="宋体" w:cs="Times New Roman"/>
      <w:sz w:val="24"/>
      <w:szCs w:val="24"/>
    </w:rPr>
  </w:style>
  <w:style w:type="paragraph" w:styleId="924">
    <w:name w:val="正文文本缩进 2"/>
    <w:basedOn w:val="881"/>
    <w:next w:val="924"/>
    <w:link w:val="925"/>
    <w:pPr>
      <w:ind w:left="630" w:firstLine="645"/>
    </w:pPr>
    <w:rPr>
      <w:rFonts w:ascii="Arial" w:hAnsi="Arial" w:eastAsia="仿宋_GB2312"/>
      <w:sz w:val="32"/>
      <w:szCs w:val="32"/>
    </w:rPr>
  </w:style>
  <w:style w:type="character" w:styleId="925">
    <w:name w:val="正文文本缩进 2 Char"/>
    <w:next w:val="925"/>
    <w:link w:val="924"/>
    <w:rPr>
      <w:rFonts w:ascii="Arial" w:hAnsi="Arial" w:eastAsia="仿宋_GB2312" w:cs="Arial"/>
      <w:sz w:val="32"/>
      <w:szCs w:val="32"/>
    </w:rPr>
  </w:style>
  <w:style w:type="paragraph" w:styleId="926">
    <w:name w:val="批注框文本"/>
    <w:basedOn w:val="881"/>
    <w:next w:val="926"/>
    <w:link w:val="927"/>
    <w:semiHidden/>
    <w:rPr>
      <w:sz w:val="18"/>
      <w:szCs w:val="18"/>
    </w:rPr>
  </w:style>
  <w:style w:type="character" w:styleId="927">
    <w:name w:val="批注框文本 Char"/>
    <w:next w:val="927"/>
    <w:link w:val="926"/>
    <w:semiHidden/>
    <w:rPr>
      <w:rFonts w:ascii="Times New Roman" w:hAnsi="Times New Roman" w:eastAsia="宋体" w:cs="Times New Roman"/>
      <w:sz w:val="18"/>
      <w:szCs w:val="18"/>
    </w:rPr>
  </w:style>
  <w:style w:type="paragraph" w:styleId="928">
    <w:name w:val="页脚"/>
    <w:basedOn w:val="881"/>
    <w:next w:val="928"/>
    <w:link w:val="929"/>
    <w:pPr>
      <w:jc w:val="left"/>
      <w:tabs>
        <w:tab w:val="center" w:pos="4153" w:leader="none"/>
        <w:tab w:val="right" w:pos="8306" w:leader="none"/>
      </w:tabs>
    </w:pPr>
    <w:rPr>
      <w:sz w:val="18"/>
      <w:szCs w:val="18"/>
    </w:rPr>
  </w:style>
  <w:style w:type="character" w:styleId="929">
    <w:name w:val="页脚 Char"/>
    <w:next w:val="929"/>
    <w:link w:val="928"/>
    <w:rPr>
      <w:rFonts w:ascii="Times New Roman" w:hAnsi="Times New Roman" w:eastAsia="宋体" w:cs="Times New Roman"/>
      <w:sz w:val="18"/>
      <w:szCs w:val="18"/>
    </w:rPr>
  </w:style>
  <w:style w:type="paragraph" w:styleId="930">
    <w:name w:val="页眉"/>
    <w:basedOn w:val="881"/>
    <w:next w:val="930"/>
    <w:link w:val="931"/>
    <w:uiPriority w:val="99"/>
    <w:qFormat/>
    <w:pPr>
      <w:jc w:val="center"/>
      <w:tabs>
        <w:tab w:val="center" w:pos="4153" w:leader="none"/>
        <w:tab w:val="right" w:pos="8306" w:leader="none"/>
      </w:tabs>
      <w:pBdr>
        <w:bottom w:val="single" w:color="000000" w:sz="6" w:space="1"/>
      </w:pBdr>
    </w:pPr>
    <w:rPr>
      <w:sz w:val="18"/>
      <w:szCs w:val="18"/>
    </w:rPr>
  </w:style>
  <w:style w:type="character" w:styleId="931">
    <w:name w:val="页眉 Char"/>
    <w:next w:val="931"/>
    <w:link w:val="930"/>
    <w:uiPriority w:val="99"/>
    <w:qFormat/>
    <w:rPr>
      <w:rFonts w:ascii="Times New Roman" w:hAnsi="Times New Roman" w:eastAsia="宋体" w:cs="Times New Roman"/>
      <w:sz w:val="18"/>
      <w:szCs w:val="18"/>
    </w:rPr>
  </w:style>
  <w:style w:type="paragraph" w:styleId="932">
    <w:name w:val="目录 1"/>
    <w:basedOn w:val="881"/>
    <w:next w:val="881"/>
    <w:link w:val="881"/>
    <w:semiHidden/>
    <w:pPr>
      <w:jc w:val="left"/>
      <w:spacing w:before="120" w:after="120" w:line="400" w:lineRule="exact"/>
      <w:tabs>
        <w:tab w:val="right" w:pos="8720" w:leader="dot"/>
      </w:tabs>
    </w:pPr>
    <w:rPr>
      <w:rFonts w:ascii="宋体" w:hAnsi="宋体"/>
      <w:caps/>
      <w:sz w:val="24"/>
      <w:szCs w:val="24"/>
    </w:rPr>
  </w:style>
  <w:style w:type="paragraph" w:styleId="933">
    <w:name w:val="目录 4"/>
    <w:basedOn w:val="881"/>
    <w:next w:val="881"/>
    <w:link w:val="881"/>
    <w:semiHidden/>
    <w:pPr>
      <w:ind w:left="630"/>
      <w:jc w:val="left"/>
    </w:pPr>
  </w:style>
  <w:style w:type="paragraph" w:styleId="934">
    <w:name w:val="列表"/>
    <w:basedOn w:val="881"/>
    <w:next w:val="934"/>
    <w:link w:val="881"/>
    <w:pPr>
      <w:ind w:left="200" w:hanging="200"/>
    </w:pPr>
  </w:style>
  <w:style w:type="paragraph" w:styleId="935">
    <w:name w:val="目录 6"/>
    <w:basedOn w:val="881"/>
    <w:next w:val="881"/>
    <w:link w:val="881"/>
    <w:semiHidden/>
    <w:pPr>
      <w:ind w:left="1050"/>
      <w:jc w:val="left"/>
    </w:pPr>
  </w:style>
  <w:style w:type="paragraph" w:styleId="936">
    <w:name w:val="正文文本缩进 3"/>
    <w:basedOn w:val="881"/>
    <w:next w:val="936"/>
    <w:link w:val="937"/>
    <w:pPr>
      <w:ind w:left="645" w:firstLine="645"/>
    </w:pPr>
    <w:rPr>
      <w:rFonts w:ascii="Arial" w:hAnsi="Arial" w:eastAsia="仿宋_GB2312"/>
      <w:color w:val="ffff00"/>
      <w:sz w:val="32"/>
      <w:szCs w:val="32"/>
    </w:rPr>
  </w:style>
  <w:style w:type="character" w:styleId="937">
    <w:name w:val="正文文本缩进 3 Char"/>
    <w:next w:val="937"/>
    <w:link w:val="936"/>
    <w:rPr>
      <w:rFonts w:ascii="Arial" w:hAnsi="Arial" w:eastAsia="仿宋_GB2312" w:cs="Arial"/>
      <w:color w:val="ffff00"/>
      <w:sz w:val="32"/>
      <w:szCs w:val="32"/>
    </w:rPr>
  </w:style>
  <w:style w:type="paragraph" w:styleId="938">
    <w:name w:val="图表目录"/>
    <w:basedOn w:val="881"/>
    <w:next w:val="881"/>
    <w:link w:val="881"/>
    <w:semiHidden/>
    <w:pPr>
      <w:ind w:left="840" w:hanging="420"/>
    </w:pPr>
  </w:style>
  <w:style w:type="paragraph" w:styleId="939">
    <w:name w:val="目录 2"/>
    <w:basedOn w:val="881"/>
    <w:next w:val="881"/>
    <w:link w:val="881"/>
    <w:semiHidden/>
    <w:pPr>
      <w:ind w:left="210"/>
      <w:jc w:val="left"/>
    </w:pPr>
    <w:rPr>
      <w:smallCaps/>
      <w:szCs w:val="24"/>
    </w:rPr>
  </w:style>
  <w:style w:type="paragraph" w:styleId="940">
    <w:name w:val="目录 9"/>
    <w:basedOn w:val="881"/>
    <w:next w:val="881"/>
    <w:link w:val="881"/>
    <w:semiHidden/>
    <w:pPr>
      <w:ind w:left="1680"/>
      <w:jc w:val="left"/>
    </w:pPr>
  </w:style>
  <w:style w:type="paragraph" w:styleId="941">
    <w:name w:val="正文文本 2"/>
    <w:basedOn w:val="881"/>
    <w:next w:val="941"/>
    <w:link w:val="942"/>
    <w:pPr>
      <w:jc w:val="center"/>
      <w:widowControl/>
    </w:pPr>
    <w:rPr>
      <w:rFonts w:ascii="楷体_GB2312" w:eastAsia="楷体_GB2312"/>
      <w:sz w:val="28"/>
      <w:szCs w:val="28"/>
    </w:rPr>
  </w:style>
  <w:style w:type="character" w:styleId="942">
    <w:name w:val="正文文本 2 Char"/>
    <w:next w:val="942"/>
    <w:link w:val="941"/>
    <w:rPr>
      <w:rFonts w:ascii="楷体_GB2312" w:hAnsi="Times New Roman" w:eastAsia="楷体_GB2312" w:cs="Times New Roman"/>
      <w:sz w:val="28"/>
      <w:szCs w:val="28"/>
    </w:rPr>
  </w:style>
  <w:style w:type="paragraph" w:styleId="943">
    <w:name w:val="普通(网站)"/>
    <w:basedOn w:val="881"/>
    <w:next w:val="943"/>
    <w:link w:val="881"/>
    <w:uiPriority w:val="99"/>
    <w:pPr>
      <w:jc w:val="left"/>
      <w:spacing w:before="100" w:beforeAutospacing="1" w:after="100" w:afterAutospacing="1"/>
      <w:widowControl/>
    </w:pPr>
    <w:rPr>
      <w:rFonts w:ascii="宋体" w:hAnsi="宋体" w:cs="宋体"/>
      <w:sz w:val="24"/>
      <w:szCs w:val="24"/>
    </w:rPr>
  </w:style>
  <w:style w:type="paragraph" w:styleId="944">
    <w:name w:val="索引 1"/>
    <w:basedOn w:val="881"/>
    <w:next w:val="881"/>
    <w:link w:val="881"/>
    <w:semiHidden/>
    <w:pPr>
      <w:spacing w:line="240" w:lineRule="atLeast"/>
    </w:pPr>
    <w:rPr>
      <w:b/>
      <w:bCs/>
    </w:rPr>
  </w:style>
  <w:style w:type="paragraph" w:styleId="945">
    <w:name w:val="批注主题"/>
    <w:basedOn w:val="908"/>
    <w:next w:val="908"/>
    <w:link w:val="946"/>
    <w:semiHidden/>
    <w:rPr>
      <w:b/>
      <w:bCs/>
    </w:rPr>
  </w:style>
  <w:style w:type="character" w:styleId="946">
    <w:name w:val="批注主题 Char"/>
    <w:next w:val="946"/>
    <w:link w:val="945"/>
    <w:semiHidden/>
    <w:rPr>
      <w:rFonts w:ascii="Times New Roman" w:hAnsi="Times New Roman" w:eastAsia="宋体" w:cs="Times New Roman"/>
      <w:b/>
      <w:bCs/>
      <w:szCs w:val="21"/>
    </w:rPr>
  </w:style>
  <w:style w:type="paragraph" w:styleId="947">
    <w:name w:val="正文首行缩进"/>
    <w:basedOn w:val="881"/>
    <w:next w:val="947"/>
    <w:link w:val="948"/>
    <w:pPr>
      <w:ind w:firstLine="200"/>
      <w:spacing w:line="360" w:lineRule="auto"/>
    </w:pPr>
    <w:rPr>
      <w:rFonts w:ascii="仿宋_GB2312" w:eastAsia="仿宋_GB2312"/>
      <w:sz w:val="30"/>
      <w:szCs w:val="30"/>
    </w:rPr>
  </w:style>
  <w:style w:type="character" w:styleId="948">
    <w:name w:val="正文首行缩进 Char"/>
    <w:next w:val="948"/>
    <w:link w:val="947"/>
    <w:rPr>
      <w:rFonts w:ascii="仿宋_GB2312" w:hAnsi="Times New Roman" w:eastAsia="仿宋_GB2312" w:cs="Times New Roman"/>
      <w:sz w:val="30"/>
      <w:szCs w:val="30"/>
    </w:rPr>
  </w:style>
  <w:style w:type="paragraph" w:styleId="949">
    <w:name w:val="正文首行缩进 2"/>
    <w:basedOn w:val="914"/>
    <w:next w:val="949"/>
    <w:link w:val="950"/>
    <w:pPr>
      <w:ind w:firstLine="420"/>
      <w:spacing w:line="360" w:lineRule="auto"/>
    </w:pPr>
    <w:rPr>
      <w:rFonts w:ascii="宋体" w:hAnsi="宋体" w:eastAsia="宋体"/>
      <w:szCs w:val="20"/>
    </w:rPr>
  </w:style>
  <w:style w:type="character" w:styleId="950">
    <w:name w:val="正文首行缩进 2 Char"/>
    <w:next w:val="950"/>
    <w:link w:val="949"/>
    <w:rPr>
      <w:rFonts w:ascii="宋体" w:hAnsi="宋体" w:eastAsia="宋体" w:cs="Times New Roman"/>
      <w:sz w:val="32"/>
      <w:szCs w:val="20"/>
    </w:rPr>
  </w:style>
  <w:style w:type="table" w:styleId="951">
    <w:name w:val="网格型"/>
    <w:basedOn w:val="892"/>
    <w:next w:val="951"/>
    <w:link w:val="881"/>
    <w:pPr>
      <w:jc w:val="both"/>
      <w:widowControl w:val="off"/>
    </w:pPr>
    <w:rPr>
      <w:rFonts w:ascii="Times New Roman" w:hAnsi="Times New Roman" w:eastAsia="宋体" w:cs="Times New Roman"/>
      <w:sz w:val="20"/>
      <w:szCs w:val="20"/>
    </w:rPr>
    <w:tblPr/>
  </w:style>
  <w:style w:type="character" w:styleId="952">
    <w:name w:val="要点"/>
    <w:next w:val="952"/>
    <w:link w:val="881"/>
    <w:qFormat/>
    <w:rPr>
      <w:b/>
      <w:bCs/>
    </w:rPr>
  </w:style>
  <w:style w:type="character" w:styleId="953">
    <w:name w:val="页码"/>
    <w:next w:val="953"/>
    <w:link w:val="881"/>
  </w:style>
  <w:style w:type="character" w:styleId="954">
    <w:name w:val="已访问的超链接"/>
    <w:next w:val="954"/>
    <w:link w:val="881"/>
    <w:rPr>
      <w:color w:val="800080"/>
      <w:u w:val="single"/>
    </w:rPr>
  </w:style>
  <w:style w:type="character" w:styleId="955">
    <w:name w:val="HTML 打字机"/>
    <w:next w:val="955"/>
    <w:link w:val="881"/>
    <w:uiPriority w:val="99"/>
    <w:rPr>
      <w:rFonts w:ascii="宋体" w:hAnsi="宋体" w:eastAsia="宋体" w:cs="宋体"/>
      <w:sz w:val="24"/>
      <w:szCs w:val="24"/>
    </w:rPr>
  </w:style>
  <w:style w:type="character" w:styleId="956">
    <w:name w:val="超链接"/>
    <w:next w:val="956"/>
    <w:link w:val="881"/>
    <w:rPr>
      <w:color w:val="0000ff"/>
      <w:u w:val="single"/>
    </w:rPr>
  </w:style>
  <w:style w:type="character" w:styleId="957">
    <w:name w:val="批注引用"/>
    <w:next w:val="957"/>
    <w:link w:val="881"/>
    <w:semiHidden/>
    <w:rPr>
      <w:sz w:val="21"/>
      <w:szCs w:val="21"/>
    </w:rPr>
  </w:style>
  <w:style w:type="character" w:styleId="958">
    <w:name w:val="font5 Char"/>
    <w:next w:val="958"/>
    <w:link w:val="881"/>
    <w:rPr>
      <w:rFonts w:ascii="宋体" w:hAnsi="宋体" w:eastAsia="宋体"/>
      <w:sz w:val="28"/>
      <w:szCs w:val="28"/>
      <w:lang w:val="en-US" w:eastAsia="zh-CN" w:bidi="ar-SA"/>
    </w:rPr>
  </w:style>
  <w:style w:type="character" w:styleId="959">
    <w:name w:val="二级目录 Char"/>
    <w:next w:val="959"/>
    <w:link w:val="960"/>
    <w:rPr>
      <w:b/>
      <w:sz w:val="30"/>
      <w:szCs w:val="28"/>
      <w:lang w:val="en-US" w:eastAsia="zh-CN" w:bidi="ar-SA"/>
    </w:rPr>
  </w:style>
  <w:style w:type="paragraph" w:styleId="960">
    <w:name w:val="二级目录"/>
    <w:next w:val="881"/>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81"/>
    <w:next w:val="962"/>
    <w:link w:val="961"/>
    <w:qFormat/>
    <w:pPr>
      <w:contextualSpacing/>
      <w:ind w:left="720"/>
      <w:jc w:val="left"/>
      <w:widowControl/>
    </w:pPr>
    <w:rPr>
      <w:rFonts w:ascii="Calibri" w:hAnsi="Calibri"/>
      <w:sz w:val="24"/>
      <w:szCs w:val="24"/>
      <w:lang w:eastAsia="en-US" w:bidi="en-US"/>
    </w:rPr>
  </w:style>
  <w:style w:type="paragraph" w:styleId="963">
    <w:name w:val="Body Text(ch)"/>
    <w:basedOn w:val="881"/>
    <w:next w:val="912"/>
    <w:link w:val="881"/>
    <w:pPr>
      <w:spacing w:after="120"/>
    </w:pPr>
    <w:rPr>
      <w:rFonts w:ascii="宋体" w:hAnsi="Arial"/>
      <w:bCs/>
      <w:iCs/>
      <w:szCs w:val="24"/>
    </w:rPr>
  </w:style>
  <w:style w:type="paragraph" w:styleId="964">
    <w:name w:val="xl27"/>
    <w:basedOn w:val="881"/>
    <w:next w:val="964"/>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name w:val="xl26"/>
    <w:basedOn w:val="881"/>
    <w:next w:val="965"/>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name w:val="Char"/>
    <w:basedOn w:val="881"/>
    <w:next w:val="966"/>
    <w:link w:val="881"/>
    <w:pPr>
      <w:ind w:firstLine="200"/>
      <w:tabs>
        <w:tab w:val="left" w:pos="360" w:leader="none"/>
      </w:tabs>
    </w:pPr>
    <w:rPr>
      <w:sz w:val="28"/>
      <w:szCs w:val="30"/>
    </w:rPr>
  </w:style>
  <w:style w:type="paragraph" w:styleId="967">
    <w:name w:val=" Char"/>
    <w:basedOn w:val="906"/>
    <w:next w:val="967"/>
    <w:link w:val="881"/>
    <w:rPr>
      <w:rFonts w:ascii="Tahoma" w:hAnsi="Tahoma"/>
      <w:sz w:val="24"/>
      <w:szCs w:val="24"/>
    </w:rPr>
  </w:style>
  <w:style w:type="paragraph" w:styleId="968">
    <w:name w:val="普通正文"/>
    <w:basedOn w:val="881"/>
    <w:next w:val="968"/>
    <w:link w:val="881"/>
    <w:pPr>
      <w:ind w:firstLine="480"/>
      <w:jc w:val="left"/>
      <w:spacing w:before="120" w:after="120" w:line="360" w:lineRule="auto"/>
    </w:pPr>
    <w:rPr>
      <w:rFonts w:ascii="Arial" w:hAnsi="Arial"/>
      <w:sz w:val="24"/>
      <w:szCs w:val="24"/>
    </w:rPr>
  </w:style>
  <w:style w:type="paragraph" w:styleId="969">
    <w:name w:val="table_lines"/>
    <w:basedOn w:val="881"/>
    <w:next w:val="969"/>
    <w:link w:val="881"/>
    <w:pPr>
      <w:jc w:val="left"/>
      <w:widowControl/>
    </w:pPr>
    <w:rPr>
      <w:sz w:val="20"/>
      <w:szCs w:val="20"/>
      <w:lang w:val="de-DE" w:eastAsia="de-DE"/>
    </w:rPr>
  </w:style>
  <w:style w:type="paragraph" w:styleId="970">
    <w:name w:val="附录1"/>
    <w:next w:val="970"/>
    <w:link w:val="88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81"/>
    <w:next w:val="971"/>
    <w:link w:val="881"/>
    <w:pPr>
      <w:jc w:val="left"/>
      <w:spacing w:before="100" w:beforeAutospacing="1" w:after="100" w:afterAutospacing="1"/>
      <w:widowControl/>
    </w:pPr>
    <w:rPr>
      <w:rFonts w:hint="eastAsia" w:ascii="宋体" w:hAnsi="宋体"/>
      <w:sz w:val="18"/>
      <w:szCs w:val="18"/>
    </w:rPr>
  </w:style>
  <w:style w:type="paragraph" w:styleId="972">
    <w:name w:val=" Char Char Char Char"/>
    <w:basedOn w:val="906"/>
    <w:next w:val="972"/>
    <w:link w:val="881"/>
    <w:pPr>
      <w:spacing w:line="360" w:lineRule="auto"/>
    </w:pPr>
    <w:rPr>
      <w:rFonts w:ascii="Tahoma" w:hAnsi="Tahoma"/>
      <w:sz w:val="24"/>
      <w:szCs w:val="24"/>
    </w:rPr>
  </w:style>
  <w:style w:type="paragraph" w:styleId="973">
    <w:name w:val="列出段落"/>
    <w:basedOn w:val="881"/>
    <w:next w:val="973"/>
    <w:link w:val="881"/>
    <w:uiPriority w:val="99"/>
    <w:qFormat/>
    <w:pPr>
      <w:contextualSpacing/>
      <w:ind w:left="720"/>
      <w:jc w:val="left"/>
      <w:widowControl/>
    </w:pPr>
    <w:rPr>
      <w:rFonts w:ascii="Calibri" w:hAnsi="Calibri"/>
      <w:sz w:val="24"/>
      <w:szCs w:val="24"/>
      <w:lang w:eastAsia="en-US" w:bidi="en-US"/>
    </w:rPr>
  </w:style>
  <w:style w:type="paragraph" w:styleId="974">
    <w:name w:val="4"/>
    <w:basedOn w:val="881"/>
    <w:next w:val="936"/>
    <w:link w:val="881"/>
    <w:pPr>
      <w:ind w:firstLine="420"/>
      <w:spacing w:line="360" w:lineRule="auto"/>
    </w:pPr>
    <w:rPr>
      <w:color w:val="ff0000"/>
      <w:sz w:val="24"/>
      <w:szCs w:val="24"/>
    </w:rPr>
  </w:style>
  <w:style w:type="paragraph" w:styleId="975">
    <w:name w:val="普通 (Web)"/>
    <w:basedOn w:val="881"/>
    <w:next w:val="975"/>
    <w:link w:val="881"/>
    <w:pPr>
      <w:jc w:val="left"/>
      <w:spacing w:before="100" w:beforeAutospacing="1" w:after="100" w:afterAutospacing="1"/>
      <w:widowControl/>
    </w:pPr>
    <w:rPr>
      <w:rFonts w:ascii="宋体" w:hAnsi="宋体"/>
      <w:sz w:val="24"/>
      <w:szCs w:val="24"/>
    </w:rPr>
  </w:style>
  <w:style w:type="paragraph" w:styleId="976">
    <w:name w:val=" Char Char Char Char Char Char Char Char Char Char"/>
    <w:basedOn w:val="881"/>
    <w:next w:val="976"/>
    <w:link w:val="881"/>
    <w:pPr>
      <w:spacing w:line="360" w:lineRule="auto"/>
    </w:pPr>
    <w:rPr>
      <w:sz w:val="24"/>
      <w:szCs w:val="20"/>
    </w:rPr>
  </w:style>
  <w:style w:type="paragraph" w:styleId="977">
    <w:name w:val="样式1"/>
    <w:basedOn w:val="881"/>
    <w:next w:val="977"/>
    <w:link w:val="881"/>
    <w:pPr>
      <w:numPr>
        <w:ilvl w:val="0"/>
        <w:numId w:val="3"/>
      </w:numPr>
      <w:tabs>
        <w:tab w:val="left" w:pos="709" w:leader="none"/>
      </w:tabs>
    </w:pPr>
    <w:rPr>
      <w:rFonts w:ascii="宋体" w:hAnsi="宋体"/>
    </w:rPr>
  </w:style>
  <w:style w:type="paragraph" w:styleId="978">
    <w:name w:val="font6"/>
    <w:basedOn w:val="881"/>
    <w:next w:val="978"/>
    <w:link w:val="881"/>
    <w:pPr>
      <w:jc w:val="left"/>
      <w:spacing w:before="100" w:beforeAutospacing="1" w:after="100" w:afterAutospacing="1"/>
      <w:widowControl/>
    </w:pPr>
    <w:rPr>
      <w:rFonts w:hint="eastAsia" w:ascii="宋体" w:hAnsi="宋体"/>
      <w:sz w:val="28"/>
      <w:szCs w:val="28"/>
      <w:u w:val="single"/>
    </w:rPr>
  </w:style>
  <w:style w:type="paragraph" w:styleId="979">
    <w:name w:val="xl25"/>
    <w:basedOn w:val="881"/>
    <w:next w:val="979"/>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81"/>
    <w:next w:val="881"/>
    <w:link w:val="88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name w:val="标题3"/>
    <w:basedOn w:val="881"/>
    <w:next w:val="881"/>
    <w:link w:val="881"/>
    <w:pPr>
      <w:ind w:firstLine="624"/>
      <w:spacing w:line="590" w:lineRule="atLeast"/>
    </w:pPr>
    <w:rPr>
      <w:rFonts w:ascii="方正黑体_GBK" w:eastAsia="方正黑体_GBK"/>
      <w:sz w:val="32"/>
      <w:szCs w:val="32"/>
    </w:rPr>
  </w:style>
  <w:style w:type="paragraph" w:styleId="982">
    <w:name w:val="xl24"/>
    <w:basedOn w:val="881"/>
    <w:next w:val="982"/>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9"/>
    <w:basedOn w:val="881"/>
    <w:next w:val="983"/>
    <w:link w:val="88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name w:val="Char Char Char Char Char Char Char Char"/>
    <w:basedOn w:val="881"/>
    <w:next w:val="984"/>
    <w:link w:val="881"/>
    <w:pPr>
      <w:jc w:val="left"/>
      <w:spacing w:after="160" w:line="240" w:lineRule="exact"/>
      <w:widowControl/>
    </w:pPr>
    <w:rPr>
      <w:rFonts w:ascii="Verdana" w:hAnsi="Verdana"/>
      <w:sz w:val="20"/>
      <w:szCs w:val="20"/>
      <w:lang w:eastAsia="en-US"/>
    </w:rPr>
  </w:style>
  <w:style w:type="paragraph" w:styleId="985">
    <w:name w:val="xl28"/>
    <w:basedOn w:val="881"/>
    <w:next w:val="985"/>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 Char Char Char Char Char Char Char Char"/>
    <w:basedOn w:val="881"/>
    <w:next w:val="986"/>
    <w:link w:val="881"/>
    <w:pPr>
      <w:jc w:val="left"/>
      <w:spacing w:after="160" w:line="240" w:lineRule="exact"/>
      <w:widowControl/>
    </w:pPr>
    <w:rPr>
      <w:rFonts w:ascii="Verdana" w:hAnsi="Verdana"/>
      <w:sz w:val="20"/>
      <w:szCs w:val="20"/>
      <w:lang w:eastAsia="en-US"/>
    </w:rPr>
  </w:style>
  <w:style w:type="paragraph" w:styleId="987">
    <w:name w:val="xl30"/>
    <w:basedOn w:val="881"/>
    <w:next w:val="987"/>
    <w:link w:val="881"/>
    <w:pPr>
      <w:jc w:val="center"/>
      <w:spacing w:before="100" w:beforeAutospacing="1" w:after="100" w:afterAutospacing="1"/>
      <w:widowControl/>
    </w:pPr>
    <w:rPr>
      <w:rFonts w:ascii="宋体" w:hAnsi="宋体"/>
      <w:b/>
      <w:bCs/>
      <w:sz w:val="36"/>
      <w:szCs w:val="36"/>
    </w:rPr>
  </w:style>
  <w:style w:type="paragraph" w:styleId="988">
    <w:name w:val="Char Char Char Char"/>
    <w:basedOn w:val="906"/>
    <w:next w:val="988"/>
    <w:link w:val="881"/>
    <w:pPr>
      <w:spacing w:line="360" w:lineRule="auto"/>
    </w:pPr>
    <w:rPr>
      <w:rFonts w:ascii="Tahoma" w:hAnsi="Tahoma"/>
      <w:sz w:val="24"/>
      <w:szCs w:val="24"/>
    </w:rPr>
  </w:style>
  <w:style w:type="paragraph" w:styleId="989">
    <w:name w:val="table_1stline"/>
    <w:basedOn w:val="881"/>
    <w:next w:val="989"/>
    <w:link w:val="881"/>
    <w:pPr>
      <w:jc w:val="left"/>
      <w:spacing w:before="120"/>
      <w:widowControl/>
    </w:pPr>
    <w:rPr>
      <w:bCs/>
      <w:sz w:val="20"/>
      <w:szCs w:val="20"/>
      <w:lang w:val="de-DE" w:eastAsia="de-DE"/>
    </w:rPr>
  </w:style>
  <w:style w:type="paragraph" w:styleId="990">
    <w:name w:val="font5"/>
    <w:basedOn w:val="881"/>
    <w:next w:val="990"/>
    <w:link w:val="881"/>
    <w:pPr>
      <w:jc w:val="left"/>
      <w:spacing w:before="100" w:beforeAutospacing="1" w:after="100" w:afterAutospacing="1"/>
      <w:widowControl/>
    </w:pPr>
    <w:rPr>
      <w:rFonts w:hint="eastAsia" w:ascii="宋体" w:hAnsi="宋体"/>
      <w:sz w:val="28"/>
      <w:szCs w:val="28"/>
    </w:rPr>
  </w:style>
  <w:style w:type="paragraph" w:styleId="991">
    <w:name w:val="标题1"/>
    <w:basedOn w:val="881"/>
    <w:next w:val="881"/>
    <w:link w:val="88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name w:val="修订"/>
    <w:next w:val="992"/>
    <w:link w:val="881"/>
    <w:uiPriority w:val="99"/>
    <w:semiHidden/>
    <w:rPr>
      <w:rFonts w:ascii="Times New Roman" w:hAnsi="Times New Roman"/>
      <w:sz w:val="21"/>
      <w:szCs w:val="21"/>
      <w:lang w:val="en-US" w:eastAsia="zh-CN" w:bidi="ar-SA"/>
    </w:rPr>
  </w:style>
  <w:style w:type="paragraph" w:styleId="993">
    <w:name w:val="无间隔"/>
    <w:next w:val="993"/>
    <w:link w:val="881"/>
    <w:uiPriority w:val="99"/>
    <w:qFormat/>
    <w:pPr>
      <w:jc w:val="both"/>
      <w:widowControl w:val="off"/>
    </w:pPr>
    <w:rPr>
      <w:rFonts w:ascii="Times New Roman" w:hAnsi="Times New Roman"/>
      <w:sz w:val="21"/>
      <w:szCs w:val="21"/>
      <w:lang w:val="en-US" w:eastAsia="zh-CN" w:bidi="ar-SA"/>
    </w:rPr>
  </w:style>
  <w:style w:type="paragraph" w:styleId="994">
    <w:name w:val="普通文字"/>
    <w:basedOn w:val="881"/>
    <w:next w:val="881"/>
    <w:link w:val="881"/>
    <w:uiPriority w:val="99"/>
    <w:rPr>
      <w:rFonts w:ascii="宋体" w:hAnsi="Times New Roman" w:eastAsia="宋体" w:cs="Times New Roman"/>
      <w:sz w:val="24"/>
      <w:szCs w:val="20"/>
      <w:u w:val="none"/>
    </w:rPr>
  </w:style>
  <w:style w:type="paragraph" w:styleId="995">
    <w:name w:val="目录 111"/>
    <w:basedOn w:val="881"/>
    <w:next w:val="881"/>
    <w:link w:val="881"/>
    <w:uiPriority w:val="39"/>
    <w:unhideWhenUsed/>
    <w:qFormat/>
    <w:pPr>
      <w:jc w:val="left"/>
      <w:spacing w:after="100" w:line="259" w:lineRule="auto"/>
      <w:widowControl/>
    </w:pPr>
    <w:rPr>
      <w:rFonts w:ascii="Calibri" w:hAnsi="Calibri" w:eastAsia="宋体"/>
      <w:sz w:val="22"/>
      <w:szCs w:val="22"/>
    </w:rPr>
  </w:style>
  <w:style w:type="paragraph" w:styleId="996">
    <w:name w:val="纯文本1"/>
    <w:basedOn w:val="881"/>
    <w:next w:val="996"/>
    <w:link w:val="881"/>
    <w:qFormat/>
    <w:rPr>
      <w:rFonts w:ascii="宋体" w:hAnsi="Courier New" w:eastAsia="楷体_GB2312"/>
      <w:sz w:val="28"/>
      <w:szCs w:val="20"/>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15</cp:revision>
  <dcterms:created xsi:type="dcterms:W3CDTF">2023-03-16T02:16:00Z</dcterms:created>
  <dcterms:modified xsi:type="dcterms:W3CDTF">2026-11-02T06:20:23Z</dcterms:modified>
</cp:coreProperties>
</file>