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ind w:firstLine="0"/>
        <w:rPr>
          <w:rFonts w:eastAsia="黑体"/>
          <w:b/>
          <w:bCs/>
          <w:sz w:val="84"/>
        </w:rPr>
      </w:pPr>
      <w:r>
        <w:rPr>
          <w:rFonts w:eastAsia="黑体"/>
          <w:b/>
          <w:bCs/>
          <w:sz w:val="84"/>
        </w:rPr>
      </w:r>
      <w:r/>
    </w:p>
    <w:p>
      <w:pPr>
        <w:pStyle w:val="912"/>
        <w:ind w:firstLine="0"/>
        <w:jc w:val="center"/>
        <w:rPr>
          <w:rFonts w:eastAsia="黑体"/>
          <w:b/>
          <w:bCs/>
          <w:sz w:val="84"/>
        </w:rPr>
      </w:pPr>
      <w:r>
        <w:rPr>
          <w:rFonts w:hint="eastAsia" w:eastAsia="黑体"/>
          <w:b/>
          <w:bCs/>
          <w:sz w:val="84"/>
        </w:rPr>
        <w:t xml:space="preserve">招　标　文　件</w:t>
      </w:r>
      <w:r/>
    </w:p>
    <w:p>
      <w:pPr>
        <w:pStyle w:val="912"/>
        <w:ind w:firstLine="0"/>
        <w:jc w:val="center"/>
        <w:rPr>
          <w:rFonts w:eastAsia="黑体"/>
          <w:b/>
          <w:bCs/>
          <w:sz w:val="84"/>
        </w:rPr>
      </w:pPr>
      <w:r>
        <w:rPr>
          <w:rFonts w:eastAsia="黑体"/>
          <w:b/>
          <w:bCs/>
          <w:sz w:val="84"/>
        </w:rPr>
      </w:r>
      <w:r/>
    </w:p>
    <w:p>
      <w:pPr>
        <w:pStyle w:val="912"/>
        <w:ind w:left="0" w:firstLine="0"/>
        <w:jc w:val="both"/>
        <w:rPr>
          <w:rFonts w:hint="eastAsia"/>
          <w:b/>
          <w:bCs/>
          <w:sz w:val="32"/>
          <w:lang w:eastAsia="zh-CN"/>
        </w:rPr>
      </w:pPr>
      <w:r>
        <w:rPr>
          <w:rFonts w:hint="eastAsia"/>
          <w:b/>
          <w:bCs/>
          <w:sz w:val="32"/>
        </w:rPr>
        <w:t xml:space="preserve">项目名称：</w:t>
      </w:r>
      <w:r>
        <w:rPr>
          <w:rFonts w:hint="eastAsia"/>
          <w:b/>
          <w:bCs/>
          <w:sz w:val="32"/>
          <w:lang w:eastAsia="zh-CN"/>
        </w:rPr>
        <w:t xml:space="preserve">海安市应急管理局举高喷射消防车及随车装备采购项目</w:t>
      </w:r>
      <w:r/>
    </w:p>
    <w:p>
      <w:pPr>
        <w:pStyle w:val="912"/>
        <w:ind w:left="0" w:firstLine="0"/>
        <w:jc w:val="both"/>
        <w:rPr>
          <w:b w:val="0"/>
          <w:bCs w:val="0"/>
          <w:sz w:val="30"/>
          <w:szCs w:val="30"/>
        </w:rPr>
      </w:pPr>
      <w:r>
        <w:rPr>
          <w:rFonts w:hint="eastAsia"/>
          <w:b/>
          <w:bCs/>
          <w:sz w:val="32"/>
        </w:rPr>
        <w:t xml:space="preserve">项目编号：JSZC-320685-JSHS-G2026-0040</w:t>
      </w:r>
      <w:r/>
    </w:p>
    <w:p>
      <w:pPr>
        <w:pStyle w:val="912"/>
        <w:ind w:firstLine="0"/>
        <w:spacing w:before="0" w:after="0"/>
        <w:rPr>
          <w:rFonts w:ascii="宋体" w:hAnsi="宋体"/>
        </w:rPr>
      </w:pPr>
      <w:r>
        <w:rPr>
          <w:rFonts w:ascii="宋体" w:hAnsi="宋体"/>
        </w:rPr>
      </w:r>
      <w:r/>
    </w:p>
    <w:p>
      <w:pPr>
        <w:pStyle w:val="912"/>
        <w:ind w:firstLine="0"/>
        <w:spacing w:before="0" w:after="0"/>
        <w:rPr>
          <w:rFonts w:ascii="宋体" w:hAnsi="宋体"/>
        </w:rPr>
      </w:pPr>
      <w:r>
        <w:rPr>
          <w:rFonts w:ascii="宋体" w:hAnsi="宋体"/>
        </w:rPr>
      </w:r>
      <w:r/>
    </w:p>
    <w:p>
      <w:pPr>
        <w:pStyle w:val="912"/>
        <w:ind w:firstLine="0"/>
        <w:spacing w:before="0" w:after="0"/>
        <w:rPr>
          <w:rFonts w:ascii="宋体" w:hAnsi="宋体"/>
        </w:rPr>
      </w:pPr>
      <w:r>
        <w:rPr>
          <w:rFonts w:ascii="宋体" w:hAnsi="宋体"/>
        </w:rPr>
      </w:r>
      <w:r/>
    </w:p>
    <w:p>
      <w:pPr>
        <w:pStyle w:val="912"/>
        <w:ind w:firstLine="0"/>
        <w:spacing w:before="0" w:after="0"/>
        <w:rPr>
          <w:rFonts w:ascii="宋体" w:hAnsi="宋体"/>
        </w:rPr>
      </w:pPr>
      <w:r>
        <w:rPr>
          <w:rFonts w:ascii="宋体" w:hAnsi="宋体"/>
        </w:rPr>
      </w:r>
      <w:r/>
    </w:p>
    <w:p>
      <w:pPr>
        <w:pStyle w:val="912"/>
        <w:ind w:firstLine="0"/>
        <w:spacing w:before="0" w:after="0"/>
        <w:rPr>
          <w:rFonts w:ascii="宋体" w:hAnsi="宋体"/>
        </w:rPr>
      </w:pPr>
      <w:r>
        <w:rPr>
          <w:rFonts w:ascii="宋体" w:hAnsi="宋体"/>
        </w:rPr>
      </w:r>
      <w:r/>
    </w:p>
    <w:p>
      <w:pPr>
        <w:pStyle w:val="912"/>
        <w:ind w:firstLine="0"/>
        <w:spacing w:before="0" w:after="0"/>
        <w:rPr>
          <w:rFonts w:ascii="宋体" w:hAnsi="宋体"/>
        </w:rPr>
      </w:pPr>
      <w:r>
        <w:rPr>
          <w:rFonts w:ascii="宋体" w:hAnsi="宋体"/>
        </w:rPr>
      </w:r>
      <w:r/>
    </w:p>
    <w:p>
      <w:pPr>
        <w:pStyle w:val="912"/>
        <w:ind w:firstLine="0"/>
        <w:spacing w:before="0" w:after="0"/>
        <w:rPr>
          <w:rFonts w:ascii="宋体" w:hAnsi="宋体"/>
        </w:rPr>
      </w:pPr>
      <w:r>
        <w:rPr>
          <w:rFonts w:ascii="宋体" w:hAnsi="宋体"/>
        </w:rPr>
      </w:r>
      <w:r/>
    </w:p>
    <w:p>
      <w:pPr>
        <w:pStyle w:val="912"/>
        <w:ind w:firstLine="0"/>
        <w:jc w:val="center"/>
        <w:rPr>
          <w:b/>
          <w:bCs/>
          <w:sz w:val="32"/>
        </w:rPr>
      </w:pPr>
      <w:r>
        <w:rPr>
          <w:b/>
          <w:bCs/>
          <w:sz w:val="32"/>
        </w:rPr>
      </w:r>
      <w:r/>
    </w:p>
    <w:p>
      <w:pPr>
        <w:pStyle w:val="912"/>
        <w:ind w:firstLine="0"/>
        <w:jc w:val="center"/>
        <w:rPr>
          <w:b/>
          <w:bCs/>
          <w:sz w:val="32"/>
        </w:rPr>
      </w:pPr>
      <w:r>
        <w:rPr>
          <w:b/>
          <w:bCs/>
          <w:sz w:val="32"/>
        </w:rPr>
      </w:r>
      <w:r/>
    </w:p>
    <w:p>
      <w:pPr>
        <w:pStyle w:val="912"/>
        <w:ind w:firstLine="0"/>
        <w:jc w:val="both"/>
        <w:rPr>
          <w:b/>
          <w:bCs/>
          <w:sz w:val="32"/>
        </w:rPr>
      </w:pPr>
      <w:r>
        <w:rPr>
          <w:b/>
          <w:bCs/>
          <w:sz w:val="32"/>
        </w:rPr>
      </w:r>
      <w:r/>
    </w:p>
    <w:p>
      <w:pPr>
        <w:pStyle w:val="912"/>
        <w:ind w:firstLine="0"/>
        <w:jc w:val="center"/>
        <w:rPr>
          <w:b/>
          <w:bCs/>
          <w:sz w:val="32"/>
        </w:rPr>
      </w:pPr>
      <w:r>
        <w:rPr>
          <w:rFonts w:hint="eastAsia"/>
          <w:b/>
          <w:bCs/>
          <w:sz w:val="32"/>
        </w:rPr>
        <w:t xml:space="preserve">采购人：海安市应急管理局</w:t>
      </w:r>
      <w:r/>
    </w:p>
    <w:p>
      <w:pPr>
        <w:pStyle w:val="912"/>
        <w:ind w:firstLine="0"/>
        <w:jc w:val="center"/>
        <w:rPr>
          <w:b/>
          <w:bCs/>
          <w:sz w:val="32"/>
        </w:rPr>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b/>
          <w:bCs/>
          <w:sz w:val="32"/>
        </w:rPr>
        <w:t xml:space="preserve"> 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10</w:t>
      </w:r>
      <w:r>
        <w:rPr>
          <w:rFonts w:hint="eastAsia"/>
          <w:b/>
          <w:bCs/>
          <w:sz w:val="32"/>
        </w:rPr>
        <w:t xml:space="preserve">月 </w:t>
      </w:r>
      <w:r/>
    </w:p>
    <w:p>
      <w:pPr>
        <w:jc w:val="both"/>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5"/>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受海安市应急管理局的委托，</w:t>
      </w:r>
      <w:r>
        <w:rPr>
          <w:rFonts w:hint="eastAsia" w:ascii="宋体" w:hAnsi="宋体" w:cs="宋体"/>
          <w:color w:val="000000"/>
          <w:sz w:val="24"/>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海安市应急管理局举高喷射消防车及随车装备采购项目</w:t>
      </w:r>
      <w:r>
        <w:rPr>
          <w:rFonts w:hint="eastAsia" w:ascii="宋体" w:hAnsi="宋体"/>
          <w:sz w:val="24"/>
          <w:szCs w:val="24"/>
        </w:rPr>
        <w:t xml:space="preserve">(JSZC-320685-JSHS-G2026-0040)进行公开招标采购，欢迎符合条件的供应商投标。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海安市应急管理局举高喷射消防车及随车装备采购项目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7"/>
        <w:ind w:firstLine="498"/>
        <w:spacing w:before="0" w:after="0" w:line="560" w:lineRule="exact"/>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1.项目编号：JSZC-320685-JSHS-G2026-0040 </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海安市应急管理局举高喷射消防车及随车装备采购项目</w:t>
      </w:r>
      <w:r>
        <w:rPr>
          <w:rFonts w:hint="eastAsia" w:ascii="宋体" w:hAnsi="宋体"/>
          <w:sz w:val="24"/>
          <w:szCs w:val="24"/>
        </w:rPr>
        <w:t xml:space="preserve"> </w:t>
      </w:r>
      <w:bookmarkEnd w:id="11"/>
      <w:r/>
      <w:r/>
    </w:p>
    <w:p>
      <w:pPr>
        <w:ind w:firstLine="480"/>
        <w:spacing w:line="560" w:lineRule="exact"/>
        <w:rPr>
          <w:rFonts w:ascii="宋体" w:hAnsi="宋体"/>
          <w:sz w:val="24"/>
          <w:szCs w:val="24"/>
        </w:rPr>
      </w:pPr>
      <w:r>
        <w:rPr>
          <w:rFonts w:hint="eastAsia" w:ascii="宋体" w:hAnsi="宋体"/>
          <w:sz w:val="24"/>
          <w:szCs w:val="24"/>
        </w:rPr>
        <w:t xml:space="preserve">3.项目类型：货物</w:t>
      </w:r>
      <w:r/>
    </w:p>
    <w:p>
      <w:pPr>
        <w:ind w:firstLine="480"/>
        <w:spacing w:line="560" w:lineRule="exact"/>
        <w:rPr>
          <w:rFonts w:ascii="宋体" w:hAnsi="宋体"/>
          <w:sz w:val="24"/>
          <w:szCs w:val="24"/>
        </w:rPr>
      </w:pPr>
      <w:r>
        <w:rPr>
          <w:rFonts w:hint="eastAsia" w:ascii="宋体" w:hAnsi="宋体"/>
          <w:sz w:val="24"/>
          <w:szCs w:val="24"/>
        </w:rPr>
        <w:t xml:space="preserve">4.项目行业：工业</w:t>
      </w:r>
      <w:r/>
    </w:p>
    <w:p>
      <w:pPr>
        <w:ind w:firstLine="480"/>
        <w:spacing w:line="560" w:lineRule="exact"/>
        <w:rPr>
          <w:rFonts w:ascii="宋体" w:hAnsi="宋体"/>
          <w:color w:val="ff0000"/>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340</w:t>
      </w:r>
      <w:r>
        <w:rPr>
          <w:rFonts w:hint="eastAsia" w:ascii="宋体" w:hAnsi="宋体"/>
          <w:sz w:val="24"/>
          <w:szCs w:val="24"/>
        </w:rPr>
        <w:t xml:space="preserve">万元 </w:t>
      </w:r>
      <w:r/>
    </w:p>
    <w:p>
      <w:pPr>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340</w:t>
      </w:r>
      <w:r>
        <w:rPr>
          <w:rFonts w:hint="eastAsia" w:ascii="宋体" w:hAnsi="宋体"/>
          <w:sz w:val="24"/>
          <w:szCs w:val="24"/>
        </w:rPr>
        <w:t xml:space="preserve">万元，投标报价超过最高限价的投标将作为无效投标处理。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lang w:val="en-US" w:eastAsia="zh-CN"/>
        </w:rPr>
        <w:t xml:space="preserve">详见招标文件</w:t>
      </w:r>
      <w:r>
        <w:rPr>
          <w:rFonts w:hint="eastAsia" w:ascii="宋体" w:hAnsi="宋体"/>
          <w:sz w:val="24"/>
          <w:szCs w:val="24"/>
        </w:rPr>
        <w:t xml:space="preserve">。</w:t>
      </w:r>
      <w:r/>
    </w:p>
    <w:p>
      <w:pPr>
        <w:pStyle w:val="867"/>
        <w:ind w:firstLine="498"/>
        <w:spacing w:before="0" w:after="0" w:line="560" w:lineRule="exact"/>
      </w:pPr>
      <w:r/>
      <w:bookmarkStart w:id="12" w:name="_Toc28359003"/>
      <w:r/>
      <w:bookmarkStart w:id="13" w:name="_Toc38985264"/>
      <w:r/>
      <w:bookmarkStart w:id="14" w:name="_Toc35393791"/>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28359004"/>
      <w:r/>
      <w:bookmarkStart w:id="18" w:name="_Toc38985265"/>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(2)上一年度的财务状况报告（</w:t>
      </w:r>
      <w:r>
        <w:rPr>
          <w:rFonts w:hint="eastAsia" w:ascii="宋体" w:hAnsi="宋体" w:cs="宋体"/>
          <w:bCs/>
          <w:sz w:val="24"/>
          <w:szCs w:val="24"/>
        </w:rPr>
        <w:t xml:space="preserve">提供参加本次开标前的会计报表，必须含资产负债表、利润表等证明材料，成立不满一年不需提供</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jc w:val="left"/>
        <w:spacing w:line="560" w:lineRule="exact"/>
        <w:rPr>
          <w:rFonts w:ascii="宋体" w:hAnsi="宋体"/>
          <w:sz w:val="24"/>
          <w:szCs w:val="24"/>
        </w:rPr>
      </w:pPr>
      <w:r>
        <w:rPr>
          <w:rFonts w:hint="eastAsia" w:ascii="宋体" w:hAnsi="宋体"/>
          <w:sz w:val="24"/>
          <w:szCs w:val="24"/>
        </w:rPr>
        <w:t xml:space="preserve">2.落实政府采购政策需满足的资格要求：本项目为</w:t>
      </w:r>
      <w:r>
        <w:rPr>
          <w:rFonts w:hint="eastAsia" w:ascii="宋体" w:hAnsi="宋体"/>
          <w:sz w:val="24"/>
          <w:szCs w:val="24"/>
          <w:lang w:val="en-US" w:eastAsia="zh-CN"/>
        </w:rPr>
        <w:t xml:space="preserve">非</w:t>
      </w:r>
      <w:r>
        <w:rPr>
          <w:rFonts w:hint="eastAsia" w:ascii="宋体" w:hAnsi="宋体"/>
          <w:sz w:val="24"/>
          <w:szCs w:val="24"/>
        </w:rPr>
        <w:t xml:space="preserve">专门面向中小微企业采购项目。</w:t>
      </w:r>
      <w:r/>
    </w:p>
    <w:p>
      <w:pPr>
        <w:ind w:firstLine="480"/>
        <w:spacing w:line="560" w:lineRule="exact"/>
        <w:rPr>
          <w:rFonts w:ascii="宋体" w:hAnsi="宋体"/>
          <w:sz w:val="24"/>
          <w:szCs w:val="24"/>
          <w:highlight w:val="none"/>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w:t>
      </w:r>
      <w:r>
        <w:rPr>
          <w:rFonts w:hint="eastAsia" w:ascii="宋体" w:hAnsi="宋体"/>
          <w:sz w:val="24"/>
          <w:szCs w:val="24"/>
          <w:highlight w:val="none"/>
        </w:rPr>
        <w:t xml:space="preserve">活动。</w:t>
      </w:r>
      <w:r>
        <w:rPr>
          <w:rFonts w:hint="eastAsia" w:ascii="宋体" w:hAnsi="宋体"/>
          <w:b/>
          <w:color w:val="ff0000"/>
          <w:sz w:val="24"/>
          <w:szCs w:val="24"/>
          <w:highlight w:val="none"/>
        </w:rPr>
        <w:t xml:space="preserve">（提供承诺函，格式详见附件）</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4.本项目接受联合体投标</w:t>
      </w:r>
      <w:r>
        <w:rPr>
          <w:rFonts w:hint="eastAsia" w:ascii="宋体" w:hAnsi="宋体"/>
          <w:sz w:val="24"/>
          <w:szCs w:val="24"/>
          <w:highlight w:val="none"/>
          <w:lang w:eastAsia="zh-CN"/>
        </w:rPr>
        <w:t xml:space="preserve">。</w:t>
      </w:r>
      <w:r/>
    </w:p>
    <w:p>
      <w:pPr>
        <w:ind w:firstLine="480"/>
        <w:spacing w:line="560" w:lineRule="exact"/>
        <w:rPr>
          <w:rFonts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sz w:val="24"/>
          <w:szCs w:val="24"/>
        </w:rPr>
      </w:pPr>
      <w:r>
        <w:rPr>
          <w:rFonts w:hint="eastAsia" w:ascii="宋体" w:hAnsi="宋体"/>
          <w:sz w:val="24"/>
          <w:szCs w:val="24"/>
        </w:rPr>
        <w:t xml:space="preserve">6.本项目不接受分包。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ascii="宋体" w:hAnsi="宋体"/>
          <w:sz w:val="24"/>
          <w:szCs w:val="24"/>
        </w:rPr>
      </w:pPr>
      <w:r>
        <w:rPr>
          <w:rFonts w:hint="eastAsia" w:ascii="宋体" w:hAnsi="宋体"/>
          <w:sz w:val="24"/>
          <w:szCs w:val="24"/>
        </w:rPr>
        <w:t xml:space="preserve">无</w:t>
      </w:r>
      <w:r/>
    </w:p>
    <w:p>
      <w:pPr>
        <w:pStyle w:val="867"/>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28</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日（提供期限自本公告发布之日起不得少于5个工作日）。</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67"/>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67"/>
        <w:ind w:firstLine="498"/>
        <w:spacing w:before="0" w:after="0" w:line="560" w:lineRule="exact"/>
      </w:pPr>
      <w:r/>
      <w:bookmarkStart w:id="27" w:name="_Toc38985267"/>
      <w:r/>
      <w:bookmarkStart w:id="28" w:name="_Toc28359084"/>
      <w:r/>
      <w:bookmarkStart w:id="29" w:name="_Toc28359007"/>
      <w:r/>
      <w:bookmarkStart w:id="30" w:name="_Toc35393794"/>
      <w:r/>
      <w:bookmarkStart w:id="31" w:name="_Toc35393625"/>
      <w:r>
        <w:rPr>
          <w:rFonts w:hint="eastAsia"/>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67"/>
        <w:ind w:firstLine="498"/>
        <w:spacing w:before="0" w:after="0" w:line="560" w:lineRule="exact"/>
      </w:pPr>
      <w:r>
        <w:rPr>
          <w:rFonts w:hint="eastAsia"/>
        </w:rPr>
        <w:t xml:space="preserve">六、其他补充事宜</w:t>
      </w:r>
      <w:bookmarkEnd w:id="32"/>
      <w:r/>
      <w:bookmarkEnd w:id="33"/>
      <w:r/>
      <w:bookmarkEnd w:id="34"/>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hint="eastAsia" w:ascii="宋体" w:hAnsi="宋体" w:eastAsia="宋体" w:cs="宋体"/>
          <w:sz w:val="24"/>
          <w:szCs w:val="24"/>
          <w:lang w:eastAsia="zh-CN"/>
        </w:rPr>
      </w:pPr>
      <w:r>
        <w:rPr>
          <w:rFonts w:hint="eastAsia" w:ascii="宋体" w:hAnsi="宋体" w:cs="宋体"/>
          <w:sz w:val="24"/>
          <w:szCs w:val="24"/>
        </w:rPr>
        <w:t xml:space="preserve">3.项目演示、样品、答辩等（如有请描述）：</w:t>
      </w:r>
      <w:r>
        <w:rPr>
          <w:rFonts w:hint="eastAsia" w:ascii="宋体" w:hAnsi="宋体" w:cs="宋体"/>
          <w:sz w:val="24"/>
          <w:szCs w:val="24"/>
          <w:lang w:val="en-US" w:eastAsia="zh-CN"/>
        </w:rPr>
        <w:t xml:space="preserve">无</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p>
    <w:p>
      <w:pPr>
        <w:pStyle w:val="867"/>
        <w:ind w:firstLine="498"/>
        <w:spacing w:before="0" w:after="0" w:line="560" w:lineRule="exact"/>
      </w:pPr>
      <w:r/>
      <w:bookmarkStart w:id="35" w:name="_Toc35393796"/>
      <w:r/>
      <w:bookmarkStart w:id="36" w:name="_Toc38985269"/>
      <w:r/>
      <w:bookmarkStart w:id="37" w:name="_Toc28359008"/>
      <w:r/>
      <w:bookmarkStart w:id="38" w:name="_Toc35393627"/>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称：海安市应急管理局</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址：海安市长江中路106号</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w:t>
      </w:r>
      <w:r>
        <w:rPr>
          <w:rFonts w:hint="eastAsia" w:ascii="宋体" w:hAnsi="宋体"/>
          <w:color w:val="000000"/>
          <w:sz w:val="24"/>
          <w:szCs w:val="24"/>
          <w:lang w:val="en-US" w:eastAsia="zh-CN"/>
        </w:rPr>
        <w:t xml:space="preserve">薛永明</w:t>
      </w:r>
      <w:r>
        <w:rPr>
          <w:rFonts w:hint="eastAsia"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lang w:val="en-US" w:eastAsia="zh-CN"/>
        </w:rPr>
        <w:t xml:space="preserve">15851283512</w:t>
      </w:r>
      <w:r/>
    </w:p>
    <w:p>
      <w:pPr>
        <w:numPr>
          <w:ilvl w:val="0"/>
          <w:numId w:val="5"/>
        </w:numPr>
        <w:ind w:left="1079" w:hanging="300"/>
        <w:jc w:val="left"/>
        <w:spacing w:line="560" w:lineRule="exact"/>
        <w:rPr>
          <w:rFonts w:ascii="宋体" w:hAnsi="宋体" w:cs="宋体"/>
          <w:sz w:val="24"/>
          <w:szCs w:val="24"/>
        </w:rPr>
      </w:pPr>
      <w:r/>
      <w:bookmarkStart w:id="40" w:name="_Toc28359087"/>
      <w:r/>
      <w:bookmarkStart w:id="41" w:name="_Toc28359010"/>
      <w:r>
        <w:rPr>
          <w:rFonts w:hint="eastAsia" w:ascii="宋体" w:hAnsi="宋体" w:cs="宋体"/>
          <w:sz w:val="24"/>
          <w:szCs w:val="24"/>
        </w:rPr>
        <w:t xml:space="preserve">采购代理机构信息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cs="宋体"/>
          <w:spacing w:val="7"/>
          <w:sz w:val="24"/>
        </w:rPr>
        <w:t xml:space="preserve">江苏海审工程咨询有限公司</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址：海安市长江中路122号</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人：徐迪徇</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s="宋体"/>
          <w:spacing w:val="7"/>
          <w:sz w:val="24"/>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w:t>
      </w:r>
      <w:r>
        <w:rPr>
          <w:rFonts w:hint="eastAsia" w:ascii="宋体" w:hAnsi="宋体" w:cs="宋体"/>
          <w:spacing w:val="7"/>
          <w:sz w:val="24"/>
        </w:rPr>
        <w:t xml:space="preserve">0513-81813576</w:t>
      </w:r>
      <w:r>
        <w:rPr>
          <w:rFonts w:hint="eastAsia" w:ascii="宋体" w:hAnsi="宋体"/>
          <w:sz w:val="24"/>
          <w:szCs w:val="24"/>
        </w:rPr>
        <w:t xml:space="preserve"> </w:t>
      </w:r>
      <w:r/>
    </w:p>
    <w:p>
      <w:pPr>
        <w:ind w:firstLine="720"/>
        <w:spacing w:line="560" w:lineRule="exact"/>
        <w:rPr>
          <w:rFonts w:ascii="宋体" w:hAnsi="宋体"/>
          <w:sz w:val="24"/>
          <w:szCs w:val="24"/>
        </w:rPr>
      </w:pPr>
      <w:r>
        <w:rPr>
          <w:rFonts w:hint="eastAsia" w:ascii="宋体" w:hAnsi="宋体"/>
          <w:sz w:val="24"/>
          <w:szCs w:val="24"/>
        </w:rPr>
        <w:t xml:space="preserve">项目开标人：</w:t>
      </w:r>
      <w:r>
        <w:rPr>
          <w:rFonts w:hint="eastAsia" w:ascii="宋体" w:hAnsi="宋体" w:cs="宋体"/>
          <w:spacing w:val="7"/>
          <w:sz w:val="24"/>
        </w:rPr>
        <w:t xml:space="preserve">0513-81813576</w:t>
      </w:r>
      <w:r>
        <w:rPr>
          <w:rFonts w:hint="eastAsia" w:ascii="宋体" w:hAnsi="宋体"/>
          <w:sz w:val="24"/>
          <w:szCs w:val="24"/>
        </w:rPr>
        <w:t xml:space="preserve">  </w:t>
      </w:r>
      <w:bookmarkEnd w:id="40"/>
      <w:r/>
      <w:bookmarkEnd w:id="41"/>
      <w:r/>
      <w:r/>
    </w:p>
    <w:p>
      <w:pPr>
        <w:ind w:firstLine="720"/>
        <w:spacing w:line="560" w:lineRule="exact"/>
        <w:rPr>
          <w:rFonts w:ascii="宋体" w:hAnsi="宋体"/>
          <w:sz w:val="24"/>
          <w:szCs w:val="24"/>
        </w:rPr>
      </w:pPr>
      <w:r/>
      <w:bookmarkStart w:id="42" w:name="_Toc120614211"/>
      <w:r>
        <w:rPr>
          <w:rFonts w:hint="eastAsia" w:ascii="宋体" w:hAnsi="宋体"/>
          <w:sz w:val="24"/>
          <w:szCs w:val="24"/>
        </w:rPr>
        <w:t xml:space="preserve">交易系统软件维护人员：0519-86722801、0513-59001950</w:t>
      </w:r>
      <w:r/>
    </w:p>
    <w:p>
      <w:pPr>
        <w:spacing w:line="560" w:lineRule="exact"/>
        <w:rPr>
          <w:rFonts w:ascii="宋体" w:hAnsi="宋体"/>
          <w:sz w:val="24"/>
          <w:szCs w:val="24"/>
        </w:rPr>
      </w:pPr>
      <w:r>
        <w:rPr>
          <w:rFonts w:ascii="宋体" w:hAnsi="宋体"/>
          <w:sz w:val="24"/>
          <w:szCs w:val="24"/>
        </w:rPr>
      </w:r>
      <w:r/>
    </w:p>
    <w:p>
      <w:pPr>
        <w:pStyle w:val="866"/>
        <w:jc w:val="both"/>
        <w:spacing w:before="0" w:after="0" w:line="520" w:lineRule="exact"/>
        <w:rPr>
          <w:rFonts w:ascii="黑体" w:eastAsia="黑体"/>
          <w:b w:val="0"/>
          <w:bCs w:val="0"/>
        </w:rPr>
      </w:pPr>
      <w:r>
        <w:rPr>
          <w:rFonts w:ascii="黑体" w:eastAsia="黑体"/>
        </w:rPr>
        <w:br w:type="page" w:clear="all"/>
      </w:r>
      <w:r>
        <w:rPr>
          <w:rFonts w:hint="eastAsia" w:ascii="黑体" w:eastAsia="黑体"/>
        </w:rPr>
        <w:t xml:space="preserve">          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eastAsia="黑体"/>
        </w:rPr>
        <w:t xml:space="preserve">投标人须知</w:t>
      </w:r>
      <w:bookmarkEnd w:id="43"/>
      <w:r/>
      <w:bookmarkEnd w:id="44"/>
      <w:r/>
      <w:bookmarkEnd w:id="45"/>
      <w:r/>
      <w:bookmarkEnd w:id="46"/>
      <w:r/>
      <w:r/>
    </w:p>
    <w:p>
      <w:pPr>
        <w:pStyle w:val="867"/>
        <w:ind w:firstLine="498"/>
        <w:spacing w:before="0" w:after="0" w:line="520" w:lineRule="exact"/>
      </w:pPr>
      <w:r/>
      <w:bookmarkStart w:id="47" w:name="_Toc120614214"/>
      <w:r/>
      <w:bookmarkStart w:id="48" w:name="_Toc16938519"/>
      <w:r/>
      <w:bookmarkStart w:id="49" w:name="_Toc20823275"/>
      <w:r/>
      <w:bookmarkStart w:id="50" w:name="_Toc513029203"/>
      <w:r>
        <w:rPr>
          <w:rFonts w:hint="eastAsia"/>
        </w:rPr>
        <w:t xml:space="preserve">一、总则</w:t>
      </w:r>
      <w:bookmarkEnd w:id="47"/>
      <w:r/>
      <w:bookmarkEnd w:id="48"/>
      <w:r/>
      <w:bookmarkEnd w:id="49"/>
      <w:r/>
      <w:bookmarkEnd w:id="50"/>
      <w:r/>
      <w:r/>
    </w:p>
    <w:p>
      <w:pPr>
        <w:pStyle w:val="868"/>
        <w:ind w:firstLine="420"/>
        <w:spacing w:before="0" w:after="0" w:line="520" w:lineRule="exact"/>
        <w:rPr>
          <w:b w:val="0"/>
          <w:bCs w:val="0"/>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68"/>
        <w:ind w:firstLine="420"/>
        <w:spacing w:before="0" w:after="0" w:line="520" w:lineRule="exact"/>
        <w:rPr>
          <w:b w:val="0"/>
          <w:bCs w:val="0"/>
        </w:rPr>
      </w:pPr>
      <w:r/>
      <w:bookmarkStart w:id="56" w:name="_Toc20823277"/>
      <w:r/>
      <w:bookmarkStart w:id="57" w:name="_Toc16938521"/>
      <w:r/>
      <w:bookmarkStart w:id="58" w:name="_Toc513029205"/>
      <w:r>
        <w:rPr>
          <w:rFonts w:hint="eastAsia"/>
          <w:b w:val="0"/>
          <w:bCs w:val="0"/>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68"/>
        <w:ind w:firstLine="420"/>
        <w:spacing w:before="0" w:after="0" w:line="520" w:lineRule="exact"/>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20"/>
        <w:spacing w:line="52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868"/>
        <w:ind w:firstLine="420"/>
        <w:spacing w:before="0" w:after="0" w:line="520" w:lineRule="exact"/>
        <w:rPr>
          <w:b w:val="0"/>
          <w:bCs w:val="0"/>
        </w:rPr>
      </w:pPr>
      <w:r/>
      <w:bookmarkStart w:id="62" w:name="_Toc513029207"/>
      <w:r/>
      <w:bookmarkStart w:id="63" w:name="_Toc462564067"/>
      <w:r/>
      <w:bookmarkStart w:id="64" w:name="_Toc16938523"/>
      <w:r/>
      <w:bookmarkStart w:id="65" w:name="_Toc20823279"/>
      <w:r>
        <w:rPr>
          <w:rFonts w:hint="eastAsia"/>
          <w:b w:val="0"/>
          <w:bCs w:val="0"/>
        </w:rPr>
        <w:t xml:space="preserve">4.投标费用</w:t>
      </w:r>
      <w:bookmarkEnd w:id="62"/>
      <w:r/>
      <w:bookmarkEnd w:id="63"/>
      <w:r/>
      <w:bookmarkEnd w:id="64"/>
      <w:r/>
      <w:bookmarkEnd w:id="65"/>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投标人应自行承担所有与参加投标有关的费用，无论投标过程中的做法和结果如何，采购人和采购代理机构在任何情况下均无义务和责任承担这些费用。</w:t>
      </w:r>
      <w:r/>
    </w:p>
    <w:p>
      <w:pPr>
        <w:pStyle w:val="868"/>
        <w:ind w:firstLine="355"/>
        <w:spacing w:before="0" w:after="0" w:line="520" w:lineRule="exact"/>
        <w:rPr>
          <w:rFonts w:ascii="宋体" w:hAnsi="宋体"/>
          <w:b w:val="0"/>
          <w:bCs w:val="0"/>
          <w:sz w:val="24"/>
        </w:rPr>
      </w:pPr>
      <w:r>
        <w:rPr>
          <w:rFonts w:hint="eastAsia" w:ascii="宋体" w:hAnsi="宋体" w:eastAsia="宋体" w:cs="宋体"/>
          <w:b w:val="0"/>
          <w:bCs w:val="0"/>
          <w:sz w:val="24"/>
        </w:rPr>
        <w:t xml:space="preserve">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 xml:space="preserve">6</w:t>
      </w:r>
      <w:r>
        <w:rPr>
          <w:rFonts w:hint="eastAsia" w:ascii="宋体" w:hAnsi="宋体" w:eastAsia="宋体" w:cs="宋体"/>
          <w:b w:val="0"/>
          <w:bCs w:val="0"/>
          <w:sz w:val="24"/>
        </w:rPr>
        <w:t xml:space="preserve">0%收取，按差额定率分档累进法计算，以中标价为计算基数，此费用由供应商综合考虑在投标报价中，由成交供应商在签订合同前支付</w:t>
      </w:r>
      <w:r>
        <w:rPr>
          <w:rFonts w:hint="eastAsia" w:ascii="宋体" w:hAnsi="宋体"/>
          <w:b w:val="0"/>
          <w:bCs w:val="0"/>
          <w:sz w:val="24"/>
        </w:rPr>
        <w:t xml:space="preserve">。</w:t>
      </w:r>
      <w:r/>
    </w:p>
    <w:p>
      <w:pPr>
        <w:pStyle w:val="868"/>
        <w:ind w:firstLine="446"/>
        <w:spacing w:before="0" w:after="0" w:line="52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7"/>
        <w:ind w:firstLine="321"/>
        <w:spacing w:before="0" w:after="0" w:line="520" w:lineRule="exact"/>
      </w:pPr>
      <w:r/>
      <w:bookmarkStart w:id="66" w:name="_Toc16938525"/>
      <w:r/>
      <w:bookmarkStart w:id="67" w:name="_Toc120614215"/>
      <w:r/>
      <w:bookmarkStart w:id="68" w:name="_Toc20823281"/>
      <w:r/>
      <w:bookmarkStart w:id="69" w:name="_Toc513029209"/>
      <w:r>
        <w:rPr>
          <w:rFonts w:hint="eastAsia"/>
        </w:rPr>
        <w:t xml:space="preserve">二、招标文件</w:t>
      </w:r>
      <w:bookmarkEnd w:id="66"/>
      <w:r/>
      <w:bookmarkEnd w:id="67"/>
      <w:r/>
      <w:bookmarkEnd w:id="68"/>
      <w:r/>
      <w:bookmarkEnd w:id="69"/>
      <w:r/>
      <w:r/>
    </w:p>
    <w:p>
      <w:pPr>
        <w:pStyle w:val="868"/>
        <w:ind w:firstLine="420"/>
        <w:spacing w:before="0" w:after="0" w:line="520" w:lineRule="exact"/>
        <w:rPr>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（3）采购需求</w:t>
      </w:r>
      <w:r/>
    </w:p>
    <w:p>
      <w:pPr>
        <w:ind w:firstLine="360"/>
        <w:spacing w:line="520" w:lineRule="exact"/>
        <w:rPr>
          <w:sz w:val="24"/>
          <w:szCs w:val="24"/>
        </w:rPr>
      </w:pPr>
      <w:r>
        <w:rPr>
          <w:rFonts w:hint="eastAsia" w:ascii="宋体" w:hAnsi="宋体"/>
          <w:sz w:val="24"/>
          <w:szCs w:val="24"/>
        </w:rPr>
        <w:t xml:space="preserve">（4）</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（5）投标文件格式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请仔细检查招标文件是否齐全，如有缺漏请立即与采购人或采购代理机构联系解决。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8"/>
        <w:ind w:firstLine="560"/>
        <w:spacing w:before="0" w:after="0" w:line="520" w:lineRule="exact"/>
        <w:rPr>
          <w:b w:val="0"/>
          <w:bCs w:val="0"/>
        </w:rPr>
      </w:pPr>
      <w:r/>
      <w:bookmarkStart w:id="73" w:name="_Toc462564070"/>
      <w:r/>
      <w:bookmarkStart w:id="74" w:name="_Toc16938527"/>
      <w:r/>
      <w:bookmarkStart w:id="75" w:name="_Toc513029211"/>
      <w:r/>
      <w:bookmarkStart w:id="76" w:name="_Toc20823283"/>
      <w:r>
        <w:rPr>
          <w:rFonts w:hint="eastAsia"/>
          <w:b w:val="0"/>
          <w:bCs w:val="0"/>
        </w:rPr>
        <w:t xml:space="preserve">7.招标文件的澄清</w:t>
      </w:r>
      <w:bookmarkEnd w:id="73"/>
      <w:r/>
      <w:bookmarkEnd w:id="74"/>
      <w:r/>
      <w:bookmarkEnd w:id="75"/>
      <w:r/>
      <w:bookmarkEnd w:id="76"/>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p>
    <w:p>
      <w:pPr>
        <w:ind w:firstLine="480"/>
        <w:spacing w:line="520" w:lineRule="exact"/>
        <w:rPr>
          <w:rFonts w:ascii="宋体" w:hAnsi="宋体"/>
          <w:sz w:val="24"/>
          <w:szCs w:val="24"/>
        </w:rPr>
      </w:pPr>
      <w:r>
        <w:rPr>
          <w:rFonts w:hint="eastAsia" w:ascii="宋体" w:hAnsi="宋体"/>
          <w:sz w:val="24"/>
        </w:rPr>
        <w:t xml:space="preserve">7.2采购人视情组织答疑会。</w:t>
      </w:r>
      <w:r/>
    </w:p>
    <w:p>
      <w:pPr>
        <w:pStyle w:val="868"/>
        <w:ind w:firstLine="560"/>
        <w:spacing w:before="0" w:after="0" w:line="520" w:lineRule="exact"/>
        <w:rPr>
          <w:b w:val="0"/>
          <w:bCs w:val="0"/>
        </w:rPr>
      </w:pPr>
      <w:r/>
      <w:bookmarkStart w:id="77" w:name="_Toc20823284"/>
      <w:r/>
      <w:bookmarkStart w:id="78" w:name="_Toc16938528"/>
      <w:r/>
      <w:bookmarkStart w:id="79" w:name="_Toc513029212"/>
      <w:r/>
      <w:bookmarkStart w:id="80" w:name="_Toc462564071"/>
      <w:r>
        <w:rPr>
          <w:rFonts w:hint="eastAsia"/>
          <w:b w:val="0"/>
          <w:bCs w:val="0"/>
        </w:rPr>
        <w:t xml:space="preserve">8.招标文件的修改</w:t>
      </w:r>
      <w:bookmarkEnd w:id="77"/>
      <w:r/>
      <w:bookmarkEnd w:id="78"/>
      <w:r/>
      <w:bookmarkEnd w:id="79"/>
      <w:r/>
      <w:bookmarkEnd w:id="80"/>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7"/>
        <w:ind w:firstLine="482"/>
        <w:spacing w:before="0" w:after="0" w:line="520" w:lineRule="exact"/>
      </w:pPr>
      <w:r/>
      <w:bookmarkStart w:id="81" w:name="_Toc16938529"/>
      <w:r/>
      <w:bookmarkStart w:id="82" w:name="_Toc513029213"/>
      <w:r/>
      <w:bookmarkStart w:id="83" w:name="_Toc120614216"/>
      <w:r/>
      <w:bookmarkStart w:id="84" w:name="_Toc20823285"/>
      <w:r/>
      <w:bookmarkStart w:id="85" w:name="_Toc462564072"/>
      <w:r>
        <w:rPr>
          <w:rFonts w:hint="eastAsia"/>
        </w:rPr>
        <w:t xml:space="preserve">三、投标文件的编制</w:t>
      </w:r>
      <w:bookmarkEnd w:id="81"/>
      <w:r/>
      <w:bookmarkEnd w:id="82"/>
      <w:r/>
      <w:bookmarkEnd w:id="83"/>
      <w:r/>
      <w:bookmarkEnd w:id="84"/>
      <w:r/>
      <w:bookmarkEnd w:id="85"/>
      <w:r/>
      <w:r/>
    </w:p>
    <w:p>
      <w:pPr>
        <w:pStyle w:val="868"/>
        <w:ind w:firstLine="560"/>
        <w:spacing w:before="0" w:after="0" w:line="520" w:lineRule="exact"/>
        <w:rPr>
          <w:bCs w:val="0"/>
        </w:rPr>
      </w:pPr>
      <w:r/>
      <w:bookmarkStart w:id="86" w:name="_Toc462564073"/>
      <w:r/>
      <w:bookmarkStart w:id="87" w:name="_Toc20823286"/>
      <w:r/>
      <w:bookmarkStart w:id="88" w:name="_Toc16938530"/>
      <w:r/>
      <w:bookmarkStart w:id="89" w:name="_Toc513029214"/>
      <w:r>
        <w:rPr>
          <w:rFonts w:hint="eastAsia"/>
          <w:b w:val="0"/>
          <w:bCs w:val="0"/>
        </w:rPr>
        <w:t xml:space="preserve">9.投标文件的语言及度量衡单位</w:t>
      </w:r>
      <w:bookmarkEnd w:id="86"/>
      <w:r/>
      <w:bookmarkEnd w:id="87"/>
      <w:r/>
      <w:bookmarkEnd w:id="88"/>
      <w:r/>
      <w:bookmarkEnd w:id="89"/>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68"/>
        <w:ind w:firstLine="420"/>
        <w:spacing w:before="0" w:after="0" w:line="520" w:lineRule="exact"/>
        <w:rPr>
          <w:b w:val="0"/>
          <w:bCs w:val="0"/>
        </w:rPr>
      </w:pPr>
      <w:r/>
      <w:bookmarkStart w:id="90" w:name="_Toc20823287"/>
      <w:r/>
      <w:bookmarkStart w:id="91" w:name="_Toc462564074"/>
      <w:r/>
      <w:bookmarkStart w:id="92" w:name="_Toc513029215"/>
      <w:r/>
      <w:bookmarkStart w:id="93" w:name="_Toc16938531"/>
      <w:r>
        <w:rPr>
          <w:rFonts w:hint="eastAsia"/>
          <w:b w:val="0"/>
          <w:bCs w:val="0"/>
        </w:rPr>
        <w:t xml:space="preserve">10.投标文件构成</w:t>
      </w:r>
      <w:bookmarkEnd w:id="90"/>
      <w:r/>
      <w:bookmarkEnd w:id="91"/>
      <w:r/>
      <w:bookmarkEnd w:id="92"/>
      <w:r/>
      <w:bookmarkEnd w:id="93"/>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68"/>
        <w:ind w:firstLine="420"/>
        <w:spacing w:before="0" w:after="0" w:line="520" w:lineRule="exact"/>
        <w:rPr>
          <w:b w:val="0"/>
          <w:bCs w:val="0"/>
        </w:rPr>
      </w:pPr>
      <w:r/>
      <w:bookmarkStart w:id="94" w:name="_Hlt26670360"/>
      <w:r/>
      <w:bookmarkEnd w:id="94"/>
      <w:r/>
      <w:bookmarkStart w:id="95" w:name="_Hlt26954838"/>
      <w:r/>
      <w:bookmarkEnd w:id="95"/>
      <w:r/>
      <w:bookmarkStart w:id="96" w:name="_Hlt26668975"/>
      <w:r/>
      <w:bookmarkEnd w:id="96"/>
      <w:r/>
      <w:bookmarkStart w:id="97" w:name="_Toc14577354"/>
      <w:r/>
      <w:bookmarkStart w:id="98" w:name="_Toc49090507"/>
      <w:r/>
      <w:bookmarkStart w:id="99" w:name="_Toc513029216"/>
      <w:r/>
      <w:bookmarkStart w:id="100" w:name="_Toc49090509"/>
      <w:r/>
      <w:bookmarkStart w:id="101" w:name="_Toc14577357"/>
      <w:r/>
      <w:bookmarkStart w:id="102" w:name="_Toc513029219"/>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8"/>
        <w:ind w:firstLine="420"/>
        <w:spacing w:before="0" w:after="0" w:line="520" w:lineRule="exact"/>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8"/>
        <w:ind w:firstLine="420"/>
        <w:spacing w:before="0" w:after="0" w:line="520" w:lineRule="exact"/>
        <w:rPr>
          <w:b w:val="0"/>
          <w:bCs w:val="0"/>
        </w:rPr>
      </w:pPr>
      <w:r/>
      <w:bookmarkStart w:id="108" w:name="_Hlt26668983"/>
      <w:r/>
      <w:bookmarkEnd w:id="108"/>
      <w:r/>
      <w:bookmarkStart w:id="109" w:name="_Hlt26954846"/>
      <w:r/>
      <w:bookmarkEnd w:id="109"/>
      <w:r/>
      <w:bookmarkStart w:id="110" w:name="_Hlt26954842"/>
      <w:r/>
      <w:bookmarkEnd w:id="110"/>
      <w:r/>
      <w:bookmarkStart w:id="111" w:name="_Hlt26670425"/>
      <w:r/>
      <w:bookmarkEnd w:id="111"/>
      <w:r/>
      <w:bookmarkStart w:id="112" w:name="_Hlt26954731"/>
      <w:r/>
      <w:bookmarkEnd w:id="112"/>
      <w:r/>
      <w:bookmarkStart w:id="113" w:name="_Hlt26954844"/>
      <w:r/>
      <w:bookmarkEnd w:id="113"/>
      <w:r/>
      <w:bookmarkStart w:id="114" w:name="_Hlt26670486"/>
      <w:r/>
      <w:bookmarkEnd w:id="114"/>
      <w:r/>
      <w:bookmarkStart w:id="115" w:name="_Hlt26670482"/>
      <w:r/>
      <w:bookmarkEnd w:id="115"/>
      <w:r/>
      <w:bookmarkStart w:id="116" w:name="_Hlt26670403"/>
      <w:r/>
      <w:bookmarkEnd w:id="116"/>
      <w:r/>
      <w:bookmarkStart w:id="117" w:name="_Hlt26954848"/>
      <w:r/>
      <w:bookmarkEnd w:id="117"/>
      <w:r>
        <w:rPr>
          <w:rFonts w:hint="eastAsia"/>
          <w:b w:val="0"/>
          <w:bCs w:val="0"/>
        </w:rPr>
        <w:t xml:space="preserve">13.技术要求响应及偏离表、商务要求响应及偏离表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68"/>
        <w:ind w:firstLine="420"/>
        <w:spacing w:before="0" w:after="0" w:line="520" w:lineRule="exact"/>
        <w:rPr>
          <w:b w:val="0"/>
          <w:bCs w:val="0"/>
        </w:rPr>
      </w:pPr>
      <w:r/>
      <w:bookmarkStart w:id="118" w:name="_Toc14577359"/>
      <w:r/>
      <w:bookmarkStart w:id="119" w:name="_Toc49090510"/>
      <w:r>
        <w:rPr>
          <w:rFonts w:hint="eastAsia"/>
          <w:b w:val="0"/>
          <w:bCs w:val="0"/>
        </w:rPr>
        <w:t xml:space="preserve">14.投标函和开标一览表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68"/>
        <w:ind w:firstLine="420"/>
        <w:spacing w:before="0" w:after="0" w:line="520" w:lineRule="exact"/>
        <w:rPr>
          <w:b w:val="0"/>
          <w:bCs w:val="0"/>
        </w:rPr>
      </w:pPr>
      <w:r/>
      <w:bookmarkStart w:id="120" w:name="_Hlt26670489"/>
      <w:r/>
      <w:bookmarkEnd w:id="120"/>
      <w:r/>
      <w:bookmarkStart w:id="121" w:name="_Hlt26954850"/>
      <w:r/>
      <w:bookmarkEnd w:id="121"/>
      <w:r/>
      <w:bookmarkStart w:id="122" w:name="_Hlt26954734"/>
      <w:r/>
      <w:bookmarkEnd w:id="122"/>
      <w:r/>
      <w:bookmarkStart w:id="123" w:name="_Toc14577360"/>
      <w:r/>
      <w:bookmarkStart w:id="124" w:name="_Toc49090511"/>
      <w:r>
        <w:rPr>
          <w:rFonts w:hint="eastAsia"/>
          <w:b w:val="0"/>
          <w:bCs w:val="0"/>
        </w:rPr>
        <w:t xml:space="preserve">15.投标有效期</w:t>
      </w:r>
      <w:bookmarkEnd w:id="123"/>
      <w:r/>
      <w:bookmarkEnd w:id="124"/>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8"/>
        <w:ind w:firstLine="420"/>
        <w:spacing w:before="0" w:after="0" w:line="520" w:lineRule="exact"/>
        <w:rPr>
          <w:b w:val="0"/>
          <w:bCs w:val="0"/>
        </w:rPr>
      </w:pPr>
      <w:r>
        <w:rPr>
          <w:rFonts w:hint="eastAsia"/>
          <w:b w:val="0"/>
          <w:bCs w:val="0"/>
        </w:rPr>
        <w:t xml:space="preserve">16.投标有效期的延长</w:t>
      </w:r>
      <w:r/>
    </w:p>
    <w:p>
      <w:pPr>
        <w:ind w:firstLine="480"/>
        <w:spacing w:line="52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7"/>
        <w:spacing w:before="0" w:after="0" w:line="520" w:lineRule="exact"/>
      </w:pPr>
      <w:r/>
      <w:bookmarkStart w:id="125" w:name="_Hlt26954739"/>
      <w:r/>
      <w:bookmarkEnd w:id="125"/>
      <w:r/>
      <w:bookmarkStart w:id="126" w:name="_Hlt26954852"/>
      <w:r/>
      <w:bookmarkEnd w:id="126"/>
      <w:r/>
      <w:bookmarkStart w:id="127" w:name="_Toc20823296"/>
      <w:r/>
      <w:bookmarkStart w:id="128" w:name="_Toc16938540"/>
      <w:r/>
      <w:bookmarkStart w:id="129" w:name="_Toc513029224"/>
      <w:r/>
      <w:bookmarkStart w:id="130" w:name="_Toc120614217"/>
      <w:r>
        <w:rPr>
          <w:rFonts w:hint="eastAsia"/>
        </w:rPr>
        <w:t xml:space="preserve">四、投标文件的递交</w:t>
      </w:r>
      <w:bookmarkEnd w:id="127"/>
      <w:r/>
      <w:bookmarkEnd w:id="128"/>
      <w:r/>
      <w:bookmarkEnd w:id="129"/>
      <w:r/>
      <w:bookmarkEnd w:id="130"/>
      <w:r/>
      <w:r/>
    </w:p>
    <w:p>
      <w:pPr>
        <w:pStyle w:val="868"/>
        <w:ind w:firstLine="560"/>
        <w:spacing w:before="0" w:after="0" w:line="520" w:lineRule="exact"/>
        <w:rPr>
          <w:rFonts w:ascii="黑体"/>
          <w:b w:val="0"/>
          <w:bCs w:val="0"/>
        </w:rPr>
      </w:pPr>
      <w:r/>
      <w:bookmarkStart w:id="131" w:name="_Toc513029225"/>
      <w:r/>
      <w:bookmarkStart w:id="132" w:name="_Toc20823297"/>
      <w:r/>
      <w:bookmarkStart w:id="133" w:name="_Toc462564084"/>
      <w:r/>
      <w:bookmarkStart w:id="134" w:name="_Toc16938541"/>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2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7"/>
        <w:ind w:left="525"/>
        <w:spacing w:line="52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
    </w:p>
    <w:p>
      <w:pPr>
        <w:pStyle w:val="868"/>
        <w:ind w:firstLine="420"/>
        <w:spacing w:before="0" w:after="0" w:line="520" w:lineRule="exact"/>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2"/>
        <w:spacing w:line="520" w:lineRule="exact"/>
        <w:rPr>
          <w:rFonts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ind w:firstLine="480"/>
        <w:spacing w:line="52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p>
    <w:p>
      <w:pPr>
        <w:pStyle w:val="868"/>
        <w:ind w:firstLine="420"/>
        <w:spacing w:before="0" w:after="0" w:line="520" w:lineRule="exact"/>
        <w:rPr>
          <w:b w:val="0"/>
          <w:bCs w:val="0"/>
        </w:rPr>
      </w:pPr>
      <w:r/>
      <w:bookmarkStart w:id="138" w:name="_Toc513029227"/>
      <w:r/>
      <w:bookmarkStart w:id="139" w:name="_Toc20823299"/>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2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p>
    <w:p>
      <w:pPr>
        <w:pStyle w:val="868"/>
        <w:ind w:firstLine="420"/>
        <w:spacing w:before="0" w:after="0" w:line="520" w:lineRule="exact"/>
        <w:rPr>
          <w:b w:val="0"/>
          <w:bCs w:val="0"/>
        </w:rPr>
      </w:pPr>
      <w:r/>
      <w:bookmarkStart w:id="141" w:name="_Toc513029228"/>
      <w:r/>
      <w:bookmarkStart w:id="142" w:name="_Toc20823300"/>
      <w:r/>
      <w:bookmarkStart w:id="143" w:name="_Toc16938544"/>
      <w:r>
        <w:rPr>
          <w:rFonts w:hint="eastAsia"/>
          <w:b w:val="0"/>
          <w:bCs w:val="0"/>
        </w:rPr>
        <w:t xml:space="preserve">20.投标文件的撤回和修改</w:t>
      </w:r>
      <w:bookmarkEnd w:id="141"/>
      <w:r/>
      <w:bookmarkEnd w:id="142"/>
      <w:r/>
      <w:bookmarkEnd w:id="143"/>
      <w:r/>
      <w:r/>
    </w:p>
    <w:p>
      <w:pPr>
        <w:ind w:firstLine="480"/>
        <w:spacing w:line="520" w:lineRule="exact"/>
        <w:rPr>
          <w:rFonts w:ascii="宋体" w:hAnsi="宋体"/>
          <w:sz w:val="24"/>
        </w:rPr>
      </w:pPr>
      <w:r>
        <w:rPr>
          <w:rFonts w:hint="eastAsia" w:ascii="宋体" w:hAnsi="宋体"/>
          <w:sz w:val="24"/>
        </w:rPr>
        <w:t xml:space="preserve">20.1 投标文件的撤回</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 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520" w:lineRule="exact"/>
        <w:rPr>
          <w:rFonts w:ascii="宋体" w:hAnsi="宋体"/>
          <w:sz w:val="24"/>
          <w:szCs w:val="24"/>
        </w:rPr>
      </w:pPr>
      <w:r>
        <w:rPr>
          <w:rFonts w:hint="eastAsia" w:ascii="宋体" w:hAnsi="宋体"/>
          <w:sz w:val="24"/>
          <w:szCs w:val="24"/>
        </w:rPr>
        <w:t xml:space="preserve">20.2 投标文件的修改</w:t>
      </w:r>
      <w:r/>
    </w:p>
    <w:p>
      <w:pPr>
        <w:ind w:firstLine="480"/>
        <w:spacing w:line="52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2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2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7"/>
        <w:ind w:firstLine="482"/>
        <w:spacing w:before="0" w:after="0" w:line="520" w:lineRule="exact"/>
      </w:pPr>
      <w:r/>
      <w:bookmarkStart w:id="144" w:name="_Toc120614218"/>
      <w:r/>
      <w:bookmarkStart w:id="145" w:name="_Toc513029229"/>
      <w:r/>
      <w:bookmarkStart w:id="146" w:name="_Toc16938545"/>
      <w:r/>
      <w:bookmarkStart w:id="147" w:name="_Toc20823301"/>
      <w:r>
        <w:rPr>
          <w:rFonts w:hint="eastAsia"/>
        </w:rPr>
        <w:t xml:space="preserve">五、开标与评标</w:t>
      </w:r>
      <w:bookmarkEnd w:id="144"/>
      <w:r/>
      <w:bookmarkEnd w:id="145"/>
      <w:r/>
      <w:bookmarkEnd w:id="146"/>
      <w:r/>
      <w:bookmarkEnd w:id="147"/>
      <w:r/>
      <w:r/>
    </w:p>
    <w:p>
      <w:pPr>
        <w:pStyle w:val="868"/>
        <w:ind w:firstLine="420"/>
        <w:spacing w:before="0" w:after="0" w:line="520" w:lineRule="exact"/>
        <w:rPr>
          <w:b w:val="0"/>
          <w:bCs w:val="0"/>
        </w:rPr>
      </w:pPr>
      <w:r/>
      <w:bookmarkStart w:id="148" w:name="_Toc513029230"/>
      <w:r/>
      <w:bookmarkStart w:id="149" w:name="_Toc20823302"/>
      <w:r/>
      <w:bookmarkStart w:id="150" w:name="_Toc16938546"/>
      <w:r>
        <w:rPr>
          <w:rFonts w:hint="eastAsia"/>
          <w:b w:val="0"/>
          <w:bCs w:val="0"/>
        </w:rPr>
        <w:t xml:space="preserve">21.开标</w:t>
      </w:r>
      <w:bookmarkEnd w:id="148"/>
      <w:r/>
      <w:bookmarkEnd w:id="149"/>
      <w:r/>
      <w:bookmarkEnd w:id="150"/>
      <w:r/>
      <w:r/>
    </w:p>
    <w:p>
      <w:pPr>
        <w:ind w:firstLine="360"/>
        <w:spacing w:line="520" w:lineRule="exact"/>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52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2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pStyle w:val="868"/>
        <w:ind w:firstLine="420"/>
        <w:spacing w:before="0" w:after="0" w:line="520" w:lineRule="exact"/>
        <w:rPr>
          <w:b w:val="0"/>
          <w:bCs w:val="0"/>
        </w:rPr>
      </w:pPr>
      <w:r/>
      <w:bookmarkStart w:id="151" w:name="_Toc513029231"/>
      <w:r/>
      <w:bookmarkStart w:id="152" w:name="_Toc16938547"/>
      <w:r/>
      <w:bookmarkStart w:id="153" w:name="_Toc20823303"/>
      <w:r>
        <w:rPr>
          <w:rFonts w:hint="eastAsia"/>
          <w:b w:val="0"/>
          <w:bCs w:val="0"/>
        </w:rPr>
        <w:t xml:space="preserve">22.评标委员会</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68"/>
        <w:ind w:firstLine="420"/>
        <w:spacing w:before="0" w:after="0" w:line="520" w:lineRule="exact"/>
        <w:rPr>
          <w:rFonts w:ascii="黑体"/>
          <w:b w:val="0"/>
          <w:bCs w:val="0"/>
        </w:rPr>
      </w:pPr>
      <w:r>
        <w:rPr>
          <w:rFonts w:hint="eastAsia" w:ascii="黑体"/>
          <w:b w:val="0"/>
          <w:bCs w:val="0"/>
        </w:rPr>
        <w:t xml:space="preserve">23.评标过程的保密与公正</w:t>
      </w:r>
      <w:bookmarkEnd w:id="151"/>
      <w:r/>
      <w:bookmarkEnd w:id="152"/>
      <w:r/>
      <w:bookmarkEnd w:id="153"/>
      <w:r/>
      <w:r/>
    </w:p>
    <w:p>
      <w:pPr>
        <w:ind w:firstLine="480"/>
        <w:spacing w:line="52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p>
    <w:p>
      <w:pPr>
        <w:ind w:firstLine="480"/>
        <w:spacing w:line="52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68"/>
        <w:ind w:firstLine="420"/>
        <w:spacing w:before="0" w:after="0" w:line="520" w:lineRule="exact"/>
        <w:rPr>
          <w:b w:val="0"/>
          <w:bCs w:val="0"/>
        </w:rPr>
      </w:pPr>
      <w:r/>
      <w:bookmarkStart w:id="154" w:name="_Toc513029232"/>
      <w:r/>
      <w:bookmarkStart w:id="155" w:name="_Toc20823304"/>
      <w:r/>
      <w:bookmarkStart w:id="156" w:name="_Toc16938548"/>
      <w:r>
        <w:rPr>
          <w:rFonts w:hint="eastAsia"/>
          <w:b w:val="0"/>
          <w:bCs w:val="0"/>
        </w:rPr>
        <w:t xml:space="preserve">24.投标文件的澄清</w:t>
      </w:r>
      <w:bookmarkEnd w:id="154"/>
      <w:r/>
      <w:bookmarkEnd w:id="155"/>
      <w:r/>
      <w:bookmarkEnd w:id="156"/>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2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68"/>
        <w:ind w:firstLine="420"/>
        <w:spacing w:before="0" w:after="0" w:line="520" w:lineRule="exact"/>
        <w:rPr>
          <w:b w:val="0"/>
          <w:bCs w:val="0"/>
        </w:rPr>
      </w:pPr>
      <w:r/>
      <w:bookmarkStart w:id="157" w:name="_Toc513029233"/>
      <w:r/>
      <w:bookmarkStart w:id="158" w:name="_Toc20823305"/>
      <w:r/>
      <w:bookmarkStart w:id="159" w:name="_Toc16938549"/>
      <w:r>
        <w:rPr>
          <w:rFonts w:hint="eastAsia"/>
          <w:b w:val="0"/>
          <w:bCs w:val="0"/>
        </w:rPr>
        <w:t xml:space="preserve">25.对投标文件的初审</w:t>
      </w:r>
      <w:bookmarkEnd w:id="157"/>
      <w:r/>
      <w:bookmarkEnd w:id="158"/>
      <w:r/>
      <w:bookmarkEnd w:id="159"/>
      <w:r/>
      <w:r/>
    </w:p>
    <w:p>
      <w:pPr>
        <w:ind w:firstLine="480"/>
        <w:spacing w:line="52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2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0" w:name="_Toc16938550"/>
      <w:r/>
      <w:bookmarkStart w:id="161" w:name="_Toc20823306"/>
      <w:r/>
      <w:bookmarkStart w:id="162" w:name="_Toc513029234"/>
      <w:r>
        <w:rPr>
          <w:rFonts w:hint="eastAsia" w:ascii="宋体" w:hAnsi="宋体"/>
          <w:sz w:val="24"/>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sz w:val="24"/>
        </w:rPr>
      </w:pPr>
      <w:r>
        <w:rPr>
          <w:rFonts w:hint="eastAsia" w:ascii="宋体" w:hAnsi="宋体"/>
          <w:sz w:val="24"/>
          <w:lang w:val="en-US" w:eastAsia="zh-CN"/>
        </w:rPr>
        <w:t xml:space="preserve">25.7</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p>
    <w:p>
      <w:pPr>
        <w:pStyle w:val="868"/>
        <w:ind w:firstLine="420"/>
        <w:spacing w:before="0" w:after="0" w:line="520" w:lineRule="exact"/>
        <w:rPr>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520" w:lineRule="exact"/>
        <w:rPr>
          <w:rFonts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26.1无效投标条款</w:t>
      </w:r>
      <w:r/>
    </w:p>
    <w:p>
      <w:pPr>
        <w:ind w:firstLine="480"/>
        <w:spacing w:line="52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52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52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52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52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520" w:lineRule="exact"/>
        <w:rPr>
          <w:rFonts w:ascii="宋体" w:hAnsi="宋体"/>
          <w:bCs/>
          <w:i/>
          <w:sz w:val="24"/>
          <w:u w:val="single"/>
        </w:rPr>
      </w:pPr>
      <w:r>
        <w:rPr>
          <w:rFonts w:hint="eastAsia" w:ascii="宋体" w:hAnsi="宋体"/>
          <w:bCs/>
          <w:sz w:val="24"/>
        </w:rPr>
        <w:t xml:space="preserve">26.1.6未通过符合性审查的。</w:t>
      </w:r>
      <w:r/>
    </w:p>
    <w:p>
      <w:pPr>
        <w:ind w:firstLine="360"/>
        <w:spacing w:line="520" w:lineRule="exact"/>
        <w:rPr>
          <w:rFonts w:ascii="宋体" w:hAnsi="宋体"/>
          <w:bCs/>
          <w:i/>
          <w:sz w:val="24"/>
          <w:u w:val="single"/>
        </w:rPr>
      </w:pPr>
      <w:r>
        <w:rPr>
          <w:rFonts w:hint="eastAsia" w:ascii="宋体" w:hAnsi="宋体"/>
          <w:bCs/>
          <w:sz w:val="24"/>
        </w:rPr>
        <w:t xml:space="preserve"> 26.1.7不符合招标文件中规定的实质性要求和条件的。</w:t>
      </w:r>
      <w:r/>
    </w:p>
    <w:p>
      <w:pPr>
        <w:ind w:firstLine="480"/>
        <w:spacing w:line="52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52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520" w:lineRule="exact"/>
        <w:rPr>
          <w:rFonts w:ascii="宋体" w:hAnsi="宋体"/>
          <w:bCs/>
          <w:sz w:val="24"/>
        </w:rPr>
      </w:pPr>
      <w:r>
        <w:rPr>
          <w:rFonts w:hint="eastAsia" w:ascii="宋体" w:hAnsi="宋体"/>
          <w:bCs/>
          <w:sz w:val="24"/>
        </w:rPr>
        <w:t xml:space="preserve">26.2废标条款</w:t>
      </w:r>
      <w:r/>
    </w:p>
    <w:p>
      <w:pPr>
        <w:ind w:left="479"/>
        <w:spacing w:line="52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rPr>
      </w:pPr>
      <w:r>
        <w:rPr>
          <w:rFonts w:hint="eastAsia" w:ascii="宋体" w:hAnsi="宋体"/>
          <w:bCs/>
          <w:sz w:val="24"/>
        </w:rPr>
        <w:t xml:space="preserve">26.2.3因重大变故，采购任务取消的。</w:t>
      </w:r>
      <w:r/>
    </w:p>
    <w:p>
      <w:pPr>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2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52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2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7"/>
        <w:ind w:firstLine="482"/>
        <w:spacing w:before="0" w:after="0" w:line="520" w:lineRule="exact"/>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68"/>
        <w:ind w:firstLine="600"/>
        <w:spacing w:before="0" w:after="0" w:line="520" w:lineRule="exact"/>
        <w:rPr>
          <w:rFonts w:ascii="黑体" w:hAnsi="宋体"/>
          <w:b w:val="0"/>
          <w:sz w:val="30"/>
          <w:szCs w:val="30"/>
        </w:rPr>
      </w:pPr>
      <w:r/>
      <w:bookmarkStart w:id="167" w:name="_Toc513029238"/>
      <w:r/>
      <w:bookmarkStart w:id="168" w:name="_Toc16938554"/>
      <w:r/>
      <w:bookmarkStart w:id="169" w:name="_Toc20823310"/>
      <w:r>
        <w:rPr>
          <w:rFonts w:hint="eastAsia" w:ascii="黑体" w:hAnsi="宋体"/>
          <w:b w:val="0"/>
          <w:sz w:val="30"/>
          <w:szCs w:val="30"/>
        </w:rPr>
        <w:t xml:space="preserve">27</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ind w:firstLine="480"/>
        <w:spacing w:line="520" w:lineRule="exact"/>
        <w:rPr>
          <w:rFonts w:ascii="宋体" w:hAnsi="宋体"/>
          <w:bCs/>
          <w:sz w:val="24"/>
        </w:rPr>
      </w:pPr>
      <w:r>
        <w:rPr>
          <w:rFonts w:hint="eastAsia" w:ascii="宋体" w:hAnsi="宋体"/>
          <w:bCs/>
          <w:sz w:val="24"/>
        </w:rPr>
        <w:t xml:space="preserve">27.1中标候选人的选取原则和数量见招标文件第四章规定。 </w:t>
      </w:r>
      <w:r/>
    </w:p>
    <w:p>
      <w:pPr>
        <w:ind w:firstLine="480"/>
        <w:spacing w:line="520" w:lineRule="exact"/>
        <w:rPr>
          <w:rFonts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p>
    <w:p>
      <w:pPr>
        <w:ind w:firstLine="480"/>
        <w:spacing w:line="520" w:lineRule="exact"/>
        <w:rPr>
          <w:rFonts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520" w:lineRule="exact"/>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52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2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2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2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2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2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p>
    <w:p>
      <w:pPr>
        <w:pStyle w:val="868"/>
        <w:ind w:firstLine="600"/>
        <w:spacing w:before="0" w:after="0" w:line="520" w:lineRule="exact"/>
        <w:rPr>
          <w:rFonts w:ascii="黑体" w:hAnsi="宋体"/>
          <w:b w:val="0"/>
          <w:sz w:val="30"/>
          <w:szCs w:val="30"/>
        </w:rPr>
      </w:pPr>
      <w:r>
        <w:rPr>
          <w:rFonts w:hint="eastAsia" w:ascii="黑体" w:hAnsi="宋体"/>
          <w:b w:val="0"/>
          <w:sz w:val="30"/>
          <w:szCs w:val="30"/>
        </w:rPr>
        <w:t xml:space="preserve">28.质疑处理</w:t>
      </w:r>
      <w:bookmarkEnd w:id="170"/>
      <w:r/>
      <w:r/>
    </w:p>
    <w:p>
      <w:pPr>
        <w:ind w:firstLine="480"/>
        <w:spacing w:line="52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52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2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2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p>
    <w:p>
      <w:pPr>
        <w:ind w:firstLine="480"/>
        <w:spacing w:line="560" w:lineRule="exact"/>
        <w:rPr>
          <w:rFonts w:ascii="宋体" w:hAnsi="宋体"/>
          <w:sz w:val="24"/>
          <w:szCs w:val="24"/>
        </w:rPr>
      </w:pPr>
      <w:r>
        <w:rPr>
          <w:rFonts w:hint="eastAsia" w:ascii="宋体" w:hAnsi="宋体"/>
          <w:sz w:val="24"/>
          <w:szCs w:val="24"/>
        </w:rPr>
        <w:t xml:space="preserve">采购人及采购代理机构质疑接收人及联系方式见本招标文件第一章。</w:t>
      </w:r>
      <w:r/>
    </w:p>
    <w:p>
      <w:pPr>
        <w:ind w:firstLine="480"/>
        <w:spacing w:line="52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2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2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2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2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52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2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8"/>
        <w:ind w:firstLine="600"/>
        <w:spacing w:before="0" w:after="0" w:line="520" w:lineRule="exact"/>
        <w:rPr>
          <w:rFonts w:ascii="黑体" w:hAnsi="宋体"/>
          <w:b w:val="0"/>
          <w:sz w:val="30"/>
          <w:szCs w:val="30"/>
        </w:rPr>
      </w:pPr>
      <w:r>
        <w:rPr>
          <w:rFonts w:hint="eastAsia" w:ascii="黑体" w:hAnsi="宋体"/>
          <w:b w:val="0"/>
          <w:sz w:val="30"/>
          <w:szCs w:val="30"/>
        </w:rPr>
        <w:t xml:space="preserve">29.中标通知书</w:t>
      </w:r>
      <w:r/>
    </w:p>
    <w:p>
      <w:pPr>
        <w:ind w:firstLine="600"/>
        <w:spacing w:line="52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7"/>
        <w:spacing w:before="0" w:after="0" w:line="520" w:lineRule="exact"/>
      </w:pPr>
      <w:r/>
      <w:bookmarkStart w:id="171" w:name="_Toc120614220"/>
      <w:r/>
      <w:bookmarkStart w:id="172" w:name="_Toc513029236"/>
      <w:r/>
      <w:bookmarkStart w:id="173" w:name="_Toc16938552"/>
      <w:r/>
      <w:bookmarkStart w:id="174" w:name="_Toc20823308"/>
      <w:r>
        <w:rPr>
          <w:rFonts w:hint="eastAsia"/>
        </w:rPr>
        <w:t xml:space="preserve">七、授予合同</w:t>
      </w:r>
      <w:bookmarkEnd w:id="171"/>
      <w:r/>
      <w:bookmarkEnd w:id="172"/>
      <w:r/>
      <w:bookmarkEnd w:id="173"/>
      <w:r/>
      <w:bookmarkEnd w:id="174"/>
      <w:r/>
      <w:r/>
    </w:p>
    <w:p>
      <w:pPr>
        <w:pStyle w:val="868"/>
        <w:ind w:firstLine="600"/>
        <w:spacing w:before="0" w:after="0" w:line="520" w:lineRule="exact"/>
        <w:rPr>
          <w:rFonts w:ascii="黑体" w:hAnsi="宋体"/>
          <w:b w:val="0"/>
          <w:sz w:val="30"/>
          <w:szCs w:val="30"/>
        </w:rPr>
      </w:pPr>
      <w:r/>
      <w:bookmarkStart w:id="175" w:name="_Toc20823309"/>
      <w:r/>
      <w:bookmarkStart w:id="176" w:name="_Toc16938553"/>
      <w:r/>
      <w:bookmarkStart w:id="177" w:name="_Toc513029237"/>
      <w:r>
        <w:rPr>
          <w:rFonts w:hint="eastAsia" w:ascii="黑体" w:hAnsi="宋体"/>
          <w:b w:val="0"/>
          <w:sz w:val="30"/>
          <w:szCs w:val="30"/>
        </w:rPr>
        <w:t xml:space="preserve">30. 签订合同</w:t>
      </w:r>
      <w:r/>
    </w:p>
    <w:p>
      <w:pPr>
        <w:ind w:firstLine="600"/>
        <w:spacing w:line="52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68"/>
        <w:ind w:firstLine="600"/>
        <w:spacing w:before="0" w:after="0" w:line="520" w:lineRule="exact"/>
        <w:rPr>
          <w:rFonts w:ascii="黑体" w:hAnsi="宋体"/>
          <w:b w:val="0"/>
          <w:sz w:val="30"/>
          <w:szCs w:val="30"/>
        </w:rPr>
      </w:pPr>
      <w:r>
        <w:rPr>
          <w:rFonts w:hint="eastAsia" w:ascii="黑体" w:hAnsi="宋体"/>
          <w:b w:val="0"/>
          <w:sz w:val="30"/>
          <w:szCs w:val="30"/>
        </w:rPr>
        <w:t xml:space="preserve">31.货物（包含与货物相关的服务）的追加</w:t>
      </w:r>
      <w:r/>
    </w:p>
    <w:p>
      <w:pPr>
        <w:ind w:firstLine="480"/>
        <w:spacing w:line="520" w:lineRule="exact"/>
        <w:rPr>
          <w:rFonts w:ascii="宋体" w:hAnsi="宋体"/>
          <w:sz w:val="24"/>
          <w:szCs w:val="24"/>
        </w:rPr>
      </w:pPr>
      <w:r>
        <w:rPr>
          <w:rFonts w:hint="eastAsia" w:ascii="宋体" w:hAnsi="宋体"/>
          <w:sz w:val="24"/>
          <w:szCs w:val="24"/>
        </w:rPr>
        <w:t xml:space="preserve">31.1</w:t>
      </w:r>
      <w:bookmarkEnd w:id="175"/>
      <w:r/>
      <w:bookmarkEnd w:id="176"/>
      <w:r/>
      <w:bookmarkEnd w:id="177"/>
      <w:r>
        <w:rPr>
          <w:rFonts w:hint="eastAsia" w:ascii="宋体" w:hAnsi="宋体"/>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8"/>
        <w:ind w:firstLine="600"/>
        <w:spacing w:before="0" w:after="0" w:line="520" w:lineRule="exact"/>
        <w:rPr>
          <w:rFonts w:ascii="黑体" w:hAnsi="宋体"/>
          <w:b w:val="0"/>
          <w:sz w:val="30"/>
          <w:szCs w:val="30"/>
        </w:rPr>
      </w:pPr>
      <w:r>
        <w:rPr>
          <w:rFonts w:hint="eastAsia" w:ascii="黑体" w:hAnsi="宋体"/>
          <w:b w:val="0"/>
          <w:sz w:val="30"/>
          <w:szCs w:val="30"/>
        </w:rPr>
        <w:t xml:space="preserve">32.政府采购履约资金扶持政策</w:t>
      </w:r>
      <w:r/>
    </w:p>
    <w:p>
      <w:pPr>
        <w:pStyle w:val="670"/>
        <w:spacing w:line="520" w:lineRule="exact"/>
        <w:rPr>
          <w:rFonts w:ascii="宋体" w:hAnsi="宋体"/>
          <w:bCs/>
          <w:sz w:val="24"/>
        </w:rPr>
      </w:pPr>
      <w:r>
        <w:rPr>
          <w:rFonts w:hint="eastAsia" w:ascii="宋体" w:hAnsi="宋体"/>
          <w:bCs/>
          <w:sz w:val="24"/>
        </w:rPr>
        <w:t xml:space="preserve">中标人可凭政府采购合同办理融资贷款，详情请见江苏政府采购网“政采贷”专栏。</w:t>
      </w:r>
      <w:bookmarkStart w:id="178" w:name="_Hlt16619350"/>
      <w:r/>
      <w:bookmarkStart w:id="179" w:name="_Toc20823346"/>
      <w:r/>
      <w:bookmarkStart w:id="180" w:name="_Toc16938590"/>
      <w:r/>
      <w:bookmarkStart w:id="181" w:name="_Toc120614244"/>
      <w:r/>
      <w:bookmarkStart w:id="182" w:name="_Toc462564139"/>
      <w:r/>
      <w:bookmarkStart w:id="183" w:name="_Toc479757211"/>
      <w:r/>
      <w:r/>
    </w:p>
    <w:p>
      <w:pPr>
        <w:pStyle w:val="670"/>
        <w:spacing w:line="520" w:lineRule="exact"/>
        <w:rPr>
          <w:rFonts w:hint="eastAsia" w:ascii="宋体" w:hAnsi="宋体"/>
          <w:color w:val="000000"/>
          <w:sz w:val="24"/>
          <w:szCs w:val="24"/>
        </w:rPr>
      </w:pPr>
      <w:r>
        <w:rPr>
          <w:rFonts w:ascii="黑体" w:eastAsia="黑体"/>
          <w:bCs/>
          <w:sz w:val="44"/>
        </w:rPr>
        <w:br w:type="page" w:clear="all"/>
      </w:r>
      <w:r>
        <w:rPr>
          <w:rFonts w:ascii="黑体" w:eastAsia="黑体"/>
          <w:bCs/>
          <w:sz w:val="44"/>
        </w:rPr>
        <w:t xml:space="preserve">            </w:t>
      </w:r>
      <w:r>
        <w:rPr>
          <w:rFonts w:hint="eastAsia" w:ascii="黑体" w:eastAsia="黑体"/>
          <w:bCs/>
          <w:sz w:val="44"/>
        </w:rPr>
        <w:t xml:space="preserve">第</w:t>
      </w:r>
      <w:bookmarkEnd w:id="178"/>
      <w:r>
        <w:rPr>
          <w:rFonts w:hint="eastAsia" w:ascii="黑体" w:eastAsia="黑体"/>
          <w:bCs/>
          <w:sz w:val="44"/>
        </w:rPr>
        <w:t xml:space="preserve">三章 采购需求</w:t>
      </w:r>
      <w:bookmarkEnd w:id="179"/>
      <w:r/>
      <w:bookmarkEnd w:id="180"/>
      <w:r/>
      <w:bookmarkEnd w:id="181"/>
      <w:r/>
      <w:bookmarkStart w:id="184" w:name="_Toc26554093"/>
      <w:r/>
      <w:bookmarkStart w:id="185" w:name="_Toc49090575"/>
      <w:r/>
      <w:r/>
    </w:p>
    <w:p>
      <w:pPr>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一、采购标的清单</w:t>
      </w:r>
      <w:r/>
    </w:p>
    <w:tbl>
      <w:tblPr>
        <w:tblStyle w:val="667"/>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593"/>
        <w:gridCol w:w="4145"/>
      </w:tblGrid>
      <w:tr>
        <w:trPr>
          <w:jc w:val="center"/>
          <w:trHeight w:val="702" w:hRule="exact"/>
        </w:trPr>
        <w:tc>
          <w:tcPr>
            <w:tcW w:w="57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5"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举高喷射消防车</w:t>
            </w:r>
            <w:r/>
          </w:p>
        </w:tc>
        <w:tc>
          <w:tcPr>
            <w:tcW w:w="2371"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随车装备</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bl>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p>
    <w:p>
      <w:pPr>
        <w:ind w:firstLine="480"/>
        <w:spacing w:line="560" w:lineRule="exact"/>
        <w:rPr>
          <w:rFonts w:hint="eastAsia" w:ascii="宋体" w:hAnsi="宋体"/>
          <w:bCs/>
          <w:color w:val="000000"/>
          <w:sz w:val="24"/>
          <w:szCs w:val="24"/>
          <w:highlight w:val="yellow"/>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建设背景</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近年来，随着我市经济社会快速发展，各类生产经营活动日益频繁，高层建筑、大型商业综合体及危险化学品企业火灾风险交织叠加，消防救援和应急救援工作面临的形势日趋严峻复杂。现</w:t>
      </w:r>
      <w:r>
        <w:rPr>
          <w:rFonts w:hint="eastAsia" w:ascii="宋体" w:hAnsi="宋体" w:eastAsia="宋体" w:cs="Times New Roman"/>
          <w:bCs/>
          <w:color w:val="000000"/>
          <w:sz w:val="24"/>
          <w:szCs w:val="24"/>
          <w:highlight w:val="none"/>
          <w:lang w:eastAsia="zh-CN"/>
        </w:rPr>
        <w:t xml:space="preserve">需采购举高喷射消防车</w:t>
      </w:r>
      <w:r>
        <w:rPr>
          <w:rFonts w:hint="eastAsia" w:ascii="宋体" w:hAnsi="宋体" w:cs="Times New Roman"/>
          <w:bCs/>
          <w:color w:val="000000"/>
          <w:sz w:val="24"/>
          <w:szCs w:val="24"/>
          <w:highlight w:val="none"/>
          <w:lang w:val="en-US" w:eastAsia="zh-CN"/>
        </w:rPr>
        <w:t xml:space="preserve">一辆</w:t>
      </w:r>
      <w:r>
        <w:rPr>
          <w:rFonts w:hint="eastAsia" w:ascii="宋体" w:hAnsi="宋体" w:eastAsia="宋体" w:cs="Times New Roman"/>
          <w:bCs/>
          <w:color w:val="000000"/>
          <w:sz w:val="24"/>
          <w:szCs w:val="24"/>
          <w:highlight w:val="none"/>
          <w:lang w:eastAsia="zh-CN"/>
        </w:rPr>
        <w:t xml:space="preserve">及随车装备。</w:t>
      </w:r>
      <w:r/>
    </w:p>
    <w:p>
      <w:pPr>
        <w:numPr>
          <w:ilvl w:val="0"/>
          <w:numId w:val="6"/>
        </w:numPr>
        <w:ind w:firstLine="480"/>
        <w:spacing w:line="560" w:lineRule="exact"/>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需求参数如下：</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1.1总体要求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rPr>
        <w:t xml:space="preserve"> 采用单排驾驶室+独立乘员室，驾乘室乘员人数：≥2+4人</w:t>
      </w:r>
      <w:r>
        <w:rPr>
          <w:rFonts w:hint="eastAsia" w:ascii="宋体" w:hAnsi="宋体" w:eastAsia="宋体" w:cs="宋体"/>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罐体</w:t>
      </w:r>
      <w:r>
        <w:rPr>
          <w:rFonts w:hint="eastAsia" w:ascii="宋体" w:hAnsi="宋体" w:eastAsia="宋体" w:cs="宋体"/>
          <w:color w:val="auto"/>
          <w:sz w:val="24"/>
          <w:szCs w:val="24"/>
          <w:highlight w:val="none"/>
          <w:lang w:eastAsia="zh-CN"/>
        </w:rPr>
        <w:t xml:space="preserve">载质量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20</w:t>
      </w:r>
      <w:r>
        <w:rPr>
          <w:rFonts w:hint="eastAsia" w:ascii="宋体" w:hAnsi="宋体" w:eastAsia="宋体" w:cs="宋体"/>
          <w:color w:val="auto"/>
          <w:sz w:val="24"/>
          <w:szCs w:val="24"/>
          <w:highlight w:val="none"/>
          <w:lang w:val="en-US" w:eastAsia="zh-CN"/>
        </w:rPr>
        <w:t xml:space="preserve">000kg。</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★最大工作高度：≥</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rPr>
        <w:t xml:space="preserve">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▲最大工作</w:t>
      </w:r>
      <w:r>
        <w:rPr>
          <w:rFonts w:hint="eastAsia" w:ascii="宋体" w:hAnsi="宋体" w:eastAsia="宋体" w:cs="宋体"/>
          <w:color w:val="auto"/>
          <w:sz w:val="24"/>
          <w:szCs w:val="24"/>
          <w:highlight w:val="none"/>
          <w:lang w:eastAsia="zh-CN"/>
        </w:rPr>
        <w:t xml:space="preserve">幅度</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支腿：H型支腿，</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自动调平+手动调平</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整备质量：≥22000kg</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比功率</w:t>
      </w:r>
      <w:r>
        <w:rPr>
          <w:rFonts w:hint="eastAsia" w:ascii="宋体" w:hAnsi="宋体" w:eastAsia="宋体" w:cs="宋体"/>
          <w:color w:val="auto"/>
          <w:sz w:val="24"/>
          <w:szCs w:val="24"/>
          <w:highlight w:val="none"/>
          <w:lang w:val="en-US" w:eastAsia="zh-CN"/>
        </w:rPr>
        <w:t xml:space="preserve">：≥9.0kW/t。</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en-US"/>
        </w:rPr>
        <w:t xml:space="preserve"> ▲接近角：≥16°；离去角：≥9°</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支腿</w:t>
      </w:r>
      <w:r>
        <w:rPr>
          <w:rFonts w:hint="eastAsia" w:ascii="宋体" w:hAnsi="宋体" w:eastAsia="宋体" w:cs="宋体"/>
          <w:color w:val="auto"/>
          <w:sz w:val="24"/>
          <w:szCs w:val="24"/>
          <w:highlight w:val="none"/>
          <w:lang w:eastAsia="zh-CN"/>
        </w:rPr>
        <w:t xml:space="preserve">伸展、支撑并调平的</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val="en-US"/>
        </w:rPr>
        <w:t xml:space="preserve">s</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臂架</w:t>
      </w:r>
      <w:r>
        <w:rPr>
          <w:rFonts w:hint="eastAsia" w:ascii="宋体" w:hAnsi="宋体" w:eastAsia="宋体" w:cs="宋体"/>
          <w:color w:val="auto"/>
          <w:sz w:val="24"/>
          <w:szCs w:val="24"/>
          <w:highlight w:val="none"/>
          <w:lang w:eastAsia="zh-CN"/>
        </w:rPr>
        <w:t xml:space="preserve">从行驶位置举升至最大作业高度并旋转</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val="en-US"/>
        </w:rPr>
        <w:t xml:space="preserve">s</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1.1.11</w:t>
      </w:r>
      <w:r>
        <w:rPr>
          <w:rFonts w:hint="eastAsia" w:ascii="宋体" w:hAnsi="宋体" w:eastAsia="宋体" w:cs="宋体"/>
          <w:i w:val="0"/>
          <w:iCs w:val="0"/>
          <w:color w:val="000000"/>
          <w:sz w:val="24"/>
          <w:szCs w:val="24"/>
          <w:highlight w:val="none"/>
          <w:u w:val="none"/>
        </w:rPr>
        <w:t xml:space="preserve">▲</w:t>
      </w:r>
      <w:r>
        <w:rPr>
          <w:rFonts w:hint="eastAsia" w:ascii="宋体" w:hAnsi="宋体" w:cs="宋体"/>
          <w:color w:val="auto"/>
          <w:sz w:val="24"/>
          <w:szCs w:val="24"/>
          <w:highlight w:val="none"/>
          <w:lang w:val="en-US" w:eastAsia="zh-CN"/>
        </w:rPr>
        <w:t xml:space="preserve">投标时提供所投车辆工信部公告、国家级检测机构出具的检验报告及有效证明文件；如未取得工信部公告的，须承诺交货时提供该车型的工信部公告、具有相应资质的第三方检测机构出具的检验报告及有效证明文件【提交加盖公章的包含本条内容的“承诺函”】</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底盘</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1.2.1 ▲发动机</w:t>
      </w:r>
      <w:r>
        <w:rPr>
          <w:rFonts w:hint="eastAsia" w:ascii="宋体" w:hAnsi="宋体" w:eastAsia="宋体" w:cs="宋体"/>
          <w:color w:val="auto"/>
          <w:sz w:val="24"/>
          <w:szCs w:val="24"/>
          <w:highlight w:val="none"/>
          <w:lang w:eastAsia="zh-CN"/>
        </w:rPr>
        <w:t xml:space="preserve">额定</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rPr>
        <w:t xml:space="preserve">40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kW</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1.2.2 燃料：柴油</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 尾气排放：国六排放标准</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1.2.4 ▲</w:t>
      </w:r>
      <w:r>
        <w:rPr>
          <w:rFonts w:hint="eastAsia" w:ascii="宋体" w:hAnsi="宋体" w:eastAsia="宋体" w:cs="宋体"/>
          <w:color w:val="auto"/>
          <w:sz w:val="24"/>
          <w:szCs w:val="24"/>
          <w:highlight w:val="none"/>
          <w:lang w:eastAsia="zh-CN"/>
        </w:rPr>
        <w:t xml:space="preserve">发动机最大扭矩：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2600N·m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1.2.5 驱动型式：</w:t>
      </w: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 </w:t>
      </w:r>
      <w:r>
        <w:rPr>
          <w:rFonts w:hint="eastAsia" w:ascii="宋体" w:hAnsi="宋体" w:eastAsia="宋体" w:cs="宋体"/>
          <w:color w:val="auto"/>
          <w:sz w:val="24"/>
          <w:szCs w:val="24"/>
          <w:highlight w:val="none"/>
          <w:lang w:eastAsia="zh-CN"/>
        </w:rPr>
        <w:t xml:space="preserve">驾驶室：</w:t>
      </w:r>
      <w:r>
        <w:rPr>
          <w:rFonts w:hint="eastAsia" w:ascii="宋体" w:hAnsi="宋体" w:eastAsia="宋体" w:cs="宋体"/>
          <w:color w:val="auto"/>
          <w:sz w:val="24"/>
          <w:szCs w:val="24"/>
          <w:highlight w:val="none"/>
        </w:rPr>
        <w:t xml:space="preserve">电动液压翻转装置</w:t>
      </w:r>
      <w:r>
        <w:rPr>
          <w:rFonts w:hint="eastAsia" w:ascii="宋体" w:hAnsi="宋体" w:eastAsia="宋体" w:cs="宋体"/>
          <w:color w:val="auto"/>
          <w:sz w:val="24"/>
          <w:szCs w:val="24"/>
          <w:highlight w:val="none"/>
          <w:lang w:eastAsia="zh-CN"/>
        </w:rPr>
        <w:t xml:space="preserve">，舒适型气悬座椅</w:t>
      </w:r>
      <w:r>
        <w:rPr>
          <w:rFonts w:hint="eastAsia" w:ascii="宋体" w:hAnsi="宋体" w:eastAsia="宋体" w:cs="宋体"/>
          <w:color w:val="auto"/>
          <w:sz w:val="24"/>
          <w:szCs w:val="24"/>
          <w:highlight w:val="none"/>
        </w:rPr>
        <w:t xml:space="preserve">，座椅均装置三点式汽车安全带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电动门窗,</w:t>
      </w:r>
      <w:r>
        <w:rPr>
          <w:rFonts w:hint="eastAsia" w:ascii="宋体" w:hAnsi="宋体" w:eastAsia="宋体" w:cs="宋体"/>
          <w:color w:val="auto"/>
          <w:sz w:val="24"/>
          <w:szCs w:val="24"/>
          <w:highlight w:val="none"/>
          <w:lang w:eastAsia="zh-CN"/>
        </w:rPr>
        <w:t xml:space="preserve">电动后视镜，</w:t>
      </w:r>
      <w:r>
        <w:rPr>
          <w:rFonts w:hint="eastAsia" w:ascii="宋体" w:hAnsi="宋体" w:eastAsia="宋体" w:cs="宋体"/>
          <w:color w:val="auto"/>
          <w:sz w:val="24"/>
          <w:szCs w:val="24"/>
          <w:highlight w:val="none"/>
        </w:rPr>
        <w:t xml:space="preserve">电加热</w:t>
      </w:r>
      <w:r>
        <w:rPr>
          <w:rFonts w:hint="eastAsia" w:ascii="宋体" w:hAnsi="宋体" w:eastAsia="宋体" w:cs="宋体"/>
          <w:color w:val="auto"/>
          <w:sz w:val="24"/>
          <w:szCs w:val="24"/>
          <w:highlight w:val="none"/>
          <w:lang w:eastAsia="zh-CN"/>
        </w:rPr>
        <w:t xml:space="preserve">主</w:t>
      </w:r>
      <w:r>
        <w:rPr>
          <w:rFonts w:hint="eastAsia" w:ascii="宋体" w:hAnsi="宋体" w:eastAsia="宋体" w:cs="宋体"/>
          <w:color w:val="auto"/>
          <w:sz w:val="24"/>
          <w:szCs w:val="24"/>
          <w:highlight w:val="none"/>
        </w:rPr>
        <w:t xml:space="preserve">后视镜</w:t>
      </w:r>
      <w:r>
        <w:rPr>
          <w:rFonts w:hint="eastAsia" w:ascii="宋体" w:hAnsi="宋体" w:eastAsia="宋体" w:cs="宋体"/>
          <w:color w:val="auto"/>
          <w:sz w:val="24"/>
          <w:szCs w:val="24"/>
          <w:highlight w:val="none"/>
          <w:lang w:eastAsia="zh-CN"/>
        </w:rPr>
        <w:t xml:space="preserve">及广角镜</w:t>
      </w:r>
      <w:r>
        <w:rPr>
          <w:rFonts w:hint="eastAsia" w:ascii="宋体" w:hAnsi="宋体" w:eastAsia="宋体" w:cs="宋体"/>
          <w:color w:val="auto"/>
          <w:sz w:val="24"/>
          <w:szCs w:val="24"/>
          <w:highlight w:val="none"/>
        </w:rPr>
        <w:t xml:space="preserve">，前望地镜，侧望地镜，遮阳板。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1.2.7 </w:t>
      </w:r>
      <w:r>
        <w:rPr>
          <w:rFonts w:hint="eastAsia" w:ascii="宋体" w:hAnsi="宋体" w:eastAsia="宋体" w:cs="宋体"/>
          <w:bCs/>
          <w:color w:val="auto"/>
          <w:sz w:val="24"/>
          <w:szCs w:val="24"/>
          <w:highlight w:val="none"/>
          <w:lang w:eastAsia="zh-CN"/>
        </w:rPr>
        <w:t xml:space="preserve">独立乘员室配备≥4个消防专用座椅（可携带空气呼吸器），采用高档阻燃材料内饰，配备多功能对讲系统。</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1.2.8 </w:t>
      </w:r>
      <w:r>
        <w:rPr>
          <w:rFonts w:hint="eastAsia" w:ascii="宋体" w:hAnsi="宋体" w:eastAsia="宋体" w:cs="宋体"/>
          <w:bCs/>
          <w:color w:val="auto"/>
          <w:sz w:val="24"/>
          <w:szCs w:val="24"/>
          <w:highlight w:val="none"/>
          <w:lang w:eastAsia="zh-CN"/>
        </w:rPr>
        <w:t xml:space="preserve">轮胎：转向桥：385/65R22.5或385/55R22.5，驱动桥：315/80R22.5或315/70R22.5，共13条（含1条备胎）。</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1.2.9 燃油箱</w:t>
      </w:r>
      <w:r>
        <w:rPr>
          <w:rFonts w:hint="eastAsia" w:ascii="宋体" w:hAnsi="宋体" w:eastAsia="宋体" w:cs="宋体"/>
          <w:color w:val="auto"/>
          <w:sz w:val="24"/>
          <w:szCs w:val="24"/>
          <w:highlight w:val="none"/>
          <w:lang w:eastAsia="zh-CN"/>
        </w:rPr>
        <w:t xml:space="preserve">容积：</w:t>
      </w:r>
      <w:r>
        <w:rPr>
          <w:rFonts w:hint="eastAsia" w:ascii="宋体" w:hAnsi="宋体" w:eastAsia="宋体" w:cs="宋体"/>
          <w:color w:val="auto"/>
          <w:sz w:val="24"/>
          <w:szCs w:val="24"/>
          <w:highlight w:val="none"/>
        </w:rPr>
        <w:t xml:space="preserve">≥300L</w:t>
      </w:r>
      <w:r>
        <w:rPr>
          <w:rFonts w:hint="eastAsia" w:ascii="宋体" w:hAnsi="宋体" w:eastAsia="宋体" w:cs="宋体"/>
          <w:color w:val="auto"/>
          <w:sz w:val="24"/>
          <w:szCs w:val="24"/>
          <w:highlight w:val="none"/>
          <w:lang w:eastAsia="zh-CN"/>
        </w:rPr>
        <w:t xml:space="preserve">，铝合金油箱，带油水分离器，燃油箱盖带锁；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发电机：≥</w:t>
      </w:r>
      <w:r>
        <w:rPr>
          <w:rFonts w:hint="eastAsia" w:ascii="宋体" w:hAnsi="宋体" w:eastAsia="宋体" w:cs="宋体"/>
          <w:color w:val="auto"/>
          <w:sz w:val="24"/>
          <w:szCs w:val="24"/>
          <w:highlight w:val="none"/>
          <w:lang w:val="en-US" w:eastAsia="zh-CN"/>
        </w:rPr>
        <w:t xml:space="preserve">130A；蓄电池：2×12V/225AH</w:t>
      </w:r>
      <w:r>
        <w:rPr>
          <w:rFonts w:hint="eastAsia" w:ascii="宋体" w:hAnsi="宋体" w:eastAsia="宋体" w:cs="宋体"/>
          <w:color w:val="auto"/>
          <w:sz w:val="24"/>
          <w:szCs w:val="24"/>
          <w:highlight w:val="none"/>
          <w:lang w:eastAsia="zh-CN"/>
        </w:rPr>
        <w:t xml:space="preserve">。</w:t>
      </w:r>
      <w:r/>
    </w:p>
    <w:p>
      <w:pPr>
        <w:pStyle w:val="701"/>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bidi="ar-SA"/>
        </w:rPr>
        <w:t xml:space="preserve">1.2.11 前后桥独立双回路，自动制动间隙调节，配备发动机缸内制动缓速装置，配备</w:t>
      </w:r>
      <w:r>
        <w:rPr>
          <w:rFonts w:hint="eastAsia" w:ascii="宋体" w:hAnsi="宋体" w:eastAsia="宋体" w:cs="宋体"/>
          <w:b w:val="0"/>
          <w:bCs w:val="0"/>
          <w:sz w:val="24"/>
          <w:szCs w:val="24"/>
          <w:highlight w:val="none"/>
          <w:lang w:val="en-GB" w:eastAsia="zh-CN" w:bidi="ar-SA"/>
        </w:rPr>
        <w:t xml:space="preserve">防抱死制动系统（ABS）/电控制动系统（EBS）/电子车身稳定系统（ESP）/驱动防滑系统</w:t>
      </w:r>
      <w:r>
        <w:rPr>
          <w:rFonts w:hint="eastAsia" w:ascii="宋体" w:hAnsi="宋体" w:eastAsia="宋体" w:cs="宋体"/>
          <w:b w:val="0"/>
          <w:bCs w:val="0"/>
          <w:sz w:val="24"/>
          <w:szCs w:val="24"/>
          <w:highlight w:val="none"/>
          <w:lang w:val="en-US" w:eastAsia="zh-CN" w:bidi="ar-SA"/>
        </w:rPr>
        <w:t xml:space="preserve">。</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lang w:val="en-US" w:eastAsia="zh-CN" w:bidi="ar-SA"/>
        </w:rPr>
        <w:t xml:space="preserve">1.2.12 </w:t>
      </w:r>
      <w:r>
        <w:rPr>
          <w:rFonts w:hint="eastAsia" w:ascii="宋体" w:hAnsi="宋体" w:eastAsia="宋体" w:cs="宋体"/>
          <w:b w:val="0"/>
          <w:bCs w:val="0"/>
          <w:color w:val="auto"/>
          <w:sz w:val="24"/>
          <w:szCs w:val="24"/>
          <w:highlight w:val="none"/>
          <w:lang w:eastAsia="zh-CN"/>
        </w:rPr>
        <w:t xml:space="preserve">变速箱：自动换挡变速箱，前进挡挡位数：≥12，倒挡挡位数：≥4。</w:t>
      </w:r>
      <w:r/>
    </w:p>
    <w:p>
      <w:pPr>
        <w:pStyle w:val="670"/>
        <w:ind w:lef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bidi="ar-SA"/>
        </w:rPr>
        <w:t xml:space="preserve">1.2.13 配备底盘原装全轮胎压监测系统。</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臂架，转台及操作台</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1.3.1 </w:t>
      </w:r>
      <w:r>
        <w:rPr>
          <w:rFonts w:hint="eastAsia" w:ascii="宋体" w:hAnsi="宋体" w:eastAsia="宋体" w:cs="宋体"/>
          <w:color w:val="auto"/>
          <w:sz w:val="24"/>
          <w:szCs w:val="24"/>
          <w:highlight w:val="none"/>
        </w:rPr>
        <w:t xml:space="preserve">由二节折叠臂构成，高强度合金钢板上下对焊而成</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转台</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1.3.2.1 </w:t>
      </w:r>
      <w:r>
        <w:rPr>
          <w:rFonts w:hint="eastAsia" w:ascii="宋体" w:hAnsi="宋体" w:eastAsia="宋体" w:cs="宋体"/>
          <w:color w:val="auto"/>
          <w:sz w:val="24"/>
          <w:szCs w:val="24"/>
          <w:highlight w:val="none"/>
        </w:rPr>
        <w:t xml:space="preserve">带水、电、液一体式中心回转装置</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1.3.2.2 </w:t>
      </w:r>
      <w:r>
        <w:rPr>
          <w:rFonts w:hint="eastAsia" w:ascii="宋体" w:hAnsi="宋体" w:eastAsia="宋体" w:cs="宋体"/>
          <w:color w:val="auto"/>
          <w:sz w:val="24"/>
          <w:szCs w:val="24"/>
          <w:highlight w:val="none"/>
        </w:rPr>
        <w:t xml:space="preserve">液压马达驱动的回转机构布置在转台的右侧，可360°连续转动，采用行星减速系统</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1.3.2.3 </w:t>
      </w:r>
      <w:r>
        <w:rPr>
          <w:rFonts w:hint="eastAsia" w:ascii="宋体" w:hAnsi="宋体" w:eastAsia="宋体" w:cs="宋体"/>
          <w:color w:val="auto"/>
          <w:sz w:val="24"/>
          <w:szCs w:val="24"/>
          <w:highlight w:val="none"/>
        </w:rPr>
        <w:t xml:space="preserve">一节臂变幅油缸置于转台中部</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操作台：配备远控盒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有线遥控</w:t>
      </w:r>
      <w:r>
        <w:rPr>
          <w:rFonts w:hint="eastAsia" w:ascii="宋体" w:hAnsi="宋体" w:cs="宋体"/>
          <w:color w:val="auto"/>
          <w:sz w:val="24"/>
          <w:szCs w:val="24"/>
          <w:highlight w:val="none"/>
          <w:lang w:val="en-US" w:eastAsia="zh-CN"/>
        </w:rPr>
        <w:t xml:space="preserve">≥25m，</w:t>
      </w:r>
      <w:r>
        <w:rPr>
          <w:rFonts w:hint="eastAsia" w:ascii="宋体" w:hAnsi="宋体" w:eastAsia="宋体" w:cs="宋体"/>
          <w:color w:val="auto"/>
          <w:sz w:val="24"/>
          <w:szCs w:val="24"/>
          <w:highlight w:val="none"/>
        </w:rPr>
        <w:t xml:space="preserve">无线遥控</w:t>
      </w:r>
      <w:r>
        <w:rPr>
          <w:rFonts w:hint="eastAsia" w:ascii="宋体" w:hAnsi="宋体" w:cs="宋体"/>
          <w:color w:val="auto"/>
          <w:sz w:val="24"/>
          <w:szCs w:val="24"/>
          <w:highlight w:val="none"/>
          <w:lang w:val="en-US" w:eastAsia="zh-CN"/>
        </w:rPr>
        <w:t xml:space="preserve">≥150m</w:t>
      </w:r>
      <w:r>
        <w:rPr>
          <w:rFonts w:hint="eastAsia" w:ascii="宋体" w:hAnsi="宋体" w:eastAsia="宋体" w:cs="宋体"/>
          <w:color w:val="auto"/>
          <w:sz w:val="24"/>
          <w:szCs w:val="24"/>
          <w:highlight w:val="none"/>
        </w:rPr>
        <w:t xml:space="preserve">，显示器</w:t>
      </w:r>
      <w:r>
        <w:rPr>
          <w:rFonts w:hint="eastAsia" w:ascii="宋体" w:hAnsi="宋体" w:cs="宋体"/>
          <w:color w:val="auto"/>
          <w:sz w:val="24"/>
          <w:szCs w:val="24"/>
          <w:highlight w:val="none"/>
          <w:lang w:val="en-US" w:eastAsia="zh-CN"/>
        </w:rPr>
        <w:t xml:space="preserve">屏幕≥4寸</w:t>
      </w:r>
      <w:r>
        <w:rPr>
          <w:rFonts w:hint="eastAsia" w:ascii="宋体" w:hAnsi="宋体" w:eastAsia="宋体" w:cs="宋体"/>
          <w:color w:val="auto"/>
          <w:sz w:val="24"/>
          <w:szCs w:val="24"/>
          <w:highlight w:val="none"/>
        </w:rPr>
        <w:t xml:space="preserve">，可实现臂架操作、水炮操作、水泵操作等功能，可实时显示车辆工作状态</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工作速度：臂架</w:t>
      </w:r>
      <w:r>
        <w:rPr>
          <w:rFonts w:hint="eastAsia" w:ascii="宋体" w:hAnsi="宋体" w:eastAsia="宋体" w:cs="宋体"/>
          <w:color w:val="auto"/>
          <w:sz w:val="24"/>
          <w:szCs w:val="24"/>
          <w:highlight w:val="none"/>
          <w:lang w:eastAsia="zh-CN"/>
        </w:rPr>
        <w:t xml:space="preserve">从行驶位置举升至最大作业高度并旋转</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s。</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支腿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1.4.1 </w:t>
      </w:r>
      <w:r>
        <w:rPr>
          <w:rFonts w:hint="eastAsia" w:ascii="宋体" w:hAnsi="宋体" w:eastAsia="宋体" w:cs="宋体"/>
          <w:bCs/>
          <w:color w:val="auto"/>
          <w:sz w:val="24"/>
          <w:szCs w:val="24"/>
          <w:highlight w:val="none"/>
        </w:rPr>
        <w:t xml:space="preserve">支腿形式：H型支腿</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rPr>
        <w:t xml:space="preserve"> </w:t>
      </w:r>
      <w:r>
        <w:rPr>
          <w:rFonts w:hint="eastAsia" w:ascii="宋体" w:hAnsi="宋体" w:eastAsia="宋体" w:cs="宋体"/>
          <w:bCs/>
          <w:color w:val="auto"/>
          <w:sz w:val="24"/>
          <w:szCs w:val="24"/>
          <w:highlight w:val="none"/>
        </w:rPr>
        <w:t xml:space="preserve">具备手动调平与自动调平两种方式</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rPr>
        <w:t xml:space="preserve">3 支腿伸展、支撑并调平的时间：≤30s</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w:t>
      </w:r>
      <w:bookmarkStart w:id="193" w:name="_GoBack"/>
      <w:r/>
      <w:bookmarkEnd w:id="193"/>
      <w:r>
        <w:rPr>
          <w:rFonts w:hint="eastAsia" w:ascii="宋体" w:hAnsi="宋体" w:eastAsia="宋体" w:cs="宋体"/>
          <w:color w:val="auto"/>
          <w:sz w:val="24"/>
          <w:szCs w:val="24"/>
          <w:highlight w:val="none"/>
          <w:lang w:val="en-US" w:eastAsia="zh-CN"/>
        </w:rPr>
        <w:t xml:space="preserve">▲支腿横向跨距：≤2300mm。支腿纵向跨距：≤8000mm。</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液压系统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液压</w:t>
      </w:r>
      <w:r>
        <w:rPr>
          <w:rFonts w:hint="eastAsia" w:ascii="宋体" w:hAnsi="宋体" w:eastAsia="宋体" w:cs="宋体"/>
          <w:color w:val="auto"/>
          <w:sz w:val="24"/>
          <w:szCs w:val="24"/>
          <w:highlight w:val="none"/>
        </w:rPr>
        <w:t xml:space="preserve">系统采用负载敏感变量柱塞泵，</w:t>
      </w:r>
      <w:r>
        <w:rPr>
          <w:rFonts w:hint="eastAsia" w:ascii="宋体" w:hAnsi="宋体" w:eastAsia="宋体" w:cs="宋体"/>
          <w:bCs/>
          <w:color w:val="auto"/>
          <w:sz w:val="24"/>
          <w:szCs w:val="24"/>
          <w:highlight w:val="none"/>
        </w:rPr>
        <w:t xml:space="preserve">整机用电液比例控制技术</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下车采用电液比例阀控制垂直支腿油缸动作，上车采用负载敏感控制阀，实现臂架的回转、变幅各个动作</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车辆各执行油缸均设置有平衡阀，能够有效保证液压油缸在不同位置、任何状态下平稳安全的锁止，转台回转制动可靠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液压系统动力由底盘</w:t>
      </w:r>
      <w:r>
        <w:rPr>
          <w:rFonts w:hint="eastAsia" w:ascii="宋体" w:hAnsi="宋体" w:eastAsia="宋体" w:cs="宋体"/>
          <w:bCs/>
          <w:color w:val="auto"/>
          <w:sz w:val="24"/>
          <w:szCs w:val="24"/>
          <w:highlight w:val="none"/>
          <w:lang w:eastAsia="zh-CN"/>
        </w:rPr>
        <w:t xml:space="preserve">原装变速箱</w:t>
      </w:r>
      <w:r>
        <w:rPr>
          <w:rFonts w:hint="eastAsia" w:ascii="宋体" w:hAnsi="宋体" w:eastAsia="宋体" w:cs="宋体"/>
          <w:bCs/>
          <w:color w:val="auto"/>
          <w:sz w:val="24"/>
          <w:szCs w:val="24"/>
          <w:highlight w:val="none"/>
        </w:rPr>
        <w:t xml:space="preserve">侧装取力器驱动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设置一套液压系统备用动力源，由电瓶泵驱动，备用动力可实现车辆收回时的所有动作。</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消防水路系统</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1.6.1 消防炮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臂架举升到最大工作高度时消防炮流量：≥</w:t>
      </w:r>
      <w:r>
        <w:rPr>
          <w:rFonts w:hint="eastAsia" w:ascii="宋体" w:hAnsi="宋体" w:eastAsia="宋体" w:cs="宋体"/>
          <w:color w:val="auto"/>
          <w:sz w:val="24"/>
          <w:szCs w:val="24"/>
          <w:highlight w:val="none"/>
          <w:lang w:val="en-US" w:eastAsia="zh-CN"/>
        </w:rPr>
        <w:t xml:space="preserve">120L/s</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消防炮额定</w:t>
      </w:r>
      <w:r>
        <w:rPr>
          <w:rFonts w:hint="eastAsia" w:ascii="宋体" w:hAnsi="宋体" w:eastAsia="宋体" w:cs="宋体"/>
          <w:color w:val="auto"/>
          <w:sz w:val="24"/>
          <w:szCs w:val="24"/>
          <w:highlight w:val="none"/>
        </w:rPr>
        <w:t xml:space="preserve">射程</w:t>
      </w:r>
      <w:r>
        <w:rPr>
          <w:rFonts w:hint="eastAsia" w:ascii="宋体" w:hAnsi="宋体" w:eastAsia="宋体" w:cs="宋体"/>
          <w:color w:val="auto"/>
          <w:sz w:val="24"/>
          <w:szCs w:val="24"/>
          <w:highlight w:val="none"/>
          <w:lang w:eastAsia="zh-CN"/>
        </w:rPr>
        <w:t xml:space="preserve">：水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泡沫：≥</w:t>
      </w:r>
      <w:r>
        <w:rPr>
          <w:rFonts w:hint="eastAsia" w:ascii="宋体" w:hAnsi="宋体" w:eastAsia="宋体" w:cs="宋体"/>
          <w:color w:val="auto"/>
          <w:sz w:val="24"/>
          <w:szCs w:val="24"/>
          <w:highlight w:val="none"/>
          <w:lang w:val="en-US" w:eastAsia="zh-CN"/>
        </w:rPr>
        <w:t xml:space="preserve">85m。</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▲回转角：≥90°或≥±45°</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▲俯仰角：≤-60°～＞+30°</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无线遥控操作距离≥150m</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1.6.2 消防泵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eastAsia="zh-CN"/>
        </w:rPr>
        <w:t xml:space="preserve">1.6.2</w:t>
      </w:r>
      <w:r>
        <w:rPr>
          <w:rFonts w:hint="eastAsia" w:ascii="宋体" w:hAnsi="宋体" w:eastAsia="宋体" w:cs="宋体"/>
          <w:sz w:val="24"/>
          <w:szCs w:val="24"/>
          <w:highlight w:val="none"/>
          <w:lang w:val="en-US" w:eastAsia="zh-CN"/>
        </w:rPr>
        <w:t xml:space="preserve">.1 </w:t>
      </w:r>
      <w:r>
        <w:rPr>
          <w:rFonts w:hint="eastAsia" w:ascii="宋体" w:hAnsi="宋体" w:eastAsia="宋体" w:cs="宋体"/>
          <w:color w:val="auto"/>
          <w:sz w:val="24"/>
          <w:szCs w:val="24"/>
          <w:highlight w:val="none"/>
        </w:rPr>
        <w:t xml:space="preserve">泵壳采用抗腐蚀性能强的合金材质，泵轴、叶轮等过流部件采用铜或不锈钢材质</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1.6.2</w:t>
      </w: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连续运转额定工况试验流量：≥120L/s</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真空泵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真空度≥85kPa</w:t>
      </w:r>
      <w:r>
        <w:rPr>
          <w:rFonts w:hint="eastAsia" w:ascii="宋体" w:hAnsi="宋体" w:eastAsia="宋体" w:cs="宋体"/>
          <w:color w:val="auto"/>
          <w:sz w:val="24"/>
          <w:szCs w:val="24"/>
          <w:highlight w:val="none"/>
          <w:lang w:eastAsia="zh-CN"/>
        </w:rPr>
        <w:t xml:space="preserve">。最大引水</w:t>
      </w:r>
      <w:r>
        <w:rPr>
          <w:rFonts w:hint="eastAsia" w:ascii="宋体" w:hAnsi="宋体" w:eastAsia="宋体" w:cs="宋体"/>
          <w:color w:val="auto"/>
          <w:sz w:val="24"/>
          <w:szCs w:val="24"/>
          <w:highlight w:val="none"/>
        </w:rPr>
        <w:t xml:space="preserve">深度≥</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4 </w:t>
      </w:r>
      <w:r>
        <w:rPr>
          <w:rFonts w:hint="eastAsia" w:ascii="宋体" w:hAnsi="宋体" w:eastAsia="宋体" w:cs="宋体"/>
          <w:color w:val="auto"/>
          <w:sz w:val="24"/>
          <w:szCs w:val="24"/>
          <w:highlight w:val="none"/>
        </w:rPr>
        <w:t xml:space="preserve">泡沫系统</w:t>
      </w:r>
      <w:r>
        <w:rPr>
          <w:rFonts w:hint="eastAsia" w:ascii="宋体" w:hAnsi="宋体" w:eastAsia="宋体" w:cs="宋体"/>
          <w:color w:val="auto"/>
          <w:sz w:val="24"/>
          <w:szCs w:val="24"/>
          <w:highlight w:val="none"/>
          <w:lang w:eastAsia="zh-CN"/>
        </w:rPr>
        <w:t xml:space="preserve">：全自动泡沫比例混合系统，混合比例不低于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1.6.</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b/>
          <w:bCs/>
          <w:color w:val="auto"/>
          <w:sz w:val="24"/>
          <w:szCs w:val="24"/>
          <w:highlight w:val="none"/>
          <w:lang w:val="en-US" w:eastAsia="zh-CN"/>
        </w:rPr>
        <w:t xml:space="preserve">载液罐</w:t>
      </w:r>
      <w:r/>
    </w:p>
    <w:p>
      <w:pPr>
        <w:pStyle w:val="665"/>
        <w:ind w:left="0" w:right="0"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1.6.3.1 </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罐体载质量：≥20000kg。</w:t>
      </w:r>
      <w:r/>
    </w:p>
    <w:p>
      <w:pPr>
        <w:pStyle w:val="665"/>
        <w:ind w:left="0" w:right="0"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1.6.3.2 罐体采用304不锈钢材质或者更高防腐材质，底、侧板板厚≥4mm，其余板厚≥3mm。</w:t>
      </w:r>
      <w:r/>
    </w:p>
    <w:p>
      <w:pPr>
        <w:ind w:left="0" w:right="0"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1.6.</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.3 </w:t>
      </w:r>
      <w:r>
        <w:rPr>
          <w:rFonts w:hint="eastAsia" w:ascii="宋体" w:hAnsi="宋体" w:eastAsia="宋体" w:cs="宋体"/>
          <w:sz w:val="24"/>
          <w:szCs w:val="24"/>
          <w:highlight w:val="none"/>
          <w:lang w:val="en-US" w:eastAsia="zh-CN"/>
        </w:rPr>
        <w:t xml:space="preserve">水罐设DN150溢水管带溢水帽。</w:t>
      </w:r>
      <w:r/>
    </w:p>
    <w:p>
      <w:pPr>
        <w:ind w:left="0" w:right="0"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1.6.</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.4 </w:t>
      </w:r>
      <w:r>
        <w:rPr>
          <w:rFonts w:hint="eastAsia" w:ascii="宋体" w:hAnsi="宋体" w:eastAsia="宋体" w:cs="宋体"/>
          <w:sz w:val="24"/>
          <w:szCs w:val="24"/>
          <w:highlight w:val="none"/>
          <w:lang w:val="en-US" w:eastAsia="zh-CN"/>
        </w:rPr>
        <w:t xml:space="preserve">罐顶采用防滑涂料，罐体内部喷涂防腐材料。</w:t>
      </w:r>
      <w:r/>
    </w:p>
    <w:p>
      <w:pPr>
        <w:pStyle w:val="665"/>
        <w:ind w:left="0" w:right="0" w:firstLine="48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1.6.</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rPr>
        <w:t xml:space="preserve">.5 水罐：设≥φ450mm人孔2个, 带快速锁定/开启功能，罐体压力超过0.1MPa时自动泄压，人孔盖涂绿色</w:t>
      </w:r>
      <w:r>
        <w:rPr>
          <w:rFonts w:hint="eastAsia" w:ascii="宋体" w:hAnsi="宋体" w:eastAsia="宋体" w:cs="宋体"/>
          <w:b w:val="0"/>
          <w:bCs w:val="0"/>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1.6.</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rPr>
        <w:t xml:space="preserve">.6 </w:t>
      </w:r>
      <w:r>
        <w:rPr>
          <w:rFonts w:hint="eastAsia" w:ascii="宋体" w:hAnsi="宋体" w:eastAsia="宋体" w:cs="宋体"/>
          <w:b w:val="0"/>
          <w:bCs w:val="0"/>
          <w:sz w:val="24"/>
          <w:szCs w:val="24"/>
          <w:highlight w:val="none"/>
          <w:lang w:val="en-US" w:eastAsia="zh-CN" w:bidi="ar-SA"/>
        </w:rPr>
        <w:t xml:space="preserve">泡沫罐：设≥φ450人孔1个, 带有快速锁定/开启功能，罐体压力超过0.1MPa时自动泄压，人孔盖涂黄色。</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rPr>
        <w:t xml:space="preserve">6 </w:t>
      </w:r>
      <w:r>
        <w:rPr>
          <w:rFonts w:hint="eastAsia" w:ascii="宋体" w:hAnsi="宋体" w:eastAsia="宋体" w:cs="宋体"/>
          <w:b/>
          <w:bCs/>
          <w:color w:val="auto"/>
          <w:sz w:val="24"/>
          <w:szCs w:val="24"/>
          <w:highlight w:val="none"/>
        </w:rPr>
        <w:t xml:space="preserve">水路系统</w:t>
      </w:r>
      <w:r>
        <w:rPr>
          <w:rFonts w:hint="eastAsia" w:ascii="宋体" w:hAnsi="宋体" w:eastAsia="宋体" w:cs="宋体"/>
          <w:color w:val="auto"/>
          <w:sz w:val="24"/>
          <w:szCs w:val="24"/>
          <w:highlight w:val="none"/>
        </w:rPr>
        <w:t xml:space="preserve">：下车：铝合金水管；上车：铝合金管+</w:t>
      </w:r>
      <w:r>
        <w:rPr>
          <w:rFonts w:hint="eastAsia" w:ascii="宋体" w:hAnsi="宋体" w:eastAsia="宋体" w:cs="宋体"/>
          <w:color w:val="auto"/>
          <w:sz w:val="24"/>
          <w:szCs w:val="24"/>
          <w:highlight w:val="none"/>
          <w:lang w:eastAsia="zh-CN"/>
        </w:rPr>
        <w:t xml:space="preserve">消防回转接头。</w:t>
      </w:r>
      <w:r/>
    </w:p>
    <w:p>
      <w:pPr>
        <w:pStyle w:val="665"/>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rPr>
        <w:t xml:space="preserve">1.6.7 </w:t>
      </w:r>
      <w:r>
        <w:rPr>
          <w:rFonts w:hint="eastAsia" w:ascii="宋体" w:hAnsi="宋体" w:eastAsia="宋体" w:cs="宋体"/>
          <w:b/>
          <w:bCs/>
          <w:color w:val="auto"/>
          <w:sz w:val="24"/>
          <w:szCs w:val="24"/>
          <w:highlight w:val="none"/>
          <w:lang w:val="en-US" w:eastAsia="zh-CN"/>
        </w:rPr>
        <w:t xml:space="preserve">水路接口布局</w:t>
      </w:r>
      <w:r/>
    </w:p>
    <w:p>
      <w:pPr>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1.6.7.1 车体尾部配有</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4个DN150外吸水口，均匀分布，配有闷盖。</w:t>
      </w:r>
      <w:r/>
    </w:p>
    <w:p>
      <w:pPr>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1.6.7.2 车体两侧设置有4个DN80罐体注水口，均匀分布，优先采用上翻式管路，满足罐体水不倒流，注水管路无余水。车体两侧配有</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8个DN80压力出水口，均匀分布，配有手动阀门及接口。</w:t>
      </w:r>
      <w:r/>
    </w:p>
    <w:p>
      <w:pPr>
        <w:ind w:firstLine="48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1.6.7.</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 车体一侧设有</w:t>
      </w:r>
      <w:r>
        <w:rPr>
          <w:rFonts w:hint="eastAsia" w:ascii="宋体" w:hAnsi="宋体" w:cs="宋体"/>
          <w:b w:val="0"/>
          <w:bCs w:val="0"/>
          <w:color w:val="auto"/>
          <w:sz w:val="24"/>
          <w:szCs w:val="24"/>
          <w:highlight w:val="none"/>
          <w:lang w:val="en-US" w:eastAsia="zh-CN" w:bidi="ar-SA"/>
        </w:rPr>
        <w:t xml:space="preserve">≥1个</w:t>
      </w:r>
      <w:r>
        <w:rPr>
          <w:rFonts w:hint="eastAsia" w:ascii="宋体" w:hAnsi="宋体" w:eastAsia="宋体" w:cs="宋体"/>
          <w:b w:val="0"/>
          <w:bCs w:val="0"/>
          <w:color w:val="auto"/>
          <w:sz w:val="24"/>
          <w:szCs w:val="24"/>
          <w:highlight w:val="none"/>
          <w:lang w:val="en-US" w:eastAsia="zh-CN" w:bidi="ar-SA"/>
        </w:rPr>
        <w:t xml:space="preserve">DN80的外吸泡沫接口，配有气动阀门。车体一侧设有≥2个DN80的臂架独立直供接口（不可与压力出水口为同一口），满足向臂头消防炮直接供水的要求。</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电气系统</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 </w:t>
      </w:r>
      <w:r>
        <w:rPr>
          <w:rFonts w:hint="eastAsia" w:ascii="宋体" w:hAnsi="宋体" w:eastAsia="宋体" w:cs="宋体"/>
          <w:bCs/>
          <w:color w:val="auto"/>
          <w:sz w:val="24"/>
          <w:szCs w:val="24"/>
          <w:highlight w:val="none"/>
        </w:rPr>
        <w:t xml:space="preserve">车辆设置两处操作装置：车辆尾部的下车操作面板，对消防作业及照明，电瓶泵等装置进行控制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w:t>
      </w:r>
      <w:r>
        <w:rPr>
          <w:rFonts w:hint="eastAsia" w:ascii="宋体" w:hAnsi="宋体" w:eastAsia="宋体" w:cs="宋体"/>
          <w:bCs/>
          <w:color w:val="auto"/>
          <w:sz w:val="24"/>
          <w:szCs w:val="24"/>
          <w:highlight w:val="none"/>
          <w:lang w:eastAsia="zh-CN"/>
        </w:rPr>
        <w:t xml:space="preserve">配备</w:t>
      </w:r>
      <w:r>
        <w:rPr>
          <w:rFonts w:hint="eastAsia" w:ascii="宋体" w:hAnsi="宋体" w:eastAsia="宋体" w:cs="宋体"/>
          <w:bCs/>
          <w:color w:val="auto"/>
          <w:sz w:val="24"/>
          <w:szCs w:val="24"/>
          <w:highlight w:val="none"/>
        </w:rPr>
        <w:t xml:space="preserve">显示消防系统参数的显示器和真空表。遥控操作盒，实现对上、下车动作的控制，可实现转台回转、臂架变幅和消防作业等遥控操作。</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1.7.2 </w:t>
      </w:r>
      <w:r>
        <w:rPr>
          <w:rFonts w:hint="eastAsia" w:ascii="宋体" w:hAnsi="宋体" w:eastAsia="宋体" w:cs="宋体"/>
          <w:bCs/>
          <w:color w:val="auto"/>
          <w:sz w:val="24"/>
          <w:szCs w:val="24"/>
          <w:highlight w:val="none"/>
        </w:rPr>
        <w:t xml:space="preserve">电气系统除控制车辆动作和车辆自动保护装置外，还加装以下装置信号、照明灯：水炮探照灯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符合国家标准的消防车辆的外部照明和信号装置</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泵室尾部配置下车操作面板，</w:t>
      </w:r>
      <w:r>
        <w:rPr>
          <w:rFonts w:hint="eastAsia" w:ascii="宋体" w:hAnsi="宋体" w:eastAsia="宋体" w:cs="宋体"/>
          <w:color w:val="auto"/>
          <w:sz w:val="24"/>
          <w:szCs w:val="24"/>
          <w:highlight w:val="none"/>
          <w:lang w:val="en-US" w:eastAsia="zh-CN"/>
        </w:rPr>
        <w:t xml:space="preserve">彩色液晶显示屏</w:t>
      </w:r>
      <w:r>
        <w:rPr>
          <w:rFonts w:hint="eastAsia" w:ascii="宋体" w:hAnsi="宋体" w:cs="宋体"/>
          <w:color w:val="auto"/>
          <w:sz w:val="24"/>
          <w:szCs w:val="24"/>
          <w:highlight w:val="none"/>
          <w:lang w:val="en-US" w:eastAsia="zh-CN"/>
        </w:rPr>
        <w:t xml:space="preserve">尺寸≥9寸</w:t>
      </w:r>
      <w:r>
        <w:rPr>
          <w:rFonts w:hint="eastAsia" w:ascii="宋体" w:hAnsi="宋体" w:eastAsia="宋体" w:cs="宋体"/>
          <w:color w:val="auto"/>
          <w:sz w:val="24"/>
          <w:szCs w:val="24"/>
          <w:highlight w:val="none"/>
          <w:lang w:val="en-US" w:eastAsia="zh-CN"/>
        </w:rPr>
        <w:t xml:space="preserve">，可实时显示底盘倾斜状态、支腿受力状态、转台回转状态、臂架角度信息、故障报警和限动提示等内容。</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1.7.4 </w:t>
      </w:r>
      <w:r>
        <w:rPr>
          <w:rFonts w:hint="eastAsia" w:ascii="宋体" w:hAnsi="宋体" w:eastAsia="宋体" w:cs="宋体"/>
          <w:bCs/>
          <w:color w:val="auto"/>
          <w:sz w:val="24"/>
          <w:szCs w:val="24"/>
          <w:highlight w:val="none"/>
          <w:lang w:eastAsia="zh-CN"/>
        </w:rPr>
        <w:t xml:space="preserve">驾驶室安装警报器及扩音装置，功率≥</w:t>
      </w:r>
      <w:r>
        <w:rPr>
          <w:rFonts w:hint="eastAsia" w:ascii="宋体" w:hAnsi="宋体" w:eastAsia="宋体" w:cs="宋体"/>
          <w:bCs/>
          <w:color w:val="auto"/>
          <w:sz w:val="24"/>
          <w:szCs w:val="24"/>
          <w:highlight w:val="none"/>
          <w:lang w:val="en-US" w:eastAsia="zh-CN"/>
        </w:rPr>
        <w:t xml:space="preserve">100W。</w:t>
      </w:r>
      <w:r/>
    </w:p>
    <w:p>
      <w:pPr>
        <w:pStyle w:val="665"/>
        <w:ind w:firstLine="48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1.7.5 </w:t>
      </w:r>
      <w:r>
        <w:rPr>
          <w:rFonts w:hint="eastAsia" w:ascii="宋体" w:hAnsi="宋体" w:eastAsia="宋体" w:cs="宋体"/>
          <w:b w:val="0"/>
          <w:bCs w:val="0"/>
          <w:color w:val="auto"/>
          <w:sz w:val="24"/>
          <w:szCs w:val="24"/>
          <w:highlight w:val="none"/>
          <w:lang w:eastAsia="zh-CN"/>
        </w:rPr>
        <w:t xml:space="preserve">配备</w:t>
      </w:r>
      <w:r>
        <w:rPr>
          <w:rFonts w:hint="eastAsia" w:ascii="宋体" w:hAnsi="宋体" w:eastAsia="宋体" w:cs="宋体"/>
          <w:b w:val="0"/>
          <w:bCs w:val="0"/>
          <w:color w:val="auto"/>
          <w:sz w:val="24"/>
          <w:szCs w:val="24"/>
          <w:highlight w:val="none"/>
          <w:lang w:val="en-US" w:eastAsia="zh-CN"/>
        </w:rPr>
        <w:t xml:space="preserve">360°行车监控系统（导航、行车记录、360°影像、倒车雷达一体），驾驶室配备≥9寸高清显示屏，内存≥128G，配备北斗定位。</w:t>
      </w:r>
      <w:r/>
    </w:p>
    <w:p>
      <w:pPr>
        <w:ind w:left="0"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随车器材</w:t>
      </w:r>
      <w:r/>
    </w:p>
    <w:tbl>
      <w:tblPr>
        <w:tblStyle w:val="667"/>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5202"/>
        <w:gridCol w:w="1520"/>
        <w:gridCol w:w="1536"/>
      </w:tblGrid>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shd w:val="clear" w:color="auto" w:fill="auto"/>
            <w:tcW w:w="2895" w:type="pct"/>
            <w:vAlign w:val="center"/>
            <w:textDirection w:val="lrTb"/>
            <w:noWrap w:val="false"/>
          </w:tcPr>
          <w:p>
            <w:pPr>
              <w:ind w:firstLine="482"/>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名称规格与型号</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单位</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150雄螺环</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150滤水器接口（卡式）</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3</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150滤水器（卡式）</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4</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卡式吸水管 φ150×2000</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5</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150内扣/100螺纹异型接口</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bookmarkStart w:id="186" w:name="_Hlk17285"/>
            <w:r>
              <w:rPr>
                <w:rFonts w:hint="eastAsia" w:ascii="宋体" w:hAnsi="宋体" w:eastAsia="宋体" w:cs="宋体"/>
                <w:b/>
                <w:sz w:val="24"/>
                <w:szCs w:val="24"/>
                <w:highlight w:val="none"/>
                <w:lang w:val="en-US" w:eastAsia="zh-CN"/>
              </w:rPr>
              <w:t xml:space="preserve">6</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 滤水器(内扣)</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186"/>
            <w:r/>
            <w:r/>
          </w:p>
        </w:tc>
      </w:tr>
      <w:tr>
        <w:trPr>
          <w:cantSplit/>
          <w:jc w:val="center"/>
          <w:trHeight w:val="335"/>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7</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滤水器接口(内扣)</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35"/>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8</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内扣式吸水管 φ150×2000</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9</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内扣式消防水带20-80-20</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150雄/80雄×2-1.6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150雄/80内扣×2-1.6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150内扣/80雄×2-1.6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150内扣/80内扣×2-1.6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firstLine="482"/>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随车装备：</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1运载无人机</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1无人机</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1.1空机重量：≤105千克，最大载重量：≥200kg。</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1.1.2外形尺寸：≤3400mm*3100mm*1100mm(机臂展开，桨叶展开)；</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≤1300mm*1000mm*1100mm(机臂折叠，桨叶折叠)；</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1.1.3最大轴距：≤2700mm。</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1.1.4机载电池数量：支持双电、四电，最大飞行距离（满载）：四电 ≥10 千米、双电 ≥6 千米。</w:t>
      </w:r>
      <w:r/>
    </w:p>
    <w:p>
      <w:pPr>
        <w:ind w:firstLine="48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4"/>
          <w:szCs w:val="24"/>
          <w:highlight w:val="none"/>
          <w:lang w:val="en-US" w:eastAsia="zh-CN"/>
        </w:rPr>
        <w:t xml:space="preserve">1.1.5工作温度范围：-20℃ 至 40℃。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1.1.6整机防护等级：≥IP55。</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sz w:val="24"/>
          <w:szCs w:val="24"/>
          <w:highlight w:val="none"/>
          <w:lang w:val="en-US" w:eastAsia="zh-CN"/>
        </w:rPr>
        <w:t xml:space="preserve">最大上升速度：≥5 米/秒，最大水平飞行速度：≥25米/秒，最大飞行海拔高度：≥6000米。</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1.1.8安全系统类型：配备360度旋转毫米波雷达；后方毫米波雷达；下方毫米波雷达；激光雷达；三目鱼眼视觉；后方双目视觉。FPV分辨率：≥2688x1520，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最大信号有效距离：≥40 公里，配备照明灯，降落伞。</w:t>
      </w:r>
      <w:r/>
    </w:p>
    <w:p>
      <w:pPr>
        <w:ind w:firstLine="482"/>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1.2空吊系统</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1.2.1尺寸：≤1000 毫米×690 毫米×700 毫米。</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1.2.2挂钩续航时间：≥10小时，负载能力：≥200kg，线缆长度：≥30米，最大收放速度：≥1.2米/秒。</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1.2.3</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sz w:val="24"/>
          <w:szCs w:val="24"/>
          <w:highlight w:val="none"/>
          <w:lang w:val="en-US" w:eastAsia="zh-CN"/>
        </w:rPr>
        <w:t xml:space="preserve">挂钩开合功能：支持APP或按钮主动控制，消摆功能：支持，一键收放：支持。</w:t>
      </w:r>
      <w:r/>
    </w:p>
    <w:p>
      <w:pPr>
        <w:ind w:firstLine="482"/>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1.3充电站</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1.3.1油箱容量：≥30L，燃料类型：92#汽油或以上，油耗:≤500mL/KWh</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1.3.2工作环境温度：0℃ 至 40℃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1.3.3重量：≤90kg</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1.4电池</w:t>
      </w:r>
      <w:r/>
    </w:p>
    <w:p>
      <w:pPr>
        <w:ind w:firstLine="480"/>
        <w:spacing w:line="560" w:lineRule="exact"/>
        <w:rPr>
          <w:rFonts w:hint="default" w:ascii="宋体" w:hAnsi="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1.4.1重量：≤16kg，容量：≥46Ah，循环次数：≥1500次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p>
    <w:p>
      <w:pPr>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1.</w:t>
      </w:r>
      <w:r>
        <w:rPr>
          <w:rFonts w:hint="eastAsia" w:ascii="宋体" w:hAnsi="宋体" w:cs="仿宋_GB2312"/>
          <w:b/>
          <w:color w:val="000000"/>
          <w:sz w:val="28"/>
          <w:szCs w:val="28"/>
          <w:highlight w:val="none"/>
        </w:rPr>
        <w:t xml:space="preserve">采购标的需实现的功能或者目标，以及为落实政府采购政策需满足的要求：</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近年来，随着我市经济社会快速发展，各类生产经营活动日益频繁，高层建筑、大型商业综合体及危险化学品企业火灾风险交织叠加，消防救援和应急救援工作面临的形势日趋严峻复杂。现</w:t>
      </w:r>
      <w:r>
        <w:rPr>
          <w:rFonts w:hint="eastAsia" w:ascii="宋体" w:hAnsi="宋体" w:eastAsia="宋体" w:cs="Times New Roman"/>
          <w:bCs/>
          <w:color w:val="000000"/>
          <w:sz w:val="24"/>
          <w:szCs w:val="24"/>
          <w:highlight w:val="none"/>
          <w:lang w:eastAsia="zh-CN"/>
        </w:rPr>
        <w:t xml:space="preserve">需采购举高喷射消防车及随车装备。</w:t>
      </w:r>
      <w:r/>
    </w:p>
    <w:p>
      <w:pPr>
        <w:numPr>
          <w:ilvl w:val="0"/>
          <w:numId w:val="7"/>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采购标的需执行的国家相关标准、行业标准、地方标准或者其他标准、规范：</w:t>
      </w:r>
      <w:r/>
    </w:p>
    <w:p>
      <w:pPr>
        <w:ind w:firstLine="480"/>
        <w:spacing w:line="560" w:lineRule="exact"/>
        <w:rPr>
          <w:rFonts w:hint="eastAsia" w:ascii="宋体" w:hAnsi="宋体" w:eastAsia="宋体" w:cs="Times New Roman"/>
          <w:bCs/>
          <w:color w:val="000000"/>
          <w:sz w:val="24"/>
          <w:szCs w:val="24"/>
          <w:highlight w:val="none"/>
        </w:rPr>
      </w:pPr>
      <w:r>
        <w:rPr>
          <w:rFonts w:hint="eastAsia" w:ascii="Times New Roman" w:hAnsi="Times New Roman"/>
          <w:sz w:val="24"/>
          <w:szCs w:val="24"/>
          <w:highlight w:val="none"/>
        </w:rPr>
        <w:t xml:space="preserve">参考国家标准、行业标准，随着标准的修订，根据修订后的最新标准作为依据。除上述规范标准以外，还须遵循国家、行业及地方现行的相关规范和标准要求。</w:t>
      </w:r>
      <w:r/>
    </w:p>
    <w:p>
      <w:pPr>
        <w:numPr>
          <w:ilvl w:val="0"/>
          <w:numId w:val="8"/>
        </w:numPr>
        <w:spacing w:line="500" w:lineRule="exact"/>
        <w:rPr>
          <w:rFonts w:hint="default" w:ascii="宋体" w:hAnsi="宋体" w:eastAsia="宋体" w:cs="仿宋_GB2312"/>
          <w:b/>
          <w:color w:val="000000"/>
          <w:sz w:val="28"/>
          <w:szCs w:val="28"/>
          <w:highlight w:val="none"/>
          <w:lang w:val="en-US" w:eastAsia="zh-CN"/>
        </w:rPr>
      </w:pPr>
      <w:r>
        <w:rPr>
          <w:rFonts w:hint="eastAsia" w:ascii="宋体" w:hAnsi="宋体" w:cs="仿宋_GB2312"/>
          <w:b/>
          <w:color w:val="000000"/>
          <w:sz w:val="28"/>
          <w:szCs w:val="28"/>
          <w:highlight w:val="none"/>
        </w:rPr>
        <w:t xml:space="preserve">采购标的需满足的质量、安全、技术规格、物理特性等要求：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投标供应商必须对产品的质量和售后服务负责，产品必须是全新、未使用过的原装合格正品，完全符合采购文件规定的质量、规格和性能的要求。</w:t>
      </w:r>
      <w:r/>
    </w:p>
    <w:p>
      <w:pPr>
        <w:spacing w:line="500" w:lineRule="exact"/>
        <w:rPr>
          <w:rFonts w:ascii="仿宋" w:hAnsi="仿宋" w:eastAsia="仿宋" w:cs="仿宋"/>
          <w:color w:val="000000"/>
          <w:sz w:val="28"/>
          <w:szCs w:val="28"/>
          <w:highlight w:val="none"/>
        </w:rPr>
      </w:pPr>
      <w:r>
        <w:rPr>
          <w:rFonts w:ascii="宋体" w:hAnsi="宋体" w:cs="仿宋_GB2312"/>
          <w:b/>
          <w:color w:val="000000"/>
          <w:sz w:val="28"/>
          <w:szCs w:val="28"/>
          <w:highlight w:val="none"/>
        </w:rPr>
        <w:t xml:space="preserve">4</w:t>
      </w:r>
      <w:r>
        <w:rPr>
          <w:rFonts w:hint="eastAsia" w:ascii="宋体" w:hAnsi="宋体" w:cs="仿宋_GB2312"/>
          <w:b/>
          <w:color w:val="000000"/>
          <w:sz w:val="28"/>
          <w:szCs w:val="28"/>
          <w:highlight w:val="none"/>
        </w:rPr>
        <w:t xml:space="preserve">．采购标的的数量、采购项目交付或者实施的时间和地点： </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交货</w:t>
      </w:r>
      <w:r>
        <w:rPr>
          <w:rFonts w:hint="eastAsia" w:ascii="宋体" w:hAnsi="宋体" w:eastAsia="宋体" w:cs="Times New Roman"/>
          <w:bCs/>
          <w:color w:val="000000"/>
          <w:sz w:val="24"/>
          <w:szCs w:val="24"/>
          <w:highlight w:val="none"/>
        </w:rPr>
        <w:t xml:space="preserve">周期：接到采购单位书面通知后，成交供应商须在60个日历天内完成全部设备的供货、运输、安装、调试等。</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2、交货（服务）地点：</w:t>
      </w:r>
      <w:r>
        <w:rPr>
          <w:rFonts w:hint="eastAsia" w:ascii="宋体" w:hAnsi="宋体" w:cs="Times New Roman"/>
          <w:bCs/>
          <w:color w:val="000000"/>
          <w:sz w:val="24"/>
          <w:szCs w:val="24"/>
          <w:highlight w:val="none"/>
          <w:lang w:val="en-US" w:eastAsia="zh-CN"/>
        </w:rPr>
        <w:t xml:space="preserve">海安市消防救援大队</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5.</w:t>
      </w:r>
      <w:r>
        <w:rPr>
          <w:rFonts w:hint="eastAsia" w:ascii="宋体" w:hAnsi="宋体" w:cs="仿宋_GB2312"/>
          <w:b/>
          <w:color w:val="000000"/>
          <w:sz w:val="28"/>
          <w:szCs w:val="28"/>
          <w:highlight w:val="none"/>
        </w:rPr>
        <w:t xml:space="preserve">采购标的需满足的服务标准、期限、效率等要求：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质保期限：</w:t>
      </w:r>
      <w:r>
        <w:rPr>
          <w:rFonts w:hint="eastAsia" w:ascii="宋体" w:hAnsi="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rPr>
        <w:t xml:space="preserve">年，自项目整体验收合格之日起算。质保期内，因设备质量、施工工艺缺陷等非人为因素导致的问题，成交供应商须提供免费维修、更换服务，维修及更换所需的配件、人工、上门服务等全部费用均由成交供应商承担。</w:t>
      </w:r>
      <w:r/>
    </w:p>
    <w:p>
      <w:pPr>
        <w:numPr>
          <w:ilvl w:val="0"/>
          <w:numId w:val="9"/>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采购标的的验收标准：</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2"/>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p>
    <w:p>
      <w:pPr>
        <w:ind w:firstLine="480"/>
        <w:spacing w:line="560" w:lineRule="exact"/>
        <w:rPr>
          <w:rFonts w:hint="eastAsia" w:ascii="Times New Roman" w:hAnsi="Times New Roman"/>
          <w:color w:val="000000"/>
          <w:sz w:val="24"/>
          <w:szCs w:val="24"/>
          <w:highlight w:val="none"/>
        </w:rPr>
      </w:pPr>
      <w:r>
        <w:rPr>
          <w:rFonts w:hint="eastAsia" w:ascii="宋体" w:hAnsi="宋体" w:eastAsia="宋体" w:cs="Times New Roman"/>
          <w:bCs/>
          <w:color w:val="000000"/>
          <w:sz w:val="24"/>
          <w:szCs w:val="24"/>
          <w:highlight w:val="none"/>
        </w:rPr>
        <w:t xml:space="preserve">项目需求中</w:t>
      </w:r>
      <w:r>
        <w:rPr>
          <w:rFonts w:hint="eastAsia" w:ascii="宋体" w:hAnsi="宋体" w:cs="Times New Roman"/>
          <w:bCs/>
          <w:color w:val="000000"/>
          <w:sz w:val="24"/>
          <w:szCs w:val="24"/>
          <w:highlight w:val="none"/>
          <w:lang w:val="en-US" w:eastAsia="zh-CN"/>
        </w:rPr>
        <w:t xml:space="preserve">未标注</w:t>
      </w:r>
      <w:r>
        <w:rPr>
          <w:rFonts w:hint="eastAsia" w:ascii="宋体" w:hAnsi="宋体" w:eastAsia="宋体" w:cs="Times New Roman"/>
          <w:bCs/>
          <w:color w:val="000000"/>
          <w:sz w:val="24"/>
          <w:szCs w:val="24"/>
          <w:highlight w:val="none"/>
        </w:rPr>
        <w:t xml:space="preserve">标注</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rPr>
        <w:t xml:space="preserve">▲</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处为实质性要求，不接受偏离</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即不得劣于参数要求</w:t>
      </w:r>
      <w:r>
        <w:rPr>
          <w:rFonts w:hint="eastAsia" w:ascii="宋体" w:hAnsi="宋体" w:cs="Times New Roman"/>
          <w:bCs/>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rPr>
        <w:t xml:space="preserve">，否则视为无效响应。</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、其他要求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1.项目属性：货物类项目。</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2.核心产品：</w:t>
      </w:r>
      <w:r>
        <w:rPr>
          <w:rFonts w:hint="eastAsia" w:ascii="宋体" w:hAnsi="宋体" w:eastAsia="宋体" w:cs="Times New Roman"/>
          <w:bCs/>
          <w:color w:val="000000"/>
          <w:sz w:val="24"/>
          <w:szCs w:val="24"/>
          <w:highlight w:val="none"/>
          <w:lang w:val="en-US" w:eastAsia="zh-CN"/>
        </w:rPr>
        <w:t xml:space="preserve">举高喷射消防车</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3.主要标的：</w:t>
      </w:r>
      <w:r>
        <w:rPr>
          <w:rFonts w:hint="eastAsia" w:ascii="宋体" w:hAnsi="宋体" w:eastAsia="宋体" w:cs="Times New Roman"/>
          <w:bCs/>
          <w:color w:val="000000"/>
          <w:sz w:val="24"/>
          <w:szCs w:val="24"/>
          <w:highlight w:val="none"/>
          <w:lang w:val="en-US" w:eastAsia="zh-CN"/>
        </w:rPr>
        <w:t xml:space="preserve">举高喷射消防车</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4.进口产品投标：本项目不接受进口产品投标。如供应商使用进口产品投标，作无效投标处理。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r/>
    </w:p>
    <w:p>
      <w:pPr>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5.2快递包装环保要求：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（11）快递应使用电子面单；</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（13）快递包装产品质量和封装方式应符合相关国家或行业标准技术指标要求。</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6.绿色数据中心</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、付款方式</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签订合同，待项目全部完成、验收合格后</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待收到正式发票后六十个日历天内</w:t>
      </w:r>
      <w:r>
        <w:rPr>
          <w:rFonts w:hint="eastAsia" w:ascii="宋体" w:hAnsi="宋体" w:eastAsia="宋体" w:cs="Times New Roman"/>
          <w:color w:val="000000"/>
          <w:sz w:val="24"/>
          <w:szCs w:val="24"/>
          <w:highlight w:val="none"/>
        </w:rPr>
        <w:t xml:space="preserve">一次性付清。</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color w:val="000000"/>
          <w:sz w:val="24"/>
          <w:szCs w:val="24"/>
          <w:highlight w:val="none"/>
        </w:rPr>
        <w:t xml:space="preserve">1.</w:t>
      </w:r>
      <w:r>
        <w:rPr>
          <w:rFonts w:hint="eastAsia" w:ascii="宋体" w:hAnsi="宋体"/>
          <w:sz w:val="24"/>
          <w:szCs w:val="24"/>
          <w:highlight w:val="none"/>
        </w:rPr>
        <w:t xml:space="preserve">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000000"/>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、合同条款（详见附件）</w:t>
      </w:r>
      <w:r/>
    </w:p>
    <w:p>
      <w:pPr>
        <w:ind w:firstLine="482"/>
        <w:spacing w:line="560" w:lineRule="exact"/>
        <w:rPr>
          <w:rFonts w:hint="eastAsia" w:ascii="宋体" w:hAnsi="宋体"/>
          <w:b/>
          <w:sz w:val="24"/>
          <w:szCs w:val="24"/>
          <w:highlight w:val="none"/>
        </w:rPr>
      </w:pPr>
      <w:r>
        <w:rPr>
          <w:rFonts w:hint="eastAsia" w:ascii="宋体" w:hAnsi="宋体"/>
          <w:b/>
          <w:bCs/>
          <w:sz w:val="24"/>
          <w:szCs w:val="24"/>
          <w:highlight w:val="none"/>
          <w:lang w:val="en-US" w:eastAsia="zh-CN"/>
        </w:rPr>
        <w:t xml:space="preserve">九</w:t>
      </w:r>
      <w:r>
        <w:rPr>
          <w:rFonts w:hint="eastAsia" w:ascii="宋体" w:hAnsi="宋体"/>
          <w:b/>
          <w:sz w:val="24"/>
          <w:szCs w:val="24"/>
          <w:highlight w:val="none"/>
        </w:rPr>
        <w:t xml:space="preserve">、政府采购中实施本国产品标准及相关政策</w:t>
      </w:r>
      <w:r/>
    </w:p>
    <w:p>
      <w:pPr>
        <w:ind w:firstLine="482"/>
        <w:spacing w:line="560" w:lineRule="exact"/>
        <w:rPr>
          <w:rFonts w:hint="eastAsia" w:ascii="宋体" w:hAnsi="宋体"/>
          <w:b/>
          <w:sz w:val="24"/>
          <w:szCs w:val="24"/>
          <w:highlight w:val="none"/>
        </w:rPr>
      </w:pPr>
      <w:r>
        <w:rPr>
          <w:rFonts w:hint="eastAsia" w:ascii="宋体" w:hAnsi="宋体"/>
          <w:b/>
          <w:color w:val="000000"/>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333333"/>
          <w:sz w:val="24"/>
          <w:szCs w:val="24"/>
          <w:highlight w:val="none"/>
        </w:rPr>
      </w:pPr>
      <w:r>
        <w:rPr>
          <w:rFonts w:hint="eastAsia" w:ascii="宋体" w:hAnsi="宋体" w:cs="宋体"/>
          <w:b/>
          <w:color w:val="333333"/>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333333"/>
          <w:spacing w:val="7"/>
          <w:sz w:val="24"/>
          <w:szCs w:val="24"/>
          <w:highlight w:val="none"/>
        </w:rPr>
      </w:pPr>
      <w:r>
        <w:rPr>
          <w:rFonts w:hint="eastAsia" w:ascii="宋体" w:hAnsi="宋体" w:cs="宋体"/>
          <w:color w:val="333333"/>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333333"/>
          <w:spacing w:val="7"/>
          <w:sz w:val="24"/>
          <w:szCs w:val="24"/>
          <w:highlight w:val="none"/>
        </w:rPr>
      </w:pPr>
      <w:r>
        <w:rPr>
          <w:rFonts w:hint="eastAsia" w:ascii="宋体" w:hAnsi="宋体" w:cs="宋体"/>
          <w:b/>
          <w:color w:val="333333"/>
          <w:spacing w:val="7"/>
          <w:sz w:val="24"/>
          <w:szCs w:val="24"/>
          <w:highlight w:val="none"/>
        </w:rPr>
        <w:t xml:space="preserve">5.对于仅有本国产品参与竞争的政府采购项目，本国产品不享受价格扣除评审优惠。</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rPr>
          <w:highlight w:val="none"/>
        </w:rPr>
      </w:pPr>
      <w:r/>
      <w:bookmarkStart w:id="187" w:name="_Toc120614281"/>
      <w:r/>
      <w:r/>
    </w:p>
    <w:p>
      <w:pPr>
        <w:rPr>
          <w:highlight w:val="none"/>
        </w:rPr>
      </w:pPr>
      <w:r>
        <w:rPr>
          <w:highlight w:val="none"/>
        </w:rPr>
      </w:r>
      <w:r/>
    </w:p>
    <w:p>
      <w:pPr>
        <w:tabs>
          <w:tab w:val="left" w:pos="609" w:leader="none"/>
        </w:tabs>
        <w:rPr>
          <w:rFonts w:hint="eastAsia" w:eastAsia="宋体"/>
          <w:highlight w:val="none"/>
          <w:lang w:eastAsia="zh-CN"/>
        </w:rPr>
      </w:pPr>
      <w:r>
        <w:rPr>
          <w:rFonts w:hint="eastAsia" w:eastAsia="宋体"/>
          <w:highlight w:val="none"/>
          <w:lang w:eastAsia="zh-CN"/>
        </w:rPr>
      </w:r>
      <w:r/>
    </w:p>
    <w:p>
      <w:pPr>
        <w:rPr>
          <w:highlight w:val="none"/>
        </w:rPr>
      </w:pPr>
      <w:r>
        <w:rPr>
          <w:highlight w:val="none"/>
        </w:rPr>
      </w:r>
      <w:r/>
    </w:p>
    <w:p>
      <w:pPr>
        <w:pStyle w:val="865"/>
        <w:spacing w:line="560" w:lineRule="exact"/>
        <w:rPr>
          <w:rFonts w:ascii="黑体" w:eastAsia="黑体"/>
          <w:bCs/>
          <w:sz w:val="44"/>
          <w:highlight w:val="none"/>
        </w:rPr>
      </w:pPr>
      <w:r>
        <w:rPr>
          <w:rFonts w:hint="eastAsia" w:ascii="黑体" w:eastAsia="黑体"/>
          <w:bCs/>
          <w:sz w:val="44"/>
          <w:highlight w:val="none"/>
        </w:rPr>
        <w:t xml:space="preserve">第四章  </w:t>
      </w:r>
      <w:r>
        <w:rPr>
          <w:rFonts w:hint="eastAsia" w:ascii="黑体" w:eastAsia="黑体"/>
          <w:b/>
          <w:bCs/>
          <w:sz w:val="44"/>
          <w:highlight w:val="none"/>
        </w:rPr>
        <w:t xml:space="preserve">评标方法与评标标准</w:t>
      </w:r>
      <w:r/>
    </w:p>
    <w:p>
      <w:pPr>
        <w:pStyle w:val="912"/>
        <w:ind w:firstLine="439"/>
        <w:spacing w:before="0" w:after="0" w:line="560" w:lineRule="exact"/>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 xml:space="preserve">排名第一的中标候选人。</w:t>
      </w:r>
      <w:r/>
    </w:p>
    <w:p>
      <w:pPr>
        <w:pStyle w:val="912"/>
        <w:ind w:firstLine="439"/>
        <w:spacing w:before="0" w:after="0" w:line="560" w:lineRule="exact"/>
        <w:rPr>
          <w:rFonts w:cs="Arial"/>
          <w:highlight w:val="none"/>
        </w:rPr>
      </w:pPr>
      <w:r>
        <w:rPr>
          <w:rFonts w:hint="eastAsia" w:cs="Arial"/>
          <w:highlight w:val="none"/>
        </w:rPr>
        <w:t xml:space="preserve">评委在认真审阅投标文件的基础上，根据各投标文件的响应程度独立评判，不得统一打分。</w:t>
      </w:r>
      <w:r/>
    </w:p>
    <w:p>
      <w:pPr>
        <w:pStyle w:val="912"/>
        <w:ind w:firstLine="441"/>
        <w:spacing w:before="0" w:after="0" w:line="560" w:lineRule="exact"/>
        <w:rPr>
          <w:rFonts w:cs="Arial"/>
          <w:b/>
          <w:highlight w:val="none"/>
        </w:rPr>
      </w:pPr>
      <w:r>
        <w:rPr>
          <w:rFonts w:hint="eastAsia" w:cs="Arial"/>
          <w:b/>
          <w:highlight w:val="none"/>
        </w:rPr>
        <w:t xml:space="preserve">（一）采购人（代表）对投标人资格进行审查。</w:t>
      </w:r>
      <w:r/>
    </w:p>
    <w:p>
      <w:pPr>
        <w:pStyle w:val="912"/>
        <w:ind w:firstLine="439"/>
        <w:spacing w:before="0" w:after="0" w:line="560" w:lineRule="exact"/>
        <w:rPr>
          <w:rFonts w:cs="Arial"/>
          <w:highlight w:val="none"/>
        </w:rPr>
      </w:pPr>
      <w:r>
        <w:rPr>
          <w:rFonts w:hint="eastAsia" w:cs="Arial"/>
          <w:highlight w:val="none"/>
        </w:rPr>
        <w:t xml:space="preserve">投标人资格不合格的，其投标文件判定为无效投标文件。</w:t>
      </w:r>
      <w:r/>
    </w:p>
    <w:p>
      <w:pPr>
        <w:pStyle w:val="912"/>
        <w:ind w:firstLine="441"/>
        <w:spacing w:before="0" w:after="0" w:line="560" w:lineRule="exact"/>
        <w:rPr>
          <w:rFonts w:cs="Arial"/>
          <w:b/>
          <w:highlight w:val="none"/>
        </w:rPr>
      </w:pPr>
      <w:r>
        <w:rPr>
          <w:rFonts w:hint="eastAsia" w:cs="Arial"/>
          <w:b/>
          <w:highlight w:val="none"/>
        </w:rPr>
        <w:t xml:space="preserve">（二）评标委员会对符合资格投标人的投标文件进行符合性审查。</w:t>
      </w:r>
      <w:r/>
    </w:p>
    <w:p>
      <w:pPr>
        <w:pStyle w:val="912"/>
        <w:ind w:firstLine="439"/>
        <w:spacing w:before="0" w:after="0" w:line="560" w:lineRule="exact"/>
        <w:rPr>
          <w:rFonts w:cs="Arial"/>
          <w:highlight w:val="none"/>
        </w:rPr>
      </w:pPr>
      <w:r>
        <w:rPr>
          <w:rFonts w:hint="eastAsia" w:cs="Arial"/>
          <w:highlight w:val="none"/>
        </w:rPr>
        <w:t xml:space="preserve">未通过符合性审查的投标文件，将被判为不满足招标文件实质性要求。 </w:t>
      </w:r>
      <w:r/>
    </w:p>
    <w:p>
      <w:pPr>
        <w:pStyle w:val="912"/>
        <w:ind w:firstLine="441"/>
        <w:spacing w:before="0" w:after="0" w:line="560" w:lineRule="exact"/>
        <w:rPr>
          <w:rFonts w:cs="Arial" w:asciiTheme="minorEastAsia" w:hAnsiTheme="minorEastAsia" w:eastAsiaTheme="minorEastAsia"/>
          <w:b/>
          <w:highlight w:val="none"/>
        </w:rPr>
      </w:pPr>
      <w:r>
        <w:rPr>
          <w:rFonts w:hint="eastAsia" w:cs="Arial"/>
          <w:b/>
          <w:highlight w:val="none"/>
        </w:rPr>
        <w:t xml:space="preserve">（三）商务技术分：70分</w:t>
      </w:r>
      <w:r/>
    </w:p>
    <w:p>
      <w:pPr>
        <w:pStyle w:val="912"/>
        <w:ind w:firstLine="439"/>
        <w:spacing w:before="0" w:after="0" w:line="560" w:lineRule="exact"/>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各投标人得分为评委会成员评分的算术平均分，分值保留小数点后两位。</w:t>
      </w:r>
      <w:r/>
    </w:p>
    <w:tbl>
      <w:tblPr>
        <w:tblStyle w:val="667"/>
        <w:tblW w:w="9758" w:type="dxa"/>
        <w:tblInd w:w="-1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3"/>
        <w:gridCol w:w="1455"/>
        <w:gridCol w:w="727"/>
        <w:gridCol w:w="6713"/>
      </w:tblGrid>
      <w:tr>
        <w:trPr>
          <w:trHeight w:val="70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4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满足货物指标要求情况</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根据所投产品对招标文件的技术参数及要求响应情况进行评分：</w:t>
            </w:r>
            <w:r/>
          </w:p>
          <w:p>
            <w:pPr>
              <w:jc w:val="left"/>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rPr>
              <w:t xml:space="preserve">标“</w:t>
            </w:r>
            <w:r>
              <w:rPr>
                <w:rFonts w:hint="eastAsia" w:ascii="宋体" w:hAnsi="宋体" w:eastAsia="宋体" w:cs="Times New Roman"/>
                <w:bCs/>
                <w:color w:val="000000"/>
                <w:sz w:val="24"/>
                <w:szCs w:val="24"/>
                <w:highlight w:val="none"/>
              </w:rPr>
              <w:t xml:space="preserve">★</w:t>
            </w:r>
            <w:r>
              <w:rPr>
                <w:rFonts w:hint="eastAsia" w:ascii="宋体" w:hAnsi="宋体" w:eastAsia="宋体" w:cs="宋体"/>
                <w:i w:val="0"/>
                <w:iCs w:val="0"/>
                <w:color w:val="000000"/>
                <w:sz w:val="24"/>
                <w:szCs w:val="24"/>
                <w:highlight w:val="none"/>
                <w:u w:val="none"/>
              </w:rPr>
              <w:t xml:space="preserve">”项为重</w:t>
            </w:r>
            <w:r>
              <w:rPr>
                <w:rFonts w:hint="eastAsia" w:ascii="宋体" w:hAnsi="宋体" w:cs="宋体"/>
                <w:i w:val="0"/>
                <w:iCs w:val="0"/>
                <w:color w:val="000000"/>
                <w:sz w:val="24"/>
                <w:szCs w:val="24"/>
                <w:highlight w:val="none"/>
                <w:u w:val="none"/>
                <w:lang w:val="en-US" w:eastAsia="zh-CN"/>
              </w:rPr>
              <w:t xml:space="preserve">点</w:t>
            </w:r>
            <w:r>
              <w:rPr>
                <w:rFonts w:hint="eastAsia" w:ascii="宋体" w:hAnsi="宋体" w:eastAsia="宋体" w:cs="宋体"/>
                <w:i w:val="0"/>
                <w:iCs w:val="0"/>
                <w:color w:val="000000"/>
                <w:sz w:val="24"/>
                <w:szCs w:val="24"/>
                <w:highlight w:val="none"/>
                <w:u w:val="none"/>
              </w:rPr>
              <w:t xml:space="preserve">参数项，</w:t>
            </w:r>
            <w:r>
              <w:rPr>
                <w:rFonts w:hint="eastAsia" w:ascii="宋体" w:hAnsi="宋体" w:cs="宋体"/>
                <w:i w:val="0"/>
                <w:iCs w:val="0"/>
                <w:color w:val="000000"/>
                <w:sz w:val="24"/>
                <w:szCs w:val="24"/>
                <w:highlight w:val="none"/>
                <w:u w:val="none"/>
                <w:lang w:val="en-US" w:eastAsia="zh-CN"/>
              </w:rPr>
              <w:t xml:space="preserve">最大工作高度等于18米得1分，超过18米低于等于20米得2分，超过20米得3分。</w:t>
            </w:r>
            <w:r>
              <w:rPr>
                <w:rFonts w:hint="eastAsia" w:ascii="宋体" w:hAnsi="宋体" w:eastAsia="宋体" w:cs="宋体"/>
                <w:i w:val="0"/>
                <w:iCs w:val="0"/>
                <w:color w:val="000000"/>
                <w:sz w:val="24"/>
                <w:szCs w:val="24"/>
                <w:highlight w:val="none"/>
                <w:u w:val="none"/>
              </w:rPr>
              <w:t xml:space="preserve">需提供国家级检验中心出具的产品检测报告或具有相关资质认证的第三方检测机构出具的产品检测报告作为佐证，未提供相关检测报告或不符合参数的按不满足处理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不得分</w:t>
            </w:r>
            <w:r>
              <w:rPr>
                <w:rFonts w:hint="eastAsia" w:ascii="宋体" w:hAnsi="宋体" w:eastAsia="宋体" w:cs="宋体"/>
                <w:i w:val="0"/>
                <w:iCs w:val="0"/>
                <w:color w:val="000000"/>
                <w:sz w:val="24"/>
                <w:szCs w:val="24"/>
                <w:highlight w:val="none"/>
                <w:u w:val="none"/>
              </w:rPr>
              <w:t xml:space="preserve">；</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标“▲”项为重要参数项，不满足的每项扣2分</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需提供国家级检验中心出具的产品检测报告或具有相关资质认证的第三方检测机构出具的产品检测报告作为佐证，未提供相关检测报告或不符合参数的按不满足处理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不得分</w:t>
            </w:r>
            <w:r>
              <w:rPr>
                <w:rFonts w:hint="eastAsia" w:ascii="宋体" w:hAnsi="宋体" w:eastAsia="宋体" w:cs="宋体"/>
                <w:i w:val="0"/>
                <w:iCs w:val="0"/>
                <w:color w:val="000000"/>
                <w:sz w:val="24"/>
                <w:szCs w:val="24"/>
                <w:highlight w:val="none"/>
                <w:u w:val="none"/>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标“●”项为主要参数项，不满足的每项扣2分。</w:t>
            </w:r>
            <w:r>
              <w:rPr>
                <w:rFonts w:hint="eastAsia" w:ascii="宋体" w:hAnsi="宋体" w:eastAsia="宋体" w:cs="宋体"/>
                <w:color w:val="000000"/>
                <w:sz w:val="24"/>
                <w:szCs w:val="24"/>
                <w:highlight w:val="none"/>
              </w:rPr>
              <w:t xml:space="preserve">提供相应的有效证明材料（如白皮书、设备生产厂家证明</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、彩页、手册、检测报告等材料）以证明技术参数及功能的有效性</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未提供相关</w:t>
            </w:r>
            <w:r>
              <w:rPr>
                <w:rFonts w:hint="eastAsia" w:ascii="宋体" w:hAnsi="宋体" w:cs="宋体"/>
                <w:i w:val="0"/>
                <w:iCs w:val="0"/>
                <w:color w:val="000000"/>
                <w:sz w:val="24"/>
                <w:szCs w:val="24"/>
                <w:highlight w:val="none"/>
                <w:u w:val="none"/>
                <w:lang w:val="en-US" w:eastAsia="zh-CN"/>
              </w:rPr>
              <w:t xml:space="preserve">有效证明材料</w:t>
            </w:r>
            <w:r>
              <w:rPr>
                <w:rFonts w:hint="eastAsia" w:ascii="宋体" w:hAnsi="宋体" w:eastAsia="宋体" w:cs="宋体"/>
                <w:i w:val="0"/>
                <w:iCs w:val="0"/>
                <w:color w:val="000000"/>
                <w:sz w:val="24"/>
                <w:szCs w:val="24"/>
                <w:highlight w:val="none"/>
                <w:u w:val="none"/>
              </w:rPr>
              <w:t xml:space="preserve">或不符合参数的按不满足处理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不得分</w:t>
            </w:r>
            <w:r>
              <w:rPr>
                <w:rFonts w:hint="eastAsia" w:ascii="宋体" w:hAnsi="宋体" w:cs="宋体"/>
                <w:i w:val="0"/>
                <w:iCs w:val="0"/>
                <w:color w:val="000000"/>
                <w:sz w:val="24"/>
                <w:szCs w:val="24"/>
                <w:highlight w:val="none"/>
                <w:u w:val="none"/>
                <w:lang w:eastAsia="zh-CN"/>
              </w:rPr>
              <w:t xml:space="preserve">。</w:t>
            </w:r>
            <w:r/>
          </w:p>
        </w:tc>
      </w:tr>
      <w:tr>
        <w:trPr>
          <w:trHeight w:val="12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业绩</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2024年以来（以合同签订时间为准），</w:t>
            </w:r>
            <w:r>
              <w:rPr>
                <w:rFonts w:hint="eastAsia" w:ascii="宋体" w:hAnsi="宋体" w:cs="宋体"/>
                <w:i w:val="0"/>
                <w:iCs w:val="0"/>
                <w:color w:val="000000"/>
                <w:sz w:val="24"/>
                <w:szCs w:val="24"/>
                <w:highlight w:val="none"/>
                <w:u w:val="none"/>
                <w:lang w:val="en-US" w:eastAsia="zh-CN"/>
              </w:rPr>
              <w:t xml:space="preserve">投标供应商</w:t>
            </w:r>
            <w:r>
              <w:rPr>
                <w:rFonts w:hint="eastAsia" w:ascii="宋体" w:hAnsi="宋体" w:eastAsia="宋体" w:cs="宋体"/>
                <w:i w:val="0"/>
                <w:iCs w:val="0"/>
                <w:color w:val="000000"/>
                <w:sz w:val="24"/>
                <w:szCs w:val="24"/>
                <w:highlight w:val="none"/>
                <w:u w:val="none"/>
              </w:rPr>
              <w:t xml:space="preserve">具有</w:t>
            </w:r>
            <w:r>
              <w:rPr>
                <w:rFonts w:hint="eastAsia" w:ascii="宋体" w:hAnsi="宋体" w:cs="宋体"/>
                <w:i w:val="0"/>
                <w:iCs w:val="0"/>
                <w:color w:val="000000"/>
                <w:sz w:val="24"/>
                <w:szCs w:val="24"/>
                <w:highlight w:val="none"/>
                <w:u w:val="none"/>
                <w:lang w:val="en-US" w:eastAsia="zh-CN"/>
              </w:rPr>
              <w:t xml:space="preserve">类似</w:t>
            </w:r>
            <w:r>
              <w:rPr>
                <w:rFonts w:hint="eastAsia" w:ascii="宋体" w:hAnsi="宋体" w:eastAsia="宋体" w:cs="宋体"/>
                <w:i w:val="0"/>
                <w:iCs w:val="0"/>
                <w:color w:val="000000"/>
                <w:sz w:val="24"/>
                <w:szCs w:val="24"/>
                <w:highlight w:val="none"/>
                <w:u w:val="none"/>
              </w:rPr>
              <w:t xml:space="preserve">车型供货项目业绩的，每提供一个业绩得1分，最高得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w:t>
            </w:r>
            <w:r>
              <w:rPr>
                <w:rFonts w:hint="eastAsia" w:ascii="宋体" w:hAnsi="宋体" w:cs="宋体"/>
                <w:i w:val="0"/>
                <w:iCs w:val="0"/>
                <w:color w:val="000000"/>
                <w:sz w:val="24"/>
                <w:szCs w:val="24"/>
                <w:highlight w:val="none"/>
                <w:u w:val="none"/>
                <w:lang w:val="en-US" w:eastAsia="zh-CN"/>
              </w:rPr>
              <w:t xml:space="preserve">需</w:t>
            </w:r>
            <w:r>
              <w:rPr>
                <w:rFonts w:hint="eastAsia" w:ascii="宋体" w:hAnsi="宋体" w:eastAsia="宋体" w:cs="宋体"/>
                <w:i w:val="0"/>
                <w:iCs w:val="0"/>
                <w:color w:val="000000"/>
                <w:sz w:val="24"/>
                <w:szCs w:val="24"/>
                <w:highlight w:val="none"/>
                <w:u w:val="none"/>
              </w:rPr>
              <w:t xml:space="preserve">业绩合同的扫描件</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合同发票</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若上述证明材料中均无法体现合同签订时间等关键评审内容的，须同时提供业主单位（合同甲方）出具的证明材料加以明确说明，未提供或提供不全的不得分。</w:t>
            </w:r>
            <w:r/>
          </w:p>
        </w:tc>
      </w:tr>
      <w:tr>
        <w:trPr>
          <w:trHeight w:val="12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企业实力</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sz w:val="24"/>
                <w:szCs w:val="24"/>
                <w:highlight w:val="none"/>
                <w:lang w:val="en-US" w:eastAsia="zh-CN" w:bidi="ar"/>
              </w:rPr>
              <w:t xml:space="preserve">供应商</w:t>
            </w:r>
            <w:r>
              <w:rPr>
                <w:rFonts w:hint="eastAsia" w:ascii="宋体" w:hAnsi="宋体" w:eastAsia="宋体" w:cs="宋体"/>
                <w:sz w:val="24"/>
                <w:szCs w:val="24"/>
                <w:highlight w:val="none"/>
                <w:lang w:eastAsia="zh-CN" w:bidi="ar"/>
              </w:rPr>
              <w:t xml:space="preserve">具有ISO9001质量管理体系认证、ISO14001环境管理体系认证、ISO45001职业健康安全管理体系认证，投标时提供一份得2分，最高得6分。认证范围与本项目相关。</w:t>
            </w:r>
            <w:r>
              <w:rPr>
                <w:rFonts w:hint="eastAsia" w:ascii="宋体" w:hAnsi="宋体" w:cs="宋体"/>
                <w:sz w:val="24"/>
                <w:szCs w:val="24"/>
                <w:highlight w:val="none"/>
                <w:lang w:val="en-US" w:eastAsia="zh-CN" w:bidi="ar"/>
              </w:rPr>
              <w:t xml:space="preserve">提供有效证书复印件并加盖公章。</w:t>
            </w:r>
            <w:r/>
          </w:p>
        </w:tc>
      </w:tr>
      <w:tr>
        <w:trPr>
          <w:trHeight w:val="12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免费质保</w:t>
            </w:r>
            <w:r/>
          </w:p>
          <w:p>
            <w:pPr>
              <w:jc w:val="center"/>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期</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所投产品在满足招标文件免费质保期（3年）的基础上，投标人承诺投标人所投包别的所有产品的免费质保期每增加1年的，得1分，最高得1分（增加不足1年的不得分）。</w:t>
            </w:r>
            <w:r/>
          </w:p>
          <w:p>
            <w:pPr>
              <w:jc w:val="left"/>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rPr>
              <w:t xml:space="preserve">注：仅以投标响应表中投标人承诺的免费质保期作为评审依据</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格式自拟。</w:t>
            </w:r>
            <w:r/>
          </w:p>
        </w:tc>
      </w:tr>
      <w:tr>
        <w:trPr>
          <w:trHeight w:val="129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供货及安装调试方案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供应商</w:t>
            </w:r>
            <w:r>
              <w:rPr>
                <w:rFonts w:hint="eastAsia" w:ascii="宋体" w:hAnsi="宋体" w:eastAsia="宋体" w:cs="宋体"/>
                <w:i w:val="0"/>
                <w:iCs w:val="0"/>
                <w:color w:val="000000"/>
                <w:sz w:val="24"/>
                <w:szCs w:val="24"/>
                <w:highlight w:val="none"/>
                <w:u w:val="none"/>
              </w:rPr>
              <w:t xml:space="preserve">提供供货及调试方案，内容包括但不限于：①设备供货</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运输、验收方案②</w:t>
            </w:r>
            <w:r>
              <w:rPr>
                <w:rFonts w:hint="eastAsia" w:ascii="宋体" w:hAnsi="宋体" w:eastAsia="宋体" w:cs="宋体"/>
                <w:i w:val="0"/>
                <w:iCs w:val="0"/>
                <w:color w:val="000000"/>
                <w:sz w:val="24"/>
                <w:szCs w:val="24"/>
                <w:highlight w:val="none"/>
                <w:u w:val="none"/>
              </w:rPr>
              <w:t xml:space="preserve">设备调试</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试运行</w:t>
            </w:r>
            <w:r>
              <w:rPr>
                <w:rFonts w:hint="eastAsia" w:ascii="宋体" w:hAnsi="宋体" w:cs="宋体"/>
                <w:i w:val="0"/>
                <w:iCs w:val="0"/>
                <w:color w:val="000000"/>
                <w:sz w:val="24"/>
                <w:szCs w:val="24"/>
                <w:highlight w:val="none"/>
                <w:u w:val="none"/>
                <w:lang w:val="en-US" w:eastAsia="zh-CN"/>
              </w:rPr>
              <w:t xml:space="preserve">的步骤措施进度安排</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③质量保证及问题解决方案</w:t>
            </w:r>
            <w:r>
              <w:rPr>
                <w:rFonts w:hint="eastAsia" w:ascii="宋体" w:hAnsi="宋体" w:eastAsia="宋体" w:cs="宋体"/>
                <w:i w:val="0"/>
                <w:iCs w:val="0"/>
                <w:color w:val="000000"/>
                <w:sz w:val="24"/>
                <w:szCs w:val="24"/>
                <w:highlight w:val="none"/>
                <w:u w:val="none"/>
              </w:rPr>
              <w:t xml:space="preserve">等内容进行评分。每项得</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分，共计</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rPr>
              <w:t xml:space="preserve">分，每有一项缺项的扣</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分，每有一项内容不完整或有缺陷的扣</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i w:val="0"/>
                <w:iCs w:val="0"/>
                <w:color w:val="000000"/>
                <w:sz w:val="24"/>
                <w:szCs w:val="24"/>
                <w:highlight w:val="none"/>
                <w:u w:val="none"/>
              </w:rPr>
              <w:t xml:space="preserve">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29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售后服务</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方案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供应商</w:t>
            </w:r>
            <w:r>
              <w:rPr>
                <w:rFonts w:hint="eastAsia" w:ascii="宋体" w:hAnsi="宋体" w:eastAsia="宋体" w:cs="宋体"/>
                <w:i w:val="0"/>
                <w:iCs w:val="0"/>
                <w:color w:val="000000"/>
                <w:sz w:val="24"/>
                <w:szCs w:val="24"/>
                <w:highlight w:val="none"/>
                <w:u w:val="none"/>
              </w:rPr>
              <w:t xml:space="preserve">提供的后服务方案，内容包括但不限于：①服务承诺及条款、②服务响应方案及备件（易耗品）供应方案、服务人员配备及应急措施、</w:t>
            </w:r>
            <w:r>
              <w:rPr>
                <w:rFonts w:hint="eastAsia" w:ascii="宋体" w:hAnsi="宋体" w:cs="宋体"/>
                <w:i w:val="0"/>
                <w:iCs w:val="0"/>
                <w:color w:val="000000"/>
                <w:sz w:val="24"/>
                <w:szCs w:val="24"/>
                <w:highlight w:val="none"/>
                <w:u w:val="none"/>
                <w:lang w:val="en-US" w:eastAsia="zh-CN"/>
              </w:rPr>
              <w:t xml:space="preserve">③</w:t>
            </w:r>
            <w:r>
              <w:rPr>
                <w:rFonts w:hint="eastAsia" w:ascii="宋体" w:hAnsi="宋体" w:eastAsia="宋体" w:cs="宋体"/>
                <w:i w:val="0"/>
                <w:iCs w:val="0"/>
                <w:color w:val="000000"/>
                <w:sz w:val="24"/>
                <w:szCs w:val="24"/>
                <w:highlight w:val="none"/>
                <w:u w:val="none"/>
              </w:rPr>
              <w:t xml:space="preserve">质保外服务措施内容、响应时间及人员配置等内容进行评分。每项得</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分，共计</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rPr>
              <w:t xml:space="preserve">分，每有一项缺项的扣</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分，每有一项内容不完整或有缺陷的扣</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i w:val="0"/>
                <w:iCs w:val="0"/>
                <w:color w:val="000000"/>
                <w:sz w:val="24"/>
                <w:szCs w:val="24"/>
                <w:highlight w:val="none"/>
                <w:u w:val="none"/>
              </w:rPr>
              <w:t xml:space="preserve">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3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培训方案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供应商</w:t>
            </w:r>
            <w:r>
              <w:rPr>
                <w:rFonts w:hint="eastAsia" w:ascii="宋体" w:hAnsi="宋体" w:eastAsia="宋体" w:cs="宋体"/>
                <w:i w:val="0"/>
                <w:iCs w:val="0"/>
                <w:color w:val="000000"/>
                <w:sz w:val="24"/>
                <w:szCs w:val="24"/>
                <w:highlight w:val="none"/>
                <w:u w:val="none"/>
              </w:rPr>
              <w:t xml:space="preserve">提供培训方案的，内容包括但不限于：①培训目标</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培训课程、周期、对象②</w:t>
            </w:r>
            <w:r>
              <w:rPr>
                <w:rFonts w:hint="eastAsia" w:ascii="宋体" w:hAnsi="宋体" w:cs="宋体"/>
                <w:i w:val="0"/>
                <w:iCs w:val="0"/>
                <w:color w:val="000000"/>
                <w:sz w:val="24"/>
                <w:szCs w:val="24"/>
                <w:highlight w:val="none"/>
                <w:u w:val="none"/>
                <w:lang w:val="en-US" w:eastAsia="zh-CN"/>
              </w:rPr>
              <w:t xml:space="preserve">培训</w:t>
            </w:r>
            <w:r>
              <w:rPr>
                <w:rFonts w:hint="eastAsia" w:ascii="宋体" w:hAnsi="宋体" w:eastAsia="宋体" w:cs="宋体"/>
                <w:i w:val="0"/>
                <w:iCs w:val="0"/>
                <w:color w:val="000000"/>
                <w:sz w:val="24"/>
                <w:szCs w:val="24"/>
                <w:highlight w:val="none"/>
                <w:u w:val="none"/>
              </w:rPr>
              <w:t xml:space="preserve">团队</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技术培训方案</w:t>
            </w:r>
            <w:r>
              <w:rPr>
                <w:rFonts w:hint="eastAsia" w:ascii="宋体" w:hAnsi="宋体" w:eastAsia="宋体" w:cs="宋体"/>
                <w:i w:val="0"/>
                <w:iCs w:val="0"/>
                <w:color w:val="000000"/>
                <w:sz w:val="24"/>
                <w:szCs w:val="24"/>
                <w:highlight w:val="none"/>
                <w:u w:val="none"/>
              </w:rPr>
              <w:t xml:space="preserve">等内容进行评分。每项得</w:t>
            </w: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分，共计</w:t>
            </w:r>
            <w:r>
              <w:rPr>
                <w:rFonts w:hint="eastAsia" w:ascii="宋体" w:hAnsi="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分，每有一项缺项的扣</w:t>
            </w: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分，每有一项内容不完整或有缺陷的扣</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i w:val="0"/>
                <w:iCs w:val="0"/>
                <w:color w:val="000000"/>
                <w:sz w:val="24"/>
                <w:szCs w:val="24"/>
                <w:highlight w:val="none"/>
                <w:u w:val="none"/>
              </w:rPr>
              <w:t xml:space="preserve">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pStyle w:val="912"/>
        <w:ind w:firstLine="361"/>
        <w:spacing w:before="0" w:after="0" w:line="560" w:lineRule="exact"/>
        <w:rPr>
          <w:rFonts w:cs="Arial"/>
          <w:b/>
          <w:highlight w:val="none"/>
        </w:rPr>
      </w:pPr>
      <w:r>
        <w:rPr>
          <w:rFonts w:hint="eastAsia" w:cs="Arial"/>
          <w:b/>
          <w:highlight w:val="none"/>
        </w:rPr>
        <w:t xml:space="preserve">（四）价格分：30分</w:t>
      </w:r>
      <w:r/>
    </w:p>
    <w:p>
      <w:pPr>
        <w:pStyle w:val="912"/>
        <w:ind w:firstLine="439"/>
        <w:spacing w:before="0" w:after="0" w:line="560" w:lineRule="exact"/>
        <w:rPr>
          <w:rFonts w:cs="Arial"/>
          <w:highlight w:val="none"/>
        </w:rPr>
      </w:pPr>
      <w:r>
        <w:rPr>
          <w:rFonts w:hint="eastAsia" w:cs="Arial"/>
          <w:highlight w:val="none"/>
        </w:rPr>
        <w:t xml:space="preserve">价格分统一采用低价优先法计算，即满足招标文件要求且投标价格最低的投标报价为评标基准价，其价格分为满分。其他投标人的价格分统一按照下列公式计算：</w:t>
      </w:r>
      <w:r/>
    </w:p>
    <w:p>
      <w:pPr>
        <w:pStyle w:val="912"/>
        <w:ind w:firstLine="439"/>
        <w:spacing w:before="0" w:after="0" w:line="560" w:lineRule="exact"/>
        <w:rPr>
          <w:rFonts w:cs="Arial"/>
          <w:highlight w:val="none"/>
        </w:rPr>
      </w:pPr>
      <w:r>
        <w:rPr>
          <w:rFonts w:hint="eastAsia" w:cs="Arial"/>
          <w:highlight w:val="none"/>
        </w:rPr>
        <w:t xml:space="preserve">投标报价得分=（评标基准价/投标报价）×价格权值×100</w:t>
      </w:r>
      <w:r>
        <w:rPr>
          <w:rFonts w:cs="Arial"/>
          <w:highlight w:val="none"/>
        </w:rPr>
        <w:t xml:space="preserve"> </w:t>
      </w:r>
      <w:r/>
    </w:p>
    <w:p>
      <w:pPr>
        <w:pStyle w:val="912"/>
        <w:ind w:firstLine="441"/>
        <w:spacing w:before="0" w:after="0" w:line="520" w:lineRule="exact"/>
        <w:rPr>
          <w:rFonts w:hint="eastAsia" w:cs="Arial"/>
          <w:b/>
          <w:bCs/>
          <w:highlight w:val="none"/>
        </w:rPr>
      </w:pPr>
      <w:r>
        <w:rPr>
          <w:rFonts w:hint="eastAsia" w:cs="Arial"/>
          <w:b/>
          <w:bCs/>
          <w:highlight w:val="none"/>
        </w:rPr>
        <w:t xml:space="preserve">出现下列情形之一的，评标委员会应当启动异常低价投标审查程序：</w:t>
      </w:r>
      <w:r/>
    </w:p>
    <w:p>
      <w:pPr>
        <w:pStyle w:val="912"/>
        <w:ind w:firstLine="441"/>
        <w:spacing w:before="0" w:after="0" w:line="520" w:lineRule="exact"/>
        <w:rPr>
          <w:rFonts w:hint="eastAsia" w:cs="Arial"/>
          <w:b/>
          <w:bCs/>
          <w:highlight w:val="none"/>
        </w:rPr>
      </w:pPr>
      <w:r>
        <w:rPr>
          <w:rFonts w:hint="eastAsia" w:cs="Arial"/>
          <w:b/>
          <w:bCs/>
          <w:highlight w:val="none"/>
        </w:rPr>
        <w:t xml:space="preserve">1.投标（响应）报价低于全部通过符合性审查供应商投标（响应）报价平均值50%的，即投标（响应）报价&lt;全部通过符合性审查供应商投标（响应）报价平均值×50%；</w:t>
      </w:r>
      <w:r/>
    </w:p>
    <w:p>
      <w:pPr>
        <w:pStyle w:val="912"/>
        <w:ind w:firstLine="441"/>
        <w:spacing w:before="0" w:after="0" w:line="520" w:lineRule="exact"/>
        <w:rPr>
          <w:rFonts w:hint="eastAsia" w:cs="Arial"/>
          <w:b/>
          <w:bCs/>
          <w:highlight w:val="none"/>
        </w:rPr>
      </w:pPr>
      <w:r>
        <w:rPr>
          <w:rFonts w:hint="eastAsia" w:cs="Arial"/>
          <w:b/>
          <w:bCs/>
          <w:highlight w:val="none"/>
        </w:rPr>
        <w:t xml:space="preserve">2.投标（响应）报价低于通过符合性审查的次低报价供应商投标（响应）报价50%的，即投标（响应）报价&lt;通过符合性审查的次低报价供应商投标（响应）报价×50%；</w:t>
      </w:r>
      <w:r/>
    </w:p>
    <w:p>
      <w:pPr>
        <w:pStyle w:val="912"/>
        <w:ind w:firstLine="441"/>
        <w:spacing w:before="0" w:after="0" w:line="520" w:lineRule="exact"/>
        <w:rPr>
          <w:rFonts w:hint="eastAsia" w:cs="Arial"/>
          <w:b/>
          <w:bCs/>
          <w:highlight w:val="none"/>
        </w:rPr>
      </w:pPr>
      <w:r>
        <w:rPr>
          <w:rFonts w:hint="eastAsia" w:cs="Arial"/>
          <w:b/>
          <w:bCs/>
          <w:highlight w:val="none"/>
        </w:rPr>
        <w:t xml:space="preserve">3.投标（响应）报价低于采购项目最高限价45%的，即投标（响应）报价&lt;采购项目最高限价×45%；</w:t>
      </w:r>
      <w:r/>
    </w:p>
    <w:p>
      <w:pPr>
        <w:pStyle w:val="912"/>
        <w:ind w:firstLine="441"/>
        <w:spacing w:before="0" w:after="0" w:line="520" w:lineRule="exact"/>
        <w:rPr>
          <w:rFonts w:hint="eastAsia" w:cs="Arial"/>
          <w:b/>
          <w:bCs/>
          <w:highlight w:val="none"/>
        </w:rPr>
      </w:pPr>
      <w:r>
        <w:rPr>
          <w:rFonts w:hint="eastAsia" w:cs="Arial"/>
          <w:b/>
          <w:bCs/>
          <w:highlight w:val="none"/>
        </w:rPr>
        <w:t xml:space="preserve">4.评审委员会基于专业判断，认为供应商报价过低，有可能影响产品质量或者不能诚信履约的其他情形。</w:t>
      </w:r>
      <w:r/>
    </w:p>
    <w:p>
      <w:pPr>
        <w:pStyle w:val="912"/>
        <w:ind w:firstLine="441"/>
        <w:spacing w:before="0" w:after="0" w:line="520" w:lineRule="exact"/>
        <w:rPr>
          <w:rFonts w:hint="eastAsia" w:cs="Arial"/>
          <w:highlight w:val="none"/>
        </w:rPr>
      </w:pPr>
      <w:r>
        <w:rPr>
          <w:rFonts w:hint="eastAsia" w:cs="Arial"/>
          <w:b/>
          <w:bCs/>
          <w:highlight w:val="none"/>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12"/>
        <w:ind w:firstLine="439"/>
        <w:spacing w:before="0" w:after="0" w:line="520" w:lineRule="exact"/>
        <w:rPr>
          <w:rFonts w:cs="Arial"/>
          <w:highlight w:val="none"/>
        </w:rPr>
      </w:pPr>
      <w:r>
        <w:rPr>
          <w:rFonts w:hint="eastAsia" w:cs="Arial"/>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p>
    <w:p>
      <w:pPr>
        <w:numPr>
          <w:ilvl w:val="0"/>
          <w:numId w:val="10"/>
        </w:numPr>
        <w:ind w:firstLine="386"/>
        <w:jc w:val="left"/>
        <w:spacing w:line="560" w:lineRule="exact"/>
        <w:rPr>
          <w:rFonts w:hint="eastAsia" w:ascii="宋体" w:hAnsi="宋体"/>
          <w:b/>
          <w:highlight w:val="none"/>
        </w:rPr>
      </w:pPr>
      <w:r>
        <w:rPr>
          <w:rFonts w:hint="eastAsia" w:ascii="宋体" w:hAnsi="宋体"/>
          <w:b/>
          <w:highlight w:val="none"/>
        </w:rPr>
        <w:t xml:space="preserve">政府采购政策功能落实</w:t>
      </w:r>
      <w:r/>
    </w:p>
    <w:p>
      <w:pPr>
        <w:ind w:firstLine="482"/>
        <w:spacing w:line="560" w:lineRule="exact"/>
        <w:rPr>
          <w:rFonts w:hint="eastAsia" w:ascii="宋体" w:hAnsi="宋体" w:cs="宋体"/>
          <w:b/>
          <w:color w:val="ff0000"/>
          <w:sz w:val="24"/>
          <w:szCs w:val="24"/>
          <w:highlight w:val="none"/>
          <w:u w:val="single"/>
        </w:rPr>
      </w:pPr>
      <w:r>
        <w:rPr>
          <w:rFonts w:hint="eastAsia" w:ascii="宋体" w:hAnsi="宋体"/>
          <w:b/>
          <w:color w:val="000000"/>
          <w:sz w:val="24"/>
          <w:szCs w:val="24"/>
          <w:highlight w:val="none"/>
          <w:u w:val="single"/>
        </w:rPr>
        <w:t xml:space="preserve">本项目为非专门面向中小微企业采购项目。</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（1）本项目对小型和微型企业产品给予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的扣除价格，用扣除后的价格参与评审。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w:t>
      </w:r>
      <w:r>
        <w:rPr>
          <w:rFonts w:hint="eastAsia" w:ascii="宋体" w:hAnsi="宋体"/>
          <w:color w:val="000000"/>
          <w:sz w:val="24"/>
          <w:szCs w:val="24"/>
          <w:highlight w:val="none"/>
        </w:rPr>
        <w:t xml:space="preserve">《中小企业声明函》。</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b/>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p>
    <w:p>
      <w:pPr>
        <w:ind w:firstLine="480"/>
        <w:jc w:val="left"/>
        <w:spacing w:line="560" w:lineRule="exact"/>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供应商需按照《政府采购促进中小企业发展管理办法》（财库﹝2020﹞46 号）的规定提供相应的《中小企业声明函》。</w:t>
      </w:r>
      <w:r/>
    </w:p>
    <w:p>
      <w:pPr>
        <w:ind w:firstLine="480"/>
        <w:jc w:val="left"/>
        <w:spacing w:line="560" w:lineRule="exact"/>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企业标准请参照《关于印发中小企业划型标准规定的通知》（工信部联企业[2011]300号）文件规定自行填写。</w:t>
      </w:r>
      <w:r/>
    </w:p>
    <w:p>
      <w:pPr>
        <w:ind w:firstLine="480"/>
        <w:jc w:val="left"/>
        <w:spacing w:line="560" w:lineRule="exact"/>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专门面向中小微企业采购的项目或者采购包，不再执行价格评审优惠的扶持政策。</w:t>
      </w:r>
      <w:r/>
    </w:p>
    <w:p>
      <w:pPr>
        <w:ind w:firstLine="480"/>
        <w:jc w:val="left"/>
        <w:spacing w:before="120" w:after="120" w:line="360" w:lineRule="auto"/>
        <w:rPr>
          <w:rFonts w:ascii="宋体" w:hAnsi="宋体"/>
          <w:b/>
          <w:sz w:val="36"/>
          <w:szCs w:val="36"/>
        </w:rPr>
      </w:pPr>
      <w:r>
        <w:rPr>
          <w:rFonts w:hint="eastAsia" w:ascii="宋体" w:hAnsi="宋体"/>
          <w:sz w:val="24"/>
          <w:szCs w:val="24"/>
          <w:lang w:val="en-US" w:eastAsia="zh-CN"/>
        </w:rPr>
        <w:t xml:space="preserve">10、</w:t>
      </w:r>
      <w:r>
        <w:rPr>
          <w:rFonts w:hint="eastAsia" w:ascii="宋体" w:hAnsi="宋体"/>
          <w:sz w:val="24"/>
          <w:szCs w:val="24"/>
        </w:rPr>
        <w:t xml:space="preserve">在政府采购活动中残疾人福利性单位、监狱企业视同小型、微型企业。</w:t>
      </w:r>
      <w:r/>
    </w:p>
    <w:p>
      <w:pPr>
        <w:pStyle w:val="912"/>
        <w:ind w:firstLine="472"/>
        <w:spacing w:line="400" w:lineRule="exact"/>
      </w:pPr>
      <w:r/>
      <w:r/>
    </w:p>
    <w:p>
      <w:pPr>
        <w:pStyle w:val="912"/>
        <w:ind w:left="0" w:firstLine="0"/>
        <w:spacing w:line="400" w:lineRule="exact"/>
      </w:pPr>
      <w:r/>
      <w:r/>
    </w:p>
    <w:p>
      <w:pPr>
        <w:pStyle w:val="912"/>
        <w:ind w:firstLine="472"/>
        <w:spacing w:line="400" w:lineRule="exact"/>
      </w:pPr>
      <w:r/>
      <w:r/>
    </w:p>
    <w:p>
      <w:pPr>
        <w:pStyle w:val="912"/>
        <w:ind w:firstLine="472"/>
        <w:spacing w:line="400" w:lineRule="exact"/>
      </w:pPr>
      <w:r/>
      <w:r/>
    </w:p>
    <w:p>
      <w:pPr>
        <w:pStyle w:val="912"/>
        <w:ind w:firstLine="472"/>
        <w:spacing w:line="400" w:lineRule="exact"/>
      </w:pPr>
      <w:r/>
      <w:r/>
    </w:p>
    <w:p>
      <w:pPr>
        <w:pStyle w:val="912"/>
        <w:ind w:firstLine="472"/>
        <w:spacing w:line="400" w:lineRule="exact"/>
      </w:pPr>
      <w:r/>
      <w:r/>
    </w:p>
    <w:p>
      <w:pPr>
        <w:pStyle w:val="912"/>
        <w:ind w:firstLine="472"/>
        <w:spacing w:line="400" w:lineRule="exact"/>
      </w:pPr>
      <w:r/>
      <w:r/>
    </w:p>
    <w:p>
      <w:pPr>
        <w:pStyle w:val="912"/>
        <w:ind w:firstLine="472"/>
        <w:spacing w:line="400" w:lineRule="exact"/>
      </w:pPr>
      <w:r/>
      <w:r/>
    </w:p>
    <w:p>
      <w:pPr>
        <w:pStyle w:val="912"/>
        <w:ind w:firstLine="472"/>
        <w:spacing w:line="400" w:lineRule="exact"/>
      </w:pPr>
      <w:r/>
      <w:r/>
    </w:p>
    <w:p>
      <w:pPr>
        <w:pStyle w:val="912"/>
        <w:ind w:left="0" w:firstLine="0"/>
        <w:spacing w:line="400" w:lineRule="exact"/>
      </w:pPr>
      <w:r/>
      <w:r/>
    </w:p>
    <w:p>
      <w:pPr>
        <w:pStyle w:val="912"/>
        <w:ind w:firstLine="472"/>
        <w:spacing w:line="400" w:lineRule="exact"/>
      </w:pPr>
      <w:r/>
      <w:r/>
    </w:p>
    <w:p>
      <w:pPr>
        <w:pStyle w:val="912"/>
        <w:ind w:firstLine="0"/>
        <w:spacing w:line="400" w:lineRule="exact"/>
      </w:pPr>
      <w:r/>
      <w:r/>
    </w:p>
    <w:p>
      <w:pPr>
        <w:pStyle w:val="865"/>
        <w:rPr>
          <w:rFonts w:ascii="黑体" w:eastAsia="黑体"/>
          <w:bCs/>
          <w:sz w:val="44"/>
        </w:rPr>
      </w:pPr>
      <w:r>
        <w:rPr>
          <w:rFonts w:hint="eastAsia" w:ascii="黑体" w:eastAsia="黑体"/>
          <w:bCs/>
          <w:sz w:val="44"/>
        </w:rPr>
        <w:t xml:space="preserve">第五章  投标</w:t>
      </w:r>
      <w:bookmarkEnd w:id="184"/>
      <w:r/>
      <w:bookmarkEnd w:id="185"/>
      <w:r/>
      <w:bookmarkEnd w:id="187"/>
      <w:r>
        <w:rPr>
          <w:rFonts w:hint="eastAsia" w:ascii="黑体" w:eastAsia="黑体"/>
          <w:bCs/>
          <w:sz w:val="44"/>
        </w:rPr>
        <w:t xml:space="preserve">文件格式 </w:t>
      </w:r>
      <w:r/>
    </w:p>
    <w:p>
      <w:pPr>
        <w:jc w:val="center"/>
        <w:rPr>
          <w:rFonts w:ascii="宋体" w:hAnsi="宋体"/>
          <w:b/>
          <w:sz w:val="72"/>
        </w:rPr>
      </w:pPr>
      <w:r/>
      <w:bookmarkStart w:id="188" w:name="_Hlt26671244"/>
      <w:r/>
      <w:bookmarkEnd w:id="188"/>
      <w:r/>
      <w:bookmarkStart w:id="189" w:name="_Hlt26955039"/>
      <w:r/>
      <w:bookmarkEnd w:id="189"/>
      <w:r/>
      <w:bookmarkStart w:id="190" w:name="_Toc26554094"/>
      <w:r/>
      <w:bookmarkStart w:id="191" w:name="_Toc120614282"/>
      <w:r/>
      <w:bookmarkStart w:id="192"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8.承诺函（格式见附件）；</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8.投标函（格式见附件5）</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1.商务部分正负偏离表；（格式见附件6）</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2.技术部分正负偏离表；（格式见附件7）</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1.开标一览表（格式见附件8）</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2.分项报价明细表（格式见附件9）</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 中小企业声明函（如有）（格式见附件10）</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4.残疾人福利性单位声明函（如有）（格式见附件11）</w:t>
      </w:r>
      <w:r/>
    </w:p>
    <w:p>
      <w:pPr>
        <w:ind w:firstLine="480"/>
        <w:spacing w:line="38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5.监狱和戒毒企业证明材料（如有）（格式见附件12）</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pStyle w:val="717"/>
      </w:p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sz w:val="24"/>
          <w:szCs w:val="24"/>
        </w:rPr>
      </w:pPr>
      <w:r>
        <w:rPr>
          <w:rFonts w:ascii="宋体"/>
          <w:sz w:val="24"/>
          <w:szCs w:val="24"/>
        </w:rPr>
      </w:r>
      <w:r/>
    </w:p>
    <w:p>
      <w:pPr>
        <w:jc w:val="left"/>
        <w:spacing w:line="360" w:lineRule="auto"/>
        <w:widowControl/>
        <w:rPr>
          <w:rFonts w:ascii="宋体" w:cs="宋体"/>
          <w:color w:val="000000"/>
          <w:sz w:val="24"/>
          <w:szCs w:val="24"/>
        </w:rPr>
      </w:pPr>
      <w:r>
        <w:rPr>
          <w:rFonts w:ascii="宋体" w:cs="宋体"/>
          <w:color w:val="000000"/>
          <w:sz w:val="24"/>
          <w:szCs w:val="24"/>
        </w:rPr>
      </w:r>
      <w:r/>
    </w:p>
    <w:p>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cs="宋体"/>
          <w:color w:val="000000"/>
          <w:sz w:val="24"/>
          <w:szCs w:val="24"/>
        </w:rPr>
      </w:pPr>
      <w:r>
        <w:rPr>
          <w:rFonts w:ascii="宋体" w:cs="宋体"/>
          <w:color w:val="000000"/>
          <w:sz w:val="24"/>
          <w:szCs w:val="24"/>
        </w:rPr>
      </w:r>
      <w:r/>
    </w:p>
    <w:p>
      <w:pPr>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b/>
          <w:sz w:val="32"/>
          <w:szCs w:val="32"/>
        </w:rPr>
      </w:pPr>
      <w:r>
        <w:rPr>
          <w:rFonts w:ascii="宋体"/>
          <w:b/>
          <w:sz w:val="32"/>
          <w:szCs w:val="32"/>
        </w:rPr>
      </w:r>
      <w:r/>
    </w:p>
    <w:p>
      <w:pPr>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b/>
          <w:bCs/>
          <w:sz w:val="44"/>
          <w:szCs w:val="44"/>
        </w:rPr>
      </w:pPr>
      <w:r>
        <w:rPr>
          <w:rFonts w:ascii="宋体"/>
          <w:b/>
          <w:bCs/>
          <w:sz w:val="44"/>
          <w:szCs w:val="44"/>
        </w:rPr>
      </w:r>
      <w:r/>
    </w:p>
    <w:p>
      <w:pPr>
        <w:ind w:firstLine="881"/>
        <w:jc w:val="center"/>
        <w:spacing w:line="460" w:lineRule="exact"/>
        <w:rPr>
          <w:rFonts w:ascii="宋体"/>
          <w:b/>
          <w:bCs/>
          <w:sz w:val="44"/>
          <w:szCs w:val="44"/>
        </w:rPr>
      </w:pPr>
      <w:r>
        <w:rPr>
          <w:rFonts w:ascii="宋体"/>
          <w:b/>
          <w:bCs/>
          <w:sz w:val="44"/>
          <w:szCs w:val="44"/>
        </w:rPr>
      </w:r>
      <w:r/>
    </w:p>
    <w:p>
      <w:pPr>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spacing w:line="500" w:lineRule="exact"/>
        <w:rPr>
          <w:rFonts w:ascii="宋体"/>
          <w:bCs/>
          <w:sz w:val="24"/>
        </w:rPr>
      </w:pPr>
      <w:r>
        <w:rPr>
          <w:rFonts w:ascii="宋体"/>
          <w:bCs/>
          <w:sz w:val="24"/>
        </w:rPr>
      </w:r>
      <w:r/>
    </w:p>
    <w:p>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p>
    <w:p>
      <w:pPr>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p>
    <w:p>
      <w:pPr>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ascii="宋体" w:hAnsi="宋体"/>
          <w:b/>
          <w:bCs/>
          <w:sz w:val="32"/>
        </w:rPr>
      </w:pPr>
      <w:r>
        <w:rPr>
          <w:rFonts w:hint="eastAsia" w:ascii="宋体" w:hAnsi="宋体"/>
          <w:b/>
          <w:bCs/>
          <w:sz w:val="32"/>
        </w:rPr>
        <w:t xml:space="preserve">附件5</w:t>
      </w:r>
      <w:r/>
    </w:p>
    <w:p>
      <w:pPr>
        <w:jc w:val="center"/>
        <w:rPr>
          <w:rFonts w:ascii="宋体" w:hAnsi="宋体" w:cs="宋体"/>
          <w:b/>
          <w:bCs/>
          <w:sz w:val="32"/>
          <w:szCs w:val="32"/>
        </w:rPr>
      </w:pPr>
      <w:r>
        <w:rPr>
          <w:rFonts w:hint="eastAsia" w:ascii="宋体" w:hAnsi="宋体" w:cs="宋体"/>
          <w:b/>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ind w:firstLine="420"/>
        <w:rPr>
          <w:rFonts w:eastAsia="方正黑体_GBK"/>
          <w:sz w:val="32"/>
          <w:szCs w:val="32"/>
        </w:rPr>
      </w:pPr>
      <w:r>
        <w:rPr>
          <w:rFonts w:ascii="宋体" w:hAnsi="宋体"/>
          <w:sz w:val="32"/>
          <w:szCs w:val="32"/>
          <w:lang w:val="zh-CN"/>
        </w:rPr>
        <w:br w:type="page" w:clear="all"/>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6</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致：采购人</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717"/>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17"/>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17"/>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9</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6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投标货物名称</w:t>
            </w:r>
            <w:r/>
          </w:p>
        </w:tc>
        <w:tc>
          <w:tcPr>
            <w:tcW w:w="4607"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tcPr>
          <w:p>
            <w:pP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tcPr>
          <w:p>
            <w:pPr>
              <w:spacing w:line="560" w:lineRule="exact"/>
              <w:rPr>
                <w:rFonts w:ascii="等线" w:hAnsi="等线"/>
                <w:szCs w:val="22"/>
                <w:u w:val="single"/>
              </w:rPr>
            </w:pPr>
            <w:r>
              <w:rPr>
                <w:rFonts w:ascii="等线" w:hAnsi="等线"/>
                <w:szCs w:val="22"/>
                <w:u w:val="single"/>
              </w:rPr>
            </w:r>
            <w:r/>
          </w:p>
        </w:tc>
      </w:tr>
      <w:tr>
        <w:trPr/>
        <w:tc>
          <w:tcPr>
            <w:tcW w:w="4148" w:type="dxa"/>
            <w:textDirection w:val="lrTb"/>
            <w:noWrap/>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10</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67"/>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sz w:val="28"/>
          <w:szCs w:val="28"/>
          <w:lang w:val="zh-CN"/>
        </w:rPr>
        <w:outlineLvl w:val="0"/>
      </w:pPr>
      <w:r>
        <w:rPr>
          <w:rFonts w:ascii="宋体" w:hAnsi="宋体" w:eastAsia="幼圆" w:cs="Arial"/>
          <w:b/>
          <w:sz w:val="24"/>
          <w:szCs w:val="44"/>
        </w:rPr>
        <w:br w:type="page" w:clear="all"/>
      </w:r>
      <w:r/>
    </w:p>
    <w:p>
      <w:pPr>
        <w:spacing w:line="300" w:lineRule="auto"/>
        <w:rPr>
          <w:rFonts w:hint="eastAsia" w:eastAsia="方正黑体_GBK"/>
          <w:sz w:val="32"/>
          <w:szCs w:val="32"/>
          <w:lang w:eastAsia="zh-CN"/>
        </w:rPr>
        <w:outlineLvl w:val="0"/>
      </w:pP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1</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rPr>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ascii="宋体" w:hAnsi="宋体" w:cs="宋体"/>
          <w:lang w:bidi="zh-CN"/>
        </w:rPr>
        <w:outlineLvl w:val="0"/>
      </w:pPr>
      <w:r>
        <w:rPr>
          <w:rFonts w:hint="eastAsia" w:ascii="宋体" w:hAnsi="宋体" w:cs="宋体"/>
          <w:lang w:bidi="zh-CN"/>
        </w:rPr>
        <w:t xml:space="preserve">注：1.如项目属性为“货物”，请按本表填写。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spacing w:line="300" w:lineRule="auto"/>
        <w:rPr>
          <w:rFonts w:ascii="宋体" w:hAnsi="宋体" w:cs="宋体"/>
          <w:lang w:bidi="zh-CN"/>
        </w:rPr>
        <w:outlineLvl w:val="0"/>
      </w:pPr>
      <w:r>
        <w:rPr>
          <w:rFonts w:hint="eastAsia" w:ascii="宋体" w:hAnsi="宋体" w:cs="宋体"/>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lang w:bidi="zh-CN"/>
        </w:rPr>
        <w:outlineLvl w:val="0"/>
      </w:pPr>
      <w:r>
        <w:rPr>
          <w:rFonts w:hint="eastAsia" w:ascii="宋体" w:hAnsi="宋体" w:cs="宋体"/>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rPr>
      </w:pPr>
      <w:r>
        <w:rPr>
          <w:rFonts w:hint="eastAsia" w:ascii="宋体" w:hAnsi="宋体" w:cs="宋体"/>
        </w:rPr>
        <w:t xml:space="preserve">《中小企业划型标准规定》（工信部联企业〔2011〕300号）</w:t>
      </w:r>
      <w:r/>
    </w:p>
    <w:tbl>
      <w:tblPr>
        <w:tblStyle w:val="6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543"/>
        <w:gridCol w:w="750"/>
        <w:gridCol w:w="2037"/>
        <w:gridCol w:w="1770"/>
        <w:gridCol w:w="1154"/>
      </w:tblGrid>
      <w:tr>
        <w:trPr>
          <w:cantSplit/>
          <w:jc w:val="center"/>
          <w:tblHeader/>
        </w:trPr>
        <w:tc>
          <w:tcPr>
            <w:tcW w:w="1917" w:type="dxa"/>
            <w:vAlign w:val="center"/>
            <w:textDirection w:val="lrTb"/>
            <w:noWrap w:val="false"/>
          </w:tcPr>
          <w:p>
            <w:pPr>
              <w:jc w:val="center"/>
              <w:rPr>
                <w:rFonts w:ascii="宋体" w:hAnsi="宋体" w:cs="宋体"/>
                <w:b/>
              </w:rPr>
            </w:pPr>
            <w:r>
              <w:rPr>
                <w:rFonts w:hint="eastAsia" w:ascii="宋体" w:hAnsi="宋体" w:cs="宋体"/>
                <w:b/>
              </w:rPr>
              <w:t xml:space="preserve">行业名称</w:t>
            </w:r>
            <w:r/>
          </w:p>
        </w:tc>
        <w:tc>
          <w:tcPr>
            <w:tcW w:w="1544" w:type="dxa"/>
            <w:vAlign w:val="center"/>
            <w:textDirection w:val="lrTb"/>
            <w:noWrap w:val="false"/>
          </w:tcPr>
          <w:p>
            <w:pPr>
              <w:jc w:val="center"/>
              <w:rPr>
                <w:rFonts w:ascii="宋体" w:hAnsi="宋体" w:cs="宋体"/>
                <w:b/>
              </w:rPr>
            </w:pPr>
            <w:r>
              <w:rPr>
                <w:rFonts w:hint="eastAsia" w:ascii="宋体" w:hAnsi="宋体" w:cs="宋体"/>
                <w:b/>
              </w:rPr>
              <w:t xml:space="preserve">指标名称</w:t>
            </w:r>
            <w:r/>
          </w:p>
        </w:tc>
        <w:tc>
          <w:tcPr>
            <w:tcW w:w="750" w:type="dxa"/>
            <w:vAlign w:val="center"/>
            <w:textDirection w:val="lrTb"/>
            <w:noWrap w:val="false"/>
          </w:tcPr>
          <w:p>
            <w:pPr>
              <w:jc w:val="center"/>
              <w:rPr>
                <w:rFonts w:ascii="宋体" w:hAnsi="宋体" w:cs="宋体"/>
                <w:b/>
              </w:rPr>
            </w:pPr>
            <w:r>
              <w:rPr>
                <w:rFonts w:hint="eastAsia" w:ascii="宋体" w:hAnsi="宋体" w:cs="宋体"/>
                <w:b/>
              </w:rPr>
              <w:t xml:space="preserve">计量</w:t>
            </w:r>
            <w:r/>
          </w:p>
          <w:p>
            <w:pPr>
              <w:jc w:val="center"/>
              <w:rPr>
                <w:rFonts w:ascii="宋体" w:hAnsi="宋体" w:cs="宋体"/>
                <w:b/>
              </w:rPr>
            </w:pPr>
            <w:r>
              <w:rPr>
                <w:rFonts w:hint="eastAsia" w:ascii="宋体" w:hAnsi="宋体" w:cs="宋体"/>
                <w:b/>
              </w:rPr>
              <w:t xml:space="preserve">单位</w:t>
            </w:r>
            <w:r/>
          </w:p>
        </w:tc>
        <w:tc>
          <w:tcPr>
            <w:tcW w:w="2038" w:type="dxa"/>
            <w:vAlign w:val="center"/>
            <w:textDirection w:val="lrTb"/>
            <w:noWrap w:val="false"/>
          </w:tcPr>
          <w:p>
            <w:pPr>
              <w:jc w:val="center"/>
              <w:rPr>
                <w:rFonts w:ascii="宋体" w:hAnsi="宋体" w:cs="宋体"/>
                <w:b/>
              </w:rPr>
            </w:pPr>
            <w:r>
              <w:rPr>
                <w:rFonts w:hint="eastAsia" w:ascii="宋体" w:hAnsi="宋体" w:cs="宋体"/>
                <w:b/>
              </w:rPr>
              <w:t xml:space="preserve">中型</w:t>
            </w:r>
            <w:r/>
          </w:p>
        </w:tc>
        <w:tc>
          <w:tcPr>
            <w:tcW w:w="1771" w:type="dxa"/>
            <w:vAlign w:val="center"/>
            <w:textDirection w:val="lrTb"/>
            <w:noWrap w:val="false"/>
          </w:tcPr>
          <w:p>
            <w:pPr>
              <w:jc w:val="center"/>
              <w:rPr>
                <w:rFonts w:ascii="宋体" w:hAnsi="宋体" w:cs="宋体"/>
                <w:b/>
              </w:rPr>
            </w:pPr>
            <w:r>
              <w:rPr>
                <w:rFonts w:hint="eastAsia" w:ascii="宋体" w:hAnsi="宋体" w:cs="宋体"/>
                <w:b/>
              </w:rPr>
              <w:t xml:space="preserve">小型</w:t>
            </w:r>
            <w:r/>
          </w:p>
        </w:tc>
        <w:tc>
          <w:tcPr>
            <w:tcW w:w="1154" w:type="dxa"/>
            <w:vAlign w:val="center"/>
            <w:textDirection w:val="lrTb"/>
            <w:noWrap w:val="false"/>
          </w:tcPr>
          <w:p>
            <w:pPr>
              <w:jc w:val="center"/>
              <w:rPr>
                <w:rFonts w:ascii="宋体" w:hAnsi="宋体" w:cs="宋体"/>
                <w:b/>
              </w:rPr>
            </w:pPr>
            <w:r>
              <w:rPr>
                <w:rFonts w:hint="eastAsia" w:ascii="宋体" w:hAnsi="宋体" w:cs="宋体"/>
                <w:b/>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rPr>
            </w:pPr>
            <w:r>
              <w:rPr>
                <w:rFonts w:hint="eastAsia" w:ascii="宋体" w:hAnsi="宋体" w:cs="宋体"/>
              </w:rPr>
              <w:t xml:space="preserve">工业</w:t>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从业人员（X）</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人</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300≤X&lt;1000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20≤X&lt;300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X&lt;20</w:t>
            </w:r>
            <w:r/>
          </w:p>
        </w:tc>
      </w:tr>
      <w:tr>
        <w:trPr>
          <w:cantSplit/>
          <w:jc w:val="center"/>
        </w:trPr>
        <w:tc>
          <w:tcPr>
            <w:tcW w:w="1917" w:type="dxa"/>
            <w:vAlign w:val="center"/>
            <w:vMerge w:val="continue"/>
            <w:textDirection w:val="lrTb"/>
            <w:noWrap w:val="false"/>
          </w:tcPr>
          <w:p>
            <w:pPr>
              <w:jc w:val="center"/>
              <w:rPr>
                <w:rFonts w:ascii="宋体" w:hAnsi="宋体" w:cs="宋体"/>
              </w:rPr>
            </w:pPr>
            <w:r>
              <w:rPr>
                <w:rFonts w:ascii="宋体" w:hAnsi="宋体" w:cs="宋体"/>
              </w:rPr>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营业收入（Y）</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万元</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2000≤Y&lt;40000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300≤Y&lt;2000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Y&lt;300</w:t>
            </w:r>
            <w:r/>
          </w:p>
        </w:tc>
      </w:tr>
    </w:tbl>
    <w:p>
      <w:pPr>
        <w:spacing w:line="300" w:lineRule="auto"/>
        <w:rPr>
          <w:sz w:val="28"/>
          <w:szCs w:val="28"/>
          <w:lang w:bidi="zh-CN"/>
        </w:rPr>
        <w:outlineLvl w:val="0"/>
      </w:pPr>
      <w:r>
        <w:rPr>
          <w:rFonts w:hint="eastAsia" w:ascii="宋体" w:hAnsi="宋体" w:cs="宋体"/>
        </w:rPr>
        <w:t xml:space="preserve">说明：大型、中型和小型企业须同时满足所列指标的下限，否则下划一档；微型企业只须满足所列指标中的一项即可。</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hint="eastAsia" w:eastAsia="方正黑体_GBK"/>
          <w:sz w:val="32"/>
          <w:szCs w:val="32"/>
          <w:lang w:eastAsia="zh-CN"/>
        </w:rPr>
        <w:outlineLvl w:val="0"/>
      </w:pPr>
      <w:r>
        <w:rPr>
          <w:sz w:val="28"/>
          <w:szCs w:val="28"/>
        </w:rPr>
        <w:br w:type="page" w:clear="all"/>
      </w:r>
      <w:r>
        <w:rPr>
          <w:rFonts w:eastAsia="方正黑体_GBK"/>
          <w:sz w:val="32"/>
          <w:szCs w:val="32"/>
        </w:rPr>
        <w:t xml:space="preserve">附件1</w:t>
      </w:r>
      <w:r>
        <w:rPr>
          <w:rFonts w:hint="eastAsia" w:eastAsia="方正黑体_GBK"/>
          <w:sz w:val="32"/>
          <w:szCs w:val="32"/>
          <w:lang w:val="en-US" w:eastAsia="zh-CN"/>
        </w:rPr>
        <w:t xml:space="preserve">3</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注：1、供应商如不提供此声明函，价格将不做相应扣除。</w:t>
      </w:r>
      <w:r/>
    </w:p>
    <w:p>
      <w:pPr>
        <w:ind w:firstLine="560"/>
        <w:spacing w:line="300" w:lineRule="auto"/>
        <w:rPr>
          <w:sz w:val="28"/>
          <w:szCs w:val="28"/>
        </w:rPr>
        <w:outlineLvl w:val="0"/>
      </w:pPr>
      <w:r>
        <w:rPr>
          <w:rFonts w:hint="eastAsia"/>
          <w:sz w:val="28"/>
          <w:szCs w:val="28"/>
        </w:rPr>
        <w:t xml:space="preserve">2、中标供应商为监狱企业的，此声明函将随中标结果同时公告，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 xml:space="preserve">附件1</w:t>
      </w:r>
      <w:r>
        <w:rPr>
          <w:rFonts w:hint="eastAsia" w:eastAsia="方正黑体_GBK"/>
          <w:bCs/>
          <w:sz w:val="32"/>
          <w:szCs w:val="32"/>
          <w:lang w:val="en-US" w:eastAsia="zh-CN"/>
        </w:rPr>
        <w:t xml:space="preserve">4</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5</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hAnsi="Calibri" w:eastAsia="方正黑体_GBK"/>
          <w:b/>
          <w:sz w:val="32"/>
          <w:szCs w:val="32"/>
          <w:lang w:eastAsia="zh-CN"/>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6</w:t>
      </w:r>
      <w:r/>
    </w:p>
    <w:p>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82"/>
      <w:bookmarkEnd w:id="183"/>
      <w:bookmarkEnd w:id="190"/>
      <w:bookmarkEnd w:id="191"/>
      <w:bookmarkEnd w:id="192"/>
      <w:r/>
    </w:p>
    <w:p>
      <w:pPr>
        <w:ind w:firstLine="560"/>
        <w:jc w:val="left"/>
        <w:widowControl/>
        <w:rPr>
          <w:sz w:val="28"/>
          <w:szCs w:val="28"/>
        </w:rPr>
      </w:pPr>
      <w:r>
        <w:rPr>
          <w:sz w:val="28"/>
          <w:szCs w:val="28"/>
        </w:rPr>
      </w:r>
      <w:r/>
    </w:p>
    <w:p>
      <w:pPr>
        <w:spacing w:line="300" w:lineRule="auto"/>
        <w:rPr>
          <w:rFonts w:ascii="宋体" w:hAnsi="宋体"/>
          <w:bCs/>
          <w:color w:val="000000"/>
          <w:sz w:val="24"/>
        </w:rPr>
        <w:outlineLvl w:val="0"/>
      </w:pPr>
      <w:r>
        <w:rPr>
          <w:rFonts w:ascii="宋体" w:hAnsi="宋体"/>
          <w:bCs/>
          <w:color w:val="000000"/>
          <w:sz w:val="24"/>
        </w:rPr>
      </w:r>
      <w:r/>
    </w:p>
    <w:p>
      <w:pPr>
        <w:ind w:firstLine="964"/>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等线">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705"/>
        <w:rFonts w:ascii="宋体" w:hAnsi="宋体"/>
      </w:rPr>
      <w:framePr w:wrap="around" w:vAnchor="text" w:hAnchor="margin" w:xAlign="center" w:y="1"/>
    </w:pPr>
    <w:r>
      <w:rPr>
        <w:rFonts w:ascii="宋体" w:hAnsi="宋体"/>
      </w:rPr>
      <w:fldChar w:fldCharType="begin"/>
    </w:r>
    <w:r>
      <w:rPr>
        <w:rStyle w:val="705"/>
        <w:rFonts w:ascii="宋体" w:hAnsi="宋体"/>
      </w:rPr>
      <w:instrText xml:space="preserve">PAGE  </w:instrText>
    </w:r>
    <w:r>
      <w:rPr>
        <w:rFonts w:ascii="宋体" w:hAnsi="宋体"/>
      </w:rPr>
      <w:fldChar w:fldCharType="separate"/>
    </w:r>
    <w:r>
      <w:rPr>
        <w:rStyle w:val="705"/>
        <w:rFonts w:ascii="宋体" w:hAnsi="宋体"/>
      </w:rPr>
      <w:t xml:space="preserve">2</w:t>
    </w:r>
    <w:r>
      <w:rPr>
        <w:rFonts w:ascii="宋体" w:hAnsi="宋体"/>
      </w:rPr>
      <w:fldChar w:fldCharType="end"/>
    </w:r>
    <w:r/>
  </w:p>
  <w:p>
    <w:pPr>
      <w:pStyle w:val="87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705"/>
      </w:rPr>
      <w:framePr w:wrap="around" w:vAnchor="text" w:hAnchor="margin" w:xAlign="center" w:y="1"/>
    </w:pPr>
    <w:r>
      <w:fldChar w:fldCharType="begin"/>
    </w:r>
    <w:r>
      <w:rPr>
        <w:rStyle w:val="705"/>
      </w:rPr>
      <w:instrText xml:space="preserve">PAGE  </w:instrText>
    </w:r>
    <w:r>
      <w:fldChar w:fldCharType="separate"/>
    </w:r>
    <w:r>
      <w:rPr>
        <w:rStyle w:val="705"/>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870"/>
      <w:isLgl w:val="false"/>
      <w:suff w:val="nothing"/>
      <w:lvlText w:val=""/>
      <w:lvlJc w:val="left"/>
      <w:pPr>
        <w:ind w:left="0" w:firstLine="0"/>
      </w:pPr>
      <w:rPr>
        <w:rFonts w:hint="eastAsia"/>
      </w:rPr>
    </w:lvl>
    <w:lvl w:ilvl="6">
      <w:start w:val="1"/>
      <w:numFmt w:val="none"/>
      <w:pStyle w:val="871"/>
      <w:isLgl w:val="false"/>
      <w:suff w:val="nothing"/>
      <w:lvlText w:val=""/>
      <w:lvlJc w:val="left"/>
      <w:pPr>
        <w:ind w:left="0" w:firstLine="0"/>
      </w:pPr>
      <w:rPr>
        <w:rFonts w:hint="eastAsia"/>
      </w:rPr>
    </w:lvl>
    <w:lvl w:ilvl="7">
      <w:start w:val="1"/>
      <w:numFmt w:val="none"/>
      <w:pStyle w:val="872"/>
      <w:isLgl w:val="false"/>
      <w:suff w:val="nothing"/>
      <w:lvlText w:val=""/>
      <w:lvlJc w:val="left"/>
      <w:pPr>
        <w:ind w:left="0" w:firstLine="0"/>
      </w:pPr>
      <w:rPr>
        <w:rFonts w:hint="eastAsia"/>
      </w:rPr>
    </w:lvl>
    <w:lvl w:ilvl="8">
      <w:start w:val="1"/>
      <w:numFmt w:val="none"/>
      <w:pStyle w:val="873"/>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5">
    <w:name w:val="Heading 2"/>
    <w:basedOn w:val="664"/>
    <w:next w:val="664"/>
    <w:uiPriority w:val="0"/>
    <w:semiHidden/>
    <w:unhideWhenUsed/>
    <w:qFormat/>
    <w:pPr>
      <w:keepLines/>
      <w:keepNext/>
      <w:spacing w:line="360" w:lineRule="auto"/>
      <w:outlineLvl w:val="1"/>
    </w:pPr>
    <w:rPr>
      <w:rFonts w:ascii="仿宋" w:hAnsi="仿宋" w:eastAsia="仿宋" w:cstheme="majorBidi"/>
      <w:b/>
      <w:bCs/>
      <w:sz w:val="24"/>
      <w:szCs w:val="32"/>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List 3"/>
    <w:basedOn w:val="664"/>
    <w:uiPriority w:val="0"/>
    <w:qFormat/>
    <w:pPr>
      <w:ind w:left="100" w:hanging="200"/>
    </w:pPr>
  </w:style>
  <w:style w:type="paragraph" w:styleId="669">
    <w:name w:val="toc 7"/>
    <w:basedOn w:val="664"/>
    <w:next w:val="664"/>
    <w:uiPriority w:val="0"/>
    <w:semiHidden/>
    <w:qFormat/>
    <w:pPr>
      <w:ind w:left="1260"/>
      <w:jc w:val="left"/>
    </w:pPr>
  </w:style>
  <w:style w:type="paragraph" w:styleId="670">
    <w:name w:val="Normal Indent"/>
    <w:basedOn w:val="664"/>
    <w:link w:val="878"/>
    <w:uiPriority w:val="0"/>
    <w:qFormat/>
    <w:pPr>
      <w:ind w:firstLine="420"/>
    </w:pPr>
    <w:rPr>
      <w:sz w:val="20"/>
    </w:rPr>
  </w:style>
  <w:style w:type="paragraph" w:styleId="671">
    <w:name w:val="Document Map"/>
    <w:basedOn w:val="664"/>
    <w:link w:val="886"/>
    <w:uiPriority w:val="0"/>
    <w:semiHidden/>
    <w:qFormat/>
    <w:pPr>
      <w:shd w:val="clear" w:color="auto" w:fill="000080"/>
    </w:pPr>
    <w:rPr>
      <w:sz w:val="20"/>
    </w:rPr>
  </w:style>
  <w:style w:type="paragraph" w:styleId="672">
    <w:name w:val="annotation text"/>
    <w:basedOn w:val="664"/>
    <w:link w:val="887"/>
    <w:uiPriority w:val="0"/>
    <w:semiHidden/>
    <w:qFormat/>
    <w:pPr>
      <w:jc w:val="left"/>
    </w:pPr>
    <w:rPr>
      <w:sz w:val="20"/>
    </w:rPr>
  </w:style>
  <w:style w:type="paragraph" w:styleId="673">
    <w:name w:val="Body Text 3"/>
    <w:basedOn w:val="664"/>
    <w:link w:val="888"/>
    <w:uiPriority w:val="0"/>
    <w:qFormat/>
    <w:rPr>
      <w:rFonts w:ascii="仿宋_GB2312" w:hAnsi="Arial" w:eastAsia="仿宋_GB2312"/>
      <w:sz w:val="32"/>
      <w:szCs w:val="32"/>
    </w:rPr>
  </w:style>
  <w:style w:type="paragraph" w:styleId="674">
    <w:name w:val="Body Text"/>
    <w:basedOn w:val="664"/>
    <w:link w:val="889"/>
    <w:uiPriority w:val="0"/>
    <w:qFormat/>
    <w:rPr>
      <w:rFonts w:ascii="楷体_GB2312" w:hAnsi="Arial" w:eastAsia="楷体_GB2312"/>
      <w:sz w:val="28"/>
      <w:szCs w:val="28"/>
    </w:rPr>
  </w:style>
  <w:style w:type="paragraph" w:styleId="675">
    <w:name w:val="Body Text Indent"/>
    <w:basedOn w:val="664"/>
    <w:link w:val="890"/>
    <w:uiPriority w:val="0"/>
    <w:qFormat/>
    <w:pPr>
      <w:ind w:firstLine="645"/>
    </w:pPr>
    <w:rPr>
      <w:rFonts w:ascii="楷体_GB2312" w:eastAsia="楷体_GB2312"/>
      <w:sz w:val="32"/>
      <w:szCs w:val="32"/>
    </w:rPr>
  </w:style>
  <w:style w:type="paragraph" w:styleId="676">
    <w:name w:val="List 2"/>
    <w:basedOn w:val="664"/>
    <w:uiPriority w:val="0"/>
    <w:qFormat/>
    <w:pPr>
      <w:ind w:left="100" w:hanging="200"/>
    </w:pPr>
  </w:style>
  <w:style w:type="paragraph" w:styleId="677">
    <w:name w:val="toc 5"/>
    <w:basedOn w:val="664"/>
    <w:next w:val="664"/>
    <w:uiPriority w:val="0"/>
    <w:semiHidden/>
    <w:qFormat/>
    <w:pPr>
      <w:ind w:left="840"/>
      <w:jc w:val="left"/>
    </w:pPr>
  </w:style>
  <w:style w:type="paragraph" w:styleId="678">
    <w:name w:val="toc 3"/>
    <w:basedOn w:val="664"/>
    <w:next w:val="664"/>
    <w:uiPriority w:val="0"/>
    <w:semiHidden/>
    <w:qFormat/>
    <w:pPr>
      <w:ind w:left="420"/>
      <w:jc w:val="left"/>
    </w:pPr>
    <w:rPr>
      <w:i/>
      <w:iCs/>
      <w:szCs w:val="24"/>
    </w:rPr>
  </w:style>
  <w:style w:type="paragraph" w:styleId="679">
    <w:name w:val="Plain Text"/>
    <w:basedOn w:val="664"/>
    <w:link w:val="891"/>
    <w:uiPriority w:val="0"/>
    <w:qFormat/>
    <w:rPr>
      <w:rFonts w:ascii="宋体" w:hAnsi="Courier New"/>
      <w:sz w:val="20"/>
    </w:rPr>
  </w:style>
  <w:style w:type="paragraph" w:styleId="680">
    <w:name w:val="toc 8"/>
    <w:basedOn w:val="664"/>
    <w:next w:val="664"/>
    <w:uiPriority w:val="0"/>
    <w:semiHidden/>
    <w:qFormat/>
    <w:pPr>
      <w:ind w:left="1470"/>
      <w:jc w:val="left"/>
    </w:pPr>
  </w:style>
  <w:style w:type="paragraph" w:styleId="681">
    <w:name w:val="Date"/>
    <w:basedOn w:val="664"/>
    <w:next w:val="664"/>
    <w:link w:val="892"/>
    <w:uiPriority w:val="0"/>
    <w:qFormat/>
    <w:rPr>
      <w:sz w:val="24"/>
      <w:szCs w:val="24"/>
    </w:rPr>
  </w:style>
  <w:style w:type="paragraph" w:styleId="682">
    <w:name w:val="Body Text Indent 2"/>
    <w:basedOn w:val="664"/>
    <w:link w:val="893"/>
    <w:uiPriority w:val="0"/>
    <w:qFormat/>
    <w:pPr>
      <w:ind w:left="630" w:firstLine="645"/>
    </w:pPr>
    <w:rPr>
      <w:rFonts w:ascii="Arial" w:hAnsi="Arial" w:eastAsia="仿宋_GB2312"/>
      <w:sz w:val="32"/>
      <w:szCs w:val="32"/>
    </w:rPr>
  </w:style>
  <w:style w:type="paragraph" w:styleId="683">
    <w:name w:val="endnote text"/>
    <w:basedOn w:val="664"/>
    <w:link w:val="863"/>
    <w:uiPriority w:val="99"/>
    <w:semiHidden/>
    <w:unhideWhenUsed/>
    <w:qFormat/>
    <w:rPr>
      <w:sz w:val="20"/>
    </w:rPr>
  </w:style>
  <w:style w:type="paragraph" w:styleId="684">
    <w:name w:val="Balloon Text"/>
    <w:basedOn w:val="664"/>
    <w:link w:val="894"/>
    <w:uiPriority w:val="0"/>
    <w:semiHidden/>
    <w:qFormat/>
    <w:rPr>
      <w:sz w:val="18"/>
      <w:szCs w:val="18"/>
    </w:rPr>
  </w:style>
  <w:style w:type="paragraph" w:styleId="685">
    <w:name w:val="toc 1"/>
    <w:basedOn w:val="664"/>
    <w:next w:val="664"/>
    <w:uiPriority w:val="0"/>
    <w:semiHidden/>
    <w:qFormat/>
    <w:pPr>
      <w:jc w:val="left"/>
      <w:spacing w:before="120" w:after="120" w:line="400" w:lineRule="exact"/>
      <w:tabs>
        <w:tab w:val="right" w:pos="8720" w:leader="dot"/>
      </w:tabs>
    </w:pPr>
    <w:rPr>
      <w:rFonts w:ascii="宋体" w:hAnsi="宋体"/>
      <w:caps/>
      <w:sz w:val="24"/>
      <w:szCs w:val="24"/>
    </w:rPr>
  </w:style>
  <w:style w:type="paragraph" w:styleId="686">
    <w:name w:val="toc 4"/>
    <w:basedOn w:val="664"/>
    <w:next w:val="664"/>
    <w:uiPriority w:val="0"/>
    <w:semiHidden/>
    <w:qFormat/>
    <w:pPr>
      <w:ind w:left="630"/>
      <w:jc w:val="left"/>
    </w:pPr>
  </w:style>
  <w:style w:type="paragraph" w:styleId="687">
    <w:name w:val="Subtitle"/>
    <w:basedOn w:val="664"/>
    <w:next w:val="664"/>
    <w:link w:val="728"/>
    <w:uiPriority w:val="11"/>
    <w:qFormat/>
    <w:pPr>
      <w:spacing w:before="200" w:after="200"/>
    </w:pPr>
    <w:rPr>
      <w:sz w:val="24"/>
      <w:szCs w:val="24"/>
    </w:rPr>
  </w:style>
  <w:style w:type="paragraph" w:styleId="688">
    <w:name w:val="List"/>
    <w:basedOn w:val="664"/>
    <w:uiPriority w:val="0"/>
    <w:qFormat/>
    <w:pPr>
      <w:ind w:left="200" w:hanging="200"/>
    </w:pPr>
  </w:style>
  <w:style w:type="paragraph" w:styleId="689">
    <w:name w:val="footnote text"/>
    <w:basedOn w:val="664"/>
    <w:link w:val="862"/>
    <w:uiPriority w:val="99"/>
    <w:semiHidden/>
    <w:unhideWhenUsed/>
    <w:qFormat/>
    <w:pPr>
      <w:spacing w:after="40"/>
    </w:pPr>
    <w:rPr>
      <w:sz w:val="18"/>
    </w:rPr>
  </w:style>
  <w:style w:type="paragraph" w:styleId="690">
    <w:name w:val="toc 6"/>
    <w:basedOn w:val="664"/>
    <w:next w:val="664"/>
    <w:uiPriority w:val="0"/>
    <w:semiHidden/>
    <w:qFormat/>
    <w:pPr>
      <w:ind w:left="1050"/>
      <w:jc w:val="left"/>
    </w:pPr>
  </w:style>
  <w:style w:type="paragraph" w:styleId="691">
    <w:name w:val="Body Text Indent 3"/>
    <w:basedOn w:val="664"/>
    <w:link w:val="897"/>
    <w:uiPriority w:val="0"/>
    <w:qFormat/>
    <w:pPr>
      <w:ind w:left="645" w:firstLine="645"/>
    </w:pPr>
    <w:rPr>
      <w:rFonts w:ascii="Arial" w:hAnsi="Arial" w:eastAsia="仿宋_GB2312"/>
      <w:color w:val="ffff00"/>
      <w:sz w:val="32"/>
      <w:szCs w:val="32"/>
    </w:rPr>
  </w:style>
  <w:style w:type="paragraph" w:styleId="692">
    <w:name w:val="table of figures"/>
    <w:basedOn w:val="664"/>
    <w:next w:val="664"/>
    <w:uiPriority w:val="0"/>
    <w:semiHidden/>
    <w:qFormat/>
    <w:pPr>
      <w:ind w:left="840" w:hanging="420"/>
    </w:pPr>
  </w:style>
  <w:style w:type="paragraph" w:styleId="693">
    <w:name w:val="toc 2"/>
    <w:basedOn w:val="664"/>
    <w:next w:val="664"/>
    <w:uiPriority w:val="0"/>
    <w:semiHidden/>
    <w:qFormat/>
    <w:pPr>
      <w:ind w:left="210"/>
      <w:jc w:val="left"/>
    </w:pPr>
    <w:rPr>
      <w:smallCaps/>
      <w:szCs w:val="24"/>
    </w:rPr>
  </w:style>
  <w:style w:type="paragraph" w:styleId="694">
    <w:name w:val="toc 9"/>
    <w:basedOn w:val="664"/>
    <w:next w:val="664"/>
    <w:uiPriority w:val="0"/>
    <w:semiHidden/>
    <w:qFormat/>
    <w:pPr>
      <w:ind w:left="1680"/>
      <w:jc w:val="left"/>
    </w:pPr>
  </w:style>
  <w:style w:type="paragraph" w:styleId="695">
    <w:name w:val="Body Text 2"/>
    <w:basedOn w:val="664"/>
    <w:link w:val="898"/>
    <w:uiPriority w:val="0"/>
    <w:qFormat/>
    <w:pPr>
      <w:jc w:val="center"/>
      <w:widowControl/>
    </w:pPr>
    <w:rPr>
      <w:rFonts w:ascii="楷体_GB2312" w:eastAsia="楷体_GB2312"/>
      <w:sz w:val="28"/>
      <w:szCs w:val="28"/>
    </w:rPr>
  </w:style>
  <w:style w:type="paragraph" w:styleId="696">
    <w:name w:val="Normal (Web)"/>
    <w:basedOn w:val="664"/>
    <w:uiPriority w:val="99"/>
    <w:qFormat/>
    <w:pPr>
      <w:jc w:val="left"/>
      <w:spacing w:before="100" w:beforeAutospacing="1" w:after="100" w:afterAutospacing="1"/>
      <w:widowControl/>
    </w:pPr>
    <w:rPr>
      <w:rFonts w:ascii="宋体" w:hAnsi="宋体" w:cs="宋体"/>
      <w:sz w:val="24"/>
      <w:szCs w:val="24"/>
    </w:rPr>
  </w:style>
  <w:style w:type="paragraph" w:styleId="697">
    <w:name w:val="index 1"/>
    <w:basedOn w:val="664"/>
    <w:next w:val="664"/>
    <w:uiPriority w:val="0"/>
    <w:semiHidden/>
    <w:qFormat/>
    <w:pPr>
      <w:spacing w:line="240" w:lineRule="atLeast"/>
    </w:pPr>
    <w:rPr>
      <w:b/>
      <w:bCs/>
    </w:rPr>
  </w:style>
  <w:style w:type="paragraph" w:styleId="698">
    <w:name w:val="Title"/>
    <w:basedOn w:val="664"/>
    <w:next w:val="664"/>
    <w:link w:val="727"/>
    <w:uiPriority w:val="10"/>
    <w:qFormat/>
    <w:pPr>
      <w:contextualSpacing/>
      <w:spacing w:before="300" w:after="200"/>
    </w:pPr>
    <w:rPr>
      <w:sz w:val="48"/>
      <w:szCs w:val="48"/>
    </w:rPr>
  </w:style>
  <w:style w:type="paragraph" w:styleId="699">
    <w:name w:val="annotation subject"/>
    <w:basedOn w:val="672"/>
    <w:next w:val="672"/>
    <w:link w:val="899"/>
    <w:uiPriority w:val="0"/>
    <w:semiHidden/>
    <w:qFormat/>
    <w:rPr>
      <w:b/>
      <w:bCs/>
    </w:rPr>
  </w:style>
  <w:style w:type="paragraph" w:styleId="700">
    <w:name w:val="Body Text First Indent"/>
    <w:basedOn w:val="664"/>
    <w:link w:val="900"/>
    <w:uiPriority w:val="0"/>
    <w:qFormat/>
    <w:pPr>
      <w:ind w:firstLine="200"/>
      <w:spacing w:line="360" w:lineRule="auto"/>
    </w:pPr>
    <w:rPr>
      <w:rFonts w:ascii="仿宋_GB2312" w:eastAsia="仿宋_GB2312"/>
      <w:sz w:val="30"/>
      <w:szCs w:val="30"/>
    </w:rPr>
  </w:style>
  <w:style w:type="paragraph" w:styleId="701">
    <w:name w:val="Body Text First Indent 2"/>
    <w:basedOn w:val="675"/>
    <w:link w:val="901"/>
    <w:uiPriority w:val="0"/>
    <w:qFormat/>
    <w:pPr>
      <w:ind w:firstLine="420"/>
      <w:spacing w:line="360" w:lineRule="auto"/>
    </w:pPr>
    <w:rPr>
      <w:rFonts w:ascii="宋体" w:hAnsi="宋体" w:eastAsia="宋体"/>
      <w:szCs w:val="20"/>
    </w:rPr>
  </w:style>
  <w:style w:type="table" w:styleId="702">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uiPriority w:val="0"/>
    <w:qFormat/>
    <w:rPr>
      <w:b/>
      <w:bCs/>
    </w:rPr>
  </w:style>
  <w:style w:type="character" w:styleId="704">
    <w:name w:val="endnote reference"/>
    <w:basedOn w:val="666"/>
    <w:uiPriority w:val="99"/>
    <w:semiHidden/>
    <w:unhideWhenUsed/>
    <w:qFormat/>
    <w:rPr>
      <w:vertAlign w:val="superscript"/>
    </w:rPr>
  </w:style>
  <w:style w:type="character" w:styleId="705">
    <w:name w:val="page number"/>
    <w:uiPriority w:val="0"/>
    <w:qFormat/>
  </w:style>
  <w:style w:type="character" w:styleId="706">
    <w:name w:val="FollowedHyperlink"/>
    <w:uiPriority w:val="0"/>
    <w:qFormat/>
    <w:rPr>
      <w:color w:val="800080"/>
      <w:u w:val="single"/>
    </w:rPr>
  </w:style>
  <w:style w:type="character" w:styleId="707">
    <w:name w:val="Hyperlink"/>
    <w:uiPriority w:val="0"/>
    <w:qFormat/>
    <w:rPr>
      <w:color w:val="0000ff"/>
      <w:u w:val="single"/>
    </w:rPr>
  </w:style>
  <w:style w:type="character" w:styleId="708">
    <w:name w:val="annotation reference"/>
    <w:uiPriority w:val="0"/>
    <w:semiHidden/>
    <w:qFormat/>
    <w:rPr>
      <w:sz w:val="21"/>
      <w:szCs w:val="21"/>
    </w:rPr>
  </w:style>
  <w:style w:type="character" w:styleId="709">
    <w:name w:val="footnote reference"/>
    <w:basedOn w:val="666"/>
    <w:uiPriority w:val="99"/>
    <w:unhideWhenUsed/>
    <w:qFormat/>
    <w:rPr>
      <w:vertAlign w:val="superscript"/>
    </w:rPr>
  </w:style>
  <w:style w:type="character" w:styleId="710" w:customStyle="1">
    <w:name w:val="Title Char"/>
    <w:basedOn w:val="666"/>
    <w:uiPriority w:val="10"/>
    <w:rPr>
      <w:sz w:val="48"/>
      <w:szCs w:val="48"/>
    </w:rPr>
  </w:style>
  <w:style w:type="character" w:styleId="711" w:customStyle="1">
    <w:name w:val="Subtitle Char"/>
    <w:basedOn w:val="666"/>
    <w:uiPriority w:val="11"/>
    <w:rPr>
      <w:sz w:val="24"/>
      <w:szCs w:val="24"/>
    </w:rPr>
  </w:style>
  <w:style w:type="character" w:styleId="712" w:customStyle="1">
    <w:name w:val="Quote Char"/>
    <w:uiPriority w:val="29"/>
    <w:rPr>
      <w:i/>
    </w:rPr>
  </w:style>
  <w:style w:type="character" w:styleId="713" w:customStyle="1">
    <w:name w:val="Intense Quote Char"/>
    <w:uiPriority w:val="30"/>
    <w:rPr>
      <w:i/>
    </w:rPr>
  </w:style>
  <w:style w:type="character" w:styleId="714" w:customStyle="1">
    <w:name w:val="Footnote Text Char"/>
    <w:uiPriority w:val="99"/>
    <w:qFormat/>
    <w:rPr>
      <w:sz w:val="18"/>
    </w:rPr>
  </w:style>
  <w:style w:type="character" w:styleId="715" w:customStyle="1">
    <w:name w:val="Endnote Text Char"/>
    <w:uiPriority w:val="99"/>
    <w:rPr>
      <w:sz w:val="20"/>
    </w:rPr>
  </w:style>
  <w:style w:type="paragraph" w:styleId="716" w:customStyle="1">
    <w:name w:val="TOC Heading"/>
    <w:uiPriority w:val="39"/>
    <w:unhideWhenUsed/>
    <w:rPr>
      <w:rFonts w:hint="default" w:ascii="Times New Roman" w:hAnsi="Times New Roman" w:eastAsia="宋体" w:cs="Times New Roman"/>
    </w:rPr>
  </w:style>
  <w:style w:type="paragraph" w:styleId="717" w:customStyle="1">
    <w:name w:val="BodyText"/>
    <w:uiPriority w:val="0"/>
    <w:qFormat/>
    <w:pPr>
      <w:spacing w:after="120"/>
      <w:widowControl w:val="off"/>
    </w:pPr>
    <w:rPr>
      <w:rFonts w:hint="default" w:ascii="Calibri" w:hAnsi="宋体" w:eastAsia="宋体" w:cs="宋体"/>
      <w:szCs w:val="22"/>
      <w:lang w:val="en-US" w:eastAsia="zh-CN" w:bidi="ar-SA"/>
    </w:rPr>
  </w:style>
  <w:style w:type="character" w:styleId="718" w:customStyle="1">
    <w:name w:val="Heading 1 Char"/>
    <w:basedOn w:val="666"/>
    <w:uiPriority w:val="9"/>
    <w:qFormat/>
    <w:rPr>
      <w:rFonts w:ascii="Arial" w:hAnsi="Arial" w:eastAsia="Arial" w:cs="Arial"/>
      <w:sz w:val="40"/>
      <w:szCs w:val="40"/>
    </w:rPr>
  </w:style>
  <w:style w:type="character" w:styleId="719" w:customStyle="1">
    <w:name w:val="Heading 2 Char"/>
    <w:basedOn w:val="666"/>
    <w:uiPriority w:val="9"/>
    <w:qFormat/>
    <w:rPr>
      <w:rFonts w:ascii="Arial" w:hAnsi="Arial" w:eastAsia="Arial" w:cs="Arial"/>
      <w:sz w:val="34"/>
    </w:rPr>
  </w:style>
  <w:style w:type="character" w:styleId="720" w:customStyle="1">
    <w:name w:val="Heading 3 Char"/>
    <w:basedOn w:val="666"/>
    <w:uiPriority w:val="9"/>
    <w:qFormat/>
    <w:rPr>
      <w:rFonts w:ascii="Arial" w:hAnsi="Arial" w:eastAsia="Arial" w:cs="Arial"/>
      <w:sz w:val="30"/>
      <w:szCs w:val="30"/>
    </w:rPr>
  </w:style>
  <w:style w:type="character" w:styleId="721" w:customStyle="1">
    <w:name w:val="Heading 4 Char"/>
    <w:basedOn w:val="666"/>
    <w:uiPriority w:val="9"/>
    <w:qFormat/>
    <w:rPr>
      <w:rFonts w:ascii="Arial" w:hAnsi="Arial" w:eastAsia="Arial" w:cs="Arial"/>
      <w:b/>
      <w:bCs/>
      <w:sz w:val="26"/>
      <w:szCs w:val="26"/>
    </w:rPr>
  </w:style>
  <w:style w:type="character" w:styleId="722" w:customStyle="1">
    <w:name w:val="Heading 5 Char"/>
    <w:basedOn w:val="666"/>
    <w:uiPriority w:val="9"/>
    <w:qFormat/>
    <w:rPr>
      <w:rFonts w:ascii="Arial" w:hAnsi="Arial" w:eastAsia="Arial" w:cs="Arial"/>
      <w:b/>
      <w:bCs/>
      <w:sz w:val="24"/>
      <w:szCs w:val="24"/>
    </w:rPr>
  </w:style>
  <w:style w:type="character" w:styleId="723" w:customStyle="1">
    <w:name w:val="Heading 6 Char"/>
    <w:basedOn w:val="666"/>
    <w:uiPriority w:val="9"/>
    <w:qFormat/>
    <w:rPr>
      <w:rFonts w:ascii="Arial" w:hAnsi="Arial" w:eastAsia="Arial" w:cs="Arial"/>
      <w:b/>
      <w:bCs/>
      <w:sz w:val="22"/>
      <w:szCs w:val="22"/>
    </w:rPr>
  </w:style>
  <w:style w:type="character" w:styleId="724" w:customStyle="1">
    <w:name w:val="Heading 7 Char"/>
    <w:basedOn w:val="666"/>
    <w:uiPriority w:val="9"/>
    <w:qFormat/>
    <w:rPr>
      <w:rFonts w:ascii="Arial" w:hAnsi="Arial" w:eastAsia="Arial" w:cs="Arial"/>
      <w:b/>
      <w:bCs/>
      <w:i/>
      <w:iCs/>
      <w:sz w:val="22"/>
      <w:szCs w:val="22"/>
    </w:rPr>
  </w:style>
  <w:style w:type="character" w:styleId="725" w:customStyle="1">
    <w:name w:val="Heading 8 Char"/>
    <w:basedOn w:val="666"/>
    <w:uiPriority w:val="9"/>
    <w:qFormat/>
    <w:rPr>
      <w:rFonts w:ascii="Arial" w:hAnsi="Arial" w:eastAsia="Arial" w:cs="Arial"/>
      <w:i/>
      <w:iCs/>
      <w:sz w:val="22"/>
      <w:szCs w:val="22"/>
    </w:rPr>
  </w:style>
  <w:style w:type="character" w:styleId="726" w:customStyle="1">
    <w:name w:val="Heading 9 Char"/>
    <w:basedOn w:val="666"/>
    <w:uiPriority w:val="9"/>
    <w:qFormat/>
    <w:rPr>
      <w:rFonts w:ascii="Arial" w:hAnsi="Arial" w:eastAsia="Arial" w:cs="Arial"/>
      <w:i/>
      <w:iCs/>
      <w:sz w:val="21"/>
      <w:szCs w:val="21"/>
    </w:rPr>
  </w:style>
  <w:style w:type="character" w:styleId="727" w:customStyle="1">
    <w:name w:val="标题 Char"/>
    <w:basedOn w:val="666"/>
    <w:link w:val="698"/>
    <w:uiPriority w:val="10"/>
    <w:qFormat/>
    <w:rPr>
      <w:sz w:val="48"/>
      <w:szCs w:val="48"/>
    </w:rPr>
  </w:style>
  <w:style w:type="character" w:styleId="728" w:customStyle="1">
    <w:name w:val="副标题 Char"/>
    <w:basedOn w:val="666"/>
    <w:link w:val="687"/>
    <w:uiPriority w:val="11"/>
    <w:qFormat/>
    <w:rPr>
      <w:sz w:val="24"/>
      <w:szCs w:val="24"/>
    </w:rPr>
  </w:style>
  <w:style w:type="paragraph" w:styleId="729">
    <w:name w:val="Quote"/>
    <w:basedOn w:val="664"/>
    <w:next w:val="664"/>
    <w:link w:val="730"/>
    <w:uiPriority w:val="29"/>
    <w:qFormat/>
    <w:pPr>
      <w:ind w:left="720" w:right="720"/>
    </w:pPr>
    <w:rPr>
      <w:i/>
    </w:rPr>
  </w:style>
  <w:style w:type="character" w:styleId="730" w:customStyle="1">
    <w:name w:val="引用 Char"/>
    <w:link w:val="729"/>
    <w:uiPriority w:val="29"/>
    <w:qFormat/>
    <w:rPr>
      <w:i/>
    </w:rPr>
  </w:style>
  <w:style w:type="paragraph" w:styleId="731">
    <w:name w:val="Intense Quote"/>
    <w:basedOn w:val="664"/>
    <w:next w:val="664"/>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Char"/>
    <w:link w:val="731"/>
    <w:uiPriority w:val="30"/>
    <w:qFormat/>
    <w:rPr>
      <w:i/>
    </w:rPr>
  </w:style>
  <w:style w:type="character" w:styleId="733" w:customStyle="1">
    <w:name w:val="Header Char"/>
    <w:basedOn w:val="666"/>
    <w:uiPriority w:val="99"/>
    <w:qFormat/>
  </w:style>
  <w:style w:type="character" w:styleId="734" w:customStyle="1">
    <w:name w:val="Footer Char"/>
    <w:basedOn w:val="666"/>
    <w:uiPriority w:val="99"/>
    <w:qFormat/>
  </w:style>
  <w:style w:type="paragraph" w:styleId="735" w:customStyle="1">
    <w:name w:val="Caption"/>
    <w:basedOn w:val="664"/>
    <w:next w:val="664"/>
    <w:uiPriority w:val="35"/>
    <w:semiHidden/>
    <w:unhideWhenUsed/>
    <w:qFormat/>
    <w:pPr>
      <w:spacing w:line="276" w:lineRule="auto"/>
    </w:pPr>
    <w:rPr>
      <w:b/>
      <w:bCs/>
      <w:color w:val="4f81bd" w:themeColor="accent1"/>
      <w:sz w:val="18"/>
      <w:szCs w:val="18"/>
    </w:rPr>
  </w:style>
  <w:style w:type="character" w:styleId="736" w:customStyle="1">
    <w:name w:val="Caption Char"/>
    <w:uiPriority w:val="99"/>
    <w:qFormat/>
  </w:style>
  <w:style w:type="table" w:styleId="737" w:customStyle="1">
    <w:name w:val="Table Grid Light"/>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basedOn w:val="6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basedOn w:val="6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basedOn w:val="6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9" w:customStyle="1">
    <w:name w:val="Grid Table 6 Colorful - Accent 1"/>
    <w:basedOn w:val="6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1" w:customStyle="1">
    <w:name w:val="Grid Table 6 Colorful - Accent 3"/>
    <w:basedOn w:val="6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2" w:customStyle="1">
    <w:name w:val="Grid Table 6 Colorful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basedOn w:val="6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basedOn w:val="6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7 Colorful"/>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6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6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6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6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6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6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6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basedOn w:val="6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basedOn w:val="6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basedOn w:val="6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basedOn w:val="6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basedOn w:val="6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basedOn w:val="6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basedOn w:val="6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List Table 6 Colorful"/>
    <w:basedOn w:val="66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8" w:customStyle="1">
    <w:name w:val="List Table 6 Colorful - Accent 1"/>
    <w:basedOn w:val="66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9" w:customStyle="1">
    <w:name w:val="List Table 6 Colorful - Accent 2"/>
    <w:basedOn w:val="66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0" w:customStyle="1">
    <w:name w:val="List Table 6 Colorful - Accent 3"/>
    <w:basedOn w:val="66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1" w:customStyle="1">
    <w:name w:val="List Table 6 Colorful - Accent 4"/>
    <w:basedOn w:val="66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basedOn w:val="66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basedOn w:val="66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List Table 7 Colorful"/>
    <w:basedOn w:val="66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6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6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6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6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6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6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basedOn w:val="6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basedOn w:val="6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basedOn w:val="6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脚注文本 Char"/>
    <w:link w:val="689"/>
    <w:uiPriority w:val="99"/>
    <w:qFormat/>
    <w:rPr>
      <w:sz w:val="18"/>
    </w:rPr>
  </w:style>
  <w:style w:type="character" w:styleId="863" w:customStyle="1">
    <w:name w:val="尾注文本 Char"/>
    <w:link w:val="683"/>
    <w:uiPriority w:val="99"/>
    <w:qFormat/>
    <w:rPr>
      <w:sz w:val="20"/>
    </w:rPr>
  </w:style>
  <w:style w:type="paragraph" w:styleId="864" w:customStyle="1">
    <w:name w:val="TOC 标题1"/>
    <w:uiPriority w:val="39"/>
    <w:unhideWhenUsed/>
    <w:qFormat/>
    <w:rPr>
      <w:rFonts w:hint="default" w:ascii="Times New Roman" w:hAnsi="Times New Roman" w:eastAsia="宋体" w:cs="Times New Roman"/>
      <w:lang w:val="en-US" w:eastAsia="zh-CN" w:bidi="ar-SA"/>
    </w:rPr>
  </w:style>
  <w:style w:type="paragraph" w:styleId="865" w:customStyle="1">
    <w:name w:val="Heading 1"/>
    <w:basedOn w:val="664"/>
    <w:next w:val="664"/>
    <w:link w:val="876"/>
    <w:uiPriority w:val="0"/>
    <w:qFormat/>
    <w:pPr>
      <w:jc w:val="center"/>
      <w:keepNext/>
      <w:outlineLvl w:val="0"/>
    </w:pPr>
    <w:rPr>
      <w:rFonts w:ascii="楷体_GB2312" w:eastAsia="楷体_GB2312"/>
      <w:sz w:val="28"/>
      <w:szCs w:val="28"/>
    </w:rPr>
  </w:style>
  <w:style w:type="paragraph" w:styleId="866" w:customStyle="1">
    <w:name w:val="Heading 2"/>
    <w:basedOn w:val="664"/>
    <w:next w:val="670"/>
    <w:link w:val="877"/>
    <w:uiPriority w:val="0"/>
    <w:qFormat/>
    <w:pPr>
      <w:jc w:val="center"/>
      <w:keepLines/>
      <w:keepNext/>
      <w:spacing w:before="260" w:after="260" w:line="416" w:lineRule="auto"/>
      <w:outlineLvl w:val="1"/>
    </w:pPr>
    <w:rPr>
      <w:rFonts w:ascii="Arial" w:hAnsi="Arial" w:eastAsia="幼圆"/>
      <w:b/>
      <w:bCs/>
      <w:sz w:val="44"/>
      <w:szCs w:val="44"/>
    </w:rPr>
  </w:style>
  <w:style w:type="paragraph" w:styleId="867" w:customStyle="1">
    <w:name w:val="Heading 3"/>
    <w:basedOn w:val="664"/>
    <w:next w:val="670"/>
    <w:link w:val="879"/>
    <w:uiPriority w:val="0"/>
    <w:qFormat/>
    <w:pPr>
      <w:keepLines/>
      <w:keepNext/>
      <w:spacing w:before="260" w:after="260" w:line="416" w:lineRule="auto"/>
      <w:outlineLvl w:val="2"/>
    </w:pPr>
    <w:rPr>
      <w:b/>
      <w:bCs/>
      <w:sz w:val="32"/>
      <w:szCs w:val="32"/>
    </w:rPr>
  </w:style>
  <w:style w:type="paragraph" w:styleId="868" w:customStyle="1">
    <w:name w:val="Heading 4"/>
    <w:basedOn w:val="664"/>
    <w:next w:val="670"/>
    <w:link w:val="880"/>
    <w:uiPriority w:val="0"/>
    <w:qFormat/>
    <w:pPr>
      <w:keepLines/>
      <w:keepNext/>
      <w:spacing w:before="280" w:after="290" w:line="376" w:lineRule="auto"/>
      <w:outlineLvl w:val="3"/>
    </w:pPr>
    <w:rPr>
      <w:rFonts w:ascii="Arial" w:hAnsi="Arial" w:eastAsia="黑体"/>
      <w:b/>
      <w:bCs/>
      <w:sz w:val="28"/>
      <w:szCs w:val="28"/>
    </w:rPr>
  </w:style>
  <w:style w:type="paragraph" w:styleId="869" w:customStyle="1">
    <w:name w:val="Heading 5"/>
    <w:basedOn w:val="664"/>
    <w:next w:val="670"/>
    <w:link w:val="881"/>
    <w:uiPriority w:val="0"/>
    <w:qFormat/>
    <w:pPr>
      <w:keepNext/>
      <w:outlineLvl w:val="4"/>
    </w:pPr>
    <w:rPr>
      <w:rFonts w:ascii="宋体"/>
      <w:color w:val="000000"/>
      <w:sz w:val="28"/>
      <w:szCs w:val="28"/>
    </w:rPr>
  </w:style>
  <w:style w:type="paragraph" w:styleId="870" w:customStyle="1">
    <w:name w:val="Heading 6"/>
    <w:basedOn w:val="664"/>
    <w:next w:val="664"/>
    <w:link w:val="8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1" w:customStyle="1">
    <w:name w:val="Heading 7"/>
    <w:basedOn w:val="664"/>
    <w:next w:val="664"/>
    <w:link w:val="883"/>
    <w:uiPriority w:val="0"/>
    <w:qFormat/>
    <w:pPr>
      <w:numPr>
        <w:ilvl w:val="6"/>
        <w:numId w:val="1"/>
      </w:numPr>
      <w:keepLines/>
      <w:keepNext/>
      <w:spacing w:before="240" w:after="64" w:line="320" w:lineRule="auto"/>
      <w:outlineLvl w:val="6"/>
    </w:pPr>
    <w:rPr>
      <w:b/>
      <w:bCs/>
      <w:sz w:val="24"/>
      <w:szCs w:val="24"/>
    </w:rPr>
  </w:style>
  <w:style w:type="paragraph" w:styleId="872" w:customStyle="1">
    <w:name w:val="Heading 8"/>
    <w:basedOn w:val="664"/>
    <w:next w:val="664"/>
    <w:link w:val="8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3" w:customStyle="1">
    <w:name w:val="Heading 9"/>
    <w:basedOn w:val="664"/>
    <w:next w:val="664"/>
    <w:link w:val="885"/>
    <w:uiPriority w:val="0"/>
    <w:qFormat/>
    <w:pPr>
      <w:numPr>
        <w:ilvl w:val="8"/>
        <w:numId w:val="1"/>
      </w:numPr>
      <w:keepLines/>
      <w:keepNext/>
      <w:spacing w:before="240" w:after="64" w:line="320" w:lineRule="auto"/>
      <w:outlineLvl w:val="8"/>
    </w:pPr>
    <w:rPr>
      <w:rFonts w:ascii="Arial" w:hAnsi="Arial" w:eastAsia="黑体"/>
      <w:sz w:val="20"/>
    </w:rPr>
  </w:style>
  <w:style w:type="paragraph" w:styleId="874" w:customStyle="1">
    <w:name w:val="Footer"/>
    <w:basedOn w:val="664"/>
    <w:link w:val="895"/>
    <w:uiPriority w:val="0"/>
    <w:qFormat/>
    <w:pPr>
      <w:jc w:val="left"/>
      <w:tabs>
        <w:tab w:val="center" w:pos="4153" w:leader="none"/>
        <w:tab w:val="right" w:pos="8306" w:leader="none"/>
      </w:tabs>
    </w:pPr>
    <w:rPr>
      <w:sz w:val="18"/>
      <w:szCs w:val="18"/>
    </w:rPr>
  </w:style>
  <w:style w:type="paragraph" w:styleId="875" w:customStyle="1">
    <w:name w:val="Header"/>
    <w:basedOn w:val="664"/>
    <w:link w:val="896"/>
    <w:uiPriority w:val="0"/>
    <w:qFormat/>
    <w:pPr>
      <w:jc w:val="center"/>
      <w:tabs>
        <w:tab w:val="center" w:pos="4153" w:leader="none"/>
        <w:tab w:val="right" w:pos="8306" w:leader="none"/>
      </w:tabs>
      <w:pBdr>
        <w:bottom w:val="single" w:color="auto" w:sz="6" w:space="1"/>
      </w:pBdr>
    </w:pPr>
    <w:rPr>
      <w:sz w:val="18"/>
      <w:szCs w:val="18"/>
    </w:rPr>
  </w:style>
  <w:style w:type="character" w:styleId="876" w:customStyle="1">
    <w:name w:val="标题 1 字符"/>
    <w:link w:val="865"/>
    <w:uiPriority w:val="0"/>
    <w:qFormat/>
    <w:rPr>
      <w:rFonts w:ascii="楷体_GB2312" w:hAnsi="Times New Roman" w:eastAsia="楷体_GB2312" w:cs="Times New Roman"/>
      <w:sz w:val="28"/>
      <w:szCs w:val="28"/>
    </w:rPr>
  </w:style>
  <w:style w:type="character" w:styleId="877" w:customStyle="1">
    <w:name w:val="标题 2 字符"/>
    <w:link w:val="866"/>
    <w:uiPriority w:val="0"/>
    <w:qFormat/>
    <w:rPr>
      <w:rFonts w:ascii="Arial" w:hAnsi="Arial" w:eastAsia="幼圆" w:cs="Arial"/>
      <w:b/>
      <w:bCs/>
      <w:sz w:val="44"/>
      <w:szCs w:val="44"/>
    </w:rPr>
  </w:style>
  <w:style w:type="character" w:styleId="878" w:customStyle="1">
    <w:name w:val="正文缩进 Char"/>
    <w:link w:val="670"/>
    <w:uiPriority w:val="0"/>
    <w:qFormat/>
    <w:rPr>
      <w:rFonts w:ascii="Times New Roman" w:hAnsi="Times New Roman" w:eastAsia="宋体" w:cs="Times New Roman"/>
      <w:szCs w:val="21"/>
    </w:rPr>
  </w:style>
  <w:style w:type="character" w:styleId="879" w:customStyle="1">
    <w:name w:val="标题 3 字符"/>
    <w:link w:val="867"/>
    <w:uiPriority w:val="0"/>
    <w:qFormat/>
    <w:rPr>
      <w:rFonts w:ascii="Times New Roman" w:hAnsi="Times New Roman" w:eastAsia="宋体" w:cs="Times New Roman"/>
      <w:b/>
      <w:bCs/>
      <w:sz w:val="32"/>
      <w:szCs w:val="32"/>
    </w:rPr>
  </w:style>
  <w:style w:type="character" w:styleId="880" w:customStyle="1">
    <w:name w:val="标题 4 字符"/>
    <w:link w:val="868"/>
    <w:uiPriority w:val="0"/>
    <w:qFormat/>
    <w:rPr>
      <w:rFonts w:ascii="Arial" w:hAnsi="Arial" w:eastAsia="黑体" w:cs="Arial"/>
      <w:b/>
      <w:bCs/>
      <w:sz w:val="28"/>
      <w:szCs w:val="28"/>
    </w:rPr>
  </w:style>
  <w:style w:type="character" w:styleId="881" w:customStyle="1">
    <w:name w:val="标题 5 字符"/>
    <w:link w:val="869"/>
    <w:uiPriority w:val="0"/>
    <w:qFormat/>
    <w:rPr>
      <w:rFonts w:ascii="宋体" w:hAnsi="Times New Roman" w:eastAsia="宋体" w:cs="Times New Roman"/>
      <w:color w:val="000000"/>
      <w:sz w:val="28"/>
      <w:szCs w:val="28"/>
    </w:rPr>
  </w:style>
  <w:style w:type="character" w:styleId="882" w:customStyle="1">
    <w:name w:val="标题 6 字符"/>
    <w:link w:val="870"/>
    <w:uiPriority w:val="0"/>
    <w:qFormat/>
    <w:rPr>
      <w:rFonts w:ascii="Arial" w:hAnsi="Arial" w:eastAsia="黑体" w:cs="Times New Roman"/>
      <w:b/>
      <w:bCs/>
      <w:sz w:val="24"/>
      <w:szCs w:val="24"/>
    </w:rPr>
  </w:style>
  <w:style w:type="character" w:styleId="883" w:customStyle="1">
    <w:name w:val="标题 7 字符"/>
    <w:link w:val="871"/>
    <w:uiPriority w:val="0"/>
    <w:qFormat/>
    <w:rPr>
      <w:rFonts w:ascii="Times New Roman" w:hAnsi="Times New Roman" w:eastAsia="宋体" w:cs="Times New Roman"/>
      <w:b/>
      <w:bCs/>
      <w:sz w:val="24"/>
      <w:szCs w:val="24"/>
    </w:rPr>
  </w:style>
  <w:style w:type="character" w:styleId="884" w:customStyle="1">
    <w:name w:val="标题 8 字符"/>
    <w:link w:val="872"/>
    <w:uiPriority w:val="0"/>
    <w:qFormat/>
    <w:rPr>
      <w:rFonts w:ascii="Arial" w:hAnsi="Arial" w:eastAsia="黑体" w:cs="Times New Roman"/>
      <w:sz w:val="24"/>
      <w:szCs w:val="24"/>
    </w:rPr>
  </w:style>
  <w:style w:type="character" w:styleId="885" w:customStyle="1">
    <w:name w:val="标题 9 字符"/>
    <w:link w:val="873"/>
    <w:uiPriority w:val="0"/>
    <w:qFormat/>
    <w:rPr>
      <w:rFonts w:ascii="Arial" w:hAnsi="Arial" w:eastAsia="黑体" w:cs="Times New Roman"/>
      <w:szCs w:val="21"/>
    </w:rPr>
  </w:style>
  <w:style w:type="character" w:styleId="886" w:customStyle="1">
    <w:name w:val="文档结构图 Char"/>
    <w:link w:val="671"/>
    <w:uiPriority w:val="0"/>
    <w:semiHidden/>
    <w:qFormat/>
    <w:rPr>
      <w:rFonts w:ascii="Times New Roman" w:hAnsi="Times New Roman" w:eastAsia="宋体" w:cs="Times New Roman"/>
      <w:szCs w:val="21"/>
      <w:shd w:val="clear" w:color="auto" w:fill="000080"/>
    </w:rPr>
  </w:style>
  <w:style w:type="character" w:styleId="887" w:customStyle="1">
    <w:name w:val="批注文字 Char"/>
    <w:link w:val="672"/>
    <w:uiPriority w:val="0"/>
    <w:semiHidden/>
    <w:qFormat/>
    <w:rPr>
      <w:rFonts w:ascii="Times New Roman" w:hAnsi="Times New Roman" w:eastAsia="宋体" w:cs="Times New Roman"/>
      <w:szCs w:val="21"/>
    </w:rPr>
  </w:style>
  <w:style w:type="character" w:styleId="888" w:customStyle="1">
    <w:name w:val="正文文本 3 Char"/>
    <w:link w:val="673"/>
    <w:uiPriority w:val="0"/>
    <w:qFormat/>
    <w:rPr>
      <w:rFonts w:ascii="仿宋_GB2312" w:hAnsi="Arial" w:eastAsia="仿宋_GB2312" w:cs="Times New Roman"/>
      <w:sz w:val="32"/>
      <w:szCs w:val="32"/>
    </w:rPr>
  </w:style>
  <w:style w:type="character" w:styleId="889" w:customStyle="1">
    <w:name w:val="正文文本 Char"/>
    <w:link w:val="674"/>
    <w:uiPriority w:val="0"/>
    <w:qFormat/>
    <w:rPr>
      <w:rFonts w:ascii="楷体_GB2312" w:hAnsi="Arial" w:eastAsia="楷体_GB2312" w:cs="Times New Roman"/>
      <w:sz w:val="28"/>
      <w:szCs w:val="28"/>
    </w:rPr>
  </w:style>
  <w:style w:type="character" w:styleId="890" w:customStyle="1">
    <w:name w:val="正文文本缩进 Char"/>
    <w:link w:val="675"/>
    <w:uiPriority w:val="0"/>
    <w:qFormat/>
    <w:rPr>
      <w:rFonts w:ascii="楷体_GB2312" w:hAnsi="Times New Roman" w:eastAsia="楷体_GB2312" w:cs="Times New Roman"/>
      <w:sz w:val="32"/>
      <w:szCs w:val="32"/>
    </w:rPr>
  </w:style>
  <w:style w:type="character" w:styleId="891" w:customStyle="1">
    <w:name w:val="纯文本 Char"/>
    <w:link w:val="679"/>
    <w:uiPriority w:val="0"/>
    <w:qFormat/>
    <w:rPr>
      <w:rFonts w:ascii="宋体" w:hAnsi="Courier New" w:eastAsia="宋体" w:cs="Courier New"/>
      <w:szCs w:val="21"/>
    </w:rPr>
  </w:style>
  <w:style w:type="character" w:styleId="892" w:customStyle="1">
    <w:name w:val="日期 Char"/>
    <w:link w:val="681"/>
    <w:uiPriority w:val="0"/>
    <w:qFormat/>
    <w:rPr>
      <w:rFonts w:ascii="Times New Roman" w:hAnsi="Times New Roman" w:eastAsia="宋体" w:cs="Times New Roman"/>
      <w:sz w:val="24"/>
      <w:szCs w:val="24"/>
    </w:rPr>
  </w:style>
  <w:style w:type="character" w:styleId="893" w:customStyle="1">
    <w:name w:val="正文文本缩进 2 Char"/>
    <w:link w:val="682"/>
    <w:uiPriority w:val="0"/>
    <w:qFormat/>
    <w:rPr>
      <w:rFonts w:ascii="Arial" w:hAnsi="Arial" w:eastAsia="仿宋_GB2312" w:cs="Arial"/>
      <w:sz w:val="32"/>
      <w:szCs w:val="32"/>
    </w:rPr>
  </w:style>
  <w:style w:type="character" w:styleId="894" w:customStyle="1">
    <w:name w:val="批注框文本 Char"/>
    <w:link w:val="684"/>
    <w:uiPriority w:val="0"/>
    <w:semiHidden/>
    <w:qFormat/>
    <w:rPr>
      <w:rFonts w:ascii="Times New Roman" w:hAnsi="Times New Roman" w:eastAsia="宋体" w:cs="Times New Roman"/>
      <w:sz w:val="18"/>
      <w:szCs w:val="18"/>
    </w:rPr>
  </w:style>
  <w:style w:type="character" w:styleId="895" w:customStyle="1">
    <w:name w:val="页脚 字符"/>
    <w:link w:val="874"/>
    <w:uiPriority w:val="0"/>
    <w:qFormat/>
    <w:rPr>
      <w:rFonts w:ascii="Times New Roman" w:hAnsi="Times New Roman" w:eastAsia="宋体" w:cs="Times New Roman"/>
      <w:sz w:val="18"/>
      <w:szCs w:val="18"/>
    </w:rPr>
  </w:style>
  <w:style w:type="character" w:styleId="896" w:customStyle="1">
    <w:name w:val="页眉 字符"/>
    <w:link w:val="875"/>
    <w:uiPriority w:val="0"/>
    <w:qFormat/>
    <w:rPr>
      <w:rFonts w:ascii="Times New Roman" w:hAnsi="Times New Roman" w:eastAsia="宋体" w:cs="Times New Roman"/>
      <w:sz w:val="18"/>
      <w:szCs w:val="18"/>
    </w:rPr>
  </w:style>
  <w:style w:type="character" w:styleId="897" w:customStyle="1">
    <w:name w:val="正文文本缩进 3 Char"/>
    <w:link w:val="691"/>
    <w:uiPriority w:val="0"/>
    <w:qFormat/>
    <w:rPr>
      <w:rFonts w:ascii="Arial" w:hAnsi="Arial" w:eastAsia="仿宋_GB2312" w:cs="Arial"/>
      <w:color w:val="ffff00"/>
      <w:sz w:val="32"/>
      <w:szCs w:val="32"/>
    </w:rPr>
  </w:style>
  <w:style w:type="character" w:styleId="898" w:customStyle="1">
    <w:name w:val="正文文本 2 Char"/>
    <w:link w:val="695"/>
    <w:uiPriority w:val="0"/>
    <w:qFormat/>
    <w:rPr>
      <w:rFonts w:ascii="楷体_GB2312" w:hAnsi="Times New Roman" w:eastAsia="楷体_GB2312" w:cs="Times New Roman"/>
      <w:sz w:val="28"/>
      <w:szCs w:val="28"/>
    </w:rPr>
  </w:style>
  <w:style w:type="character" w:styleId="899" w:customStyle="1">
    <w:name w:val="批注主题 Char"/>
    <w:link w:val="699"/>
    <w:uiPriority w:val="0"/>
    <w:semiHidden/>
    <w:qFormat/>
    <w:rPr>
      <w:rFonts w:ascii="Times New Roman" w:hAnsi="Times New Roman" w:eastAsia="宋体" w:cs="Times New Roman"/>
      <w:b/>
      <w:bCs/>
      <w:szCs w:val="21"/>
    </w:rPr>
  </w:style>
  <w:style w:type="character" w:styleId="900" w:customStyle="1">
    <w:name w:val="正文首行缩进 Char"/>
    <w:link w:val="700"/>
    <w:uiPriority w:val="0"/>
    <w:qFormat/>
    <w:rPr>
      <w:rFonts w:ascii="仿宋_GB2312" w:hAnsi="Times New Roman" w:eastAsia="仿宋_GB2312" w:cs="Times New Roman"/>
      <w:sz w:val="30"/>
      <w:szCs w:val="30"/>
    </w:rPr>
  </w:style>
  <w:style w:type="character" w:styleId="901" w:customStyle="1">
    <w:name w:val="正文首行缩进 2 Char"/>
    <w:link w:val="701"/>
    <w:uiPriority w:val="0"/>
    <w:qFormat/>
    <w:rPr>
      <w:rFonts w:ascii="宋体" w:hAnsi="宋体" w:eastAsia="宋体" w:cs="Times New Roman"/>
      <w:sz w:val="32"/>
      <w:szCs w:val="20"/>
    </w:rPr>
  </w:style>
  <w:style w:type="character" w:styleId="902" w:customStyle="1">
    <w:name w:val="font5 Char"/>
    <w:uiPriority w:val="0"/>
    <w:qFormat/>
    <w:rPr>
      <w:rFonts w:ascii="宋体" w:hAnsi="宋体" w:eastAsia="宋体"/>
      <w:sz w:val="28"/>
      <w:szCs w:val="28"/>
      <w:lang w:val="en-US" w:eastAsia="zh-CN" w:bidi="ar-SA"/>
    </w:rPr>
  </w:style>
  <w:style w:type="character" w:styleId="903" w:customStyle="1">
    <w:name w:val="二级目录 Char"/>
    <w:link w:val="904"/>
    <w:uiPriority w:val="0"/>
    <w:qFormat/>
    <w:rPr>
      <w:b/>
      <w:sz w:val="30"/>
      <w:szCs w:val="28"/>
    </w:rPr>
  </w:style>
  <w:style w:type="paragraph" w:styleId="904" w:customStyle="1">
    <w:name w:val="二级目录"/>
    <w:next w:val="664"/>
    <w:link w:val="90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05" w:customStyle="1">
    <w:name w:val="列出段落 Char"/>
    <w:link w:val="906"/>
    <w:uiPriority w:val="0"/>
    <w:qFormat/>
    <w:rPr>
      <w:rFonts w:ascii="Calibri" w:hAnsi="Calibri"/>
      <w:sz w:val="24"/>
      <w:szCs w:val="24"/>
      <w:lang w:eastAsia="en-US" w:bidi="en-US"/>
    </w:rPr>
  </w:style>
  <w:style w:type="paragraph" w:styleId="906" w:customStyle="1">
    <w:name w:val="列出段落1"/>
    <w:basedOn w:val="664"/>
    <w:link w:val="905"/>
    <w:uiPriority w:val="0"/>
    <w:qFormat/>
    <w:pPr>
      <w:contextualSpacing/>
      <w:ind w:left="720"/>
      <w:jc w:val="left"/>
      <w:widowControl/>
    </w:pPr>
    <w:rPr>
      <w:rFonts w:ascii="Calibri" w:hAnsi="Calibri"/>
      <w:sz w:val="24"/>
      <w:szCs w:val="24"/>
      <w:lang w:eastAsia="en-US" w:bidi="en-US"/>
    </w:rPr>
  </w:style>
  <w:style w:type="paragraph" w:styleId="907" w:customStyle="1">
    <w:name w:val="Body Text(ch)"/>
    <w:basedOn w:val="664"/>
    <w:next w:val="674"/>
    <w:uiPriority w:val="0"/>
    <w:qFormat/>
    <w:pPr>
      <w:spacing w:after="120"/>
    </w:pPr>
    <w:rPr>
      <w:rFonts w:ascii="宋体" w:hAnsi="Arial"/>
      <w:bCs/>
      <w:iCs/>
      <w:szCs w:val="24"/>
    </w:rPr>
  </w:style>
  <w:style w:type="paragraph" w:styleId="908" w:customStyle="1">
    <w:name w:val="xl27"/>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9" w:customStyle="1">
    <w:name w:val="xl2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0" w:customStyle="1">
    <w:name w:val="Char"/>
    <w:basedOn w:val="664"/>
    <w:uiPriority w:val="0"/>
    <w:qFormat/>
    <w:pPr>
      <w:ind w:firstLine="200"/>
      <w:tabs>
        <w:tab w:val="left" w:pos="360" w:leader="none"/>
      </w:tabs>
    </w:pPr>
    <w:rPr>
      <w:sz w:val="28"/>
      <w:szCs w:val="30"/>
    </w:rPr>
  </w:style>
  <w:style w:type="paragraph" w:styleId="911" w:customStyle="1">
    <w:name w:val="Char1"/>
    <w:basedOn w:val="671"/>
    <w:uiPriority w:val="0"/>
    <w:qFormat/>
    <w:rPr>
      <w:rFonts w:ascii="Tahoma" w:hAnsi="Tahoma"/>
      <w:sz w:val="24"/>
      <w:szCs w:val="24"/>
    </w:rPr>
  </w:style>
  <w:style w:type="paragraph" w:styleId="912"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913" w:customStyle="1">
    <w:name w:val="table_lines"/>
    <w:basedOn w:val="664"/>
    <w:uiPriority w:val="0"/>
    <w:qFormat/>
    <w:pPr>
      <w:jc w:val="left"/>
      <w:widowControl/>
    </w:pPr>
    <w:rPr>
      <w:sz w:val="20"/>
      <w:szCs w:val="20"/>
      <w:lang w:val="de-DE" w:eastAsia="de-DE"/>
    </w:rPr>
  </w:style>
  <w:style w:type="paragraph" w:styleId="91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15"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16" w:customStyle="1">
    <w:name w:val="Char Char Char Char"/>
    <w:basedOn w:val="671"/>
    <w:uiPriority w:val="0"/>
    <w:qFormat/>
    <w:pPr>
      <w:spacing w:line="360" w:lineRule="auto"/>
    </w:pPr>
    <w:rPr>
      <w:rFonts w:ascii="Tahoma" w:hAnsi="Tahoma"/>
      <w:sz w:val="24"/>
      <w:szCs w:val="24"/>
    </w:rPr>
  </w:style>
  <w:style w:type="paragraph" w:styleId="917">
    <w:name w:val="List Paragraph"/>
    <w:basedOn w:val="664"/>
    <w:uiPriority w:val="0"/>
    <w:qFormat/>
    <w:pPr>
      <w:contextualSpacing/>
      <w:ind w:left="720"/>
      <w:jc w:val="left"/>
      <w:widowControl/>
    </w:pPr>
    <w:rPr>
      <w:rFonts w:ascii="Calibri" w:hAnsi="Calibri"/>
      <w:sz w:val="24"/>
      <w:szCs w:val="24"/>
      <w:lang w:eastAsia="en-US" w:bidi="en-US"/>
    </w:rPr>
  </w:style>
  <w:style w:type="paragraph" w:styleId="918" w:customStyle="1">
    <w:name w:val="4"/>
    <w:basedOn w:val="664"/>
    <w:next w:val="691"/>
    <w:uiPriority w:val="0"/>
    <w:qFormat/>
    <w:pPr>
      <w:ind w:firstLine="420"/>
      <w:spacing w:line="360" w:lineRule="auto"/>
    </w:pPr>
    <w:rPr>
      <w:color w:val="ff0000"/>
      <w:sz w:val="24"/>
      <w:szCs w:val="24"/>
    </w:rPr>
  </w:style>
  <w:style w:type="paragraph" w:styleId="919" w:customStyle="1">
    <w:name w:val="普通 (Web)"/>
    <w:basedOn w:val="664"/>
    <w:uiPriority w:val="0"/>
    <w:qFormat/>
    <w:pPr>
      <w:jc w:val="left"/>
      <w:spacing w:before="100" w:beforeAutospacing="1" w:after="100" w:afterAutospacing="1"/>
      <w:widowControl/>
    </w:pPr>
    <w:rPr>
      <w:rFonts w:ascii="宋体" w:hAnsi="宋体"/>
      <w:sz w:val="24"/>
      <w:szCs w:val="24"/>
    </w:rPr>
  </w:style>
  <w:style w:type="paragraph" w:styleId="920" w:customStyle="1">
    <w:name w:val="Char Char Char Char Char Char Char Char Char Char"/>
    <w:basedOn w:val="664"/>
    <w:uiPriority w:val="0"/>
    <w:qFormat/>
    <w:pPr>
      <w:spacing w:line="360" w:lineRule="auto"/>
    </w:pPr>
    <w:rPr>
      <w:sz w:val="24"/>
      <w:szCs w:val="20"/>
    </w:rPr>
  </w:style>
  <w:style w:type="paragraph" w:styleId="921" w:customStyle="1">
    <w:name w:val="样式1"/>
    <w:basedOn w:val="664"/>
    <w:uiPriority w:val="0"/>
    <w:qFormat/>
    <w:pPr>
      <w:numPr>
        <w:ilvl w:val="0"/>
        <w:numId w:val="3"/>
      </w:numPr>
    </w:pPr>
    <w:rPr>
      <w:rFonts w:ascii="宋体" w:hAnsi="宋体"/>
    </w:rPr>
  </w:style>
  <w:style w:type="paragraph" w:styleId="922"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23"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4"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5" w:customStyle="1">
    <w:name w:val="标题3"/>
    <w:basedOn w:val="664"/>
    <w:next w:val="664"/>
    <w:uiPriority w:val="0"/>
    <w:qFormat/>
    <w:pPr>
      <w:ind w:firstLine="624"/>
      <w:spacing w:line="590" w:lineRule="atLeast"/>
    </w:pPr>
    <w:rPr>
      <w:rFonts w:ascii="方正黑体_GBK" w:eastAsia="方正黑体_GBK"/>
      <w:sz w:val="32"/>
      <w:szCs w:val="32"/>
    </w:rPr>
  </w:style>
  <w:style w:type="paragraph" w:styleId="926" w:customStyle="1">
    <w:name w:val="xl24"/>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7" w:customStyle="1">
    <w:name w:val="xl29"/>
    <w:basedOn w:val="66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8"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29" w:customStyle="1">
    <w:name w:val="xl28"/>
    <w:basedOn w:val="66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0"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931"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32" w:customStyle="1">
    <w:name w:val="Char Char Char Char1"/>
    <w:basedOn w:val="671"/>
    <w:uiPriority w:val="0"/>
    <w:qFormat/>
    <w:pPr>
      <w:spacing w:line="360" w:lineRule="auto"/>
    </w:pPr>
    <w:rPr>
      <w:rFonts w:ascii="Tahoma" w:hAnsi="Tahoma"/>
      <w:sz w:val="24"/>
      <w:szCs w:val="24"/>
    </w:rPr>
  </w:style>
  <w:style w:type="paragraph" w:styleId="933" w:customStyle="1">
    <w:name w:val="table_1stline"/>
    <w:basedOn w:val="664"/>
    <w:uiPriority w:val="0"/>
    <w:qFormat/>
    <w:pPr>
      <w:jc w:val="left"/>
      <w:spacing w:before="120"/>
      <w:widowControl/>
    </w:pPr>
    <w:rPr>
      <w:bCs/>
      <w:sz w:val="20"/>
      <w:szCs w:val="20"/>
      <w:lang w:val="de-DE" w:eastAsia="de-DE"/>
    </w:rPr>
  </w:style>
  <w:style w:type="paragraph" w:styleId="934" w:customStyle="1">
    <w:name w:val="font5"/>
    <w:basedOn w:val="664"/>
    <w:uiPriority w:val="0"/>
    <w:qFormat/>
    <w:pPr>
      <w:jc w:val="left"/>
      <w:spacing w:before="100" w:beforeAutospacing="1" w:after="100" w:afterAutospacing="1"/>
      <w:widowControl/>
    </w:pPr>
    <w:rPr>
      <w:rFonts w:hint="eastAsia" w:ascii="宋体" w:hAnsi="宋体"/>
      <w:sz w:val="28"/>
      <w:szCs w:val="28"/>
    </w:rPr>
  </w:style>
  <w:style w:type="paragraph" w:styleId="935"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6"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93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8" w:customStyle="1">
    <w:name w:val="BodyText1I2"/>
    <w:basedOn w:val="939"/>
    <w:uiPriority w:val="0"/>
    <w:qFormat/>
    <w:pPr>
      <w:ind w:firstLine="200"/>
    </w:pPr>
  </w:style>
  <w:style w:type="paragraph" w:styleId="939" w:customStyle="1">
    <w:name w:val="BodyTextIndent"/>
    <w:basedOn w:val="664"/>
    <w:uiPriority w:val="0"/>
    <w:qFormat/>
    <w:pPr>
      <w:ind w:left="420"/>
      <w:spacing w:after="120"/>
    </w:pPr>
  </w:style>
  <w:style w:type="character" w:styleId="940" w:customStyle="1">
    <w:name w:val="font01"/>
    <w:basedOn w:val="666"/>
    <w:uiPriority w:val="0"/>
    <w:qFormat/>
    <w:rPr>
      <w:rFonts w:hint="default" w:ascii="等线" w:hAnsi="等线" w:eastAsia="等线" w:cs="等线"/>
      <w:color w:val="000000"/>
      <w:sz w:val="22"/>
      <w:szCs w:val="22"/>
      <w:u w:val="none"/>
    </w:rPr>
  </w:style>
  <w:style w:type="numbering" w:styleId="8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D6018-024A-428D-98A9-EA3804233DA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6</cp:revision>
  <dcterms:created xsi:type="dcterms:W3CDTF">2025-01-17T02:46:00Z</dcterms:created>
  <dcterms:modified xsi:type="dcterms:W3CDTF">2026-11-02T07:22:49Z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077A222EE6DE444C8342F45A84EA8E74_13</vt:lpwstr>
  </property>
  <property fmtid="{D5CDD505-2E9C-101B-9397-08002B2CF9AE}" pid="4" name="KSOTemplateDocerSaveRecord">
    <vt:lpwstr>eyJoZGlkIjoiNzhhZDA3ODQ4ZDYxOTc2ZjA0YWE3YjExMjJiNTgxOWIiLCJ1c2VySWQiOiIxMTE2NjgwNiJ9</vt:lpwstr>
  </property>
</Properties>
</file>