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ind w:firstLine="0"/>
        <w:rPr>
          <w:rFonts w:hint="eastAsia" w:eastAsia="黑体"/>
          <w:b/>
          <w:bCs/>
          <w:sz w:val="84"/>
          <w:highlight w:val="none"/>
        </w:rPr>
      </w:pPr>
      <w:r>
        <w:rPr>
          <w:rFonts w:hint="eastAsia" w:eastAsia="黑体"/>
          <w:b/>
          <w:bCs/>
          <w:sz w:val="84"/>
          <w:highlight w:val="none"/>
        </w:rPr>
      </w:r>
      <w:r/>
    </w:p>
    <w:p>
      <w:pPr>
        <w:pStyle w:val="1052"/>
        <w:ind w:firstLine="0"/>
        <w:jc w:val="center"/>
        <w:rPr>
          <w:rFonts w:hint="eastAsia" w:ascii="方正小标宋_GBK" w:hAnsi="方正小标宋_GBK" w:eastAsia="方正小标宋_GBK" w:cs="方正小标宋_GBK"/>
          <w:sz w:val="28"/>
          <w:szCs w:val="28"/>
          <w:highlight w:val="none"/>
        </w:rPr>
      </w:pPr>
      <w:r>
        <w:rPr>
          <w:rFonts w:hint="eastAsia" w:ascii="方正小标宋_GBK" w:hAnsi="方正小标宋_GBK" w:eastAsia="方正小标宋_GBK" w:cs="方正小标宋_GBK"/>
          <w:sz w:val="44"/>
          <w:szCs w:val="44"/>
          <w:highlight w:val="none"/>
        </w:rPr>
        <w:t xml:space="preserve">招　标　文　件</w:t>
      </w:r>
      <w:r>
        <w:rPr>
          <w:rFonts w:hint="eastAsia" w:ascii="方正小标宋_GBK" w:hAnsi="方正小标宋_GBK" w:eastAsia="方正小标宋_GBK" w:cs="方正小标宋_GBK"/>
          <w:sz w:val="28"/>
          <w:szCs w:val="28"/>
          <w:highlight w:val="none"/>
        </w:rPr>
      </w:r>
      <w:r/>
    </w:p>
    <w:p>
      <w:pPr>
        <w:pStyle w:val="1052"/>
        <w:ind w:firstLine="1968"/>
        <w:spacing w:line="400" w:lineRule="exact"/>
        <w:rPr>
          <w:rFonts w:hint="eastAsia"/>
          <w:b/>
          <w:bCs/>
          <w:sz w:val="28"/>
          <w:szCs w:val="28"/>
          <w:highlight w:val="none"/>
        </w:rPr>
      </w:pPr>
      <w:r>
        <w:rPr>
          <w:rFonts w:hint="eastAsia"/>
          <w:b/>
          <w:bCs/>
          <w:sz w:val="28"/>
          <w:szCs w:val="28"/>
          <w:highlight w:val="none"/>
        </w:rPr>
      </w:r>
      <w:r/>
    </w:p>
    <w:p>
      <w:pPr>
        <w:pStyle w:val="965"/>
        <w:jc w:val="left"/>
        <w:spacing w:before="120" w:after="120" w:line="400" w:lineRule="exact"/>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rPr>
        <w:t xml:space="preserve">项目名称：江苏省儿童康复研究中心江北新中心物业管理服务</w:t>
      </w:r>
      <w:r>
        <w:rPr>
          <w:rFonts w:hint="eastAsia" w:ascii="方正黑体_GBK" w:hAnsi="方正黑体_GBK" w:eastAsia="方正黑体_GBK" w:cs="方正黑体_GBK"/>
          <w:color w:val="000000"/>
          <w:sz w:val="28"/>
          <w:szCs w:val="28"/>
          <w:highlight w:val="none"/>
          <w:lang w:val="en-US" w:eastAsia="zh-CN"/>
        </w:rPr>
        <w:t xml:space="preserve">项目</w:t>
      </w:r>
      <w:r>
        <w:rPr>
          <w:rFonts w:hint="eastAsia" w:ascii="方正黑体_GBK" w:hAnsi="方正黑体_GBK" w:eastAsia="方正黑体_GBK" w:cs="方正黑体_GBK"/>
          <w:color w:val="000000"/>
          <w:sz w:val="28"/>
          <w:szCs w:val="28"/>
          <w:highlight w:val="none"/>
          <w:lang w:val="en-US" w:eastAsia="zh-CN"/>
        </w:rPr>
      </w:r>
      <w:r/>
    </w:p>
    <w:p>
      <w:pPr>
        <w:pStyle w:val="965"/>
        <w:jc w:val="left"/>
        <w:spacing w:before="120" w:after="120" w:line="400" w:lineRule="exact"/>
        <w:rPr>
          <w:rFonts w:hint="eastAsia" w:ascii="方正黑体_GBK" w:hAnsi="方正黑体_GBK" w:eastAsia="方正黑体_GBK" w:cs="方正黑体_GBK"/>
          <w:b/>
          <w:color w:val="ff0000"/>
          <w:sz w:val="28"/>
          <w:szCs w:val="28"/>
          <w:highlight w:val="none"/>
        </w:rPr>
      </w:pPr>
      <w:r>
        <w:rPr>
          <w:rFonts w:hint="eastAsia" w:ascii="方正黑体_GBK" w:hAnsi="方正黑体_GBK" w:eastAsia="方正黑体_GBK" w:cs="方正黑体_GBK"/>
          <w:color w:val="000000"/>
          <w:sz w:val="28"/>
          <w:szCs w:val="28"/>
          <w:highlight w:val="none"/>
        </w:rPr>
        <w:t xml:space="preserve">采购编号：JSZC-320000-SCZX-G2026-0434    </w:t>
      </w:r>
      <w:r>
        <w:rPr>
          <w:rFonts w:hint="eastAsia" w:ascii="方正黑体_GBK" w:hAnsi="方正黑体_GBK" w:eastAsia="方正黑体_GBK" w:cs="方正黑体_GBK"/>
          <w:sz w:val="28"/>
          <w:szCs w:val="28"/>
          <w:highlight w:val="none"/>
        </w:rPr>
        <w:t xml:space="preserve">  </w:t>
      </w:r>
      <w:r>
        <w:rPr>
          <w:rFonts w:hint="eastAsia" w:ascii="方正黑体_GBK" w:hAnsi="方正黑体_GBK" w:eastAsia="方正黑体_GBK" w:cs="方正黑体_GBK"/>
          <w:b/>
          <w:sz w:val="28"/>
          <w:szCs w:val="28"/>
          <w:highlight w:val="none"/>
        </w:rPr>
        <w:t xml:space="preserve">   </w:t>
      </w:r>
      <w:r>
        <w:rPr>
          <w:rFonts w:hint="eastAsia" w:ascii="方正黑体_GBK" w:hAnsi="方正黑体_GBK" w:eastAsia="方正黑体_GBK" w:cs="方正黑体_GBK"/>
          <w:sz w:val="28"/>
          <w:szCs w:val="28"/>
          <w:highlight w:val="none"/>
        </w:rPr>
        <w:t xml:space="preserve">  </w:t>
      </w:r>
      <w:r>
        <w:rPr>
          <w:rFonts w:hint="eastAsia" w:ascii="方正黑体_GBK" w:hAnsi="方正黑体_GBK" w:eastAsia="方正黑体_GBK" w:cs="方正黑体_GBK"/>
          <w:b/>
          <w:sz w:val="28"/>
          <w:szCs w:val="28"/>
          <w:highlight w:val="none"/>
        </w:rPr>
        <w:t xml:space="preserve"> </w:t>
      </w:r>
      <w:r>
        <w:rPr>
          <w:rFonts w:hint="eastAsia" w:ascii="方正黑体_GBK" w:hAnsi="方正黑体_GBK" w:eastAsia="方正黑体_GBK" w:cs="方正黑体_GBK"/>
          <w:b/>
          <w:color w:val="ff0000"/>
          <w:sz w:val="28"/>
          <w:szCs w:val="28"/>
          <w:highlight w:val="none"/>
        </w:rPr>
      </w:r>
      <w:r/>
    </w:p>
    <w:p>
      <w:pPr>
        <w:pStyle w:val="965"/>
        <w:jc w:val="center"/>
        <w:rPr>
          <w:rFonts w:hint="eastAsia"/>
          <w:b/>
          <w:color w:val="ff0000"/>
          <w:sz w:val="28"/>
          <w:szCs w:val="28"/>
          <w:highlight w:val="none"/>
        </w:rPr>
      </w:pPr>
      <w:r>
        <w:rPr>
          <w:rFonts w:hint="eastAsia"/>
          <w:b/>
          <w:color w:val="ff0000"/>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52"/>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6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6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2026年10月</w:t>
      </w:r>
      <w:r>
        <w:rPr>
          <w:rFonts w:hint="eastAsia" w:ascii="方正黑体_GBK" w:hAnsi="方正黑体_GBK" w:eastAsia="方正黑体_GBK" w:cs="方正黑体_GBK"/>
          <w:color w:val="000000"/>
          <w:sz w:val="28"/>
          <w:szCs w:val="28"/>
          <w:highlight w:val="none"/>
        </w:rPr>
      </w:r>
      <w:r/>
    </w:p>
    <w:p>
      <w:pPr>
        <w:pStyle w:val="1052"/>
        <w:ind w:firstLine="0"/>
        <w:rPr>
          <w:rFonts w:hint="eastAsia"/>
          <w:highlight w:val="none"/>
          <w:u w:val="single"/>
        </w:rPr>
      </w:pPr>
      <w:r>
        <w:rPr>
          <w:rFonts w:hint="eastAsia"/>
          <w:highlight w:val="none"/>
        </w:rPr>
        <w:t xml:space="preserve">                        </w:t>
      </w:r>
      <w:r>
        <w:rPr>
          <w:rFonts w:hint="eastAsia"/>
          <w:highlight w:val="none"/>
          <w:u w:val="single"/>
        </w:rPr>
      </w:r>
      <w:r/>
    </w:p>
    <w:p>
      <w:pPr>
        <w:pStyle w:val="1052"/>
        <w:ind w:firstLine="0"/>
        <w:jc w:val="center"/>
        <w:rPr>
          <w:rFonts w:hint="eastAsia"/>
          <w:highlight w:val="none"/>
        </w:rPr>
      </w:pPr>
      <w:r>
        <w:rPr>
          <w:rFonts w:hint="eastAsia"/>
          <w:highlight w:val="none"/>
        </w:rPr>
      </w:r>
      <w:r/>
    </w:p>
    <w:p>
      <w:pPr>
        <w:pStyle w:val="965"/>
        <w:jc w:val="center"/>
        <w:spacing w:line="400" w:lineRule="exact"/>
        <w:rPr>
          <w:rFonts w:hint="eastAsia" w:ascii="黑体" w:hAnsi="Arial" w:eastAsia="黑体"/>
          <w:b/>
          <w:sz w:val="32"/>
          <w:szCs w:val="32"/>
          <w:highlight w:val="none"/>
        </w:rPr>
        <w:outlineLvl w:val="0"/>
      </w:pPr>
      <w:r>
        <w:rPr>
          <w:highlight w:val="none"/>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Cs/>
          <w:color w:val="000000"/>
          <w:sz w:val="32"/>
          <w:szCs w:val="32"/>
          <w:highlight w:val="none"/>
        </w:rPr>
        <w:t xml:space="preserve">总  目  录</w:t>
      </w:r>
      <w:r>
        <w:rPr>
          <w:rFonts w:hint="eastAsia" w:ascii="黑体" w:hAnsi="Arial" w:eastAsia="黑体"/>
          <w:b/>
          <w:sz w:val="32"/>
          <w:szCs w:val="32"/>
          <w:highlight w:val="none"/>
        </w:rPr>
      </w:r>
      <w:r/>
    </w:p>
    <w:p>
      <w:pPr>
        <w:pStyle w:val="965"/>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65"/>
        <w:jc w:val="center"/>
        <w:spacing w:line="360" w:lineRule="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投标邀请……………………………………3</w:t>
      </w:r>
      <w:r>
        <w:rPr>
          <w:rFonts w:hint="eastAsia" w:ascii="方正黑体_GBK" w:hAnsi="方正黑体_GBK" w:eastAsia="方正黑体_GBK" w:cs="方正黑体_GBK"/>
          <w:color w:val="000000"/>
          <w:sz w:val="28"/>
          <w:szCs w:val="28"/>
          <w:highlight w:val="none"/>
        </w:rPr>
      </w:r>
      <w:r/>
    </w:p>
    <w:p>
      <w:pPr>
        <w:pStyle w:val="965"/>
        <w:jc w:val="center"/>
        <w:spacing w:line="360" w:lineRule="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第二章 投标人须知…………………………………7</w:t>
      </w:r>
      <w:r>
        <w:rPr>
          <w:rFonts w:hint="eastAsia" w:ascii="方正黑体_GBK" w:hAnsi="方正黑体_GBK" w:eastAsia="方正黑体_GBK" w:cs="方正黑体_GBK"/>
          <w:color w:val="000000"/>
          <w:sz w:val="28"/>
          <w:szCs w:val="28"/>
          <w:highlight w:val="none"/>
        </w:rPr>
      </w:r>
      <w:r/>
    </w:p>
    <w:p>
      <w:pPr>
        <w:pStyle w:val="965"/>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第三章 合同文本……………………………………17</w:t>
      </w:r>
      <w:r>
        <w:rPr>
          <w:rFonts w:ascii="方正黑体_GBK" w:hAnsi="方正黑体_GBK" w:eastAsia="方正黑体_GBK" w:cs="方正黑体_GBK"/>
          <w:color w:val="000000"/>
          <w:sz w:val="28"/>
          <w:szCs w:val="28"/>
          <w:highlight w:val="none"/>
        </w:rPr>
      </w:r>
      <w:r/>
    </w:p>
    <w:p>
      <w:pPr>
        <w:pStyle w:val="965"/>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第四章 采购需求……………………………………21</w:t>
      </w:r>
      <w:r>
        <w:rPr>
          <w:rFonts w:ascii="方正黑体_GBK" w:hAnsi="方正黑体_GBK" w:eastAsia="方正黑体_GBK" w:cs="方正黑体_GBK"/>
          <w:color w:val="000000"/>
          <w:sz w:val="28"/>
          <w:szCs w:val="28"/>
          <w:highlight w:val="none"/>
        </w:rPr>
      </w:r>
      <w:r/>
    </w:p>
    <w:p>
      <w:pPr>
        <w:pStyle w:val="965"/>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第五章 评标方法与评标标准………………………61</w:t>
      </w:r>
      <w:r>
        <w:rPr>
          <w:rFonts w:ascii="方正黑体_GBK" w:hAnsi="方正黑体_GBK" w:eastAsia="方正黑体_GBK" w:cs="方正黑体_GBK"/>
          <w:color w:val="000000"/>
          <w:sz w:val="28"/>
          <w:szCs w:val="28"/>
          <w:highlight w:val="none"/>
        </w:rPr>
      </w:r>
      <w:r/>
    </w:p>
    <w:p>
      <w:pPr>
        <w:pStyle w:val="965"/>
        <w:jc w:val="center"/>
        <w:spacing w:line="360" w:lineRule="auto"/>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第六章 投标文件格式………………………………69</w:t>
      </w:r>
      <w:r>
        <w:rPr>
          <w:rFonts w:ascii="方正黑体_GBK" w:hAnsi="方正黑体_GBK" w:eastAsia="方正黑体_GBK" w:cs="方正黑体_GBK"/>
          <w:color w:val="000000"/>
          <w:sz w:val="28"/>
          <w:szCs w:val="28"/>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shd w:val="nil" w:color="auto"/>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65"/>
        <w:jc w:val="center"/>
        <w:keepNext/>
        <w:spacing w:line="40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color w:val="000000"/>
          <w:sz w:val="32"/>
          <w:szCs w:val="32"/>
          <w:highlight w:val="none"/>
        </w:rPr>
      </w:r>
      <w:r/>
    </w:p>
    <w:p>
      <w:pPr>
        <w:pStyle w:val="965"/>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受江苏省儿童康复研究中心的委托，江苏省政府采购中心就江苏省儿童康复研究中心江北新中心物业管理服务（JSZC-320000-SCZX-G2026-0434）项目进行公开招标采购，欢迎符合条件的供应商投标。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965"/>
        <w:ind w:firstLine="560"/>
        <w:spacing w:line="440" w:lineRule="exact"/>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江苏省儿童康复研究中心江北新中心物业管理服务</w:t>
      </w:r>
      <w:r>
        <w:rPr>
          <w:rFonts w:hint="eastAsia" w:ascii="方正仿宋_GBK" w:hAnsi="方正仿宋_GBK" w:eastAsia="方正仿宋_GBK" w:cs="方正仿宋_GBK"/>
          <w:sz w:val="28"/>
          <w:szCs w:val="28"/>
          <w:highlight w:val="none"/>
        </w:rPr>
        <w:t xml:space="preserve">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w:t>
      </w:r>
      <w:r>
        <w:rPr>
          <w:rFonts w:hint="eastAsia" w:eastAsia="方正仿宋_GBK"/>
          <w:color w:val="000000"/>
          <w:sz w:val="28"/>
          <w:szCs w:val="28"/>
          <w:highlight w:val="none"/>
          <w:lang w:eastAsia="zh-CN"/>
        </w:rPr>
        <w:t xml:space="preserve">1</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sz w:val="28"/>
          <w:szCs w:val="28"/>
          <w:highlight w:val="none"/>
        </w:rPr>
        <w:t xml:space="preserve">分（北京时间）前递交投标文件</w:t>
      </w:r>
      <w:r>
        <w:rPr>
          <w:rFonts w:hint="eastAsia" w:ascii="方正仿宋_GBK" w:hAnsi="方正仿宋_GBK" w:eastAsia="方正仿宋_GBK" w:cs="方正仿宋_GBK"/>
          <w:sz w:val="28"/>
          <w:szCs w:val="28"/>
          <w:highlight w:val="none"/>
        </w:rPr>
        <w:t xml:space="preserve">。</w:t>
      </w:r>
      <w:r>
        <w:rPr>
          <w:rFonts w:ascii="宋体" w:hAnsi="宋体"/>
          <w:sz w:val="28"/>
          <w:szCs w:val="28"/>
          <w:highlight w:val="non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：JSZC-320000-SCZX-G2026-0434 </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2.项目名称：江苏省儿童康复研究中心江北新中心物业管理服务项目</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8"/>
        <w:gridCol w:w="6952"/>
      </w:tblGrid>
      <w:tr>
        <w:trPr/>
        <w:tc>
          <w:tcPr>
            <w:tcW w:w="2168"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952"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预算金额（人民币：万元）</w:t>
            </w:r>
            <w:r>
              <w:rPr>
                <w:rFonts w:hint="eastAsia" w:ascii="方正仿宋_GBK" w:hAnsi="方正仿宋_GBK" w:eastAsia="方正仿宋_GBK" w:cs="方正仿宋_GBK"/>
                <w:sz w:val="28"/>
                <w:szCs w:val="28"/>
                <w:highlight w:val="none"/>
              </w:rPr>
            </w:r>
            <w:r/>
          </w:p>
        </w:tc>
      </w:tr>
      <w:tr>
        <w:trPr/>
        <w:tc>
          <w:tcPr>
            <w:tcW w:w="2168"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952" w:type="dxa"/>
            <w:vAlign w:val="top"/>
            <w:textDirection w:val="lrTb"/>
            <w:noWrap w:val="false"/>
          </w:tcPr>
          <w:p>
            <w:pPr>
              <w:pStyle w:val="965"/>
              <w:jc w:val="center"/>
              <w:spacing w:line="44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360（两年）</w:t>
            </w:r>
            <w:r>
              <w:rPr>
                <w:rFonts w:ascii="方正仿宋_GBK" w:hAnsi="方正仿宋_GBK" w:eastAsia="方正仿宋_GBK" w:cs="方正仿宋_GBK"/>
                <w:sz w:val="28"/>
                <w:szCs w:val="28"/>
                <w:highlight w:val="none"/>
              </w:rPr>
            </w:r>
            <w:r/>
          </w:p>
        </w:tc>
      </w:tr>
    </w:tbl>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5"/>
        <w:gridCol w:w="6960"/>
      </w:tblGrid>
      <w:tr>
        <w:trPr/>
        <w:tc>
          <w:tcPr>
            <w:tcW w:w="2175"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6960"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最高限价（人民币：万元）</w:t>
            </w:r>
            <w:r>
              <w:rPr>
                <w:rFonts w:hint="eastAsia" w:ascii="方正仿宋_GBK" w:hAnsi="方正仿宋_GBK" w:eastAsia="方正仿宋_GBK" w:cs="方正仿宋_GBK"/>
                <w:sz w:val="28"/>
                <w:szCs w:val="28"/>
                <w:highlight w:val="none"/>
              </w:rPr>
            </w:r>
            <w:r/>
          </w:p>
        </w:tc>
      </w:tr>
      <w:tr>
        <w:trPr/>
        <w:tc>
          <w:tcPr>
            <w:tcW w:w="2175"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960" w:type="dxa"/>
            <w:vAlign w:val="top"/>
            <w:textDirection w:val="lrTb"/>
            <w:noWrap w:val="false"/>
          </w:tcPr>
          <w:p>
            <w:pPr>
              <w:pStyle w:val="965"/>
              <w:jc w:val="center"/>
              <w:spacing w:line="44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360（两年）</w:t>
            </w:r>
            <w:r>
              <w:rPr>
                <w:rFonts w:ascii="方正仿宋_GBK" w:hAnsi="方正仿宋_GBK" w:eastAsia="方正仿宋_GBK" w:cs="方正仿宋_GBK"/>
                <w:sz w:val="28"/>
                <w:szCs w:val="28"/>
                <w:highlight w:val="none"/>
              </w:rPr>
            </w:r>
            <w:r/>
          </w:p>
        </w:tc>
      </w:tr>
    </w:tbl>
    <w:p>
      <w:pPr>
        <w:pStyle w:val="965"/>
        <w:ind w:firstLine="560"/>
        <w:spacing w:line="440" w:lineRule="exact"/>
        <w:rPr>
          <w:rFonts w:hint="eastAsia" w:ascii="方正仿宋_GBK" w:hAnsi="方正仿宋_GBK" w:eastAsia="方正仿宋_GBK" w:cs="方正仿宋_GBK"/>
          <w:sz w:val="28"/>
          <w:szCs w:val="28"/>
          <w:highlight w:val="none"/>
          <w:u w:val="single"/>
        </w:rPr>
      </w:pPr>
      <w:r/>
      <w:bookmarkStart w:id="12" w:name="_Toc35393791"/>
      <w:r/>
      <w:bookmarkStart w:id="13" w:name="_Toc28359080"/>
      <w:r/>
      <w:bookmarkStart w:id="14" w:name="_Toc35393622"/>
      <w:r/>
      <w:bookmarkStart w:id="15" w:name="_Toc38985264"/>
      <w:r/>
      <w:bookmarkStart w:id="16" w:name="_Toc28359003"/>
      <w:r>
        <w:rPr>
          <w:rFonts w:hint="eastAsia" w:ascii="方正仿宋_GBK" w:hAnsi="方正仿宋_GBK" w:eastAsia="方正仿宋_GBK" w:cs="方正仿宋_GBK"/>
          <w:sz w:val="28"/>
          <w:szCs w:val="28"/>
          <w:highlight w:val="none"/>
        </w:rPr>
        <w:t xml:space="preserve">5.采购需求（简介）：</w:t>
      </w:r>
      <w:r>
        <w:rPr>
          <w:rFonts w:hint="eastAsia" w:eastAsia="方正仿宋_GBK"/>
          <w:color w:val="000000"/>
          <w:sz w:val="28"/>
          <w:szCs w:val="28"/>
          <w:highlight w:val="none"/>
        </w:rPr>
        <w:t xml:space="preserve">江苏省儿童康复研究中心江北新中心儿童康复楼位于南京市江北新区沿江街道柳州东路京新广场南侧，建筑面积6804㎡，室外面积8392.84㎡，绿化面积3021㎡。新儿康楼物业服务项目服务内容主要包括公用设施设备维护、保洁、安保、会议、餐饮、绿化等项目的服务与管理，服务应专业、可靠，能配合各项工作的顺利开展。</w:t>
      </w:r>
      <w:r>
        <w:rPr>
          <w:rFonts w:hint="eastAsia" w:ascii="方正仿宋_GBK" w:hAnsi="方正仿宋_GBK" w:eastAsia="方正仿宋_GBK" w:cs="方正仿宋_GBK"/>
          <w:sz w:val="28"/>
          <w:szCs w:val="28"/>
          <w:highlight w:val="none"/>
        </w:rPr>
        <w:t xml:space="preserve">（详细内容见本招标文件第四章）</w:t>
      </w:r>
      <w:r>
        <w:rPr>
          <w:rFonts w:hint="eastAsia" w:ascii="方正仿宋_GBK" w:hAnsi="方正仿宋_GBK" w:eastAsia="方正仿宋_GBK" w:cs="方正仿宋_GBK"/>
          <w:sz w:val="28"/>
          <w:szCs w:val="28"/>
          <w:highlight w:val="none"/>
          <w:u w:val="single"/>
        </w:rPr>
      </w:r>
      <w:r/>
    </w:p>
    <w:p>
      <w:pPr>
        <w:pStyle w:val="965"/>
        <w:ind w:firstLine="560"/>
        <w:spacing w:line="440" w:lineRule="exact"/>
        <w:rPr>
          <w:rFonts w:hint="eastAsia" w:eastAsia="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olor w:val="000000"/>
          <w:sz w:val="28"/>
          <w:szCs w:val="28"/>
          <w:highlight w:val="none"/>
        </w:rPr>
        <w:t xml:space="preserve">服务期两年，合同一年一签。如果中标单位未能通过履约验收，不再续签下一年合同。</w:t>
      </w:r>
      <w:r>
        <w:rPr>
          <w:rFonts w:hint="eastAsia" w:eastAsia="方正仿宋_GBK"/>
          <w:color w:val="000000"/>
          <w:sz w:val="28"/>
          <w:szCs w:val="28"/>
          <w:highlight w:val="none"/>
          <w:u w:val="singl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65"/>
        <w:ind w:firstLine="560"/>
        <w:spacing w:line="440" w:lineRule="exact"/>
        <w:rPr>
          <w:rFonts w:hint="eastAsia" w:ascii="方正楷体_GBK" w:hAnsi="方正楷体_GBK" w:eastAsia="方正楷体_GBK" w:cs="方正楷体_GBK"/>
          <w:color w:val="000000"/>
          <w:sz w:val="28"/>
          <w:szCs w:val="28"/>
          <w:highlight w:val="none"/>
        </w:rPr>
      </w:pPr>
      <w:r/>
      <w:bookmarkStart w:id="17" w:name="_Toc28359081"/>
      <w:r/>
      <w:bookmarkStart w:id="18" w:name="_Toc35393623"/>
      <w:r/>
      <w:bookmarkStart w:id="19" w:name="_Toc28359004"/>
      <w:r/>
      <w:bookmarkStart w:id="20" w:name="_Toc35393792"/>
      <w:r/>
      <w:bookmarkStart w:id="21" w:name="_Toc38985265"/>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2968"/>
        <w:gridCol w:w="4424"/>
      </w:tblGrid>
      <w:tr>
        <w:trPr/>
        <w:tc>
          <w:tcPr>
            <w:tcW w:w="1668"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968"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4424"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668"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4424"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5"/>
        <w:ind w:firstLine="560"/>
        <w:spacing w:line="44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7332"/>
      </w:tblGrid>
      <w:tr>
        <w:trPr/>
        <w:tc>
          <w:tcPr>
            <w:tcW w:w="1653"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7332"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653" w:type="dxa"/>
            <w:vAlign w:val="top"/>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332" w:type="dxa"/>
            <w:vAlign w:val="top"/>
            <w:textDirection w:val="lrTb"/>
            <w:noWrap w:val="false"/>
          </w:tcPr>
          <w:p>
            <w:pPr>
              <w:pStyle w:val="965"/>
              <w:jc w:val="center"/>
              <w:spacing w:line="44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ascii="方正仿宋_GBK" w:hAnsi="方正仿宋_GBK" w:eastAsia="方正仿宋_GBK" w:cs="方正仿宋_GBK"/>
                <w:sz w:val="28"/>
                <w:szCs w:val="28"/>
                <w:highlight w:val="none"/>
              </w:rPr>
            </w:r>
            <w:r/>
          </w:p>
        </w:tc>
      </w:tr>
    </w:tbl>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38985267"/>
      <w:r/>
      <w:bookmarkStart w:id="23" w:name="_Toc35393794"/>
      <w:r/>
      <w:bookmarkStart w:id="24" w:name="_Toc35393625"/>
      <w:r/>
      <w:bookmarkStart w:id="25" w:name="_Toc28359084"/>
      <w:r/>
      <w:bookmarkStart w:id="26" w:name="_Toc28359007"/>
      <w:r/>
      <w:bookmarkStart w:id="27" w:name="_Toc28359005"/>
      <w:r/>
      <w:bookmarkStart w:id="28" w:name="_Toc28359082"/>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highlight w:val="none"/>
        </w:rPr>
        <w:t xml:space="preserve">四、提交投标文件</w:t>
      </w:r>
      <w:bookmarkEnd w:id="27"/>
      <w:r/>
      <w:bookmarkEnd w:id="28"/>
      <w:r>
        <w:rPr>
          <w:rFonts w:hint="eastAsia" w:ascii="方正黑体_GBK" w:hAnsi="方正黑体_GBK" w:eastAsia="方正黑体_GBK" w:cs="方正黑体_GBK"/>
          <w:color w:val="000000"/>
          <w:sz w:val="28"/>
          <w:szCs w:val="28"/>
          <w:highlight w:val="none"/>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65"/>
        <w:ind w:firstLine="560"/>
        <w:spacing w:line="44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w:t>
      </w:r>
      <w:r>
        <w:rPr>
          <w:rFonts w:hint="eastAsia" w:eastAsia="方正仿宋_GBK"/>
          <w:color w:val="000000"/>
          <w:sz w:val="28"/>
          <w:szCs w:val="28"/>
          <w:highlight w:val="none"/>
          <w:lang w:eastAsia="zh-CN"/>
        </w:rPr>
        <w:t xml:space="preserve">1</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ascii="宋体" w:hAnsi="宋体"/>
          <w:bCs/>
          <w:color w:val="000000"/>
          <w:sz w:val="28"/>
          <w:szCs w:val="28"/>
          <w:highlight w:val="none"/>
          <w:u w:val="singl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highlight w:val="none"/>
        </w:rPr>
        <w:t xml:space="preserve">五、公告期限</w:t>
      </w:r>
      <w:r>
        <w:rPr>
          <w:rFonts w:hint="eastAsia" w:ascii="方正黑体_GBK" w:hAnsi="方正黑体_GBK" w:eastAsia="方正黑体_GBK" w:cs="方正黑体_GBK"/>
          <w:color w:val="000000"/>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32"/>
      <w:r/>
      <w:bookmarkEnd w:id="33"/>
      <w:r/>
      <w:bookmarkEnd w:id="34"/>
      <w:r/>
      <w:bookmarkStart w:id="35" w:name="_Toc28359008"/>
      <w:r/>
      <w:bookmarkStart w:id="36" w:name="_Toc35393627"/>
      <w:r/>
      <w:bookmarkStart w:id="37" w:name="_Toc28359085"/>
      <w:r/>
      <w:bookmarkStart w:id="38" w:name="_Toc35393796"/>
      <w:r/>
      <w:bookmarkStart w:id="39" w:name="_Toc38985269"/>
      <w:r>
        <w:rPr>
          <w:rFonts w:hint="eastAsia" w:ascii="方正黑体_GBK" w:hAnsi="方正黑体_GBK" w:eastAsia="方正黑体_GBK" w:cs="方正黑体_GBK"/>
          <w:color w:val="000000"/>
          <w:sz w:val="28"/>
          <w:szCs w:val="28"/>
          <w:highlight w:val="none"/>
        </w:rPr>
        <w:t xml:space="preserve">六、其他补充事宜</w:t>
      </w:r>
      <w:r>
        <w:rPr>
          <w:rFonts w:hint="eastAsia" w:ascii="方正黑体_GBK" w:hAnsi="方正黑体_GBK" w:eastAsia="方正黑体_GBK" w:cs="方正黑体_GBK"/>
          <w:color w:val="000000"/>
          <w:sz w:val="28"/>
          <w:szCs w:val="28"/>
          <w:highlight w:val="none"/>
        </w:rPr>
      </w:r>
      <w:r/>
    </w:p>
    <w:p>
      <w:pPr>
        <w:pStyle w:val="965"/>
        <w:ind w:firstLine="560"/>
        <w:jc w:val="left"/>
        <w:keepNext/>
        <w:spacing w:line="440" w:lineRule="exact"/>
        <w:rPr>
          <w:rFonts w:hint="eastAsia" w:ascii="方正仿宋_GBK" w:hAnsi="方正仿宋_GBK" w:eastAsia="方正仿宋_GBK" w:cs="方正仿宋_GBK"/>
          <w:sz w:val="28"/>
          <w:szCs w:val="28"/>
          <w:highlight w:val="none"/>
        </w:rPr>
        <w:outlineLvl w:val="0"/>
      </w:pPr>
      <w:r/>
      <w:bookmarkEnd w:id="35"/>
      <w:r/>
      <w:bookmarkEnd w:id="36"/>
      <w:r/>
      <w:bookmarkEnd w:id="37"/>
      <w:r/>
      <w:bookmarkEnd w:id="38"/>
      <w:r/>
      <w:bookmarkEnd w:id="39"/>
      <w:r>
        <w:rPr>
          <w:rFonts w:hint="eastAsia" w:ascii="方正仿宋_GBK" w:hAnsi="方正仿宋_GBK" w:eastAsia="方正仿宋_GBK" w:cs="方正仿宋_GBK"/>
          <w:sz w:val="28"/>
          <w:szCs w:val="28"/>
          <w:highlight w:val="none"/>
        </w:rPr>
        <w:t xml:space="preserve">本项目统一现场勘察。</w:t>
      </w:r>
      <w:r>
        <w:rPr>
          <w:rFonts w:hint="eastAsia" w:ascii="方正仿宋_GBK" w:hAnsi="方正仿宋_GBK" w:eastAsia="方正仿宋_GBK" w:cs="方正仿宋_GBK"/>
          <w:sz w:val="28"/>
          <w:szCs w:val="28"/>
          <w:highlight w:val="none"/>
        </w:rPr>
      </w:r>
      <w:r/>
    </w:p>
    <w:p>
      <w:pPr>
        <w:pStyle w:val="965"/>
        <w:ind w:firstLine="560"/>
        <w:jc w:val="left"/>
        <w:keepNext/>
        <w:spacing w:line="440" w:lineRule="exact"/>
        <w:rPr>
          <w:rFonts w:hint="eastAsia" w:eastAsia="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勘察开始时间：</w:t>
      </w:r>
      <w:r>
        <w:rPr>
          <w:rFonts w:hint="eastAsia" w:eastAsia="方正仿宋_GBK"/>
          <w:color w:val="000000"/>
          <w:sz w:val="28"/>
          <w:szCs w:val="28"/>
          <w:highlight w:val="none"/>
        </w:rPr>
        <w:t xml:space="preserve">2026年1</w:t>
      </w:r>
      <w:r>
        <w:rPr>
          <w:rFonts w:hint="eastAsia" w:eastAsia="方正仿宋_GBK"/>
          <w:color w:val="000000"/>
          <w:sz w:val="28"/>
          <w:szCs w:val="28"/>
          <w:highlight w:val="none"/>
          <w:lang w:eastAsia="zh-CN"/>
        </w:rPr>
        <w:t xml:space="preserve">1</w:t>
      </w:r>
      <w:r>
        <w:rPr>
          <w:rFonts w:hint="eastAsia" w:eastAsia="方正仿宋_GBK"/>
          <w:color w:val="000000"/>
          <w:sz w:val="28"/>
          <w:szCs w:val="28"/>
          <w:highlight w:val="none"/>
        </w:rPr>
        <w:t xml:space="preserve">月11日9点30分</w:t>
      </w:r>
      <w:r>
        <w:rPr>
          <w:rFonts w:hint="eastAsia" w:eastAsia="方正仿宋_GBK"/>
          <w:color w:val="000000"/>
          <w:sz w:val="28"/>
          <w:szCs w:val="28"/>
          <w:highlight w:val="none"/>
        </w:rPr>
      </w:r>
      <w:r/>
    </w:p>
    <w:p>
      <w:pPr>
        <w:pStyle w:val="965"/>
        <w:ind w:firstLine="560"/>
        <w:jc w:val="left"/>
        <w:keepNext/>
        <w:spacing w:line="440" w:lineRule="exact"/>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勘察地址：南京市江北新区沿江街道柳州东路京新广场南侧</w:t>
      </w:r>
      <w:r>
        <w:rPr>
          <w:rFonts w:hint="eastAsia" w:ascii="方正仿宋_GBK" w:hAnsi="方正仿宋_GBK" w:eastAsia="方正仿宋_GBK" w:cs="方正仿宋_GBK"/>
          <w:color w:val="000000"/>
          <w:sz w:val="28"/>
          <w:szCs w:val="28"/>
          <w:highlight w:val="none"/>
        </w:rPr>
      </w:r>
      <w:r/>
    </w:p>
    <w:p>
      <w:pPr>
        <w:pStyle w:val="965"/>
        <w:ind w:firstLine="560"/>
        <w:jc w:val="left"/>
        <w:keepNext/>
        <w:spacing w:line="440" w:lineRule="exact"/>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联系人（联系电话）：</w:t>
      </w:r>
      <w:r>
        <w:rPr>
          <w:rFonts w:hint="eastAsia" w:ascii="方正仿宋_GBK" w:hAnsi="方正仿宋_GBK" w:eastAsia="方正仿宋_GBK" w:cs="方正仿宋_GBK"/>
          <w:color w:val="000000"/>
          <w:sz w:val="28"/>
          <w:szCs w:val="28"/>
          <w:highlight w:val="none"/>
        </w:rPr>
        <w:t xml:space="preserve">黄</w:t>
      </w:r>
      <w:r>
        <w:rPr>
          <w:rFonts w:hint="eastAsia" w:ascii="方正仿宋_GBK" w:hAnsi="方正仿宋_GBK" w:eastAsia="方正仿宋_GBK" w:cs="方正仿宋_GBK"/>
          <w:color w:val="000000"/>
          <w:sz w:val="28"/>
          <w:szCs w:val="28"/>
          <w:highlight w:val="none"/>
        </w:rPr>
        <w:t xml:space="preserve">雯</w:t>
      </w:r>
      <w:r>
        <w:rPr>
          <w:rFonts w:hint="eastAsia" w:ascii="方正仿宋_GBK" w:hAnsi="方正仿宋_GBK" w:eastAsia="方正仿宋_GBK" w:cs="方正仿宋_GBK"/>
          <w:color w:val="000000"/>
          <w:sz w:val="28"/>
          <w:szCs w:val="28"/>
          <w:highlight w:val="none"/>
        </w:rPr>
        <w:t xml:space="preserve">（15105175730）</w:t>
      </w:r>
      <w:r>
        <w:rPr>
          <w:rFonts w:hint="eastAsia" w:ascii="方正仿宋_GBK" w:hAnsi="方正仿宋_GBK" w:eastAsia="方正仿宋_GBK" w:cs="方正仿宋_GBK"/>
          <w:color w:val="000000"/>
          <w:sz w:val="28"/>
          <w:szCs w:val="28"/>
          <w:highlight w:val="none"/>
        </w:rPr>
      </w:r>
      <w:r/>
    </w:p>
    <w:p>
      <w:pPr>
        <w:pStyle w:val="965"/>
        <w:ind w:firstLine="560"/>
        <w:jc w:val="left"/>
        <w:keepNext/>
        <w:spacing w:line="440" w:lineRule="exact"/>
        <w:rPr>
          <w:rFonts w:hint="eastAsia" w:ascii="方正仿宋_GBK" w:hAnsi="方正仿宋_GBK" w:eastAsia="方正仿宋_GBK" w:cs="方正仿宋_GBK"/>
          <w:sz w:val="28"/>
          <w:szCs w:val="28"/>
          <w:highlight w:val="none"/>
        </w:rPr>
        <w:outlineLvl w:val="0"/>
      </w:pPr>
      <w:r>
        <w:rPr>
          <w:rFonts w:hint="eastAsia" w:ascii="方正仿宋_GBK" w:hAnsi="方正仿宋_GBK" w:eastAsia="方正仿宋_GBK" w:cs="方正仿宋_GBK"/>
          <w:sz w:val="28"/>
          <w:szCs w:val="28"/>
          <w:highlight w:val="none"/>
        </w:rPr>
        <w:t xml:space="preserve">各潜在投标人需携带本人身份证、法人授权委托书准时到达指定勘察现场。投标人需对项目现场和周围环境进行仔细认真地查勘，在随后的采购中，对现场资料和数据所作出的推论、解释和结论及由此造成的后果由投标人负责。</w:t>
      </w:r>
      <w:r>
        <w:rPr>
          <w:rFonts w:hint="eastAsia" w:ascii="方正仿宋_GBK" w:hAnsi="方正仿宋_GBK" w:eastAsia="方正仿宋_GBK" w:cs="方正仿宋_GBK"/>
          <w:sz w:val="28"/>
          <w:szCs w:val="28"/>
          <w:highlight w:val="non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七、本次招标联系方式</w:t>
      </w:r>
      <w:r>
        <w:rPr>
          <w:rFonts w:hint="eastAsia" w:ascii="方正黑体_GBK" w:hAnsi="方正黑体_GBK" w:eastAsia="方正黑体_GBK" w:cs="方正黑体_GBK"/>
          <w:color w:val="000000"/>
          <w:sz w:val="28"/>
          <w:szCs w:val="28"/>
          <w:highlight w:val="none"/>
        </w:rPr>
      </w:r>
      <w:r/>
    </w:p>
    <w:p>
      <w:pPr>
        <w:pStyle w:val="965"/>
        <w:jc w:val="left"/>
        <w:spacing w:line="44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65"/>
        <w:ind w:firstLine="560"/>
        <w:jc w:val="left"/>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江苏省儿童康复研究中心</w:t>
      </w:r>
      <w:r>
        <w:rPr>
          <w:rFonts w:ascii="方正仿宋_GBK" w:hAnsi="方正仿宋_GBK" w:eastAsia="方正仿宋_GBK" w:cs="方正仿宋_GBK"/>
          <w:color w:val="000000"/>
          <w:sz w:val="28"/>
          <w:szCs w:val="28"/>
          <w:highlight w:val="none"/>
        </w:rPr>
      </w:r>
      <w:r/>
    </w:p>
    <w:p>
      <w:pPr>
        <w:pStyle w:val="965"/>
        <w:ind w:firstLine="560"/>
        <w:jc w:val="left"/>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南京市白下区丰富路53号</w:t>
      </w:r>
      <w:r>
        <w:rPr>
          <w:rFonts w:ascii="方正仿宋_GBK" w:hAnsi="方正仿宋_GBK" w:eastAsia="方正仿宋_GBK" w:cs="方正仿宋_GBK"/>
          <w:color w:val="000000"/>
          <w:sz w:val="28"/>
          <w:szCs w:val="28"/>
          <w:highlight w:val="none"/>
        </w:rPr>
      </w:r>
      <w:r/>
    </w:p>
    <w:p>
      <w:pPr>
        <w:pStyle w:val="965"/>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戴勤勤   </w:t>
      </w:r>
      <w:r>
        <w:rPr>
          <w:rFonts w:hint="eastAsia" w:ascii="方正仿宋_GBK" w:hAnsi="方正仿宋_GBK" w:eastAsia="方正仿宋_GBK" w:cs="方正仿宋_GBK"/>
          <w:color w:val="000000"/>
          <w:sz w:val="28"/>
          <w:szCs w:val="28"/>
          <w:highlight w:val="none"/>
        </w:rPr>
      </w:r>
      <w:r/>
    </w:p>
    <w:p>
      <w:pPr>
        <w:pStyle w:val="965"/>
        <w:ind w:firstLine="560"/>
        <w:jc w:val="left"/>
        <w:spacing w:line="44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025-86993718  </w:t>
      </w:r>
      <w:bookmarkStart w:id="40" w:name="_Toc28359009"/>
      <w:r/>
      <w:bookmarkStart w:id="41" w:name="_Toc28359086"/>
      <w:r>
        <w:rPr>
          <w:rFonts w:hint="eastAsia" w:ascii="方正仿宋_GBK" w:hAnsi="方正仿宋_GBK" w:eastAsia="方正仿宋_GBK" w:cs="方正仿宋_GBK"/>
          <w:color w:val="000000"/>
          <w:sz w:val="28"/>
          <w:szCs w:val="28"/>
          <w:highlight w:val="none"/>
          <w:u w:val="single"/>
        </w:rPr>
      </w:r>
      <w:r/>
    </w:p>
    <w:p>
      <w:pPr>
        <w:pStyle w:val="965"/>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65"/>
        <w:ind w:firstLine="560"/>
        <w:jc w:val="left"/>
        <w:keepNext/>
        <w:spacing w:line="440" w:lineRule="exact"/>
        <w:rPr>
          <w:rFonts w:hint="eastAsia" w:ascii="方正仿宋_GBK" w:hAnsi="方正仿宋_GBK" w:eastAsia="方正仿宋_GBK" w:cs="方正仿宋_GBK"/>
          <w:color w:val="000000"/>
          <w:sz w:val="28"/>
          <w:szCs w:val="28"/>
          <w:highlight w:val="none"/>
        </w:rPr>
        <w:outlineLvl w:val="0"/>
      </w:pPr>
      <w:r/>
      <w:bookmarkStart w:id="42" w:name="_Toc28359010"/>
      <w:r/>
      <w:bookmarkStart w:id="43" w:name="_Toc28359087"/>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w:t>
      </w:r>
      <w:r>
        <w:rPr>
          <w:rFonts w:hint="eastAsia" w:ascii="方正仿宋_GBK" w:hAnsi="方正仿宋_GBK" w:eastAsia="方正仿宋_GBK" w:cs="方正仿宋_GBK"/>
          <w:color w:val="000000"/>
          <w:sz w:val="28"/>
          <w:szCs w:val="28"/>
          <w:highlight w:val="none"/>
        </w:rPr>
      </w:r>
      <w:r/>
    </w:p>
    <w:p>
      <w:pPr>
        <w:pStyle w:val="965"/>
        <w:ind w:firstLine="560"/>
        <w:jc w:val="left"/>
        <w:keepNext/>
        <w:spacing w:line="44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color w:val="000000"/>
          <w:sz w:val="28"/>
          <w:szCs w:val="28"/>
          <w:highlight w:val="none"/>
        </w:rPr>
      </w:r>
      <w:r/>
    </w:p>
    <w:p>
      <w:pPr>
        <w:pStyle w:val="965"/>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65"/>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65"/>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65"/>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65"/>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65"/>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ind w:right="839"/>
        <w:jc w:val="center"/>
        <w:spacing w:line="400" w:lineRule="exact"/>
        <w:rPr>
          <w:rFonts w:hint="eastAsia" w:ascii="宋体" w:hAnsi="宋体"/>
          <w:sz w:val="28"/>
          <w:szCs w:val="28"/>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Pr>
          <w:rFonts w:hint="eastAsia" w:ascii="宋体" w:hAnsi="宋体"/>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1.招标方式</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2.合格的投标人</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3.适用法律和标准</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4.投标费用</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宋体" w:hAnsi="宋体"/>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rFonts w:hint="eastAsia" w:ascii="宋体" w:hAnsi="宋体"/>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6.招标文件构成</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7.招标文件的修改</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sz w:val="28"/>
          <w:szCs w:val="28"/>
          <w:highlight w:val="none"/>
        </w:rPr>
      </w:r>
      <w:r/>
    </w:p>
    <w:p>
      <w:pPr>
        <w:pStyle w:val="965"/>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49" w:name="_Toc462564072"/>
      <w:r/>
      <w:bookmarkStart w:id="50" w:name="_Toc16938529"/>
      <w:r/>
      <w:bookmarkStart w:id="51" w:name="_Toc513029213"/>
      <w:r/>
      <w:bookmarkStart w:id="52" w:name="_Toc120614216"/>
      <w:r/>
      <w:bookmarkStart w:id="53" w:name="_Toc20823285"/>
      <w:r>
        <w:rPr>
          <w:rFonts w:hint="eastAsia" w:ascii="方正黑体_GBK" w:hAnsi="方正黑体_GBK" w:eastAsia="方正黑体_GBK" w:cs="方正黑体_GBK"/>
          <w:color w:val="000000"/>
          <w:sz w:val="28"/>
          <w:szCs w:val="28"/>
          <w:highlight w:val="none"/>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highlight w:val="none"/>
        </w:rPr>
      </w:r>
      <w:r/>
    </w:p>
    <w:p>
      <w:pPr>
        <w:pStyle w:val="969"/>
        <w:ind w:firstLine="560"/>
        <w:spacing w:before="0" w:after="0" w:line="400" w:lineRule="exact"/>
        <w:rPr>
          <w:rFonts w:hint="eastAsia" w:ascii="方正仿宋_GBK" w:hAnsi="方正仿宋_GBK" w:eastAsia="方正仿宋_GBK" w:cs="方正仿宋_GBK"/>
          <w:bCs w:val="0"/>
          <w:highlight w:val="none"/>
        </w:rPr>
      </w:pPr>
      <w:r/>
      <w:bookmarkStart w:id="54" w:name="_Toc20823286"/>
      <w:r/>
      <w:bookmarkStart w:id="55" w:name="_Toc513029214"/>
      <w:r/>
      <w:bookmarkStart w:id="56" w:name="_Toc462564073"/>
      <w:r/>
      <w:bookmarkStart w:id="57" w:name="_Toc16938530"/>
      <w:r>
        <w:rPr>
          <w:rFonts w:hint="eastAsia" w:ascii="方正仿宋_GBK" w:hAnsi="方正仿宋_GBK" w:eastAsia="方正仿宋_GBK" w:cs="方正仿宋_GBK"/>
          <w:b w:val="0"/>
          <w:bCs w:val="0"/>
          <w:highlight w:val="none"/>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Start w:id="58" w:name="_Toc16938531"/>
      <w:r/>
      <w:bookmarkStart w:id="59" w:name="_Toc462564074"/>
      <w:r/>
      <w:bookmarkStart w:id="60" w:name="_Toc20823287"/>
      <w:r/>
      <w:bookmarkStart w:id="61" w:name="_Toc513029215"/>
      <w:r>
        <w:rPr>
          <w:rFonts w:hint="eastAsia" w:ascii="方正仿宋_GBK" w:hAnsi="方正仿宋_GBK" w:eastAsia="方正仿宋_GBK" w:cs="方正仿宋_GBK"/>
          <w:b w:val="0"/>
          <w:bCs w:val="0"/>
          <w:highlight w:val="none"/>
        </w:rPr>
        <w:t xml:space="preserve">9.投标文件构成</w:t>
      </w:r>
      <w:bookmarkEnd w:id="58"/>
      <w:r/>
      <w:bookmarkEnd w:id="59"/>
      <w:r/>
      <w:bookmarkEnd w:id="60"/>
      <w:r/>
      <w:bookmarkEnd w:id="61"/>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Start w:id="62" w:name="_Hlt26670360"/>
      <w:r/>
      <w:bookmarkEnd w:id="62"/>
      <w:r/>
      <w:bookmarkStart w:id="63" w:name="_Hlt26668975"/>
      <w:r/>
      <w:bookmarkEnd w:id="63"/>
      <w:r/>
      <w:bookmarkStart w:id="64" w:name="_Hlt26954838"/>
      <w:r/>
      <w:bookmarkEnd w:id="64"/>
      <w:r/>
      <w:bookmarkStart w:id="65" w:name="_Toc513029219"/>
      <w:r/>
      <w:bookmarkStart w:id="66" w:name="_Toc49090509"/>
      <w:r/>
      <w:bookmarkStart w:id="67" w:name="_Toc14577357"/>
      <w:r/>
      <w:bookmarkStart w:id="68" w:name="_Toc14577354"/>
      <w:r/>
      <w:bookmarkStart w:id="69" w:name="_Toc49090507"/>
      <w:r/>
      <w:bookmarkStart w:id="70" w:name="_Toc513029216"/>
      <w:r>
        <w:rPr>
          <w:rFonts w:hint="eastAsia" w:ascii="方正仿宋_GBK" w:hAnsi="方正仿宋_GBK" w:eastAsia="方正仿宋_GBK" w:cs="方正仿宋_GBK"/>
          <w:b w:val="0"/>
          <w:bCs w:val="0"/>
          <w:highlight w:val="none"/>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11.投标分项报价</w:t>
      </w:r>
      <w:bookmarkEnd w:id="71"/>
      <w:r/>
      <w:bookmarkStart w:id="73" w:name="_Hlt26670373"/>
      <w:r/>
      <w:bookmarkEnd w:id="73"/>
      <w:r>
        <w:rPr>
          <w:rFonts w:hint="eastAsia" w:ascii="方正仿宋_GBK" w:hAnsi="方正仿宋_GBK" w:eastAsia="方正仿宋_GBK" w:cs="方正仿宋_GBK"/>
          <w:b w:val="0"/>
          <w:bCs w:val="0"/>
          <w:highlight w:val="none"/>
        </w:rPr>
        <w:t xml:space="preserve">表</w:t>
      </w:r>
      <w:bookmarkEnd w:id="72"/>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w:t>
      </w:r>
      <w:bookmarkStart w:id="74" w:name="_Hlt26954840"/>
      <w:r/>
      <w:bookmarkEnd w:id="74"/>
      <w:r>
        <w:rPr>
          <w:rFonts w:hint="eastAsia" w:ascii="方正仿宋_GBK" w:hAnsi="方正仿宋_GBK" w:eastAsia="方正仿宋_GBK" w:cs="方正仿宋_GBK"/>
          <w:sz w:val="28"/>
          <w:szCs w:val="28"/>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rPr>
          <w:rFonts w:hint="eastAsia" w:ascii="方正仿宋_GBK" w:hAnsi="方正仿宋_GBK" w:eastAsia="方正仿宋_GBK" w:cs="方正仿宋_GBK"/>
          <w:bCs/>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Start w:id="76" w:name="_Hlt26954731"/>
      <w:r/>
      <w:bookmarkEnd w:id="76"/>
      <w:r/>
      <w:bookmarkStart w:id="77" w:name="_Hlt26954842"/>
      <w:r/>
      <w:bookmarkEnd w:id="77"/>
      <w:r/>
      <w:bookmarkStart w:id="78" w:name="_Hlt26954844"/>
      <w:r/>
      <w:bookmarkEnd w:id="78"/>
      <w:r/>
      <w:bookmarkStart w:id="79" w:name="_Hlt26670486"/>
      <w:r/>
      <w:bookmarkEnd w:id="79"/>
      <w:r/>
      <w:bookmarkStart w:id="80" w:name="_Hlt26954846"/>
      <w:r/>
      <w:bookmarkEnd w:id="80"/>
      <w:r/>
      <w:bookmarkStart w:id="81" w:name="_Hlt26670403"/>
      <w:r/>
      <w:bookmarkEnd w:id="81"/>
      <w:r/>
      <w:bookmarkStart w:id="82" w:name="_Hlt26954848"/>
      <w:r/>
      <w:bookmarkEnd w:id="82"/>
      <w:r/>
      <w:bookmarkStart w:id="83" w:name="_Hlt26668983"/>
      <w:r/>
      <w:bookmarkEnd w:id="83"/>
      <w:r/>
      <w:bookmarkStart w:id="84" w:name="_Hlt26670425"/>
      <w:r/>
      <w:bookmarkEnd w:id="84"/>
      <w:r/>
      <w:bookmarkStart w:id="85" w:name="_Hlt26670482"/>
      <w:r/>
      <w:bookmarkEnd w:id="85"/>
      <w:r>
        <w:rPr>
          <w:rFonts w:hint="eastAsia" w:ascii="方正仿宋_GBK" w:hAnsi="方正仿宋_GBK" w:eastAsia="方正仿宋_GBK" w:cs="方正仿宋_GBK"/>
          <w:b w:val="0"/>
          <w:bCs w:val="0"/>
          <w:highlight w:val="none"/>
        </w:rPr>
        <w:t xml:space="preserve">12.技术要求响应及偏离表、商务要求响应及偏离表</w:t>
      </w:r>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highlight w:val="none"/>
          <w:lang w:val="zh-CN"/>
        </w:rPr>
      </w:r>
      <w:r/>
    </w:p>
    <w:p>
      <w:pPr>
        <w:pStyle w:val="965"/>
        <w:ind w:firstLine="560"/>
        <w:spacing w:line="400" w:lineRule="exact"/>
        <w:rPr>
          <w:rFonts w:hint="eastAsia" w:ascii="方正仿宋_GBK" w:hAnsi="方正仿宋_GBK" w:eastAsia="方正仿宋_GBK" w:cs="方正仿宋_GBK"/>
          <w:sz w:val="28"/>
          <w:szCs w:val="28"/>
          <w:highlight w:val="none"/>
          <w:lang w:val="zh-CN"/>
        </w:rPr>
      </w:pPr>
      <w:r/>
      <w:bookmarkStart w:id="86" w:name="_Toc14577359"/>
      <w:r/>
      <w:bookmarkStart w:id="87" w:name="_Toc49090510"/>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highlight w:val="none"/>
          <w:lang w:val="zh-CN"/>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13.投标函和开标一览表</w:t>
      </w:r>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highlight w:val="none"/>
        </w:rPr>
        <w:t xml:space="preserve">14.投标有效期</w:t>
      </w:r>
      <w:bookmarkEnd w:id="91"/>
      <w:r/>
      <w:bookmarkEnd w:id="92"/>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rPr>
          <w:rFonts w:hint="eastAsia" w:ascii="方正仿宋_GBK" w:hAnsi="方正仿宋_GBK" w:eastAsia="方正仿宋_GBK" w:cs="方正仿宋_GBK"/>
          <w:bCs/>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15.投标有效期的延长</w:t>
      </w:r>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93" w:name="_Hlt26954852"/>
      <w:r/>
      <w:bookmarkEnd w:id="93"/>
      <w:r/>
      <w:bookmarkStart w:id="94" w:name="_Hlt26954739"/>
      <w:r/>
      <w:bookmarkEnd w:id="94"/>
      <w:r/>
      <w:bookmarkStart w:id="95" w:name="_Toc120614217"/>
      <w:r/>
      <w:bookmarkStart w:id="96" w:name="_Toc513029224"/>
      <w:r/>
      <w:bookmarkStart w:id="97" w:name="_Toc20823296"/>
      <w:r/>
      <w:bookmarkStart w:id="98" w:name="_Toc16938540"/>
      <w:r>
        <w:rPr>
          <w:rFonts w:hint="eastAsia" w:ascii="方正黑体_GBK" w:hAnsi="方正黑体_GBK" w:eastAsia="方正黑体_GBK" w:cs="方正黑体_GBK"/>
          <w:color w:val="000000"/>
          <w:sz w:val="28"/>
          <w:szCs w:val="28"/>
          <w:highlight w:val="none"/>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Start w:id="99" w:name="_Toc462564084"/>
      <w:r/>
      <w:bookmarkStart w:id="100" w:name="_Toc20823297"/>
      <w:r/>
      <w:bookmarkStart w:id="101" w:name="_Toc513029225"/>
      <w:r/>
      <w:bookmarkStart w:id="102" w:name="_Toc16938541"/>
      <w:r>
        <w:rPr>
          <w:rFonts w:hint="eastAsia" w:ascii="方正仿宋_GBK" w:hAnsi="方正仿宋_GBK" w:eastAsia="方正仿宋_GBK" w:cs="方正仿宋_GBK"/>
          <w:b w:val="0"/>
          <w:bCs w:val="0"/>
          <w:highlight w:val="none"/>
        </w:rPr>
        <w:t xml:space="preserve">16.投标文件</w:t>
      </w:r>
      <w:bookmarkEnd w:id="99"/>
      <w:r/>
      <w:bookmarkEnd w:id="100"/>
      <w:r/>
      <w:bookmarkEnd w:id="101"/>
      <w:r/>
      <w:bookmarkEnd w:id="102"/>
      <w:r>
        <w:rPr>
          <w:rFonts w:hint="eastAsia" w:ascii="方正仿宋_GBK" w:hAnsi="方正仿宋_GBK" w:eastAsia="方正仿宋_GBK" w:cs="方正仿宋_GBK"/>
          <w:b w:val="0"/>
          <w:bCs w:val="0"/>
          <w:highlight w:val="none"/>
        </w:rPr>
        <w:t xml:space="preserve">的递交</w:t>
      </w:r>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rPr>
          <w:rFonts w:hint="eastAsia" w:ascii="方正仿宋_GBK" w:hAnsi="方正仿宋_GBK" w:eastAsia="方正仿宋_GBK" w:cs="方正仿宋_GBK"/>
          <w:bCs/>
          <w:sz w:val="28"/>
          <w:szCs w:val="28"/>
          <w:highlight w:val="none"/>
        </w:rPr>
      </w:r>
      <w:r/>
    </w:p>
    <w:p>
      <w:pPr>
        <w:pStyle w:val="1077"/>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bookmarkStart w:id="103" w:name="_Toc16938542"/>
      <w:r/>
      <w:bookmarkStart w:id="104" w:name="_Toc513029226"/>
      <w:r/>
      <w:bookmarkStart w:id="105" w:name="_Toc20823298"/>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17.投标截止</w:t>
      </w:r>
      <w:bookmarkEnd w:id="103"/>
      <w:r/>
      <w:bookmarkEnd w:id="104"/>
      <w:r/>
      <w:bookmarkEnd w:id="105"/>
      <w:r>
        <w:rPr>
          <w:rFonts w:hint="eastAsia" w:ascii="方正仿宋_GBK" w:hAnsi="方正仿宋_GBK" w:eastAsia="方正仿宋_GBK" w:cs="方正仿宋_GBK"/>
          <w:bCs/>
          <w:sz w:val="28"/>
          <w:szCs w:val="28"/>
          <w:highlight w:val="none"/>
        </w:rPr>
        <w:t xml:space="preserve">时间</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highlight w:val="none"/>
        </w:rPr>
        <w:t xml:space="preserve">18.投标文件</w:t>
      </w:r>
      <w:bookmarkEnd w:id="106"/>
      <w:r/>
      <w:bookmarkEnd w:id="107"/>
      <w:r/>
      <w:bookmarkEnd w:id="108"/>
      <w:r>
        <w:rPr>
          <w:rFonts w:hint="eastAsia" w:ascii="方正仿宋_GBK" w:hAnsi="方正仿宋_GBK" w:eastAsia="方正仿宋_GBK" w:cs="方正仿宋_GBK"/>
          <w:b w:val="0"/>
          <w:bCs w:val="0"/>
          <w:highlight w:val="none"/>
        </w:rPr>
        <w:t xml:space="preserve">的拒收</w:t>
      </w:r>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rPr>
          <w:rFonts w:hint="eastAsia" w:ascii="方正仿宋_GBK" w:hAnsi="方正仿宋_GBK" w:eastAsia="方正仿宋_GBK" w:cs="方正仿宋_GBK"/>
          <w:bCs/>
          <w:sz w:val="28"/>
          <w:szCs w:val="28"/>
          <w:highlight w:val="none"/>
        </w:rPr>
      </w:r>
      <w:r/>
    </w:p>
    <w:p>
      <w:pPr>
        <w:pStyle w:val="969"/>
        <w:ind w:firstLine="560"/>
        <w:spacing w:before="0" w:after="0" w:line="400" w:lineRule="exact"/>
        <w:rPr>
          <w:rFonts w:hint="eastAsia" w:ascii="方正仿宋_GBK" w:hAnsi="方正仿宋_GBK" w:eastAsia="方正仿宋_GBK" w:cs="方正仿宋_GBK"/>
          <w:b w:val="0"/>
          <w:bCs w:val="0"/>
          <w:highlight w:val="none"/>
        </w:rPr>
      </w:pPr>
      <w:r/>
      <w:bookmarkStart w:id="109" w:name="_Toc20823300"/>
      <w:r/>
      <w:bookmarkStart w:id="110" w:name="_Toc513029228"/>
      <w:r/>
      <w:bookmarkStart w:id="111" w:name="_Toc16938544"/>
      <w:r>
        <w:rPr>
          <w:rFonts w:hint="eastAsia" w:ascii="方正仿宋_GBK" w:hAnsi="方正仿宋_GBK" w:eastAsia="方正仿宋_GBK" w:cs="方正仿宋_GBK"/>
          <w:b w:val="0"/>
          <w:bCs w:val="0"/>
          <w:highlight w:val="none"/>
        </w:rPr>
        <w:t xml:space="preserve">19.投标文件的撤回和修改</w:t>
      </w:r>
      <w:bookmarkEnd w:id="109"/>
      <w:r/>
      <w:bookmarkEnd w:id="110"/>
      <w:r/>
      <w:bookmarkEnd w:id="111"/>
      <w:r>
        <w:rPr>
          <w:rFonts w:hint="eastAsia" w:ascii="方正仿宋_GBK" w:hAnsi="方正仿宋_GBK" w:eastAsia="方正仿宋_GBK" w:cs="方正仿宋_GBK"/>
          <w:b w:val="0"/>
          <w:bCs w:val="0"/>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12" w:name="_Toc513029229"/>
      <w:r/>
      <w:bookmarkStart w:id="113" w:name="_Toc120614218"/>
      <w:r/>
      <w:bookmarkStart w:id="114" w:name="_Toc20823301"/>
      <w:r/>
      <w:bookmarkStart w:id="115" w:name="_Toc16938545"/>
      <w:r>
        <w:rPr>
          <w:rFonts w:hint="eastAsia" w:ascii="方正黑体_GBK" w:hAnsi="方正黑体_GBK" w:eastAsia="方正黑体_GBK" w:cs="方正黑体_GBK"/>
          <w:color w:val="000000"/>
          <w:sz w:val="28"/>
          <w:szCs w:val="28"/>
          <w:highlight w:val="none"/>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16" w:name="_Toc20823302"/>
      <w:r/>
      <w:bookmarkStart w:id="117" w:name="_Toc513029230"/>
      <w:r/>
      <w:bookmarkStart w:id="118" w:name="_Toc16938546"/>
      <w:r>
        <w:rPr>
          <w:rFonts w:hint="eastAsia" w:ascii="方正仿宋_GBK" w:hAnsi="方正仿宋_GBK" w:eastAsia="方正仿宋_GBK" w:cs="方正仿宋_GBK"/>
          <w:sz w:val="28"/>
          <w:szCs w:val="28"/>
          <w:highlight w:val="none"/>
        </w:rPr>
        <w:t xml:space="preserve">20.开标</w:t>
      </w:r>
      <w:bookmarkEnd w:id="116"/>
      <w:r/>
      <w:bookmarkEnd w:id="117"/>
      <w:r/>
      <w:bookmarkEnd w:id="118"/>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19" w:name="_Toc20823303"/>
      <w:r/>
      <w:bookmarkStart w:id="120" w:name="_Toc513029231"/>
      <w:r/>
      <w:bookmarkStart w:id="121" w:name="_Toc16938547"/>
      <w:r>
        <w:rPr>
          <w:rFonts w:hint="eastAsia" w:ascii="方正仿宋_GBK" w:hAnsi="方正仿宋_GBK" w:eastAsia="方正仿宋_GBK" w:cs="方正仿宋_GBK"/>
          <w:sz w:val="28"/>
          <w:szCs w:val="28"/>
          <w:highlight w:val="none"/>
        </w:rPr>
        <w:t xml:space="preserve">21.评标委员会</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21.3评标委员会独立工作，负责评审所有投标文件并确定中标候选人。</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22.评标过程的保密与公正</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End w:id="119"/>
      <w:r/>
      <w:bookmarkEnd w:id="120"/>
      <w:r/>
      <w:bookmarkEnd w:id="121"/>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22" w:name="_Toc20823304"/>
      <w:r/>
      <w:bookmarkStart w:id="123" w:name="_Toc513029232"/>
      <w:r/>
      <w:bookmarkStart w:id="124" w:name="_Toc16938548"/>
      <w:r>
        <w:rPr>
          <w:rFonts w:hint="eastAsia" w:ascii="方正仿宋_GBK" w:hAnsi="方正仿宋_GBK" w:eastAsia="方正仿宋_GBK" w:cs="方正仿宋_GBK"/>
          <w:sz w:val="28"/>
          <w:szCs w:val="28"/>
          <w:highlight w:val="none"/>
        </w:rPr>
        <w:t xml:space="preserve">23.投标文件的澄清</w:t>
      </w:r>
      <w:bookmarkEnd w:id="122"/>
      <w:r/>
      <w:bookmarkEnd w:id="123"/>
      <w:r/>
      <w:bookmarkEnd w:id="124"/>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25" w:name="_Toc16938549"/>
      <w:r/>
      <w:bookmarkStart w:id="126" w:name="_Toc20823305"/>
      <w:r/>
      <w:bookmarkStart w:id="127" w:name="_Toc513029233"/>
      <w:r>
        <w:rPr>
          <w:rFonts w:hint="eastAsia" w:ascii="方正仿宋_GBK" w:hAnsi="方正仿宋_GBK" w:eastAsia="方正仿宋_GBK" w:cs="方正仿宋_GBK"/>
          <w:sz w:val="28"/>
          <w:szCs w:val="28"/>
          <w:highlight w:val="none"/>
        </w:rPr>
        <w:t xml:space="preserve">24.对投标文件的初审</w:t>
      </w:r>
      <w:bookmarkEnd w:id="125"/>
      <w:r/>
      <w:bookmarkEnd w:id="126"/>
      <w:r/>
      <w:bookmarkEnd w:id="127"/>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24.1投标文件初审分为资格审查和符合性审查。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采购人在进行资格性审查的同时，将在“信用中国”网站（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（2）大写金额和小写金额不一致的，以大写金额为准。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同时出现两种以上错误的，按照前款规定的顺序修正。</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28" w:name="_Toc20823306"/>
      <w:r/>
      <w:bookmarkStart w:id="129" w:name="_Toc16938550"/>
      <w:r/>
      <w:bookmarkStart w:id="130" w:name="_Toc513029234"/>
      <w:r>
        <w:rPr>
          <w:rFonts w:hint="eastAsia" w:ascii="方正仿宋_GBK" w:hAnsi="方正仿宋_GBK" w:eastAsia="方正仿宋_GBK" w:cs="方正仿宋_GBK"/>
          <w:sz w:val="28"/>
          <w:szCs w:val="28"/>
          <w:highlight w:val="none"/>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 异常低价投标审查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（3）投标报价低于采购项目最高限价65%的，即投标报价&lt;采购项目最高限价×65%；</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w:t>
      </w:r>
      <w:bookmarkEnd w:id="128"/>
      <w:r/>
      <w:bookmarkEnd w:id="129"/>
      <w:r/>
      <w:bookmarkEnd w:id="130"/>
      <w:r>
        <w:rPr>
          <w:rFonts w:hint="eastAsia" w:ascii="方正仿宋_GBK" w:hAnsi="方正仿宋_GBK" w:eastAsia="方正仿宋_GBK" w:cs="方正仿宋_GBK"/>
          <w:sz w:val="28"/>
          <w:szCs w:val="28"/>
          <w:highlight w:val="none"/>
        </w:rPr>
        <w:t xml:space="preserve">.无效投标条款和废标条款</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31" w:name="_Toc513029235"/>
      <w:r/>
      <w:bookmarkStart w:id="132" w:name="_Toc16938551"/>
      <w:r/>
      <w:bookmarkStart w:id="133" w:name="_Toc20823307"/>
      <w:r>
        <w:rPr>
          <w:rFonts w:hint="eastAsia" w:ascii="方正仿宋_GBK" w:hAnsi="方正仿宋_GBK" w:eastAsia="方正仿宋_GBK" w:cs="方正仿宋_GBK"/>
          <w:sz w:val="28"/>
          <w:szCs w:val="28"/>
          <w:highlight w:val="none"/>
        </w:rPr>
        <w:t xml:space="preserve">25.1无效投标条款</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 投标人在苏采云系统规定的时间内未成功解密电子投标文件的。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25.1.2 投标人未按照招标文件要求上传电子投标文件的。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25.1.3 投标人同一采购包提交两个（含两个）以上不同的投标报价的。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25.1.4投标人不具备招标文件中规定资格要求的。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25.1.5投标人的报价超过了采购预算或最高限价的。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25.1.6未通过符合性审查的。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Cs/>
          <w:i/>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25.1.8 投标人被 “信用中国”网站（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25.1.9 投标文件含有采购人不能接受的附加条件的。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25.1.11 投标文件未按照招标文件要求加盖CA电子公章的。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25.1.12 投标人所提供的服务不符合招标文件中所列国家强制性标准的。</w:t>
      </w:r>
      <w:r>
        <w:rPr>
          <w:rFonts w:hint="eastAsia" w:ascii="方正仿宋_GBK" w:hAnsi="方正仿宋_GBK" w:eastAsia="方正仿宋_GBK" w:cs="方正仿宋_GBK"/>
          <w:sz w:val="28"/>
          <w:szCs w:val="28"/>
          <w:highlight w:val="none"/>
        </w:rPr>
      </w:r>
      <w:r/>
    </w:p>
    <w:p>
      <w:pPr>
        <w:pStyle w:val="965"/>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25.1.14其他法律、法规及本招标文件规定的属无效投标的情形。</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25.2废标条款</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25.2.1符合专业条件的供应商或者对招标文件作实质响应的供应商不足三家的。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25.2.2出现影响采购公正的违法、违规行为的。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25.2.3因重大变故，采购任务取消的。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25.2.4评标委员会认定招标文件存在歧义、重大缺陷导致评审工作无法进行。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25.2.5 因苏采云系统故障原因造成开标不成功的。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 投标截止时间结束后参加投标的供应商不足三家的处理：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4" w:name="_Toc120614219"/>
      <w:r>
        <w:rPr>
          <w:rFonts w:hint="eastAsia" w:ascii="方正黑体_GBK" w:hAnsi="方正黑体_GBK" w:eastAsia="方正黑体_GBK" w:cs="方正黑体_GBK"/>
          <w:color w:val="000000"/>
          <w:sz w:val="28"/>
          <w:szCs w:val="28"/>
          <w:highlight w:val="none"/>
        </w:rPr>
        <w:t xml:space="preserve">六、</w:t>
      </w:r>
      <w:bookmarkEnd w:id="131"/>
      <w:r/>
      <w:bookmarkEnd w:id="132"/>
      <w:r/>
      <w:bookmarkEnd w:id="133"/>
      <w:r>
        <w:rPr>
          <w:rFonts w:hint="eastAsia" w:ascii="方正黑体_GBK" w:hAnsi="方正黑体_GBK" w:eastAsia="方正黑体_GBK" w:cs="方正黑体_GBK"/>
          <w:color w:val="000000"/>
          <w:sz w:val="28"/>
          <w:szCs w:val="28"/>
          <w:highlight w:val="none"/>
        </w:rPr>
        <w:t xml:space="preserve">定标</w:t>
      </w:r>
      <w:bookmarkEnd w:id="134"/>
      <w:r>
        <w:rPr>
          <w:rFonts w:hint="eastAsia" w:ascii="方正黑体_GBK" w:hAnsi="方正黑体_GBK" w:eastAsia="方正黑体_GBK" w:cs="方正黑体_GBK"/>
          <w:color w:val="000000"/>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highlight w:val="none"/>
        </w:rPr>
        <w:t xml:space="preserve">26</w:t>
      </w:r>
      <w:bookmarkEnd w:id="135"/>
      <w:r>
        <w:rPr>
          <w:rFonts w:hint="eastAsia" w:ascii="方正仿宋_GBK" w:hAnsi="方正仿宋_GBK" w:eastAsia="方正仿宋_GBK" w:cs="方正仿宋_GBK"/>
          <w:sz w:val="28"/>
          <w:szCs w:val="28"/>
          <w:highlight w:val="none"/>
        </w:rPr>
        <w:t xml:space="preserve">.确定</w:t>
      </w:r>
      <w:bookmarkEnd w:id="136"/>
      <w:r/>
      <w:bookmarkEnd w:id="137"/>
      <w:r>
        <w:rPr>
          <w:rFonts w:hint="eastAsia" w:ascii="方正仿宋_GBK" w:hAnsi="方正仿宋_GBK" w:eastAsia="方正仿宋_GBK" w:cs="方正仿宋_GBK"/>
          <w:sz w:val="28"/>
          <w:szCs w:val="28"/>
          <w:highlight w:val="none"/>
        </w:rPr>
        <w:t xml:space="preserve">中标单位</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26.1中标候选人的选取原则和数量见招标文件第五章规定。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26.2采购人应根据评标委员会推荐的中标候选人确定中标供应商。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 采购中心将在“江苏政府采购网”发布中标公告，公告期限为1个工作日。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26.4.1提供虚假材料谋取中标的。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26.4.2向采购人、采购中心行贿或者提供其他不正当利益的。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26.4.3属于本文件规定的无效条件，但在评标过程中又未被评标委员会发现的。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26.4.4与采购人或者其他供应商恶意串通的。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26.4.5采取不正当手段诋毁、排挤其他供应商的。</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Start w:id="138" w:name="_Toc200451960"/>
      <w:r>
        <w:rPr>
          <w:rFonts w:hint="eastAsia" w:ascii="方正仿宋_GBK" w:hAnsi="方正仿宋_GBK" w:eastAsia="方正仿宋_GBK" w:cs="方正仿宋_GBK"/>
          <w:sz w:val="28"/>
          <w:szCs w:val="28"/>
          <w:highlight w:val="none"/>
        </w:rPr>
        <w:t xml:space="preserve">26.5有下列情形之一的，视为投标人串通投标，投标无效：</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26.5.1不同投标人的投标文件由同一单位或者个人编制。</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26.5.2不同投标人委托同一单位或者个人办理投标事宜。</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26.5.3 不同投标人的投标文件载明的项目管理成员或者联系人员为同一人。</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26.5.4不同投标人的投标文件异常一致或者投标报价呈规律性差异。</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27.质疑处理</w:t>
      </w:r>
      <w:bookmarkEnd w:id="138"/>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27.2.2对采购过程提出质疑的，为各采购程序环节结束之日；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27.2.3对中标或者成交结果提出质疑的，为中标或者成交结果公告期限届满之日。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采购人质疑接收人及联系方式见招标文件第一章。</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 以下情形的质疑不予受理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27.5.1 内容不符合《政府采购质疑和投诉办法》第十二条规定的质疑。</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27.5.2 超出政府采购法定期限的质疑。</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27.5.3 以传真、电子邮件等方式递交的非原件形式的质疑。</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28.中标通知书</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highlight w:val="none"/>
        </w:rPr>
      </w:r>
      <w:r/>
    </w:p>
    <w:p>
      <w:pPr>
        <w:pStyle w:val="965"/>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highlight w:val="none"/>
        </w:rPr>
        <w:t xml:space="preserve">七、授予合同</w:t>
      </w:r>
      <w:bookmarkEnd w:id="139"/>
      <w:r>
        <w:rPr>
          <w:rFonts w:hint="eastAsia" w:ascii="方正黑体_GBK" w:hAnsi="方正黑体_GBK" w:eastAsia="方正黑体_GBK" w:cs="方正黑体_GBK"/>
          <w:color w:val="000000"/>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End w:id="140"/>
      <w:r/>
      <w:bookmarkEnd w:id="141"/>
      <w:r/>
      <w:bookmarkEnd w:id="142"/>
      <w:r/>
      <w:bookmarkStart w:id="143" w:name="_Toc16938553"/>
      <w:r/>
      <w:bookmarkStart w:id="144" w:name="_Toc513029237"/>
      <w:r/>
      <w:bookmarkStart w:id="145" w:name="_Toc20823309"/>
      <w:r>
        <w:rPr>
          <w:rFonts w:hint="eastAsia" w:ascii="方正仿宋_GBK" w:hAnsi="方正仿宋_GBK" w:eastAsia="方正仿宋_GBK" w:cs="方正仿宋_GBK"/>
          <w:sz w:val="28"/>
          <w:szCs w:val="28"/>
          <w:highlight w:val="none"/>
        </w:rPr>
        <w:t xml:space="preserve">29.签订合同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30.服务（包含与服务相关的货物）的追加</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bookmarkEnd w:id="143"/>
      <w:r/>
      <w:bookmarkEnd w:id="144"/>
      <w:r/>
      <w:bookmarkEnd w:id="145"/>
      <w:r/>
      <w:bookmarkStart w:id="146" w:name="_Toc513029242"/>
      <w:r/>
      <w:bookmarkStart w:id="147" w:name="_Toc20823314"/>
      <w:r/>
      <w:bookmarkStart w:id="148" w:name="_Toc16938558"/>
      <w:r/>
      <w:bookmarkStart w:id="149" w:name="_Toc120614221"/>
      <w:r/>
      <w:bookmarkStart w:id="150" w:name="_Toc479757207"/>
      <w:r>
        <w:rPr>
          <w:rFonts w:hint="eastAsia" w:ascii="方正仿宋_GBK" w:hAnsi="方正仿宋_GBK" w:eastAsia="方正仿宋_GBK" w:cs="方正仿宋_GBK"/>
          <w:sz w:val="28"/>
          <w:szCs w:val="28"/>
          <w:highlight w:val="none"/>
        </w:rPr>
        <w:t xml:space="preserve">31.政府采购履约资金扶持政策</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highlight w:val="none"/>
        </w:rPr>
      </w:r>
      <w:r/>
    </w:p>
    <w:p>
      <w:pPr>
        <w:pStyle w:val="981"/>
        <w:spacing w:line="400" w:lineRule="exact"/>
        <w:rPr>
          <w:rFonts w:hint="eastAsia" w:ascii="宋体" w:hAnsi="宋体"/>
          <w:bCs/>
          <w:sz w:val="24"/>
          <w:highlight w:val="none"/>
        </w:rPr>
      </w:pPr>
      <w:r>
        <w:rPr>
          <w:rFonts w:hint="eastAsia" w:ascii="宋体" w:hAnsi="宋体"/>
          <w:bCs/>
          <w:sz w:val="24"/>
          <w:highlight w:val="none"/>
        </w:rPr>
      </w:r>
      <w:r/>
    </w:p>
    <w:p>
      <w:pPr>
        <w:pStyle w:val="981"/>
        <w:spacing w:line="400" w:lineRule="exact"/>
        <w:rPr>
          <w:rFonts w:hint="eastAsia" w:ascii="宋体" w:hAnsi="宋体"/>
          <w:bCs/>
          <w:sz w:val="24"/>
          <w:highlight w:val="none"/>
        </w:rPr>
      </w:pPr>
      <w:r>
        <w:rPr>
          <w:rFonts w:hint="eastAsia" w:ascii="宋体" w:hAnsi="宋体"/>
          <w:bCs/>
          <w:sz w:val="24"/>
          <w:highlight w:val="none"/>
        </w:rPr>
      </w:r>
      <w:r/>
    </w:p>
    <w:p>
      <w:pPr>
        <w:pStyle w:val="981"/>
        <w:spacing w:line="400" w:lineRule="exact"/>
        <w:rPr>
          <w:rFonts w:hint="eastAsia" w:ascii="宋体" w:hAnsi="宋体"/>
          <w:bCs/>
          <w:sz w:val="24"/>
          <w:highlight w:val="none"/>
        </w:rPr>
      </w:pPr>
      <w:r>
        <w:rPr>
          <w:rFonts w:hint="eastAsia" w:ascii="宋体" w:hAnsi="宋体"/>
          <w:bCs/>
          <w:sz w:val="24"/>
          <w:highlight w:val="none"/>
        </w:rPr>
      </w:r>
      <w:r/>
    </w:p>
    <w:p>
      <w:pPr>
        <w:pStyle w:val="981"/>
        <w:spacing w:line="400" w:lineRule="exact"/>
        <w:rPr>
          <w:rFonts w:hint="eastAsia" w:ascii="宋体" w:hAnsi="宋体"/>
          <w:bCs/>
          <w:sz w:val="24"/>
          <w:highlight w:val="none"/>
        </w:rPr>
      </w:pPr>
      <w:r>
        <w:rPr>
          <w:rFonts w:hint="eastAsia" w:ascii="宋体" w:hAnsi="宋体"/>
          <w:bCs/>
          <w:sz w:val="24"/>
          <w:highlight w:val="none"/>
        </w:rPr>
      </w:r>
      <w:r/>
    </w:p>
    <w:p>
      <w:pPr>
        <w:pStyle w:val="981"/>
        <w:spacing w:line="400" w:lineRule="exact"/>
        <w:rPr>
          <w:rFonts w:hint="eastAsia" w:ascii="宋体" w:hAnsi="宋体"/>
          <w:bCs/>
          <w:sz w:val="24"/>
          <w:highlight w:val="none"/>
        </w:rPr>
      </w:pPr>
      <w:r>
        <w:rPr>
          <w:rFonts w:hint="eastAsia" w:ascii="宋体" w:hAnsi="宋体"/>
          <w:bCs/>
          <w:sz w:val="24"/>
          <w:highlight w:val="none"/>
        </w:rPr>
      </w:r>
      <w:r/>
    </w:p>
    <w:p>
      <w:pPr>
        <w:pStyle w:val="965"/>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rPr>
          <w:rFonts w:hint="eastAsia" w:ascii="方正黑体_GBK" w:hAnsi="方正黑体_GBK" w:eastAsia="方正黑体_GBK" w:cs="方正黑体_GBK"/>
          <w:color w:val="000000"/>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bookmarkStart w:id="151" w:name="_Toc20823315"/>
      <w:r/>
      <w:bookmarkStart w:id="152" w:name="_Toc16938559"/>
      <w:r/>
      <w:bookmarkStart w:id="153" w:name="_Toc513029243"/>
      <w:r>
        <w:rPr>
          <w:rFonts w:hint="eastAsia" w:ascii="方正仿宋_GBK" w:hAnsi="方正仿宋_GBK" w:eastAsia="方正仿宋_GBK" w:cs="方正仿宋_GBK"/>
          <w:bCs/>
          <w:sz w:val="28"/>
          <w:szCs w:val="28"/>
          <w:highlight w:val="none"/>
        </w:rPr>
      </w:r>
      <w:r/>
    </w:p>
    <w:p>
      <w:pPr>
        <w:pStyle w:val="996"/>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r>
      <w:r/>
    </w:p>
    <w:p>
      <w:pPr>
        <w:pStyle w:val="996"/>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江苏省政府采购合同（服务）（合同编号）</w:t>
      </w:r>
      <w:r>
        <w:rPr>
          <w:rFonts w:hint="eastAsia" w:ascii="方正黑体_GBK" w:hAnsi="方正黑体_GBK" w:eastAsia="方正黑体_GBK" w:cs="方正黑体_GBK"/>
          <w:spacing w:val="-20"/>
          <w:highlight w:val="none"/>
        </w:rPr>
      </w:r>
      <w:r/>
    </w:p>
    <w:p>
      <w:pPr>
        <w:pStyle w:val="965"/>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65"/>
        <w:ind w:firstLine="560"/>
        <w:spacing w:line="440" w:lineRule="exact"/>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rPr>
          <w:rFonts w:hint="eastAsia" w:ascii="方正仿宋_GBK" w:hAnsi="方正仿宋_GBK" w:eastAsia="方正仿宋_GBK" w:cs="方正仿宋_GBK"/>
          <w:color w:val="ff0000"/>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项目公开招标的结果，签署本合同。</w:t>
      </w:r>
      <w:r>
        <w:rPr>
          <w:rFonts w:hint="eastAsia" w:ascii="方正仿宋_GBK" w:hAnsi="方正仿宋_GBK" w:eastAsia="方正仿宋_GBK" w:cs="方正仿宋_GBK"/>
          <w:b/>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一、合同内容</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二、合同金额</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三、技术资料</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与本合同履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四、知识产权</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乙方应承担甲方因此支出的全部费用（包括律师费、诉讼费、鉴定费）及损失；第三方起诉甲方的，乙方应应甲方要求出庭应诉或代理处理。</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五、产权担保</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六、履约保证金</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w:t>
      </w:r>
      <w:r>
        <w:rPr>
          <w:rFonts w:hint="eastAsia" w:ascii="方正仿宋_GBK" w:hAnsi="方正仿宋_GBK" w:eastAsia="方正仿宋_GBK" w:cs="方正仿宋_GBK"/>
          <w:sz w:val="28"/>
          <w:szCs w:val="28"/>
          <w:highlight w:val="none"/>
          <w:u w:val="single"/>
        </w:rPr>
        <w:t xml:space="preserve"> 十万 </w:t>
      </w:r>
      <w:r>
        <w:rPr>
          <w:rFonts w:hint="eastAsia" w:ascii="方正仿宋_GBK" w:hAnsi="方正仿宋_GBK" w:eastAsia="方正仿宋_GBK" w:cs="方正仿宋_GBK"/>
          <w:sz w:val="28"/>
          <w:szCs w:val="28"/>
          <w:highlight w:val="none"/>
        </w:rPr>
        <w:t xml:space="preserve">元作为本合同的履约保证金。（不得超过合同金额的10%）</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6.2合同履行结束后，甲方应及时退还缴纳的履约保证金。</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6.2.1履约保证金退还方式：扣除违约费用后一次性无息退还。</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6.2.2履约保证金退还时间和条件：验收合格且合同履行期结束后15个工作日内。</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6.2.3履约保证金不予退还的情形：合同约定的交付期内未履约完成、验收不合格、整改不到位</w:t>
      </w:r>
      <w:r>
        <w:rPr>
          <w:rFonts w:ascii="方正仿宋_GBK" w:hAnsi="方正仿宋_GBK" w:eastAsia="方正仿宋_GBK" w:cs="方正仿宋_GBK"/>
          <w:sz w:val="28"/>
          <w:szCs w:val="28"/>
          <w:highlight w:val="none"/>
        </w:rPr>
        <w:t xml:space="preserve">或乙方明确表示不整改</w:t>
      </w:r>
      <w:r>
        <w:rPr>
          <w:rFonts w:hint="eastAsia" w:ascii="方正仿宋_GBK" w:hAnsi="方正仿宋_GBK" w:eastAsia="方正仿宋_GBK" w:cs="方正仿宋_GBK"/>
          <w:sz w:val="28"/>
          <w:szCs w:val="28"/>
          <w:highlight w:val="none"/>
        </w:rPr>
        <w:t xml:space="preserve">等情形。</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6.3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七、合同转包或分包</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w:t>
      </w:r>
      <w:r>
        <w:rPr>
          <w:rFonts w:ascii="方正仿宋_GBK" w:hAnsi="方正仿宋_GBK" w:eastAsia="方正仿宋_GBK" w:cs="方正仿宋_GBK"/>
          <w:sz w:val="28"/>
          <w:szCs w:val="28"/>
          <w:highlight w:val="none"/>
        </w:rPr>
        <w:t xml:space="preserve">未经甲方书面同意</w:t>
      </w:r>
      <w:r>
        <w:rPr>
          <w:rFonts w:hint="eastAsia" w:ascii="方正仿宋_GBK" w:hAnsi="方正仿宋_GBK" w:eastAsia="方正仿宋_GBK" w:cs="方正仿宋_GBK"/>
          <w:sz w:val="28"/>
          <w:szCs w:val="28"/>
          <w:highlight w:val="none"/>
        </w:rPr>
        <w:t xml:space="preserve">乙方不得将合同标的分包给他人履行。</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7.3乙方如有转包或未经甲方书面同意的分包行为，甲方有权解除合同。</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八、合同款项支付</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8.1合同款项的支付方式及进度安排</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8.1.1 预付款支付时间：合同签订后二十个工作日内，预付款支付比例：合同金额的10%。</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8.1.2 后续款项支付时间：第一个季度考核合格后，甲方在收到乙方开具的发票后二十个工作日内支付合同总金额的15%，后三个季度经考核合格后，甲方在收到乙方开具的发票后二十个工作日内支付合同总金额的25%。</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九、税费</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十、项目验收</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十一、违约责任</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每日向乙方支付违约金。</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十二、不可抗力事件处理</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十三、解决争议的方法</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rPr>
          <w:rFonts w:hint="eastAsia" w:hAnsi="宋体"/>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十四、合同生效及其它</w:t>
      </w:r>
      <w:r>
        <w:rPr>
          <w:rFonts w:hint="eastAsia" w:ascii="方正黑体_GBK" w:hAnsi="方正黑体_GBK" w:eastAsia="方正黑体_GBK" w:cs="方正黑体_GBK"/>
          <w:bCs/>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                        乙方： </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地址： </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rPr>
          <w:rFonts w:hint="eastAsia" w:ascii="方正仿宋_GBK" w:hAnsi="方正仿宋_GBK" w:eastAsia="方正仿宋_GBK" w:cs="方正仿宋_GBK"/>
          <w:sz w:val="28"/>
          <w:szCs w:val="28"/>
          <w:highlight w:val="none"/>
        </w:rPr>
      </w:r>
      <w:r/>
    </w:p>
    <w:p>
      <w:pPr>
        <w:pStyle w:val="1003"/>
        <w:ind w:firstLine="560"/>
        <w:spacing w:line="44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                    联系电话：    </w:t>
      </w:r>
      <w:r>
        <w:rPr>
          <w:rFonts w:hint="eastAsia" w:hAnsi="宋体"/>
          <w:sz w:val="28"/>
          <w:szCs w:val="28"/>
          <w:highlight w:val="none"/>
        </w:rPr>
        <w:t xml:space="preserve">      </w:t>
      </w:r>
      <w:r>
        <w:rPr>
          <w:rFonts w:hint="eastAsia"/>
          <w:sz w:val="28"/>
          <w:szCs w:val="28"/>
          <w:highlight w:val="none"/>
        </w:rPr>
      </w:r>
      <w:r/>
    </w:p>
    <w:p>
      <w:pPr>
        <w:pStyle w:val="1003"/>
        <w:jc w:val="center"/>
        <w:spacing w:line="440" w:lineRule="exact"/>
        <w:rPr>
          <w:sz w:val="28"/>
          <w:szCs w:val="28"/>
          <w:highlight w:val="none"/>
        </w:rPr>
      </w:pPr>
      <w:r>
        <w:rPr>
          <w:rFonts w:hint="eastAsia"/>
          <w:sz w:val="28"/>
          <w:szCs w:val="28"/>
          <w:highlight w:val="none"/>
        </w:rPr>
        <w:t xml:space="preserve">                                      </w:t>
      </w:r>
      <w:r>
        <w:rPr>
          <w:sz w:val="28"/>
          <w:szCs w:val="28"/>
          <w:highlight w:val="none"/>
        </w:rPr>
      </w:r>
      <w:r/>
    </w:p>
    <w:p>
      <w:pPr>
        <w:pStyle w:val="1003"/>
        <w:jc w:val="right"/>
        <w:spacing w:line="440" w:lineRule="exact"/>
        <w:rPr>
          <w:sz w:val="28"/>
          <w:szCs w:val="28"/>
          <w:highlight w:val="none"/>
        </w:rPr>
      </w:pPr>
      <w:r>
        <w:rPr>
          <w:sz w:val="28"/>
          <w:szCs w:val="28"/>
          <w:highlight w:val="none"/>
        </w:rPr>
      </w:r>
      <w:r/>
    </w:p>
    <w:p>
      <w:pPr>
        <w:pStyle w:val="1003"/>
        <w:jc w:val="center"/>
        <w:spacing w:line="440" w:lineRule="exact"/>
        <w:rPr>
          <w:rFonts w:hint="eastAsia" w:ascii="方正黑体_GBK" w:hAnsi="方正黑体_GBK" w:eastAsia="方正黑体_GBK" w:cs="方正黑体_GBK"/>
          <w:bCs/>
          <w:color w:val="000000"/>
          <w:sz w:val="32"/>
          <w:szCs w:val="32"/>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79757211"/>
      <w:r/>
      <w:bookmarkStart w:id="160" w:name="_Toc462564139"/>
      <w:r>
        <w:rPr>
          <w:rFonts w:ascii="黑体" w:eastAsia="黑体"/>
          <w:bCs/>
          <w:sz w:val="28"/>
          <w:szCs w:val="28"/>
          <w:highlight w:val="none"/>
        </w:rPr>
        <w:br w:type="page" w:clear="all"/>
      </w:r>
      <w:r>
        <w:rPr>
          <w:rFonts w:hint="eastAsia" w:ascii="方正黑体_GBK" w:hAnsi="方正黑体_GBK" w:eastAsia="方正黑体_GBK" w:cs="方正黑体_GBK"/>
          <w:color w:val="000000"/>
          <w:sz w:val="32"/>
          <w:szCs w:val="32"/>
          <w:highlight w:val="none"/>
        </w:rPr>
        <w:t xml:space="preserve">第</w:t>
      </w:r>
      <w:bookmarkEnd w:id="155"/>
      <w:r>
        <w:rPr>
          <w:rFonts w:hint="eastAsia" w:ascii="方正黑体_GBK" w:hAnsi="方正黑体_GBK" w:eastAsia="方正黑体_GBK" w:cs="方正黑体_GBK"/>
          <w:color w:val="000000"/>
          <w:sz w:val="32"/>
          <w:szCs w:val="32"/>
          <w:highlight w:val="none"/>
        </w:rPr>
        <w:t xml:space="preserve">四章 采购需求</w:t>
      </w:r>
      <w:bookmarkEnd w:id="156"/>
      <w:r/>
      <w:bookmarkEnd w:id="157"/>
      <w:r/>
      <w:bookmarkEnd w:id="158"/>
      <w:r>
        <w:rPr>
          <w:rFonts w:hint="eastAsia" w:ascii="方正黑体_GBK" w:hAnsi="方正黑体_GBK" w:eastAsia="方正黑体_GBK" w:cs="方正黑体_GBK"/>
          <w:bCs/>
          <w:color w:val="000000"/>
          <w:sz w:val="32"/>
          <w:szCs w:val="32"/>
          <w:highlight w:val="none"/>
        </w:rPr>
      </w:r>
      <w:r/>
    </w:p>
    <w:p>
      <w:pPr>
        <w:pStyle w:val="1003"/>
        <w:spacing w:before="120" w:after="120" w:line="440" w:lineRule="exact"/>
        <w:rPr>
          <w:rFonts w:hint="eastAsia" w:ascii="方正黑体_GBK" w:hAnsi="方正黑体_GBK" w:eastAsia="方正黑体_GBK" w:cs="方正黑体_GBK"/>
          <w:bCs/>
          <w:sz w:val="28"/>
          <w:szCs w:val="28"/>
          <w:highlight w:val="none"/>
        </w:rPr>
      </w:pPr>
      <w:r/>
      <w:bookmarkStart w:id="161" w:name="_Toc49090575"/>
      <w:r/>
      <w:bookmarkStart w:id="162" w:name="_Toc26554093"/>
      <w:r>
        <w:rPr>
          <w:rFonts w:hint="eastAsia" w:ascii="方正黑体_GBK" w:hAnsi="方正黑体_GBK" w:eastAsia="方正黑体_GBK" w:cs="方正黑体_GBK"/>
          <w:bCs/>
          <w:sz w:val="28"/>
          <w:szCs w:val="28"/>
          <w:highlight w:val="none"/>
        </w:rPr>
        <w:t xml:space="preserve">一、采购标的清单</w:t>
      </w:r>
      <w:r>
        <w:rPr>
          <w:rFonts w:hint="eastAsia" w:ascii="方正黑体_GBK" w:hAnsi="方正黑体_GBK" w:eastAsia="方正黑体_GBK" w:cs="方正黑体_GBK"/>
          <w:bCs/>
          <w:sz w:val="28"/>
          <w:szCs w:val="28"/>
          <w:highlight w:val="none"/>
        </w:rPr>
      </w:r>
      <w:r/>
    </w:p>
    <w:tbl>
      <w:tblPr>
        <w:tblW w:w="0" w:type="auto"/>
        <w:jc w:val="center"/>
        <w:tblInd w:w="-1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1"/>
        <w:gridCol w:w="855"/>
        <w:gridCol w:w="4065"/>
        <w:gridCol w:w="2614"/>
      </w:tblGrid>
      <w:tr>
        <w:trPr>
          <w:cantSplit/>
          <w:trHeight w:val="701"/>
        </w:trPr>
        <w:tc>
          <w:tcPr>
            <w:tcW w:w="1421"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855"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4065"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614"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421" w:type="dxa"/>
            <w:vAlign w:val="center"/>
            <w:textDirection w:val="lrTb"/>
            <w:noWrap w:val="false"/>
          </w:tcPr>
          <w:p>
            <w:pPr>
              <w:pStyle w:val="965"/>
              <w:jc w:val="center"/>
              <w:spacing w:line="440" w:lineRule="exact"/>
              <w:rPr>
                <w:rFonts w:eastAsia="方正仿宋_GBK"/>
                <w:sz w:val="28"/>
                <w:szCs w:val="28"/>
                <w:highlight w:val="none"/>
              </w:rPr>
            </w:pPr>
            <w:r>
              <w:rPr>
                <w:rFonts w:eastAsia="方正仿宋_GBK"/>
                <w:color w:val="000000"/>
                <w:sz w:val="28"/>
                <w:szCs w:val="28"/>
                <w:highlight w:val="none"/>
              </w:rPr>
              <w:t xml:space="preserve">1</w:t>
            </w:r>
            <w:r>
              <w:rPr>
                <w:rFonts w:eastAsia="方正仿宋_GBK"/>
                <w:sz w:val="28"/>
                <w:szCs w:val="28"/>
                <w:highlight w:val="none"/>
              </w:rPr>
            </w:r>
            <w:r/>
          </w:p>
        </w:tc>
        <w:tc>
          <w:tcPr>
            <w:tcW w:w="855" w:type="dxa"/>
            <w:vAlign w:val="center"/>
            <w:textDirection w:val="lrTb"/>
            <w:noWrap w:val="false"/>
          </w:tcPr>
          <w:p>
            <w:pPr>
              <w:pStyle w:val="965"/>
              <w:jc w:val="center"/>
              <w:spacing w:line="440" w:lineRule="exact"/>
              <w:rPr>
                <w:rFonts w:eastAsia="方正仿宋_GBK"/>
                <w:sz w:val="28"/>
                <w:szCs w:val="28"/>
                <w:highlight w:val="none"/>
              </w:rPr>
            </w:pPr>
            <w:r>
              <w:rPr>
                <w:rFonts w:eastAsia="方正仿宋_GBK"/>
                <w:sz w:val="28"/>
                <w:szCs w:val="28"/>
                <w:highlight w:val="none"/>
              </w:rPr>
              <w:t xml:space="preserve">1</w:t>
            </w:r>
            <w:r>
              <w:rPr>
                <w:rFonts w:eastAsia="方正仿宋_GBK"/>
                <w:sz w:val="28"/>
                <w:szCs w:val="28"/>
                <w:highlight w:val="none"/>
              </w:rPr>
            </w:r>
            <w:r/>
          </w:p>
        </w:tc>
        <w:tc>
          <w:tcPr>
            <w:tcW w:w="4065" w:type="dxa"/>
            <w:vAlign w:val="center"/>
            <w:textDirection w:val="lrTb"/>
            <w:noWrap w:val="false"/>
          </w:tcPr>
          <w:p>
            <w:pPr>
              <w:pStyle w:val="965"/>
              <w:jc w:val="center"/>
              <w:spacing w:line="440" w:lineRule="exact"/>
              <w:tabs>
                <w:tab w:val="left" w:pos="2020" w:leader="none"/>
              </w:tabs>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江苏省儿童康复研究中心江北新中心物业管理服务项目</w:t>
            </w:r>
            <w:r>
              <w:rPr>
                <w:rFonts w:hint="eastAsia" w:ascii="方正仿宋_GBK" w:hAnsi="方正仿宋_GBK" w:eastAsia="方正仿宋_GBK" w:cs="方正仿宋_GBK"/>
                <w:sz w:val="28"/>
                <w:szCs w:val="28"/>
                <w:highlight w:val="none"/>
              </w:rPr>
            </w:r>
            <w:r/>
          </w:p>
        </w:tc>
        <w:tc>
          <w:tcPr>
            <w:tcW w:w="2614" w:type="dxa"/>
            <w:vAlign w:val="center"/>
            <w:textDirection w:val="lrTb"/>
            <w:noWrap w:val="false"/>
          </w:tcPr>
          <w:p>
            <w:pPr>
              <w:pStyle w:val="965"/>
              <w:jc w:val="center"/>
              <w:spacing w:line="440" w:lineRule="exact"/>
              <w:tabs>
                <w:tab w:val="left" w:pos="2020" w:leader="none"/>
              </w:tabs>
              <w:rPr>
                <w:rFonts w:eastAsia="方正仿宋_GBK"/>
                <w:color w:val="000000"/>
                <w:sz w:val="28"/>
                <w:szCs w:val="28"/>
                <w:highlight w:val="none"/>
              </w:rPr>
            </w:pPr>
            <w:r>
              <w:rPr>
                <w:rFonts w:hint="eastAsia" w:eastAsia="方正仿宋_GBK"/>
                <w:color w:val="000000"/>
                <w:sz w:val="28"/>
                <w:szCs w:val="28"/>
                <w:highlight w:val="none"/>
              </w:rPr>
              <w:t xml:space="preserve">物业管理</w:t>
            </w:r>
            <w:r>
              <w:rPr>
                <w:rFonts w:eastAsia="方正仿宋_GBK"/>
                <w:color w:val="000000"/>
                <w:sz w:val="28"/>
                <w:szCs w:val="28"/>
                <w:highlight w:val="none"/>
              </w:rPr>
            </w:r>
            <w:r/>
          </w:p>
        </w:tc>
      </w:tr>
    </w:tbl>
    <w:p>
      <w:pPr>
        <w:pStyle w:val="1003"/>
        <w:spacing w:before="120" w:after="120"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二、政府采购中实施本国产品标准及相关政策</w:t>
      </w:r>
      <w:r>
        <w:rPr>
          <w:rFonts w:hint="eastAsia" w:ascii="方正黑体_GBK" w:hAnsi="方正黑体_GBK" w:eastAsia="方正黑体_GBK" w:cs="方正黑体_GBK"/>
          <w:bCs/>
          <w:sz w:val="28"/>
          <w:szCs w:val="28"/>
          <w:highlight w:val="none"/>
        </w:rPr>
      </w:r>
      <w:r/>
    </w:p>
    <w:p>
      <w:pPr>
        <w:pStyle w:val="965"/>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highlight w:val="none"/>
        </w:rPr>
      </w:r>
      <w:r/>
    </w:p>
    <w:p>
      <w:pPr>
        <w:pStyle w:val="965"/>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highlight w:val="none"/>
        </w:rPr>
      </w:r>
      <w:r/>
    </w:p>
    <w:p>
      <w:pPr>
        <w:pStyle w:val="965"/>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highlight w:val="none"/>
        </w:rPr>
      </w:r>
      <w:r/>
    </w:p>
    <w:p>
      <w:pPr>
        <w:pStyle w:val="965"/>
        <w:ind w:firstLine="562"/>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本服务项目不涉及货物，投标文件中无需提供《关于符合本国产品标准的声明函》。</w:t>
      </w:r>
      <w:r>
        <w:rPr>
          <w:rFonts w:hint="eastAsia" w:ascii="方正仿宋_GBK" w:hAnsi="方正仿宋_GBK" w:eastAsia="方正仿宋_GBK" w:cs="方正仿宋_GBK"/>
          <w:sz w:val="28"/>
          <w:szCs w:val="28"/>
          <w:highlight w:val="none"/>
        </w:rPr>
      </w:r>
      <w:r/>
    </w:p>
    <w:p>
      <w:pPr>
        <w:pStyle w:val="1003"/>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三、技术要求</w:t>
      </w:r>
      <w:r>
        <w:rPr>
          <w:rFonts w:hint="eastAsia" w:ascii="方正黑体_GBK" w:hAnsi="方正黑体_GBK" w:eastAsia="方正黑体_GBK" w:cs="方正黑体_GBK"/>
          <w:bCs/>
          <w:sz w:val="28"/>
          <w:szCs w:val="28"/>
          <w:highlight w:val="none"/>
        </w:rPr>
      </w:r>
      <w:r/>
    </w:p>
    <w:p>
      <w:pPr>
        <w:pStyle w:val="965"/>
        <w:ind w:firstLine="560"/>
        <w:spacing w:line="44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（一）物业情况</w:t>
      </w:r>
      <w:r>
        <w:rPr>
          <w:rFonts w:ascii="方正仿宋_GBK" w:hAnsi="方正仿宋_GBK" w:eastAsia="方正仿宋_GBK" w:cs="方正仿宋_GBK"/>
          <w:sz w:val="28"/>
          <w:szCs w:val="28"/>
          <w:highlight w:val="none"/>
        </w:rPr>
      </w:r>
      <w:r/>
    </w:p>
    <w:p>
      <w:pPr>
        <w:pStyle w:val="965"/>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1.物业基本情况  </w:t>
      </w:r>
      <w:r>
        <w:rPr>
          <w:rFonts w:hint="eastAsia" w:ascii="方正仿宋_GBK" w:hAnsi="方正仿宋_GBK" w:eastAsia="方正仿宋_GBK" w:cs="方正仿宋_GBK"/>
          <w:b/>
          <w:bCs/>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江苏省儿童康复研究中心江北新中心儿童康复楼（以下简称新儿康楼）位于南京市江北新区沿江街道柳州东路京新广场南侧，新儿康楼建筑面积6804㎡，室外面积8392.84㎡，绿化面积3021㎡。</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新儿康楼物业服务项目的服务内容主要包括设备维护、保洁、安保、会议、餐饮、绿化等项目的服务与管理，服务应专业、可靠，能配合各项工作的顺利开展。本项目工作人员工资、五险一金、服装费、高温费、福利费等相关费用均由中标单位承担并包含在投标报价中。</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服务期为两年。采取一年招标两年沿用，实行一年一签合同的办法。如果中标单位未能通过履约验收，不再续签下一年合同。采购方根据服务情况可对物业服务考核办法等管理文件的相关条款进行调整，中标方应无条件服从。</w:t>
      </w:r>
      <w:r>
        <w:rPr>
          <w:rFonts w:hint="eastAsia" w:ascii="方正仿宋_GBK" w:hAnsi="方正仿宋_GBK" w:eastAsia="方正仿宋_GBK" w:cs="方正仿宋_GBK"/>
          <w:sz w:val="28"/>
          <w:szCs w:val="28"/>
          <w:highlight w:val="none"/>
        </w:rPr>
      </w:r>
      <w:r/>
    </w:p>
    <w:p>
      <w:pPr>
        <w:pStyle w:val="965"/>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2.采购人提供中标方使用的场地、设施、设备、材料等</w:t>
      </w:r>
      <w:r>
        <w:rPr>
          <w:rFonts w:hint="eastAsia" w:ascii="方正仿宋_GBK" w:hAnsi="方正仿宋_GBK" w:eastAsia="方正仿宋_GBK" w:cs="方正仿宋_GBK"/>
          <w:b/>
          <w:bCs/>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（1）可提供物业管理办公室一间，面积10㎡，配备1-2套普通办公桌椅；</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（2）可提供仓库一间，面积10㎡；   </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（3）可提供的消耗品，如：瓷杯、纸杯、茶叶、水笔、笔筒、水壶等（消耗后补充）；</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（4）可提供零星维修材料，如：门把手、水龙头等维修耗材。</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（5）采购人可提供配电房值守用具有绝缘手套、绝缘鞋、验电笔等。</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采购方可以承担除以上所列场地、设施、设备、材料外，与物业管理服务有关的其他场地、设施、设备、材料等。</w:t>
      </w:r>
      <w:r>
        <w:rPr>
          <w:rFonts w:hint="eastAsia" w:ascii="方正仿宋_GBK" w:hAnsi="方正仿宋_GBK" w:eastAsia="方正仿宋_GBK" w:cs="方正仿宋_GBK"/>
          <w:sz w:val="28"/>
          <w:szCs w:val="28"/>
          <w:highlight w:val="none"/>
        </w:rPr>
      </w:r>
      <w:r/>
    </w:p>
    <w:p>
      <w:pPr>
        <w:pStyle w:val="965"/>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（二）物业服务范围</w:t>
      </w:r>
      <w:r>
        <w:rPr>
          <w:rFonts w:hint="eastAsia" w:ascii="方正仿宋_GBK" w:hAnsi="方正仿宋_GBK" w:eastAsia="方正仿宋_GBK" w:cs="方正仿宋_GBK"/>
          <w:b/>
          <w:bCs/>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1.过渡期物业</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江苏省儿童康复研究中心面临搬迁（计划从南京市秦淮区丰富路53号迁至南京市江北新区沿江街道柳州东路京新广场南侧），如遇搬迁，将提前1个月通知中标方。中标方需承诺按照省儿康中心的要求，完成两地过渡期物业服务，具体需求如下：</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（1）未搬迁前旧中心物业服务需求</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1）人员配置要求</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省儿康中心未正式启动搬迁、仍正常运营期间，中标方需按采购要求配置14名物业服务人员进驻省儿康中心（南京市秦淮区丰富路53号），全面承接原址全部物业服务工作。物业服务人员共计14人，其中：经理1人、门卫保安3人、日间保安1人、线路维护及弱电设备专管员1人、日常水电维修工1人、厨师长1人，幼儿厨师1人、食堂配菜1人、保洁1人、幼儿保育辅助3人。</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2）服务内容</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安保服务：中心门岗实行 24 小时值班制度，维护大门正常秩序，定时巡查，维护服务区域内的正常治安秩序。</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工程维修服务：工程维修人员专业度合格，具备基本的应急处突能力，按时对设备进行保养与维护。</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食堂服务：食堂按照相关标准按时定量准备每日早中餐。</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保洁卫生服务：保洁人员每日清理卫生间、楼梯、操场等公共区域，维持公共卫生安全，工作内容和区域与幼儿保育辅助不重复。</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幼儿保育辅助服务：幼儿保育辅助负责教室的卫生和消毒工作，帮助教师完成幼儿的保育工作，维护教学楼的环境卫生，工作内容和区域与保洁卫生不重复。</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以上所有服务由采购人负责服务工作所需的一切机械工具、材料以及其它用具等。</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3）费用核算方式</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未搬迁阶段，旧中心物业服务费用以实际在岗14名服务人员为基数，结合日常实际服务工作量，对照投标文件报价明细表单价、核算比例进行同比例据实结算，确保费用与实际服务投入匹配。</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（2）搬迁过渡期新中心物业服务需求</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1）人员配置要求</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中标方需按要求配置5名物业服务人员进驻新儿康楼（南京市江北新区沿江街道柳州东路京新广场南侧）。物业服务人员共计5名。其中，门卫保安3人，线路维护及弱电设备专管员1人，工程维修1人。</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2）服务内容</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过渡期服务需根据搬迁进度、场地启用范围动态调整服务内容，中标方需无条件配合开展临时服务安排。</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安保服务：实行24小时值班制度，维护大门正常秩序，定时巡查，维护服务区域内的正常治安秩序。</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工程维修服务：对接代建单位、施工单位及正式入驻后的物业公司，配合完成相关工作。能够根据采购人要求，按时对设备进行保养与维护。</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线路维护及弱电设备专管员：对接代建单位、施工单位及正式入驻后的物业公司，配合完成相关工作。对园区各类弱电设备的日常巡检、养护、故障维修与运行管理，保障各类弱电系统、会议设备正常稳定使用。</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3）费用核算方式</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新儿康楼过渡期物业服务费用，按照实际在岗5名服务人员及当期实际完成工作量，参照投标文件报价明细表标准同比例核算，据实结算；待搬迁工作全面完成、新儿康楼正式全面运营后，按正式合同标准配置人员、执行全额物业服务及费用核算标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2.正式物业</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宋体" w:hAnsi="宋体"/>
          <w:b/>
          <w:bCs/>
          <w:sz w:val="28"/>
          <w:szCs w:val="28"/>
          <w:highlight w:val="none"/>
        </w:rPr>
      </w:pPr>
      <w:r>
        <w:rPr>
          <w:rFonts w:hint="eastAsia" w:ascii="方正仿宋_GBK" w:hAnsi="方正仿宋_GBK" w:eastAsia="方正仿宋_GBK" w:cs="方正仿宋_GBK"/>
          <w:sz w:val="28"/>
          <w:szCs w:val="28"/>
          <w:highlight w:val="none"/>
        </w:rPr>
        <w:t xml:space="preserve">（1）物业管理（建筑物）</w:t>
      </w:r>
      <w:r>
        <w:rPr>
          <w:rFonts w:hint="eastAsia" w:ascii="宋体" w:hAnsi="宋体"/>
          <w:b/>
          <w:bCs/>
          <w:sz w:val="28"/>
          <w:szCs w:val="28"/>
          <w:highlight w:val="none"/>
        </w:rPr>
      </w:r>
      <w:r/>
    </w:p>
    <w:tbl>
      <w:tblPr>
        <w:tblpPr w:horzAnchor="text" w:tblpXSpec="center" w:vertAnchor="text" w:tblpY="1" w:leftFromText="180" w:topFromText="0" w:rightFromText="180" w:bottomFromText="0"/>
        <w:tblW w:w="5086" w:type="pct"/>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564"/>
        <w:gridCol w:w="4321"/>
        <w:gridCol w:w="2472"/>
      </w:tblGrid>
      <w:tr>
        <w:trPr/>
        <w:tc>
          <w:tcPr>
            <w:gridSpan w:val="2"/>
            <w:tcW w:w="2534" w:type="dxa"/>
            <w:vAlign w:val="center"/>
            <w:textDirection w:val="lrTb"/>
            <w:noWrap w:val="false"/>
          </w:tcPr>
          <w:p>
            <w:pPr>
              <w:pStyle w:val="965"/>
              <w:jc w:val="center"/>
              <w:spacing w:line="440" w:lineRule="exact"/>
              <w:rPr>
                <w:rFonts w:ascii="仿宋" w:hAnsi="仿宋" w:eastAsia="仿宋" w:cs="仿宋"/>
                <w:b/>
                <w:bCs/>
                <w:sz w:val="24"/>
                <w:szCs w:val="24"/>
                <w:highlight w:val="none"/>
              </w:rPr>
              <w:framePr w:vAnchor="margin" w:hAnchor="page" w:xAlign="center" w:y="1"/>
            </w:pPr>
            <w:r>
              <w:rPr>
                <w:rFonts w:hint="eastAsia" w:ascii="仿宋" w:hAnsi="仿宋" w:eastAsia="仿宋" w:cs="仿宋"/>
                <w:b/>
                <w:bCs/>
                <w:sz w:val="24"/>
                <w:szCs w:val="24"/>
                <w:highlight w:val="none"/>
              </w:rPr>
              <w:t xml:space="preserve">名称</w:t>
            </w:r>
            <w:r>
              <w:rPr>
                <w:rFonts w:ascii="仿宋" w:hAnsi="仿宋" w:eastAsia="仿宋" w:cs="仿宋"/>
                <w:b/>
                <w:bCs/>
                <w:sz w:val="24"/>
                <w:szCs w:val="24"/>
                <w:highlight w:val="none"/>
              </w:rPr>
            </w:r>
            <w:r/>
          </w:p>
        </w:tc>
        <w:tc>
          <w:tcPr>
            <w:tcW w:w="4321" w:type="dxa"/>
            <w:vAlign w:val="center"/>
            <w:textDirection w:val="lrTb"/>
            <w:noWrap w:val="false"/>
          </w:tcPr>
          <w:p>
            <w:pPr>
              <w:pStyle w:val="965"/>
              <w:jc w:val="center"/>
              <w:spacing w:line="440" w:lineRule="exact"/>
              <w:rPr>
                <w:rFonts w:ascii="仿宋" w:hAnsi="仿宋" w:eastAsia="仿宋" w:cs="仿宋"/>
                <w:b/>
                <w:bCs/>
                <w:sz w:val="24"/>
                <w:szCs w:val="24"/>
                <w:highlight w:val="none"/>
              </w:rPr>
              <w:framePr w:vAnchor="margin" w:hAnchor="page" w:xAlign="center" w:y="1"/>
            </w:pPr>
            <w:r>
              <w:rPr>
                <w:rFonts w:hint="eastAsia" w:ascii="仿宋" w:hAnsi="仿宋" w:eastAsia="仿宋" w:cs="仿宋"/>
                <w:b/>
                <w:bCs/>
                <w:sz w:val="24"/>
                <w:szCs w:val="24"/>
                <w:highlight w:val="none"/>
              </w:rPr>
              <w:t xml:space="preserve">明细</w:t>
            </w:r>
            <w:r>
              <w:rPr>
                <w:rFonts w:ascii="仿宋" w:hAnsi="仿宋" w:eastAsia="仿宋" w:cs="仿宋"/>
                <w:b/>
                <w:bCs/>
                <w:sz w:val="24"/>
                <w:szCs w:val="24"/>
                <w:highlight w:val="none"/>
              </w:rPr>
            </w:r>
            <w:r/>
          </w:p>
        </w:tc>
        <w:tc>
          <w:tcPr>
            <w:tcW w:w="2472" w:type="dxa"/>
            <w:vAlign w:val="center"/>
            <w:textDirection w:val="lrTb"/>
            <w:noWrap w:val="false"/>
          </w:tcPr>
          <w:p>
            <w:pPr>
              <w:pStyle w:val="965"/>
              <w:jc w:val="center"/>
              <w:spacing w:line="440" w:lineRule="exact"/>
              <w:rPr>
                <w:rFonts w:ascii="仿宋" w:hAnsi="仿宋" w:eastAsia="仿宋" w:cs="仿宋"/>
                <w:b/>
                <w:bCs/>
                <w:sz w:val="24"/>
                <w:szCs w:val="24"/>
                <w:highlight w:val="none"/>
              </w:rPr>
              <w:framePr w:vAnchor="margin" w:hAnchor="page" w:xAlign="center" w:y="1"/>
            </w:pPr>
            <w:r>
              <w:rPr>
                <w:rFonts w:hint="eastAsia" w:ascii="仿宋" w:hAnsi="仿宋" w:eastAsia="仿宋" w:cs="仿宋"/>
                <w:b/>
                <w:bCs/>
                <w:sz w:val="24"/>
                <w:szCs w:val="24"/>
                <w:highlight w:val="none"/>
              </w:rPr>
              <w:t xml:space="preserve">服务内容及标准</w:t>
            </w:r>
            <w:r>
              <w:rPr>
                <w:rFonts w:ascii="仿宋" w:hAnsi="仿宋" w:eastAsia="仿宋" w:cs="仿宋"/>
                <w:b/>
                <w:bCs/>
                <w:sz w:val="24"/>
                <w:szCs w:val="24"/>
                <w:highlight w:val="none"/>
              </w:rPr>
            </w:r>
            <w:r/>
          </w:p>
        </w:tc>
      </w:tr>
      <w:tr>
        <w:trPr/>
        <w:tc>
          <w:tcPr>
            <w:gridSpan w:val="2"/>
            <w:tcW w:w="253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建筑1名称</w:t>
            </w:r>
            <w:r>
              <w:rPr>
                <w:rFonts w:ascii="仿宋" w:hAnsi="仿宋" w:eastAsia="仿宋" w:cs="仿宋"/>
                <w:sz w:val="24"/>
                <w:szCs w:val="24"/>
                <w:highlight w:val="none"/>
              </w:rPr>
            </w:r>
            <w:r/>
          </w:p>
        </w:tc>
        <w:tc>
          <w:tcPr>
            <w:tcW w:w="4321"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江苏省儿童康复研究中心江北新中心儿童康复楼</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r>
      <w:tr>
        <w:trPr/>
        <w:tc>
          <w:tcPr>
            <w:tcW w:w="970"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总面积</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建筑面积（㎡）</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6804㎡</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见“3.8保安服务”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需保洁面积（㎡）</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6123.6㎡ </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门窗</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门窗总数量（个）及总面积（㎡）</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窗总数量479个，总面积1325.8㎡ </w:t>
            </w:r>
            <w:r>
              <w:rPr>
                <w:rFonts w:ascii="仿宋" w:hAnsi="仿宋" w:eastAsia="仿宋" w:cs="仿宋"/>
                <w:sz w:val="24"/>
                <w:szCs w:val="24"/>
                <w:highlight w:val="none"/>
              </w:rPr>
            </w:r>
            <w:r/>
          </w:p>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门总数量178个，总面积292.01㎡ </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见“3.2房屋维护服务”“3.5保洁服务”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地面</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地面各材质及总面积（㎡）</w:t>
            </w:r>
            <w:r>
              <w:rPr>
                <w:rFonts w:ascii="仿宋" w:hAnsi="仿宋" w:eastAsia="仿宋" w:cs="仿宋"/>
                <w:sz w:val="24"/>
                <w:szCs w:val="24"/>
                <w:highlight w:val="none"/>
              </w:rPr>
            </w:r>
            <w:r/>
          </w:p>
        </w:tc>
        <w:tc>
          <w:tcPr>
            <w:tcW w:w="4321" w:type="dxa"/>
            <w:vAlign w:val="center"/>
            <w:textDirection w:val="lrTb"/>
            <w:noWrap w:val="false"/>
          </w:tcPr>
          <w:p>
            <w:pPr>
              <w:pStyle w:val="965"/>
              <w:numPr>
                <w:ilvl w:val="0"/>
                <w:numId w:val="4"/>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同质透心PVC地胶： 总面积5164㎡</w:t>
            </w:r>
            <w:r>
              <w:rPr>
                <w:rFonts w:ascii="仿宋" w:hAnsi="仿宋" w:eastAsia="仿宋" w:cs="仿宋"/>
                <w:sz w:val="24"/>
                <w:szCs w:val="24"/>
                <w:highlight w:val="none"/>
              </w:rPr>
            </w:r>
            <w:r/>
          </w:p>
          <w:p>
            <w:pPr>
              <w:pStyle w:val="965"/>
              <w:numPr>
                <w:ilvl w:val="0"/>
                <w:numId w:val="4"/>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防滑地砖： 总面积564.97㎡、</w:t>
            </w:r>
            <w:r>
              <w:rPr>
                <w:rFonts w:ascii="仿宋" w:hAnsi="仿宋" w:eastAsia="仿宋" w:cs="仿宋"/>
                <w:sz w:val="24"/>
                <w:szCs w:val="24"/>
                <w:highlight w:val="none"/>
              </w:rPr>
            </w:r>
            <w:r/>
          </w:p>
          <w:p>
            <w:pPr>
              <w:pStyle w:val="965"/>
              <w:numPr>
                <w:ilvl w:val="0"/>
                <w:numId w:val="4"/>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毛坯总面积：543.6㎡</w:t>
            </w:r>
            <w:r>
              <w:rPr>
                <w:rFonts w:ascii="仿宋" w:hAnsi="仿宋" w:eastAsia="仿宋" w:cs="仿宋"/>
                <w:sz w:val="24"/>
                <w:szCs w:val="24"/>
                <w:highlight w:val="none"/>
              </w:rPr>
            </w:r>
            <w:r/>
          </w:p>
          <w:p>
            <w:pPr>
              <w:pStyle w:val="965"/>
              <w:numPr>
                <w:ilvl w:val="0"/>
                <w:numId w:val="4"/>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静电地板总面积：58㎡、</w:t>
            </w:r>
            <w:r>
              <w:rPr>
                <w:rFonts w:ascii="仿宋" w:hAnsi="仿宋" w:eastAsia="仿宋" w:cs="仿宋"/>
                <w:sz w:val="24"/>
                <w:szCs w:val="24"/>
                <w:highlight w:val="none"/>
              </w:rPr>
            </w:r>
            <w:r/>
          </w:p>
          <w:p>
            <w:pPr>
              <w:pStyle w:val="965"/>
              <w:numPr>
                <w:ilvl w:val="0"/>
                <w:numId w:val="4"/>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仿地毯纹地胶：总面积120.2㎡</w:t>
            </w:r>
            <w:r>
              <w:rPr>
                <w:rFonts w:ascii="仿宋" w:hAnsi="仿宋" w:eastAsia="仿宋" w:cs="仿宋"/>
                <w:sz w:val="24"/>
                <w:szCs w:val="24"/>
                <w:highlight w:val="none"/>
              </w:rPr>
            </w:r>
            <w:r/>
          </w:p>
          <w:p>
            <w:pPr>
              <w:pStyle w:val="965"/>
              <w:numPr>
                <w:ilvl w:val="0"/>
                <w:numId w:val="4"/>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仿木纹地胶：总面积130.56㎡</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见“3.2房屋维护服务”“3.5保洁服务”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内墙饰面</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内墙饰面各材质及总面积（㎡）</w:t>
            </w:r>
            <w:r>
              <w:rPr>
                <w:rFonts w:ascii="仿宋" w:hAnsi="仿宋" w:eastAsia="仿宋" w:cs="仿宋"/>
                <w:sz w:val="24"/>
                <w:szCs w:val="24"/>
                <w:highlight w:val="none"/>
              </w:rPr>
            </w:r>
            <w:r/>
          </w:p>
        </w:tc>
        <w:tc>
          <w:tcPr>
            <w:tcW w:w="4321" w:type="dxa"/>
            <w:vAlign w:val="center"/>
            <w:textDirection w:val="lrTb"/>
            <w:noWrap w:val="false"/>
          </w:tcPr>
          <w:p>
            <w:pPr>
              <w:pStyle w:val="965"/>
              <w:numPr>
                <w:ilvl w:val="0"/>
                <w:numId w:val="5"/>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无机涂料：总面积5314.722㎡</w:t>
            </w:r>
            <w:r>
              <w:rPr>
                <w:rFonts w:ascii="仿宋" w:hAnsi="仿宋" w:eastAsia="仿宋" w:cs="仿宋"/>
                <w:sz w:val="24"/>
                <w:szCs w:val="24"/>
                <w:highlight w:val="none"/>
              </w:rPr>
            </w:r>
            <w:r/>
          </w:p>
          <w:p>
            <w:pPr>
              <w:pStyle w:val="965"/>
              <w:numPr>
                <w:ilvl w:val="0"/>
                <w:numId w:val="5"/>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毛坯：总面积802㎡</w:t>
            </w:r>
            <w:r>
              <w:rPr>
                <w:rFonts w:ascii="仿宋" w:hAnsi="仿宋" w:eastAsia="仿宋" w:cs="仿宋"/>
                <w:sz w:val="24"/>
                <w:szCs w:val="24"/>
                <w:highlight w:val="none"/>
              </w:rPr>
            </w:r>
            <w:r/>
          </w:p>
          <w:p>
            <w:pPr>
              <w:pStyle w:val="965"/>
              <w:numPr>
                <w:ilvl w:val="0"/>
                <w:numId w:val="5"/>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阻燃织物软包：总面积114.57㎡</w:t>
            </w:r>
            <w:r>
              <w:rPr>
                <w:rFonts w:ascii="仿宋" w:hAnsi="仿宋" w:eastAsia="仿宋" w:cs="仿宋"/>
                <w:sz w:val="24"/>
                <w:szCs w:val="24"/>
                <w:highlight w:val="none"/>
              </w:rPr>
            </w:r>
            <w:r/>
          </w:p>
          <w:p>
            <w:pPr>
              <w:pStyle w:val="965"/>
              <w:numPr>
                <w:ilvl w:val="0"/>
                <w:numId w:val="5"/>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吸音板：总面积314.56㎡</w:t>
            </w:r>
            <w:r>
              <w:rPr>
                <w:rFonts w:ascii="仿宋" w:hAnsi="仿宋" w:eastAsia="仿宋" w:cs="仿宋"/>
                <w:sz w:val="24"/>
                <w:szCs w:val="24"/>
                <w:highlight w:val="none"/>
              </w:rPr>
            </w:r>
            <w:r/>
          </w:p>
          <w:p>
            <w:pPr>
              <w:pStyle w:val="965"/>
              <w:numPr>
                <w:ilvl w:val="0"/>
                <w:numId w:val="5"/>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木饰面：总面积259.83㎡</w:t>
            </w:r>
            <w:r>
              <w:rPr>
                <w:rFonts w:ascii="仿宋" w:hAnsi="仿宋" w:eastAsia="仿宋" w:cs="仿宋"/>
                <w:sz w:val="24"/>
                <w:szCs w:val="24"/>
                <w:highlight w:val="none"/>
              </w:rPr>
            </w:r>
            <w:r/>
          </w:p>
          <w:p>
            <w:pPr>
              <w:pStyle w:val="965"/>
              <w:numPr>
                <w:ilvl w:val="0"/>
                <w:numId w:val="5"/>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阻燃性毛毡：总面积25.34㎡</w:t>
            </w:r>
            <w:r>
              <w:rPr>
                <w:rFonts w:ascii="仿宋" w:hAnsi="仿宋" w:eastAsia="仿宋" w:cs="仿宋"/>
                <w:sz w:val="24"/>
                <w:szCs w:val="24"/>
                <w:highlight w:val="none"/>
              </w:rPr>
            </w:r>
            <w:r/>
          </w:p>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通体砖：总面积432㎡</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见“3.2房屋维护服务”“3.5保洁服务”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顶面</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顶面各材质及总面积（㎡）</w:t>
            </w:r>
            <w:r>
              <w:rPr>
                <w:rFonts w:ascii="仿宋" w:hAnsi="仿宋" w:eastAsia="仿宋" w:cs="仿宋"/>
                <w:sz w:val="24"/>
                <w:szCs w:val="24"/>
                <w:highlight w:val="none"/>
              </w:rPr>
            </w:r>
            <w:r/>
          </w:p>
        </w:tc>
        <w:tc>
          <w:tcPr>
            <w:tcW w:w="4321" w:type="dxa"/>
            <w:vAlign w:val="center"/>
            <w:textDirection w:val="lrTb"/>
            <w:noWrap w:val="false"/>
          </w:tcPr>
          <w:p>
            <w:pPr>
              <w:pStyle w:val="965"/>
              <w:numPr>
                <w:ilvl w:val="0"/>
                <w:numId w:val="6"/>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铝质扣板：总面积2837.12㎡</w:t>
            </w:r>
            <w:r>
              <w:rPr>
                <w:rFonts w:ascii="仿宋" w:hAnsi="仿宋" w:eastAsia="仿宋" w:cs="仿宋"/>
                <w:sz w:val="24"/>
                <w:szCs w:val="24"/>
                <w:highlight w:val="none"/>
              </w:rPr>
            </w:r>
            <w:r/>
          </w:p>
          <w:p>
            <w:pPr>
              <w:pStyle w:val="965"/>
              <w:numPr>
                <w:ilvl w:val="0"/>
                <w:numId w:val="6"/>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毛坯：总面积543.6㎡</w:t>
            </w:r>
            <w:r>
              <w:rPr>
                <w:rFonts w:ascii="仿宋" w:hAnsi="仿宋" w:eastAsia="仿宋" w:cs="仿宋"/>
                <w:sz w:val="24"/>
                <w:szCs w:val="24"/>
                <w:highlight w:val="none"/>
              </w:rPr>
            </w:r>
            <w:r/>
          </w:p>
          <w:p>
            <w:pPr>
              <w:pStyle w:val="965"/>
              <w:numPr>
                <w:ilvl w:val="0"/>
                <w:numId w:val="6"/>
              </w:numPr>
              <w:jc w:val="left"/>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石膏顶：总面积138.24</w:t>
            </w:r>
            <w:r>
              <w:rPr>
                <w:rFonts w:ascii="仿宋" w:hAnsi="仿宋" w:eastAsia="仿宋" w:cs="仿宋"/>
                <w:sz w:val="24"/>
                <w:szCs w:val="24"/>
                <w:highlight w:val="none"/>
              </w:rPr>
            </w:r>
            <w:r/>
          </w:p>
          <w:p>
            <w:pPr>
              <w:pStyle w:val="965"/>
              <w:ind w:firstLine="240"/>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盐棉板：371.9㎡</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见“3.2房屋维护服务”“3.5保洁服务”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外墙</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外墙各材质及总面积（㎡）</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干挂石材总面积1250㎡、铝板总面积1985.78㎡、喷涂面积（外墙）450㎡</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见“3.2房屋维护服务”“3.5保洁服务”</w:t>
            </w:r>
            <w:r>
              <w:rPr>
                <w:rFonts w:ascii="仿宋" w:hAnsi="仿宋" w:eastAsia="仿宋" w:cs="仿宋"/>
                <w:sz w:val="24"/>
                <w:szCs w:val="24"/>
                <w:highlight w:val="none"/>
              </w:rPr>
            </w:r>
            <w:r/>
          </w:p>
        </w:tc>
      </w:tr>
      <w:tr>
        <w:trPr/>
        <w:tc>
          <w:tcPr>
            <w:tcW w:w="970"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会议室</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室内设施说明</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见“3.2房屋维护服务”“3.5保洁服务”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会议室数量（个）及总面积（㎡）</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会议室共计2个，总面积189.9㎡</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卫生间</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卫生间数量（个）及总面积（㎡）</w:t>
            </w:r>
            <w:r>
              <w:rPr>
                <w:rFonts w:ascii="仿宋" w:hAnsi="仿宋" w:eastAsia="仿宋" w:cs="仿宋"/>
                <w:sz w:val="24"/>
                <w:szCs w:val="24"/>
                <w:highlight w:val="none"/>
              </w:rPr>
            </w:r>
            <w:r/>
          </w:p>
        </w:tc>
        <w:tc>
          <w:tcPr>
            <w:tcW w:w="4321"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卫生间共计21个，总面积约288.97㎡</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垃圾存放点</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各垃圾存放点位置、面积（㎡）及数量（个）</w:t>
            </w:r>
            <w:r>
              <w:rPr>
                <w:rFonts w:ascii="仿宋" w:hAnsi="仿宋" w:eastAsia="仿宋" w:cs="仿宋"/>
                <w:sz w:val="24"/>
                <w:szCs w:val="24"/>
                <w:highlight w:val="none"/>
              </w:rPr>
            </w:r>
            <w:r/>
          </w:p>
        </w:tc>
        <w:tc>
          <w:tcPr>
            <w:tcW w:w="4321"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办公楼2层-10层，各1个存放点，总面积为13.5㎡，240L/个，共13个</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tc>
          <w:tcPr>
            <w:tcW w:w="970"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车位数</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地面车位数</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45个</w:t>
            </w:r>
            <w:r>
              <w:rPr>
                <w:rFonts w:ascii="仿宋" w:hAnsi="仿宋" w:eastAsia="仿宋" w:cs="仿宋"/>
                <w:sz w:val="24"/>
                <w:szCs w:val="24"/>
                <w:highlight w:val="none"/>
              </w:rPr>
            </w:r>
            <w:r/>
          </w:p>
        </w:tc>
        <w:tc>
          <w:tcPr>
            <w:tcW w:w="2472"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见“3.8保安服务”</w:t>
            </w:r>
            <w:r>
              <w:rPr>
                <w:rFonts w:ascii="仿宋" w:hAnsi="仿宋" w:eastAsia="仿宋" w:cs="仿宋"/>
                <w:sz w:val="24"/>
                <w:szCs w:val="24"/>
                <w:highlight w:val="none"/>
              </w:rPr>
            </w:r>
            <w:r/>
          </w:p>
        </w:tc>
      </w:tr>
      <w:tr>
        <w:trPr/>
        <w:tc>
          <w:tcPr>
            <w:tcW w:w="970"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车行/人行口</w:t>
            </w: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车行口</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3个</w:t>
            </w:r>
            <w:r>
              <w:rPr>
                <w:rFonts w:ascii="仿宋" w:hAnsi="仿宋" w:eastAsia="仿宋" w:cs="仿宋"/>
                <w:sz w:val="24"/>
                <w:szCs w:val="24"/>
                <w:highlight w:val="none"/>
              </w:rPr>
            </w:r>
            <w:r/>
          </w:p>
        </w:tc>
        <w:tc>
          <w:tcPr>
            <w:tcW w:w="2472"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见“3.8保安服务”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人行口</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1个</w:t>
            </w:r>
            <w:r>
              <w:rPr>
                <w:rFonts w:ascii="仿宋" w:hAnsi="仿宋" w:eastAsia="仿宋" w:cs="仿宋"/>
                <w:sz w:val="24"/>
                <w:szCs w:val="24"/>
                <w:highlight w:val="none"/>
              </w:rPr>
            </w:r>
            <w:r/>
          </w:p>
        </w:tc>
        <w:tc>
          <w:tcPr>
            <w:tcW w:w="2472"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见“3.8保安服务”</w:t>
            </w:r>
            <w:r>
              <w:rPr>
                <w:rFonts w:ascii="仿宋" w:hAnsi="仿宋" w:eastAsia="仿宋" w:cs="仿宋"/>
                <w:sz w:val="24"/>
                <w:szCs w:val="24"/>
                <w:highlight w:val="none"/>
              </w:rPr>
            </w:r>
            <w:r/>
          </w:p>
        </w:tc>
      </w:tr>
      <w:tr>
        <w:trPr/>
        <w:tc>
          <w:tcPr>
            <w:tcW w:w="970"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设施设备（可另行附表）</w:t>
            </w:r>
            <w:r>
              <w:rPr>
                <w:rFonts w:ascii="仿宋" w:hAnsi="仿宋" w:eastAsia="仿宋" w:cs="仿宋"/>
                <w:sz w:val="24"/>
                <w:szCs w:val="24"/>
                <w:highlight w:val="none"/>
              </w:rPr>
            </w:r>
            <w:r/>
          </w:p>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电梯系统</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客梯1部、客梯功率为14kw、均在质保期内</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见“3.3公用设施设备维护服务”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空调系统</w:t>
            </w:r>
            <w:r>
              <w:rPr>
                <w:rFonts w:ascii="仿宋" w:hAnsi="仿宋" w:eastAsia="仿宋" w:cs="仿宋"/>
                <w:sz w:val="24"/>
                <w:szCs w:val="24"/>
                <w:highlight w:val="none"/>
              </w:rPr>
            </w:r>
            <w:r/>
          </w:p>
        </w:tc>
        <w:tc>
          <w:tcPr>
            <w:tcW w:w="4321" w:type="dxa"/>
            <w:vAlign w:val="center"/>
            <w:textDirection w:val="lrTb"/>
            <w:noWrap w:val="false"/>
          </w:tcPr>
          <w:p>
            <w:pPr>
              <w:pStyle w:val="965"/>
              <w:jc w:val="left"/>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中央空调1套、均在质保期内</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见“3.3公用设施设备维护服务”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给排水系统</w:t>
            </w:r>
            <w:r>
              <w:rPr>
                <w:rFonts w:ascii="仿宋" w:hAnsi="仿宋" w:eastAsia="仿宋" w:cs="仿宋"/>
                <w:sz w:val="24"/>
                <w:szCs w:val="24"/>
                <w:highlight w:val="none"/>
              </w:rPr>
            </w:r>
            <w:r/>
          </w:p>
        </w:tc>
        <w:tc>
          <w:tcPr>
            <w:tcW w:w="4321" w:type="dxa"/>
            <w:vAlign w:val="center"/>
            <w:textDirection w:val="lrTb"/>
            <w:noWrap w:val="false"/>
          </w:tcPr>
          <w:p>
            <w:pPr>
              <w:pStyle w:val="965"/>
              <w:numPr>
                <w:ilvl w:val="0"/>
                <w:numId w:val="7"/>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雨水井13个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给水检查井 8个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压力排水井 14个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消火栓管道2个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普通喷淋管道1个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喷淋压力供水管道1个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隔油池1个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感应水嘴洗脸盆(09S304,P53)冷水横管440，热水横管：630，阀：550</w:t>
            </w:r>
            <w:r>
              <w:rPr>
                <w:rFonts w:ascii="仿宋" w:hAnsi="仿宋" w:eastAsia="仿宋" w:cs="仿宋"/>
                <w:sz w:val="24"/>
                <w:szCs w:val="24"/>
                <w:highlight w:val="none"/>
              </w:rPr>
            </w:r>
            <w:r/>
          </w:p>
          <w:p>
            <w:pPr>
              <w:pStyle w:val="965"/>
              <w:spacing w:line="440" w:lineRule="exact"/>
              <w:rPr>
                <w:rFonts w:hint="eastAsia"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（28套）</w:t>
            </w:r>
            <w:r>
              <w:rPr>
                <w:rFonts w:hint="eastAsia"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连体式下排水(普通连接)坐便器(09S304,P72)冷水横管：250，阀150     </w:t>
            </w:r>
            <w:r>
              <w:rPr>
                <w:rFonts w:hint="eastAsia"/>
                <w:highlight w:val="none"/>
              </w:rPr>
              <w:t xml:space="preserve">（</w:t>
            </w:r>
            <w:r>
              <w:rPr>
                <w:rFonts w:hint="eastAsia" w:ascii="仿宋" w:hAnsi="仿宋" w:eastAsia="仿宋" w:cs="仿宋"/>
                <w:sz w:val="24"/>
                <w:szCs w:val="24"/>
                <w:highlight w:val="none"/>
              </w:rPr>
              <w:t xml:space="preserve">5套</w:t>
            </w:r>
            <w:r>
              <w:rPr>
                <w:rFonts w:hint="eastAsia"/>
                <w:highlight w:val="none"/>
              </w:rPr>
              <w:t xml:space="preserve">）</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污水池(09S304.P20)横管1000  （12套）</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感应式冲洗阀壁挂式小便斗(09S304,P105)横管：1400，阀：1290 （9套）  </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感应式冲洗阀蹲便器(09S304,P91)横管：925，阀：775  （104套）</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闭式玻璃球喷头68℃,K=80,DN15 （777只）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闭式玻璃球喷头93℃,K=80,DN15 （20只）</w:t>
            </w:r>
            <w:r>
              <w:rPr>
                <w:rFonts w:ascii="仿宋" w:hAnsi="仿宋" w:eastAsia="仿宋" w:cs="仿宋"/>
                <w:sz w:val="24"/>
                <w:szCs w:val="24"/>
                <w:highlight w:val="none"/>
              </w:rPr>
            </w:r>
            <w:r/>
          </w:p>
          <w:p>
            <w:pPr>
              <w:pStyle w:val="965"/>
              <w:numPr>
                <w:ilvl w:val="0"/>
                <w:numId w:val="7"/>
              </w:numPr>
              <w:ind w:left="-60" w:firstLine="60"/>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湿式报警阀DN150 （1只）</w:t>
            </w:r>
            <w:r>
              <w:rPr>
                <w:rFonts w:ascii="仿宋" w:hAnsi="仿宋" w:eastAsia="仿宋" w:cs="仿宋"/>
                <w:sz w:val="24"/>
                <w:szCs w:val="24"/>
                <w:highlight w:val="none"/>
              </w:rPr>
            </w:r>
            <w:r/>
          </w:p>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电开水器SWH-100/60,N=6kW,V=50L （3台）（具冷热出水自带止回阀）</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见“3.3公用设施设备维护服务”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消防系统</w:t>
            </w:r>
            <w:r>
              <w:rPr>
                <w:rFonts w:ascii="仿宋" w:hAnsi="仿宋" w:eastAsia="仿宋" w:cs="仿宋"/>
                <w:sz w:val="24"/>
                <w:szCs w:val="24"/>
                <w:highlight w:val="none"/>
              </w:rPr>
            </w:r>
            <w:r/>
          </w:p>
        </w:tc>
        <w:tc>
          <w:tcPr>
            <w:tcW w:w="4321" w:type="dxa"/>
            <w:vAlign w:val="center"/>
            <w:textDirection w:val="lrTb"/>
            <w:noWrap w:val="false"/>
          </w:tcPr>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消防报警主机一套</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消防广播：95个</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手动报警器：20个</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消防电话机：10个</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室内消火栓：13个</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干粉灭火器：78个</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防火卷帘：6个</w:t>
            </w:r>
            <w:r>
              <w:rPr>
                <w:rFonts w:ascii="仿宋" w:hAnsi="仿宋" w:eastAsia="仿宋" w:cs="仿宋"/>
                <w:sz w:val="24"/>
                <w:szCs w:val="24"/>
                <w:highlight w:val="none"/>
              </w:rPr>
            </w:r>
            <w:r/>
          </w:p>
          <w:p>
            <w:pPr>
              <w:pStyle w:val="965"/>
              <w:numPr>
                <w:ilvl w:val="0"/>
                <w:numId w:val="8"/>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烟感：183个挡烟垂壁6个</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见“3.3公用设施设备维护服务”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安防系统</w:t>
            </w:r>
            <w:r>
              <w:rPr>
                <w:rFonts w:ascii="仿宋" w:hAnsi="仿宋" w:eastAsia="仿宋" w:cs="仿宋"/>
                <w:sz w:val="24"/>
                <w:szCs w:val="24"/>
                <w:highlight w:val="none"/>
              </w:rPr>
            </w:r>
            <w:r/>
          </w:p>
        </w:tc>
        <w:tc>
          <w:tcPr>
            <w:tcW w:w="4321"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监控系统1 组、大门口伸缩门1台、监控屏幕10块、道闸系统3组、监控摄像头160个点位</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见“3.3公用设施设备维护服务”“3.4消防监控服务”</w:t>
            </w:r>
            <w:r>
              <w:rPr>
                <w:rFonts w:ascii="仿宋" w:hAnsi="仿宋" w:eastAsia="仿宋" w:cs="仿宋"/>
                <w:sz w:val="24"/>
                <w:szCs w:val="24"/>
                <w:highlight w:val="none"/>
              </w:rPr>
            </w:r>
            <w:r/>
          </w:p>
        </w:tc>
      </w:tr>
      <w:tr>
        <w:trPr/>
        <w:tc>
          <w:tcPr>
            <w:tcW w:w="970"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ascii="仿宋" w:hAnsi="仿宋" w:eastAsia="仿宋" w:cs="仿宋"/>
                <w:sz w:val="24"/>
                <w:szCs w:val="24"/>
                <w:highlight w:val="none"/>
              </w:rPr>
            </w:r>
            <w:r/>
          </w:p>
        </w:tc>
        <w:tc>
          <w:tcPr>
            <w:tcW w:w="1564" w:type="dxa"/>
            <w:vAlign w:val="center"/>
            <w:textDirection w:val="lrTb"/>
            <w:noWrap w:val="false"/>
          </w:tcPr>
          <w:p>
            <w:pPr>
              <w:pStyle w:val="965"/>
              <w:jc w:val="center"/>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照明系统</w:t>
            </w:r>
            <w:r>
              <w:rPr>
                <w:rFonts w:ascii="仿宋" w:hAnsi="仿宋" w:eastAsia="仿宋" w:cs="仿宋"/>
                <w:sz w:val="24"/>
                <w:szCs w:val="24"/>
                <w:highlight w:val="none"/>
              </w:rPr>
            </w:r>
            <w:r/>
          </w:p>
        </w:tc>
        <w:tc>
          <w:tcPr>
            <w:tcW w:w="4321"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1.300*1200LED平板灯351盏</w:t>
            </w:r>
            <w:r>
              <w:rPr>
                <w:rFonts w:ascii="仿宋" w:hAnsi="仿宋" w:eastAsia="仿宋" w:cs="仿宋"/>
                <w:sz w:val="24"/>
                <w:szCs w:val="24"/>
                <w:highlight w:val="none"/>
              </w:rPr>
            </w:r>
            <w:r/>
          </w:p>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2.300*600LED平板灯61盏</w:t>
            </w:r>
            <w:r>
              <w:rPr>
                <w:rFonts w:ascii="仿宋" w:hAnsi="仿宋" w:eastAsia="仿宋" w:cs="仿宋"/>
                <w:sz w:val="24"/>
                <w:szCs w:val="24"/>
                <w:highlight w:val="none"/>
              </w:rPr>
            </w:r>
            <w:r/>
          </w:p>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3.600*600LED平板灯216盏</w:t>
            </w:r>
            <w:r>
              <w:rPr>
                <w:rFonts w:ascii="仿宋" w:hAnsi="仿宋" w:eastAsia="仿宋" w:cs="仿宋"/>
                <w:sz w:val="24"/>
                <w:szCs w:val="24"/>
                <w:highlight w:val="none"/>
              </w:rPr>
            </w:r>
            <w:r/>
          </w:p>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4.300*300LED平板灯29</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吸顶灯 20盏</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LED暗装筒灯123盏</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单筒灯83盏</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紫外线灯18盏</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圆形灯（造型） 14盏</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舞台轨道灯2套</w:t>
            </w:r>
            <w:r>
              <w:rPr>
                <w:rFonts w:ascii="仿宋" w:hAnsi="仿宋" w:eastAsia="仿宋" w:cs="仿宋"/>
                <w:sz w:val="24"/>
                <w:szCs w:val="24"/>
                <w:highlight w:val="none"/>
              </w:rPr>
            </w:r>
            <w:r/>
          </w:p>
          <w:p>
            <w:pPr>
              <w:pStyle w:val="965"/>
              <w:numPr>
                <w:ilvl w:val="0"/>
                <w:numId w:val="9"/>
              </w:numPr>
              <w:spacing w:line="440" w:lineRule="exact"/>
              <w:tabs>
                <w:tab w:val="left" w:pos="312" w:leader="none"/>
              </w:tabs>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灯带（造型）300米应急照明灯 54 盏</w:t>
            </w:r>
            <w:r>
              <w:rPr>
                <w:rFonts w:ascii="仿宋" w:hAnsi="仿宋" w:eastAsia="仿宋" w:cs="仿宋"/>
                <w:sz w:val="24"/>
                <w:szCs w:val="24"/>
                <w:highlight w:val="none"/>
              </w:rPr>
            </w:r>
            <w:r/>
          </w:p>
        </w:tc>
        <w:tc>
          <w:tcPr>
            <w:tcW w:w="2472" w:type="dxa"/>
            <w:vAlign w:val="center"/>
            <w:textDirection w:val="lrTb"/>
            <w:noWrap w:val="false"/>
          </w:tcPr>
          <w:p>
            <w:pPr>
              <w:pStyle w:val="965"/>
              <w:spacing w:line="440" w:lineRule="exact"/>
              <w:rPr>
                <w:rFonts w:ascii="仿宋" w:hAnsi="仿宋" w:eastAsia="仿宋" w:cs="仿宋"/>
                <w:sz w:val="24"/>
                <w:szCs w:val="24"/>
                <w:highlight w:val="none"/>
              </w:rPr>
              <w:framePr w:vAnchor="margin" w:hAnchor="page" w:xAlign="center" w:y="1"/>
            </w:pPr>
            <w:r>
              <w:rPr>
                <w:rFonts w:hint="eastAsia" w:ascii="仿宋" w:hAnsi="仿宋" w:eastAsia="仿宋" w:cs="仿宋"/>
                <w:sz w:val="24"/>
                <w:szCs w:val="24"/>
                <w:highlight w:val="none"/>
              </w:rPr>
              <w:t xml:space="preserve">见“3.3公用设施设备维护服务”</w:t>
            </w:r>
            <w:r>
              <w:rPr>
                <w:rFonts w:ascii="仿宋" w:hAnsi="仿宋" w:eastAsia="仿宋" w:cs="仿宋"/>
                <w:sz w:val="24"/>
                <w:szCs w:val="24"/>
                <w:highlight w:val="none"/>
              </w:rPr>
            </w:r>
            <w:r/>
          </w:p>
        </w:tc>
      </w:tr>
    </w:tbl>
    <w:p>
      <w:pPr>
        <w:pStyle w:val="965"/>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（2）物业管理（室外）</w:t>
      </w:r>
      <w:r>
        <w:rPr>
          <w:rFonts w:hint="eastAsia" w:ascii="方正仿宋_GBK" w:hAnsi="方正仿宋_GBK" w:eastAsia="方正仿宋_GBK" w:cs="方正仿宋_GBK"/>
          <w:sz w:val="28"/>
          <w:szCs w:val="28"/>
          <w:highlight w:val="none"/>
        </w:rPr>
      </w:r>
      <w:r/>
    </w:p>
    <w:tbl>
      <w:tblPr>
        <w:tblW w:w="491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2954"/>
        <w:gridCol w:w="4138"/>
      </w:tblGrid>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名称</w:t>
            </w:r>
            <w:r>
              <w:rPr>
                <w:rFonts w:ascii="仿宋" w:hAnsi="仿宋" w:eastAsia="仿宋" w:cs="仿宋"/>
                <w:b/>
                <w:bCs/>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明细</w:t>
            </w:r>
            <w:r>
              <w:rPr>
                <w:rFonts w:ascii="仿宋" w:hAnsi="仿宋" w:eastAsia="仿宋" w:cs="仿宋"/>
                <w:b/>
                <w:bCs/>
                <w:sz w:val="24"/>
                <w:szCs w:val="24"/>
                <w:highlight w:val="none"/>
              </w:rPr>
            </w:r>
            <w:r/>
          </w:p>
        </w:tc>
        <w:tc>
          <w:tcPr>
            <w:tcW w:w="3846"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服务内容及标准</w:t>
            </w:r>
            <w:r>
              <w:rPr>
                <w:rFonts w:ascii="仿宋" w:hAnsi="仿宋" w:eastAsia="仿宋" w:cs="仿宋"/>
                <w:b/>
                <w:bCs/>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室外面积</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8392.84㎡</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见“3.5保洁服务”“3.8保安服务”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绿化</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3021㎡</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见“3.5绿化服务”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广场</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见“3.5保洁服务”“3.8保安服务”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路灯</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32个</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消防栓</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2个</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垃圾箱</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8个</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室外配电箱</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1个</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见“3.5保洁服务”“3.3公用设施设备维护服务”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监控</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40个</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见“3.5保洁服务”“3.3公用设施设备维护服务”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指示牌、显示屏</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室外显示屏1个</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r>
        <w:trPr>
          <w:cantSplit/>
          <w:trHeight w:val="454"/>
        </w:trPr>
        <w:tc>
          <w:tcPr>
            <w:tcW w:w="1792"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露台</w:t>
            </w:r>
            <w:r>
              <w:rPr>
                <w:rFonts w:ascii="仿宋" w:hAnsi="仿宋" w:eastAsia="仿宋" w:cs="仿宋"/>
                <w:sz w:val="24"/>
                <w:szCs w:val="24"/>
                <w:highlight w:val="none"/>
              </w:rPr>
            </w:r>
            <w:r/>
          </w:p>
        </w:tc>
        <w:tc>
          <w:tcPr>
            <w:tcW w:w="2746" w:type="dxa"/>
            <w:vAlign w:val="center"/>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514.8㎡</w:t>
            </w:r>
            <w:r>
              <w:rPr>
                <w:rFonts w:ascii="仿宋" w:hAnsi="仿宋" w:eastAsia="仿宋" w:cs="仿宋"/>
                <w:sz w:val="24"/>
                <w:szCs w:val="24"/>
                <w:highlight w:val="none"/>
              </w:rPr>
            </w:r>
            <w:r/>
          </w:p>
        </w:tc>
        <w:tc>
          <w:tcPr>
            <w:tcW w:w="3846"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见“3.5保洁服务”</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（三）物业管理服务内容及标准</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物业管理服务包括基本服务、房屋维护服务、公用设施设备维护服务、消防监控服务、保洁服务、幼儿保育辅助服务、绿化服务、安保服务、食堂服务等。</w:t>
      </w:r>
      <w:r>
        <w:rPr>
          <w:rFonts w:hint="eastAsia" w:ascii="方正仿宋_GBK" w:hAnsi="方正仿宋_GBK" w:eastAsia="方正仿宋_GBK" w:cs="方正仿宋_GBK"/>
          <w:sz w:val="28"/>
          <w:szCs w:val="28"/>
          <w:highlight w:val="none"/>
        </w:rPr>
      </w:r>
      <w:r/>
    </w:p>
    <w:p>
      <w:pPr>
        <w:pStyle w:val="968"/>
        <w:spacing w:before="0" w:after="0" w:line="440" w:lineRule="exact"/>
        <w:rPr>
          <w:rFonts w:ascii="仿宋" w:hAnsi="仿宋" w:eastAsia="仿宋" w:cs="仿宋"/>
          <w:sz w:val="28"/>
          <w:szCs w:val="28"/>
          <w:highlight w:val="none"/>
        </w:rPr>
      </w:pPr>
      <w:r/>
      <w:bookmarkStart w:id="163" w:name="_Toc26485"/>
      <w:r/>
      <w:bookmarkStart w:id="164" w:name="_Toc10498"/>
      <w:r/>
      <w:bookmarkStart w:id="165" w:name="_Toc26156"/>
      <w:r>
        <w:rPr>
          <w:rFonts w:hint="eastAsia" w:ascii="仿宋" w:hAnsi="仿宋" w:eastAsia="仿宋" w:cs="仿宋"/>
          <w:sz w:val="28"/>
          <w:szCs w:val="28"/>
          <w:highlight w:val="none"/>
        </w:rPr>
        <w:t xml:space="preserve">3.</w:t>
      </w:r>
      <w:bookmarkEnd w:id="163"/>
      <w:r/>
      <w:bookmarkEnd w:id="164"/>
      <w:r/>
      <w:bookmarkEnd w:id="165"/>
      <w:r>
        <w:rPr>
          <w:rFonts w:hint="eastAsia" w:ascii="仿宋" w:hAnsi="仿宋" w:eastAsia="仿宋" w:cs="仿宋"/>
          <w:sz w:val="28"/>
          <w:szCs w:val="28"/>
          <w:highlight w:val="none"/>
        </w:rPr>
        <w:t xml:space="preserve">1基本服务</w:t>
      </w:r>
      <w:r>
        <w:rPr>
          <w:rFonts w:ascii="仿宋" w:hAnsi="仿宋" w:eastAsia="仿宋" w:cs="仿宋"/>
          <w:sz w:val="28"/>
          <w:szCs w:val="28"/>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868"/>
        <w:gridCol w:w="6454"/>
      </w:tblGrid>
      <w:tr>
        <w:trPr>
          <w:trHeight w:val="567"/>
          <w:tblHeader/>
        </w:trPr>
        <w:tc>
          <w:tcPr>
            <w:tcW w:w="777"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W w:w="1736"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W w:w="5999"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目标与责任</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（1）结合采购人要求及物业服务实际情况，制定年度管理目标，明确责任分工，并制定配套实施方案。</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（2）配合采购人各类重大活动现场保洁、秩序维护、会务保障等。</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服务人员要求</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人员持有效健康证上岗，到岗后按照要求办理托幼机构工作人员健康合格证，食堂人员办理南京市托幼机构食堂人员培训证。每季度至少开展1次岗位技能、职业素质、儿童安全防护、食品安全、保密规范等教育培训，并进行适当形式的考核。</w:t>
            </w:r>
            <w:r>
              <w:rPr>
                <w:rFonts w:hint="eastAsia"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（2）根据采购人要求对服务人员进行从业资格审查，审查结果向采购人报备。</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如采购人认为服务人员不适应岗位要求或存在其他影响工作的，可要求中标方进行调换。如因中标方原因对服务人员进行调换，应当经采购人同意，更换比例不得超过本项目服务人员总数的20%。本项目服务人员不得在其他项目兼职。                            </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（5）着装分类统一，佩戴标识。仪容整洁、姿态端正、举止文明。用语文明礼貌，态度温和耐心。</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保密和思想政治教育</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（1）建立保密管理制度。制度内容应当包括但不限于：①明确重点要害岗位保密职责。②对涉密工作岗位的保密要求。</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（2）根据采购人要求与涉密工作岗位的服务人员签订保密协议。保密协议应当向采购人报备。</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（3）每季度至少开展1次对服务人员进行保密、思想政治教育的培训，提高服务人员保密意识和思想政治意识。新入职员工应当接受保密、思想政治教育培训，进行必要的人员经历审查，合格后方可上岗。</w:t>
            </w:r>
            <w:r>
              <w:rPr>
                <w:rFonts w:ascii="仿宋" w:hAnsi="仿宋" w:eastAsia="仿宋" w:cs="仿宋"/>
                <w:sz w:val="24"/>
                <w:szCs w:val="24"/>
                <w:highlight w:val="none"/>
              </w:rPr>
            </w:r>
            <w:r/>
          </w:p>
        </w:tc>
      </w:tr>
      <w:tr>
        <w:trPr>
          <w:trHeight w:val="290"/>
        </w:trPr>
        <w:tc>
          <w:tcPr>
            <w:tcW w:w="777"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严禁私自拍摄、传播儿童影像及中心内部信息，严禁泄露康复教学、人员管理等内部信息，发现违规行为立即上报采购人并处置。发现服务人员违法违规或重大过失，及时报告采购人，并采取必要补救措施。</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档案管理</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（1）建立物业信息，准确、及时地对文件资料和服务记录进行归档保存，并确保其物理安全。</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巡查记录、突发事件演习与处置记录等。⑤保洁服务：工作日志、清洁检查表、用品清单、客户反馈表等。⑥其他：客户信息、财务明细、合同协议、信报信息登记、大件物品进出登记等。</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（3）遵守采购人的信息、档案资料保密要求，未经许可，不得将建筑物平面图等资料转作其他用途或向其他单位、个人提供。</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（4）履约结束后，相关资料交还采购人，采购人按政府采购相关规定存档。</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（5）负责本物业管理范围内的物业档案资料的收集保存管理（各岗位值班、配电、消防值班台账等）</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服务改进</w:t>
            </w:r>
            <w:r>
              <w:rPr>
                <w:rFonts w:ascii="仿宋" w:hAnsi="仿宋" w:eastAsia="仿宋" w:cs="仿宋"/>
                <w:sz w:val="24"/>
                <w:szCs w:val="24"/>
                <w:highlight w:val="none"/>
              </w:rPr>
            </w:r>
            <w:r/>
          </w:p>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（1）明确负责人，定期对物业服务过程进行自查，结合反馈意见与评价结果采取改进措施，持续提升管理与服务水平。</w:t>
            </w:r>
            <w:r>
              <w:rPr>
                <w:rFonts w:ascii="仿宋" w:hAnsi="仿宋" w:eastAsia="仿宋" w:cs="仿宋"/>
                <w:sz w:val="24"/>
                <w:szCs w:val="24"/>
                <w:highlight w:val="none"/>
              </w:rPr>
            </w:r>
            <w:r/>
          </w:p>
        </w:tc>
      </w:tr>
      <w:tr>
        <w:trPr>
          <w:trHeight w:val="90"/>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（2）对不合格服务进行控制，对不合格服务的原因进行识别和分析，及时采取纠正措施，消除不合格的原因，防止不合格再发生。</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（3）需整改问题及时整改完成。</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重大活动后勤保障</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（1）制订流程。配合采购人制订重大活动后勤保障工作流程，需对任务进行详细了解，并根据工作安排制定详细的后勤保障计划。</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（3）收尾工作。对现场进行检查，做好清理工作。</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应急保障预案</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应急预案的建立。根据办公楼隐患排查的结果和实际情况，制定专项预案，包括但不限于：火情火警紧急处理应急预案、紧急疏散应急预案、停水停电应急预案、有限空间救援应急预案、恶劣天气应对应急预案等。</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服务方案及工作制度</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（1）制定工作制度，主要包括：人员录用制度、档案管理制度、物业服务管理制度、公用设施设备相关管理制度等。</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（2）制定项目实施方案，主要包括：交接方案、人员培训方案、人员稳定性方案、保密方案等。</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（3）制定物业服务方案，主要包括：房屋维护服务方案、公用设施设备维护服务方案、保洁服务方案、保安服务方案、会议服务方案等。</w:t>
            </w:r>
            <w:r>
              <w:rPr>
                <w:rFonts w:ascii="仿宋" w:hAnsi="仿宋" w:eastAsia="仿宋" w:cs="仿宋"/>
                <w:sz w:val="24"/>
                <w:szCs w:val="24"/>
                <w:highlight w:val="none"/>
              </w:rPr>
            </w:r>
            <w:r/>
          </w:p>
        </w:tc>
      </w:tr>
      <w:tr>
        <w:trPr>
          <w:trHeight w:val="567"/>
        </w:trPr>
        <w:tc>
          <w:tcPr>
            <w:tcW w:w="77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ascii="仿宋" w:hAnsi="仿宋" w:eastAsia="仿宋" w:cs="仿宋"/>
                <w:sz w:val="24"/>
                <w:szCs w:val="24"/>
                <w:highlight w:val="none"/>
              </w:rPr>
            </w:r>
            <w:r/>
          </w:p>
        </w:tc>
        <w:tc>
          <w:tcPr>
            <w:tcW w:w="173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信报服务</w:t>
            </w: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（1）对邮件、包裹和挂号信等进行正确分理、安全检查和防疫卫生检查。</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（2）及时投送或通知收件人领取。</w:t>
            </w:r>
            <w:r>
              <w:rPr>
                <w:rFonts w:ascii="仿宋" w:hAnsi="仿宋" w:eastAsia="仿宋" w:cs="仿宋"/>
                <w:sz w:val="24"/>
                <w:szCs w:val="24"/>
                <w:highlight w:val="none"/>
              </w:rPr>
            </w:r>
            <w:r/>
          </w:p>
        </w:tc>
      </w:tr>
      <w:tr>
        <w:trPr>
          <w:trHeight w:val="567"/>
        </w:trPr>
        <w:tc>
          <w:tcPr>
            <w:tcW w:w="77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999"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（3）大件物品出入向采购人报告，待采购人确认无误后放行。</w:t>
            </w:r>
            <w:r>
              <w:rPr>
                <w:rFonts w:ascii="仿宋" w:hAnsi="仿宋" w:eastAsia="仿宋" w:cs="仿宋"/>
                <w:sz w:val="24"/>
                <w:szCs w:val="24"/>
                <w:highlight w:val="none"/>
              </w:rPr>
            </w:r>
            <w:r/>
          </w:p>
        </w:tc>
      </w:tr>
    </w:tbl>
    <w:p>
      <w:pPr>
        <w:pStyle w:val="968"/>
        <w:spacing w:before="0" w:after="0"/>
        <w:rPr>
          <w:rFonts w:ascii="仿宋" w:hAnsi="仿宋" w:eastAsia="仿宋" w:cs="仿宋"/>
          <w:sz w:val="24"/>
          <w:szCs w:val="24"/>
          <w:highlight w:val="none"/>
        </w:rPr>
      </w:pPr>
      <w:r>
        <w:rPr>
          <w:rFonts w:ascii="仿宋" w:hAnsi="仿宋" w:eastAsia="仿宋" w:cs="仿宋"/>
          <w:sz w:val="24"/>
          <w:szCs w:val="24"/>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3.2房屋维护服务</w:t>
      </w:r>
      <w:r>
        <w:rPr>
          <w:rFonts w:ascii="仿宋" w:hAnsi="仿宋" w:eastAsia="仿宋" w:cs="仿宋"/>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69"/>
        <w:gridCol w:w="6460"/>
      </w:tblGrid>
      <w:tr>
        <w:trPr>
          <w:cantSplit/>
          <w:trHeight w:val="567"/>
          <w:tblHeader/>
        </w:trPr>
        <w:tc>
          <w:tcPr>
            <w:tcW w:w="781"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W w:w="1737"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W w:w="6004"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cantSplit/>
          <w:trHeight w:val="567"/>
        </w:trPr>
        <w:tc>
          <w:tcPr>
            <w:tcW w:w="781"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W w:w="17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主体结构、围护结构、部品部件</w:t>
            </w: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（1）每季度至少开展1次房屋结构安全巡视，发现外观有变形、开裂等现象，及时报告采购人。</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（2）每季度至少开展1次外墙贴饰面、幕墙玻璃、散水、空调室外机支撑构件等检查，发现破损，及时向采购人报告，及时报告采购人。</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（3）每半月至少开展1次公用部位的门、窗、楼梯、通风道、室内地面、墙面、吊顶和室外屋面等巡查，发现破损，及时向采购人报告。</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（4）每年强降雨天气前后、雨雪季节检查屋面防水和雨落管等，发现破损，及时向采购人报告。</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（5）办公楼外观完好，建筑装饰面无脱落、无破损、无污渍，玻璃幕墙清洁明亮、无破损。</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（6）通道、楼梯、门窗等设施的完好和正常使用。</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（7）负责服务区内工程设施、房屋日常维护管理，确保设备的正常使用、运行，协调、监护设备的维保、零修工作。</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（8）工程零修、急修及时率98%；零修工程合格率98%；各类设施设备完好、整洁、无污损，完好率、合格率均达到98%以上；做好维修跟踪服务，满意率98%以上。</w:t>
            </w:r>
            <w:r>
              <w:rPr>
                <w:rFonts w:ascii="仿宋" w:hAnsi="仿宋" w:eastAsia="仿宋" w:cs="仿宋"/>
                <w:sz w:val="24"/>
                <w:szCs w:val="24"/>
                <w:highlight w:val="none"/>
              </w:rPr>
            </w:r>
            <w:r/>
          </w:p>
        </w:tc>
      </w:tr>
      <w:tr>
        <w:trPr>
          <w:cantSplit/>
          <w:trHeight w:val="567"/>
        </w:trPr>
        <w:tc>
          <w:tcPr>
            <w:tcW w:w="781"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W w:w="17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其他设施</w:t>
            </w: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（1）每半月至少开展1次大门、围墙、道路、场地、管井、沟渠等巡查，每半月至少检查1次雨污水管井、化粪池等巡查，发现破损，及时向采购人报告。</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（2）家具、墙面、地面、屋面等的日常简单维修</w:t>
            </w:r>
            <w:r>
              <w:rPr>
                <w:rFonts w:ascii="仿宋" w:hAnsi="仿宋" w:eastAsia="仿宋" w:cs="仿宋"/>
                <w:sz w:val="24"/>
                <w:szCs w:val="24"/>
                <w:highlight w:val="none"/>
              </w:rPr>
            </w:r>
            <w:r/>
          </w:p>
        </w:tc>
      </w:tr>
      <w:tr>
        <w:trPr>
          <w:cantSplit/>
          <w:trHeight w:val="567"/>
        </w:trPr>
        <w:tc>
          <w:tcPr>
            <w:tcW w:w="781"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W w:w="17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标识标牌</w:t>
            </w: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（1）标识标牌符合《公共信息图形符号第1部分：通用符号》（GB/T11.1）的相关要求，消防与安全标识符合《安全标志及其使用导则》（GB2894）、《消防安全标志第1部分：标志》（GB13495.1）的相关要求。</w:t>
            </w:r>
            <w:r>
              <w:rPr>
                <w:rFonts w:ascii="仿宋" w:hAnsi="仿宋" w:eastAsia="仿宋" w:cs="仿宋"/>
                <w:sz w:val="24"/>
                <w:szCs w:val="24"/>
                <w:highlight w:val="none"/>
              </w:rPr>
            </w:r>
            <w:r/>
          </w:p>
        </w:tc>
      </w:tr>
      <w:tr>
        <w:trPr>
          <w:cantSplit/>
          <w:trHeight w:val="567"/>
        </w:trPr>
        <w:tc>
          <w:tcPr>
            <w:tcW w:w="781"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04"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（2）每月至少检查1次标识标牌和消防与安全标识。应当规范清晰、路线指引正确、安装稳固。</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3.3公用设施设备维护服务</w:t>
      </w:r>
      <w:r>
        <w:rPr>
          <w:rFonts w:ascii="仿宋" w:hAnsi="仿宋" w:eastAsia="仿宋" w:cs="仿宋"/>
          <w:sz w:val="28"/>
          <w:szCs w:val="28"/>
          <w:highlight w:val="none"/>
        </w:rPr>
      </w:r>
      <w:r/>
    </w:p>
    <w:p>
      <w:pPr>
        <w:pStyle w:val="965"/>
        <w:spacing w:line="440" w:lineRule="exact"/>
        <w:rPr>
          <w:highlight w:val="none"/>
        </w:rPr>
      </w:pPr>
      <w:r>
        <w:rPr>
          <w:highlight w:val="none"/>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247"/>
        <w:gridCol w:w="5952"/>
      </w:tblGrid>
      <w:tr>
        <w:trPr>
          <w:cantSplit/>
          <w:trHeight w:val="567"/>
          <w:tblHeader/>
        </w:trPr>
        <w:tc>
          <w:tcPr>
            <w:tcW w:w="796"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W w:w="2089"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W w:w="5533"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cantSplit/>
          <w:trHeight w:val="567"/>
        </w:trPr>
        <w:tc>
          <w:tcPr>
            <w:tcW w:w="79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W w:w="208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工程维修</w:t>
            </w: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（1）负责园区水电、消防、照明、空调、给排水、管道疏通等所有公用设施的日常巡检、养护、中小修及故障排除。</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（2）配电房、设备机房按规范定期巡视，做好运行记录；公共照明完好率≥98%，故障 24 小时内修复。</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（3）给排水管网无跑冒滴漏，定期疏通排水管道、沟渠，保障排水通畅。</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（4）节假日、恶劣天气前后开展全面设施巡检，排查安全隐患。</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（5）建立设备维保台账，记录巡检、维修、保养情况，协助采购人做好节能降耗工作。</w:t>
            </w:r>
            <w:r>
              <w:rPr>
                <w:rFonts w:ascii="仿宋" w:hAnsi="仿宋" w:eastAsia="仿宋" w:cs="仿宋"/>
                <w:sz w:val="24"/>
                <w:szCs w:val="24"/>
                <w:highlight w:val="none"/>
              </w:rPr>
            </w:r>
            <w:r/>
          </w:p>
        </w:tc>
      </w:tr>
      <w:tr>
        <w:trPr>
          <w:cantSplit/>
          <w:trHeight w:val="567"/>
        </w:trPr>
        <w:tc>
          <w:tcPr>
            <w:tcW w:w="79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W w:w="208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弱电设备维护</w:t>
            </w: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（1）负责园区网络、电话、音响、监控、多媒体会议系统等所有弱电设备的日常巡检、养护、故障维修与运行管理。</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（2）保障会议室、多功能厅多媒体设备正常使用，会议前提前完成设备调试。</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（3）定期排查弱电线路与设备隐患，发现问题及时整改，建立运维档案。</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（4）工作日日间在岗待命，非工作时间保持通讯畅通，突发故障随叫随到。</w:t>
            </w:r>
            <w:r>
              <w:rPr>
                <w:rFonts w:ascii="仿宋" w:hAnsi="仿宋" w:eastAsia="仿宋" w:cs="仿宋"/>
                <w:sz w:val="24"/>
                <w:szCs w:val="24"/>
                <w:highlight w:val="none"/>
              </w:rPr>
            </w:r>
            <w:r/>
          </w:p>
        </w:tc>
      </w:tr>
      <w:tr>
        <w:trPr>
          <w:cantSplit/>
          <w:trHeight w:val="567"/>
        </w:trPr>
        <w:tc>
          <w:tcPr>
            <w:tcW w:w="79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W w:w="208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设备机房管理</w:t>
            </w: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（1）各设备机房标识清晰、制度上墙，落实专人管理。</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（2）每半月清洁 1 次机房，保持整洁无杂物、无积尘，温湿度符合设备运行要求。</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（3）设备机房门窗、锁具应当完好、有效。安全防护用具、消防设施齐全有效，防止小动物侵入，做好防鼠防虫措施。</w:t>
            </w:r>
            <w:r>
              <w:rPr>
                <w:rFonts w:ascii="仿宋" w:hAnsi="仿宋" w:eastAsia="仿宋" w:cs="仿宋"/>
                <w:sz w:val="24"/>
                <w:szCs w:val="24"/>
                <w:highlight w:val="none"/>
              </w:rPr>
            </w:r>
            <w:r/>
          </w:p>
        </w:tc>
      </w:tr>
      <w:tr>
        <w:trPr>
          <w:cantSplit/>
          <w:trHeight w:val="567"/>
        </w:trPr>
        <w:tc>
          <w:tcPr>
            <w:tcW w:w="79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ascii="仿宋" w:hAnsi="仿宋" w:eastAsia="仿宋" w:cs="仿宋"/>
                <w:sz w:val="24"/>
                <w:szCs w:val="24"/>
                <w:highlight w:val="none"/>
              </w:rPr>
            </w:r>
            <w:r/>
          </w:p>
        </w:tc>
        <w:tc>
          <w:tcPr>
            <w:tcW w:w="208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电梯系统</w:t>
            </w: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（1）监督配合专业维保单位做好电梯定期维保、年检工作，督促维保单位按照维保协议规范开展工作，核实维保单位反馈问题的真实性。</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（2）每日巡查电梯运行状态，做好运行记录，电梯准用证、年检合格证等证件齐全。相关证件、紧急救援电话和乘客注意事项置于轿厢醒目位置。</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（3）轿厢内应急呼叫装置保持畅通，电梯出现故障，物业人员10分钟之内到现场应急处理。</w:t>
            </w:r>
            <w:r>
              <w:rPr>
                <w:rFonts w:ascii="仿宋" w:hAnsi="仿宋" w:eastAsia="仿宋" w:cs="仿宋"/>
                <w:sz w:val="24"/>
                <w:szCs w:val="24"/>
                <w:highlight w:val="none"/>
              </w:rPr>
            </w:r>
            <w:r/>
          </w:p>
        </w:tc>
      </w:tr>
      <w:tr>
        <w:trPr>
          <w:cantSplit/>
          <w:trHeight w:val="567"/>
        </w:trPr>
        <w:tc>
          <w:tcPr>
            <w:tcW w:w="796"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ascii="仿宋" w:hAnsi="仿宋" w:eastAsia="仿宋" w:cs="仿宋"/>
                <w:sz w:val="24"/>
                <w:szCs w:val="24"/>
                <w:highlight w:val="none"/>
              </w:rPr>
            </w:r>
            <w:r/>
          </w:p>
        </w:tc>
        <w:tc>
          <w:tcPr>
            <w:tcW w:w="208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空调系统</w:t>
            </w: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（1）负责中央空调末端设备日常巡检、清洁与简单故障处理，督促维保单位按照维保协议规范开展工作，核实维保单位反馈问题的真实性。</w:t>
            </w:r>
            <w:r>
              <w:rPr>
                <w:rFonts w:ascii="仿宋" w:hAnsi="仿宋" w:eastAsia="仿宋" w:cs="仿宋"/>
                <w:sz w:val="24"/>
                <w:szCs w:val="24"/>
                <w:highlight w:val="none"/>
              </w:rPr>
            </w:r>
            <w:r/>
          </w:p>
        </w:tc>
      </w:tr>
      <w:tr>
        <w:trPr>
          <w:cantSplit/>
          <w:trHeight w:val="567"/>
        </w:trPr>
        <w:tc>
          <w:tcPr>
            <w:tcW w:w="796"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08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5533"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（2）按季节调整空调运行模式，保障使用需求，配合做好节能管理。</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3.4消防监控服务</w:t>
      </w:r>
      <w:r>
        <w:rPr>
          <w:rFonts w:ascii="仿宋" w:hAnsi="仿宋" w:eastAsia="仿宋" w:cs="仿宋"/>
          <w:sz w:val="28"/>
          <w:szCs w:val="28"/>
          <w:highlight w:val="none"/>
        </w:rPr>
      </w:r>
      <w:r/>
    </w:p>
    <w:p>
      <w:pPr>
        <w:pStyle w:val="965"/>
        <w:spacing w:line="440" w:lineRule="exact"/>
        <w:rPr>
          <w:highlight w:val="none"/>
        </w:rPr>
      </w:pPr>
      <w:r>
        <w:rPr>
          <w:highlight w:val="none"/>
        </w:rPr>
      </w:r>
      <w:r/>
    </w:p>
    <w:tbl>
      <w:tblPr>
        <w:tblW w:w="902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771"/>
        <w:gridCol w:w="2100"/>
        <w:gridCol w:w="6150"/>
      </w:tblGrid>
      <w:tr>
        <w:trPr/>
        <w:tc>
          <w:tcPr>
            <w:tcMar>
              <w:left w:w="120" w:type="dxa"/>
              <w:top w:w="60" w:type="dxa"/>
              <w:right w:w="120" w:type="dxa"/>
              <w:bottom w:w="30" w:type="dxa"/>
            </w:tcMar>
            <w:tcW w:w="771" w:type="dxa"/>
            <w:vAlign w:val="center"/>
            <w:textDirection w:val="lrTb"/>
            <w:noWrap w:val="false"/>
          </w:tcPr>
          <w:p>
            <w:pPr>
              <w:pStyle w:val="965"/>
              <w:jc w:val="center"/>
              <w:spacing w:before="120" w:after="120"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Mar>
              <w:left w:w="120" w:type="dxa"/>
              <w:top w:w="60" w:type="dxa"/>
              <w:right w:w="120" w:type="dxa"/>
              <w:bottom w:w="30" w:type="dxa"/>
            </w:tcMar>
            <w:tcW w:w="2100" w:type="dxa"/>
            <w:vAlign w:val="center"/>
            <w:textDirection w:val="lrTb"/>
            <w:noWrap w:val="false"/>
          </w:tcPr>
          <w:p>
            <w:pPr>
              <w:pStyle w:val="965"/>
              <w:jc w:val="center"/>
              <w:spacing w:before="120" w:after="120"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Mar>
              <w:left w:w="120" w:type="dxa"/>
              <w:top w:w="60" w:type="dxa"/>
              <w:right w:w="120" w:type="dxa"/>
              <w:bottom w:w="30" w:type="dxa"/>
            </w:tcMar>
            <w:tcW w:w="6150" w:type="dxa"/>
            <w:vAlign w:val="center"/>
            <w:textDirection w:val="lrTb"/>
            <w:noWrap w:val="false"/>
          </w:tcPr>
          <w:p>
            <w:pPr>
              <w:pStyle w:val="965"/>
              <w:jc w:val="center"/>
              <w:spacing w:before="120" w:after="120"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tc>
          <w:tcPr>
            <w:tcMar>
              <w:left w:w="120" w:type="dxa"/>
              <w:top w:w="60" w:type="dxa"/>
              <w:right w:w="120" w:type="dxa"/>
              <w:bottom w:w="30" w:type="dxa"/>
            </w:tcMar>
            <w:tcW w:w="771"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Mar>
              <w:left w:w="120" w:type="dxa"/>
              <w:top w:w="60" w:type="dxa"/>
              <w:right w:w="120" w:type="dxa"/>
              <w:bottom w:w="30" w:type="dxa"/>
            </w:tcMar>
            <w:tcW w:w="2100"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监控值守</w:t>
            </w:r>
            <w:r>
              <w:rPr>
                <w:rFonts w:ascii="仿宋" w:hAnsi="仿宋" w:eastAsia="仿宋" w:cs="仿宋"/>
                <w:sz w:val="24"/>
                <w:szCs w:val="24"/>
                <w:highlight w:val="none"/>
              </w:rPr>
            </w:r>
            <w:r/>
          </w:p>
        </w:tc>
        <w:tc>
          <w:tcPr>
            <w:tcMar>
              <w:left w:w="120" w:type="dxa"/>
              <w:top w:w="60" w:type="dxa"/>
              <w:right w:w="120" w:type="dxa"/>
              <w:bottom w:w="30" w:type="dxa"/>
            </w:tcMar>
            <w:tcW w:w="6150" w:type="dxa"/>
            <w:vAlign w:val="center"/>
            <w:textDirection w:val="lrTb"/>
            <w:noWrap w:val="false"/>
          </w:tcPr>
          <w:p>
            <w:pPr>
              <w:pStyle w:val="965"/>
              <w:jc w:val="left"/>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（1）消控室实行 24 小时专人轮班值守，每 15 分钟巡查 1 次监控画面，重点关注公共区域、食堂、配电室、儿童活动区。</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（2）监控录像留存时长≥90 天，录像调阅须经采购人审批，严禁私自调取、拷贝、传播监控资料。</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（3）熟练操作监控与消防主机，实时处置报警信号，规范填写值守台账与交接班记录。</w:t>
            </w:r>
            <w:r>
              <w:rPr>
                <w:rFonts w:ascii="仿宋" w:hAnsi="仿宋" w:eastAsia="仿宋" w:cs="仿宋"/>
                <w:sz w:val="24"/>
                <w:szCs w:val="24"/>
                <w:highlight w:val="none"/>
              </w:rPr>
            </w:r>
            <w:r/>
          </w:p>
        </w:tc>
      </w:tr>
      <w:tr>
        <w:trPr/>
        <w:tc>
          <w:tcPr>
            <w:tcMar>
              <w:left w:w="120" w:type="dxa"/>
              <w:top w:w="60" w:type="dxa"/>
              <w:right w:w="120" w:type="dxa"/>
              <w:bottom w:w="30" w:type="dxa"/>
            </w:tcMar>
            <w:tcW w:w="771"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Mar>
              <w:left w:w="120" w:type="dxa"/>
              <w:top w:w="60" w:type="dxa"/>
              <w:right w:w="120" w:type="dxa"/>
              <w:bottom w:w="30" w:type="dxa"/>
            </w:tcMar>
            <w:tcW w:w="2100"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消防设施巡检</w:t>
            </w:r>
            <w:r>
              <w:rPr>
                <w:rFonts w:ascii="仿宋" w:hAnsi="仿宋" w:eastAsia="仿宋" w:cs="仿宋"/>
                <w:sz w:val="24"/>
                <w:szCs w:val="24"/>
                <w:highlight w:val="none"/>
              </w:rPr>
            </w:r>
            <w:r/>
          </w:p>
        </w:tc>
        <w:tc>
          <w:tcPr>
            <w:tcMar>
              <w:left w:w="120" w:type="dxa"/>
              <w:top w:w="60" w:type="dxa"/>
              <w:right w:w="120" w:type="dxa"/>
              <w:bottom w:w="30" w:type="dxa"/>
            </w:tcMar>
            <w:tcW w:w="6150" w:type="dxa"/>
            <w:vAlign w:val="center"/>
            <w:textDirection w:val="lrTb"/>
            <w:noWrap w:val="false"/>
          </w:tcPr>
          <w:p>
            <w:pPr>
              <w:pStyle w:val="965"/>
              <w:numPr>
                <w:ilvl w:val="0"/>
                <w:numId w:val="10"/>
              </w:numPr>
              <w:jc w:val="left"/>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落实消防设施周期性巡检，每日检查消防主机运行状态，每周抽查消火栓、灭火器、应急照明等设施，发现故障立即报修。</w:t>
            </w:r>
            <w:r>
              <w:rPr>
                <w:rFonts w:ascii="仿宋" w:hAnsi="仿宋" w:eastAsia="仿宋" w:cs="仿宋"/>
                <w:sz w:val="24"/>
                <w:szCs w:val="24"/>
                <w:highlight w:val="none"/>
              </w:rPr>
            </w:r>
            <w:r/>
          </w:p>
          <w:p>
            <w:pPr>
              <w:pStyle w:val="965"/>
              <w:numPr>
                <w:ilvl w:val="0"/>
                <w:numId w:val="10"/>
              </w:numPr>
              <w:jc w:val="left"/>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确保消防监控系统运行良好，自动和手动报警设施启动正常。</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（2）熟悉园区消防点位、疏散路线，消防设施完好率≥98%。</w:t>
            </w:r>
            <w:r>
              <w:rPr>
                <w:rFonts w:ascii="仿宋" w:hAnsi="仿宋" w:eastAsia="仿宋" w:cs="仿宋"/>
                <w:sz w:val="24"/>
                <w:szCs w:val="24"/>
                <w:highlight w:val="none"/>
              </w:rPr>
            </w:r>
            <w:r/>
          </w:p>
        </w:tc>
      </w:tr>
      <w:tr>
        <w:trPr/>
        <w:tc>
          <w:tcPr>
            <w:tcMar>
              <w:left w:w="120" w:type="dxa"/>
              <w:top w:w="60" w:type="dxa"/>
              <w:right w:w="120" w:type="dxa"/>
              <w:bottom w:w="30" w:type="dxa"/>
            </w:tcMar>
            <w:tcW w:w="771"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Mar>
              <w:left w:w="120" w:type="dxa"/>
              <w:top w:w="60" w:type="dxa"/>
              <w:right w:w="120" w:type="dxa"/>
              <w:bottom w:w="30" w:type="dxa"/>
            </w:tcMar>
            <w:tcW w:w="2100"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应急处置</w:t>
            </w:r>
            <w:r>
              <w:rPr>
                <w:rFonts w:ascii="仿宋" w:hAnsi="仿宋" w:eastAsia="仿宋" w:cs="仿宋"/>
                <w:sz w:val="24"/>
                <w:szCs w:val="24"/>
                <w:highlight w:val="none"/>
              </w:rPr>
            </w:r>
            <w:r/>
          </w:p>
        </w:tc>
        <w:tc>
          <w:tcPr>
            <w:tcMar>
              <w:left w:w="120" w:type="dxa"/>
              <w:top w:w="60" w:type="dxa"/>
              <w:right w:w="120" w:type="dxa"/>
              <w:bottom w:w="30" w:type="dxa"/>
            </w:tcMar>
            <w:tcW w:w="6150" w:type="dxa"/>
            <w:vAlign w:val="center"/>
            <w:textDirection w:val="lrTb"/>
            <w:noWrap w:val="false"/>
          </w:tcPr>
          <w:p>
            <w:pPr>
              <w:pStyle w:val="965"/>
              <w:jc w:val="left"/>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（1）严格执行火警处置时限，接到报警后立即核实，确认火情后第一时间启动应急预案，组织人员疏散、开展初期灭火。</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（2）配合消防部门开展火灾处置，事后做好记录与复盘。</w:t>
            </w:r>
            <w:r>
              <w:rPr>
                <w:rFonts w:ascii="仿宋" w:hAnsi="仿宋" w:eastAsia="仿宋" w:cs="仿宋"/>
                <w:sz w:val="24"/>
                <w:szCs w:val="24"/>
                <w:highlight w:val="none"/>
              </w:rPr>
            </w:r>
            <w:r/>
          </w:p>
        </w:tc>
      </w:tr>
      <w:tr>
        <w:trPr/>
        <w:tc>
          <w:tcPr>
            <w:tcMar>
              <w:left w:w="120" w:type="dxa"/>
              <w:top w:w="60" w:type="dxa"/>
              <w:right w:w="120" w:type="dxa"/>
              <w:bottom w:w="30" w:type="dxa"/>
            </w:tcMar>
            <w:tcW w:w="771"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ascii="仿宋" w:hAnsi="仿宋" w:eastAsia="仿宋" w:cs="仿宋"/>
                <w:sz w:val="24"/>
                <w:szCs w:val="24"/>
                <w:highlight w:val="none"/>
              </w:rPr>
            </w:r>
            <w:r/>
          </w:p>
        </w:tc>
        <w:tc>
          <w:tcPr>
            <w:tcMar>
              <w:left w:w="120" w:type="dxa"/>
              <w:top w:w="60" w:type="dxa"/>
              <w:right w:w="120" w:type="dxa"/>
              <w:bottom w:w="30" w:type="dxa"/>
            </w:tcMar>
            <w:tcW w:w="2100" w:type="dxa"/>
            <w:vAlign w:val="center"/>
            <w:textDirection w:val="lrTb"/>
            <w:noWrap w:val="false"/>
          </w:tcPr>
          <w:p>
            <w:pPr>
              <w:pStyle w:val="965"/>
              <w:jc w:val="center"/>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管理规范</w:t>
            </w:r>
            <w:r>
              <w:rPr>
                <w:rFonts w:ascii="仿宋" w:hAnsi="仿宋" w:eastAsia="仿宋" w:cs="仿宋"/>
                <w:sz w:val="24"/>
                <w:szCs w:val="24"/>
                <w:highlight w:val="none"/>
              </w:rPr>
            </w:r>
            <w:r/>
          </w:p>
        </w:tc>
        <w:tc>
          <w:tcPr>
            <w:tcMar>
              <w:left w:w="120" w:type="dxa"/>
              <w:top w:w="60" w:type="dxa"/>
              <w:right w:w="120" w:type="dxa"/>
              <w:bottom w:w="30" w:type="dxa"/>
            </w:tcMar>
            <w:tcW w:w="6150" w:type="dxa"/>
            <w:vAlign w:val="center"/>
            <w:textDirection w:val="lrTb"/>
            <w:noWrap w:val="false"/>
          </w:tcPr>
          <w:p>
            <w:pPr>
              <w:pStyle w:val="965"/>
              <w:jc w:val="left"/>
              <w:spacing w:before="120" w:after="12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（1）在岗人员全员持中级消防设施操作员证，定期参加消防专业培训。</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（2）严禁脱岗、睡岗、在岗从事与工作无关事项；严禁无关人员进入消控室。</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rPr>
              <w:t xml:space="preserve">（3）所有值守、巡检、处置记录真实完整，可追溯可核查。</w:t>
            </w:r>
            <w:r>
              <w:rPr>
                <w:rFonts w:ascii="仿宋" w:hAnsi="仿宋" w:eastAsia="仿宋" w:cs="仿宋"/>
                <w:sz w:val="24"/>
                <w:szCs w:val="24"/>
                <w:highlight w:val="none"/>
              </w:rPr>
            </w:r>
            <w:r/>
          </w:p>
        </w:tc>
      </w:tr>
    </w:tbl>
    <w:p>
      <w:pPr>
        <w:pStyle w:val="968"/>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3.5保洁服务</w:t>
      </w:r>
      <w:r>
        <w:rPr>
          <w:rFonts w:ascii="仿宋" w:hAnsi="仿宋" w:eastAsia="仿宋" w:cs="仿宋"/>
          <w:sz w:val="28"/>
          <w:szCs w:val="28"/>
          <w:highlight w:val="none"/>
        </w:rPr>
      </w:r>
      <w:r/>
    </w:p>
    <w:p>
      <w:pPr>
        <w:pStyle w:val="965"/>
        <w:spacing w:line="440" w:lineRule="exact"/>
        <w:rPr>
          <w:highlight w:val="none"/>
        </w:rPr>
      </w:pPr>
      <w:r>
        <w:rPr>
          <w:highlight w:val="none"/>
        </w:rPr>
      </w:r>
      <w:r/>
    </w:p>
    <w:tbl>
      <w:tblPr>
        <w:tblW w:w="4956" w:type="pct"/>
        <w:tblInd w:w="-120" w:type="dxa"/>
        <w:tblLayout w:type="fixed"/>
        <w:tblCellMar>
          <w:left w:w="108" w:type="dxa"/>
          <w:top w:w="0" w:type="dxa"/>
          <w:right w:w="108" w:type="dxa"/>
          <w:bottom w:w="0" w:type="dxa"/>
        </w:tblCellMar>
        <w:tblLook w:val="04A0" w:firstRow="1" w:lastRow="0" w:firstColumn="1" w:lastColumn="0" w:noHBand="0" w:noVBand="1"/>
      </w:tblPr>
      <w:tblGrid>
        <w:gridCol w:w="794"/>
        <w:gridCol w:w="1929"/>
        <w:gridCol w:w="6365"/>
      </w:tblGrid>
      <w:tr>
        <w:trPr>
          <w:trHeight w:val="454"/>
          <w:tblHeader/>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基本要求</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（1）建立保洁工作制度与作业计划，分区域明确责任人，做好工作记录。</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（2）保洁作业采取防护措施，清洁剂、消毒剂等耗材符合环保与安全标准，避免对儿童造成刺激。</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（3）保洁服务覆盖公共区域、办公区域、卫生间、楼梯、露台等，与幼儿保育辅助服务区域不重叠。</w:t>
            </w:r>
            <w:r>
              <w:rPr>
                <w:rFonts w:ascii="仿宋" w:hAnsi="仿宋" w:eastAsia="仿宋" w:cs="仿宋"/>
                <w:sz w:val="24"/>
                <w:szCs w:val="24"/>
                <w:highlight w:val="none"/>
              </w:rPr>
            </w:r>
            <w:r/>
          </w:p>
        </w:tc>
      </w:tr>
      <w:tr>
        <w:trPr>
          <w:trHeight w:val="462"/>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1079"/>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val="en-US" w:bidi="ar-SA"/>
              </w:rPr>
              <w:t xml:space="preserve">（4）须保持整个服务区环境优美，卫生整洁；保持室内外各公共包干区清洁卫生、环境宜人；重点部位须专人负责，始终保持清洁状态。</w:t>
            </w:r>
            <w:r>
              <w:rPr>
                <w:rFonts w:ascii="仿宋" w:hAnsi="仿宋" w:eastAsia="仿宋" w:cs="仿宋"/>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室内公共区域保洁</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2"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（1）各楼层楼梯、公共过道、安全楼道、扶手、楼顶、窗台、平台、空调风口及所有楼层的内玻璃的服务和保洁。</w:t>
            </w:r>
            <w:r>
              <w:rPr>
                <w:rFonts w:ascii="仿宋" w:hAnsi="仿宋" w:eastAsia="仿宋" w:cs="仿宋"/>
                <w:sz w:val="24"/>
                <w:szCs w:val="24"/>
                <w:highlight w:val="none"/>
                <w:lang w:bidi="ar-SA"/>
              </w:rPr>
            </w:r>
            <w:r/>
          </w:p>
        </w:tc>
      </w:tr>
      <w:tr>
        <w:trPr>
          <w:trHeight w:val="89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right="97"/>
              <w:spacing w:before="136"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2）各楼层的办公会议座椅、电器（空调、饮水机、开水炉）、灯具及开关、电源盒、消防器材、公告栏、指示板、房间门牌、地垫、洗手池、烘手机、纸盒、镜面、台面、水池、尿斗、厕位、垃圾桶（篓）的服务和保洁。</w:t>
            </w:r>
            <w:r>
              <w:rPr>
                <w:rFonts w:ascii="仿宋" w:hAnsi="仿宋" w:eastAsia="仿宋" w:cs="仿宋"/>
                <w:sz w:val="24"/>
                <w:szCs w:val="24"/>
                <w:highlight w:val="none"/>
                <w:lang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right="94"/>
              <w:spacing w:before="61"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（3）一次性保洁用品摆放到位，及时更换。</w:t>
            </w:r>
            <w:r>
              <w:rPr>
                <w:rFonts w:ascii="仿宋" w:hAnsi="仿宋" w:eastAsia="仿宋" w:cs="仿宋"/>
                <w:sz w:val="24"/>
                <w:szCs w:val="24"/>
                <w:highlight w:val="none"/>
                <w:lang w:bidi="ar-SA"/>
              </w:rPr>
            </w:r>
            <w:r/>
          </w:p>
        </w:tc>
      </w:tr>
      <w:tr>
        <w:trPr>
          <w:trHeight w:val="557"/>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101"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（4）所有设备机房的地面、墙面、顶面的服务和保洁。</w:t>
            </w:r>
            <w:r>
              <w:rPr>
                <w:rFonts w:ascii="仿宋" w:hAnsi="仿宋" w:eastAsia="仿宋" w:cs="仿宋"/>
                <w:sz w:val="24"/>
                <w:szCs w:val="24"/>
                <w:highlight w:val="none"/>
                <w:lang w:bidi="ar-SA"/>
              </w:rPr>
            </w:r>
            <w:r/>
          </w:p>
        </w:tc>
      </w:tr>
      <w:tr>
        <w:trPr>
          <w:trHeight w:val="89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1"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（5）大厅、楼内公共通道：</w:t>
            </w:r>
            <w:r>
              <w:rPr>
                <w:rFonts w:ascii="仿宋" w:hAnsi="仿宋" w:eastAsia="仿宋" w:cs="仿宋"/>
                <w:sz w:val="24"/>
                <w:szCs w:val="24"/>
                <w:highlight w:val="none"/>
                <w:lang w:val="en-US" w:bidi="ar-SA"/>
              </w:rPr>
            </w:r>
            <w:r/>
          </w:p>
          <w:p>
            <w:pPr>
              <w:pStyle w:val="1079"/>
              <w:ind w:left="108" w:right="97"/>
              <w:spacing w:before="4"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①公共通道保持干净，无异味、无杂物、无积水，每日至少开展 1 次清洁。</w:t>
            </w:r>
            <w:r>
              <w:rPr>
                <w:rFonts w:ascii="仿宋" w:hAnsi="仿宋" w:eastAsia="仿宋" w:cs="仿宋"/>
                <w:sz w:val="24"/>
                <w:szCs w:val="24"/>
                <w:highlight w:val="none"/>
                <w:lang w:val="en-US" w:bidi="ar-SA"/>
              </w:rPr>
            </w:r>
            <w:r/>
          </w:p>
          <w:p>
            <w:pPr>
              <w:pStyle w:val="1079"/>
              <w:ind w:left="108"/>
              <w:spacing w:before="1"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②门窗玻璃干净无尘，透光性好，每周至少开展 1 次清洁作业。</w:t>
            </w:r>
            <w:r>
              <w:rPr>
                <w:rFonts w:ascii="仿宋" w:hAnsi="仿宋" w:eastAsia="仿宋" w:cs="仿宋"/>
                <w:sz w:val="24"/>
                <w:szCs w:val="24"/>
                <w:highlight w:val="none"/>
                <w:lang w:val="en-US" w:bidi="ar-SA"/>
              </w:rPr>
            </w:r>
            <w:r/>
          </w:p>
          <w:p>
            <w:pPr>
              <w:pStyle w:val="1079"/>
              <w:spacing w:before="88"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③指示牌干净，无污渍，每日至少开展 1 次清洁作业。</w:t>
            </w:r>
            <w:r>
              <w:rPr>
                <w:rFonts w:ascii="仿宋" w:hAnsi="仿宋" w:eastAsia="仿宋" w:cs="仿宋"/>
                <w:sz w:val="24"/>
                <w:szCs w:val="24"/>
                <w:highlight w:val="none"/>
                <w:lang w:bidi="ar-SA"/>
              </w:rPr>
            </w:r>
            <w:r/>
          </w:p>
        </w:tc>
      </w:tr>
      <w:tr>
        <w:trPr>
          <w:trHeight w:val="89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88"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（6）消防栓、开关插座、会议室音视频设备、门禁系统等设施设备保持表面干净，无尘无污迹，每月至少开展 1 次清洁作业。</w:t>
            </w:r>
            <w:r>
              <w:rPr>
                <w:rFonts w:ascii="仿宋" w:hAnsi="仿宋" w:eastAsia="仿宋" w:cs="仿宋"/>
                <w:sz w:val="24"/>
                <w:szCs w:val="24"/>
                <w:highlight w:val="none"/>
                <w:lang w:bidi="ar-SA"/>
              </w:rPr>
            </w:r>
            <w:r/>
          </w:p>
        </w:tc>
      </w:tr>
      <w:tr>
        <w:trPr>
          <w:trHeight w:val="89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spacing w:before="6"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（7）楼梯及楼梯间保持干净、无异味、无杂物、无积水，每日至少开展 1 次清洁作业。</w:t>
            </w:r>
            <w:r>
              <w:rPr>
                <w:rFonts w:ascii="仿宋" w:hAnsi="仿宋" w:eastAsia="仿宋" w:cs="仿宋"/>
                <w:sz w:val="24"/>
                <w:szCs w:val="24"/>
                <w:highlight w:val="none"/>
                <w:lang w:bidi="ar-SA"/>
              </w:rPr>
            </w:r>
            <w:r/>
          </w:p>
        </w:tc>
      </w:tr>
      <w:tr>
        <w:trPr>
          <w:trHeight w:val="693"/>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1"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（8）开水间保持干净、无异味、无杂物、无积水，每日至少开展 1次清洁作业。</w:t>
            </w:r>
            <w:r>
              <w:rPr>
                <w:rFonts w:ascii="仿宋" w:hAnsi="仿宋" w:eastAsia="仿宋" w:cs="仿宋"/>
                <w:sz w:val="24"/>
                <w:szCs w:val="24"/>
                <w:highlight w:val="none"/>
                <w:lang w:bidi="ar-SA"/>
              </w:rPr>
            </w:r>
            <w:r/>
          </w:p>
        </w:tc>
      </w:tr>
      <w:tr>
        <w:trPr>
          <w:trHeight w:val="136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1"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（9）作业工具间：</w:t>
            </w:r>
            <w:r>
              <w:rPr>
                <w:rFonts w:ascii="仿宋" w:hAnsi="仿宋" w:eastAsia="仿宋" w:cs="仿宋"/>
                <w:sz w:val="24"/>
                <w:szCs w:val="24"/>
                <w:highlight w:val="none"/>
                <w:lang w:val="en-US" w:bidi="ar-SA"/>
              </w:rPr>
            </w:r>
            <w:r/>
          </w:p>
          <w:p>
            <w:pPr>
              <w:pStyle w:val="1079"/>
              <w:ind w:left="108" w:right="97"/>
              <w:spacing w:before="4"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①保持干净，无异味、无杂物、无积水，每日至少开展 1 次清洁作业。</w:t>
            </w:r>
            <w:r>
              <w:rPr>
                <w:rFonts w:ascii="仿宋" w:hAnsi="仿宋" w:eastAsia="仿宋" w:cs="仿宋"/>
                <w:sz w:val="24"/>
                <w:szCs w:val="24"/>
                <w:highlight w:val="none"/>
                <w:lang w:val="en-US" w:bidi="ar-SA"/>
              </w:rPr>
            </w:r>
            <w:r/>
          </w:p>
          <w:p>
            <w:pPr>
              <w:pStyle w:val="1079"/>
              <w:ind w:left="108"/>
              <w:spacing w:before="1"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②作业工具摆放整齐有序，表面干净无渍，每日消毒。</w:t>
            </w:r>
            <w:r>
              <w:rPr>
                <w:rFonts w:ascii="仿宋" w:hAnsi="仿宋" w:eastAsia="仿宋" w:cs="仿宋"/>
                <w:sz w:val="24"/>
                <w:szCs w:val="24"/>
                <w:highlight w:val="none"/>
                <w:lang w:bidi="ar-SA"/>
              </w:rPr>
            </w:r>
            <w:r/>
          </w:p>
        </w:tc>
      </w:tr>
      <w:tr>
        <w:trPr>
          <w:trHeight w:val="136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8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（10）公共卫生间：</w:t>
            </w:r>
            <w:r>
              <w:rPr>
                <w:rFonts w:ascii="仿宋" w:hAnsi="仿宋" w:eastAsia="仿宋" w:cs="仿宋"/>
                <w:sz w:val="24"/>
                <w:szCs w:val="24"/>
                <w:highlight w:val="none"/>
                <w:lang w:val="en-US" w:bidi="ar-SA"/>
              </w:rPr>
            </w:r>
            <w:r/>
          </w:p>
          <w:p>
            <w:pPr>
              <w:pStyle w:val="1079"/>
              <w:ind w:left="108"/>
              <w:spacing w:before="3"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①保持干净，无异味，垃圾无溢出，每日至少开展 2 次清洁作业。</w:t>
            </w:r>
            <w:r>
              <w:rPr>
                <w:rFonts w:ascii="仿宋" w:hAnsi="仿宋" w:eastAsia="仿宋" w:cs="仿宋"/>
                <w:sz w:val="24"/>
                <w:szCs w:val="24"/>
                <w:highlight w:val="none"/>
                <w:lang w:val="en-US" w:bidi="ar-SA"/>
              </w:rPr>
            </w:r>
            <w:r/>
          </w:p>
          <w:p>
            <w:pPr>
              <w:pStyle w:val="1079"/>
              <w:ind w:left="108"/>
              <w:spacing w:before="1"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②及时补充厕纸等必要用品。</w:t>
            </w:r>
            <w:r>
              <w:rPr>
                <w:rFonts w:ascii="仿宋" w:hAnsi="仿宋" w:eastAsia="仿宋" w:cs="仿宋"/>
                <w:sz w:val="24"/>
                <w:szCs w:val="24"/>
                <w:highlight w:val="none"/>
                <w:lang w:bidi="ar-SA"/>
              </w:rPr>
            </w:r>
            <w:r/>
          </w:p>
        </w:tc>
      </w:tr>
      <w:tr>
        <w:trPr>
          <w:trHeight w:val="136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（11）电梯轿厢：</w:t>
            </w:r>
            <w:r>
              <w:rPr>
                <w:rFonts w:ascii="仿宋" w:hAnsi="仿宋" w:eastAsia="仿宋" w:cs="仿宋"/>
                <w:sz w:val="24"/>
                <w:szCs w:val="24"/>
                <w:highlight w:val="none"/>
                <w:lang w:val="en-US" w:bidi="ar-SA"/>
              </w:rPr>
            </w:r>
            <w:r/>
          </w:p>
          <w:p>
            <w:pPr>
              <w:pStyle w:val="1079"/>
              <w:ind w:left="108" w:right="97"/>
              <w:spacing w:before="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①保持干净，无污渍、无粘贴物、无异味，每日至少开展 1 次清洁作业。</w:t>
            </w:r>
            <w:r>
              <w:rPr>
                <w:rFonts w:ascii="仿宋" w:hAnsi="仿宋" w:eastAsia="仿宋" w:cs="仿宋"/>
                <w:sz w:val="24"/>
                <w:szCs w:val="24"/>
                <w:highlight w:val="none"/>
                <w:lang w:val="en-US" w:bidi="ar-SA"/>
              </w:rPr>
            </w:r>
            <w:r/>
          </w:p>
          <w:p>
            <w:pPr>
              <w:pStyle w:val="1079"/>
              <w:ind w:left="108"/>
              <w:spacing w:before="4"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②灯具、操作指示板明亮。</w:t>
            </w:r>
            <w:r>
              <w:rPr>
                <w:rFonts w:ascii="仿宋" w:hAnsi="仿宋" w:eastAsia="仿宋" w:cs="仿宋"/>
                <w:sz w:val="24"/>
                <w:szCs w:val="24"/>
                <w:highlight w:val="none"/>
                <w:lang w:bidi="ar-SA"/>
              </w:rPr>
            </w:r>
            <w:r/>
          </w:p>
        </w:tc>
      </w:tr>
      <w:tr>
        <w:trPr>
          <w:trHeight w:val="717"/>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spacing w:before="3"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（12）平台、屋顶、天沟保持干净，有杂物及时清扫，每月至少开展1 次清洁作业。</w:t>
            </w:r>
            <w:r>
              <w:rPr>
                <w:rFonts w:ascii="仿宋" w:hAnsi="仿宋" w:eastAsia="仿宋" w:cs="仿宋"/>
                <w:sz w:val="24"/>
                <w:szCs w:val="24"/>
                <w:highlight w:val="none"/>
                <w:lang w:bidi="ar-SA"/>
              </w:rPr>
            </w:r>
            <w:r/>
          </w:p>
        </w:tc>
      </w:tr>
      <w:tr>
        <w:trPr>
          <w:trHeight w:val="742"/>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（13）石材地面、内墙做好养护工作，每季度开展 1 次清洁作业。</w:t>
            </w:r>
            <w:r>
              <w:rPr>
                <w:rFonts w:ascii="仿宋" w:hAnsi="仿宋" w:eastAsia="仿宋" w:cs="仿宋"/>
                <w:sz w:val="24"/>
                <w:szCs w:val="24"/>
                <w:highlight w:val="none"/>
                <w:lang w:bidi="ar-SA"/>
              </w:rPr>
            </w:r>
            <w:r/>
          </w:p>
        </w:tc>
      </w:tr>
      <w:tr>
        <w:trPr>
          <w:trHeight w:val="62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top"/>
            <w:textDirection w:val="lrTb"/>
            <w:noWrap w:val="false"/>
          </w:tcPr>
          <w:p>
            <w:pPr>
              <w:pStyle w:val="1079"/>
              <w:ind w:left="108"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（14）地毯干净、无油渍、无污渍、无褪色，每月至少开展 1 次清洁作业。</w:t>
            </w:r>
            <w:r>
              <w:rPr>
                <w:rFonts w:ascii="仿宋" w:hAnsi="仿宋" w:eastAsia="仿宋" w:cs="仿宋"/>
                <w:sz w:val="24"/>
                <w:szCs w:val="24"/>
                <w:highlight w:val="none"/>
                <w:lang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室外区域保洁</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（1）室外道路、广场、操场、停车场每日清扫 2 次，保持干净无杂物、无积水。</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（2）室外游乐器械每日清洁消毒，无人使用时整理归位。</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（3）垃圾箱每日清洁，垃圾日产日清，保持桶身无污渍、无明显异味。</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（4）雨雪天气及时清理路面积水、积雪，采取防滑措施。</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（5）各种路标、宣传栏等保持干净，每月至少开展 1 次清洁作业。</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垃圾处理</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（1）在指定位置摆放分类垃圾桶，并在显著处张贴垃圾分类标识。分类垃圾桶和垃圾分类标识根据所在城市的要求设置。</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（2）桶身表面干净无污渍，每日开展至少1次清洁作业。</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（3）每个工作日内要对楼层产生的垃圾，进行清理分类，并运至垃圾集中堆放点。</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（4）垃圾装袋，日产日清。</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（5）建立垃圾清运台账，交由规范的渠道回收处理。</w:t>
            </w:r>
            <w:r>
              <w:rPr>
                <w:rFonts w:ascii="仿宋" w:hAnsi="仿宋" w:eastAsia="仿宋" w:cs="仿宋"/>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（6）做好垃圾分类管理的宣传工作，督促并引导全员参与垃圾分类投放。</w:t>
            </w:r>
            <w:r>
              <w:rPr>
                <w:rFonts w:ascii="仿宋" w:hAnsi="仿宋" w:eastAsia="仿宋" w:cs="仿宋"/>
                <w:sz w:val="24"/>
                <w:szCs w:val="24"/>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（7）垃圾分类投放管理工作的执行标准，按所在城市的要求执行。</w:t>
            </w:r>
            <w:r>
              <w:rPr>
                <w:rFonts w:ascii="仿宋" w:hAnsi="仿宋" w:eastAsia="仿宋" w:cs="仿宋"/>
                <w:sz w:val="24"/>
                <w:szCs w:val="24"/>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卫生消毒</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（1）公共区域、卫生间每周开展预防性消毒，消毒后及时通风。</w:t>
            </w:r>
            <w:r>
              <w:rPr>
                <w:rFonts w:ascii="仿宋" w:hAnsi="仿宋" w:eastAsia="仿宋" w:cs="仿宋"/>
                <w:sz w:val="24"/>
                <w:szCs w:val="24"/>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spacing w:line="440" w:lineRule="exact"/>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spacing w:line="440" w:lineRule="exact"/>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（2）每季度开展病媒生物防治，控制蚊虫、鼠蟑孳生，采用物理、生物方式为主，避免使用高毒药剂。</w:t>
            </w:r>
            <w:r>
              <w:rPr>
                <w:rFonts w:ascii="仿宋" w:hAnsi="仿宋" w:eastAsia="仿宋" w:cs="仿宋"/>
                <w:sz w:val="24"/>
                <w:szCs w:val="24"/>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965"/>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dxa"/>
            <w:vAlign w:val="center"/>
            <w:vMerge w:val="continue"/>
            <w:textDirection w:val="lrTb"/>
            <w:noWrap w:val="false"/>
          </w:tcPr>
          <w:p>
            <w:pPr>
              <w:pStyle w:val="965"/>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（3）公共卫生事件期间，按卫健部门要求升级消毒频次与标准。</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3.6幼儿保育辅助服务</w:t>
      </w:r>
      <w:r>
        <w:rPr>
          <w:rFonts w:ascii="仿宋" w:hAnsi="仿宋" w:eastAsia="仿宋" w:cs="仿宋"/>
          <w:sz w:val="28"/>
          <w:szCs w:val="28"/>
          <w:highlight w:val="none"/>
        </w:rPr>
      </w:r>
      <w:r/>
    </w:p>
    <w:tbl>
      <w:tblPr>
        <w:tblW w:w="9092"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880"/>
        <w:gridCol w:w="2012"/>
        <w:gridCol w:w="6200"/>
      </w:tblGrid>
      <w:tr>
        <w:trPr/>
        <w:tc>
          <w:tcPr>
            <w:tcMar>
              <w:left w:w="120" w:type="dxa"/>
              <w:top w:w="60" w:type="dxa"/>
              <w:right w:w="120" w:type="dxa"/>
              <w:bottom w:w="30" w:type="dxa"/>
            </w:tcMar>
            <w:tcW w:w="880"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Mar>
              <w:left w:w="120" w:type="dxa"/>
              <w:top w:w="60" w:type="dxa"/>
              <w:right w:w="120" w:type="dxa"/>
              <w:bottom w:w="30" w:type="dxa"/>
            </w:tcMar>
            <w:tcW w:w="2012"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trHeight w:val="1053"/>
        </w:trPr>
        <w:tc>
          <w:tcPr>
            <w:tcMar>
              <w:left w:w="120" w:type="dxa"/>
              <w:top w:w="60" w:type="dxa"/>
              <w:right w:w="120" w:type="dxa"/>
              <w:bottom w:w="30" w:type="dxa"/>
            </w:tcMar>
            <w:tcW w:w="880"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Mar>
              <w:left w:w="120" w:type="dxa"/>
              <w:top w:w="60" w:type="dxa"/>
              <w:right w:w="120" w:type="dxa"/>
              <w:bottom w:w="30" w:type="dxa"/>
            </w:tcMar>
            <w:tcW w:w="2012"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卫生消毒</w:t>
            </w:r>
            <w:r>
              <w:rPr>
                <w:rFonts w:ascii="仿宋" w:hAnsi="仿宋" w:eastAsia="仿宋" w:cs="仿宋"/>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（1）负责教室内环境卫生与消毒工作，每日幼儿入园前完成全部清洁消毒，与公共保洁区域不重叠。</w:t>
            </w:r>
            <w:r>
              <w:rPr>
                <w:rFonts w:ascii="仿宋" w:hAnsi="仿宋" w:eastAsia="仿宋" w:cs="仿宋"/>
                <w:sz w:val="24"/>
                <w:szCs w:val="24"/>
                <w:highlight w:val="none"/>
              </w:rPr>
            </w:r>
            <w:r/>
          </w:p>
        </w:tc>
      </w:tr>
      <w:tr>
        <w:trPr>
          <w:trHeight w:val="1053"/>
        </w:trPr>
        <w:tc>
          <w:tcPr>
            <w:tcMar>
              <w:left w:w="120" w:type="dxa"/>
              <w:top w:w="60" w:type="dxa"/>
              <w:right w:w="120" w:type="dxa"/>
              <w:bottom w:w="30" w:type="dxa"/>
            </w:tcMar>
            <w:tcW w:w="880" w:type="dxa"/>
            <w:vAlign w:val="center"/>
            <w:vMerge w:val="continue"/>
            <w:textDirection w:val="lrTb"/>
            <w:noWrap w:val="false"/>
          </w:tcPr>
          <w:p>
            <w:pPr>
              <w:pStyle w:val="965"/>
              <w:jc w:val="left"/>
              <w:spacing w:line="440" w:lineRule="exact"/>
              <w:widowControl/>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2012" w:type="dxa"/>
            <w:vAlign w:val="center"/>
            <w:vMerge w:val="continue"/>
            <w:textDirection w:val="lrTb"/>
            <w:noWrap w:val="false"/>
          </w:tcPr>
          <w:p>
            <w:pPr>
              <w:pStyle w:val="965"/>
              <w:jc w:val="left"/>
              <w:spacing w:line="440" w:lineRule="exact"/>
              <w:widowControl/>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（2）严格执行卫生消毒规范，掌握消毒液配比，按要求对教具、餐具、毛巾、玩具等清洁消毒，防止二次污染。</w:t>
            </w:r>
            <w:r>
              <w:rPr>
                <w:rFonts w:ascii="仿宋" w:hAnsi="仿宋" w:eastAsia="仿宋" w:cs="仿宋"/>
                <w:sz w:val="24"/>
                <w:szCs w:val="24"/>
                <w:highlight w:val="none"/>
              </w:rPr>
            </w:r>
            <w:r/>
          </w:p>
        </w:tc>
      </w:tr>
      <w:tr>
        <w:trPr>
          <w:trHeight w:val="1053"/>
        </w:trPr>
        <w:tc>
          <w:tcPr>
            <w:tcMar>
              <w:left w:w="120" w:type="dxa"/>
              <w:top w:w="60" w:type="dxa"/>
              <w:right w:w="120" w:type="dxa"/>
              <w:bottom w:w="30" w:type="dxa"/>
            </w:tcMar>
            <w:tcW w:w="880" w:type="dxa"/>
            <w:vAlign w:val="center"/>
            <w:vMerge w:val="continue"/>
            <w:textDirection w:val="lrTb"/>
            <w:noWrap w:val="false"/>
          </w:tcPr>
          <w:p>
            <w:pPr>
              <w:pStyle w:val="965"/>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Mar>
              <w:left w:w="120" w:type="dxa"/>
              <w:top w:w="60" w:type="dxa"/>
              <w:right w:w="120" w:type="dxa"/>
              <w:bottom w:w="30" w:type="dxa"/>
            </w:tcMar>
            <w:tcW w:w="2012" w:type="dxa"/>
            <w:vAlign w:val="center"/>
            <w:vMerge w:val="continue"/>
            <w:textDirection w:val="lrTb"/>
            <w:noWrap w:val="false"/>
          </w:tcPr>
          <w:p>
            <w:pPr>
              <w:pStyle w:val="965"/>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（3）保障教室饮水供应，温水桶持续有适宜温度的饮用水。</w:t>
            </w:r>
            <w:r>
              <w:rPr>
                <w:rFonts w:ascii="仿宋" w:hAnsi="仿宋" w:eastAsia="仿宋" w:cs="仿宋"/>
                <w:sz w:val="24"/>
                <w:szCs w:val="24"/>
                <w:highlight w:val="none"/>
              </w:rPr>
            </w:r>
            <w:r/>
          </w:p>
        </w:tc>
      </w:tr>
      <w:tr>
        <w:trPr>
          <w:trHeight w:val="1053"/>
        </w:trPr>
        <w:tc>
          <w:tcPr>
            <w:tcMar>
              <w:left w:w="120" w:type="dxa"/>
              <w:top w:w="60" w:type="dxa"/>
              <w:right w:w="120" w:type="dxa"/>
              <w:bottom w:w="30" w:type="dxa"/>
            </w:tcMar>
            <w:tcW w:w="880"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Mar>
              <w:left w:w="120" w:type="dxa"/>
              <w:top w:w="60" w:type="dxa"/>
              <w:right w:w="120" w:type="dxa"/>
              <w:bottom w:w="30" w:type="dxa"/>
            </w:tcMar>
            <w:tcW w:w="2012"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保育协助</w:t>
            </w:r>
            <w:r>
              <w:rPr>
                <w:rFonts w:ascii="仿宋" w:hAnsi="仿宋" w:eastAsia="仿宋" w:cs="仿宋"/>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（1）配合班级教师开展保育工作，协助幼儿饮食、如厕、睡眠、穿衣、户外活动等护理，对体弱儿童重点照护。</w:t>
            </w:r>
            <w:r>
              <w:rPr>
                <w:rFonts w:ascii="仿宋" w:hAnsi="仿宋" w:eastAsia="仿宋" w:cs="仿宋"/>
                <w:sz w:val="24"/>
                <w:szCs w:val="24"/>
                <w:highlight w:val="none"/>
              </w:rPr>
            </w:r>
            <w:r/>
          </w:p>
        </w:tc>
      </w:tr>
      <w:tr>
        <w:trPr>
          <w:trHeight w:val="1053"/>
        </w:trPr>
        <w:tc>
          <w:tcPr>
            <w:tcMar>
              <w:left w:w="120" w:type="dxa"/>
              <w:top w:w="60" w:type="dxa"/>
              <w:right w:w="120" w:type="dxa"/>
              <w:bottom w:w="30" w:type="dxa"/>
            </w:tcMar>
            <w:tcW w:w="880" w:type="dxa"/>
            <w:vAlign w:val="center"/>
            <w:vMerge w:val="continue"/>
            <w:textDirection w:val="lrTb"/>
            <w:noWrap w:val="false"/>
          </w:tcPr>
          <w:p>
            <w:pPr>
              <w:pStyle w:val="965"/>
              <w:jc w:val="left"/>
              <w:spacing w:line="440" w:lineRule="exact"/>
              <w:widowControl/>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2012" w:type="dxa"/>
            <w:vAlign w:val="center"/>
            <w:vMerge w:val="continue"/>
            <w:textDirection w:val="lrTb"/>
            <w:noWrap w:val="false"/>
          </w:tcPr>
          <w:p>
            <w:pPr>
              <w:pStyle w:val="965"/>
              <w:jc w:val="left"/>
              <w:spacing w:line="440" w:lineRule="exact"/>
              <w:widowControl/>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（2）协助做好餐前准备、盛饭添汤、餐后整理等工作。</w:t>
            </w:r>
            <w:r>
              <w:rPr>
                <w:rFonts w:ascii="仿宋" w:hAnsi="仿宋" w:eastAsia="仿宋" w:cs="仿宋"/>
                <w:sz w:val="24"/>
                <w:szCs w:val="24"/>
                <w:highlight w:val="none"/>
              </w:rPr>
            </w:r>
            <w:r/>
          </w:p>
        </w:tc>
      </w:tr>
      <w:tr>
        <w:trPr>
          <w:trHeight w:val="1053"/>
        </w:trPr>
        <w:tc>
          <w:tcPr>
            <w:tcMar>
              <w:left w:w="120" w:type="dxa"/>
              <w:top w:w="60" w:type="dxa"/>
              <w:right w:w="120" w:type="dxa"/>
              <w:bottom w:w="30" w:type="dxa"/>
            </w:tcMar>
            <w:tcW w:w="880" w:type="dxa"/>
            <w:vAlign w:val="center"/>
            <w:vMerge w:val="continue"/>
            <w:textDirection w:val="lrTb"/>
            <w:noWrap w:val="false"/>
          </w:tcPr>
          <w:p>
            <w:pPr>
              <w:pStyle w:val="965"/>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Mar>
              <w:left w:w="120" w:type="dxa"/>
              <w:top w:w="60" w:type="dxa"/>
              <w:right w:w="120" w:type="dxa"/>
              <w:bottom w:w="30" w:type="dxa"/>
            </w:tcMar>
            <w:tcW w:w="2012" w:type="dxa"/>
            <w:vAlign w:val="center"/>
            <w:vMerge w:val="continue"/>
            <w:textDirection w:val="lrTb"/>
            <w:noWrap w:val="false"/>
          </w:tcPr>
          <w:p>
            <w:pPr>
              <w:pStyle w:val="965"/>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（3）妥善保管班级物品，及时排查教室内安全隐患，避免儿童受伤。</w:t>
            </w:r>
            <w:r>
              <w:rPr>
                <w:rFonts w:ascii="仿宋" w:hAnsi="仿宋" w:eastAsia="仿宋" w:cs="仿宋"/>
                <w:sz w:val="24"/>
                <w:szCs w:val="24"/>
                <w:highlight w:val="none"/>
              </w:rPr>
            </w:r>
            <w:r/>
          </w:p>
        </w:tc>
      </w:tr>
      <w:tr>
        <w:trPr>
          <w:trHeight w:val="616"/>
        </w:trPr>
        <w:tc>
          <w:tcPr>
            <w:tcMar>
              <w:left w:w="120" w:type="dxa"/>
              <w:top w:w="60" w:type="dxa"/>
              <w:right w:w="120" w:type="dxa"/>
              <w:bottom w:w="30" w:type="dxa"/>
            </w:tcMar>
            <w:tcW w:w="880"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Mar>
              <w:left w:w="120" w:type="dxa"/>
              <w:top w:w="60" w:type="dxa"/>
              <w:right w:w="120" w:type="dxa"/>
              <w:bottom w:w="30" w:type="dxa"/>
            </w:tcMar>
            <w:tcW w:w="2012"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工作规范</w:t>
            </w:r>
            <w:r>
              <w:rPr>
                <w:rFonts w:ascii="仿宋" w:hAnsi="仿宋" w:eastAsia="仿宋" w:cs="仿宋"/>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（1）全员着装统一，不留长指甲，不披头散发，对幼儿态度和蔼、动作轻柔，严禁食用幼儿餐食、私用幼儿物品。</w:t>
            </w:r>
            <w:r>
              <w:rPr>
                <w:rFonts w:ascii="仿宋" w:hAnsi="仿宋" w:eastAsia="仿宋" w:cs="仿宋"/>
                <w:sz w:val="24"/>
                <w:szCs w:val="24"/>
                <w:highlight w:val="none"/>
              </w:rPr>
            </w:r>
            <w:r/>
          </w:p>
        </w:tc>
      </w:tr>
      <w:tr>
        <w:trPr>
          <w:trHeight w:val="616"/>
        </w:trPr>
        <w:tc>
          <w:tcPr>
            <w:tcMar>
              <w:left w:w="120" w:type="dxa"/>
              <w:top w:w="60" w:type="dxa"/>
              <w:right w:w="120" w:type="dxa"/>
              <w:bottom w:w="30" w:type="dxa"/>
            </w:tcMar>
            <w:tcW w:w="880" w:type="dxa"/>
            <w:vAlign w:val="center"/>
            <w:vMerge w:val="continue"/>
            <w:textDirection w:val="lrTb"/>
            <w:noWrap w:val="false"/>
          </w:tcPr>
          <w:p>
            <w:pPr>
              <w:pStyle w:val="965"/>
              <w:jc w:val="left"/>
              <w:spacing w:line="440" w:lineRule="exact"/>
              <w:widowControl/>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2012" w:type="dxa"/>
            <w:vAlign w:val="center"/>
            <w:vMerge w:val="continue"/>
            <w:textDirection w:val="lrTb"/>
            <w:noWrap w:val="false"/>
          </w:tcPr>
          <w:p>
            <w:pPr>
              <w:pStyle w:val="965"/>
              <w:jc w:val="left"/>
              <w:spacing w:line="440" w:lineRule="exact"/>
              <w:widowControl/>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（2）遵守教学作息制度，服从班级教师管理，配合完成卫健、教育部门要求的儿保、防疫相关工作。</w:t>
            </w:r>
            <w:r>
              <w:rPr>
                <w:rFonts w:ascii="仿宋" w:hAnsi="仿宋" w:eastAsia="仿宋" w:cs="仿宋"/>
                <w:sz w:val="24"/>
                <w:szCs w:val="24"/>
                <w:highlight w:val="none"/>
              </w:rPr>
            </w:r>
            <w:r/>
          </w:p>
        </w:tc>
      </w:tr>
      <w:tr>
        <w:trPr>
          <w:trHeight w:val="616"/>
        </w:trPr>
        <w:tc>
          <w:tcPr>
            <w:tcMar>
              <w:left w:w="120" w:type="dxa"/>
              <w:top w:w="60" w:type="dxa"/>
              <w:right w:w="120" w:type="dxa"/>
              <w:bottom w:w="30" w:type="dxa"/>
            </w:tcMar>
            <w:tcW w:w="880" w:type="dxa"/>
            <w:vAlign w:val="center"/>
            <w:vMerge w:val="continue"/>
            <w:textDirection w:val="lrTb"/>
            <w:noWrap w:val="false"/>
          </w:tcPr>
          <w:p>
            <w:pPr>
              <w:pStyle w:val="965"/>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Mar>
              <w:left w:w="120" w:type="dxa"/>
              <w:top w:w="60" w:type="dxa"/>
              <w:right w:w="120" w:type="dxa"/>
              <w:bottom w:w="30" w:type="dxa"/>
            </w:tcMar>
            <w:tcW w:w="2012" w:type="dxa"/>
            <w:vAlign w:val="center"/>
            <w:vMerge w:val="continue"/>
            <w:textDirection w:val="lrTb"/>
            <w:noWrap w:val="false"/>
          </w:tcPr>
          <w:p>
            <w:pPr>
              <w:pStyle w:val="965"/>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Mar>
              <w:left w:w="120" w:type="dxa"/>
              <w:top w:w="60" w:type="dxa"/>
              <w:right w:w="120" w:type="dxa"/>
              <w:bottom w:w="30" w:type="dxa"/>
            </w:tcMar>
            <w:tcW w:w="6200" w:type="dxa"/>
            <w:vAlign w:val="center"/>
            <w:textDirection w:val="lrTb"/>
            <w:noWrap w:val="false"/>
          </w:tcPr>
          <w:p>
            <w:pPr>
              <w:pStyle w:val="965"/>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（3）礼貌回应家长询问，不随意透露幼儿与教学相关信息。</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3.7绿化服务</w:t>
      </w:r>
      <w:r>
        <w:rPr>
          <w:rFonts w:ascii="仿宋" w:hAnsi="仿宋" w:eastAsia="仿宋" w:cs="仿宋"/>
          <w:sz w:val="28"/>
          <w:szCs w:val="28"/>
          <w:highlight w:val="none"/>
        </w:rPr>
      </w:r>
      <w:r/>
    </w:p>
    <w:tbl>
      <w:tblPr>
        <w:tblW w:w="49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18"/>
        <w:gridCol w:w="6443"/>
      </w:tblGrid>
      <w:tr>
        <w:trPr>
          <w:cantSplit/>
          <w:trHeight w:val="543"/>
          <w:tblHeader/>
        </w:trPr>
        <w:tc>
          <w:tcPr>
            <w:tcW w:w="743"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W w:w="1709"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W w:w="6055"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cantSplit/>
          <w:trHeight w:val="567"/>
        </w:trPr>
        <w:tc>
          <w:tcPr>
            <w:tcW w:w="743"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W w:w="170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日常养护</w:t>
            </w: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（1）按 “见干见湿” 原则做好绿植浇水，每日清理枯叶、杂草，保持绿植整洁；</w:t>
            </w:r>
            <w:r>
              <w:rPr>
                <w:rFonts w:ascii="仿宋" w:hAnsi="仿宋" w:eastAsia="仿宋" w:cs="仿宋"/>
                <w:sz w:val="24"/>
                <w:szCs w:val="24"/>
                <w:highlight w:val="none"/>
              </w:rPr>
            </w:r>
            <w:r/>
          </w:p>
        </w:tc>
      </w:tr>
      <w:tr>
        <w:trPr>
          <w:cantSplit/>
          <w:trHeight w:val="567"/>
        </w:trPr>
        <w:tc>
          <w:tcPr>
            <w:tcW w:w="743"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0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（2）每周施加有机肥 1 次，每月开展修剪作业，保持植株造型美观；</w:t>
            </w:r>
            <w:r>
              <w:rPr>
                <w:rFonts w:ascii="仿宋" w:hAnsi="仿宋" w:eastAsia="仿宋" w:cs="仿宋"/>
                <w:sz w:val="24"/>
                <w:szCs w:val="24"/>
                <w:highlight w:val="none"/>
              </w:rPr>
            </w:r>
            <w:r/>
          </w:p>
        </w:tc>
      </w:tr>
      <w:tr>
        <w:trPr>
          <w:cantSplit/>
          <w:trHeight w:val="567"/>
        </w:trPr>
        <w:tc>
          <w:tcPr>
            <w:tcW w:w="743"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0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（3）采用物理、生物方式防治病虫害，严禁使用高毒、高残留农药，保障儿童安全。</w:t>
            </w:r>
            <w:r>
              <w:rPr>
                <w:rFonts w:ascii="仿宋" w:hAnsi="仿宋" w:eastAsia="仿宋" w:cs="仿宋"/>
                <w:sz w:val="24"/>
                <w:szCs w:val="24"/>
                <w:highlight w:val="none"/>
              </w:rPr>
            </w:r>
            <w:r/>
          </w:p>
        </w:tc>
      </w:tr>
      <w:tr>
        <w:trPr>
          <w:cantSplit/>
          <w:trHeight w:val="567"/>
        </w:trPr>
        <w:tc>
          <w:tcPr>
            <w:tcW w:w="743"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W w:w="170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安全管理</w:t>
            </w: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（1）常态化排查绿植安全隐患，确保绿植不遮挡监控、消防通道；</w:t>
            </w:r>
            <w:r>
              <w:rPr>
                <w:rFonts w:ascii="仿宋" w:hAnsi="仿宋" w:eastAsia="仿宋" w:cs="仿宋"/>
                <w:sz w:val="24"/>
                <w:szCs w:val="24"/>
                <w:highlight w:val="none"/>
              </w:rPr>
            </w:r>
            <w:r/>
          </w:p>
        </w:tc>
      </w:tr>
      <w:tr>
        <w:trPr>
          <w:cantSplit/>
          <w:trHeight w:val="567"/>
        </w:trPr>
        <w:tc>
          <w:tcPr>
            <w:tcW w:w="743"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0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（2）绿植全部选用无刺、无毒、无飞絮、低过敏品种；室内绿植摆放高度不低于 80cm，远离儿童通道与电源；室外绿植高度控制在 1.2m 以内；</w:t>
            </w:r>
            <w:r>
              <w:rPr>
                <w:rFonts w:ascii="仿宋" w:hAnsi="仿宋" w:eastAsia="仿宋" w:cs="仿宋"/>
                <w:sz w:val="24"/>
                <w:szCs w:val="24"/>
                <w:highlight w:val="none"/>
              </w:rPr>
            </w:r>
            <w:r/>
          </w:p>
        </w:tc>
      </w:tr>
      <w:tr>
        <w:trPr>
          <w:cantSplit/>
          <w:trHeight w:val="567"/>
        </w:trPr>
        <w:tc>
          <w:tcPr>
            <w:tcW w:w="743"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0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（3）绿植成活率≥95%，无大面积枯黄、无明显病虫害。</w:t>
            </w:r>
            <w:r>
              <w:rPr>
                <w:rFonts w:ascii="仿宋" w:hAnsi="仿宋" w:eastAsia="仿宋" w:cs="仿宋"/>
                <w:sz w:val="24"/>
                <w:szCs w:val="24"/>
                <w:highlight w:val="none"/>
              </w:rPr>
            </w:r>
            <w:r/>
          </w:p>
        </w:tc>
      </w:tr>
      <w:tr>
        <w:trPr>
          <w:cantSplit/>
          <w:trHeight w:val="567"/>
        </w:trPr>
        <w:tc>
          <w:tcPr>
            <w:tcW w:w="743"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0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（4）绿篱生长造型正常，颜色正常，修剪及时，基本无死株和干死株，有虫株率在1%以下。</w:t>
            </w:r>
            <w:r>
              <w:rPr>
                <w:rFonts w:ascii="仿宋" w:hAnsi="仿宋" w:eastAsia="仿宋" w:cs="仿宋"/>
                <w:sz w:val="24"/>
                <w:szCs w:val="24"/>
                <w:highlight w:val="none"/>
              </w:rPr>
            </w:r>
            <w:r/>
          </w:p>
        </w:tc>
      </w:tr>
      <w:tr>
        <w:trPr>
          <w:cantSplit/>
          <w:trHeight w:val="567"/>
        </w:trPr>
        <w:tc>
          <w:tcPr>
            <w:tcW w:w="743"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W w:w="1709"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季节养护</w:t>
            </w: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（1）冬季做好绿植防冻，夏季高温干旱时及时浇水，植物无枯萎现象；遇日最高气温在30°C以上时，浇水必须在9时前和18时后进行。冬季浇水选在中午进行，浇水要一次浇透，不能半干半湿，尤其是春夏季节。</w:t>
            </w:r>
            <w:r>
              <w:rPr>
                <w:rFonts w:ascii="仿宋" w:hAnsi="仿宋" w:eastAsia="仿宋" w:cs="仿宋"/>
                <w:sz w:val="24"/>
                <w:szCs w:val="24"/>
                <w:highlight w:val="none"/>
              </w:rPr>
            </w:r>
            <w:r/>
          </w:p>
        </w:tc>
      </w:tr>
      <w:tr>
        <w:trPr>
          <w:cantSplit/>
          <w:trHeight w:val="567"/>
        </w:trPr>
        <w:tc>
          <w:tcPr>
            <w:tcW w:w="743"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709"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6055"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（2）寒暑假开展深度养护，包括全面修剪、补栽、病虫害消杀等，优化绿化布局。</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8"/>
        <w:spacing w:before="0" w:after="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3.8安保服务</w:t>
      </w:r>
      <w:r>
        <w:rPr>
          <w:rFonts w:ascii="仿宋" w:hAnsi="仿宋" w:eastAsia="仿宋" w:cs="仿宋"/>
          <w:sz w:val="28"/>
          <w:szCs w:val="28"/>
          <w:highlight w:val="none"/>
        </w:rPr>
      </w:r>
      <w:r/>
    </w:p>
    <w:tbl>
      <w:tblPr>
        <w:tblW w:w="49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759"/>
        <w:gridCol w:w="6507"/>
      </w:tblGrid>
      <w:tr>
        <w:trPr>
          <w:trHeight w:val="567"/>
          <w:tblHeader/>
        </w:trPr>
        <w:tc>
          <w:tcPr>
            <w:tcW w:w="937"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W w:w="1924"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W w:w="7187"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trHeight w:val="567"/>
        </w:trPr>
        <w:tc>
          <w:tcPr>
            <w:tcW w:w="937" w:type="dxa"/>
            <w:vAlign w:val="top"/>
            <w:vMerge w:val="restart"/>
            <w:textDirection w:val="lrTb"/>
            <w:noWrap w:val="false"/>
          </w:tcPr>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before="6" w:line="440" w:lineRule="exact"/>
              <w:rPr>
                <w:rFonts w:ascii="黑体"/>
                <w:sz w:val="19"/>
                <w:highlight w:val="none"/>
              </w:rPr>
            </w:pPr>
            <w:r>
              <w:rPr>
                <w:rFonts w:ascii="黑体"/>
                <w:sz w:val="19"/>
                <w:highlight w:val="none"/>
              </w:rPr>
            </w:r>
            <w:r/>
          </w:p>
          <w:p>
            <w:pPr>
              <w:pStyle w:val="1079"/>
              <w:ind w:left="8"/>
              <w:jc w:val="center"/>
              <w:spacing w:before="1" w:line="440" w:lineRule="exact"/>
              <w:rPr>
                <w:sz w:val="24"/>
                <w:highlight w:val="none"/>
              </w:rPr>
            </w:pPr>
            <w:r>
              <w:rPr>
                <w:sz w:val="24"/>
                <w:highlight w:val="none"/>
              </w:rPr>
              <w:t xml:space="preserve">1</w:t>
            </w:r>
            <w:r>
              <w:rPr>
                <w:sz w:val="24"/>
                <w:highlight w:val="none"/>
              </w:rPr>
            </w:r>
            <w:r/>
          </w:p>
        </w:tc>
        <w:tc>
          <w:tcPr>
            <w:tcW w:w="1924" w:type="dxa"/>
            <w:vAlign w:val="top"/>
            <w:vMerge w:val="restart"/>
            <w:textDirection w:val="lrTb"/>
            <w:noWrap w:val="false"/>
          </w:tcPr>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before="6" w:line="440" w:lineRule="exact"/>
              <w:rPr>
                <w:rFonts w:ascii="黑体"/>
                <w:sz w:val="19"/>
                <w:highlight w:val="none"/>
              </w:rPr>
            </w:pPr>
            <w:r>
              <w:rPr>
                <w:rFonts w:ascii="黑体"/>
                <w:sz w:val="19"/>
                <w:highlight w:val="none"/>
              </w:rPr>
            </w:r>
            <w:r/>
          </w:p>
          <w:p>
            <w:pPr>
              <w:pStyle w:val="965"/>
              <w:jc w:val="center"/>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基本要求</w:t>
            </w:r>
            <w:r>
              <w:rPr>
                <w:rFonts w:hint="eastAsia" w:ascii="仿宋" w:hAnsi="仿宋" w:eastAsia="仿宋" w:cs="仿宋"/>
                <w:sz w:val="24"/>
                <w:szCs w:val="24"/>
                <w:highlight w:val="none"/>
              </w:rPr>
            </w:r>
            <w:r/>
          </w:p>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74"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（1）建立严格管理制度，控制闲杂人员进入园区。</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73"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（2）值班岗位有值班记录随时查阅。</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7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（3）遇突发事件按紧急预案处置。</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（4）做好监控录像保密和保存工作，查看监控录像须征得相关部门领导同意后方可进行查看。</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（5）秩序维护服务范围</w:t>
            </w:r>
            <w:r>
              <w:rPr>
                <w:rFonts w:ascii="仿宋" w:hAnsi="仿宋" w:eastAsia="仿宋" w:cs="仿宋"/>
                <w:sz w:val="24"/>
                <w:szCs w:val="24"/>
                <w:highlight w:val="none"/>
                <w:lang w:val="en-US" w:bidi="ar-SA"/>
              </w:rPr>
            </w:r>
            <w:r/>
          </w:p>
          <w:p>
            <w:pPr>
              <w:pStyle w:val="1079"/>
              <w:ind w:left="108"/>
              <w:spacing w:before="4"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①大门进出口的治安、交通秩序管理服务；</w:t>
            </w:r>
            <w:r>
              <w:rPr>
                <w:rFonts w:ascii="仿宋" w:hAnsi="仿宋" w:eastAsia="仿宋" w:cs="仿宋"/>
                <w:sz w:val="24"/>
                <w:szCs w:val="24"/>
                <w:highlight w:val="none"/>
                <w:lang w:val="en-US" w:bidi="ar-SA"/>
              </w:rPr>
            </w:r>
            <w:r/>
          </w:p>
          <w:p>
            <w:pPr>
              <w:pStyle w:val="1079"/>
              <w:ind w:left="108"/>
              <w:spacing w:before="5"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②夜间巡逻，治安；</w:t>
            </w:r>
            <w:r>
              <w:rPr>
                <w:rFonts w:ascii="仿宋" w:hAnsi="仿宋" w:eastAsia="仿宋" w:cs="仿宋"/>
                <w:sz w:val="24"/>
                <w:szCs w:val="24"/>
                <w:highlight w:val="none"/>
                <w:lang w:val="en-US" w:bidi="ar-SA"/>
              </w:rPr>
            </w:r>
            <w:r/>
          </w:p>
          <w:p>
            <w:pPr>
              <w:pStyle w:val="1079"/>
              <w:ind w:left="108"/>
              <w:spacing w:before="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③停车场车辆停放管理；</w:t>
            </w:r>
            <w:r>
              <w:rPr>
                <w:rFonts w:ascii="仿宋" w:hAnsi="仿宋" w:eastAsia="仿宋" w:cs="仿宋"/>
                <w:sz w:val="24"/>
                <w:szCs w:val="24"/>
                <w:highlight w:val="none"/>
                <w:lang w:val="en-US" w:bidi="ar-SA"/>
              </w:rPr>
            </w:r>
            <w:r/>
          </w:p>
        </w:tc>
      </w:tr>
      <w:tr>
        <w:trPr>
          <w:trHeight w:val="567"/>
        </w:trPr>
        <w:tc>
          <w:tcPr>
            <w:tcW w:w="937" w:type="dxa"/>
            <w:vAlign w:val="top"/>
            <w:vMerge w:val="restart"/>
            <w:textDirection w:val="lrTb"/>
            <w:noWrap w:val="false"/>
          </w:tcPr>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line="440" w:lineRule="exact"/>
              <w:rPr>
                <w:rFonts w:ascii="黑体"/>
                <w:sz w:val="24"/>
                <w:highlight w:val="none"/>
              </w:rPr>
            </w:pPr>
            <w:r>
              <w:rPr>
                <w:rFonts w:ascii="黑体"/>
                <w:sz w:val="24"/>
                <w:highlight w:val="none"/>
              </w:rPr>
            </w:r>
            <w:r/>
          </w:p>
          <w:p>
            <w:pPr>
              <w:pStyle w:val="1079"/>
              <w:spacing w:before="9" w:line="440" w:lineRule="exact"/>
              <w:rPr>
                <w:rFonts w:ascii="黑体"/>
                <w:sz w:val="20"/>
                <w:highlight w:val="none"/>
              </w:rPr>
            </w:pPr>
            <w:r>
              <w:rPr>
                <w:rFonts w:ascii="黑体"/>
                <w:sz w:val="20"/>
                <w:highlight w:val="none"/>
              </w:rPr>
            </w:r>
            <w:r/>
          </w:p>
          <w:p>
            <w:pPr>
              <w:pStyle w:val="1079"/>
              <w:ind w:left="8"/>
              <w:jc w:val="center"/>
              <w:spacing w:line="440" w:lineRule="exact"/>
              <w:rPr>
                <w:sz w:val="24"/>
                <w:highlight w:val="none"/>
              </w:rPr>
            </w:pPr>
            <w:r>
              <w:rPr>
                <w:sz w:val="24"/>
                <w:highlight w:val="none"/>
              </w:rPr>
              <w:t xml:space="preserve">2</w:t>
            </w:r>
            <w:r>
              <w:rPr>
                <w:sz w:val="24"/>
                <w:highlight w:val="none"/>
              </w:rPr>
            </w:r>
            <w:r/>
          </w:p>
        </w:tc>
        <w:tc>
          <w:tcPr>
            <w:tcW w:w="1924" w:type="dxa"/>
            <w:vAlign w:val="top"/>
            <w:vMerge w:val="restart"/>
            <w:textDirection w:val="lrTb"/>
            <w:noWrap w:val="false"/>
          </w:tcPr>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line="440" w:lineRule="exact"/>
              <w:rPr>
                <w:rFonts w:ascii="黑体"/>
                <w:sz w:val="24"/>
                <w:highlight w:val="none"/>
              </w:rPr>
            </w:pPr>
            <w:r>
              <w:rPr>
                <w:rFonts w:ascii="黑体"/>
                <w:sz w:val="24"/>
                <w:highlight w:val="none"/>
              </w:rPr>
            </w:r>
            <w:r/>
          </w:p>
          <w:p>
            <w:pPr>
              <w:pStyle w:val="1079"/>
              <w:jc w:val="center"/>
              <w:spacing w:before="9" w:line="440" w:lineRule="exact"/>
              <w:rPr>
                <w:rFonts w:ascii="黑体"/>
                <w:sz w:val="20"/>
                <w:highlight w:val="none"/>
              </w:rPr>
            </w:pPr>
            <w:r>
              <w:rPr>
                <w:rFonts w:ascii="黑体"/>
                <w:sz w:val="20"/>
                <w:highlight w:val="none"/>
              </w:rPr>
            </w:r>
            <w:r/>
          </w:p>
          <w:p>
            <w:pPr>
              <w:pStyle w:val="965"/>
              <w:jc w:val="center"/>
              <w:spacing w:line="440" w:lineRule="exact"/>
              <w:widowControl/>
              <w:rPr>
                <w:sz w:val="24"/>
                <w:highlight w:val="none"/>
              </w:rPr>
            </w:pPr>
            <w:r>
              <w:rPr>
                <w:rFonts w:hint="eastAsia" w:ascii="仿宋" w:hAnsi="仿宋" w:eastAsia="仿宋" w:cs="仿宋"/>
                <w:sz w:val="24"/>
                <w:szCs w:val="24"/>
                <w:highlight w:val="none"/>
              </w:rPr>
              <w:t xml:space="preserve">人员要求</w:t>
            </w:r>
            <w:r>
              <w:rPr>
                <w:sz w:val="24"/>
                <w:highlight w:val="none"/>
              </w:rPr>
            </w:r>
            <w:r/>
          </w:p>
        </w:tc>
        <w:tc>
          <w:tcPr>
            <w:tcW w:w="7187" w:type="dxa"/>
            <w:vAlign w:val="top"/>
            <w:textDirection w:val="lrTb"/>
            <w:noWrap w:val="false"/>
          </w:tcPr>
          <w:p>
            <w:pPr>
              <w:pStyle w:val="1079"/>
              <w:ind w:left="108" w:right="97"/>
              <w:spacing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（1）人员配备：安全保卫人员以中青年为主，初中及以上学历，</w:t>
            </w:r>
            <w:r>
              <w:rPr>
                <w:rFonts w:hint="eastAsia" w:ascii="仿宋" w:hAnsi="仿宋" w:eastAsia="仿宋" w:cs="仿宋"/>
                <w:bCs/>
                <w:sz w:val="24"/>
                <w:szCs w:val="24"/>
                <w:highlight w:val="none"/>
              </w:rPr>
              <w:t xml:space="preserve">年龄不超过</w:t>
            </w:r>
            <w:r>
              <w:rPr>
                <w:rFonts w:hint="eastAsia" w:ascii="仿宋" w:hAnsi="仿宋" w:eastAsia="仿宋" w:cs="仿宋"/>
                <w:bCs/>
                <w:sz w:val="24"/>
                <w:szCs w:val="24"/>
                <w:highlight w:val="none"/>
                <w:lang w:val="en-US"/>
              </w:rPr>
              <w:t xml:space="preserve">50周岁（《江苏省中小学幼儿园治安保卫工作规定(三)》 专职保安人员应从保安服务公司聘用或由单位自行招用，具备相应的政治、业务、身体素质，年龄不高于50周岁，经有关法律和业务知识、技能培训，考核合格取得保安员证后方能上岗。）</w:t>
            </w:r>
            <w:r>
              <w:rPr>
                <w:rFonts w:hint="eastAsia" w:ascii="仿宋" w:hAnsi="仿宋" w:eastAsia="仿宋" w:cs="仿宋"/>
                <w:sz w:val="24"/>
                <w:szCs w:val="24"/>
                <w:highlight w:val="none"/>
                <w:lang w:val="en-US" w:bidi="ar-SA"/>
              </w:rPr>
              <w:t xml:space="preserve">无前科，工作认真负责，有执业上岗证（保安员证），并定期接受培训。</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（2）技能训练：安全保卫人员接受过安全技能训练（专项培训、岗中持续培训）的比例为 100%。</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2"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（3）技能水平：能正确使用各类物防、技防器械和设备，熟悉服务区环境，熟知治安管理有关法律法规。熟悉各类刑事、治安案件和各类灾害事故的应急预案。</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1"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（4）服装仪容：上岗时统一着装、佩戴统一标志，装备佩戴规范，仪容仪表规范整齐，上岗时精神饱满，姿态良好，动作规范。</w:t>
            </w:r>
            <w:r>
              <w:rPr>
                <w:rFonts w:ascii="仿宋" w:hAnsi="仿宋" w:eastAsia="仿宋" w:cs="仿宋"/>
                <w:sz w:val="24"/>
                <w:szCs w:val="24"/>
                <w:highlight w:val="none"/>
                <w:lang w:val="en-US"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left="108"/>
              <w:spacing w:before="71"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（5）器械配备：配备对讲装置或其他必备的安全护卫器械。</w:t>
            </w:r>
            <w:r>
              <w:rPr>
                <w:rFonts w:ascii="仿宋" w:hAnsi="仿宋" w:eastAsia="仿宋" w:cs="仿宋"/>
                <w:sz w:val="24"/>
                <w:szCs w:val="24"/>
                <w:highlight w:val="none"/>
                <w:lang w:val="en-US" w:bidi="ar-SA"/>
              </w:rPr>
            </w:r>
            <w:r/>
          </w:p>
        </w:tc>
      </w:tr>
      <w:tr>
        <w:trPr>
          <w:trHeight w:val="567"/>
        </w:trPr>
        <w:tc>
          <w:tcPr>
            <w:tcW w:w="9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W w:w="1924"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出入管理</w:t>
            </w: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（1）主出入口应当实行 24小时值班制，对外来人员、物资出入实施严格的登记、验证制度，有严格的交接班制度和交接班记录。</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（2）设置门岗。上学、放学高峰期（每日 8:10-8:30、16:20-16:30）保证不少于 2 名安保人员在岗，加强警戒，维护出入口秩序。</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（3）在出入口对外来人员及其携带大件物品、外来车辆进行询问和记录，并与相关部门取得联系，同意后方可进入。</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（4）大件物品搬出有相关部门开具的证明和清单，经核实后放行。</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（5）排查可疑人员，对于不出示证件、不按规定登记、不听劝阻而强行闯入者，及时劝离，必要时通知公安机关进行处理。</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965"/>
              <w:jc w:val="left"/>
              <w:spacing w:line="440" w:lineRule="exact"/>
              <w:widowControl/>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（6）配合相关部门积极疏导上访人员，有效疏导如出入口人群集聚、车辆拥堵、货物堵塞道路等情况。</w:t>
            </w:r>
            <w:r>
              <w:rPr>
                <w:rFonts w:ascii="仿宋" w:hAnsi="仿宋" w:eastAsia="仿宋" w:cs="仿宋"/>
                <w:sz w:val="24"/>
                <w:szCs w:val="24"/>
                <w:highlight w:val="none"/>
                <w:lang w:val="zh-CN"/>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965"/>
              <w:jc w:val="left"/>
              <w:spacing w:line="440" w:lineRule="exact"/>
              <w:widowControl/>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7）根据甲方要求对物品进出实行检查、登记、电话确认等分类管理措施。严防违禁品（包括毒品、军火弹药、管制刀具、易燃易爆品等）、限带品（包括动物、任何未经授权的专业摄影设备、无人机等）进入。</w:t>
            </w:r>
            <w:r>
              <w:rPr>
                <w:rFonts w:ascii="仿宋" w:hAnsi="仿宋" w:eastAsia="仿宋" w:cs="仿宋"/>
                <w:sz w:val="24"/>
                <w:szCs w:val="24"/>
                <w:highlight w:val="none"/>
                <w:lang w:val="zh-CN"/>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（8）提供现场接待服务。</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①做好来访人员、车辆进出证件登记，及时通报。</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②严禁无关人员、可疑人员和危险物品进入单位院内。</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③物品摆放整齐有序、分类放置。</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④现场办理等待时间不超过 5 分钟，等待较长时间应当及时沟通。</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⑤对来访人员咨询、建议、求助等事项，及时处理或答复。</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⑥接待服务工作时间应当采购人工作时间要求。</w:t>
            </w:r>
            <w:r>
              <w:rPr>
                <w:rFonts w:ascii="仿宋" w:hAnsi="仿宋" w:eastAsia="仿宋" w:cs="仿宋"/>
                <w:sz w:val="24"/>
                <w:szCs w:val="24"/>
                <w:highlight w:val="none"/>
              </w:rPr>
            </w:r>
            <w:r/>
          </w:p>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⑦与被访人进行核实确认；告知被访人的办公室门牌号；告知访客注意事项（根据实际需要填写注意事项）。</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（9）对进出车辆进行管理、疏导，保证出入口环境整洁、有序、通畅。</w:t>
            </w:r>
            <w:r>
              <w:rPr>
                <w:rFonts w:ascii="仿宋" w:hAnsi="仿宋" w:eastAsia="仿宋" w:cs="仿宋"/>
                <w:sz w:val="24"/>
                <w:szCs w:val="24"/>
                <w:highlight w:val="none"/>
              </w:rPr>
            </w:r>
            <w:r/>
          </w:p>
        </w:tc>
      </w:tr>
      <w:tr>
        <w:trPr>
          <w:trHeight w:val="567"/>
        </w:trPr>
        <w:tc>
          <w:tcPr>
            <w:tcW w:w="9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ascii="仿宋" w:hAnsi="仿宋" w:eastAsia="仿宋" w:cs="仿宋"/>
                <w:sz w:val="24"/>
                <w:szCs w:val="24"/>
                <w:highlight w:val="none"/>
              </w:rPr>
            </w:r>
            <w:r/>
          </w:p>
        </w:tc>
        <w:tc>
          <w:tcPr>
            <w:tcW w:w="1924"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值班巡查</w:t>
            </w: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（1）建立24小时值班巡查制度。</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（2）制定巡查路线，按照指定时间和路线执行，加强重点区域、重点部位及装修区域的巡查。</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（3）巡查期间保持通信设施设备畅通，遇到异常情况立即上报并在现场采取相应措施。</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（4）收到监控室指令后，巡查人员及时到达指定地点并迅速采取相应措施。</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（5）负责服务区域内24小时的监控跟踪，检查安全出口、疏散通道畅通情况、电动车（电动汽车及电动自行车）充电设施及应急照明是否完好等情况，每日巡查不少于4次。</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spacing w:before="73"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（6）认真做好值班室的值班管理工作，保持值班室的整洁卫生。</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（7）对楼内公共区域、关键部位及园区内围墙、楼宇定时巡更，做好治安、消防与交通巡查，并做好巡查记录。</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spacing w:before="1"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（8）巡逻员要在巡逻过程中，应多看、多听、多嗅，以确保完成巡逻工作任务。</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（9）检查治安、防盗、防火、水浸等情况发现问题立即处理，并报告上级领导及有关部门。</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spacing w:before="1" w:line="440" w:lineRule="exact"/>
              <w:rPr>
                <w:rFonts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 xml:space="preserve">（10）巡查各个重点部位、治安死角等，发现有可疑人员应前往盘</w:t>
            </w:r>
            <w:r>
              <w:rPr>
                <w:rFonts w:ascii="仿宋" w:hAnsi="仿宋" w:eastAsia="仿宋" w:cs="仿宋"/>
                <w:sz w:val="24"/>
                <w:szCs w:val="24"/>
                <w:highlight w:val="none"/>
                <w:lang w:val="en-US" w:bidi="ar-SA"/>
              </w:rPr>
            </w:r>
            <w:r/>
          </w:p>
          <w:p>
            <w:pPr>
              <w:pStyle w:val="1079"/>
              <w:ind w:left="108"/>
              <w:spacing w:before="5"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问，检查证件，必要时检查其所带物品。</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（11）巡逻的基本任务，预防和制止违反治安管理的行为及犯罪行为。</w:t>
            </w:r>
            <w:r>
              <w:rPr>
                <w:rFonts w:ascii="仿宋" w:hAnsi="仿宋" w:eastAsia="仿宋" w:cs="仿宋"/>
                <w:sz w:val="24"/>
                <w:szCs w:val="24"/>
                <w:highlight w:val="none"/>
                <w:lang w:bidi="ar-SA"/>
              </w:rPr>
            </w:r>
            <w:r/>
          </w:p>
        </w:tc>
      </w:tr>
      <w:tr>
        <w:trPr>
          <w:trHeight w:val="700"/>
        </w:trPr>
        <w:tc>
          <w:tcPr>
            <w:tcW w:w="937" w:type="dxa"/>
            <w:vAlign w:val="center"/>
            <w:vMerge w:val="restart"/>
            <w:textDirection w:val="lrTb"/>
            <w:noWrap w:val="false"/>
          </w:tcPr>
          <w:p>
            <w:pPr>
              <w:pStyle w:val="1079"/>
              <w:jc w:val="center"/>
              <w:spacing w:line="440" w:lineRule="exact"/>
              <w:rPr>
                <w:rFonts w:ascii="黑体"/>
                <w:sz w:val="24"/>
                <w:highlight w:val="none"/>
              </w:rPr>
            </w:pPr>
            <w:r>
              <w:rPr>
                <w:rFonts w:ascii="黑体"/>
                <w:sz w:val="24"/>
                <w:highlight w:val="none"/>
              </w:rPr>
            </w:r>
            <w:r/>
          </w:p>
          <w:p>
            <w:pPr>
              <w:pStyle w:val="1079"/>
              <w:jc w:val="center"/>
              <w:spacing w:before="180" w:line="440" w:lineRule="exact"/>
              <w:rPr>
                <w:sz w:val="24"/>
                <w:highlight w:val="none"/>
                <w:lang w:val="en-US"/>
              </w:rPr>
            </w:pPr>
            <w:r>
              <w:rPr>
                <w:rFonts w:hint="eastAsia"/>
                <w:sz w:val="24"/>
                <w:highlight w:val="none"/>
                <w:lang w:val="en-US"/>
              </w:rPr>
              <w:t xml:space="preserve">5</w:t>
            </w:r>
            <w:r>
              <w:rPr>
                <w:sz w:val="24"/>
                <w:highlight w:val="none"/>
                <w:lang w:val="en-US"/>
              </w:rPr>
            </w:r>
            <w:r/>
          </w:p>
        </w:tc>
        <w:tc>
          <w:tcPr>
            <w:tcW w:w="1924" w:type="dxa"/>
            <w:vAlign w:val="center"/>
            <w:vMerge w:val="restart"/>
            <w:textDirection w:val="lrTb"/>
            <w:noWrap w:val="false"/>
          </w:tcPr>
          <w:p>
            <w:pPr>
              <w:pStyle w:val="1079"/>
              <w:jc w:val="center"/>
              <w:spacing w:line="440" w:lineRule="exact"/>
              <w:rPr>
                <w:rFonts w:ascii="黑体"/>
                <w:sz w:val="24"/>
                <w:highlight w:val="none"/>
              </w:rPr>
            </w:pPr>
            <w:r>
              <w:rPr>
                <w:rFonts w:ascii="黑体"/>
                <w:sz w:val="24"/>
                <w:highlight w:val="none"/>
              </w:rPr>
            </w:r>
            <w:r/>
          </w:p>
          <w:p>
            <w:pPr>
              <w:pStyle w:val="1079"/>
              <w:ind w:left="173"/>
              <w:jc w:val="center"/>
              <w:spacing w:before="180" w:line="440" w:lineRule="exact"/>
              <w:rPr>
                <w:sz w:val="24"/>
                <w:highlight w:val="none"/>
                <w:lang w:val="en-US"/>
              </w:rPr>
            </w:pPr>
            <w:r>
              <w:rPr>
                <w:rFonts w:hint="eastAsia" w:ascii="仿宋" w:hAnsi="仿宋" w:eastAsia="仿宋" w:cs="仿宋"/>
                <w:sz w:val="24"/>
                <w:highlight w:val="none"/>
              </w:rPr>
              <w:t xml:space="preserve">监控值守</w:t>
            </w:r>
            <w:r>
              <w:rPr>
                <w:sz w:val="24"/>
                <w:highlight w:val="none"/>
                <w:lang w:val="en-US"/>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（1）监控室环境符合系统设备运行要求，定期进行检查和检测，确保系统功能正常。</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（2）监控设备 24 小时正常运行，监控室实行专人 24 小时值班制度。</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（3）监控记录画面清晰，视频监控无死角、无盲区。</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（4）值班期间遵守操作规程和保密制度，做好监控记录的保存工作。</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（5）监控记录保持完整，保存时间不应少于90天。</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numPr>
                <w:ilvl w:val="0"/>
                <w:numId w:val="11"/>
              </w:numPr>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如其他人员需进入监控室或查阅监控记录需经授权人批准并做好相关记录。</w:t>
            </w:r>
            <w:r>
              <w:rPr>
                <w:rFonts w:ascii="仿宋" w:hAnsi="仿宋" w:eastAsia="仿宋" w:cs="仿宋"/>
                <w:sz w:val="24"/>
                <w:szCs w:val="24"/>
                <w:highlight w:val="none"/>
                <w:lang w:bidi="ar-SA"/>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top"/>
            <w:textDirection w:val="lrTb"/>
            <w:noWrap w:val="false"/>
          </w:tcPr>
          <w:p>
            <w:pPr>
              <w:pStyle w:val="1079"/>
              <w:ind w:right="97"/>
              <w:spacing w:line="440" w:lineRule="exact"/>
              <w:rPr>
                <w:rFonts w:ascii="仿宋" w:hAnsi="仿宋" w:eastAsia="仿宋" w:cs="仿宋"/>
                <w:sz w:val="24"/>
                <w:szCs w:val="24"/>
                <w:highlight w:val="none"/>
                <w:lang w:bidi="ar-SA"/>
              </w:rPr>
            </w:pPr>
            <w:r>
              <w:rPr>
                <w:rFonts w:hint="eastAsia" w:ascii="仿宋" w:hAnsi="仿宋" w:eastAsia="仿宋" w:cs="仿宋"/>
                <w:sz w:val="24"/>
                <w:szCs w:val="24"/>
                <w:highlight w:val="none"/>
                <w:lang w:val="en-US" w:bidi="ar-SA"/>
              </w:rPr>
              <w:t xml:space="preserve">（7）监控室收到火情等报警信号、其他异常情况信号后，及时报警， 并报告物业值班领导，物业值班领导及时组织人员处理。</w:t>
            </w:r>
            <w:r>
              <w:rPr>
                <w:rFonts w:ascii="仿宋" w:hAnsi="仿宋" w:eastAsia="仿宋" w:cs="仿宋"/>
                <w:sz w:val="24"/>
                <w:szCs w:val="24"/>
                <w:highlight w:val="none"/>
                <w:lang w:bidi="ar-SA"/>
              </w:rPr>
            </w:r>
            <w:r/>
          </w:p>
        </w:tc>
      </w:tr>
      <w:tr>
        <w:trPr>
          <w:trHeight w:val="567"/>
        </w:trPr>
        <w:tc>
          <w:tcPr>
            <w:tcW w:w="9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ascii="仿宋" w:hAnsi="仿宋" w:eastAsia="仿宋" w:cs="仿宋"/>
                <w:sz w:val="24"/>
                <w:szCs w:val="24"/>
                <w:highlight w:val="none"/>
              </w:rPr>
            </w:r>
            <w:r/>
          </w:p>
        </w:tc>
        <w:tc>
          <w:tcPr>
            <w:tcW w:w="1924"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车辆停放</w:t>
            </w: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（1）车辆行驶路线设置合理、规范，导向标志完整、清晰。</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（2）合理规划车辆停放区域，张贴车辆引导标识，对车辆及停放区域实行规范管理。</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（3）严禁在办公楼的公用走道、楼梯间、安全出口处等公共区域停放车辆或充电。</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（4）非机动车定点有序停放。</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（5）发现车辆异常情况及时通知车主，并做好登记；发生交通事故、自然灾害等意外事故时及时赶赴现场疏导和协助处理，响应时间不超过3分钟。</w:t>
            </w:r>
            <w:r>
              <w:rPr>
                <w:rFonts w:ascii="仿宋" w:hAnsi="仿宋" w:eastAsia="仿宋" w:cs="仿宋"/>
                <w:sz w:val="24"/>
                <w:szCs w:val="24"/>
                <w:highlight w:val="none"/>
              </w:rPr>
            </w:r>
            <w:r/>
          </w:p>
        </w:tc>
      </w:tr>
      <w:tr>
        <w:trPr>
          <w:trHeight w:val="567"/>
        </w:trPr>
        <w:tc>
          <w:tcPr>
            <w:tcW w:w="9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ascii="仿宋" w:hAnsi="仿宋" w:eastAsia="仿宋" w:cs="仿宋"/>
                <w:sz w:val="24"/>
                <w:szCs w:val="24"/>
                <w:highlight w:val="none"/>
              </w:rPr>
            </w:r>
            <w:r/>
          </w:p>
        </w:tc>
        <w:tc>
          <w:tcPr>
            <w:tcW w:w="1924"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突发事件处理</w:t>
            </w: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（1）制定突发事件安全责任书，明确突发事件责任人及应承担的安全责任。</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（2）建立应急突发事件处置队伍，明确各自的职责。</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（3）每半年至少开展1次突发事件应急演练，并有相应记录。</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（4）发生意外事件时，及时采取应急措施，维护办公区域物业服务正常进行，保护人身财产安全。</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（5）办公区域物业服务应急预案终止实施后，积极采取措施，在尽可能短的时间内，消除事故带来的不良影响，妥善安置和慰问受害及受影响的人员和部门。</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（6）事故处理后，及时形成事故应急总结报告，完善应急救援工作方案。</w:t>
            </w:r>
            <w:r>
              <w:rPr>
                <w:rFonts w:ascii="仿宋" w:hAnsi="仿宋" w:eastAsia="仿宋" w:cs="仿宋"/>
                <w:sz w:val="24"/>
                <w:szCs w:val="24"/>
                <w:highlight w:val="none"/>
              </w:rPr>
            </w:r>
            <w:r/>
          </w:p>
        </w:tc>
      </w:tr>
      <w:tr>
        <w:trPr>
          <w:trHeight w:val="567"/>
        </w:trPr>
        <w:tc>
          <w:tcPr>
            <w:tcW w:w="937"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ascii="仿宋" w:hAnsi="仿宋" w:eastAsia="仿宋" w:cs="仿宋"/>
                <w:sz w:val="24"/>
                <w:szCs w:val="24"/>
                <w:highlight w:val="none"/>
              </w:rPr>
            </w:r>
            <w:r/>
          </w:p>
        </w:tc>
        <w:tc>
          <w:tcPr>
            <w:tcW w:w="1924"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大型活动秩序</w:t>
            </w:r>
            <w:r>
              <w:rPr>
                <w:rFonts w:ascii="仿宋" w:hAnsi="仿宋" w:eastAsia="仿宋" w:cs="仿宋"/>
                <w:sz w:val="24"/>
                <w:szCs w:val="24"/>
                <w:highlight w:val="none"/>
              </w:rPr>
            </w:r>
            <w:r/>
          </w:p>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（1）制定相应的活动秩序维护方案，合理安排人员，并对场所的安全隐患进行排查。</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（2）应当保障通道、出入口、停车场等区域畅通。</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（3）活动举办过程中，做好现场秩序的维护和突发事故的处置工作，确保活动正常进行。</w:t>
            </w:r>
            <w:r>
              <w:rPr>
                <w:rFonts w:ascii="仿宋" w:hAnsi="仿宋" w:eastAsia="仿宋" w:cs="仿宋"/>
                <w:sz w:val="24"/>
                <w:szCs w:val="24"/>
                <w:highlight w:val="none"/>
              </w:rPr>
            </w:r>
            <w:r/>
          </w:p>
        </w:tc>
      </w:tr>
      <w:tr>
        <w:trPr>
          <w:trHeight w:val="567"/>
        </w:trPr>
        <w:tc>
          <w:tcPr>
            <w:tcW w:w="937" w:type="dxa"/>
            <w:vAlign w:val="center"/>
            <w:vMerge w:val="restart"/>
            <w:textDirection w:val="lrTb"/>
            <w:noWrap w:val="false"/>
          </w:tcPr>
          <w:p>
            <w:pPr>
              <w:pStyle w:val="965"/>
              <w:ind w:firstLine="210"/>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ascii="仿宋" w:hAnsi="仿宋" w:eastAsia="仿宋" w:cs="仿宋"/>
                <w:sz w:val="24"/>
                <w:szCs w:val="24"/>
                <w:highlight w:val="none"/>
              </w:rPr>
            </w:r>
            <w:r/>
          </w:p>
        </w:tc>
        <w:tc>
          <w:tcPr>
            <w:tcW w:w="1924" w:type="dxa"/>
            <w:vAlign w:val="center"/>
            <w:vMerge w:val="restart"/>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节能管理</w:t>
            </w: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（1）做好对大楼内用水电气设备的日常巡查管理，杜绝跑冒滴漏、浪费能源的问题，发现故障及时报修。</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ind w:firstLine="210"/>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ind w:firstLine="210"/>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（2）夜间和节假日按要求做好对大楼内用水电气设备的日常巡查管理，按时关闭水电气等设备开关。</w:t>
            </w:r>
            <w:r>
              <w:rPr>
                <w:rFonts w:ascii="仿宋" w:hAnsi="仿宋" w:eastAsia="仿宋" w:cs="仿宋"/>
                <w:sz w:val="24"/>
                <w:szCs w:val="24"/>
                <w:highlight w:val="none"/>
              </w:rPr>
            </w:r>
            <w:r/>
          </w:p>
        </w:tc>
      </w:tr>
      <w:tr>
        <w:trPr>
          <w:trHeight w:val="567"/>
        </w:trPr>
        <w:tc>
          <w:tcPr>
            <w:tcW w:w="937" w:type="dxa"/>
            <w:vAlign w:val="center"/>
            <w:vMerge w:val="continue"/>
            <w:textDirection w:val="lrTb"/>
            <w:noWrap w:val="false"/>
          </w:tcPr>
          <w:p>
            <w:pPr>
              <w:pStyle w:val="965"/>
              <w:ind w:firstLine="210"/>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1924" w:type="dxa"/>
            <w:vAlign w:val="center"/>
            <w:vMerge w:val="continue"/>
            <w:textDirection w:val="lrTb"/>
            <w:noWrap w:val="false"/>
          </w:tcPr>
          <w:p>
            <w:pPr>
              <w:pStyle w:val="965"/>
              <w:ind w:firstLine="210"/>
              <w:jc w:val="left"/>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7187" w:type="dxa"/>
            <w:vAlign w:val="center"/>
            <w:textDirection w:val="lrTb"/>
            <w:noWrap w:val="false"/>
          </w:tcPr>
          <w:p>
            <w:pPr>
              <w:pStyle w:val="965"/>
              <w:jc w:val="left"/>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（3）执行各项大楼节能管理制度和措施。</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8"/>
        <w:spacing w:before="0" w:after="0" w:line="440" w:lineRule="exact"/>
        <w:rPr>
          <w:rFonts w:ascii="仿宋" w:hAnsi="仿宋" w:eastAsia="仿宋" w:cs="仿宋"/>
          <w:sz w:val="28"/>
          <w:szCs w:val="28"/>
          <w:highlight w:val="none"/>
        </w:rPr>
      </w:pPr>
      <w:r/>
      <w:bookmarkStart w:id="166" w:name="_Toc27983"/>
      <w:r/>
      <w:bookmarkStart w:id="167" w:name="_Toc26417"/>
      <w:r/>
      <w:bookmarkStart w:id="168" w:name="_Toc12052"/>
      <w:r>
        <w:rPr>
          <w:rFonts w:hint="eastAsia" w:ascii="仿宋" w:hAnsi="仿宋" w:eastAsia="仿宋" w:cs="仿宋"/>
          <w:sz w:val="28"/>
          <w:szCs w:val="28"/>
          <w:highlight w:val="none"/>
        </w:rPr>
        <w:t xml:space="preserve">3.9食堂服务</w:t>
      </w:r>
      <w:r>
        <w:rPr>
          <w:rFonts w:ascii="仿宋" w:hAnsi="仿宋" w:eastAsia="仿宋" w:cs="仿宋"/>
          <w:sz w:val="28"/>
          <w:szCs w:val="28"/>
          <w:highlight w:val="none"/>
        </w:rPr>
      </w:r>
      <w:r/>
    </w:p>
    <w:tbl>
      <w:tblPr>
        <w:tblW w:w="9160" w:type="dxa"/>
        <w:tblInd w:w="-97" w:type="dxa"/>
        <w:tblLayout w:type="fixed"/>
        <w:tblCellMar>
          <w:left w:w="108" w:type="dxa"/>
          <w:top w:w="0" w:type="dxa"/>
          <w:right w:w="108" w:type="dxa"/>
          <w:bottom w:w="0" w:type="dxa"/>
        </w:tblCellMar>
        <w:tblLook w:val="04A0" w:firstRow="1" w:lastRow="0" w:firstColumn="1" w:lastColumn="0" w:noHBand="0" w:noVBand="1"/>
      </w:tblPr>
      <w:tblGrid>
        <w:gridCol w:w="792"/>
        <w:gridCol w:w="1955"/>
        <w:gridCol w:w="6413"/>
      </w:tblGrid>
      <w:tr>
        <w:trPr>
          <w:cantSplit/>
          <w:trHeight w:val="607"/>
          <w:tblHeader/>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服务内容</w:t>
            </w:r>
            <w:r>
              <w:rPr>
                <w:rFonts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center"/>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服务标准</w:t>
            </w:r>
            <w:r>
              <w:rPr>
                <w:rFonts w:ascii="仿宋" w:hAnsi="仿宋" w:eastAsia="仿宋" w:cs="仿宋"/>
                <w:b/>
                <w:bCs/>
                <w:sz w:val="24"/>
                <w:szCs w:val="24"/>
                <w:highlight w:val="none"/>
              </w:rPr>
            </w:r>
            <w:r/>
          </w:p>
        </w:tc>
      </w:tr>
      <w:tr>
        <w:trPr>
          <w:trHeight w:val="1200"/>
        </w:trPr>
        <w:tc>
          <w:tcPr>
            <w:tcBorders>
              <w:top w:val="single" w:color="000000" w:sz="4" w:space="0"/>
              <w:left w:val="single" w:color="000000" w:sz="4" w:space="0"/>
              <w:bottom w:val="none" w:color="000000" w:sz="0" w:space="0"/>
              <w:right w:val="single" w:color="000000" w:sz="4" w:space="0"/>
            </w:tcBorders>
            <w:tcW w:w="792"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ascii="仿宋" w:hAnsi="仿宋" w:eastAsia="仿宋" w:cs="仿宋"/>
                <w:sz w:val="24"/>
                <w:szCs w:val="24"/>
                <w:highlight w:val="none"/>
              </w:rPr>
            </w:r>
            <w:r/>
          </w:p>
        </w:tc>
        <w:tc>
          <w:tcPr>
            <w:tcBorders>
              <w:top w:val="single" w:color="000000" w:sz="4" w:space="0"/>
              <w:left w:val="single" w:color="000000" w:sz="4" w:space="0"/>
              <w:bottom w:val="none" w:color="000000" w:sz="0" w:space="0"/>
              <w:right w:val="single" w:color="000000" w:sz="4" w:space="0"/>
            </w:tcBorders>
            <w:tcW w:w="1955"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人员与管理</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（1）实行厨师长负责制，统筹厨房人员管理、菜品制作、食品安全、卫生管控。</w:t>
            </w:r>
            <w:r>
              <w:rPr>
                <w:rFonts w:ascii="仿宋" w:hAnsi="仿宋" w:eastAsia="仿宋" w:cs="仿宋"/>
                <w:sz w:val="24"/>
                <w:szCs w:val="24"/>
                <w:highlight w:val="none"/>
              </w:rPr>
            </w:r>
            <w:r/>
          </w:p>
        </w:tc>
      </w:tr>
      <w:tr>
        <w:trPr>
          <w:trHeight w:val="67"/>
        </w:trPr>
        <w:tc>
          <w:tcPr>
            <w:tcBorders>
              <w:top w:val="none" w:color="000000" w:sz="0" w:space="0"/>
              <w:left w:val="single" w:color="000000" w:sz="4" w:space="0"/>
              <w:bottom w:val="none" w:color="000000" w:sz="0" w:space="0"/>
              <w:right w:val="single" w:color="000000" w:sz="4" w:space="0"/>
            </w:tcBorders>
            <w:tcW w:w="792"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0" w:space="0"/>
              <w:left w:val="single" w:color="000000" w:sz="4" w:space="0"/>
              <w:bottom w:val="none" w:color="000000" w:sz="0" w:space="0"/>
              <w:right w:val="single" w:color="000000" w:sz="4" w:space="0"/>
            </w:tcBorders>
            <w:tcW w:w="1955"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（2）所有员工进入岗位必须穿戴统一工作服，使用一次性卫生手套、口罩，无关人员不得进入工作区域，工作时不得会客、吸烟、吃零食、大声喧哗和聊天。</w:t>
            </w:r>
            <w:r>
              <w:rPr>
                <w:rFonts w:ascii="仿宋" w:hAnsi="仿宋" w:eastAsia="仿宋" w:cs="仿宋"/>
                <w:sz w:val="24"/>
                <w:szCs w:val="24"/>
                <w:highlight w:val="none"/>
              </w:rPr>
            </w:r>
            <w:r/>
          </w:p>
        </w:tc>
      </w:tr>
      <w:tr>
        <w:trPr>
          <w:trHeight w:val="67"/>
        </w:trPr>
        <w:tc>
          <w:tcPr>
            <w:tcBorders>
              <w:top w:val="none" w:color="000000" w:sz="0"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0" w:space="0"/>
              <w:left w:val="single" w:color="000000" w:sz="4" w:space="0"/>
              <w:bottom w:val="single" w:color="000000" w:sz="4" w:space="0"/>
              <w:right w:val="single" w:color="000000" w:sz="4" w:space="0"/>
            </w:tcBorders>
            <w:tcW w:w="1955"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（3）严格执行《中华人民共和国食品安全法》，落实 48 小时食品留样制度，留样规范、记录完整。</w:t>
            </w:r>
            <w:r>
              <w:rPr>
                <w:rFonts w:ascii="仿宋" w:hAnsi="仿宋" w:eastAsia="仿宋" w:cs="仿宋"/>
                <w:sz w:val="24"/>
                <w:szCs w:val="24"/>
                <w:highlight w:val="none"/>
              </w:rPr>
            </w:r>
            <w:r/>
          </w:p>
        </w:tc>
      </w:tr>
      <w:tr>
        <w:trPr>
          <w:trHeight w:val="738"/>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餐食供应</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（1）保障教职工工作日早餐、午餐，保障幼儿每日一餐两点（正餐 + 午点）。</w:t>
            </w:r>
            <w:r>
              <w:rPr>
                <w:rFonts w:ascii="仿宋" w:hAnsi="仿宋" w:eastAsia="仿宋" w:cs="仿宋"/>
                <w:sz w:val="24"/>
                <w:szCs w:val="24"/>
                <w:highlight w:val="none"/>
              </w:rPr>
            </w:r>
            <w:r/>
          </w:p>
        </w:tc>
      </w:tr>
      <w:tr>
        <w:trPr>
          <w:trHeight w:val="195"/>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（2）幼儿餐食结合年龄特点、营养需求制作，清淡易消化、营养均衡，定期更新食谱，食谱提前一周报采购人审核；</w:t>
            </w:r>
            <w:r>
              <w:rPr>
                <w:rFonts w:ascii="仿宋" w:hAnsi="仿宋" w:eastAsia="仿宋" w:cs="仿宋"/>
                <w:sz w:val="24"/>
                <w:szCs w:val="24"/>
                <w:highlight w:val="none"/>
              </w:rPr>
            </w:r>
            <w:r/>
          </w:p>
        </w:tc>
      </w:tr>
      <w:tr>
        <w:trPr>
          <w:trHeight w:val="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（3）教职工餐按标准供应，定期更新菜品，保障公务接待餐食制作；</w:t>
            </w:r>
            <w:r>
              <w:rPr>
                <w:rFonts w:ascii="仿宋" w:hAnsi="仿宋" w:eastAsia="仿宋" w:cs="仿宋"/>
                <w:sz w:val="24"/>
                <w:szCs w:val="24"/>
                <w:highlight w:val="none"/>
              </w:rPr>
            </w:r>
            <w:r/>
          </w:p>
        </w:tc>
      </w:tr>
      <w:tr>
        <w:trPr>
          <w:trHeight w:val="738"/>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pStyle w:val="965"/>
              <w:jc w:val="center"/>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（4）餐食按时配送至各教室与就餐点，配合做好分餐工作。</w:t>
            </w:r>
            <w:r>
              <w:rPr>
                <w:rFonts w:ascii="仿宋" w:hAnsi="仿宋" w:eastAsia="仿宋" w:cs="仿宋"/>
                <w:sz w:val="24"/>
                <w:szCs w:val="24"/>
                <w:highlight w:val="none"/>
              </w:rPr>
            </w:r>
            <w:r/>
          </w:p>
        </w:tc>
      </w:tr>
      <w:tr>
        <w:trPr>
          <w:trHeight w:val="242"/>
        </w:trPr>
        <w:tc>
          <w:tcPr>
            <w:tcBorders>
              <w:top w:val="single" w:color="000000" w:sz="4" w:space="0"/>
              <w:left w:val="single" w:color="000000" w:sz="4" w:space="0"/>
              <w:bottom w:val="none" w:color="000000" w:sz="0" w:space="0"/>
              <w:right w:val="single" w:color="000000" w:sz="4" w:space="0"/>
            </w:tcBorders>
            <w:tcW w:w="792"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ascii="仿宋" w:hAnsi="仿宋" w:eastAsia="仿宋" w:cs="仿宋"/>
                <w:sz w:val="24"/>
                <w:szCs w:val="24"/>
                <w:highlight w:val="none"/>
              </w:rPr>
            </w:r>
            <w:r/>
          </w:p>
        </w:tc>
        <w:tc>
          <w:tcPr>
            <w:tcBorders>
              <w:top w:val="single" w:color="000000" w:sz="4" w:space="0"/>
              <w:left w:val="single" w:color="000000" w:sz="4" w:space="0"/>
              <w:bottom w:val="none" w:color="000000" w:sz="0" w:space="0"/>
              <w:right w:val="single" w:color="000000" w:sz="4" w:space="0"/>
            </w:tcBorders>
            <w:tcW w:w="1955"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食品安全</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（1）严把食材采购验收关，严禁使用过期、变质食材，食材可追溯；</w:t>
            </w:r>
            <w:r>
              <w:rPr>
                <w:rFonts w:ascii="仿宋" w:hAnsi="仿宋" w:eastAsia="仿宋" w:cs="仿宋"/>
                <w:sz w:val="24"/>
                <w:szCs w:val="24"/>
                <w:highlight w:val="none"/>
              </w:rPr>
            </w:r>
            <w:r/>
          </w:p>
        </w:tc>
      </w:tr>
      <w:tr>
        <w:trPr>
          <w:trHeight w:val="242"/>
        </w:trPr>
        <w:tc>
          <w:tcPr>
            <w:tcBorders>
              <w:top w:val="none" w:color="000000" w:sz="0" w:space="0"/>
              <w:left w:val="single" w:color="000000" w:sz="4" w:space="0"/>
              <w:bottom w:val="none" w:color="000000" w:sz="0" w:space="0"/>
              <w:right w:val="single" w:color="000000" w:sz="4" w:space="0"/>
            </w:tcBorders>
            <w:tcW w:w="792" w:type="dxa"/>
            <w:vAlign w:val="center"/>
            <w:vMerge w:val="continue"/>
            <w:textDirection w:val="lrTb"/>
            <w:noWrap w:val="false"/>
          </w:tcPr>
          <w:p>
            <w:pPr>
              <w:pStyle w:val="965"/>
              <w:jc w:val="left"/>
              <w:spacing w:line="440" w:lineRule="exact"/>
              <w:rPr>
                <w:rFonts w:ascii="仿宋" w:hAnsi="仿宋" w:eastAsia="仿宋" w:cs="仿宋"/>
                <w:highlight w:val="none"/>
              </w:rPr>
            </w:pPr>
            <w:r>
              <w:rPr>
                <w:rFonts w:ascii="仿宋" w:hAnsi="仿宋" w:eastAsia="仿宋" w:cs="仿宋"/>
                <w:highlight w:val="none"/>
              </w:rPr>
            </w:r>
            <w:r/>
          </w:p>
        </w:tc>
        <w:tc>
          <w:tcPr>
            <w:tcBorders>
              <w:top w:val="none" w:color="000000" w:sz="0" w:space="0"/>
              <w:left w:val="single" w:color="000000" w:sz="4" w:space="0"/>
              <w:bottom w:val="none" w:color="000000" w:sz="0" w:space="0"/>
              <w:right w:val="single" w:color="000000" w:sz="4" w:space="0"/>
            </w:tcBorders>
            <w:tcW w:w="1955" w:type="dxa"/>
            <w:vAlign w:val="center"/>
            <w:vMerge w:val="continue"/>
            <w:textDirection w:val="lrTb"/>
            <w:noWrap w:val="false"/>
          </w:tcPr>
          <w:p>
            <w:pPr>
              <w:pStyle w:val="965"/>
              <w:jc w:val="left"/>
              <w:spacing w:line="440" w:lineRule="exact"/>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（2）生熟食材、工具分区存放、分开使用，严防交叉污染；餐具按规范清洗消毒；</w:t>
            </w:r>
            <w:r>
              <w:rPr>
                <w:rFonts w:ascii="仿宋" w:hAnsi="仿宋" w:eastAsia="仿宋" w:cs="仿宋"/>
                <w:sz w:val="24"/>
                <w:szCs w:val="24"/>
                <w:highlight w:val="none"/>
              </w:rPr>
            </w:r>
            <w:r/>
          </w:p>
        </w:tc>
      </w:tr>
      <w:tr>
        <w:trPr>
          <w:trHeight w:val="242"/>
        </w:trPr>
        <w:tc>
          <w:tcPr>
            <w:tcBorders>
              <w:top w:val="none" w:color="000000" w:sz="0"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965"/>
              <w:jc w:val="left"/>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none" w:color="000000" w:sz="0" w:space="0"/>
              <w:left w:val="single" w:color="000000" w:sz="4" w:space="0"/>
              <w:bottom w:val="single" w:color="000000" w:sz="4" w:space="0"/>
              <w:right w:val="single" w:color="000000" w:sz="4" w:space="0"/>
            </w:tcBorders>
            <w:tcW w:w="1955" w:type="dxa"/>
            <w:vAlign w:val="center"/>
            <w:vMerge w:val="continue"/>
            <w:textDirection w:val="lrTb"/>
            <w:noWrap w:val="false"/>
          </w:tcPr>
          <w:p>
            <w:pPr>
              <w:pStyle w:val="965"/>
              <w:jc w:val="left"/>
              <w:spacing w:line="440" w:lineRule="exact"/>
              <w:rPr>
                <w:rFonts w:ascii="仿宋" w:hAnsi="仿宋" w:eastAsia="仿宋" w:cs="仿宋"/>
                <w:sz w:val="24"/>
                <w:szCs w:val="24"/>
                <w:highlight w:val="none"/>
              </w:rPr>
            </w:pP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（3）每日做好厨房卫生清理，达到 “五面光” 标准，无蚊蝇、无积尘、无异味、无杂物。</w:t>
            </w:r>
            <w:r>
              <w:rPr>
                <w:rFonts w:ascii="仿宋" w:hAnsi="仿宋" w:eastAsia="仿宋" w:cs="仿宋"/>
                <w:sz w:val="24"/>
                <w:szCs w:val="24"/>
                <w:highlight w:val="none"/>
              </w:rPr>
            </w:r>
            <w:r/>
          </w:p>
        </w:tc>
      </w:tr>
      <w:tr>
        <w:trPr>
          <w:trHeight w:val="369"/>
        </w:trPr>
        <w:tc>
          <w:tcPr>
            <w:tcBorders>
              <w:top w:val="single" w:color="000000" w:sz="4" w:space="0"/>
              <w:left w:val="single" w:color="000000" w:sz="4" w:space="0"/>
              <w:bottom w:val="none" w:color="000000" w:sz="0" w:space="0"/>
              <w:right w:val="single" w:color="000000" w:sz="4" w:space="0"/>
            </w:tcBorders>
            <w:tcW w:w="792"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ascii="仿宋" w:hAnsi="仿宋" w:eastAsia="仿宋" w:cs="仿宋"/>
                <w:sz w:val="24"/>
                <w:szCs w:val="24"/>
                <w:highlight w:val="none"/>
              </w:rPr>
            </w:r>
            <w:r/>
          </w:p>
        </w:tc>
        <w:tc>
          <w:tcPr>
            <w:tcBorders>
              <w:top w:val="single" w:color="000000" w:sz="4" w:space="0"/>
              <w:left w:val="single" w:color="000000" w:sz="4" w:space="0"/>
              <w:bottom w:val="none" w:color="000000" w:sz="0" w:space="0"/>
              <w:right w:val="single" w:color="000000" w:sz="4" w:space="0"/>
            </w:tcBorders>
            <w:tcW w:w="1955" w:type="dxa"/>
            <w:vAlign w:val="center"/>
            <w:vMerge w:val="restart"/>
            <w:textDirection w:val="lrTb"/>
            <w:noWrap w:val="false"/>
          </w:tcPr>
          <w:p>
            <w:pPr>
              <w:pStyle w:val="965"/>
              <w:jc w:val="center"/>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安全操作</w:t>
            </w:r>
            <w:r>
              <w:rPr>
                <w:rFonts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（1）规范操作灶具、水电气设备，每日下班前确认水电气阀门关闭，排查安全隐患；</w:t>
            </w:r>
            <w:r>
              <w:rPr>
                <w:rFonts w:ascii="仿宋" w:hAnsi="仿宋" w:eastAsia="仿宋" w:cs="仿宋"/>
                <w:sz w:val="24"/>
                <w:szCs w:val="24"/>
                <w:highlight w:val="none"/>
              </w:rPr>
            </w:r>
            <w:r/>
          </w:p>
        </w:tc>
      </w:tr>
      <w:tr>
        <w:trPr>
          <w:trHeight w:val="369"/>
        </w:trPr>
        <w:tc>
          <w:tcPr>
            <w:tcBorders>
              <w:top w:val="none" w:color="000000" w:sz="0"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965"/>
              <w:jc w:val="left"/>
              <w:spacing w:line="440" w:lineRule="exact"/>
              <w:rPr>
                <w:rFonts w:ascii="仿宋" w:hAnsi="仿宋" w:eastAsia="仿宋" w:cs="仿宋"/>
                <w:highlight w:val="none"/>
              </w:rPr>
            </w:pPr>
            <w:r>
              <w:rPr>
                <w:rFonts w:ascii="仿宋" w:hAnsi="仿宋" w:eastAsia="仿宋" w:cs="仿宋"/>
                <w:highlight w:val="none"/>
              </w:rPr>
            </w:r>
            <w:r/>
          </w:p>
        </w:tc>
        <w:tc>
          <w:tcPr>
            <w:tcBorders>
              <w:top w:val="none" w:color="000000" w:sz="0" w:space="0"/>
              <w:left w:val="single" w:color="000000" w:sz="4" w:space="0"/>
              <w:bottom w:val="single" w:color="000000" w:sz="4" w:space="0"/>
              <w:right w:val="single" w:color="000000" w:sz="4" w:space="0"/>
            </w:tcBorders>
            <w:tcW w:w="1955" w:type="dxa"/>
            <w:vAlign w:val="center"/>
            <w:vMerge w:val="continue"/>
            <w:textDirection w:val="lrTb"/>
            <w:noWrap w:val="false"/>
          </w:tcPr>
          <w:p>
            <w:pPr>
              <w:pStyle w:val="965"/>
              <w:jc w:val="left"/>
              <w:spacing w:line="440" w:lineRule="exact"/>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pStyle w:val="965"/>
              <w:jc w:val="left"/>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（2）合理管控食材用量，减少浪费，做好食材储存保鲜，定期盘点物料。</w:t>
            </w:r>
            <w:r>
              <w:rPr>
                <w:rFonts w:ascii="仿宋" w:hAnsi="仿宋" w:eastAsia="仿宋" w:cs="仿宋"/>
                <w:sz w:val="24"/>
                <w:szCs w:val="24"/>
                <w:highlight w:val="none"/>
              </w:rPr>
            </w:r>
            <w:r/>
          </w:p>
        </w:tc>
      </w:tr>
    </w:tbl>
    <w:p>
      <w:pPr>
        <w:pStyle w:val="965"/>
        <w:spacing w:line="440" w:lineRule="exact"/>
        <w:rPr>
          <w:rFonts w:ascii="仿宋" w:hAnsi="仿宋" w:eastAsia="仿宋" w:cs="仿宋"/>
          <w:highlight w:val="none"/>
        </w:rPr>
      </w:pPr>
      <w:r>
        <w:rPr>
          <w:rFonts w:ascii="仿宋" w:hAnsi="仿宋" w:eastAsia="仿宋" w:cs="仿宋"/>
          <w:highlight w:val="none"/>
        </w:rPr>
      </w:r>
      <w:r/>
    </w:p>
    <w:p>
      <w:pPr>
        <w:pStyle w:val="965"/>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（四）中标方履行合同所需的设备</w:t>
      </w:r>
      <w:r>
        <w:rPr>
          <w:rFonts w:hint="eastAsia" w:ascii="方正仿宋_GBK" w:hAnsi="方正仿宋_GBK" w:eastAsia="方正仿宋_GBK" w:cs="方正仿宋_GBK"/>
          <w:b/>
          <w:bCs/>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根据项目实际需求，需要中标方提供作业设备（自有或租赁）用于物业管理服务的，见下表：</w:t>
      </w:r>
      <w:r>
        <w:rPr>
          <w:rFonts w:hint="eastAsia" w:ascii="方正仿宋_GBK" w:hAnsi="方正仿宋_GBK" w:eastAsia="方正仿宋_GBK" w:cs="方正仿宋_GBK"/>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77"/>
        <w:gridCol w:w="3585"/>
        <w:gridCol w:w="983"/>
        <w:gridCol w:w="958"/>
      </w:tblGrid>
      <w:tr>
        <w:trPr>
          <w:trHeight w:val="567"/>
        </w:trPr>
        <w:tc>
          <w:tcPr>
            <w:tcW w:w="712"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ascii="仿宋" w:hAnsi="仿宋" w:eastAsia="仿宋" w:cs="仿宋"/>
                <w:b/>
                <w:bCs/>
                <w:sz w:val="24"/>
                <w:szCs w:val="24"/>
                <w:highlight w:val="none"/>
              </w:rPr>
            </w:r>
            <w:r/>
          </w:p>
        </w:tc>
        <w:tc>
          <w:tcPr>
            <w:tcW w:w="2674"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用途</w:t>
            </w:r>
            <w:r>
              <w:rPr>
                <w:rFonts w:ascii="仿宋" w:hAnsi="仿宋" w:eastAsia="仿宋" w:cs="仿宋"/>
                <w:b/>
                <w:bCs/>
                <w:sz w:val="24"/>
                <w:szCs w:val="24"/>
                <w:highlight w:val="none"/>
              </w:rPr>
            </w:r>
            <w:r/>
          </w:p>
        </w:tc>
        <w:tc>
          <w:tcPr>
            <w:tcW w:w="3332"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作业设备名称</w:t>
            </w:r>
            <w:r>
              <w:rPr>
                <w:rFonts w:ascii="仿宋" w:hAnsi="仿宋" w:eastAsia="仿宋" w:cs="仿宋"/>
                <w:b/>
                <w:bCs/>
                <w:sz w:val="24"/>
                <w:szCs w:val="24"/>
                <w:highlight w:val="none"/>
              </w:rPr>
            </w:r>
            <w:r/>
          </w:p>
        </w:tc>
        <w:tc>
          <w:tcPr>
            <w:tcW w:w="914"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数量</w:t>
            </w:r>
            <w:r>
              <w:rPr>
                <w:rFonts w:ascii="仿宋" w:hAnsi="仿宋" w:eastAsia="仿宋" w:cs="仿宋"/>
                <w:b/>
                <w:bCs/>
                <w:sz w:val="24"/>
                <w:szCs w:val="24"/>
                <w:highlight w:val="none"/>
              </w:rPr>
            </w:r>
            <w:r/>
          </w:p>
        </w:tc>
        <w:tc>
          <w:tcPr>
            <w:tcW w:w="890" w:type="dxa"/>
            <w:vAlign w:val="center"/>
            <w:textDirection w:val="lrTb"/>
            <w:noWrap w:val="false"/>
          </w:tcPr>
          <w:p>
            <w:pPr>
              <w:pStyle w:val="965"/>
              <w:jc w:val="center"/>
              <w:spacing w:line="440" w:lineRule="exact"/>
              <w:widowControl/>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单位</w:t>
            </w:r>
            <w:r>
              <w:rPr>
                <w:rFonts w:ascii="仿宋" w:hAnsi="仿宋" w:eastAsia="仿宋" w:cs="仿宋"/>
                <w:b/>
                <w:bCs/>
                <w:sz w:val="24"/>
                <w:szCs w:val="24"/>
                <w:highlight w:val="none"/>
              </w:rPr>
            </w:r>
            <w:r/>
          </w:p>
        </w:tc>
      </w:tr>
      <w:tr>
        <w:trPr>
          <w:trHeight w:val="567"/>
        </w:trPr>
        <w:tc>
          <w:tcPr>
            <w:tcW w:w="712" w:type="dxa"/>
            <w:vAlign w:val="center"/>
            <w:textDirection w:val="lrTb"/>
            <w:noWrap w:val="false"/>
          </w:tcPr>
          <w:p>
            <w:pPr>
              <w:pStyle w:val="965"/>
              <w:jc w:val="center"/>
              <w:spacing w:line="440" w:lineRule="exact"/>
              <w:widowControl/>
              <w:rPr>
                <w:rFonts w:ascii="仿宋" w:hAnsi="仿宋" w:eastAsia="仿宋" w:cs="仿宋"/>
                <w:sz w:val="24"/>
                <w:szCs w:val="24"/>
                <w:highlight w:val="none"/>
              </w:rPr>
            </w:pPr>
            <w:r>
              <w:rPr>
                <w:rFonts w:ascii="仿宋" w:hAnsi="仿宋" w:eastAsia="仿宋" w:cs="仿宋"/>
                <w:sz w:val="24"/>
                <w:szCs w:val="24"/>
                <w:highlight w:val="none"/>
              </w:rPr>
            </w:r>
            <w:r/>
          </w:p>
        </w:tc>
        <w:tc>
          <w:tcPr>
            <w:tcW w:w="2674" w:type="dxa"/>
            <w:vAlign w:val="center"/>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tc>
        <w:tc>
          <w:tcPr>
            <w:tcW w:w="3332" w:type="dxa"/>
            <w:vAlign w:val="center"/>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tc>
        <w:tc>
          <w:tcPr>
            <w:tcW w:w="914" w:type="dxa"/>
            <w:vAlign w:val="center"/>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tc>
        <w:tc>
          <w:tcPr>
            <w:tcW w:w="890" w:type="dxa"/>
            <w:vAlign w:val="center"/>
            <w:textDirection w:val="lrTb"/>
            <w:noWrap w:val="false"/>
          </w:tcPr>
          <w:p>
            <w:pPr>
              <w:pStyle w:val="965"/>
              <w:jc w:val="center"/>
              <w:spacing w:line="44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r>
            <w:r/>
          </w:p>
        </w:tc>
      </w:tr>
    </w:tbl>
    <w:p>
      <w:pPr>
        <w:pStyle w:val="992"/>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注：采购人已无偿提供的作业设备，不在此重复要求。中标方应根据现场需求配备表格中所列设备，费用计入总价。</w:t>
      </w:r>
      <w:r>
        <w:rPr>
          <w:rFonts w:ascii="仿宋" w:hAnsi="仿宋" w:eastAsia="仿宋" w:cs="仿宋"/>
          <w:sz w:val="24"/>
          <w:szCs w:val="24"/>
          <w:highlight w:val="none"/>
        </w:rPr>
      </w:r>
      <w:r/>
    </w:p>
    <w:p>
      <w:pPr>
        <w:pStyle w:val="965"/>
        <w:spacing w:line="440" w:lineRule="exact"/>
        <w:rPr>
          <w:rFonts w:ascii="仿宋" w:hAnsi="仿宋" w:eastAsia="仿宋" w:cs="仿宋"/>
          <w:highlight w:val="none"/>
        </w:rPr>
      </w:pPr>
      <w:r>
        <w:rPr>
          <w:rFonts w:ascii="仿宋" w:hAnsi="仿宋" w:eastAsia="仿宋" w:cs="仿宋"/>
          <w:highlight w:val="none"/>
        </w:rPr>
      </w:r>
      <w:r/>
    </w:p>
    <w:p>
      <w:pPr>
        <w:pStyle w:val="965"/>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（五）物业管理服务人员需求 </w:t>
      </w:r>
      <w:r>
        <w:rPr>
          <w:rFonts w:hint="eastAsia" w:ascii="方正仿宋_GBK" w:hAnsi="方正仿宋_GBK" w:eastAsia="方正仿宋_GBK" w:cs="方正仿宋_GBK"/>
          <w:b/>
          <w:bCs/>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600"/>
        <w:gridCol w:w="1128"/>
        <w:gridCol w:w="1216"/>
        <w:gridCol w:w="3992"/>
      </w:tblGrid>
      <w:tr>
        <w:trPr>
          <w:trHeight w:val="567"/>
          <w:tblHeader/>
        </w:trPr>
        <w:tc>
          <w:tcPr>
            <w:tcW w:w="1233" w:type="dxa"/>
            <w:vAlign w:val="center"/>
            <w:textDirection w:val="lrTb"/>
            <w:noWrap w:val="false"/>
          </w:tcPr>
          <w:p>
            <w:pPr>
              <w:pStyle w:val="965"/>
              <w:jc w:val="center"/>
              <w:spacing w:line="44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部门职能</w:t>
            </w:r>
            <w:r>
              <w:rPr>
                <w:rFonts w:ascii="仿宋" w:hAnsi="仿宋" w:eastAsia="仿宋" w:cs="仿宋"/>
                <w:b/>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岗位</w:t>
            </w:r>
            <w:r>
              <w:rPr>
                <w:rFonts w:ascii="仿宋" w:hAnsi="仿宋" w:eastAsia="仿宋" w:cs="仿宋"/>
                <w:b/>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同时在岗人数</w:t>
            </w:r>
            <w:r>
              <w:rPr>
                <w:rFonts w:ascii="仿宋" w:hAnsi="仿宋" w:eastAsia="仿宋" w:cs="仿宋"/>
                <w:b/>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岗位所需总人数</w:t>
            </w:r>
            <w:r>
              <w:rPr>
                <w:rFonts w:ascii="仿宋" w:hAnsi="仿宋" w:eastAsia="仿宋" w:cs="仿宋"/>
                <w:b/>
                <w:sz w:val="24"/>
                <w:szCs w:val="24"/>
                <w:highlight w:val="none"/>
              </w:rPr>
            </w:r>
            <w:r/>
          </w:p>
        </w:tc>
        <w:tc>
          <w:tcPr>
            <w:tcW w:w="3992" w:type="dxa"/>
            <w:vAlign w:val="center"/>
            <w:textDirection w:val="lrTb"/>
            <w:noWrap w:val="false"/>
          </w:tcPr>
          <w:p>
            <w:pPr>
              <w:pStyle w:val="965"/>
              <w:jc w:val="center"/>
              <w:spacing w:line="44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备注</w:t>
            </w:r>
            <w:r>
              <w:rPr>
                <w:rFonts w:ascii="仿宋" w:hAnsi="仿宋" w:eastAsia="仿宋" w:cs="仿宋"/>
                <w:b/>
                <w:sz w:val="24"/>
                <w:szCs w:val="24"/>
                <w:highlight w:val="none"/>
              </w:rPr>
            </w:r>
            <w:r/>
          </w:p>
        </w:tc>
      </w:tr>
      <w:tr>
        <w:trPr>
          <w:trHeight w:val="567"/>
        </w:trPr>
        <w:tc>
          <w:tcPr>
            <w:tcW w:w="1233"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服务中心</w:t>
            </w: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项目经理</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highlight w:val="none"/>
              </w:rPr>
            </w:pPr>
            <w:r>
              <w:rPr>
                <w:rFonts w:hint="eastAsia" w:ascii="仿宋" w:hAnsi="仿宋" w:eastAsia="仿宋" w:cs="仿宋"/>
                <w:bCs/>
                <w:sz w:val="24"/>
                <w:szCs w:val="24"/>
                <w:highlight w:val="none"/>
              </w:rPr>
              <w:t xml:space="preserve">负责项目全面统筹管理，大专及以上学历，5 年以上综合物业经理经验，熟悉物业、餐饮管理；工作日日间在岗，手机 24 小时畅通，早晚高峰门岗值勤。</w:t>
            </w:r>
            <w:r>
              <w:rPr>
                <w:rFonts w:ascii="仿宋" w:hAnsi="仿宋" w:eastAsia="仿宋" w:cs="仿宋"/>
                <w:highlight w:val="none"/>
              </w:rPr>
            </w:r>
            <w:r/>
          </w:p>
        </w:tc>
      </w:tr>
      <w:tr>
        <w:trPr>
          <w:trHeight w:val="567"/>
        </w:trPr>
        <w:tc>
          <w:tcPr>
            <w:tcW w:w="1233" w:type="dxa"/>
            <w:vAlign w:val="center"/>
            <w:vMerge w:val="restart"/>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安保服务</w:t>
            </w: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门卫保安</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4</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highlight w:val="none"/>
              </w:rPr>
            </w:pPr>
            <w:r>
              <w:rPr>
                <w:rFonts w:hint="eastAsia" w:ascii="仿宋" w:hAnsi="仿宋" w:eastAsia="仿宋" w:cs="仿宋"/>
                <w:bCs/>
                <w:sz w:val="24"/>
                <w:szCs w:val="24"/>
                <w:highlight w:val="none"/>
              </w:rPr>
              <w:t xml:space="preserve">24 小时轮班值守，年龄不超过 50 周岁，身心健康，（《江苏省中小学幼儿园治安保卫工作规定(三)》 专职保安人员应从保安服务公司聘用或由单位自行招用，具备相应的政治、业务、身体素质，年龄不高于50周岁，经有关法律和业务知识、技能培训，考核合格取得保安员证后方能上岗。）胜任本岗职务，持保安员证，有突发事件处置能力；上学、放学高峰期双岗在岗。</w:t>
            </w:r>
            <w:r>
              <w:rPr>
                <w:rFonts w:ascii="仿宋" w:hAnsi="仿宋" w:eastAsia="仿宋" w:cs="仿宋"/>
                <w:highlight w:val="none"/>
              </w:rPr>
            </w:r>
            <w:r/>
          </w:p>
        </w:tc>
      </w:tr>
      <w:tr>
        <w:trPr>
          <w:trHeight w:val="1531"/>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日间安保</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负责日间园区巡查与秩序维护，年龄不超过50周岁年龄，身心健康，（《江苏省中小学幼儿园治安保卫工作规定(三)》 专职保安人员应从保安服务公司聘用或由单位自行招用，具备相应的政治、业务、身体素质，年龄不高于50周岁，经有关法律和业务知识、技能培训，考核合格取得保安员证后方能上岗。）持保安员证，退役军人优先；工作日日间在岗，周末按需配合。</w:t>
            </w:r>
            <w:r>
              <w:rPr>
                <w:rFonts w:hint="eastAsia" w:ascii="仿宋" w:hAnsi="仿宋" w:eastAsia="仿宋" w:cs="仿宋"/>
                <w:bCs/>
                <w:sz w:val="24"/>
                <w:szCs w:val="24"/>
                <w:highlight w:val="none"/>
              </w:rPr>
            </w:r>
            <w:r/>
          </w:p>
          <w:p>
            <w:pPr>
              <w:pStyle w:val="965"/>
              <w:spacing w:line="44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日间安保岗位实质为保安队长，工作职责包含园区日常巡查、安保人员排班管理、突发情况应急处置、秩序维护等，对人员纪律素养、现场应变能力、团队管理能力要求较高。</w:t>
            </w:r>
            <w:r>
              <w:rPr>
                <w:rFonts w:hint="eastAsia" w:ascii="仿宋" w:hAnsi="仿宋" w:eastAsia="仿宋" w:cs="仿宋"/>
                <w:bCs/>
                <w:sz w:val="24"/>
                <w:szCs w:val="24"/>
                <w:highlight w:val="none"/>
              </w:rPr>
            </w:r>
            <w:r/>
          </w:p>
          <w:p>
            <w:pPr>
              <w:pStyle w:val="965"/>
              <w:spacing w:line="440" w:lineRule="exact"/>
              <w:widowControl/>
              <w:rPr>
                <w:rFonts w:ascii="仿宋" w:hAnsi="仿宋" w:eastAsia="仿宋" w:cs="仿宋"/>
                <w:highlight w:val="none"/>
              </w:rPr>
            </w:pPr>
            <w:r>
              <w:rPr>
                <w:rFonts w:hint="eastAsia" w:ascii="仿宋" w:hAnsi="仿宋" w:eastAsia="仿宋" w:cs="仿宋"/>
                <w:bCs/>
                <w:sz w:val="24"/>
                <w:szCs w:val="24"/>
                <w:highlight w:val="none"/>
              </w:rPr>
              <w:t xml:space="preserve">依据《中华人民共和国退役军人保障法》相关鼓励政策，为发挥退役军人在安保维稳领域的能力优势，本岗位设置同等条件下退役军人优先。</w:t>
            </w:r>
            <w:r>
              <w:rPr>
                <w:rFonts w:ascii="仿宋" w:hAnsi="仿宋" w:eastAsia="仿宋" w:cs="仿宋"/>
                <w:highlight w:val="none"/>
              </w:rPr>
            </w:r>
            <w:r/>
          </w:p>
        </w:tc>
      </w:tr>
      <w:tr>
        <w:trPr>
          <w:trHeight w:val="567"/>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消防监控</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 小时轮班值守，熟悉消防主机与监控系统操作；细致严谨，熟悉园区点位与疏散路线。身心健康（非退休年龄），胜任本岗职务，持有中级消防设施操作员证。具有同类物业消防监控工作经验。</w:t>
            </w:r>
            <w:r>
              <w:rPr>
                <w:rFonts w:hint="eastAsia" w:ascii="仿宋" w:hAnsi="仿宋" w:eastAsia="仿宋" w:cs="仿宋"/>
                <w:bCs/>
                <w:sz w:val="24"/>
                <w:szCs w:val="24"/>
                <w:highlight w:val="none"/>
              </w:rPr>
            </w:r>
            <w:r/>
          </w:p>
        </w:tc>
      </w:tr>
      <w:tr>
        <w:trPr>
          <w:trHeight w:val="567"/>
        </w:trPr>
        <w:tc>
          <w:tcPr>
            <w:tcW w:w="1233" w:type="dxa"/>
            <w:vAlign w:val="center"/>
            <w:vMerge w:val="restart"/>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工程技术</w:t>
            </w: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弱电设备专管员</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弱电系统运维与会议设备保障，大专及以上学历，身心健康（非退休年龄），持有高压电工作业证或低压电工作业证；具有网络与信息安全管理员证书或计算机网络管理员职业资格证书，具有同类物业弱电设备管理经验。工作日日间在岗，24 小时通讯畅通。</w:t>
            </w:r>
            <w:r>
              <w:rPr>
                <w:rFonts w:ascii="仿宋" w:hAnsi="仿宋" w:eastAsia="仿宋" w:cs="仿宋"/>
                <w:bCs/>
                <w:sz w:val="24"/>
                <w:szCs w:val="24"/>
                <w:highlight w:val="none"/>
              </w:rPr>
            </w:r>
            <w:r/>
          </w:p>
        </w:tc>
      </w:tr>
      <w:tr>
        <w:trPr>
          <w:trHeight w:val="567"/>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工程维修员</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负责强电及综合设施维修，高中及以上学历，身心健康（非退休年龄），持有高压电工作业证，具有同类物业工程维修经验。工作日日间在岗，24 小时通讯畅通。</w:t>
            </w:r>
            <w:r>
              <w:rPr>
                <w:rFonts w:ascii="仿宋" w:hAnsi="仿宋" w:eastAsia="仿宋" w:cs="仿宋"/>
                <w:bCs/>
                <w:sz w:val="24"/>
                <w:szCs w:val="24"/>
                <w:highlight w:val="none"/>
              </w:rPr>
            </w:r>
            <w:r/>
          </w:p>
        </w:tc>
      </w:tr>
      <w:tr>
        <w:trPr>
          <w:trHeight w:val="567"/>
        </w:trPr>
        <w:tc>
          <w:tcPr>
            <w:tcW w:w="1233" w:type="dxa"/>
            <w:vAlign w:val="center"/>
            <w:vMerge w:val="restart"/>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餐饮服务</w:t>
            </w: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厨师长</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负责厨房全面管理与餐食出品，身心健康（非退休年龄），持有中式烹调师三级（高级）及以上职业资格证，具有三年及以上同类单位食堂管理业绩。落实食品安全制度，保障公务接待餐食；持健康证。</w:t>
            </w:r>
            <w:r>
              <w:rPr>
                <w:rFonts w:ascii="仿宋" w:hAnsi="仿宋" w:eastAsia="仿宋" w:cs="仿宋"/>
                <w:bCs/>
                <w:sz w:val="24"/>
                <w:szCs w:val="24"/>
                <w:highlight w:val="none"/>
              </w:rPr>
            </w:r>
            <w:r/>
          </w:p>
        </w:tc>
      </w:tr>
      <w:tr>
        <w:trPr>
          <w:trHeight w:val="567"/>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幼儿厨师</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负责幼儿餐食制作，持厨师证，身心健康（非退休年龄）；持有中式烹调师中级及以上证书，具有三年及以上餐饮服务工作经验。熟悉幼儿营养需求，落实留样制度；持健康证。</w:t>
            </w:r>
            <w:r>
              <w:rPr>
                <w:rFonts w:ascii="仿宋" w:hAnsi="仿宋" w:eastAsia="仿宋" w:cs="仿宋"/>
                <w:bCs/>
                <w:sz w:val="24"/>
                <w:szCs w:val="24"/>
                <w:highlight w:val="none"/>
              </w:rPr>
            </w:r>
            <w:r/>
          </w:p>
        </w:tc>
      </w:tr>
      <w:tr>
        <w:trPr>
          <w:trHeight w:val="567"/>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面点师</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负责幼儿点心、教职工面点制作，身心健康（非退休年龄），持有中式面点师和西式面点师职业资格证书，有托幼机构面点工作经验，持健康证。</w:t>
            </w:r>
            <w:r>
              <w:rPr>
                <w:rFonts w:ascii="仿宋" w:hAnsi="仿宋" w:eastAsia="仿宋" w:cs="仿宋"/>
                <w:bCs/>
                <w:sz w:val="24"/>
                <w:szCs w:val="24"/>
                <w:highlight w:val="none"/>
              </w:rPr>
            </w:r>
            <w:r/>
          </w:p>
        </w:tc>
      </w:tr>
      <w:tr>
        <w:trPr>
          <w:trHeight w:val="567"/>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食堂切配</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负责食材切配、餐具清洗、厨房卫生，协助餐食配送，持健康证。</w:t>
            </w:r>
            <w:r>
              <w:rPr>
                <w:rFonts w:ascii="仿宋" w:hAnsi="仿宋" w:eastAsia="仿宋" w:cs="仿宋"/>
                <w:bCs/>
                <w:sz w:val="24"/>
                <w:szCs w:val="24"/>
                <w:highlight w:val="none"/>
              </w:rPr>
            </w:r>
            <w:r/>
          </w:p>
        </w:tc>
      </w:tr>
      <w:tr>
        <w:trPr>
          <w:trHeight w:val="567"/>
        </w:trPr>
        <w:tc>
          <w:tcPr>
            <w:tcW w:w="1233" w:type="dxa"/>
            <w:vAlign w:val="center"/>
            <w:vMerge w:val="restart"/>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保洁服务</w:t>
            </w: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室外保洁员</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负责室外公共区域、游乐设施清洁消毒，身心健康（非退休年龄）。</w:t>
            </w:r>
            <w:r>
              <w:rPr>
                <w:rFonts w:ascii="仿宋" w:hAnsi="仿宋" w:eastAsia="仿宋" w:cs="仿宋"/>
                <w:bCs/>
                <w:sz w:val="24"/>
                <w:szCs w:val="24"/>
                <w:highlight w:val="none"/>
              </w:rPr>
            </w:r>
            <w:r/>
          </w:p>
        </w:tc>
      </w:tr>
      <w:tr>
        <w:trPr>
          <w:trHeight w:val="567"/>
        </w:trPr>
        <w:tc>
          <w:tcPr>
            <w:tcW w:w="1233" w:type="dxa"/>
            <w:vAlign w:val="center"/>
            <w:vMerge w:val="continue"/>
            <w:textDirection w:val="lrTb"/>
            <w:noWrap w:val="false"/>
          </w:tcPr>
          <w:p>
            <w:pPr>
              <w:pStyle w:val="965"/>
              <w:jc w:val="center"/>
              <w:spacing w:line="440" w:lineRule="exact"/>
              <w:widowControl/>
              <w:rPr>
                <w:rFonts w:ascii="仿宋" w:hAnsi="仿宋" w:eastAsia="仿宋" w:cs="仿宋"/>
                <w:bCs/>
                <w:sz w:val="24"/>
                <w:szCs w:val="24"/>
                <w:highlight w:val="none"/>
              </w:rPr>
            </w:pP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室内保洁员</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负责办公区、公共区域、卫生间等室内保洁，身心健康（非退休年龄）。</w:t>
            </w:r>
            <w:r>
              <w:rPr>
                <w:rFonts w:hint="eastAsia" w:ascii="仿宋" w:hAnsi="仿宋" w:eastAsia="仿宋" w:cs="仿宋"/>
                <w:bCs/>
                <w:sz w:val="24"/>
                <w:szCs w:val="24"/>
                <w:highlight w:val="none"/>
              </w:rPr>
            </w:r>
            <w:r/>
          </w:p>
        </w:tc>
      </w:tr>
      <w:tr>
        <w:trPr>
          <w:trHeight w:val="567"/>
        </w:trPr>
        <w:tc>
          <w:tcPr>
            <w:tcW w:w="1233" w:type="dxa"/>
            <w:vAlign w:val="center"/>
            <w:textDirection w:val="lrTb"/>
            <w:noWrap w:val="false"/>
          </w:tcPr>
          <w:p>
            <w:pPr>
              <w:pStyle w:val="965"/>
              <w:jc w:val="center"/>
              <w:spacing w:line="44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幼儿保育辅助</w:t>
            </w:r>
            <w:r>
              <w:rPr>
                <w:rFonts w:hint="eastAsia"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幼儿保育辅助人员</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负责教室卫生消毒与保育协助，身心健康（非退休年龄），具有相关幼儿保育辅助工作经验，有亲和力，熟悉托幼卫生消毒规范，持健康证。</w:t>
            </w:r>
            <w:r>
              <w:rPr>
                <w:rFonts w:ascii="仿宋" w:hAnsi="仿宋" w:eastAsia="仿宋" w:cs="仿宋"/>
                <w:bCs/>
                <w:sz w:val="24"/>
                <w:szCs w:val="24"/>
                <w:highlight w:val="none"/>
              </w:rPr>
            </w:r>
            <w:r/>
          </w:p>
        </w:tc>
      </w:tr>
      <w:tr>
        <w:trPr>
          <w:trHeight w:val="567"/>
        </w:trPr>
        <w:tc>
          <w:tcPr>
            <w:tcW w:w="1233"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绿化养护</w:t>
            </w:r>
            <w:r>
              <w:rPr>
                <w:rFonts w:ascii="仿宋" w:hAnsi="仿宋" w:eastAsia="仿宋" w:cs="仿宋"/>
                <w:bCs/>
                <w:sz w:val="24"/>
                <w:szCs w:val="24"/>
                <w:highlight w:val="none"/>
              </w:rPr>
            </w:r>
            <w:r/>
          </w:p>
        </w:tc>
        <w:tc>
          <w:tcPr>
            <w:tcW w:w="1600"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绿化工</w:t>
            </w:r>
            <w:r>
              <w:rPr>
                <w:rFonts w:ascii="仿宋" w:hAnsi="仿宋" w:eastAsia="仿宋" w:cs="仿宋"/>
                <w:bCs/>
                <w:sz w:val="24"/>
                <w:szCs w:val="24"/>
                <w:highlight w:val="none"/>
              </w:rPr>
            </w:r>
            <w:r/>
          </w:p>
        </w:tc>
        <w:tc>
          <w:tcPr>
            <w:tcW w:w="1128"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1216" w:type="dxa"/>
            <w:vAlign w:val="center"/>
            <w:textDirection w:val="lrTb"/>
            <w:noWrap w:val="false"/>
          </w:tcPr>
          <w:p>
            <w:pPr>
              <w:pStyle w:val="965"/>
              <w:jc w:val="center"/>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r>
            <w:r/>
          </w:p>
        </w:tc>
        <w:tc>
          <w:tcPr>
            <w:tcW w:w="3992" w:type="dxa"/>
            <w:vAlign w:val="center"/>
            <w:textDirection w:val="lrTb"/>
            <w:noWrap w:val="false"/>
          </w:tcPr>
          <w:p>
            <w:pPr>
              <w:pStyle w:val="965"/>
              <w:spacing w:line="440" w:lineRule="exact"/>
              <w:widowControl/>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负责室内外绿植养护，身心健康（非退休年龄），持有园林绿化工四级及以上证书。具备1年以上园区绿化养护经验；熟悉儿童友好绿化养护标准。</w:t>
            </w:r>
            <w:r>
              <w:rPr>
                <w:rFonts w:ascii="仿宋" w:hAnsi="仿宋" w:eastAsia="仿宋" w:cs="仿宋"/>
                <w:bCs/>
                <w:sz w:val="24"/>
                <w:szCs w:val="24"/>
                <w:highlight w:val="none"/>
              </w:rPr>
            </w:r>
            <w:r/>
          </w:p>
        </w:tc>
      </w:tr>
    </w:tbl>
    <w:p>
      <w:pPr>
        <w:pStyle w:val="965"/>
        <w:ind w:firstLine="420"/>
        <w:jc w:val="left"/>
        <w:spacing w:line="440" w:lineRule="exact"/>
        <w:widowControl/>
        <w:rPr>
          <w:rFonts w:ascii="仿宋" w:hAnsi="仿宋" w:eastAsia="仿宋" w:cs="仿宋"/>
          <w:bCs/>
          <w:sz w:val="24"/>
          <w:szCs w:val="24"/>
          <w:highlight w:val="none"/>
        </w:rPr>
      </w:pPr>
      <w:r>
        <w:rPr>
          <w:rFonts w:hint="eastAsia" w:ascii="仿宋" w:hAnsi="仿宋" w:eastAsia="仿宋" w:cs="仿宋"/>
          <w:sz w:val="24"/>
          <w:szCs w:val="24"/>
          <w:highlight w:val="none"/>
        </w:rPr>
        <w:t xml:space="preserve">注：</w:t>
      </w:r>
      <w:r>
        <w:rPr>
          <w:rFonts w:hint="eastAsia" w:ascii="仿宋" w:hAnsi="仿宋" w:eastAsia="仿宋" w:cs="仿宋"/>
          <w:bCs/>
          <w:sz w:val="24"/>
          <w:szCs w:val="24"/>
          <w:highlight w:val="none"/>
        </w:rPr>
        <w:t xml:space="preserve">中标方应当按国家相关法律法规，合理确定服务人员工资标准、工作时间等。</w:t>
      </w:r>
      <w:r>
        <w:rPr>
          <w:rFonts w:ascii="仿宋" w:hAnsi="仿宋" w:eastAsia="仿宋" w:cs="仿宋"/>
          <w:bCs/>
          <w:sz w:val="24"/>
          <w:szCs w:val="24"/>
          <w:highlight w:val="none"/>
        </w:rPr>
      </w:r>
      <w:r/>
    </w:p>
    <w:p>
      <w:pPr>
        <w:pStyle w:val="965"/>
        <w:ind w:firstLine="480"/>
        <w:spacing w:line="440" w:lineRule="exact"/>
        <w:rPr>
          <w:rFonts w:hint="eastAsia" w:ascii="宋体" w:hAnsi="宋体"/>
          <w:b/>
          <w:bCs/>
          <w:sz w:val="28"/>
          <w:szCs w:val="28"/>
          <w:highlight w:val="none"/>
        </w:rPr>
      </w:pPr>
      <w:r>
        <w:rPr>
          <w:rFonts w:hint="eastAsia" w:ascii="仿宋" w:hAnsi="仿宋" w:eastAsia="仿宋" w:cs="仿宋"/>
          <w:bCs/>
          <w:sz w:val="24"/>
          <w:szCs w:val="24"/>
          <w:highlight w:val="none"/>
        </w:rPr>
        <w:t xml:space="preserve">中标方应当自行为服务人员办理必需的保险，有关人员伤亡及第三者责任险均应当考虑在报价因素中。</w:t>
      </w:r>
      <w:bookmarkEnd w:id="166"/>
      <w:r/>
      <w:bookmarkEnd w:id="167"/>
      <w:r/>
      <w:bookmarkEnd w:id="168"/>
      <w:r>
        <w:rPr>
          <w:rFonts w:hint="eastAsia" w:ascii="宋体" w:hAnsi="宋体"/>
          <w:b/>
          <w:bCs/>
          <w:sz w:val="28"/>
          <w:szCs w:val="28"/>
          <w:highlight w:val="none"/>
        </w:rPr>
      </w:r>
      <w:r/>
    </w:p>
    <w:p>
      <w:pPr>
        <w:pStyle w:val="965"/>
        <w:ind w:firstLine="562"/>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5.1</w:t>
      </w:r>
      <w:r>
        <w:rPr>
          <w:rFonts w:hint="eastAsia" w:ascii="方正仿宋_GBK" w:hAnsi="方正仿宋_GBK" w:eastAsia="方正仿宋_GBK" w:cs="方正仿宋_GBK"/>
          <w:bCs/>
          <w:i/>
          <w:iCs/>
          <w:sz w:val="28"/>
          <w:szCs w:val="28"/>
          <w:highlight w:val="none"/>
          <w:u w:val="single"/>
        </w:rPr>
        <w:t xml:space="preserve">为本项目服务的团队人数不得少于采购人需求核定的26人配备，且承诺上岗前均持有健康证。</w:t>
      </w:r>
      <w:r>
        <w:rPr>
          <w:rFonts w:hint="eastAsia" w:ascii="方正仿宋_GBK" w:hAnsi="方正仿宋_GBK" w:eastAsia="方正仿宋_GBK" w:cs="方正仿宋_GBK"/>
          <w:bCs/>
          <w:sz w:val="28"/>
          <w:szCs w:val="28"/>
          <w:highlight w:val="none"/>
        </w:rPr>
        <w:t xml:space="preserve">到岗后按照委托人要求办理托幼机构工作人员健康合格证，食堂人员办理南京市托幼机构食堂人员培训证。</w:t>
      </w:r>
      <w:r>
        <w:rPr>
          <w:rFonts w:hint="eastAsia" w:ascii="方正仿宋_GBK" w:hAnsi="方正仿宋_GBK" w:eastAsia="方正仿宋_GBK" w:cs="方正仿宋_GBK"/>
          <w:bCs/>
          <w:sz w:val="28"/>
          <w:szCs w:val="28"/>
          <w:highlight w:val="none"/>
          <w:u w:val="single"/>
        </w:rPr>
      </w:r>
      <w:r/>
    </w:p>
    <w:p>
      <w:pPr>
        <w:pStyle w:val="965"/>
        <w:ind w:firstLine="560"/>
        <w:spacing w:line="440" w:lineRule="exact"/>
        <w:rPr>
          <w:rFonts w:hint="eastAsia" w:ascii="方正仿宋_GBK" w:hAnsi="方正仿宋_GBK" w:eastAsia="方正仿宋_GBK" w:cs="方正仿宋_GBK"/>
          <w:bCs/>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i/>
          <w:iCs/>
          <w:sz w:val="28"/>
          <w:szCs w:val="28"/>
          <w:highlight w:val="none"/>
          <w:u w:val="single"/>
        </w:rPr>
        <w:t xml:space="preserve">5.2为本项目服务的团队人员经采购人同意后，方可更换；且更换后的人员须符合招标文件上对该岗位的配置要求，并经采购人同意后，方可更换上岗。采购人认为需要更换的人员，中标方应在采购人规定的时间内，进行更换符合文件和采购人要求的人员。</w:t>
      </w:r>
      <w:r>
        <w:rPr>
          <w:rFonts w:hint="eastAsia" w:ascii="方正仿宋_GBK" w:hAnsi="方正仿宋_GBK" w:eastAsia="方正仿宋_GBK" w:cs="方正仿宋_GBK"/>
          <w:bCs/>
          <w:sz w:val="28"/>
          <w:szCs w:val="28"/>
          <w:highlight w:val="none"/>
          <w:u w:val="single"/>
        </w:rPr>
      </w:r>
      <w:r/>
    </w:p>
    <w:p>
      <w:pPr>
        <w:pStyle w:val="965"/>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5.3 中标方按劳动法规定规范用工，与劳动者签订劳动合同，按规定时间、标准支付工资和缴纳社会保障金，并将支付凭证复印件交采购人核查。如发现未按招标文件、投标文件的相关内容足额支付工资及缴纳社会保障金，相关费用从服务费用中扣除。</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i/>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5.4所有服务人员应符合本工作的身体健康状况，无重大疾病或传染病，精神饱满，统一服装，规范整齐，具备较高的道德品质、较强的责任心、良好的服务意识。</w:t>
      </w:r>
      <w:r>
        <w:rPr>
          <w:rFonts w:hint="eastAsia" w:ascii="方正仿宋_GBK" w:hAnsi="方正仿宋_GBK" w:eastAsia="方正仿宋_GBK" w:cs="方正仿宋_GBK"/>
          <w:bCs/>
          <w:i/>
          <w:iCs/>
          <w:sz w:val="28"/>
          <w:szCs w:val="28"/>
          <w:highlight w:val="none"/>
          <w:u w:val="single"/>
        </w:rPr>
        <w:t xml:space="preserve">所有服务人员工</w:t>
      </w:r>
      <w:r>
        <w:rPr>
          <w:rFonts w:hint="eastAsia" w:ascii="方正仿宋_GBK" w:hAnsi="方正仿宋_GBK" w:eastAsia="方正仿宋_GBK" w:cs="方正仿宋_GBK"/>
          <w:bCs/>
          <w:i/>
          <w:sz w:val="28"/>
          <w:szCs w:val="28"/>
          <w:highlight w:val="none"/>
          <w:u w:val="single"/>
        </w:rPr>
        <w:t xml:space="preserve">作期间必须遵守“五不”，即不喝酒、不抽烟、不擅离工作岗位，不迟到早退，不做与工作无关的事。</w:t>
      </w:r>
      <w:r>
        <w:rPr>
          <w:rFonts w:hint="eastAsia" w:ascii="方正仿宋_GBK" w:hAnsi="方正仿宋_GBK" w:eastAsia="方正仿宋_GBK" w:cs="方正仿宋_GBK"/>
          <w:bCs/>
          <w:i/>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5.5 中标方应对服务人员购置相关保险，因意外造成的伤害由中标方负责。</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5.6 所有保安秩序维护护卫人员上岗前必须提供由当地派出所出具无犯罪记录证明供采购人备案。</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5.7 中标供应商保证按投标文件所列人员全部上岗，有专门的培训部门和制度，有新进员工上岗前培训计划及针对本项目中标后员工培训计划，本项目员工上岗培训率应达到100％。</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5.8 中标供应商必须保证项目负责人及主要人员的稳定，不得中途（合同期内）调整上述人员离开采购人责任区域。如中标供应商擅自调整，则视为违反合同，采购单位有权解除合同，且不承担任何法律责任和经济责任。</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5.9合同签订后，3日内主要管理人员到岗，7日内其他工作人员到岗。退场时，应及时稳妥撤出物业管理服务项目，按照采购人要求毫无保留地移交档案资料、管理用房并做好设备设施等交接工作。</w:t>
      </w:r>
      <w:r>
        <w:rPr>
          <w:rFonts w:hint="eastAsia" w:ascii="方正仿宋_GBK" w:hAnsi="方正仿宋_GBK" w:eastAsia="方正仿宋_GBK" w:cs="方正仿宋_GBK"/>
          <w:sz w:val="28"/>
          <w:szCs w:val="28"/>
          <w:highlight w:val="none"/>
        </w:rPr>
      </w:r>
      <w:r/>
    </w:p>
    <w:p>
      <w:pPr>
        <w:pStyle w:val="965"/>
        <w:rPr>
          <w:rFonts w:ascii="仿宋" w:hAnsi="仿宋" w:eastAsia="仿宋" w:cs="仿宋"/>
          <w:highlight w:val="none"/>
        </w:rPr>
      </w:pPr>
      <w:r>
        <w:rPr>
          <w:rFonts w:ascii="仿宋" w:hAnsi="仿宋" w:eastAsia="仿宋" w:cs="仿宋"/>
          <w:highlight w:val="none"/>
        </w:rPr>
      </w:r>
      <w:r/>
    </w:p>
    <w:p>
      <w:pPr>
        <w:pStyle w:val="1003"/>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四、商务要求</w:t>
      </w:r>
      <w:r>
        <w:rPr>
          <w:rFonts w:hint="eastAsia" w:ascii="方正黑体_GBK" w:hAnsi="方正黑体_GBK" w:eastAsia="方正黑体_GBK" w:cs="方正黑体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1.实施期限：</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本项目服务期为两年。采取一次招标两年沿用，实行一年一签合同的办法。如果中标单位未能通过履约验收，不再续签下一年合同。</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2.服务地点：南京市江北新区沿江街道柳州东路京新广场南侧。</w:t>
      </w:r>
      <w:r>
        <w:rPr>
          <w:rFonts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3.付款方式</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按合同明确的第八条（合同款项支付）执行。</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4.验收标准与要求</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中标方必须严格执行南京市政府用工工资标准的有关规定，并承担其员工的劳动报酬、福利待遇，按劳动法缴纳社会保险、劳动保护、工伤抚恤等用人费用，承担未正确执行劳动用工规定所产生的法律责任，维护和保障员工的合法权益。</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采购人对中标方物业管理服务期限定在符合要求的基础上为二年，合同签订采取1+1模式。经采购人履约验收合格后可继续履行下一年合同；当年履约验收不合格，采购人有权拒绝续签下年度物业管理服务合同。在服务期内中标方如因自身履约不到位导致发生安全生产等重大事故，采购人有权提前终止合同并依法追究中标方责任。</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（3）如中标方在合同期内两次季度考核不合格，直接认定为履约验收不合格。</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（4）《政府采购履约验收书参考样本》详见本章附件1。</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（5）《江苏省儿童康复研究中心物业管理服务考核办法》详见本章附件2。</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5.报价要求</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（1）投标应以人民币报价。以报实价为准，报价时应考虑所有可能影响到报价的价格因素（含政策性费用调整），一旦中标，总价将包定，合同期（两年）内不予调整。</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i/>
          <w:iCs/>
          <w:sz w:val="28"/>
          <w:szCs w:val="28"/>
          <w:highlight w:val="none"/>
          <w:u w:val="single"/>
        </w:rPr>
        <w:t xml:space="preserve">（2）中标方应与投入本项目的所有服务人员依法建立劳动关系，并签订劳动合同。人员工资应符合南京市现行法规要求，不低于南京市最低工资标准。中标方应依法为本项目所有员工缴纳规定的各项社会保险及公积金（五险一金）并不低于南京市最低缴费标准。</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（3）投标报价是根据招标文件所确定的管理服务范围内的全部工作人员和内容的价格体现，是为完成招标文件规定的服务管理工作所涉及的一切费用，包括但不限于以下内容：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1）人员费用（24个月工资、员工“五险一金”社会保障费用、每年福利、培训、体检、高温费、服装费、通讯费、劳保防护、法定节假日加班费、年终奖金、利润、税金及其他费用等）。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2）法定节假日加班费。法定节假日在岗人数不少于投入总人数的10%，计算公式为：人员月工资÷21.75天×3倍×在岗人数×13天×2年，中标方报价中的法定节假日人员加班费不得低于上述要求。</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本项目投标按照2年服务期、不少于26人配备进行报价。因江苏省儿童康复研究中心将要搬迁，过渡期间（包括未搬迁前旧中心物业、搬迁过渡期新中心物业）的物业费用结算，按照实际在岗人数及实际完成工作量，参照投标文件报价明细表标准同比例核算，据实结算。待搬迁工作全面完成、新中心正式全面运营后，按正式合同标准配置人员、执行全额物业服务及费用核算标准。</w:t>
      </w:r>
      <w:r>
        <w:rPr>
          <w:rFonts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r>
      <w:r/>
    </w:p>
    <w:p>
      <w:pPr>
        <w:pStyle w:val="1003"/>
        <w:spacing w:before="120" w:after="120"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五、其他要求</w:t>
      </w:r>
      <w:r>
        <w:rPr>
          <w:rFonts w:hint="eastAsia" w:ascii="方正黑体_GBK" w:hAnsi="方正黑体_GBK" w:eastAsia="方正黑体_GBK" w:cs="方正黑体_GBK"/>
          <w:bCs/>
          <w:sz w:val="28"/>
          <w:szCs w:val="28"/>
          <w:highlight w:val="none"/>
        </w:rPr>
      </w:r>
      <w:r/>
    </w:p>
    <w:p>
      <w:pPr>
        <w:pStyle w:val="965"/>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（一）项目属性：服务类项目。</w:t>
      </w:r>
      <w:r>
        <w:rPr>
          <w:rFonts w:hint="eastAsia" w:ascii="方正仿宋_GBK" w:hAnsi="方正仿宋_GBK" w:eastAsia="方正仿宋_GBK" w:cs="方正仿宋_GBK"/>
          <w:bCs/>
          <w:color w:val="000000"/>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000000"/>
          <w:sz w:val="28"/>
          <w:szCs w:val="28"/>
          <w:highlight w:val="none"/>
        </w:rPr>
        <w:t xml:space="preserve">（二）</w:t>
      </w:r>
      <w:r>
        <w:rPr>
          <w:rFonts w:hint="eastAsia" w:ascii="方正仿宋_GBK" w:hAnsi="方正仿宋_GBK" w:eastAsia="方正仿宋_GBK" w:cs="方正仿宋_GBK"/>
          <w:bCs/>
          <w:sz w:val="28"/>
          <w:szCs w:val="28"/>
          <w:highlight w:val="none"/>
        </w:rPr>
        <w:t xml:space="preserve">需要说明的其他事项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1.所有服务内容产生的费用由采购人承担，包括但不限于一切机械工具、耗材、其它用具等。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2.专业维保的费用由采购人负责，中标方协助做好相关工作。</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（三）项目服务方案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 项目实施方案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投标人应根据招标文件提供的人员配置情况、各项管理标准、工作要求制定合理、合法、高效、切实可行的实施方案，加强工作人员管理和考核。制定员工培训计划，确保员工业务能力适应岗位要求。</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（1）人员配置情况：包括但不限于根据招标文件提供的人员配置情况，明确岗位设置、人员数量、资质要求、排班值守、替补机制、持证上岗等内容，确保人员配置满足项目需求。</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（2）各项管理标准：包括但不限于制定合理、合法、高效、切实可行的管理方案，明确各项管理标准、工作规范、质量目标、考核办法、监督检查及奖惩机制，加强工作人员管理和考核。</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（3）工作要求制定：包括但不限于制定员工培训计划、岗位操作规程、服务要求、业务能力提升计划、考核评价及持续改进机制，确保员工业务能力上适应岗位要求。</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 管理运作方案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投标人针对本项目特点提出管理模式、运作流程、项目保障等。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（1）管理模式：包括但不限于组织架构、管理机制、责任分工、协调联动、监督考核等内容。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（2）运作流程：包括但不限于日常管理、报事报修、巡查巡检、投诉处理、信息反馈、质量改进等流程。</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（3）项目保障：包括但不限于人员、技术、制度、培训、公司支持等保障措施。</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 安保消防方案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投标人提供关于人员、重点部位安全管理等问题的对策方案，应包括人员管理、安全维护、治安防盗、消防管理、监控中心管理、车辆管理等。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（1）人员精细化管理：包括但不限于明确岗位值守、巡查、管控、应急处置等职责，制定常态化考勤、督查、考核机制；细化交接班流程、在岗工作标准，定期开展技能、安全规范、应急处置专项培训等内容。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（2）安全管理：包括但不限于重点部位安全管理、安全维护、治安防盗、消防管理、监控中心管理、车辆管理、巡查巡检、隐患整改、应急处置等内容。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4. 工程维修方案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投标人提供房屋、设备等维护方案，应包括房屋主体结构、维护结构、各类设施设备等。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（1）房屋主体结构维护：包括但不限于房屋主体结构、维护结构、屋面、墙面、地面、门窗、楼梯通道等维护内容。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（2）各类设施设备维修保养：包括但不限于给排水、供配电、照明、电梯、空调、消防、弱电、监控等设施设备维修保养、巡检、报修、档案管理等内容。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5. 绿化养护方案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投标人提供区域内绿化服务内容、养护措施方案，应包括草坪、树木等的修剪、淋水、病虫害、防冻等。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（1）绿化服务内容：包括但不限于区域范围、草坪、树木、花卉、绿篱、盆栽等绿化服务内容。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（2）养护措施方案：包括但不限于修剪、淋水、施肥、病虫害防治、防冻、松土除草、垃圾清运等养护措施。</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6. 餐饮服务方案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投标人提供食堂人员配置、整体运营方案，应包括人员管理、成本核算、仓库管理、消防安全、食品安全等。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（1）人员规范化配置与管理：包括但不限于明确各岗位职责、操作规范、卫生标准，建立人员考勤、培训、考核、健康监测常态化机制，定期开展食品安全、操作规范、服务礼仪、消防安全专项培训等内容。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（2）整体运营方案：包括但不限于人员管理、消防安全、食品安全、供餐流程、卫生管理等内容。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7. 保洁服务方案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废弃物清理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（1）综合保洁：包括但不限于各区域日常保洁、公共场地、“门前三包”区域、垃圾废弃物清理等内容。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（2）保养方案：包括但不限于地面、墙面、天花板、门窗玻璃、门及门窗框、外墙、办公家具、设备设施表面等保洁保养计划、频次、标准、质量控制等内容。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8. 幼儿保育辅助方案</w:t>
      </w:r>
      <w:r>
        <w:rPr>
          <w:rFonts w:ascii="方正仿宋_GBK" w:hAnsi="方正仿宋_GBK" w:eastAsia="方正仿宋_GBK" w:cs="方正仿宋_GBK"/>
          <w:bCs/>
          <w:sz w:val="28"/>
          <w:szCs w:val="28"/>
          <w:highlight w:val="none"/>
        </w:rPr>
      </w:r>
      <w:r/>
    </w:p>
    <w:p>
      <w:pPr>
        <w:pStyle w:val="965"/>
        <w:ind w:firstLine="560"/>
        <w:spacing w:line="440" w:lineRule="exact"/>
        <w:rPr>
          <w:rFonts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Cs/>
          <w:sz w:val="28"/>
          <w:szCs w:val="28"/>
          <w:highlight w:val="none"/>
        </w:rPr>
        <w:t xml:space="preserve">投标人应针对本项目特点，提供</w:t>
      </w:r>
      <w:r>
        <w:rPr>
          <w:rFonts w:hint="eastAsia" w:ascii="方正仿宋_GBK" w:hAnsi="方正仿宋_GBK" w:eastAsia="方正仿宋_GBK" w:cs="方正仿宋_GBK"/>
          <w:bCs/>
          <w:sz w:val="28"/>
          <w:szCs w:val="28"/>
          <w:highlight w:val="none"/>
        </w:rPr>
        <w:t xml:space="preserve">保育辅助</w:t>
      </w:r>
      <w:r>
        <w:rPr>
          <w:rFonts w:ascii="方正仿宋_GBK" w:hAnsi="方正仿宋_GBK" w:eastAsia="方正仿宋_GBK" w:cs="方正仿宋_GBK"/>
          <w:bCs/>
          <w:sz w:val="28"/>
          <w:szCs w:val="28"/>
          <w:highlight w:val="none"/>
        </w:rPr>
        <w:t xml:space="preserve">服务方案，包括卫生消毒、保育协助、工作规范等内容，确保教学区域环境卫生、保育配合到位、服务行为规范。</w:t>
      </w:r>
      <w:r>
        <w:rPr>
          <w:rFonts w:ascii="方正仿宋_GBK" w:hAnsi="方正仿宋_GBK" w:eastAsia="方正仿宋_GBK" w:cs="方正仿宋_GBK"/>
          <w:bCs/>
          <w:sz w:val="28"/>
          <w:szCs w:val="28"/>
          <w:highlight w:val="none"/>
        </w:rPr>
      </w:r>
      <w:r/>
    </w:p>
    <w:p>
      <w:pPr>
        <w:pStyle w:val="965"/>
        <w:ind w:firstLine="560"/>
        <w:spacing w:line="440" w:lineRule="exact"/>
        <w:rPr>
          <w:rFonts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Cs/>
          <w:sz w:val="28"/>
          <w:szCs w:val="28"/>
          <w:highlight w:val="none"/>
        </w:rPr>
        <w:t xml:space="preserve">（1）卫生消毒：包括但不限于制定教室卫生消毒专项方案，明确岗位人员、责任区域、作业时间、操作流程和质量标准</w:t>
      </w:r>
      <w:r>
        <w:rPr>
          <w:rFonts w:hint="eastAsia" w:ascii="方正仿宋_GBK" w:hAnsi="方正仿宋_GBK" w:eastAsia="方正仿宋_GBK" w:cs="方正仿宋_GBK"/>
          <w:bCs/>
          <w:sz w:val="28"/>
          <w:szCs w:val="28"/>
          <w:highlight w:val="none"/>
        </w:rPr>
        <w:t xml:space="preserve">等。</w:t>
      </w:r>
      <w:r>
        <w:rPr>
          <w:rFonts w:ascii="方正仿宋_GBK" w:hAnsi="方正仿宋_GBK" w:eastAsia="方正仿宋_GBK" w:cs="方正仿宋_GBK"/>
          <w:bCs/>
          <w:sz w:val="28"/>
          <w:szCs w:val="28"/>
          <w:highlight w:val="none"/>
        </w:rPr>
      </w:r>
      <w:r/>
    </w:p>
    <w:p>
      <w:pPr>
        <w:pStyle w:val="965"/>
        <w:ind w:firstLine="560"/>
        <w:spacing w:line="440" w:lineRule="exact"/>
        <w:rPr>
          <w:rFonts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Cs/>
          <w:sz w:val="28"/>
          <w:szCs w:val="28"/>
          <w:highlight w:val="none"/>
        </w:rPr>
        <w:t xml:space="preserve">（2）保育协助：包括但不限于制定保育协助工作流程和交接班制度，配合班级教师开展保育工作，明确与班级教师、保健人员、管理人员的沟通联动机制</w:t>
      </w:r>
      <w:r>
        <w:rPr>
          <w:rFonts w:hint="eastAsia" w:ascii="方正仿宋_GBK" w:hAnsi="方正仿宋_GBK" w:eastAsia="方正仿宋_GBK" w:cs="方正仿宋_GBK"/>
          <w:bCs/>
          <w:sz w:val="28"/>
          <w:szCs w:val="28"/>
          <w:highlight w:val="none"/>
        </w:rPr>
        <w:t xml:space="preserve">等</w:t>
      </w:r>
      <w:r>
        <w:rPr>
          <w:rFonts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Cs/>
          <w:sz w:val="28"/>
          <w:szCs w:val="28"/>
          <w:highlight w:val="none"/>
        </w:rPr>
        <w:t xml:space="preserve">（3）工作规范：包括但不限于制定</w:t>
      </w:r>
      <w:r>
        <w:rPr>
          <w:rFonts w:hint="eastAsia" w:ascii="方正仿宋_GBK" w:hAnsi="方正仿宋_GBK" w:eastAsia="方正仿宋_GBK" w:cs="方正仿宋_GBK"/>
          <w:bCs/>
          <w:sz w:val="28"/>
          <w:szCs w:val="28"/>
          <w:highlight w:val="none"/>
        </w:rPr>
        <w:t xml:space="preserve">保育辅助</w:t>
      </w:r>
      <w:r>
        <w:rPr>
          <w:rFonts w:ascii="方正仿宋_GBK" w:hAnsi="方正仿宋_GBK" w:eastAsia="方正仿宋_GBK" w:cs="方正仿宋_GBK"/>
          <w:bCs/>
          <w:sz w:val="28"/>
          <w:szCs w:val="28"/>
          <w:highlight w:val="none"/>
        </w:rPr>
        <w:t xml:space="preserve">人员行为规范、培训考核和监督检查制度</w:t>
      </w:r>
      <w:r>
        <w:rPr>
          <w:rFonts w:hint="eastAsia" w:ascii="方正仿宋_GBK" w:hAnsi="方正仿宋_GBK" w:eastAsia="方正仿宋_GBK" w:cs="方正仿宋_GBK"/>
          <w:bCs/>
          <w:sz w:val="28"/>
          <w:szCs w:val="28"/>
          <w:highlight w:val="none"/>
        </w:rPr>
        <w:t xml:space="preserve">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9. 应急处置方案</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投标人针对各类纠纷、消防、台风、暴雨、冻雪等灾害性天气及预防泄密、水电气突发故障等其他突发事件，提供相应的措施，重点说明如何快速调配所需人员、具体操作流程、长效措施等，说明所需人员岗位安排分配明细情况（包括人员数量配置、公司支持力度等）。</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（1）应急方案：包括但不限于各类纠纷、消防、台风、暴雨、冻雪、泄密、水电气突发故障等突发事件的预防、响应、处置、恢复、长效措施等内容。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（2）人员调配：包括但不限于快速调配人员、岗位安排分配明细、人员数量配置、公司支持力度、备勤机制、通讯保障等内容。</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10.交接方案：为确保物业服务平稳过渡，投标人应做好服务启动及合同到期时的各项交接工作，制定详细的交接方案，明确交接时间、范围、步骤等关键内容。交接期间，须保障服务质量，妥善协调人员安排。交接过程应有序进行并做好记录，双方保持良好沟通，确保交接工作的连续性与平稳性。若因投标人原因未能按时完成交接，服务商应出具书面说明，因此产生的延迟交接时间及相关费用由服务商承担。</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1）交接期间人员协调：包括但不限于制定平稳过渡交接机制，科学排布交接阶段人员岗位，合理配置管理、值守、保洁、维修等在岗人员，确保交接期间服务不缺位、标准不降低。全程坚守在岗值守制度，杜绝因人员变动出现服务断层、管理真空等问题。严格落实交接期间岗位职责，全员坚守工作标准，保障日常管理、卫生保洁、安全巡查、设施运维等常规工作正常开展，全面保障过渡期物业服务平稳有序运行。</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2）交接台账管理：包括但不限于建立规范化交接台账体系，明确交接时间、交接范围、工作步骤等关键内容。对设施设备台账、巡查记录、报修台账、物资物料、问题整改记录等逐项盘点登记、分类归档。全程做好交接记录，细化交接清单并由双方签字确认，实现交接内容可查。</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3）交接期间沟通方案：包括但不限于建立常态化双向沟通机制，安排专人对接采购人及对接单位，实时同步交接进度、反馈交接问题。主动对接各项工作衔接细节，及时协调解决交接过程中的各类隐患与分歧。全程保持高效、顺畅的沟通对接，严格按照既定流程有序推进交接工作，确保整体交接工作平稳闭环、无缝衔接，保障物业服务连续性与稳定性。</w:t>
      </w:r>
      <w:r>
        <w:rPr>
          <w:rFonts w:hint="eastAsia" w:ascii="方正仿宋_GBK" w:hAnsi="方正仿宋_GBK" w:eastAsia="方正仿宋_GBK" w:cs="方正仿宋_GBK"/>
          <w:bCs/>
          <w:sz w:val="28"/>
          <w:szCs w:val="28"/>
          <w:highlight w:val="none"/>
        </w:rPr>
      </w:r>
      <w:r/>
    </w:p>
    <w:p>
      <w:pPr>
        <w:pStyle w:val="965"/>
        <w:ind w:firstLine="560"/>
        <w:spacing w:line="440" w:lineRule="exact"/>
        <w:rPr>
          <w:rFonts w:hint="eastAsia" w:ascii="方正仿宋_GBK" w:hAnsi="方正仿宋_GBK" w:eastAsia="方正仿宋_GBK" w:cs="方正仿宋_GBK"/>
          <w:bCs/>
          <w:strike/>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（四）投标人需具备良好的质量管理，优化资源利用效率，保障员工健康和安全，以保障本项目的顺利实施。</w:t>
      </w:r>
      <w:r>
        <w:rPr>
          <w:rFonts w:hint="eastAsia" w:ascii="方正仿宋_GBK" w:hAnsi="方正仿宋_GBK" w:eastAsia="方正仿宋_GBK" w:cs="方正仿宋_GBK"/>
          <w:bCs/>
          <w:strike/>
          <w:sz w:val="28"/>
          <w:szCs w:val="28"/>
          <w:highlight w:val="none"/>
        </w:rPr>
      </w:r>
      <w:r/>
    </w:p>
    <w:p>
      <w:pPr>
        <w:pStyle w:val="965"/>
        <w:ind w:firstLine="560"/>
        <w:spacing w:line="440" w:lineRule="exact"/>
        <w:rPr>
          <w:rFonts w:hint="eastAsia" w:ascii="方正仿宋_GBK" w:hAnsi="方正仿宋_GBK" w:eastAsia="方正仿宋_GBK" w:cs="方正仿宋_GBK"/>
          <w:bCs/>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sz w:val="28"/>
          <w:szCs w:val="28"/>
          <w:highlight w:val="none"/>
        </w:rPr>
        <w:t xml:space="preserve">（五）投标人需具备丰富的物业管理服务的相关承接经验，确保本项目的顺利实施，投标人自2023年1月1日以来承担过服务范围同时包含公用设施设备维护、保洁、安保、食堂餐饮、绿化上述所有内容的物业服务，并得到业主单位评价优秀或类似满意度评价的优先。</w:t>
      </w:r>
      <w:r>
        <w:rPr>
          <w:rFonts w:hint="eastAsia" w:ascii="方正仿宋_GBK" w:hAnsi="方正仿宋_GBK" w:eastAsia="方正仿宋_GBK" w:cs="方正仿宋_GBK"/>
          <w:bCs/>
          <w:sz w:val="28"/>
          <w:szCs w:val="28"/>
          <w:highlight w:val="none"/>
        </w:rPr>
      </w:r>
      <w:r/>
    </w:p>
    <w:p>
      <w:pPr>
        <w:pStyle w:val="965"/>
        <w:spacing w:line="400" w:lineRule="exact"/>
        <w:rPr>
          <w:rFonts w:ascii="仿宋" w:hAnsi="仿宋" w:eastAsia="仿宋" w:cs="仿宋"/>
          <w:sz w:val="28"/>
          <w:szCs w:val="28"/>
          <w:highlight w:val="none"/>
        </w:rPr>
        <w:outlineLvl w:val="2"/>
      </w:pPr>
      <w:r>
        <w:rPr>
          <w:rFonts w:hint="eastAsia" w:ascii="方正仿宋_GBK" w:hAnsi="方正仿宋_GBK" w:eastAsia="方正仿宋_GBK" w:cs="方正仿宋_GBK"/>
          <w:bCs/>
          <w:sz w:val="28"/>
          <w:szCs w:val="28"/>
          <w:highlight w:val="none"/>
        </w:rPr>
        <w:br w:type="page" w:clear="all"/>
      </w:r>
      <w:r>
        <w:rPr>
          <w:rFonts w:hint="eastAsia" w:ascii="仿宋" w:hAnsi="仿宋" w:eastAsia="仿宋" w:cs="仿宋"/>
          <w:sz w:val="28"/>
          <w:szCs w:val="28"/>
          <w:highlight w:val="none"/>
        </w:rPr>
        <w:t xml:space="preserve">附件1：《政府采购履约验收书参考样本》</w:t>
      </w:r>
      <w:r>
        <w:rPr>
          <w:rFonts w:ascii="仿宋" w:hAnsi="仿宋" w:eastAsia="仿宋" w:cs="仿宋"/>
          <w:sz w:val="28"/>
          <w:szCs w:val="28"/>
          <w:highlight w:val="none"/>
        </w:rPr>
      </w:r>
      <w:r/>
    </w:p>
    <w:tbl>
      <w:tblPr>
        <w:tblW w:w="9209" w:type="dxa"/>
        <w:jc w:val="center"/>
        <w:tblInd w:w="-5" w:type="dxa"/>
        <w:tblLayout w:type="fixed"/>
        <w:tblCellMar>
          <w:left w:w="5" w:type="dxa"/>
          <w:top w:w="0" w:type="dxa"/>
          <w:right w:w="5" w:type="dxa"/>
          <w:bottom w:w="0" w:type="dxa"/>
        </w:tblCellMar>
        <w:tblLook w:val="04A0" w:firstRow="1" w:lastRow="0" w:firstColumn="1" w:lastColumn="0" w:noHBand="0" w:noVBand="1"/>
      </w:tblPr>
      <w:tblGrid>
        <w:gridCol w:w="989"/>
        <w:gridCol w:w="1559"/>
        <w:gridCol w:w="1416"/>
        <w:gridCol w:w="640"/>
        <w:gridCol w:w="495"/>
        <w:gridCol w:w="1133"/>
        <w:gridCol w:w="994"/>
        <w:gridCol w:w="1983"/>
      </w:tblGrid>
      <w:tr>
        <w:trPr>
          <w:trHeight w:val="67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采购人</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项目名称</w:t>
            </w:r>
            <w:r>
              <w:rPr>
                <w:rFonts w:ascii="仿宋" w:hAnsi="仿宋" w:eastAsia="仿宋" w:cs="仿宋"/>
                <w:sz w:val="19"/>
                <w:szCs w:val="19"/>
                <w:highlight w:val="none"/>
              </w:rPr>
            </w:r>
            <w:r/>
          </w:p>
        </w:tc>
        <w:tc>
          <w:tcPr>
            <w:gridSpan w:val="3"/>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合同名称</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r>
      <w:tr>
        <w:trPr>
          <w:trHeight w:val="67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中标方</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1"/>
                <w:sz w:val="19"/>
                <w:szCs w:val="19"/>
                <w:highlight w:val="none"/>
              </w:rPr>
              <w:t xml:space="preserve">项目及合同编号</w:t>
            </w:r>
            <w:r>
              <w:rPr>
                <w:rFonts w:ascii="仿宋" w:hAnsi="仿宋" w:eastAsia="仿宋" w:cs="仿宋"/>
                <w:sz w:val="19"/>
                <w:szCs w:val="19"/>
                <w:highlight w:val="none"/>
              </w:rPr>
            </w:r>
            <w:r/>
          </w:p>
        </w:tc>
        <w:tc>
          <w:tcPr>
            <w:gridSpan w:val="3"/>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合同金额</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r>
      <w:tr>
        <w:trPr>
          <w:trHeight w:val="67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分期（段）验收</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5"/>
              <w:jc w:val="center"/>
              <w:rPr>
                <w:rFonts w:ascii="仿宋" w:hAnsi="仿宋" w:eastAsia="仿宋" w:cs="仿宋"/>
                <w:spacing w:val="18"/>
                <w:sz w:val="19"/>
                <w:szCs w:val="19"/>
                <w:highlight w:val="none"/>
              </w:rPr>
            </w:pPr>
            <w:r>
              <w:rPr>
                <w:rFonts w:hint="eastAsia" w:ascii="仿宋" w:hAnsi="仿宋" w:eastAsia="仿宋" w:cs="仿宋"/>
                <w:spacing w:val="-2"/>
                <w:sz w:val="19"/>
                <w:szCs w:val="19"/>
                <w:highlight w:val="none"/>
              </w:rPr>
              <w:t xml:space="preserve">是</w:t>
            </w:r>
            <w:r>
              <w:rPr>
                <w:rFonts w:hint="eastAsia" w:ascii="仿宋" w:hAnsi="仿宋" w:eastAsia="仿宋" w:cs="仿宋"/>
                <w:spacing w:val="-1"/>
                <w:sz w:val="19"/>
                <w:szCs w:val="19"/>
                <w:highlight w:val="none"/>
              </w:rPr>
              <w:t xml:space="preserve">□</w:t>
            </w:r>
            <w:r>
              <w:rPr>
                <w:rFonts w:ascii="仿宋" w:hAnsi="仿宋" w:eastAsia="仿宋" w:cs="仿宋"/>
                <w:spacing w:val="18"/>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否</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分期（段）情况</w:t>
            </w:r>
            <w:r>
              <w:rPr>
                <w:rFonts w:ascii="仿宋" w:hAnsi="仿宋" w:eastAsia="仿宋" w:cs="仿宋"/>
                <w:sz w:val="19"/>
                <w:szCs w:val="19"/>
                <w:highlight w:val="none"/>
              </w:rPr>
            </w:r>
            <w:r/>
          </w:p>
        </w:tc>
        <w:tc>
          <w:tcPr>
            <w:gridSpan w:val="5"/>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1"/>
                <w:sz w:val="19"/>
                <w:szCs w:val="19"/>
                <w:highlight w:val="none"/>
              </w:rPr>
              <w:t xml:space="preserve">共分    期（段）,此为第    期（段）验收</w:t>
            </w:r>
            <w:r>
              <w:rPr>
                <w:rFonts w:ascii="仿宋" w:hAnsi="仿宋" w:eastAsia="仿宋" w:cs="仿宋"/>
                <w:sz w:val="19"/>
                <w:szCs w:val="19"/>
                <w:highlight w:val="none"/>
              </w:rPr>
            </w:r>
            <w:r/>
          </w:p>
        </w:tc>
      </w:tr>
      <w:tr>
        <w:trPr>
          <w:trHeight w:val="139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4"/>
                <w:sz w:val="19"/>
                <w:szCs w:val="19"/>
                <w:highlight w:val="none"/>
              </w:rPr>
              <w:t xml:space="preserve">验收时间</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4"/>
                <w:sz w:val="19"/>
                <w:szCs w:val="19"/>
                <w:highlight w:val="none"/>
              </w:rPr>
              <w:t xml:space="preserve">验收地点</w:t>
            </w:r>
            <w:r>
              <w:rPr>
                <w:rFonts w:ascii="仿宋" w:hAnsi="仿宋" w:eastAsia="仿宋" w:cs="仿宋"/>
                <w:sz w:val="19"/>
                <w:szCs w:val="19"/>
                <w:highlight w:val="none"/>
              </w:rPr>
            </w:r>
            <w:r/>
          </w:p>
        </w:tc>
        <w:tc>
          <w:tcPr>
            <w:gridSpan w:val="3"/>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65"/>
              <w:jc w:val="center"/>
              <w:rPr>
                <w:rFonts w:ascii="仿宋" w:hAnsi="仿宋" w:eastAsia="仿宋" w:cs="仿宋"/>
                <w:spacing w:val="-1"/>
                <w:sz w:val="19"/>
                <w:szCs w:val="19"/>
                <w:highlight w:val="none"/>
              </w:rPr>
            </w:pPr>
            <w:r>
              <w:rPr>
                <w:rFonts w:hint="eastAsia" w:ascii="仿宋" w:hAnsi="仿宋" w:eastAsia="仿宋" w:cs="仿宋"/>
                <w:spacing w:val="-1"/>
                <w:sz w:val="19"/>
                <w:szCs w:val="19"/>
                <w:highlight w:val="none"/>
              </w:rPr>
              <w:t xml:space="preserve">验收</w:t>
            </w:r>
            <w:r>
              <w:rPr>
                <w:rFonts w:ascii="仿宋" w:hAnsi="仿宋" w:eastAsia="仿宋" w:cs="仿宋"/>
                <w:spacing w:val="-1"/>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1"/>
                <w:sz w:val="19"/>
                <w:szCs w:val="19"/>
                <w:highlight w:val="none"/>
              </w:rPr>
              <w:t xml:space="preserve">组织形式</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965"/>
              <w:jc w:val="center"/>
              <w:rPr>
                <w:rFonts w:ascii="仿宋" w:hAnsi="仿宋" w:eastAsia="仿宋" w:cs="仿宋"/>
                <w:spacing w:val="1"/>
                <w:sz w:val="19"/>
                <w:szCs w:val="19"/>
                <w:highlight w:val="none"/>
              </w:rPr>
            </w:pPr>
            <w:r>
              <w:rPr>
                <w:rFonts w:hint="eastAsia" w:ascii="仿宋" w:hAnsi="仿宋" w:eastAsia="仿宋" w:cs="仿宋"/>
                <w:spacing w:val="1"/>
                <w:sz w:val="19"/>
                <w:szCs w:val="19"/>
                <w:highlight w:val="none"/>
              </w:rPr>
              <w:t xml:space="preserve">□自行简易验收</w:t>
            </w:r>
            <w:r>
              <w:rPr>
                <w:rFonts w:ascii="仿宋" w:hAnsi="仿宋" w:eastAsia="仿宋" w:cs="仿宋"/>
                <w:spacing w:val="1"/>
                <w:sz w:val="19"/>
                <w:szCs w:val="19"/>
                <w:highlight w:val="none"/>
              </w:rPr>
            </w:r>
            <w:r/>
          </w:p>
          <w:p>
            <w:pPr>
              <w:pStyle w:val="965"/>
              <w:jc w:val="center"/>
              <w:rPr>
                <w:rFonts w:ascii="仿宋" w:hAnsi="仿宋" w:eastAsia="仿宋" w:cs="仿宋"/>
                <w:sz w:val="19"/>
                <w:szCs w:val="19"/>
                <w:highlight w:val="none"/>
              </w:rPr>
            </w:pPr>
            <w:r>
              <w:rPr>
                <w:rFonts w:ascii="仿宋" w:hAnsi="仿宋" w:eastAsia="仿宋" w:cs="仿宋"/>
                <w:sz w:val="19"/>
                <w:szCs w:val="19"/>
                <w:highlight w:val="none"/>
              </w:rPr>
            </w:r>
            <w:r/>
          </w:p>
          <w:p>
            <w:pPr>
              <w:pStyle w:val="965"/>
              <w:jc w:val="center"/>
              <w:rPr>
                <w:rFonts w:ascii="仿宋" w:hAnsi="仿宋" w:eastAsia="仿宋" w:cs="仿宋"/>
                <w:spacing w:val="1"/>
                <w:sz w:val="19"/>
                <w:szCs w:val="19"/>
                <w:highlight w:val="none"/>
              </w:rPr>
            </w:pPr>
            <w:r>
              <w:rPr>
                <w:rFonts w:hint="eastAsia" w:ascii="仿宋" w:hAnsi="仿宋" w:eastAsia="仿宋" w:cs="仿宋"/>
                <w:spacing w:val="1"/>
                <w:sz w:val="19"/>
                <w:szCs w:val="19"/>
                <w:highlight w:val="none"/>
              </w:rPr>
              <w:t xml:space="preserve">□验收小组验收</w:t>
            </w:r>
            <w:r>
              <w:rPr>
                <w:rFonts w:ascii="仿宋" w:hAnsi="仿宋" w:eastAsia="仿宋" w:cs="仿宋"/>
                <w:spacing w:val="1"/>
                <w:sz w:val="19"/>
                <w:szCs w:val="19"/>
                <w:highlight w:val="none"/>
              </w:rPr>
            </w:r>
            <w:r/>
          </w:p>
          <w:p>
            <w:pPr>
              <w:pStyle w:val="965"/>
              <w:jc w:val="center"/>
              <w:rPr>
                <w:rFonts w:ascii="仿宋" w:hAnsi="仿宋" w:eastAsia="仿宋" w:cs="仿宋"/>
                <w:sz w:val="19"/>
                <w:szCs w:val="19"/>
                <w:highlight w:val="none"/>
              </w:rPr>
            </w:pPr>
            <w:r>
              <w:rPr>
                <w:rFonts w:ascii="仿宋" w:hAnsi="仿宋" w:eastAsia="仿宋" w:cs="仿宋"/>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z w:val="19"/>
                <w:szCs w:val="19"/>
                <w:highlight w:val="none"/>
              </w:rPr>
              <w:t xml:space="preserve">□采购代理机构验收</w:t>
            </w:r>
            <w:r>
              <w:rPr>
                <w:rFonts w:ascii="仿宋" w:hAnsi="仿宋" w:eastAsia="仿宋" w:cs="仿宋"/>
                <w:sz w:val="19"/>
                <w:szCs w:val="19"/>
                <w:highlight w:val="none"/>
              </w:rPr>
            </w:r>
            <w:r/>
          </w:p>
        </w:tc>
      </w:tr>
      <w:tr>
        <w:trPr>
          <w:trHeight w:val="701"/>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验收内容</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服务质量</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服务进度</w:t>
            </w:r>
            <w:r>
              <w:rPr>
                <w:rFonts w:ascii="仿宋" w:hAnsi="仿宋" w:eastAsia="仿宋" w:cs="仿宋"/>
                <w:sz w:val="19"/>
                <w:szCs w:val="19"/>
                <w:highlight w:val="none"/>
              </w:rPr>
            </w:r>
            <w:r/>
          </w:p>
        </w:tc>
        <w:tc>
          <w:tcPr>
            <w:gridSpan w:val="2"/>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65"/>
              <w:jc w:val="center"/>
              <w:rPr>
                <w:rFonts w:ascii="仿宋" w:hAnsi="仿宋" w:eastAsia="仿宋" w:cs="仿宋"/>
                <w:spacing w:val="-1"/>
                <w:sz w:val="19"/>
                <w:szCs w:val="19"/>
                <w:highlight w:val="none"/>
              </w:rPr>
            </w:pPr>
            <w:r>
              <w:rPr>
                <w:rFonts w:hint="eastAsia" w:ascii="仿宋" w:hAnsi="仿宋" w:eastAsia="仿宋" w:cs="仿宋"/>
                <w:spacing w:val="-1"/>
                <w:sz w:val="19"/>
                <w:szCs w:val="19"/>
                <w:highlight w:val="none"/>
              </w:rPr>
              <w:t xml:space="preserve">人员</w:t>
            </w:r>
            <w:r>
              <w:rPr>
                <w:rFonts w:ascii="仿宋" w:hAnsi="仿宋" w:eastAsia="仿宋" w:cs="仿宋"/>
                <w:spacing w:val="-1"/>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1"/>
                <w:sz w:val="19"/>
                <w:szCs w:val="19"/>
                <w:highlight w:val="none"/>
              </w:rPr>
              <w:t xml:space="preserve">配备情况</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安全生产</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65"/>
              <w:jc w:val="center"/>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项目需求</w:t>
            </w:r>
            <w:r>
              <w:rPr>
                <w:rFonts w:ascii="仿宋" w:hAnsi="仿宋" w:eastAsia="仿宋" w:cs="仿宋"/>
                <w:spacing w:val="-2"/>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服务承诺</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965"/>
              <w:jc w:val="center"/>
              <w:rPr>
                <w:rFonts w:ascii="仿宋" w:hAnsi="仿宋" w:eastAsia="仿宋" w:cs="仿宋"/>
                <w:spacing w:val="-1"/>
                <w:sz w:val="19"/>
                <w:szCs w:val="19"/>
                <w:highlight w:val="none"/>
              </w:rPr>
            </w:pPr>
            <w:r>
              <w:rPr>
                <w:rFonts w:hint="eastAsia" w:ascii="仿宋" w:hAnsi="仿宋" w:eastAsia="仿宋" w:cs="仿宋"/>
                <w:spacing w:val="-1"/>
                <w:sz w:val="19"/>
                <w:szCs w:val="19"/>
                <w:highlight w:val="none"/>
              </w:rPr>
              <w:t xml:space="preserve">合同履约</w:t>
            </w:r>
            <w:r>
              <w:rPr>
                <w:rFonts w:ascii="仿宋" w:hAnsi="仿宋" w:eastAsia="仿宋" w:cs="仿宋"/>
                <w:spacing w:val="-1"/>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1"/>
                <w:sz w:val="19"/>
                <w:szCs w:val="19"/>
                <w:highlight w:val="none"/>
              </w:rPr>
              <w:t xml:space="preserve">时间、地点、方式</w:t>
            </w:r>
            <w:r>
              <w:rPr>
                <w:rFonts w:ascii="仿宋" w:hAnsi="仿宋" w:eastAsia="仿宋" w:cs="仿宋"/>
                <w:sz w:val="19"/>
                <w:szCs w:val="19"/>
                <w:highlight w:val="none"/>
              </w:rPr>
            </w:r>
            <w:r/>
          </w:p>
        </w:tc>
      </w:tr>
      <w:tr>
        <w:trPr>
          <w:trHeight w:val="701"/>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80"/>
              <w:jc w:val="center"/>
              <w:rPr>
                <w:rFonts w:ascii="仿宋" w:hAnsi="仿宋" w:eastAsia="仿宋" w:cs="仿宋"/>
                <w:highlight w:val="none"/>
                <w:lang w:eastAsia="zh-CN"/>
              </w:rPr>
            </w:pPr>
            <w:r>
              <w:rPr>
                <w:rFonts w:ascii="仿宋" w:hAnsi="仿宋" w:eastAsia="仿宋" w:cs="仿宋"/>
                <w:highlight w:val="none"/>
                <w:lang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5"/>
              <w:jc w:val="center"/>
              <w:rPr>
                <w:rFonts w:ascii="仿宋" w:hAnsi="仿宋" w:eastAsia="仿宋" w:cs="仿宋"/>
                <w:spacing w:val="-1"/>
                <w:sz w:val="19"/>
                <w:szCs w:val="19"/>
                <w:highlight w:val="none"/>
              </w:rPr>
            </w:pPr>
            <w:r>
              <w:rPr>
                <w:rFonts w:hint="eastAsia" w:ascii="仿宋" w:hAnsi="仿宋" w:eastAsia="仿宋" w:cs="仿宋"/>
                <w:spacing w:val="-1"/>
                <w:sz w:val="19"/>
                <w:szCs w:val="19"/>
                <w:highlight w:val="none"/>
              </w:rPr>
              <w:t xml:space="preserve">合  格□</w:t>
            </w:r>
            <w:r>
              <w:rPr>
                <w:rFonts w:ascii="仿宋" w:hAnsi="仿宋" w:eastAsia="仿宋" w:cs="仿宋"/>
                <w:spacing w:val="-1"/>
                <w:sz w:val="19"/>
                <w:szCs w:val="19"/>
                <w:highlight w:val="none"/>
              </w:rPr>
            </w:r>
            <w:r/>
          </w:p>
          <w:p>
            <w:pPr>
              <w:pStyle w:val="965"/>
              <w:jc w:val="center"/>
              <w:rPr>
                <w:rFonts w:ascii="仿宋" w:hAnsi="仿宋" w:eastAsia="仿宋" w:cs="仿宋"/>
                <w:sz w:val="19"/>
                <w:szCs w:val="19"/>
                <w:highlight w:val="none"/>
              </w:rPr>
            </w:pPr>
            <w:r/>
            <w:bookmarkStart w:id="169" w:name="_Hlk192858643"/>
            <w:r>
              <w:rPr>
                <w:rFonts w:hint="eastAsia" w:ascii="仿宋" w:hAnsi="仿宋" w:eastAsia="仿宋" w:cs="仿宋"/>
                <w:spacing w:val="7"/>
                <w:sz w:val="19"/>
                <w:szCs w:val="19"/>
                <w:highlight w:val="none"/>
              </w:rPr>
              <w:t xml:space="preserve">不合格</w:t>
            </w:r>
            <w:bookmarkEnd w:id="169"/>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5"/>
                <w:sz w:val="19"/>
                <w:szCs w:val="19"/>
                <w:highlight w:val="none"/>
              </w:rPr>
              <w:t xml:space="preserve">按  时</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7"/>
                <w:sz w:val="19"/>
                <w:szCs w:val="19"/>
                <w:highlight w:val="none"/>
              </w:rPr>
              <w:t xml:space="preserve">不按时</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tc>
        <w:tc>
          <w:tcPr>
            <w:gridSpan w:val="2"/>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合  格</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6"/>
                <w:sz w:val="19"/>
                <w:szCs w:val="19"/>
                <w:highlight w:val="none"/>
              </w:rPr>
              <w:t xml:space="preserve">不合格□</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1"/>
                <w:sz w:val="19"/>
                <w:szCs w:val="19"/>
                <w:highlight w:val="none"/>
              </w:rPr>
              <w:t xml:space="preserve">合</w:t>
            </w:r>
            <w:r>
              <w:rPr>
                <w:rFonts w:hint="eastAsia" w:ascii="仿宋" w:hAnsi="仿宋" w:eastAsia="仿宋" w:cs="仿宋"/>
                <w:spacing w:val="-2"/>
                <w:sz w:val="19"/>
                <w:szCs w:val="19"/>
                <w:highlight w:val="none"/>
              </w:rPr>
              <w:t xml:space="preserve">  </w:t>
            </w:r>
            <w:r>
              <w:rPr>
                <w:rFonts w:hint="eastAsia" w:ascii="仿宋" w:hAnsi="仿宋" w:eastAsia="仿宋" w:cs="仿宋"/>
                <w:spacing w:val="-1"/>
                <w:sz w:val="19"/>
                <w:szCs w:val="19"/>
                <w:highlight w:val="none"/>
              </w:rPr>
              <w:t xml:space="preserve">格□</w:t>
            </w:r>
            <w:r>
              <w:rPr>
                <w:rFonts w:ascii="仿宋" w:hAnsi="仿宋" w:eastAsia="仿宋" w:cs="仿宋"/>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7"/>
                <w:sz w:val="19"/>
                <w:szCs w:val="19"/>
                <w:highlight w:val="none"/>
              </w:rPr>
              <w:t xml:space="preserve">不合格</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合  格</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7"/>
                <w:sz w:val="19"/>
                <w:szCs w:val="19"/>
                <w:highlight w:val="none"/>
              </w:rPr>
              <w:t xml:space="preserve">不合格</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合  格</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6"/>
                <w:sz w:val="19"/>
                <w:szCs w:val="19"/>
                <w:highlight w:val="none"/>
              </w:rPr>
              <w:t xml:space="preserve">不合格</w:t>
            </w:r>
            <w:r>
              <w:rPr>
                <w:rFonts w:hint="eastAsia" w:ascii="仿宋" w:hAnsi="仿宋" w:eastAsia="仿宋" w:cs="仿宋"/>
                <w:spacing w:val="-1"/>
                <w:sz w:val="19"/>
                <w:szCs w:val="19"/>
                <w:highlight w:val="none"/>
              </w:rPr>
              <w:t xml:space="preserve">□</w:t>
            </w:r>
            <w:r>
              <w:rPr>
                <w:rFonts w:ascii="仿宋" w:hAnsi="仿宋" w:eastAsia="仿宋" w:cs="仿宋"/>
                <w:sz w:val="19"/>
                <w:szCs w:val="19"/>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专业检测机构情</w:t>
            </w:r>
            <w:r>
              <w:rPr>
                <w:rFonts w:hint="eastAsia" w:ascii="仿宋" w:hAnsi="仿宋" w:eastAsia="仿宋" w:cs="仿宋"/>
                <w:spacing w:val="6"/>
                <w:sz w:val="19"/>
                <w:szCs w:val="19"/>
                <w:highlight w:val="none"/>
              </w:rPr>
              <w:t xml:space="preserve">况说明</w:t>
            </w:r>
            <w:r>
              <w:rPr>
                <w:rFonts w:ascii="仿宋" w:hAnsi="仿宋" w:eastAsia="仿宋" w:cs="仿宋"/>
                <w:sz w:val="19"/>
                <w:szCs w:val="19"/>
                <w:highlight w:val="none"/>
              </w:rPr>
            </w:r>
            <w:r/>
          </w:p>
        </w:tc>
        <w:tc>
          <w:tcPr>
            <w:gridSpan w:val="7"/>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80"/>
              <w:jc w:val="center"/>
              <w:rPr>
                <w:rFonts w:ascii="仿宋" w:hAnsi="仿宋" w:eastAsia="仿宋" w:cs="仿宋"/>
                <w:highlight w:val="none"/>
                <w:lang w:eastAsia="zh-CN"/>
              </w:rPr>
            </w:pPr>
            <w:r>
              <w:rPr>
                <w:rFonts w:ascii="仿宋" w:hAnsi="仿宋" w:eastAsia="仿宋" w:cs="仿宋"/>
                <w:highlight w:val="none"/>
                <w:lang w:eastAsia="zh-CN"/>
              </w:rPr>
            </w:r>
            <w:r/>
          </w:p>
        </w:tc>
      </w:tr>
      <w:tr>
        <w:trPr>
          <w:trHeight w:val="84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存在问题和</w:t>
            </w:r>
            <w:r>
              <w:rPr>
                <w:rFonts w:ascii="仿宋" w:hAnsi="仿宋" w:eastAsia="仿宋" w:cs="仿宋"/>
                <w:spacing w:val="-2"/>
                <w:sz w:val="19"/>
                <w:szCs w:val="19"/>
                <w:highlight w:val="none"/>
              </w:rPr>
            </w:r>
            <w:r/>
          </w:p>
          <w:p>
            <w:pPr>
              <w:pStyle w:val="965"/>
              <w:jc w:val="center"/>
              <w:rPr>
                <w:rFonts w:ascii="仿宋" w:hAnsi="仿宋" w:eastAsia="仿宋" w:cs="仿宋"/>
                <w:sz w:val="19"/>
                <w:szCs w:val="19"/>
                <w:highlight w:val="none"/>
              </w:rPr>
            </w:pPr>
            <w:r>
              <w:rPr>
                <w:rFonts w:hint="eastAsia" w:ascii="仿宋" w:hAnsi="仿宋" w:eastAsia="仿宋" w:cs="仿宋"/>
                <w:spacing w:val="-2"/>
                <w:sz w:val="19"/>
                <w:szCs w:val="19"/>
                <w:highlight w:val="none"/>
              </w:rPr>
              <w:t xml:space="preserve">改进意见</w:t>
            </w:r>
            <w:r>
              <w:rPr>
                <w:rFonts w:ascii="仿宋" w:hAnsi="仿宋" w:eastAsia="仿宋" w:cs="仿宋"/>
                <w:sz w:val="19"/>
                <w:szCs w:val="19"/>
                <w:highlight w:val="none"/>
              </w:rPr>
            </w:r>
            <w:r/>
          </w:p>
        </w:tc>
        <w:tc>
          <w:tcPr>
            <w:gridSpan w:val="7"/>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r>
      <w:tr>
        <w:trPr>
          <w:trHeight w:val="67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最终结论</w:t>
            </w:r>
            <w:r>
              <w:rPr>
                <w:rFonts w:ascii="仿宋" w:hAnsi="仿宋" w:eastAsia="仿宋" w:cs="仿宋"/>
                <w:spacing w:val="-2"/>
                <w:sz w:val="19"/>
                <w:szCs w:val="19"/>
                <w:highlight w:val="none"/>
              </w:rPr>
            </w:r>
            <w:r/>
          </w:p>
        </w:tc>
        <w:tc>
          <w:tcPr>
            <w:gridSpan w:val="7"/>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spacing w:val="-2"/>
                <w:sz w:val="19"/>
                <w:szCs w:val="19"/>
                <w:highlight w:val="none"/>
              </w:rPr>
              <w:t xml:space="preserve">合</w:t>
            </w:r>
            <w:r>
              <w:rPr>
                <w:rFonts w:hint="eastAsia" w:ascii="仿宋" w:hAnsi="仿宋" w:eastAsia="仿宋" w:cs="仿宋"/>
                <w:spacing w:val="28"/>
                <w:sz w:val="19"/>
                <w:szCs w:val="19"/>
                <w:highlight w:val="none"/>
              </w:rPr>
              <w:t xml:space="preserve"> </w:t>
            </w:r>
            <w:r>
              <w:rPr>
                <w:rFonts w:hint="eastAsia" w:ascii="仿宋" w:hAnsi="仿宋" w:eastAsia="仿宋" w:cs="仿宋"/>
                <w:spacing w:val="-2"/>
                <w:sz w:val="19"/>
                <w:szCs w:val="19"/>
                <w:highlight w:val="none"/>
              </w:rPr>
              <w:t xml:space="preserve">格</w:t>
            </w:r>
            <w:r>
              <w:rPr>
                <w:rFonts w:hint="eastAsia" w:ascii="仿宋" w:hAnsi="仿宋" w:eastAsia="仿宋" w:cs="仿宋"/>
                <w:spacing w:val="-1"/>
                <w:sz w:val="19"/>
                <w:szCs w:val="19"/>
                <w:highlight w:val="none"/>
              </w:rPr>
              <w:t xml:space="preserve">□</w:t>
            </w:r>
            <w:r>
              <w:rPr>
                <w:rFonts w:hint="eastAsia" w:ascii="仿宋" w:hAnsi="仿宋" w:eastAsia="仿宋" w:cs="仿宋"/>
                <w:spacing w:val="-2"/>
                <w:sz w:val="19"/>
                <w:szCs w:val="19"/>
                <w:highlight w:val="none"/>
              </w:rPr>
              <w:t xml:space="preserve">                              </w:t>
            </w:r>
            <w:r>
              <w:rPr>
                <w:rFonts w:hint="eastAsia" w:ascii="仿宋" w:hAnsi="仿宋" w:eastAsia="仿宋" w:cs="仿宋"/>
                <w:spacing w:val="6"/>
                <w:sz w:val="19"/>
                <w:szCs w:val="19"/>
                <w:highlight w:val="none"/>
              </w:rPr>
              <w:t xml:space="preserve">不合格□</w:t>
            </w:r>
            <w:r>
              <w:rPr>
                <w:rFonts w:ascii="仿宋" w:hAnsi="仿宋" w:eastAsia="仿宋" w:cs="仿宋"/>
                <w:highlight w:val="none"/>
              </w:rPr>
            </w:r>
            <w:r/>
          </w:p>
        </w:tc>
      </w:tr>
      <w:tr>
        <w:trPr>
          <w:trHeight w:val="141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65"/>
              <w:jc w:val="center"/>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验收小组成员签字</w:t>
            </w:r>
            <w:r>
              <w:rPr>
                <w:rFonts w:ascii="仿宋" w:hAnsi="仿宋" w:eastAsia="仿宋" w:cs="仿宋"/>
                <w:spacing w:val="-2"/>
                <w:sz w:val="19"/>
                <w:szCs w:val="19"/>
                <w:highlight w:val="none"/>
              </w:rPr>
            </w:r>
            <w:r/>
          </w:p>
        </w:tc>
        <w:tc>
          <w:tcPr>
            <w:gridSpan w:val="7"/>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80"/>
              <w:jc w:val="center"/>
              <w:rPr>
                <w:rFonts w:ascii="仿宋" w:hAnsi="仿宋" w:eastAsia="仿宋" w:cs="仿宋"/>
                <w:highlight w:val="none"/>
              </w:rPr>
            </w:pPr>
            <w:r>
              <w:rPr>
                <w:rFonts w:ascii="仿宋" w:hAnsi="仿宋" w:eastAsia="仿宋" w:cs="仿宋"/>
                <w:highlight w:val="none"/>
              </w:rPr>
            </w:r>
            <w:r/>
          </w:p>
        </w:tc>
      </w:tr>
      <w:tr>
        <w:trPr>
          <w:trHeight w:val="419"/>
        </w:trPr>
        <w:tc>
          <w:tcPr>
            <w:gridSpan w:val="4"/>
            <w:tcBorders>
              <w:top w:val="single" w:color="000000" w:sz="4" w:space="0"/>
              <w:left w:val="single" w:color="000000" w:sz="4" w:space="0"/>
              <w:bottom w:val="single" w:color="000000" w:sz="4" w:space="0"/>
              <w:right w:val="single" w:color="000000" w:sz="4" w:space="0"/>
            </w:tcBorders>
            <w:tcW w:w="4604" w:type="dxa"/>
            <w:vAlign w:val="center"/>
            <w:textDirection w:val="lrTb"/>
            <w:noWrap w:val="false"/>
          </w:tcPr>
          <w:p>
            <w:pPr>
              <w:pStyle w:val="965"/>
              <w:jc w:val="center"/>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采购代理机构意见</w:t>
            </w:r>
            <w:r>
              <w:rPr>
                <w:rFonts w:ascii="仿宋" w:hAnsi="仿宋" w:eastAsia="仿宋" w:cs="仿宋"/>
                <w:spacing w:val="-2"/>
                <w:sz w:val="19"/>
                <w:szCs w:val="19"/>
                <w:highlight w:val="none"/>
              </w:rPr>
            </w:r>
            <w:r/>
          </w:p>
        </w:tc>
        <w:tc>
          <w:tcPr>
            <w:gridSpan w:val="4"/>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pStyle w:val="1080"/>
              <w:jc w:val="center"/>
              <w:rPr>
                <w:rFonts w:ascii="仿宋" w:hAnsi="仿宋" w:eastAsia="仿宋" w:cs="仿宋"/>
                <w:highlight w:val="none"/>
              </w:rPr>
            </w:pPr>
            <w:r>
              <w:rPr>
                <w:rFonts w:hint="eastAsia" w:ascii="仿宋" w:hAnsi="仿宋" w:eastAsia="仿宋" w:cs="仿宋"/>
                <w:highlight w:val="none"/>
                <w:lang w:eastAsia="zh-CN"/>
              </w:rPr>
              <w:t xml:space="preserve">采购人意见</w:t>
            </w:r>
            <w:r>
              <w:rPr>
                <w:rFonts w:ascii="仿宋" w:hAnsi="仿宋" w:eastAsia="仿宋" w:cs="仿宋"/>
                <w:highlight w:val="none"/>
              </w:rPr>
            </w:r>
            <w:r/>
          </w:p>
        </w:tc>
      </w:tr>
      <w:tr>
        <w:trPr>
          <w:trHeight w:val="1643"/>
        </w:trPr>
        <w:tc>
          <w:tcPr>
            <w:gridSpan w:val="4"/>
            <w:tcBorders>
              <w:top w:val="single" w:color="000000" w:sz="4" w:space="0"/>
              <w:left w:val="single" w:color="000000" w:sz="4" w:space="0"/>
              <w:bottom w:val="single" w:color="000000" w:sz="4" w:space="0"/>
              <w:right w:val="single" w:color="000000" w:sz="4" w:space="0"/>
            </w:tcBorders>
            <w:tcW w:w="4604" w:type="dxa"/>
            <w:vAlign w:val="center"/>
            <w:textDirection w:val="lrTb"/>
            <w:noWrap w:val="false"/>
          </w:tcPr>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经办人：      负责人：      （采购代理机构公章）</w:t>
            </w:r>
            <w:r>
              <w:rPr>
                <w:rFonts w:ascii="仿宋" w:hAnsi="仿宋" w:eastAsia="仿宋" w:cs="仿宋"/>
                <w:spacing w:val="-2"/>
                <w:sz w:val="19"/>
                <w:szCs w:val="19"/>
                <w:highlight w:val="none"/>
              </w:rPr>
            </w:r>
            <w:r/>
          </w:p>
        </w:tc>
        <w:tc>
          <w:tcPr>
            <w:gridSpan w:val="4"/>
            <w:tcBorders>
              <w:top w:val="single" w:color="000000" w:sz="4" w:space="0"/>
              <w:left w:val="single" w:color="000000" w:sz="4" w:space="0"/>
              <w:bottom w:val="single" w:color="000000" w:sz="4" w:space="0"/>
              <w:right w:val="single" w:color="000000" w:sz="4" w:space="0"/>
            </w:tcBorders>
            <w:tcW w:w="4605" w:type="dxa"/>
            <w:vAlign w:val="center"/>
            <w:textDirection w:val="lrTb"/>
            <w:noWrap w:val="false"/>
          </w:tcPr>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965"/>
              <w:jc w:val="center"/>
              <w:rPr>
                <w:rFonts w:ascii="仿宋" w:hAnsi="仿宋" w:eastAsia="仿宋" w:cs="仿宋"/>
                <w:spacing w:val="-2"/>
                <w:sz w:val="19"/>
                <w:szCs w:val="19"/>
                <w:highlight w:val="none"/>
              </w:rPr>
            </w:pPr>
            <w:r>
              <w:rPr>
                <w:rFonts w:ascii="仿宋" w:hAnsi="仿宋" w:eastAsia="仿宋" w:cs="仿宋"/>
                <w:spacing w:val="-2"/>
                <w:sz w:val="19"/>
                <w:szCs w:val="19"/>
                <w:highlight w:val="none"/>
              </w:rPr>
            </w:r>
            <w:r/>
          </w:p>
          <w:p>
            <w:pPr>
              <w:pStyle w:val="1080"/>
              <w:jc w:val="center"/>
              <w:rPr>
                <w:rFonts w:ascii="仿宋" w:hAnsi="仿宋" w:eastAsia="仿宋" w:cs="仿宋"/>
                <w:highlight w:val="none"/>
                <w:lang w:eastAsia="zh-CN"/>
              </w:rPr>
            </w:pPr>
            <w:r>
              <w:rPr>
                <w:rFonts w:hint="eastAsia" w:ascii="仿宋" w:hAnsi="仿宋" w:eastAsia="仿宋" w:cs="仿宋"/>
                <w:spacing w:val="-2"/>
                <w:sz w:val="19"/>
                <w:szCs w:val="19"/>
                <w:highlight w:val="none"/>
                <w:lang w:eastAsia="zh-CN"/>
              </w:rPr>
              <w:t xml:space="preserve">经办人：      负责人：      （采购人公章）</w:t>
            </w:r>
            <w:r>
              <w:rPr>
                <w:rFonts w:ascii="仿宋" w:hAnsi="仿宋" w:eastAsia="仿宋" w:cs="仿宋"/>
                <w:highlight w:val="none"/>
                <w:lang w:eastAsia="zh-CN"/>
              </w:rPr>
            </w:r>
            <w:r/>
          </w:p>
        </w:tc>
      </w:tr>
      <w:tr>
        <w:trPr>
          <w:trHeight w:val="1979"/>
        </w:trPr>
        <w:tc>
          <w:tcPr>
            <w:gridSpan w:val="8"/>
            <w:tcBorders>
              <w:top w:val="single" w:color="000000" w:sz="4" w:space="0"/>
              <w:left w:val="single" w:color="000000" w:sz="4" w:space="0"/>
              <w:bottom w:val="single" w:color="000000" w:sz="4" w:space="0"/>
              <w:right w:val="single" w:color="000000" w:sz="4" w:space="0"/>
            </w:tcBorders>
            <w:tcW w:w="9209" w:type="dxa"/>
            <w:vAlign w:val="center"/>
            <w:textDirection w:val="lrTb"/>
            <w:noWrap w:val="false"/>
          </w:tcPr>
          <w:p>
            <w:pPr>
              <w:pStyle w:val="965"/>
              <w:jc w:val="left"/>
              <w:rPr>
                <w:rFonts w:ascii="仿宋" w:hAnsi="仿宋" w:eastAsia="仿宋" w:cs="仿宋"/>
                <w:spacing w:val="-2"/>
                <w:sz w:val="19"/>
                <w:szCs w:val="19"/>
                <w:highlight w:val="none"/>
              </w:rPr>
            </w:pPr>
            <w:r>
              <w:rPr>
                <w:rFonts w:hint="eastAsia" w:ascii="仿宋" w:hAnsi="仿宋" w:eastAsia="仿宋" w:cs="仿宋"/>
                <w:spacing w:val="-2"/>
                <w:sz w:val="19"/>
                <w:szCs w:val="19"/>
                <w:highlight w:val="none"/>
              </w:rPr>
              <w:t xml:space="preserve">中标方确认：</w:t>
            </w:r>
            <w:r>
              <w:rPr>
                <w:rFonts w:ascii="仿宋" w:hAnsi="仿宋" w:eastAsia="仿宋" w:cs="仿宋"/>
                <w:spacing w:val="-2"/>
                <w:sz w:val="19"/>
                <w:szCs w:val="19"/>
                <w:highlight w:val="none"/>
              </w:rPr>
            </w:r>
            <w:r/>
          </w:p>
          <w:p>
            <w:pPr>
              <w:pStyle w:val="1080"/>
              <w:jc w:val="left"/>
              <w:rPr>
                <w:rFonts w:ascii="仿宋" w:hAnsi="仿宋" w:eastAsia="仿宋" w:cs="仿宋"/>
                <w:highlight w:val="none"/>
                <w:lang w:eastAsia="zh-CN"/>
              </w:rPr>
            </w:pPr>
            <w:r>
              <w:rPr>
                <w:rFonts w:ascii="仿宋" w:hAnsi="仿宋" w:eastAsia="仿宋" w:cs="仿宋"/>
                <w:highlight w:val="none"/>
                <w:lang w:eastAsia="zh-CN"/>
              </w:rPr>
            </w:r>
            <w:r/>
          </w:p>
          <w:p>
            <w:pPr>
              <w:pStyle w:val="1080"/>
              <w:jc w:val="left"/>
              <w:rPr>
                <w:rFonts w:ascii="仿宋" w:hAnsi="仿宋" w:eastAsia="仿宋" w:cs="仿宋"/>
                <w:highlight w:val="none"/>
                <w:lang w:eastAsia="zh-CN"/>
              </w:rPr>
            </w:pPr>
            <w:r>
              <w:rPr>
                <w:rFonts w:ascii="仿宋" w:hAnsi="仿宋" w:eastAsia="仿宋" w:cs="仿宋"/>
                <w:highlight w:val="none"/>
                <w:lang w:eastAsia="zh-CN"/>
              </w:rPr>
            </w:r>
            <w:r/>
          </w:p>
          <w:p>
            <w:pPr>
              <w:pStyle w:val="1080"/>
              <w:jc w:val="left"/>
              <w:rPr>
                <w:rFonts w:ascii="仿宋" w:hAnsi="仿宋" w:eastAsia="仿宋" w:cs="仿宋"/>
                <w:highlight w:val="none"/>
                <w:lang w:eastAsia="zh-CN"/>
              </w:rPr>
            </w:pPr>
            <w:r>
              <w:rPr>
                <w:rFonts w:ascii="仿宋" w:hAnsi="仿宋" w:eastAsia="仿宋" w:cs="仿宋"/>
                <w:highlight w:val="none"/>
                <w:lang w:eastAsia="zh-CN"/>
              </w:rPr>
            </w:r>
            <w:r/>
          </w:p>
          <w:p>
            <w:pPr>
              <w:pStyle w:val="1080"/>
              <w:jc w:val="left"/>
              <w:rPr>
                <w:rFonts w:ascii="仿宋" w:hAnsi="仿宋" w:eastAsia="仿宋" w:cs="仿宋"/>
                <w:highlight w:val="none"/>
                <w:lang w:eastAsia="zh-CN"/>
              </w:rPr>
            </w:pPr>
            <w:r>
              <w:rPr>
                <w:rFonts w:ascii="仿宋" w:hAnsi="仿宋" w:eastAsia="仿宋" w:cs="仿宋"/>
                <w:highlight w:val="none"/>
                <w:lang w:eastAsia="zh-CN"/>
              </w:rPr>
            </w:r>
            <w:r/>
          </w:p>
          <w:p>
            <w:pPr>
              <w:pStyle w:val="1080"/>
              <w:jc w:val="left"/>
              <w:rPr>
                <w:rFonts w:ascii="仿宋" w:hAnsi="仿宋" w:eastAsia="仿宋" w:cs="仿宋"/>
                <w:highlight w:val="none"/>
                <w:lang w:eastAsia="zh-CN"/>
              </w:rPr>
            </w:pPr>
            <w:r>
              <w:rPr>
                <w:rFonts w:ascii="仿宋" w:hAnsi="仿宋" w:eastAsia="仿宋" w:cs="仿宋"/>
                <w:highlight w:val="none"/>
                <w:lang w:eastAsia="zh-CN"/>
              </w:rPr>
            </w:r>
            <w:r/>
          </w:p>
          <w:p>
            <w:pPr>
              <w:pStyle w:val="1080"/>
              <w:jc w:val="left"/>
              <w:rPr>
                <w:rFonts w:ascii="仿宋" w:hAnsi="仿宋" w:eastAsia="仿宋" w:cs="仿宋"/>
                <w:highlight w:val="none"/>
                <w:lang w:eastAsia="zh-CN"/>
              </w:rPr>
            </w:pPr>
            <w:r>
              <w:rPr>
                <w:rFonts w:hint="eastAsia" w:ascii="仿宋" w:hAnsi="仿宋" w:eastAsia="仿宋" w:cs="仿宋"/>
                <w:highlight w:val="none"/>
                <w:lang w:eastAsia="zh-CN"/>
              </w:rPr>
              <w:t xml:space="preserve">（单位公章或授权代表签字）</w:t>
            </w:r>
            <w:r>
              <w:rPr>
                <w:rFonts w:ascii="仿宋" w:hAnsi="仿宋" w:eastAsia="仿宋" w:cs="仿宋"/>
                <w:highlight w:val="none"/>
                <w:lang w:eastAsia="zh-CN"/>
              </w:rPr>
            </w:r>
            <w:r/>
          </w:p>
        </w:tc>
      </w:tr>
    </w:tbl>
    <w:p>
      <w:pPr>
        <w:pStyle w:val="965"/>
        <w:spacing w:line="40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r>
      <w:r/>
    </w:p>
    <w:p>
      <w:pPr>
        <w:pStyle w:val="965"/>
        <w:spacing w:line="400" w:lineRule="exact"/>
        <w:rPr>
          <w:rFonts w:ascii="仿宋" w:hAnsi="仿宋" w:eastAsia="仿宋" w:cs="仿宋"/>
          <w:sz w:val="28"/>
          <w:szCs w:val="28"/>
          <w:highlight w:val="none"/>
        </w:rPr>
        <w:outlineLvl w:val="2"/>
      </w:pPr>
      <w:r>
        <w:rPr>
          <w:rFonts w:hint="eastAsia" w:ascii="仿宋" w:hAnsi="仿宋" w:eastAsia="仿宋" w:cs="仿宋"/>
          <w:sz w:val="28"/>
          <w:szCs w:val="28"/>
          <w:highlight w:val="none"/>
        </w:rPr>
        <w:t xml:space="preserve">附件2：《</w:t>
      </w:r>
      <w:bookmarkStart w:id="170" w:name="OLE_LINK22"/>
      <w:r>
        <w:rPr>
          <w:rFonts w:hint="eastAsia" w:ascii="仿宋" w:hAnsi="仿宋" w:eastAsia="仿宋" w:cs="仿宋"/>
          <w:sz w:val="28"/>
          <w:szCs w:val="28"/>
          <w:highlight w:val="none"/>
        </w:rPr>
        <w:t xml:space="preserve">江苏省儿童康复研究中心物业管理服务考核办法</w:t>
      </w:r>
      <w:bookmarkEnd w:id="170"/>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965"/>
        <w:ind w:firstLine="480"/>
        <w:spacing w:line="4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965"/>
        <w:ind w:firstLine="480"/>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一、考核形式</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本项目服务时间为两年，甲方根据《江苏省儿童康复研究中心物业管理服务考核细则》对该项目进行季度考核。</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二、考核分值</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物业管理服务考核总分100分，按服务模块权重设置分值：综合管理 10 分、安保服务 12 分、消防监控服务 10 分、弱电运维服务 8 分、工程维修服务 10 分、食堂餐饮服务 25 分、绿化养护服务 5 分、保洁卫生服务 10 分、幼儿保育辅助服务 10 分，总计 100 分。</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考核分为三个层次：优秀（90分以上，含90分）、合格（80分-90分，含80分）、不合格（80分以下）。</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三、考核结果运用</w:t>
      </w:r>
      <w:r>
        <w:rPr>
          <w:rFonts w:ascii="仿宋" w:hAnsi="仿宋" w:eastAsia="仿宋" w:cs="仿宋"/>
          <w:sz w:val="24"/>
          <w:szCs w:val="24"/>
          <w:highlight w:val="none"/>
        </w:rPr>
      </w:r>
      <w:r/>
    </w:p>
    <w:p>
      <w:pPr>
        <w:pStyle w:val="965"/>
        <w:ind w:firstLine="482"/>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1.季度考核结果运用。</w:t>
      </w:r>
      <w:r>
        <w:rPr>
          <w:rFonts w:ascii="仿宋" w:hAnsi="仿宋" w:eastAsia="仿宋" w:cs="仿宋"/>
          <w:b/>
          <w:bCs/>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季度考核结果作为当次周期付款依据。考核结果为优秀且对中心提出的问题整改到位，全额支付当期费用。</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考核评分90分以下的，每少1分扣减当期物业管理服务费用的0.2%；考核评分70分以下的，每低于1分扣减当期费用0.5%。</w:t>
      </w:r>
      <w:r>
        <w:rPr>
          <w:rFonts w:ascii="仿宋" w:hAnsi="仿宋" w:eastAsia="仿宋" w:cs="仿宋"/>
          <w:sz w:val="24"/>
          <w:szCs w:val="24"/>
          <w:highlight w:val="none"/>
        </w:rPr>
      </w:r>
      <w:r/>
    </w:p>
    <w:p>
      <w:pPr>
        <w:pStyle w:val="965"/>
        <w:ind w:firstLine="482"/>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2.考核结果的其他运用。</w:t>
      </w:r>
      <w:r>
        <w:rPr>
          <w:rFonts w:ascii="仿宋" w:hAnsi="仿宋" w:eastAsia="仿宋" w:cs="仿宋"/>
          <w:b/>
          <w:bCs/>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如乙方在合同期内连续两次考核不合格，甲方有权终止合同。</w:t>
      </w:r>
      <w:r>
        <w:rPr>
          <w:rFonts w:ascii="仿宋" w:hAnsi="仿宋" w:eastAsia="仿宋" w:cs="仿宋"/>
          <w:sz w:val="24"/>
          <w:szCs w:val="24"/>
          <w:highlight w:val="none"/>
        </w:rPr>
      </w:r>
      <w:r/>
    </w:p>
    <w:p>
      <w:pPr>
        <w:pStyle w:val="965"/>
        <w:ind w:firstLine="482"/>
        <w:spacing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3.费用支付方式：</w:t>
      </w:r>
      <w:r>
        <w:rPr>
          <w:rFonts w:ascii="仿宋" w:hAnsi="仿宋" w:eastAsia="仿宋" w:cs="仿宋"/>
          <w:b/>
          <w:bCs/>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每三个月经考核合格支付一次款项，一年共计支付四次。</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合同签订后，采购人向中标方支付合同总金额的10%作为预付款，第一个季度考核合格后支付合同总金额的15%，后三个季度经考核合格后支付合同总金额的25%。</w:t>
      </w:r>
      <w:r>
        <w:rPr>
          <w:rFonts w:ascii="仿宋" w:hAnsi="仿宋" w:eastAsia="仿宋" w:cs="仿宋"/>
          <w:sz w:val="24"/>
          <w:szCs w:val="24"/>
          <w:highlight w:val="none"/>
        </w:rPr>
      </w:r>
      <w:r/>
    </w:p>
    <w:p>
      <w:pPr>
        <w:pStyle w:val="965"/>
        <w:ind w:firstLine="48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若因财务管理或者国库封账需要延后的，则延期支付，具体支付时间以财务部门开账时间为准，中标单位应当予以充分理解。</w:t>
      </w:r>
      <w:r>
        <w:rPr>
          <w:rFonts w:ascii="仿宋" w:hAnsi="仿宋" w:eastAsia="仿宋" w:cs="仿宋"/>
          <w:sz w:val="24"/>
          <w:szCs w:val="24"/>
          <w:highlight w:val="none"/>
        </w:rPr>
      </w:r>
      <w:r/>
    </w:p>
    <w:p>
      <w:pPr>
        <w:pStyle w:val="965"/>
        <w:spacing w:line="440" w:lineRule="exact"/>
        <w:rPr>
          <w:rFonts w:ascii="仿宋" w:hAnsi="仿宋" w:eastAsia="仿宋" w:cs="仿宋"/>
          <w:highlight w:val="none"/>
        </w:rPr>
      </w:pPr>
      <w:r>
        <w:rPr>
          <w:rFonts w:ascii="仿宋" w:hAnsi="仿宋" w:eastAsia="仿宋" w:cs="仿宋"/>
          <w:highlight w:val="none"/>
        </w:rPr>
      </w:r>
      <w:r/>
    </w:p>
    <w:p>
      <w:pPr>
        <w:pStyle w:val="965"/>
        <w:spacing w:line="440" w:lineRule="exact"/>
        <w:rPr>
          <w:rFonts w:ascii="仿宋" w:hAnsi="仿宋" w:eastAsia="仿宋" w:cs="仿宋"/>
          <w:highlight w:val="none"/>
        </w:rPr>
      </w:pPr>
      <w:r>
        <w:rPr>
          <w:rFonts w:ascii="仿宋" w:hAnsi="仿宋" w:eastAsia="仿宋" w:cs="仿宋"/>
          <w:highlight w:val="none"/>
        </w:rPr>
      </w:r>
      <w:r/>
    </w:p>
    <w:p>
      <w:pPr>
        <w:pStyle w:val="965"/>
        <w:spacing w:line="440" w:lineRule="exact"/>
        <w:rPr>
          <w:rFonts w:ascii="仿宋" w:hAnsi="仿宋" w:eastAsia="仿宋" w:cs="仿宋"/>
          <w:highlight w:val="none"/>
        </w:rPr>
      </w:pPr>
      <w:r>
        <w:rPr>
          <w:rFonts w:ascii="仿宋" w:hAnsi="仿宋" w:eastAsia="仿宋" w:cs="仿宋"/>
          <w:highlight w:val="none"/>
        </w:rPr>
        <w:br w:type="page" w:clear="all"/>
      </w:r>
      <w:r>
        <w:rPr>
          <w:rFonts w:ascii="仿宋" w:hAnsi="仿宋" w:eastAsia="仿宋" w:cs="仿宋"/>
          <w:highlight w:val="none"/>
        </w:rPr>
      </w:r>
      <w:r/>
    </w:p>
    <w:tbl>
      <w:tblPr>
        <w:tblW w:w="9239" w:type="dxa"/>
        <w:jc w:val="center"/>
        <w:tblInd w:w="-8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805"/>
        <w:gridCol w:w="1545"/>
        <w:gridCol w:w="1530"/>
        <w:gridCol w:w="3769"/>
        <w:gridCol w:w="786"/>
        <w:gridCol w:w="804"/>
      </w:tblGrid>
      <w:tr>
        <w:trPr>
          <w:tblHeader/>
        </w:trPr>
        <w:tc>
          <w:tcPr>
            <w:tcMar>
              <w:left w:w="120" w:type="dxa"/>
              <w:top w:w="60" w:type="dxa"/>
              <w:right w:w="120" w:type="dxa"/>
              <w:bottom w:w="30" w:type="dxa"/>
            </w:tcMar>
            <w:tcW w:w="805" w:type="dxa"/>
            <w:vAlign w:val="center"/>
            <w:textDirection w:val="lrTb"/>
            <w:noWrap w:val="false"/>
          </w:tcPr>
          <w:p>
            <w:pPr>
              <w:pStyle w:val="965"/>
              <w:jc w:val="center"/>
              <w:rPr>
                <w:rFonts w:ascii="仿宋" w:hAnsi="仿宋" w:eastAsia="仿宋" w:cs="仿宋"/>
                <w:b/>
                <w:highlight w:val="none"/>
              </w:rPr>
            </w:pPr>
            <w:r>
              <w:rPr>
                <w:rFonts w:hint="eastAsia" w:ascii="仿宋" w:hAnsi="仿宋" w:eastAsia="仿宋" w:cs="仿宋"/>
                <w:b/>
                <w:highlight w:val="none"/>
              </w:rPr>
              <w:t xml:space="preserve">序号</w:t>
            </w:r>
            <w:r>
              <w:rPr>
                <w:rFonts w:ascii="仿宋" w:hAnsi="仿宋" w:eastAsia="仿宋" w:cs="仿宋"/>
                <w:b/>
                <w:highlight w:val="none"/>
              </w:rPr>
            </w:r>
            <w:r/>
          </w:p>
        </w:tc>
        <w:tc>
          <w:tcPr>
            <w:tcMar>
              <w:left w:w="120" w:type="dxa"/>
              <w:top w:w="60" w:type="dxa"/>
              <w:right w:w="120" w:type="dxa"/>
              <w:bottom w:w="30" w:type="dxa"/>
            </w:tcMar>
            <w:tcW w:w="1545" w:type="dxa"/>
            <w:vAlign w:val="center"/>
            <w:textDirection w:val="lrTb"/>
            <w:noWrap w:val="false"/>
          </w:tcPr>
          <w:p>
            <w:pPr>
              <w:pStyle w:val="965"/>
              <w:jc w:val="center"/>
              <w:rPr>
                <w:rFonts w:ascii="仿宋" w:hAnsi="仿宋" w:eastAsia="仿宋" w:cs="仿宋"/>
                <w:b/>
                <w:highlight w:val="none"/>
              </w:rPr>
            </w:pPr>
            <w:r>
              <w:rPr>
                <w:rFonts w:hint="eastAsia" w:ascii="仿宋" w:hAnsi="仿宋" w:eastAsia="仿宋" w:cs="仿宋"/>
                <w:b/>
                <w:highlight w:val="none"/>
              </w:rPr>
              <w:t xml:space="preserve">服务模块</w:t>
            </w:r>
            <w:r>
              <w:rPr>
                <w:rFonts w:ascii="仿宋" w:hAnsi="仿宋" w:eastAsia="仿宋" w:cs="仿宋"/>
                <w:b/>
                <w:highlight w:val="none"/>
              </w:rPr>
            </w:r>
            <w:r/>
          </w:p>
        </w:tc>
        <w:tc>
          <w:tcPr>
            <w:tcMar>
              <w:left w:w="120" w:type="dxa"/>
              <w:top w:w="60" w:type="dxa"/>
              <w:right w:w="120" w:type="dxa"/>
              <w:bottom w:w="30" w:type="dxa"/>
            </w:tcMar>
            <w:tcW w:w="1530" w:type="dxa"/>
            <w:vAlign w:val="center"/>
            <w:textDirection w:val="lrTb"/>
            <w:noWrap w:val="false"/>
          </w:tcPr>
          <w:p>
            <w:pPr>
              <w:pStyle w:val="965"/>
              <w:jc w:val="center"/>
              <w:rPr>
                <w:rFonts w:ascii="仿宋" w:hAnsi="仿宋" w:eastAsia="仿宋" w:cs="仿宋"/>
                <w:b/>
                <w:highlight w:val="none"/>
              </w:rPr>
            </w:pPr>
            <w:r>
              <w:rPr>
                <w:rFonts w:hint="eastAsia" w:ascii="仿宋" w:hAnsi="仿宋" w:eastAsia="仿宋" w:cs="仿宋"/>
                <w:b/>
                <w:highlight w:val="none"/>
              </w:rPr>
              <w:t xml:space="preserve">考核项目</w:t>
            </w:r>
            <w:r>
              <w:rPr>
                <w:rFonts w:ascii="仿宋" w:hAnsi="仿宋" w:eastAsia="仿宋" w:cs="仿宋"/>
                <w:b/>
                <w:highlight w:val="none"/>
              </w:rPr>
            </w:r>
            <w:r/>
          </w:p>
        </w:tc>
        <w:tc>
          <w:tcPr>
            <w:tcMar>
              <w:left w:w="120" w:type="dxa"/>
              <w:top w:w="60" w:type="dxa"/>
              <w:right w:w="120" w:type="dxa"/>
              <w:bottom w:w="30" w:type="dxa"/>
            </w:tcMar>
            <w:tcW w:w="3769" w:type="dxa"/>
            <w:vAlign w:val="center"/>
            <w:textDirection w:val="lrTb"/>
            <w:noWrap w:val="false"/>
          </w:tcPr>
          <w:p>
            <w:pPr>
              <w:pStyle w:val="965"/>
              <w:jc w:val="center"/>
              <w:rPr>
                <w:rFonts w:ascii="仿宋" w:hAnsi="仿宋" w:eastAsia="仿宋" w:cs="仿宋"/>
                <w:b/>
                <w:highlight w:val="none"/>
              </w:rPr>
            </w:pPr>
            <w:r>
              <w:rPr>
                <w:rFonts w:hint="eastAsia" w:ascii="仿宋" w:hAnsi="仿宋" w:eastAsia="仿宋" w:cs="仿宋"/>
                <w:b/>
                <w:highlight w:val="none"/>
              </w:rPr>
              <w:t xml:space="preserve">考核内容与评分标准</w:t>
            </w:r>
            <w:r>
              <w:rPr>
                <w:rFonts w:ascii="仿宋" w:hAnsi="仿宋" w:eastAsia="仿宋" w:cs="仿宋"/>
                <w:b/>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b/>
                <w:highlight w:val="none"/>
              </w:rPr>
            </w:pPr>
            <w:r>
              <w:rPr>
                <w:rFonts w:hint="eastAsia" w:ascii="仿宋" w:hAnsi="仿宋" w:eastAsia="仿宋" w:cs="仿宋"/>
                <w:b/>
                <w:highlight w:val="none"/>
              </w:rPr>
              <w:t xml:space="preserve">标准分值</w:t>
            </w:r>
            <w:r>
              <w:rPr>
                <w:rFonts w:ascii="仿宋" w:hAnsi="仿宋" w:eastAsia="仿宋" w:cs="仿宋"/>
                <w:b/>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b/>
                <w:highlight w:val="none"/>
              </w:rPr>
            </w:pPr>
            <w:r>
              <w:rPr>
                <w:rFonts w:hint="eastAsia" w:ascii="仿宋" w:hAnsi="仿宋" w:eastAsia="仿宋" w:cs="仿宋"/>
                <w:b/>
                <w:highlight w:val="none"/>
              </w:rPr>
              <w:t xml:space="preserve">得分</w:t>
            </w:r>
            <w:r>
              <w:rPr>
                <w:rFonts w:ascii="仿宋" w:hAnsi="仿宋" w:eastAsia="仿宋" w:cs="仿宋"/>
                <w:b/>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1</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综合管理</w:t>
            </w:r>
            <w:r>
              <w:rPr>
                <w:rFonts w:hint="eastAsia" w:ascii="仿宋" w:hAnsi="仿宋" w:eastAsia="仿宋" w:cs="仿宋"/>
                <w:highlight w:val="none"/>
              </w:rPr>
              <w:br w:type="textWrapping" w:clear="all"/>
            </w:r>
            <w:r>
              <w:rPr>
                <w:rFonts w:hint="eastAsia" w:ascii="仿宋" w:hAnsi="仿宋" w:eastAsia="仿宋" w:cs="仿宋"/>
                <w:highlight w:val="none"/>
              </w:rPr>
              <w:t xml:space="preserve">（10分）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人员资质与到岗</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1.项目经理资质符合合同要求，未经甲方同意擅自更换扣2分；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2.项目经理未按要求在上下学高峰期值岗，每次扣0.5分；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3.项目经理手机未保持24小时畅通、突发事件响应不及时，每次扣1分。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制度与台账管理</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1.未建立物业服务各项规章制度、未制定月度工作计划，每项扣1分；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2.每月未按时向甲方提交工作月报，每次扣1分；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3.物业服务档案、台账记录不完整、不规范，扣0.5-1分。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履职与沟通</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1.每日未开展园区全面巡视、巡查记录缺失，每次扣0.5分；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2.对甲方提出的问题推诿拖延、未及时处置，每次扣1分；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3.每年未按要求开展4次满意度普测、未落实整改，扣1-2分。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4分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安保服务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（12分）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门岗值守管理</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1.门岗24小时值班出现脱岗、睡岗、在岗玩手机等违规行为，每次扣2分；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2.上下学高峰期未保证2人及以上安保人员在岗，每次扣1分。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4分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人员车辆管控</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1.来访人员未执行登记、电话确认流程即放行，每次扣1分；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2.园区车辆停放秩序混乱、未及时疏导，每次扣0.5分；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3.报刊、快递收发出现错漏丢失，每次扣0.5分。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岗位合规性</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1.保安人员未持证上岗、证件未按要求备案，每人扣1分；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2.未按要求开展巡查、值班与交接班记录不完整，每次扣0.5分。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工作纪律</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1.未统一着装、仪容仪表不规范，每人次扣0.5分；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2.违反“五不”工作纪律（喝酒、抽烟、擅离岗、迟到早退、做无关事务），每人次扣1分。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消防监控服务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（10分）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值守履职</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1.监控岗24小时值守出现脱岗、睡岗、从事无关事务，每次扣2分；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2.未按每15分钟巡查一次监控画面的要求执行，每次扣0.5分。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设备与巡检</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1.消防监控人员未持中级消防设施操作员证、证件未备案，每人扣2分；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2.消防设施巡检不到位、设备故障未及时报修，每项扣1分。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应急处置</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1.火警信号处置不及时、流程不规范，每次扣2分；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2.值守人员不熟悉园区消防点位与疏散路线，扣1分。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资料管理</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1.监控录像留存不足90天、私自调阅拷贝录像资料，每次扣2分；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2.值守、处置台账记录不完整、不规范，扣0.5-1分。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4</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弱电运维服务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（8分）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日常运维</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1.弱电专管员资质不符合要求、证件未备案，每人扣1分；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2.未按要求开展弱电设备日常巡检养护，每项扣0.5分。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故障处置</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1.网络、监控、音响、多媒体等设备故障未及时排除，影响正常使用，每次扣1分；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2.非工作时间应急响应不及时、随叫随到不到位，每次扣0.5分。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会议保障</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会议、活动前未按要求完成设备调试准备，影响正常开展，每次扣1分。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台账管理</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设备运行、检修记录不完整、档案不规范，扣0.5-1分。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1分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5</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工程维修服务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（10分）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人员与规范</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1.维修人员未持有效电工证上岗、证件未备案，每人扣1分；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2.未统一着装、违反安全操作规程，每人次扣0.5分。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设备养护</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1.水电、照明、空调、管道等公用设施未定期保养，每项扣0.5分；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2.消防设施维护不到位、存在安全隐患，每项扣1分。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故障处置</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1.设施报修后未及时处置、造成影响扩大，每次扣1分；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2.安全隐患隐瞒拖延、未及时上报，每次扣1分。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台账与纪律</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1.水电气检修、运行记录不完整，台账不规范，扣0.5-1分；</w:t>
            </w:r>
            <w:r>
              <w:rPr>
                <w:rFonts w:hint="eastAsia" w:ascii="仿宋" w:hAnsi="仿宋" w:eastAsia="仿宋" w:cs="仿宋"/>
                <w:highlight w:val="none"/>
              </w:rPr>
              <w:br w:type="textWrapping" w:clear="all"/>
            </w:r>
            <w:r>
              <w:rPr>
                <w:rFonts w:hint="eastAsia" w:ascii="仿宋" w:hAnsi="仿宋" w:eastAsia="仿宋" w:cs="仿宋"/>
                <w:highlight w:val="none"/>
              </w:rPr>
              <w:t xml:space="preserve">2.违反“五不”工作纪律，每人次扣0.5分。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6</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食堂餐饮服务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（25分）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人员资质管理</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1.食堂全员未持有效健康证上岗，厨师长、幼儿厨师、面点师无对应职业资格与托幼机构从业资质，每人扣1分；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2.上岗未按规范佩戴厨师帽、口罩、手套，着装不整洁，每人次扣0.5分。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4分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食品安全管控</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1.未执行48小时食品留样制度、留样不规范、记录缺失，每次扣2分；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2.使用过期、变质原材料，违反食品安全禁令，每次扣5分；</w:t>
            </w:r>
            <w:r>
              <w:rPr>
                <w:rFonts w:hint="eastAsia" w:ascii="仿宋" w:hAnsi="仿宋" w:eastAsia="仿宋" w:cs="仿宋"/>
                <w:highlight w:val="none"/>
              </w:rPr>
              <w:br w:type="textWrapping" w:clear="all"/>
            </w:r>
            <w:r>
              <w:rPr>
                <w:rFonts w:hint="eastAsia" w:ascii="仿宋" w:hAnsi="仿宋" w:eastAsia="仿宋" w:cs="仿宋"/>
                <w:highlight w:val="none"/>
              </w:rPr>
              <w:t xml:space="preserve">3.原料进货验收、索证索票不全，每项扣1分；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4.生熟食材、工具未分区存放，存在交叉污染风险，每次扣1分。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8分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菜品质量与营养</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1.未提前一周提交食谱报甲方审核，每次扣1分；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2.幼儿餐点不符合营养需求、口味不适宜儿童，扣1-2分；</w:t>
            </w:r>
            <w:r>
              <w:rPr>
                <w:rFonts w:hint="eastAsia" w:ascii="仿宋" w:hAnsi="仿宋" w:eastAsia="仿宋" w:cs="仿宋"/>
                <w:highlight w:val="none"/>
              </w:rPr>
              <w:br w:type="textWrapping" w:clear="all"/>
            </w:r>
            <w:r>
              <w:rPr>
                <w:rFonts w:hint="eastAsia" w:ascii="仿宋" w:hAnsi="仿宋" w:eastAsia="仿宋" w:cs="仿宋"/>
                <w:highlight w:val="none"/>
              </w:rPr>
              <w:t xml:space="preserve">3.餐食供应不及时、分量不足，每次扣1分；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4.未定期更新菜品、品类单一，扣1分。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6分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厨房环境卫生</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1.厨房卫生未达到“五面光”标准，存在卫生死角、油污积水，每处扣0.5分；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2.餐具清洗消毒不规范，每次扣1分；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3.每日收尾未确认水电气关闭，每次扣1分。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4分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服务配合度</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1.不服从甲方伙委会监督、对整改意见落实不及时，扣1分；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2.公务接待餐饮保障不到位，每次扣1分；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3.违反“五不”工作纪律，每人次扣1分。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7</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绿化养护服务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（5分）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日常养护</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1.未按要求完成浇水、施肥、修剪、枯叶清理，每项扣0.5分；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2.病虫害防治不及时、出现大面积枯黄，扣1分。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安全管控</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1.绿植遮挡监控、消防通道未及时整改，每处扣1分；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2.使用高毒高残留农药，扣2分；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3.绿植品种不符合儿童安全标准（有刺、有毒、飞絮等），每处扣0.5分。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景观与台账</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1.绿植成活率低于95%、枯萎植株未及时更换，每处扣0.5分；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2.未按时提交月度养护工作报告，扣0.5分。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1分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8</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保洁卫生服务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（10分）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保洁质量</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1.公共区域、卫生间、楼梯、操场等保洁未达“五面光”标准，每处扣0.5分；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2.垃圾未当日清运、堆积存放，每次扣0.5分；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3.卫生死角清理不及时，每处扣0.5分。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4分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消毒作业</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公共设施、户外运动器械未按要求清洁消毒，每次扣1分。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工具与纪律</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1.清洁工具乱堆乱放、私自带出园区，每次扣0.5分；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2.未统一着装、违反“五不”工作纪律，每人次扣0.5分。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服务规范</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与甲方人员、来访人员发生争执，每次扣1分；发现设施故障未及时上报，每次扣0.5分。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9</w:t>
            </w:r>
            <w:r>
              <w:rPr>
                <w:rFonts w:ascii="仿宋" w:hAnsi="仿宋" w:eastAsia="仿宋" w:cs="仿宋"/>
                <w:highlight w:val="none"/>
              </w:rPr>
            </w:r>
            <w:r/>
          </w:p>
        </w:tc>
        <w:tc>
          <w:tcPr>
            <w:tcMar>
              <w:left w:w="120" w:type="dxa"/>
              <w:top w:w="60" w:type="dxa"/>
              <w:right w:w="120" w:type="dxa"/>
              <w:bottom w:w="30" w:type="dxa"/>
            </w:tcMar>
            <w:tcW w:w="1545" w:type="dxa"/>
            <w:vAlign w:val="center"/>
            <w:vMerge w:val="restart"/>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幼儿保育辅助服务</w:t>
            </w:r>
            <w:r>
              <w:rPr>
                <w:rFonts w:hint="eastAsia" w:ascii="仿宋" w:hAnsi="仿宋" w:eastAsia="仿宋" w:cs="仿宋"/>
                <w:highlight w:val="none"/>
              </w:rPr>
              <w:br w:type="textWrapping" w:clear="all"/>
            </w:r>
            <w:r>
              <w:rPr>
                <w:rFonts w:hint="eastAsia" w:ascii="仿宋" w:hAnsi="仿宋" w:eastAsia="仿宋" w:cs="仿宋"/>
                <w:highlight w:val="none"/>
              </w:rPr>
              <w:t xml:space="preserve">（10分）</w:t>
            </w: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卫生消毒</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1.教室卫生、消毒不到位，消毒液配比不规范，每次扣1分；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2.幼儿入园前未完成清洁准备、未保障温水供应，每次扣0.5分。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保育配合</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1.未配合教师完成幼儿生活护理、对体弱儿童护理不到位，每次扣1分；</w:t>
            </w:r>
            <w:r>
              <w:rPr>
                <w:rFonts w:hint="eastAsia" w:ascii="仿宋" w:hAnsi="仿宋" w:eastAsia="仿宋" w:cs="仿宋"/>
                <w:highlight w:val="none"/>
              </w:rPr>
              <w:br w:type="textWrapping" w:clear="all"/>
            </w:r>
            <w:r>
              <w:rPr>
                <w:rFonts w:hint="eastAsia" w:ascii="仿宋" w:hAnsi="仿宋" w:eastAsia="仿宋" w:cs="仿宋"/>
                <w:highlight w:val="none"/>
              </w:rPr>
              <w:t xml:space="preserve">2.幼儿餐食分发、餐具消毒不规范，每次扣1分。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3分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安全与物品管理</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1.班级物品保管不善、损坏丢失，每次扣0.5分；</w:t>
            </w:r>
            <w:r>
              <w:rPr>
                <w:rFonts w:hint="eastAsia" w:ascii="仿宋" w:hAnsi="仿宋" w:eastAsia="仿宋" w:cs="仿宋"/>
                <w:highlight w:val="none"/>
              </w:rPr>
              <w:br w:type="textWrapping" w:clear="all"/>
            </w:r>
            <w:r>
              <w:rPr>
                <w:rFonts w:hint="eastAsia" w:ascii="仿宋" w:hAnsi="仿宋" w:eastAsia="仿宋" w:cs="仿宋"/>
                <w:highlight w:val="none"/>
              </w:rPr>
              <w:t xml:space="preserve">2.安全隐患未及时排查排除，每次扣1分。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r>
        <w:trPr/>
        <w:tc>
          <w:tcPr>
            <w:tcMar>
              <w:left w:w="120" w:type="dxa"/>
              <w:top w:w="60" w:type="dxa"/>
              <w:right w:w="120" w:type="dxa"/>
              <w:bottom w:w="30" w:type="dxa"/>
            </w:tcMar>
            <w:tcW w:w="80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45" w:type="dxa"/>
            <w:vAlign w:val="center"/>
            <w:vMerge w:val="continue"/>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c>
          <w:tcPr>
            <w:tcMar>
              <w:left w:w="120" w:type="dxa"/>
              <w:top w:w="60" w:type="dxa"/>
              <w:right w:w="120" w:type="dxa"/>
              <w:bottom w:w="30" w:type="dxa"/>
            </w:tcMar>
            <w:tcW w:w="1530"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服务规范</w:t>
            </w:r>
            <w:r>
              <w:rPr>
                <w:rFonts w:ascii="仿宋" w:hAnsi="仿宋" w:eastAsia="仿宋" w:cs="仿宋"/>
                <w:highlight w:val="none"/>
              </w:rPr>
            </w:r>
            <w:r/>
          </w:p>
        </w:tc>
        <w:tc>
          <w:tcPr>
            <w:tcMar>
              <w:left w:w="120" w:type="dxa"/>
              <w:top w:w="60" w:type="dxa"/>
              <w:right w:w="120" w:type="dxa"/>
              <w:bottom w:w="30" w:type="dxa"/>
            </w:tcMar>
            <w:tcW w:w="3769" w:type="dxa"/>
            <w:vAlign w:val="center"/>
            <w:textDirection w:val="lrTb"/>
            <w:noWrap w:val="false"/>
          </w:tcPr>
          <w:p>
            <w:pPr>
              <w:pStyle w:val="965"/>
              <w:jc w:val="left"/>
              <w:rPr>
                <w:rFonts w:ascii="仿宋" w:hAnsi="仿宋" w:eastAsia="仿宋" w:cs="仿宋"/>
                <w:highlight w:val="none"/>
              </w:rPr>
            </w:pPr>
            <w:r>
              <w:rPr>
                <w:rFonts w:hint="eastAsia" w:ascii="仿宋" w:hAnsi="仿宋" w:eastAsia="仿宋" w:cs="仿宋"/>
                <w:highlight w:val="none"/>
              </w:rPr>
              <w:t xml:space="preserve">1.对幼儿态度生硬、使用幼儿物品、食用幼儿饮食，每人次扣2分；</w:t>
            </w:r>
            <w:r>
              <w:rPr>
                <w:rFonts w:hint="eastAsia" w:ascii="仿宋" w:hAnsi="仿宋" w:eastAsia="仿宋" w:cs="仿宋"/>
                <w:highlight w:val="none"/>
              </w:rPr>
              <w:br w:type="textWrapping" w:clear="all"/>
            </w:r>
            <w:r>
              <w:rPr>
                <w:rFonts w:hint="eastAsia" w:ascii="仿宋" w:hAnsi="仿宋" w:eastAsia="仿宋" w:cs="仿宋"/>
                <w:highlight w:val="none"/>
              </w:rPr>
              <w:t xml:space="preserve">2.未按要求完成儿保、防疫相关工作，扣1-2分。</w:t>
            </w:r>
            <w:r>
              <w:rPr>
                <w:rFonts w:ascii="仿宋" w:hAnsi="仿宋" w:eastAsia="仿宋" w:cs="仿宋"/>
                <w:highlight w:val="none"/>
              </w:rPr>
            </w:r>
            <w:r/>
          </w:p>
        </w:tc>
        <w:tc>
          <w:tcPr>
            <w:tcMar>
              <w:left w:w="120" w:type="dxa"/>
              <w:top w:w="60" w:type="dxa"/>
              <w:right w:w="120" w:type="dxa"/>
              <w:bottom w:w="30" w:type="dxa"/>
            </w:tcMar>
            <w:tcW w:w="786" w:type="dxa"/>
            <w:vAlign w:val="center"/>
            <w:textDirection w:val="lrTb"/>
            <w:noWrap w:val="false"/>
          </w:tcPr>
          <w:p>
            <w:pPr>
              <w:pStyle w:val="965"/>
              <w:jc w:val="center"/>
              <w:rPr>
                <w:rFonts w:ascii="仿宋" w:hAnsi="仿宋" w:eastAsia="仿宋" w:cs="仿宋"/>
                <w:highlight w:val="none"/>
              </w:rPr>
            </w:pPr>
            <w:r>
              <w:rPr>
                <w:rFonts w:hint="eastAsia" w:ascii="仿宋" w:hAnsi="仿宋" w:eastAsia="仿宋" w:cs="仿宋"/>
                <w:highlight w:val="none"/>
              </w:rPr>
              <w:t xml:space="preserve">2分</w:t>
            </w:r>
            <w:r>
              <w:rPr>
                <w:rFonts w:ascii="仿宋" w:hAnsi="仿宋" w:eastAsia="仿宋" w:cs="仿宋"/>
                <w:highlight w:val="none"/>
              </w:rPr>
            </w:r>
            <w:r/>
          </w:p>
        </w:tc>
        <w:tc>
          <w:tcPr>
            <w:tcMar>
              <w:left w:w="120" w:type="dxa"/>
              <w:top w:w="60" w:type="dxa"/>
              <w:right w:w="120" w:type="dxa"/>
              <w:bottom w:w="30" w:type="dxa"/>
            </w:tcMar>
            <w:tcW w:w="804" w:type="dxa"/>
            <w:vAlign w:val="center"/>
            <w:textDirection w:val="lrTb"/>
            <w:noWrap w:val="false"/>
          </w:tcPr>
          <w:p>
            <w:pPr>
              <w:pStyle w:val="965"/>
              <w:jc w:val="center"/>
              <w:rPr>
                <w:rFonts w:ascii="仿宋" w:hAnsi="仿宋" w:eastAsia="仿宋" w:cs="仿宋"/>
                <w:highlight w:val="none"/>
              </w:rPr>
            </w:pPr>
            <w:r>
              <w:rPr>
                <w:rFonts w:ascii="仿宋" w:hAnsi="仿宋" w:eastAsia="仿宋" w:cs="仿宋"/>
                <w:highlight w:val="none"/>
              </w:rPr>
            </w:r>
            <w:r/>
          </w:p>
        </w:tc>
      </w:tr>
    </w:tbl>
    <w:p>
      <w:pPr>
        <w:pStyle w:val="967"/>
        <w:spacing w:line="400" w:lineRule="exact"/>
        <w:rPr>
          <w:rFonts w:hint="eastAsia" w:ascii="黑体" w:hAnsi="黑体" w:eastAsia="黑体"/>
          <w:b w:val="0"/>
          <w:bCs w:val="0"/>
          <w:sz w:val="32"/>
          <w:szCs w:val="32"/>
          <w:highlight w:val="none"/>
        </w:rPr>
      </w:pPr>
      <w:r/>
      <w:bookmarkStart w:id="171" w:name="_Toc120614281"/>
      <w:r>
        <w:rPr>
          <w:rFonts w:hint="eastAsia" w:ascii="黑体" w:hAnsi="黑体" w:eastAsia="黑体"/>
          <w:b w:val="0"/>
          <w:bCs w:val="0"/>
          <w:sz w:val="32"/>
          <w:szCs w:val="32"/>
          <w:highlight w:val="none"/>
        </w:rPr>
        <w:br w:type="page" w:clear="all"/>
      </w:r>
      <w:r>
        <w:rPr>
          <w:rFonts w:hint="eastAsia" w:ascii="黑体" w:hAnsi="黑体" w:eastAsia="黑体"/>
          <w:b w:val="0"/>
          <w:bCs w:val="0"/>
          <w:sz w:val="32"/>
          <w:szCs w:val="32"/>
          <w:highlight w:val="none"/>
        </w:rPr>
        <w:t xml:space="preserve">第五章  评标方法与评标标准</w:t>
      </w:r>
      <w:r>
        <w:rPr>
          <w:rFonts w:hint="eastAsia" w:ascii="黑体" w:hAnsi="黑体" w:eastAsia="黑体"/>
          <w:b w:val="0"/>
          <w:bCs w:val="0"/>
          <w:sz w:val="32"/>
          <w:szCs w:val="32"/>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rFonts w:hint="eastAsia" w:ascii="方正仿宋_GBK" w:hAnsi="方正仿宋_GBK" w:eastAsia="方正仿宋_GBK" w:cs="方正仿宋_GBK"/>
          <w:sz w:val="28"/>
          <w:szCs w:val="28"/>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134"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08"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65"/>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965"/>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1052"/>
        <w:ind w:firstLine="562"/>
        <w:jc w:val="both"/>
        <w:spacing w:before="0" w:after="0"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b/>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rFonts w:hint="eastAsia" w:ascii="宋体" w:hAnsi="宋体"/>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1052"/>
        <w:ind w:firstLine="562"/>
        <w:jc w:val="both"/>
        <w:spacing w:before="0" w:after="0"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宋体" w:hAnsi="宋体"/>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1052"/>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highlight w:val="none"/>
        </w:rPr>
      </w:r>
      <w:r/>
    </w:p>
    <w:p>
      <w:pPr>
        <w:pStyle w:val="1052"/>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7.采购本国产品的支持政策</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highlight w:val="none"/>
          <w:u w:val="single"/>
        </w:rPr>
        <w:t xml:space="preserve">20%</w:t>
      </w:r>
      <w:r>
        <w:rPr>
          <w:rFonts w:hint="eastAsia" w:ascii="方正仿宋_GBK" w:hAnsi="方正仿宋_GBK" w:eastAsia="方正仿宋_GBK" w:cs="方正仿宋_GBK"/>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highlight w:val="none"/>
          <w:u w:val="single"/>
        </w:rPr>
        <w:t xml:space="preserve">“  /  ”</w:t>
      </w:r>
      <w:r>
        <w:rPr>
          <w:rFonts w:hint="eastAsia" w:ascii="方正仿宋_GBK" w:hAnsi="方正仿宋_GBK" w:eastAsia="方正仿宋_GBK" w:cs="方正仿宋_GBK"/>
          <w:sz w:val="28"/>
          <w:szCs w:val="28"/>
          <w:highlight w:val="none"/>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highlight w:val="none"/>
        </w:rPr>
      </w:r>
      <w:r/>
    </w:p>
    <w:p>
      <w:pPr>
        <w:pStyle w:val="965"/>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highlight w:val="none"/>
        </w:rPr>
      </w:r>
      <w:r/>
    </w:p>
    <w:p>
      <w:pPr>
        <w:pStyle w:val="1052"/>
        <w:ind w:firstLine="562"/>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65"/>
        <w:ind w:firstLine="562"/>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65"/>
        <w:ind w:firstLine="560"/>
        <w:spacing w:line="440" w:lineRule="exact"/>
        <w:rPr>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 </w:t>
      </w:r>
      <w:r>
        <w:rPr>
          <w:rFonts w:ascii="仿宋" w:hAnsi="仿宋" w:eastAsia="仿宋" w:cs="仿宋"/>
          <w:sz w:val="28"/>
          <w:highlight w:val="none"/>
        </w:rPr>
        <w:t xml:space="preserve">（一）投标报价（</w:t>
      </w:r>
      <w:r>
        <w:rPr>
          <w:rFonts w:hint="eastAsia" w:ascii="仿宋" w:hAnsi="仿宋" w:eastAsia="仿宋" w:cs="仿宋"/>
          <w:sz w:val="28"/>
          <w:highlight w:val="none"/>
          <w:lang w:val="en-US" w:eastAsia="zh-CN"/>
        </w:rPr>
        <w:t xml:space="preserve">15</w:t>
      </w:r>
      <w:r>
        <w:rPr>
          <w:rFonts w:ascii="仿宋" w:hAnsi="仿宋" w:eastAsia="仿宋" w:cs="仿宋"/>
          <w:sz w:val="28"/>
          <w:highlight w:val="none"/>
        </w:rPr>
        <w:t xml:space="preserve">分）</w:t>
      </w:r>
      <w:r>
        <w:rPr>
          <w:highlight w:val="none"/>
        </w:rPr>
      </w:r>
      <w:r/>
    </w:p>
    <w:p>
      <w:pPr>
        <w:pStyle w:val="965"/>
        <w:ind w:firstLine="56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1.1价格分采用低价优先法计算，即满足招标文件要求且报价最低的供应商报价为评标基准价，其价格分为满分</w:t>
      </w:r>
      <w:r>
        <w:rPr>
          <w:rFonts w:hint="eastAsia" w:ascii="仿宋" w:hAnsi="仿宋" w:eastAsia="仿宋" w:cs="仿宋"/>
          <w:sz w:val="28"/>
          <w:highlight w:val="none"/>
          <w:lang w:val="en-US" w:eastAsia="zh-CN"/>
        </w:rPr>
        <w:t xml:space="preserve">15</w:t>
      </w:r>
      <w:r>
        <w:rPr>
          <w:rFonts w:ascii="仿宋" w:hAnsi="仿宋" w:eastAsia="仿宋" w:cs="仿宋"/>
          <w:sz w:val="28"/>
          <w:highlight w:val="none"/>
        </w:rPr>
        <w:t xml:space="preserve">分，其他投标人的价格分统一按照以下公式计算：报价得分=（评标基准价/该供应商的投标报价）×</w:t>
      </w:r>
      <w:r>
        <w:rPr>
          <w:rFonts w:hint="eastAsia" w:ascii="仿宋" w:hAnsi="仿宋" w:eastAsia="仿宋" w:cs="仿宋"/>
          <w:sz w:val="28"/>
          <w:highlight w:val="none"/>
          <w:lang w:val="en-US" w:eastAsia="zh-CN"/>
        </w:rPr>
        <w:t xml:space="preserve">15</w:t>
      </w:r>
      <w:r>
        <w:rPr>
          <w:rFonts w:ascii="仿宋" w:hAnsi="仿宋" w:eastAsia="仿宋" w:cs="仿宋"/>
          <w:sz w:val="28"/>
          <w:highlight w:val="none"/>
        </w:rPr>
        <w:t xml:space="preserve">分。（保留小数点后两位）。</w:t>
      </w:r>
      <w:r>
        <w:rPr>
          <w:highlight w:val="none"/>
        </w:rPr>
      </w:r>
      <w:r/>
    </w:p>
    <w:p>
      <w:pPr>
        <w:pStyle w:val="965"/>
        <w:ind w:firstLine="56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（二）服务方案（</w:t>
      </w:r>
      <w:r>
        <w:rPr>
          <w:rFonts w:hint="eastAsia" w:ascii="仿宋" w:hAnsi="仿宋" w:eastAsia="仿宋" w:cs="仿宋"/>
          <w:sz w:val="28"/>
          <w:highlight w:val="none"/>
        </w:rPr>
        <w:t xml:space="preserve">4</w:t>
      </w:r>
      <w:r>
        <w:rPr>
          <w:rFonts w:hint="eastAsia" w:ascii="仿宋" w:hAnsi="仿宋" w:eastAsia="仿宋" w:cs="仿宋"/>
          <w:sz w:val="28"/>
          <w:highlight w:val="none"/>
          <w:lang w:val="en-US" w:eastAsia="zh-CN"/>
        </w:rPr>
        <w:t xml:space="preserve">5</w:t>
      </w:r>
      <w:r>
        <w:rPr>
          <w:rFonts w:ascii="仿宋" w:hAnsi="仿宋" w:eastAsia="仿宋" w:cs="仿宋"/>
          <w:sz w:val="28"/>
          <w:highlight w:val="none"/>
        </w:rPr>
        <w:t xml:space="preserve">分）</w:t>
      </w:r>
      <w:r>
        <w:rPr>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2.1项目实施方案（</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分）：评委根据投标文件对招标文件第四章“采购需求”中“项目实施方案”要求的响应情况进行评审。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（1）投标文件未符合“项目实施方案”中全部条款要求的，视为不符合招标文件，本项得0分。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（2）投标文件符合“项目实施方案”中全部条款要求的，视为符合招标文件，本项得</w:t>
      </w:r>
      <w:r>
        <w:rPr>
          <w:rFonts w:hint="eastAsia" w:ascii="仿宋" w:hAnsi="仿宋" w:eastAsia="仿宋" w:cs="仿宋"/>
          <w:sz w:val="28"/>
          <w:highlight w:val="none"/>
          <w:lang w:val="en-US" w:eastAsia="zh-CN"/>
        </w:rPr>
        <w:t xml:space="preserve">3</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项目实施方案”中“人员配置情况”、“各项管理标准”两项要求的响应内容全部优于招标文件要求的（投标文件对“项目实施方案”中除“人员配置情况”、“各项管理标准”外其他要求响应内容符合招标文件要求），本项得</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2.2管理运作方案（</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分）：评委根据投标文件对招标文件第四章“采购需求”中“管理运作方案”要求的响应情况进行评审。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（1）投标文件未符合“管理运作方案”中全部条款要求的，视为不符合招标文件，本项得0分。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（2）投标文件符合“管理运作方案”中全部条款要求的，视为符合招标文件，本项得</w:t>
      </w:r>
      <w:r>
        <w:rPr>
          <w:rFonts w:hint="eastAsia" w:ascii="仿宋" w:hAnsi="仿宋" w:eastAsia="仿宋" w:cs="仿宋"/>
          <w:sz w:val="28"/>
          <w:highlight w:val="none"/>
          <w:lang w:val="en-US" w:eastAsia="zh-CN"/>
        </w:rPr>
        <w:t xml:space="preserve">3</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管理运作方案”中“管理模式”、“项目保障”两项要求的响应内容全部优于招标文件要求的（投标文件对“管理运作方案”中除“管理模式”、“项目保障”外其他要求响应内容符合招标文件要求），本项得</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2.3安保消防方案（</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分）：评委根据投标文件对招标文件第四章“采购需求”中“安保消防方案”要求的响应情况进行评审。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（1）投标文件未符合“安保消防方案”中全部条款要求的，视为不符合招标文件，本项得0分。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（2）投标文件符合“安保消防方案”中全部条款要求的，视为符合招标文件，本项得</w:t>
      </w:r>
      <w:r>
        <w:rPr>
          <w:rFonts w:hint="eastAsia" w:ascii="仿宋" w:hAnsi="仿宋" w:eastAsia="仿宋" w:cs="仿宋"/>
          <w:sz w:val="28"/>
          <w:highlight w:val="none"/>
          <w:lang w:val="en-US" w:eastAsia="zh-CN"/>
        </w:rPr>
        <w:t xml:space="preserve">3</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（3）经评委认定，投标文件对“安保消防方案”中“安全管理”要求的响应内容全部优于招标文件要求的（投标文件对“安保消防方案”中除“安全管理”外其他要求响应内容符合招标文件要求），本项得</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2.4工程维修方案（4分）：评委根据投标文件对招标文件第四章“采购需求”中“工程维修方案”要求的响应情况进行评审。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（1）投标文件未符合“工程维修方案”中全部条款要求的，视为不符合招标文件，本项得0分。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（2）投标文件符合“工程维修方案”中全部条款要求的，视为符合招标文件，本项得2分。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工程维修方案”中“各类设施设备维修保养”要求的响应内容全部优于招标文件要求的（投标文件对“工程维修方案”中除“各类设施设备维修保”外其他要求响应内容符合招标文件要求），本项得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2.5绿化养护方案（4分）：评委根据投标文件对招标文件第四章“采购需求”中“绿化养护方案”要求的响应情况进行评审。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（1）投标文件未符合“绿化养护方案”中全部条款要求的，视为不符合招标文件，本项得0分。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（2）投标文件符合“绿化养护方案”中全部条款要求的，视为符合招标文件，本项得2分。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绿化养护方案”中“绿化服务内容”要求的响应内容全部优于招标文件要求的（投标文件对“绿化养护方案”中除“绿化服务内容”外其他要求响应内容符合招标文件要求），本项得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2.6餐饮服务方案（</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分）：评委根据投标文件对招标文件第四章“采购需求”中“餐饮服务方案”要求的响应情况进行评审。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（1）投标文件未符合“餐饮服务方案”中全部条款要求的，视为不符合招标文件，本项得0分。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（2）投标文件符合“餐饮服务方案”中全部条款要求的，视为符合招标文件，本项得</w:t>
      </w:r>
      <w:r>
        <w:rPr>
          <w:rFonts w:hint="eastAsia" w:ascii="仿宋" w:hAnsi="仿宋" w:eastAsia="仿宋" w:cs="仿宋"/>
          <w:sz w:val="28"/>
          <w:highlight w:val="none"/>
          <w:lang w:val="en-US" w:eastAsia="zh-CN"/>
        </w:rPr>
        <w:t xml:space="preserve">3</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餐饮服务方案”中“整体运营方案”要求的响应内容全部优于招标文件要求的（投标文件对“餐饮服务方案”中除“整体运营方案”外其他要求响应内容符合招标文件要求），本项得</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2.7保洁服务方案（4分）：评委根据投标文件对招标文件第四章“采购需求”中“保洁服务方案”要求的响应情况进行评审。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（1）投标文件未符合“保洁服务方案”中全部条款要求的，视为不符合招标文件，本项得0分。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（2）投标文件符合“保洁服务方案”中全部条款要求的，视为符合招标文件，本项得2分。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（3）经评委认定，投标文件对“保洁服务方案”中“综合保洁”要求的响应内容全部优于招标文件要求的（投标文件对“保洁服务方案”中除“综合保洁”外其他要求响应内容符合招标文件要求），本项得4分。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2.8幼儿保育辅助方案（4分）：评委根据投标文件对招标文件第四章“采购需求”中“幼儿保育辅助方案”要求的响应情况进行评审。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（1）投标文件未符合“幼儿保育辅助方案”中全部条款要求的，视为不符合招标文件，本项得0分。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（2）投标文件符合“幼儿保育辅助方案”中全部条款要求的，视为符合招标文件，本项得2分。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幼儿保育辅助方案”中“卫生消毒”、“保育协助”两项要求的响应内容全部优于招标文件要求的（投标文件对“幼儿保育辅助方案”中除“卫生消毒”、“保育协助”外其他要求响应内容符合招标文件要求），本项得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2.9应急处置方案（4分）：评委根据投标文件对招标文件第四章“采购需求”中“应急处置方案”要求的响应情况进行评审。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（1）投标文件未符合“应急处置方案”中全部条款要求的，视为不符合招标文件，本项得0分。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（2）投标文件符合“应急处置方案”中全部条款要求的，视为符合招标文件，本项得2分。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（3）经评委认定，投标文件对“应急处置方案”中“应急方案”要求的响应内容全部优于招标文件要求的（投标文件对“应急处置方案”中除“应急方案”外其他要求响应内容符合招标文件要求），本项得4分。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2.10交接方案（</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评委根据投标文件对招标文件第四章“采购需求”中“交接方案”要求的响应情况进行评审。</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（1）投标文件未符合“交接方案”中全部条款要求的，视为不符合招标文件，本项得0分。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（2）投标文件符合“交接方案”中全部条款要求的，视为符合招标文件，本项得</w:t>
      </w:r>
      <w:r>
        <w:rPr>
          <w:rFonts w:hint="eastAsia" w:ascii="仿宋" w:hAnsi="仿宋" w:eastAsia="仿宋" w:cs="仿宋"/>
          <w:sz w:val="28"/>
          <w:highlight w:val="none"/>
          <w:lang w:val="en-US" w:eastAsia="zh-CN"/>
        </w:rPr>
        <w:t xml:space="preserve">3</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经评委认定，投标文件对“交接方案”中“交接期人员协调”、“交接期沟通方案”两项要求的响应内容全部优于招标文件要求的（投标文件对“交接方案”中除“交接期人员协调”、“交接期沟通方案”外其他要求响应内容符合招标文件要求），本项得</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rPr>
        <w:t xml:space="preserve">分。</w:t>
      </w:r>
      <w:r>
        <w:rPr>
          <w:rFonts w:hint="eastAsia" w:ascii="仿宋" w:hAnsi="仿宋" w:eastAsia="仿宋" w:cs="仿宋"/>
          <w:sz w:val="28"/>
          <w:highlight w:val="none"/>
        </w:rPr>
      </w:r>
      <w:r/>
    </w:p>
    <w:p>
      <w:pPr>
        <w:pStyle w:val="965"/>
        <w:ind w:firstLine="560"/>
        <w:spacing w:line="440" w:lineRule="exac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（三）人员配备情况（30分）</w:t>
      </w:r>
      <w:r>
        <w:rPr>
          <w:rFonts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.1 项目经理（5分）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投标人针对本项目拟派出的项目经理：①具有本科及以上学历得2分；②具有五年及以上综合物业管理经验，得3分。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①需提供相关证书复印件或扫描件；②需提供物业项目合同以及由服务对象单位（或其主管部门）盖章出具的工作经验证明材料。除提供上述材料，投标人还需提供近3个月内任意1个月为其缴纳社保的证明材料。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.2弱电设备专管员（4分）</w:t>
      </w:r>
      <w:r>
        <w:rPr>
          <w:rFonts w:hint="eastAsia" w:ascii="仿宋" w:hAnsi="仿宋" w:eastAsia="仿宋" w:cs="仿宋"/>
          <w:sz w:val="28"/>
          <w:highlight w:val="none"/>
        </w:rPr>
      </w:r>
      <w:r/>
    </w:p>
    <w:p>
      <w:pPr>
        <w:pStyle w:val="965"/>
        <w:ind w:firstLine="560"/>
        <w:spacing w:line="440" w:lineRule="exac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弱电设备专管员：①两名人员具有具有网络与信息安全管理员证书或计算机网络管理员职业资格证书，每有一个得0.5分，最多得1分；②两名人员具有高压电工作业证或低压电工作业证每有1个得0.5分，最多得1分。③两名人员具有同类物业弱电设备管理经验，每有1个得1分，最多得2分。</w:t>
      </w:r>
      <w:r>
        <w:rPr>
          <w:rFonts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①②需提供相关证书复印件或扫描件；③需提供由服务对象单位（或其主管部门）盖章出具的工作经验证明材料。除提供上述材料，投标人还需提供近3个月内任意1个月为其缴纳社保的证明材料。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.3工程维修员（4分）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投标人针对本项目拟派出的工程维修员：①两名人员具有高压电工作业证，每有1个得1分，最多得2分；②两名人员具有同类物业工程维修工作经验，每有1个得1分，最多得2分。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.4消防监控人员（3分）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投标人针对本项目拟派出的消防监控人员：①三名人员持有中级消防设施操作员证，每有1个得0.5分，最多得1.5分；②三名人员具有同类物业消防监控工作经验，每有1个得0.5分，最多得1.5分。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.5日间保安（1分）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投标人针对本项目拟派出的日间保安是退役军人，得1分。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需提供相关证书复印件或扫描件，以及投标人近3个月内任意1个月为其缴纳社保的证明材料。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.6 厨师长（4分）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投标人针对本项目拟派出的厨师长：①持有中式烹调师三级（高级）及以上职业资格证，得2分；②具有三年及以上餐饮管理工作经验，得2分。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.7幼儿厨师（3分）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投标人针对本项目拟派出的幼儿厨师：①持有中式烹调师中级及以上证书，得1分；②具有三年及以上餐饮服务工作经验，得2分。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.8面点师（4分）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投标人针对本项目拟派出的面点师：①持有中式面点师职业资格证书得1分，持有西式面点师职业资格证书得1分；②具有面点工作经验，得2分。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3</w:t>
      </w:r>
      <w:r>
        <w:rPr>
          <w:rFonts w:hint="eastAsia" w:ascii="仿宋" w:hAnsi="仿宋" w:eastAsia="仿宋" w:cs="仿宋"/>
          <w:sz w:val="28"/>
          <w:highlight w:val="none"/>
        </w:rPr>
        <w:t xml:space="preserve">.9绿化工（2分）</w:t>
      </w:r>
      <w:r>
        <w:rPr>
          <w:rFonts w:hint="eastAsia" w:ascii="仿宋" w:hAnsi="仿宋" w:eastAsia="仿宋" w:cs="仿宋"/>
          <w:sz w:val="28"/>
          <w:highlight w:val="none"/>
        </w:rPr>
      </w:r>
      <w:r/>
    </w:p>
    <w:p>
      <w:pPr>
        <w:pStyle w:val="965"/>
        <w:ind w:firstLine="560"/>
        <w:spacing w:line="440" w:lineRule="exac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投标人针对本项目拟派出的绿化工：①持有园林绿化工四级及以上证书，得1分；②具备1年以上园区绿化养护经验，得1分。</w:t>
      </w:r>
      <w:r>
        <w:rPr>
          <w:rFonts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①需提供相关证书复印件或扫描件；②需提供由服务对象单位（或其主管部门）盖章出具的工作经验证明材料。除提供上述材料，投标人还需提供近3个月内任意1个月为其缴纳社保的证明材料。</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（四）同类项目业绩（10分）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4</w:t>
      </w:r>
      <w:r>
        <w:rPr>
          <w:rFonts w:hint="eastAsia" w:ascii="仿宋" w:hAnsi="仿宋" w:eastAsia="仿宋" w:cs="仿宋"/>
          <w:sz w:val="28"/>
          <w:highlight w:val="none"/>
        </w:rPr>
        <w:t xml:space="preserve">.1类似案例（5分）。投标人自2023年1月1日（以合同签订日期为准）以来具有与本项目类似的非住宅类物业管理服务项目的案例（服务内容须同时包含</w:t>
      </w:r>
      <w:r>
        <w:rPr>
          <w:rFonts w:hint="eastAsia" w:ascii="方正仿宋_GBK" w:hAnsi="方正仿宋_GBK" w:eastAsia="方正仿宋_GBK" w:cs="方正仿宋_GBK"/>
          <w:bCs/>
          <w:sz w:val="28"/>
          <w:szCs w:val="28"/>
          <w:highlight w:val="none"/>
        </w:rPr>
        <w:t xml:space="preserve">公用设施设备维护</w:t>
      </w:r>
      <w:r>
        <w:rPr>
          <w:rFonts w:hint="eastAsia" w:ascii="仿宋" w:hAnsi="仿宋" w:eastAsia="仿宋" w:cs="仿宋"/>
          <w:sz w:val="28"/>
          <w:highlight w:val="none"/>
        </w:rPr>
        <w:t xml:space="preserve">、保洁、安保、食堂餐饮、绿化上述所有内容），每提供一个案例证明的得1分，最高得5分。</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需提供物业服务合同复印件或扫描件并加盖投标人公章，合同应清晰反映出合同双方单位名称、合同金额、服务内容、签字盖章等信息。合同中不能体现相关信息的，另需提供由业主单位盖章的证明材料，同一业主单位业绩不可重复计算。</w:t>
      </w:r>
      <w:r>
        <w:rPr>
          <w:rFonts w:hint="eastAsia" w:ascii="仿宋" w:hAnsi="仿宋" w:eastAsia="仿宋" w:cs="仿宋"/>
          <w:sz w:val="28"/>
          <w:highlight w:val="none"/>
        </w:rPr>
      </w:r>
      <w:r/>
    </w:p>
    <w:p>
      <w:pPr>
        <w:pStyle w:val="965"/>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4</w:t>
      </w:r>
      <w:r>
        <w:rPr>
          <w:rFonts w:hint="eastAsia" w:ascii="仿宋" w:hAnsi="仿宋" w:eastAsia="仿宋" w:cs="仿宋"/>
          <w:sz w:val="28"/>
          <w:highlight w:val="none"/>
        </w:rPr>
        <w:t xml:space="preserve">.2服务评价（5分）。投标人提供与前述案例相对应的业主单位出具的对物业服务满意或优秀或同等级的评价证明材料，每提供一个证明材料得1分，最高得5分。（评价证明材料需业主单位盖章，提供出具单位联系人和联系方式）</w:t>
      </w:r>
      <w:r>
        <w:rPr>
          <w:rFonts w:hint="eastAsia" w:ascii="仿宋" w:hAnsi="仿宋" w:eastAsia="仿宋" w:cs="仿宋"/>
          <w:sz w:val="28"/>
          <w:highlight w:val="none"/>
        </w:rPr>
      </w:r>
      <w:r/>
    </w:p>
    <w:p>
      <w:pPr>
        <w:pStyle w:val="965"/>
        <w:rPr>
          <w:rFonts w:hint="eastAsia"/>
          <w:highlight w:val="none"/>
        </w:rPr>
      </w:pPr>
      <w:r>
        <w:rPr>
          <w:rFonts w:hint="eastAsia"/>
          <w:highlight w:val="none"/>
        </w:rPr>
      </w:r>
      <w:r/>
    </w:p>
    <w:p>
      <w:pPr>
        <w:pStyle w:val="965"/>
        <w:rPr>
          <w:rFonts w:hint="eastAsia"/>
          <w:highlight w:val="none"/>
        </w:rPr>
      </w:pPr>
      <w:r>
        <w:rPr>
          <w:rFonts w:hint="eastAsia"/>
          <w:highlight w:val="none"/>
        </w:rPr>
      </w:r>
      <w:r/>
    </w:p>
    <w:p>
      <w:pPr>
        <w:pStyle w:val="966"/>
        <w:rPr>
          <w:rFonts w:ascii="黑体" w:eastAsia="黑体"/>
          <w:bCs/>
          <w:sz w:val="44"/>
          <w:highlight w:val="none"/>
        </w:rPr>
      </w:pPr>
      <w:r>
        <w:rPr>
          <w:rFonts w:ascii="黑体" w:eastAsia="黑体"/>
          <w:bCs/>
          <w:sz w:val="44"/>
          <w:highlight w:val="none"/>
        </w:rPr>
      </w:r>
      <w:r/>
    </w:p>
    <w:p>
      <w:pPr>
        <w:pStyle w:val="965"/>
        <w:rPr>
          <w:rFonts w:ascii="黑体" w:eastAsia="黑体"/>
          <w:bCs/>
          <w:sz w:val="44"/>
          <w:highlight w:val="none"/>
        </w:rPr>
      </w:pPr>
      <w:r>
        <w:rPr>
          <w:rFonts w:ascii="黑体" w:eastAsia="黑体"/>
          <w:bCs/>
          <w:sz w:val="44"/>
          <w:highlight w:val="none"/>
        </w:rPr>
      </w:r>
      <w:r/>
    </w:p>
    <w:p>
      <w:pPr>
        <w:pStyle w:val="965"/>
        <w:rPr>
          <w:rFonts w:ascii="黑体" w:eastAsia="黑体"/>
          <w:bCs/>
          <w:sz w:val="44"/>
          <w:highlight w:val="none"/>
        </w:rPr>
      </w:pPr>
      <w:r>
        <w:rPr>
          <w:rFonts w:ascii="黑体" w:eastAsia="黑体"/>
          <w:bCs/>
          <w:sz w:val="44"/>
          <w:highlight w:val="none"/>
        </w:rPr>
      </w:r>
      <w:r/>
    </w:p>
    <w:p>
      <w:pPr>
        <w:pStyle w:val="965"/>
        <w:ind w:right="839"/>
        <w:jc w:val="center"/>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第六章  投标</w:t>
      </w:r>
      <w:bookmarkEnd w:id="161"/>
      <w:r/>
      <w:bookmarkEnd w:id="162"/>
      <w:r/>
      <w:bookmarkEnd w:id="171"/>
      <w:r>
        <w:rPr>
          <w:rFonts w:hint="eastAsia" w:ascii="方正黑体_GBK" w:hAnsi="方正黑体_GBK" w:eastAsia="方正黑体_GBK" w:cs="方正黑体_GBK"/>
          <w:color w:val="000000"/>
          <w:sz w:val="32"/>
          <w:szCs w:val="32"/>
          <w:highlight w:val="none"/>
        </w:rPr>
        <w:t xml:space="preserve">文件格式</w:t>
      </w:r>
      <w:r>
        <w:rPr>
          <w:rFonts w:hint="eastAsia" w:ascii="方正黑体_GBK" w:hAnsi="方正黑体_GBK" w:eastAsia="方正黑体_GBK" w:cs="方正黑体_GBK"/>
          <w:color w:val="000000"/>
          <w:sz w:val="28"/>
          <w:szCs w:val="28"/>
          <w:highlight w:val="none"/>
        </w:rPr>
      </w:r>
      <w:r/>
    </w:p>
    <w:p>
      <w:pPr>
        <w:pStyle w:val="965"/>
        <w:jc w:val="center"/>
        <w:rPr>
          <w:rFonts w:hint="eastAsia" w:ascii="宋体" w:hAnsi="宋体"/>
          <w:b/>
          <w:sz w:val="28"/>
          <w:szCs w:val="28"/>
          <w:highlight w:val="none"/>
        </w:rPr>
      </w:pPr>
      <w:r/>
      <w:bookmarkStart w:id="172" w:name="_Hlt26671244"/>
      <w:r/>
      <w:bookmarkEnd w:id="172"/>
      <w:r/>
      <w:bookmarkStart w:id="173" w:name="_Hlt26955039"/>
      <w:r/>
      <w:bookmarkEnd w:id="173"/>
      <w:r/>
      <w:bookmarkStart w:id="174" w:name="_Toc26554094"/>
      <w:r/>
      <w:bookmarkStart w:id="175" w:name="_Toc49090576"/>
      <w:r/>
      <w:bookmarkStart w:id="176" w:name="_Toc120614282"/>
      <w:r>
        <w:rPr>
          <w:rFonts w:hint="eastAsia" w:ascii="宋体" w:hAnsi="宋体"/>
          <w:b/>
          <w:sz w:val="28"/>
          <w:szCs w:val="28"/>
          <w:highlight w:val="none"/>
        </w:rPr>
      </w:r>
      <w:r/>
    </w:p>
    <w:p>
      <w:pPr>
        <w:pStyle w:val="965"/>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r>
      <w:r/>
    </w:p>
    <w:p>
      <w:pPr>
        <w:pStyle w:val="965"/>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投  标  文  件</w:t>
      </w:r>
      <w:r>
        <w:rPr>
          <w:rFonts w:hint="eastAsia" w:ascii="方正小标宋_GBK" w:hAnsi="方正小标宋_GBK" w:eastAsia="方正小标宋_GBK" w:cs="方正小标宋_GBK"/>
          <w:bCs/>
          <w:sz w:val="32"/>
          <w:szCs w:val="32"/>
          <w:highlight w:val="none"/>
        </w:rPr>
      </w:r>
      <w:r/>
    </w:p>
    <w:p>
      <w:pPr>
        <w:pStyle w:val="965"/>
        <w:jc w:val="center"/>
        <w:rPr>
          <w:rFonts w:hint="eastAsia" w:ascii="宋体" w:hAnsi="宋体"/>
          <w:b/>
          <w:sz w:val="28"/>
          <w:szCs w:val="28"/>
          <w:highlight w:val="none"/>
        </w:rPr>
      </w:pPr>
      <w:r>
        <w:rPr>
          <w:rFonts w:hint="eastAsia" w:ascii="宋体" w:hAnsi="宋体"/>
          <w:b/>
          <w:sz w:val="28"/>
          <w:szCs w:val="28"/>
          <w:highlight w:val="none"/>
        </w:rPr>
      </w:r>
      <w:r/>
    </w:p>
    <w:p>
      <w:pPr>
        <w:pStyle w:val="965"/>
        <w:jc w:val="center"/>
        <w:rPr>
          <w:rFonts w:hint="eastAsia" w:ascii="宋体" w:hAnsi="宋体"/>
          <w:b/>
          <w:sz w:val="28"/>
          <w:szCs w:val="28"/>
          <w:highlight w:val="none"/>
        </w:rPr>
      </w:pPr>
      <w:r>
        <w:rPr>
          <w:rFonts w:hint="eastAsia" w:ascii="宋体" w:hAnsi="宋体"/>
          <w:b/>
          <w:sz w:val="28"/>
          <w:szCs w:val="28"/>
          <w:highlight w:val="none"/>
        </w:rPr>
      </w:r>
      <w:r/>
    </w:p>
    <w:p>
      <w:pPr>
        <w:pStyle w:val="965"/>
        <w:jc w:val="center"/>
        <w:rPr>
          <w:rFonts w:hint="eastAsia" w:ascii="宋体" w:hAnsi="宋体"/>
          <w:b/>
          <w:sz w:val="28"/>
          <w:szCs w:val="28"/>
          <w:highlight w:val="none"/>
        </w:rPr>
      </w:pPr>
      <w:r>
        <w:rPr>
          <w:rFonts w:hint="eastAsia" w:ascii="宋体" w:hAnsi="宋体"/>
          <w:b/>
          <w:sz w:val="28"/>
          <w:szCs w:val="28"/>
          <w:highlight w:val="none"/>
        </w:rPr>
      </w:r>
      <w:r/>
    </w:p>
    <w:p>
      <w:pPr>
        <w:pStyle w:val="965"/>
        <w:jc w:val="center"/>
        <w:rPr>
          <w:rFonts w:hint="eastAsia" w:ascii="宋体" w:hAnsi="宋体"/>
          <w:b/>
          <w:sz w:val="28"/>
          <w:szCs w:val="28"/>
          <w:highlight w:val="none"/>
        </w:rPr>
      </w:pPr>
      <w:r>
        <w:rPr>
          <w:rFonts w:hint="eastAsia" w:ascii="宋体" w:hAnsi="宋体"/>
          <w:b/>
          <w:sz w:val="28"/>
          <w:szCs w:val="28"/>
          <w:highlight w:val="none"/>
        </w:rPr>
      </w:r>
      <w:r/>
    </w:p>
    <w:p>
      <w:pPr>
        <w:pStyle w:val="965"/>
        <w:jc w:val="center"/>
        <w:rPr>
          <w:rFonts w:hint="eastAsia" w:ascii="宋体" w:hAnsi="宋体"/>
          <w:b/>
          <w:sz w:val="28"/>
          <w:szCs w:val="28"/>
          <w:highlight w:val="none"/>
        </w:rPr>
      </w:pPr>
      <w:r>
        <w:rPr>
          <w:rFonts w:hint="eastAsia" w:ascii="宋体" w:hAnsi="宋体"/>
          <w:b/>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 目 名 称：</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采 购 编 号：</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965"/>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 xml:space="preserve">（加盖CA电子公章）</w:t>
      </w:r>
      <w:r>
        <w:rPr>
          <w:rFonts w:hint="eastAsia" w:ascii="方正黑体_GBK" w:hAnsi="方正黑体_GBK" w:eastAsia="方正黑体_GBK" w:cs="方正黑体_GBK"/>
          <w:bCs/>
          <w:sz w:val="28"/>
          <w:szCs w:val="28"/>
          <w:highlight w:val="none"/>
          <w:u w:val="single"/>
        </w:rPr>
      </w:r>
      <w:r/>
    </w:p>
    <w:p>
      <w:pPr>
        <w:pStyle w:val="965"/>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96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65"/>
        <w:spacing w:line="440" w:lineRule="exact"/>
        <w:rPr>
          <w:rFonts w:ascii="宋体" w:hAnsi="宋体"/>
          <w:highlight w:val="none"/>
        </w:rPr>
      </w:pPr>
      <w:r>
        <w:rPr>
          <w:rFonts w:ascii="宋体" w:hAnsi="宋体"/>
          <w:highlight w:val="none"/>
        </w:rPr>
      </w:r>
      <w:r/>
    </w:p>
    <w:p>
      <w:pPr>
        <w:pStyle w:val="965"/>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965"/>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65"/>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65"/>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65"/>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65"/>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65"/>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65"/>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65"/>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highlight w:val="none"/>
        </w:rPr>
      </w:r>
      <w:r/>
    </w:p>
    <w:p>
      <w:pPr>
        <w:pStyle w:val="965"/>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highlight w:val="none"/>
        </w:rPr>
      </w:r>
      <w:r/>
    </w:p>
    <w:p>
      <w:pPr>
        <w:pStyle w:val="965"/>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rPr>
          <w:rFonts w:hint="eastAsia" w:ascii="方正仿宋_GBK" w:hAnsi="方正仿宋_GBK" w:eastAsia="方正仿宋_GBK" w:cs="方正仿宋_GBK"/>
          <w:sz w:val="28"/>
          <w:szCs w:val="28"/>
          <w:highlight w:val="none"/>
        </w:rPr>
      </w:r>
      <w:r/>
    </w:p>
    <w:p>
      <w:pPr>
        <w:pStyle w:val="965"/>
        <w:spacing w:line="400" w:lineRule="exact"/>
        <w:rPr>
          <w:rFonts w:ascii="宋体" w:hAnsi="宋体"/>
          <w:sz w:val="28"/>
          <w:szCs w:val="28"/>
          <w:highlight w:val="none"/>
        </w:rPr>
      </w:pPr>
      <w:r>
        <w:rPr>
          <w:rFonts w:ascii="宋体" w:hAnsi="宋体"/>
          <w:sz w:val="28"/>
          <w:szCs w:val="28"/>
          <w:highlight w:val="none"/>
        </w:rPr>
      </w:r>
      <w:r/>
    </w:p>
    <w:p>
      <w:pPr>
        <w:pStyle w:val="965"/>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65"/>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65"/>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5"/>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5"/>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投标总报价（两年）</w:t>
            </w:r>
            <w:r>
              <w:rPr>
                <w:rFonts w:hint="eastAsia" w:ascii="方正仿宋_GBK" w:hAnsi="方正仿宋_GBK" w:eastAsia="方正仿宋_GBK" w:cs="方正仿宋_GBK"/>
                <w:sz w:val="28"/>
                <w:szCs w:val="28"/>
                <w:highlight w:val="none"/>
              </w:rPr>
            </w:r>
            <w:r/>
          </w:p>
        </w:tc>
      </w:tr>
      <w:tr>
        <w:trPr>
          <w:cantSplit/>
          <w:trHeight w:val="612"/>
        </w:trPr>
        <w:tc>
          <w:tcPr>
            <w:tcW w:w="8934" w:type="dxa"/>
            <w:vAlign w:val="center"/>
            <w:textDirection w:val="lrTb"/>
            <w:noWrap w:val="false"/>
          </w:tcPr>
          <w:p>
            <w:pPr>
              <w:pStyle w:val="1052"/>
              <w:ind w:firstLine="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bl>
    <w:p>
      <w:pPr>
        <w:pStyle w:val="965"/>
        <w:ind w:firstLine="480"/>
        <w:spacing w:line="400" w:lineRule="exact"/>
        <w:rPr>
          <w:rFonts w:hint="eastAsia" w:ascii="宋体" w:hAnsi="宋体"/>
          <w:sz w:val="28"/>
          <w:szCs w:val="28"/>
          <w:highlight w:val="none"/>
        </w:rPr>
      </w:pPr>
      <w:r>
        <w:rPr>
          <w:rFonts w:hint="eastAsia" w:ascii="宋体" w:hAnsi="宋体"/>
          <w:sz w:val="28"/>
          <w:szCs w:val="28"/>
          <w:highlight w:val="none"/>
        </w:rPr>
      </w:r>
      <w:r/>
    </w:p>
    <w:p>
      <w:pPr>
        <w:pStyle w:val="965"/>
        <w:spacing w:line="400" w:lineRule="exact"/>
        <w:rPr>
          <w:rFonts w:ascii="宋体" w:hAnsi="宋体"/>
          <w:sz w:val="28"/>
          <w:szCs w:val="28"/>
          <w:highlight w:val="none"/>
        </w:rPr>
      </w:pPr>
      <w:r>
        <w:rPr>
          <w:rFonts w:ascii="宋体" w:hAnsi="宋体"/>
          <w:sz w:val="28"/>
          <w:szCs w:val="28"/>
          <w:highlight w:val="none"/>
        </w:rPr>
      </w:r>
      <w:r/>
    </w:p>
    <w:p>
      <w:pPr>
        <w:pStyle w:val="965"/>
        <w:spacing w:line="400" w:lineRule="exact"/>
        <w:rPr>
          <w:rFonts w:ascii="宋体" w:hAnsi="宋体"/>
          <w:sz w:val="28"/>
          <w:szCs w:val="28"/>
          <w:highlight w:val="none"/>
        </w:rPr>
      </w:pPr>
      <w:r>
        <w:rPr>
          <w:rFonts w:ascii="宋体" w:hAnsi="宋体"/>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04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7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5"/>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04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7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8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7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7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7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861" w:type="dxa"/>
            <w:vAlign w:val="top"/>
            <w:textDirection w:val="lrTb"/>
            <w:noWrap w:val="false"/>
          </w:tcPr>
          <w:p>
            <w:pPr>
              <w:pStyle w:val="965"/>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57"/>
        </w:trPr>
        <w:tc>
          <w:tcPr>
            <w:gridSpan w:val="10"/>
            <w:tcW w:w="9861" w:type="dxa"/>
            <w:vAlign w:val="top"/>
            <w:textDirection w:val="lrTb"/>
            <w:noWrap w:val="false"/>
          </w:tcPr>
          <w:p>
            <w:pPr>
              <w:pStyle w:val="1027"/>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3.分项服务不需填写品牌、规格型号、制造商、产地。</w:t>
      </w:r>
      <w:r>
        <w:rPr>
          <w:rFonts w:hint="eastAsia" w:ascii="方正仿宋_GBK" w:hAnsi="方正仿宋_GBK" w:eastAsia="方正仿宋_GBK" w:cs="方正仿宋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965"/>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rPr>
          <w:rFonts w:hint="eastAsia" w:ascii="方正仿宋_GBK" w:hAnsi="方正仿宋_GBK" w:eastAsia="方正仿宋_GBK" w:cs="方正仿宋_GBK"/>
          <w:sz w:val="28"/>
          <w:szCs w:val="28"/>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人员工资、社会保险和公积金三项费用报价表（采购包号：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总价1</w:t>
            </w:r>
            <w:r>
              <w:rPr>
                <w:rFonts w:hint="eastAsia" w:ascii="方正仿宋_GBK" w:hAnsi="方正仿宋_GBK" w:eastAsia="方正仿宋_GBK" w:cs="方正仿宋_GBK"/>
                <w:b/>
                <w:bCs/>
                <w:sz w:val="28"/>
                <w:szCs w:val="28"/>
                <w:highlight w:val="none"/>
              </w:rPr>
            </w:r>
            <w:r/>
          </w:p>
        </w:tc>
        <w:tc>
          <w:tcPr>
            <w:tcW w:w="1663" w:type="dxa"/>
            <w:vAlign w:val="center"/>
            <w:vMerge w:val="restart"/>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人员工资</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3" w:type="dxa"/>
            <w:vAlign w:val="center"/>
            <w:vMerge w:val="continue"/>
            <w:textDirection w:val="lrTb"/>
            <w:noWrap w:val="false"/>
          </w:tcPr>
          <w:p>
            <w:pPr>
              <w:pStyle w:val="965"/>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3" w:type="dxa"/>
            <w:vAlign w:val="center"/>
            <w:textDirection w:val="lrTb"/>
            <w:noWrap w:val="false"/>
          </w:tcPr>
          <w:p>
            <w:pPr>
              <w:pStyle w:val="965"/>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3" w:type="dxa"/>
            <w:vAlign w:val="center"/>
            <w:textDirection w:val="lrTb"/>
            <w:noWrap w:val="false"/>
          </w:tcPr>
          <w:p>
            <w:pPr>
              <w:pStyle w:val="965"/>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3" w:type="dxa"/>
            <w:vAlign w:val="center"/>
            <w:textDirection w:val="lrTb"/>
            <w:noWrap w:val="false"/>
          </w:tcPr>
          <w:p>
            <w:pPr>
              <w:pStyle w:val="965"/>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pStyle w:val="965"/>
              <w:jc w:val="left"/>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分项总价1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b/>
                <w:sz w:val="28"/>
                <w:szCs w:val="28"/>
                <w:highlight w:val="non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 期 限</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总价2</w:t>
            </w:r>
            <w:r>
              <w:rPr>
                <w:rFonts w:hint="eastAsia" w:ascii="方正仿宋_GBK" w:hAnsi="方正仿宋_GBK" w:eastAsia="方正仿宋_GBK" w:cs="方正仿宋_GBK"/>
                <w:b/>
                <w:bCs/>
                <w:sz w:val="28"/>
                <w:szCs w:val="28"/>
                <w:highlight w:val="none"/>
              </w:rPr>
            </w:r>
            <w:r/>
          </w:p>
        </w:tc>
        <w:tc>
          <w:tcPr>
            <w:tcW w:w="1663" w:type="dxa"/>
            <w:vAlign w:val="center"/>
            <w:vMerge w:val="restart"/>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628"/>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社会保险</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费用</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3" w:type="dxa"/>
            <w:vAlign w:val="center"/>
            <w:vMerge w:val="continue"/>
            <w:textDirection w:val="lrTb"/>
            <w:noWrap w:val="false"/>
          </w:tcPr>
          <w:p>
            <w:pPr>
              <w:pStyle w:val="965"/>
              <w:jc w:val="left"/>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563"/>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restart"/>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该人员正常缴纳社会保</w:t>
            </w:r>
            <w:r>
              <w:rPr>
                <w:rFonts w:hint="eastAsia" w:ascii="方正仿宋_GBK" w:hAnsi="方正仿宋_GBK" w:eastAsia="方正仿宋_GBK" w:cs="方正仿宋_GBK"/>
                <w:sz w:val="28"/>
                <w:szCs w:val="28"/>
                <w:highlight w:val="none"/>
              </w:rPr>
            </w:r>
            <w:r/>
          </w:p>
          <w:p>
            <w:pPr>
              <w:pStyle w:val="965"/>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险/</w:t>
            </w:r>
            <w:r>
              <w:rPr>
                <w:rFonts w:hint="eastAsia" w:ascii="方正仿宋_GBK" w:hAnsi="方正仿宋_GBK" w:eastAsia="方正仿宋_GBK" w:cs="方正仿宋_GBK"/>
                <w:iCs/>
                <w:sz w:val="28"/>
                <w:szCs w:val="28"/>
                <w:highlight w:val="none"/>
              </w:rPr>
              <w:t xml:space="preserve">如该人员依法享受社会保险费用缴纳减免政策，请在此框内进行说明</w:t>
            </w:r>
            <w:r>
              <w:rPr>
                <w:rFonts w:hint="eastAsia" w:ascii="方正仿宋_GBK" w:hAnsi="方正仿宋_GBK" w:eastAsia="方正仿宋_GBK" w:cs="方正仿宋_GBK"/>
                <w:sz w:val="28"/>
                <w:szCs w:val="28"/>
                <w:highlight w:val="none"/>
              </w:rPr>
            </w:r>
            <w:r/>
          </w:p>
        </w:tc>
      </w:tr>
      <w:tr>
        <w:trPr>
          <w:trHeight w:val="261"/>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continue"/>
            <w:textDirection w:val="lrTb"/>
            <w:noWrap w:val="false"/>
          </w:tcPr>
          <w:p>
            <w:pPr>
              <w:pStyle w:val="965"/>
              <w:jc w:val="left"/>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261"/>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textDirection w:val="lrTb"/>
            <w:noWrap w:val="false"/>
          </w:tcPr>
          <w:p>
            <w:pPr>
              <w:pStyle w:val="965"/>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261"/>
        </w:trPr>
        <w:tc>
          <w:tcPr>
            <w:gridSpan w:val="7"/>
            <w:tcW w:w="9119" w:type="dxa"/>
            <w:vAlign w:val="center"/>
            <w:textDirection w:val="lrTb"/>
            <w:noWrap w:val="false"/>
          </w:tcPr>
          <w:p>
            <w:pPr>
              <w:pStyle w:val="965"/>
              <w:jc w:val="left"/>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分项总价2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b/>
                <w:sz w:val="28"/>
                <w:szCs w:val="28"/>
                <w:highlight w:val="none"/>
              </w:rPr>
            </w:r>
            <w:r/>
          </w:p>
        </w:tc>
      </w:tr>
      <w:tr>
        <w:trPr>
          <w:trHeight w:val="261"/>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总价3</w:t>
            </w:r>
            <w:r>
              <w:rPr>
                <w:rFonts w:hint="eastAsia" w:ascii="方正仿宋_GBK" w:hAnsi="方正仿宋_GBK" w:eastAsia="方正仿宋_GBK" w:cs="方正仿宋_GBK"/>
                <w:b/>
                <w:bCs/>
                <w:sz w:val="28"/>
                <w:szCs w:val="28"/>
                <w:highlight w:val="none"/>
              </w:rPr>
            </w:r>
            <w:r/>
          </w:p>
        </w:tc>
        <w:tc>
          <w:tcPr>
            <w:tcW w:w="1663" w:type="dxa"/>
            <w:vAlign w:val="center"/>
            <w:vMerge w:val="restart"/>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261"/>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w:t>
            </w:r>
            <w:r>
              <w:rPr>
                <w:rFonts w:hint="eastAsia" w:ascii="方正仿宋_GBK" w:hAnsi="方正仿宋_GBK" w:eastAsia="方正仿宋_GBK" w:cs="方正仿宋_GBK"/>
                <w:b/>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住房公积金</w:t>
            </w:r>
            <w:r>
              <w:rPr>
                <w:rFonts w:hint="eastAsia" w:ascii="方正仿宋_GBK" w:hAnsi="方正仿宋_GBK" w:eastAsia="方正仿宋_GBK" w:cs="方正仿宋_GBK"/>
                <w:b/>
                <w:sz w:val="28"/>
                <w:szCs w:val="28"/>
                <w:highlight w:val="none"/>
              </w:rPr>
            </w:r>
            <w:r/>
          </w:p>
        </w:tc>
        <w:tc>
          <w:tcPr>
            <w:tcW w:w="396"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965"/>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3" w:type="dxa"/>
            <w:vAlign w:val="center"/>
            <w:vMerge w:val="continue"/>
            <w:textDirection w:val="lrTb"/>
            <w:noWrap w:val="false"/>
          </w:tcPr>
          <w:p>
            <w:pPr>
              <w:pStyle w:val="965"/>
              <w:jc w:val="left"/>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restart"/>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该人员正常缴存住房公</w:t>
            </w:r>
            <w:r>
              <w:rPr>
                <w:rFonts w:hint="eastAsia" w:ascii="方正仿宋_GBK" w:hAnsi="方正仿宋_GBK" w:eastAsia="方正仿宋_GBK" w:cs="方正仿宋_GBK"/>
                <w:sz w:val="28"/>
                <w:szCs w:val="28"/>
                <w:highlight w:val="none"/>
              </w:rPr>
            </w:r>
            <w:r/>
          </w:p>
          <w:p>
            <w:pPr>
              <w:pStyle w:val="965"/>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积金/</w:t>
            </w:r>
            <w:r>
              <w:rPr>
                <w:rFonts w:hint="eastAsia" w:ascii="方正仿宋_GBK" w:hAnsi="方正仿宋_GBK" w:eastAsia="方正仿宋_GBK" w:cs="方正仿宋_GBK"/>
                <w:iCs/>
                <w:sz w:val="28"/>
                <w:szCs w:val="28"/>
                <w:highlight w:val="none"/>
              </w:rPr>
              <w:t xml:space="preserve">如该人员依法享受住房公积金缴存减免政策，请在此框内进行说明</w:t>
            </w:r>
            <w:r>
              <w:rPr>
                <w:rFonts w:hint="eastAsia" w:ascii="方正仿宋_GBK" w:hAnsi="方正仿宋_GBK" w:eastAsia="方正仿宋_GBK" w:cs="方正仿宋_GBK"/>
                <w:i/>
                <w:sz w:val="28"/>
                <w:szCs w:val="28"/>
                <w:highlight w:val="none"/>
                <w:u w:val="singl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w:t>
            </w: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vMerge w:val="continue"/>
            <w:textDirection w:val="lrTb"/>
            <w:noWrap w:val="false"/>
          </w:tcPr>
          <w:p>
            <w:pPr>
              <w:pStyle w:val="965"/>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33"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6"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2" w:type="dxa"/>
            <w:vAlign w:val="center"/>
            <w:textDirection w:val="lrTb"/>
            <w:noWrap w:val="false"/>
          </w:tcPr>
          <w:p>
            <w:pPr>
              <w:pStyle w:val="965"/>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3" w:type="dxa"/>
            <w:vAlign w:val="center"/>
            <w:textDirection w:val="lrTb"/>
            <w:noWrap w:val="false"/>
          </w:tcPr>
          <w:p>
            <w:pPr>
              <w:pStyle w:val="965"/>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pStyle w:val="965"/>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分项总价3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sz w:val="28"/>
                <w:szCs w:val="28"/>
                <w:highlight w:val="none"/>
              </w:rPr>
            </w:r>
            <w:r/>
          </w:p>
        </w:tc>
      </w:tr>
    </w:tbl>
    <w:p>
      <w:pPr>
        <w:pStyle w:val="965"/>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highlight w:val="none"/>
        </w:rPr>
      </w:r>
      <w:r/>
    </w:p>
    <w:p>
      <w:pPr>
        <w:pStyle w:val="965"/>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28"/>
          <w:szCs w:val="28"/>
          <w:highlight w:val="none"/>
          <w:u w:val="single"/>
        </w:rPr>
      </w:r>
      <w:r/>
    </w:p>
    <w:p>
      <w:pPr>
        <w:pStyle w:val="965"/>
        <w:spacing w:line="400" w:lineRule="exact"/>
        <w:rPr>
          <w:rFonts w:hint="eastAsia" w:ascii="方正魏碑_GBK" w:hAnsi="方正魏碑_GBK" w:eastAsia="方正魏碑_GBK" w:cs="方正魏碑_GBK"/>
          <w:b/>
          <w:bCs/>
          <w:color w:val="ff0000"/>
          <w:sz w:val="28"/>
          <w:szCs w:val="28"/>
          <w:highlight w:val="none"/>
        </w:rPr>
      </w:pPr>
      <w:r>
        <w:rPr>
          <w:rFonts w:hint="eastAsia" w:ascii="方正魏碑_GBK" w:hAnsi="方正魏碑_GBK" w:eastAsia="方正魏碑_GBK" w:cs="方正魏碑_GBK"/>
          <w:b/>
          <w:bCs/>
          <w:color w:val="ff0000"/>
          <w:sz w:val="28"/>
          <w:szCs w:val="28"/>
          <w:highlight w:val="none"/>
        </w:rPr>
      </w:r>
      <w:r/>
    </w:p>
    <w:p>
      <w:pPr>
        <w:pStyle w:val="965"/>
        <w:spacing w:line="400" w:lineRule="exact"/>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5"/>
        <w:jc w:val="left"/>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ascii="宋体" w:hAnsi="宋体"/>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29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5"/>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hint="eastAsia" w:ascii="方正仿宋_GBK" w:hAnsi="方正仿宋_GBK" w:eastAsia="方正仿宋_GBK" w:cs="方正仿宋_GBK"/>
          <w:sz w:val="28"/>
          <w:szCs w:val="28"/>
          <w:highlight w:val="none"/>
        </w:rPr>
      </w:r>
      <w:r/>
    </w:p>
    <w:p>
      <w:pPr>
        <w:pStyle w:val="965"/>
        <w:spacing w:line="400" w:lineRule="exact"/>
        <w:rPr>
          <w:rFonts w:ascii="宋体" w:hAnsi="宋体"/>
          <w:sz w:val="28"/>
          <w:szCs w:val="28"/>
          <w:highlight w:val="none"/>
        </w:rPr>
      </w:pPr>
      <w:r>
        <w:rPr>
          <w:rFonts w:ascii="宋体" w:hAnsi="宋体"/>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5"/>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rFonts w:ascii="宋体" w:hAnsi="宋体"/>
          <w:b/>
          <w:color w:val="000000"/>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5"/>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ascii="宋体" w:hAnsi="宋体"/>
          <w:bCs/>
          <w:color w:val="000000"/>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65"/>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65"/>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65"/>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5"/>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rPr>
          <w:rFonts w:hint="eastAsia" w:ascii="方正仿宋_GBK" w:hAnsi="方正仿宋_GBK" w:eastAsia="方正仿宋_GBK" w:cs="方正仿宋_GBK"/>
          <w:sz w:val="28"/>
          <w:szCs w:val="28"/>
          <w:highlight w:val="none"/>
        </w:rPr>
      </w:r>
      <w:r/>
    </w:p>
    <w:p>
      <w:pPr>
        <w:pStyle w:val="965"/>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65"/>
        <w:jc w:val="cente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65"/>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highlight w:val="none"/>
        </w:rPr>
      </w:r>
      <w:r/>
    </w:p>
    <w:p>
      <w:pPr>
        <w:pStyle w:val="1052"/>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rPr>
          <w:rFonts w:hint="eastAsia" w:ascii="方正仿宋_GBK" w:hAnsi="方正仿宋_GBK" w:eastAsia="方正仿宋_GBK" w:cs="方正仿宋_GBK"/>
          <w:sz w:val="28"/>
          <w:szCs w:val="28"/>
          <w:highlight w:val="none"/>
        </w:rPr>
      </w:r>
      <w:r/>
    </w:p>
    <w:p>
      <w:pPr>
        <w:pStyle w:val="1052"/>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1052"/>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1052"/>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1052"/>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1052"/>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rPr>
          <w:rFonts w:hint="eastAsia" w:ascii="方正仿宋_GBK" w:hAnsi="方正仿宋_GBK" w:eastAsia="方正仿宋_GBK" w:cs="方正仿宋_GBK"/>
          <w:sz w:val="28"/>
          <w:szCs w:val="28"/>
          <w:highlight w:val="none"/>
        </w:rPr>
      </w:r>
      <w:r/>
    </w:p>
    <w:p>
      <w:pPr>
        <w:pStyle w:val="1052"/>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1052"/>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52"/>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52"/>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52"/>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65"/>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1052"/>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r>
        <w:rPr>
          <w:rFonts w:hint="eastAsia" w:ascii="方正仿宋_GBK" w:hAnsi="方正仿宋_GBK" w:eastAsia="方正仿宋_GBK" w:cs="方正仿宋_GBK"/>
          <w:bCs/>
          <w:color w:val="000000"/>
          <w:sz w:val="28"/>
          <w:szCs w:val="28"/>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1016"/>
        <w:tabs>
          <w:tab w:val="right" w:pos="8720" w:leader="dot"/>
        </w:tabs>
        <w:rPr>
          <w:highlight w:val="none"/>
        </w:rPr>
      </w:pPr>
      <w:r>
        <w:rPr>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965"/>
        <w:ind w:firstLine="560"/>
        <w:spacing w:line="400" w:lineRule="exact"/>
        <w:rPr>
          <w:rFonts w:ascii="宋体" w:hAnsi="宋体"/>
          <w:sz w:val="28"/>
          <w:szCs w:val="28"/>
          <w:highlight w:val="none"/>
        </w:rPr>
      </w:pPr>
      <w:r>
        <w:rPr>
          <w:rFonts w:ascii="宋体" w:hAnsi="宋体"/>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bookmarkEnd w:id="174"/>
      <w:r/>
      <w:bookmarkEnd w:id="175"/>
      <w:r/>
      <w:bookmarkEnd w:id="176"/>
      <w:r/>
      <w:bookmarkStart w:id="177" w:name="_Toc120614284"/>
      <w:r>
        <w:rPr>
          <w:rFonts w:hint="eastAsia" w:ascii="方正黑体_GBK" w:hAnsi="方正黑体_GBK" w:eastAsia="方正黑体_GBK" w:cs="方正黑体_GBK"/>
          <w:bCs/>
          <w:sz w:val="28"/>
          <w:szCs w:val="28"/>
          <w:highlight w:val="none"/>
        </w:rPr>
        <w:t xml:space="preserve">附件9 中小微企业声明函（服务类项目）（采购包号：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（单位名称）采购编号为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65"/>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65"/>
        <w:ind w:right="720"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r>
        <w:rPr>
          <w:rFonts w:hint="eastAsia" w:ascii="方正仿宋_GBK" w:hAnsi="方正仿宋_GBK" w:eastAsia="方正仿宋_GBK" w:cs="方正仿宋_GBK"/>
          <w:sz w:val="28"/>
          <w:szCs w:val="28"/>
          <w:highlight w:val="none"/>
        </w:rPr>
      </w:r>
      <w:r/>
    </w:p>
    <w:p>
      <w:pPr>
        <w:pStyle w:val="965"/>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 残疾人福利性单位声明函（服务类项目）（采购包号：</w:t>
      </w:r>
      <w:r>
        <w:rPr>
          <w:rFonts w:hint="eastAsia"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黑体_GBK"/>
          <w:bCs/>
          <w:sz w:val="28"/>
          <w:szCs w:val="28"/>
          <w:highlight w:val="none"/>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65"/>
        <w:ind w:firstLine="584"/>
        <w:spacing w:line="400" w:lineRule="exact"/>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pStyle w:val="965"/>
        <w:ind w:right="1559" w:firstLine="584"/>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65"/>
        <w:ind w:right="1559" w:firstLine="560"/>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     期：___年____月____日   </w:t>
      </w:r>
      <w:r>
        <w:rPr>
          <w:rFonts w:hint="eastAsia" w:ascii="方正仿宋_GBK" w:hAnsi="方正仿宋_GBK" w:eastAsia="方正仿宋_GBK" w:cs="方正仿宋_GBK"/>
          <w:sz w:val="28"/>
          <w:szCs w:val="28"/>
          <w:highlight w:val="none"/>
        </w:rPr>
      </w:r>
      <w:r/>
    </w:p>
    <w:p>
      <w:pPr>
        <w:pStyle w:val="965"/>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5"/>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5"/>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rPr>
          <w:rFonts w:hint="eastAsia" w:ascii="方正黑体_GBK" w:hAnsi="方正黑体_GBK" w:eastAsia="方正黑体_GBK" w:cs="方正黑体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项目（项目名称）（采购包号：XX）的政府采购活动，我联合体指定</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5"/>
        <w:ind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日期：___年____月____日     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28"/>
          <w:szCs w:val="28"/>
          <w:highlight w:val="none"/>
        </w:rPr>
      </w:r>
      <w:r/>
    </w:p>
    <w:p>
      <w:pPr>
        <w:pStyle w:val="965"/>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pStyle w:val="965"/>
        <w:spacing w:line="400" w:lineRule="exact"/>
        <w:rPr>
          <w:rFonts w:hint="eastAsia" w:ascii="宋体" w:hAnsi="宋体"/>
          <w:sz w:val="28"/>
          <w:szCs w:val="28"/>
          <w:highlight w:val="none"/>
        </w:rPr>
      </w:pPr>
      <w:r>
        <w:rPr>
          <w:rFonts w:hint="eastAsia" w:ascii="宋体" w:hAnsi="宋体"/>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附件12 实质性要求响应及偏离表（采购包号：XX）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5"/>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65"/>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sz w:val="28"/>
          <w:szCs w:val="28"/>
          <w:highlight w:val="none"/>
        </w:rPr>
        <w:t xml:space="preserve">逐条做出明确响应，否则作无效投标处理。</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65"/>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pStyle w:val="965"/>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5"/>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5"/>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关于符合本国产品标准的声明函（采购包号：XX）</w:t>
      </w:r>
      <w:r>
        <w:rPr>
          <w:rFonts w:hint="eastAsia" w:ascii="方正黑体_GBK" w:hAnsi="方正黑体_GBK" w:eastAsia="方正黑体_GBK" w:cs="方正黑体_GBK"/>
          <w:bCs/>
          <w:sz w:val="28"/>
          <w:szCs w:val="28"/>
          <w:highlight w:val="none"/>
        </w:rPr>
      </w:r>
      <w:r/>
    </w:p>
    <w:p>
      <w:pPr>
        <w:pStyle w:val="1027"/>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39"/>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39"/>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39"/>
          <w:rFonts w:hint="eastAsia" w:ascii="方正仿宋_GBK" w:hAnsi="方正仿宋_GBK" w:eastAsia="方正仿宋_GBK" w:cs="方正仿宋_GBK"/>
          <w:i w:val="0"/>
          <w:sz w:val="28"/>
          <w:szCs w:val="28"/>
          <w:highlight w:val="none"/>
          <w:u w:val="single"/>
          <w:shd w:val="clear" w:color="auto" w:fill="ffffff"/>
        </w:rPr>
        <w:t xml:space="preserve">（厂名）</w:t>
      </w:r>
      <w:r>
        <w:rPr>
          <w:rStyle w:val="1039"/>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39"/>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39"/>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39"/>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39"/>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1027"/>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r>
        <w:rPr>
          <w:rFonts w:hint="eastAsia" w:ascii="方正仿宋_GBK" w:hAnsi="方正仿宋_GBK" w:eastAsia="方正仿宋_GBK" w:cs="方正仿宋_GBK"/>
          <w:sz w:val="28"/>
          <w:szCs w:val="28"/>
          <w:highlight w:val="none"/>
        </w:rPr>
      </w:r>
      <w:r/>
    </w:p>
    <w:p>
      <w:pPr>
        <w:pStyle w:val="1027"/>
        <w:ind w:firstLine="560"/>
        <w:jc w:val="center"/>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__________________</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27"/>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39"/>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65"/>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pStyle w:val="965"/>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65"/>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附件14   提供服务的人员均为订立劳动合同的从业人员的书面声明</w:t>
      </w:r>
      <w:r>
        <w:rPr>
          <w:rFonts w:hint="eastAsia" w:ascii="方正黑体_GBK" w:hAnsi="方正黑体_GBK" w:eastAsia="方正黑体_GBK" w:cs="方正黑体_GBK"/>
          <w:bCs/>
          <w:sz w:val="28"/>
          <w:szCs w:val="28"/>
          <w:highlight w:val="none"/>
        </w:rPr>
      </w:r>
      <w:r/>
    </w:p>
    <w:p>
      <w:pPr>
        <w:pStyle w:val="965"/>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（采购包号：XX）</w:t>
      </w:r>
      <w:r>
        <w:rPr>
          <w:rFonts w:hint="eastAsia" w:ascii="方正黑体_GBK" w:hAnsi="方正黑体_GBK" w:eastAsia="方正黑体_GBK" w:cs="方正黑体_GBK"/>
          <w:bCs/>
          <w:sz w:val="28"/>
          <w:szCs w:val="28"/>
          <w:highlight w:val="none"/>
        </w:rPr>
      </w:r>
      <w:r/>
    </w:p>
    <w:p>
      <w:pPr>
        <w:pStyle w:val="1027"/>
        <w:ind w:firstLine="560"/>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rPr>
        <w:t xml:space="preserve">参加江苏省政府采购中心组织的项目编号为JSZC-320000-SCZX-</w:t>
      </w:r>
      <w:r>
        <w:rPr>
          <w:rFonts w:hint="eastAsia" w:ascii="方正仿宋_GBK" w:hAnsi="方正仿宋_GBK" w:eastAsia="方正仿宋_GBK" w:cs="方正仿宋_GBK"/>
          <w:sz w:val="28"/>
          <w:szCs w:val="28"/>
          <w:highlight w:val="none"/>
          <w:shd w:val="clear" w:color="auto" w:fill="ffffff"/>
        </w:rPr>
        <w:t xml:space="preserve">G（C、T、K）</w:t>
      </w:r>
      <w:r>
        <w:rPr>
          <w:rFonts w:ascii="方正仿宋_GBK" w:hAnsi="方正仿宋_GBK" w:eastAsia="方正仿宋_GBK" w:cs="方正仿宋_GBK"/>
          <w:sz w:val="28"/>
          <w:szCs w:val="28"/>
          <w:highlight w:val="none"/>
          <w:shd w:val="clear" w:color="auto" w:fill="ffffff"/>
        </w:rPr>
        <w:t xml:space="preserve">20XX-XXXX，XXXX（项目名称）（采购包号：XX）项目采购活动</w:t>
      </w:r>
      <w:r>
        <w:rPr>
          <w:rFonts w:hint="eastAsia" w:ascii="方正仿宋_GBK" w:hAnsi="方正仿宋_GBK" w:eastAsia="方正仿宋_GBK" w:cs="方正仿宋_GBK"/>
          <w:sz w:val="28"/>
          <w:szCs w:val="28"/>
          <w:highlight w:val="none"/>
          <w:shd w:val="clear" w:color="auto" w:fill="ffffff"/>
        </w:rPr>
        <w:t xml:space="preserve">，根据</w:t>
      </w:r>
      <w:r>
        <w:rPr>
          <w:rFonts w:ascii="方正仿宋_GBK" w:hAnsi="方正仿宋_GBK" w:eastAsia="方正仿宋_GBK" w:cs="方正仿宋_GBK"/>
          <w:sz w:val="28"/>
          <w:szCs w:val="28"/>
          <w:highlight w:val="none"/>
          <w:shd w:val="clear" w:color="auto" w:fill="ffffff"/>
        </w:rPr>
        <w:t xml:space="preserve">《政府采购促进中小企业发展管理办法》</w:t>
      </w:r>
      <w:r>
        <w:rPr>
          <w:rFonts w:hint="eastAsia" w:ascii="方正仿宋_GBK" w:hAnsi="方正仿宋_GBK" w:eastAsia="方正仿宋_GBK" w:cs="方正仿宋_GBK"/>
          <w:sz w:val="28"/>
          <w:szCs w:val="28"/>
          <w:highlight w:val="none"/>
          <w:shd w:val="clear" w:color="auto" w:fill="ffffff"/>
        </w:rPr>
        <w:t xml:space="preserve">第四条规定</w:t>
      </w:r>
      <w:r>
        <w:rPr>
          <w:rFonts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shd w:val="clear" w:color="auto" w:fill="ffffff"/>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rPr>
        <w:t xml:space="preserve">郑重声明</w:t>
      </w:r>
      <w:r>
        <w:rPr>
          <w:rFonts w:hint="eastAsia" w:ascii="方正仿宋_GBK" w:hAnsi="方正仿宋_GBK" w:eastAsia="方正仿宋_GBK" w:cs="方正仿宋_GBK"/>
          <w:sz w:val="28"/>
          <w:szCs w:val="28"/>
          <w:highlight w:val="none"/>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highlight w:val="none"/>
          <w:shd w:val="clear" w:color="auto" w:fill="ffffff"/>
        </w:rPr>
      </w:r>
      <w:r/>
    </w:p>
    <w:p>
      <w:pPr>
        <w:pStyle w:val="1027"/>
        <w:ind w:firstLine="560"/>
        <w:spacing w:before="30" w:beforeAutospacing="0" w:after="30" w:afterAutospacing="0" w:line="400" w:lineRule="exact"/>
        <w:rPr>
          <w:highlight w:val="none"/>
        </w:rPr>
      </w:pPr>
      <w:r>
        <w:rPr>
          <w:rFonts w:ascii="方正仿宋_GBK" w:hAnsi="方正仿宋_GBK" w:eastAsia="方正仿宋_GBK" w:cs="方正仿宋_GBK"/>
          <w:sz w:val="28"/>
          <w:szCs w:val="28"/>
          <w:highlight w:val="none"/>
          <w:shd w:val="clear" w:color="auto" w:fill="ffffff"/>
        </w:rPr>
        <w:t xml:space="preserve">本</w:t>
      </w:r>
      <w:r>
        <w:rPr>
          <w:rFonts w:hint="eastAsia" w:ascii="方正仿宋_GBK" w:hAnsi="方正仿宋_GBK" w:eastAsia="方正仿宋_GBK" w:cs="方正仿宋_GBK"/>
          <w:sz w:val="28"/>
          <w:szCs w:val="28"/>
          <w:highlight w:val="none"/>
          <w:shd w:val="clear" w:color="auto" w:fill="ffffff"/>
        </w:rPr>
        <w:t xml:space="preserve">企业（联合体）</w:t>
      </w:r>
      <w:r>
        <w:rPr>
          <w:rFonts w:ascii="方正仿宋_GBK" w:hAnsi="方正仿宋_GBK" w:eastAsia="方正仿宋_GBK" w:cs="方正仿宋_GBK"/>
          <w:sz w:val="28"/>
          <w:szCs w:val="28"/>
          <w:highlight w:val="none"/>
          <w:shd w:val="clear" w:color="auto" w:fill="ffffff"/>
        </w:rPr>
        <w:t xml:space="preserve">对上述声明的真实性负责。如有虚假，将依法承担相应责任。</w:t>
      </w:r>
      <w:r>
        <w:rPr>
          <w:highlight w:val="none"/>
        </w:rPr>
      </w:r>
      <w:r/>
    </w:p>
    <w:p>
      <w:pPr>
        <w:pStyle w:val="965"/>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color w:val="333333"/>
          <w:sz w:val="28"/>
          <w:szCs w:val="28"/>
          <w:highlight w:val="none"/>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sz w:val="28"/>
          <w:szCs w:val="28"/>
          <w:highlight w:val="none"/>
        </w:rPr>
      </w:r>
      <w:r/>
    </w:p>
    <w:p>
      <w:pPr>
        <w:pStyle w:val="965"/>
        <w:spacing w:line="400" w:lineRule="exact"/>
        <w:rPr>
          <w:rFonts w:ascii="宋体" w:hAnsi="宋体"/>
          <w:bCs/>
          <w:sz w:val="28"/>
          <w:szCs w:val="28"/>
          <w:highlight w:val="none"/>
        </w:rPr>
      </w:pPr>
      <w:r>
        <w:rPr>
          <w:rFonts w:ascii="宋体" w:hAnsi="宋体"/>
          <w:bCs/>
          <w:sz w:val="28"/>
          <w:szCs w:val="28"/>
          <w:highlight w:val="none"/>
        </w:rPr>
      </w:r>
      <w:r/>
    </w:p>
    <w:p>
      <w:pPr>
        <w:pStyle w:val="965"/>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65"/>
        <w:spacing w:line="400" w:lineRule="exact"/>
        <w:rPr>
          <w:rFonts w:hint="eastAsia"/>
          <w:sz w:val="28"/>
          <w:szCs w:val="28"/>
          <w:highlight w:val="none"/>
        </w:rPr>
      </w:pPr>
      <w:r>
        <w:rPr>
          <w:rFonts w:hint="eastAsia"/>
          <w:sz w:val="28"/>
          <w:szCs w:val="28"/>
          <w:highlight w:val="none"/>
        </w:rPr>
      </w:r>
      <w:r/>
    </w:p>
    <w:p>
      <w:pPr>
        <w:pStyle w:val="965"/>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5"/>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5"/>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5"/>
        <w:jc w:val="center"/>
        <w:spacing w:line="400" w:lineRule="exact"/>
        <w:rPr>
          <w:rFonts w:hint="eastAsia" w:ascii="方正黑体_GBK" w:hAnsi="方正黑体_GBK" w:eastAsia="方正黑体_GBK" w:cs="方正黑体_GBK"/>
          <w:bCs/>
          <w:sz w:val="28"/>
          <w:szCs w:val="28"/>
          <w:highlight w:val="none"/>
        </w:rPr>
      </w:pPr>
      <w:r/>
      <w:bookmarkEnd w:id="159"/>
      <w:r/>
      <w:bookmarkEnd w:id="160"/>
      <w:r/>
      <w:bookmarkEnd w:id="177"/>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65"/>
        <w:ind w:firstLine="56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965"/>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965"/>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965"/>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965"/>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965"/>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965"/>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965"/>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965"/>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p>
      <w:pPr>
        <w:pStyle w:val="981"/>
        <w:spacing w:line="400" w:lineRule="exact"/>
        <w:rPr>
          <w:rFonts w:hint="eastAsia"/>
          <w:sz w:val="28"/>
          <w:szCs w:val="28"/>
          <w:highlight w:val="none"/>
        </w:rPr>
      </w:pPr>
      <w:r>
        <w:rPr>
          <w:rFonts w:hint="eastAsia"/>
          <w:sz w:val="28"/>
          <w:szCs w:val="28"/>
          <w:highlight w:val="none"/>
        </w:rPr>
      </w:r>
      <w:r/>
    </w:p>
    <w:p>
      <w:pPr>
        <w:pStyle w:val="981"/>
        <w:rPr>
          <w:sz w:val="24"/>
          <w:szCs w:val="24"/>
          <w:highlight w:val="none"/>
        </w:rPr>
      </w:pPr>
      <w:r>
        <w:rPr>
          <w:sz w:val="24"/>
          <w:szCs w:val="24"/>
          <w:highlight w:val="none"/>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rPr>
        <w:rStyle w:val="1037"/>
      </w:rPr>
    </w:r>
    <w:r/>
  </w:p>
  <w:p>
    <w:pPr>
      <w:pStyle w:val="101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5"/>
                    </w:pPr>
                    <w:r/>
                    <w:r/>
                  </w:p>
                </w:txbxContent>
              </v:textbox>
            </v:shape>
          </w:pict>
        </mc:Fallback>
      </mc:AlternateContent>
    </w:r>
    <w:r/>
  </w:p>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965"/>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5"/>
        <w:tabs>
          <w:tab w:val="num" w:pos="312" w:leader="none"/>
        </w:tabs>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5"/>
        <w:tabs>
          <w:tab w:val="num" w:pos="312" w:leader="none"/>
        </w:tabs>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5"/>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abstractNum w:abstractNumId="4">
    <w:multiLevelType w:val="hybridMultilevel"/>
    <w:lvl w:ilvl="0">
      <w:start w:val="1"/>
      <w:numFmt w:val="upperLetter"/>
      <w:pStyle w:val="1044"/>
      <w:isLgl w:val="false"/>
      <w:suff w:val="tab"/>
      <w:lvlText w:val="附录%1."/>
      <w:lvlJc w:val="left"/>
      <w:pPr>
        <w:pStyle w:val="96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65"/>
        <w:ind w:left="0" w:firstLine="0"/>
        <w:tabs>
          <w:tab w:val="num" w:pos="312" w:leader="none"/>
        </w:tabs>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abstractNum w:abstractNumId="6">
    <w:multiLevelType w:val="hybridMultilevel"/>
    <w:lvl w:ilvl="0">
      <w:start w:val="1"/>
      <w:numFmt w:val="decimal"/>
      <w:pStyle w:val="1061"/>
      <w:isLgl w:val="false"/>
      <w:suff w:val="tab"/>
      <w:lvlText w:val="%1."/>
      <w:lvlJc w:val="left"/>
      <w:pPr>
        <w:pStyle w:val="965"/>
        <w:ind w:left="709" w:hanging="709"/>
        <w:tabs>
          <w:tab w:val="num" w:pos="709" w:leader="none"/>
        </w:tabs>
      </w:pPr>
      <w:rPr>
        <w:rFonts w:hint="eastAsia"/>
      </w:rPr>
    </w:lvl>
    <w:lvl w:ilvl="1">
      <w:start w:val="1"/>
      <w:numFmt w:val="decimal"/>
      <w:isLgl w:val="false"/>
      <w:suff w:val="tab"/>
      <w:lvlText w:val="%1.%2"/>
      <w:lvlJc w:val="left"/>
      <w:pPr>
        <w:pStyle w:val="965"/>
        <w:ind w:left="709" w:hanging="709"/>
        <w:tabs>
          <w:tab w:val="num" w:pos="709" w:leader="none"/>
        </w:tabs>
      </w:pPr>
      <w:rPr>
        <w:rFonts w:hint="eastAsia"/>
      </w:rPr>
    </w:lvl>
    <w:lvl w:ilvl="2">
      <w:start w:val="1"/>
      <w:numFmt w:val="decimal"/>
      <w:isLgl w:val="false"/>
      <w:suff w:val="tab"/>
      <w:lvlText w:val="%1.%2.%3."/>
      <w:lvlJc w:val="left"/>
      <w:pPr>
        <w:pStyle w:val="965"/>
        <w:ind w:left="425" w:hanging="425"/>
        <w:tabs>
          <w:tab w:val="num" w:pos="425" w:leader="none"/>
        </w:tabs>
      </w:pPr>
      <w:rPr>
        <w:rFonts w:hint="eastAsia"/>
      </w:rPr>
    </w:lvl>
    <w:lvl w:ilvl="3">
      <w:start w:val="1"/>
      <w:numFmt w:val="decimal"/>
      <w:isLgl w:val="false"/>
      <w:suff w:val="tab"/>
      <w:lvlText w:val="%1.%2.%3.%4."/>
      <w:lvlJc w:val="left"/>
      <w:pPr>
        <w:pStyle w:val="965"/>
        <w:ind w:left="851" w:hanging="851"/>
        <w:tabs>
          <w:tab w:val="num" w:pos="851" w:leader="none"/>
        </w:tabs>
      </w:pPr>
      <w:rPr>
        <w:rFonts w:hint="eastAsia"/>
      </w:rPr>
    </w:lvl>
    <w:lvl w:ilvl="4">
      <w:start w:val="1"/>
      <w:numFmt w:val="decimal"/>
      <w:isLgl w:val="false"/>
      <w:suff w:val="tab"/>
      <w:lvlText w:val="%1.%2.%3.%4.%5."/>
      <w:lvlJc w:val="left"/>
      <w:pPr>
        <w:pStyle w:val="965"/>
        <w:ind w:left="992" w:hanging="992"/>
        <w:tabs>
          <w:tab w:val="num" w:pos="992" w:leader="none"/>
        </w:tabs>
      </w:pPr>
      <w:rPr>
        <w:rFonts w:hint="eastAsia"/>
      </w:rPr>
    </w:lvl>
    <w:lvl w:ilvl="5">
      <w:start w:val="1"/>
      <w:numFmt w:val="decimal"/>
      <w:isLgl w:val="false"/>
      <w:suff w:val="tab"/>
      <w:lvlText w:val="%1.%2.%3.%4.%5.%6."/>
      <w:lvlJc w:val="left"/>
      <w:pPr>
        <w:pStyle w:val="965"/>
        <w:ind w:left="1134" w:hanging="1134"/>
        <w:tabs>
          <w:tab w:val="num" w:pos="1134" w:leader="none"/>
        </w:tabs>
      </w:pPr>
      <w:rPr>
        <w:rFonts w:hint="eastAsia"/>
      </w:rPr>
    </w:lvl>
    <w:lvl w:ilvl="6">
      <w:start w:val="1"/>
      <w:numFmt w:val="decimal"/>
      <w:isLgl w:val="false"/>
      <w:suff w:val="tab"/>
      <w:lvlText w:val="%1.%2.%3.%4.%5.%6.%7."/>
      <w:lvlJc w:val="left"/>
      <w:pPr>
        <w:pStyle w:val="965"/>
        <w:ind w:left="1276" w:hanging="1276"/>
        <w:tabs>
          <w:tab w:val="num" w:pos="1276" w:leader="none"/>
        </w:tabs>
      </w:pPr>
      <w:rPr>
        <w:rFonts w:hint="eastAsia"/>
      </w:rPr>
    </w:lvl>
    <w:lvl w:ilvl="7">
      <w:start w:val="1"/>
      <w:numFmt w:val="decimal"/>
      <w:isLgl w:val="false"/>
      <w:suff w:val="tab"/>
      <w:lvlText w:val="%1.%2.%3.%4.%5.%6.%7.%8."/>
      <w:lvlJc w:val="left"/>
      <w:pPr>
        <w:pStyle w:val="965"/>
        <w:ind w:left="1418" w:hanging="1418"/>
        <w:tabs>
          <w:tab w:val="num" w:pos="1418" w:leader="none"/>
        </w:tabs>
      </w:pPr>
      <w:rPr>
        <w:rFonts w:hint="eastAsia"/>
      </w:rPr>
    </w:lvl>
    <w:lvl w:ilvl="8">
      <w:start w:val="1"/>
      <w:numFmt w:val="decimal"/>
      <w:isLgl w:val="false"/>
      <w:suff w:val="tab"/>
      <w:lvlText w:val="%1.%2.%3.%4.%5.%6.%7.%8.%9."/>
      <w:lvlJc w:val="left"/>
      <w:pPr>
        <w:pStyle w:val="965"/>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965"/>
        <w:tabs>
          <w:tab w:val="num" w:pos="312" w:leader="none"/>
        </w:tabs>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965"/>
        <w:ind w:left="0" w:firstLine="0"/>
        <w:tabs>
          <w:tab w:val="num" w:pos="312" w:leader="none"/>
        </w:tabs>
      </w:pPr>
    </w:lvl>
    <w:lvl w:ilvl="1">
      <w:start w:val="1"/>
      <w:numFmt w:val="bullet"/>
      <w:isLgl w:val="false"/>
      <w:suff w:val="tab"/>
      <w:lvlText w:val="o"/>
      <w:lvlJc w:val="left"/>
      <w:pPr>
        <w:pStyle w:val="965"/>
        <w:ind w:left="1590" w:hanging="360"/>
      </w:pPr>
      <w:rPr>
        <w:rFonts w:ascii="Courier New" w:hAnsi="Courier New" w:eastAsia="Courier New" w:cs="Courier New"/>
      </w:rPr>
    </w:lvl>
    <w:lvl w:ilvl="2">
      <w:start w:val="1"/>
      <w:numFmt w:val="bullet"/>
      <w:isLgl w:val="false"/>
      <w:suff w:val="tab"/>
      <w:lvlText w:val="§"/>
      <w:lvlJc w:val="left"/>
      <w:pPr>
        <w:pStyle w:val="965"/>
        <w:ind w:left="2310" w:hanging="360"/>
      </w:pPr>
      <w:rPr>
        <w:rFonts w:ascii="Wingdings" w:hAnsi="Wingdings" w:eastAsia="Wingdings" w:cs="Wingdings"/>
      </w:rPr>
    </w:lvl>
    <w:lvl w:ilvl="3">
      <w:start w:val="1"/>
      <w:numFmt w:val="bullet"/>
      <w:isLgl w:val="false"/>
      <w:suff w:val="tab"/>
      <w:lvlText w:val="·"/>
      <w:lvlJc w:val="left"/>
      <w:pPr>
        <w:pStyle w:val="965"/>
        <w:ind w:left="3030" w:hanging="360"/>
      </w:pPr>
      <w:rPr>
        <w:rFonts w:ascii="Symbol" w:hAnsi="Symbol" w:eastAsia="Symbol" w:cs="Symbol"/>
      </w:rPr>
    </w:lvl>
    <w:lvl w:ilvl="4">
      <w:start w:val="1"/>
      <w:numFmt w:val="bullet"/>
      <w:isLgl w:val="false"/>
      <w:suff w:val="tab"/>
      <w:lvlText w:val="o"/>
      <w:lvlJc w:val="left"/>
      <w:pPr>
        <w:pStyle w:val="965"/>
        <w:ind w:left="3750" w:hanging="360"/>
      </w:pPr>
      <w:rPr>
        <w:rFonts w:ascii="Courier New" w:hAnsi="Courier New" w:eastAsia="Courier New" w:cs="Courier New"/>
      </w:rPr>
    </w:lvl>
    <w:lvl w:ilvl="5">
      <w:start w:val="1"/>
      <w:numFmt w:val="bullet"/>
      <w:isLgl w:val="false"/>
      <w:suff w:val="tab"/>
      <w:lvlText w:val="§"/>
      <w:lvlJc w:val="left"/>
      <w:pPr>
        <w:pStyle w:val="965"/>
        <w:ind w:left="4470" w:hanging="360"/>
      </w:pPr>
      <w:rPr>
        <w:rFonts w:ascii="Wingdings" w:hAnsi="Wingdings" w:eastAsia="Wingdings" w:cs="Wingdings"/>
      </w:rPr>
    </w:lvl>
    <w:lvl w:ilvl="6">
      <w:start w:val="1"/>
      <w:numFmt w:val="bullet"/>
      <w:isLgl w:val="false"/>
      <w:suff w:val="tab"/>
      <w:lvlText w:val="·"/>
      <w:lvlJc w:val="left"/>
      <w:pPr>
        <w:pStyle w:val="965"/>
        <w:ind w:left="5190" w:hanging="360"/>
      </w:pPr>
      <w:rPr>
        <w:rFonts w:ascii="Symbol" w:hAnsi="Symbol" w:eastAsia="Symbol" w:cs="Symbol"/>
      </w:rPr>
    </w:lvl>
    <w:lvl w:ilvl="7">
      <w:start w:val="1"/>
      <w:numFmt w:val="bullet"/>
      <w:isLgl w:val="false"/>
      <w:suff w:val="tab"/>
      <w:lvlText w:val="o"/>
      <w:lvlJc w:val="left"/>
      <w:pPr>
        <w:pStyle w:val="965"/>
        <w:ind w:left="5910" w:hanging="360"/>
      </w:pPr>
      <w:rPr>
        <w:rFonts w:ascii="Courier New" w:hAnsi="Courier New" w:eastAsia="Courier New" w:cs="Courier New"/>
      </w:rPr>
    </w:lvl>
    <w:lvl w:ilvl="8">
      <w:start w:val="1"/>
      <w:numFmt w:val="bullet"/>
      <w:isLgl w:val="false"/>
      <w:suff w:val="tab"/>
      <w:lvlText w:val="§"/>
      <w:lvlJc w:val="left"/>
      <w:pPr>
        <w:pStyle w:val="965"/>
        <w:ind w:left="663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65"/>
        <w:ind w:left="0" w:firstLine="0"/>
      </w:pPr>
      <w:rPr>
        <w:rFonts w:hint="eastAsia"/>
      </w:rPr>
    </w:lvl>
    <w:lvl w:ilvl="1">
      <w:start w:val="1"/>
      <w:numFmt w:val="decimal"/>
      <w:isLgl w:val="false"/>
      <w:suff w:val="nothing"/>
      <w:lvlText w:val="%2、"/>
      <w:lvlJc w:val="left"/>
      <w:pPr>
        <w:pStyle w:val="965"/>
        <w:ind w:left="0" w:firstLine="0"/>
      </w:pPr>
      <w:rPr>
        <w:rFonts w:hint="eastAsia"/>
      </w:rPr>
    </w:lvl>
    <w:lvl w:ilvl="2">
      <w:start w:val="1"/>
      <w:numFmt w:val="decimal"/>
      <w:isLgl w:val="false"/>
      <w:suff w:val="nothing"/>
      <w:lvlText w:val="%2.%3 "/>
      <w:lvlJc w:val="left"/>
      <w:pPr>
        <w:pStyle w:val="965"/>
        <w:ind w:left="0" w:firstLine="0"/>
      </w:pPr>
      <w:rPr>
        <w:rFonts w:hint="eastAsia"/>
      </w:rPr>
    </w:lvl>
    <w:lvl w:ilvl="3">
      <w:start w:val="1"/>
      <w:numFmt w:val="decimal"/>
      <w:isLgl w:val="false"/>
      <w:suff w:val="nothing"/>
      <w:lvlText w:val="%2.%3.%4 "/>
      <w:lvlJc w:val="left"/>
      <w:pPr>
        <w:pStyle w:val="965"/>
        <w:ind w:left="0" w:firstLine="0"/>
      </w:pPr>
      <w:rPr>
        <w:rFonts w:hint="eastAsia"/>
      </w:rPr>
    </w:lvl>
    <w:lvl w:ilvl="4">
      <w:start w:val="1"/>
      <w:numFmt w:val="decimal"/>
      <w:isLgl w:val="false"/>
      <w:suff w:val="nothing"/>
      <w:lvlText w:val="%2.%3.%4.%5 "/>
      <w:lvlJc w:val="left"/>
      <w:pPr>
        <w:pStyle w:val="965"/>
        <w:ind w:left="0" w:firstLine="0"/>
      </w:pPr>
      <w:rPr>
        <w:rFonts w:hint="eastAsia"/>
      </w:rPr>
    </w:lvl>
    <w:lvl w:ilvl="5">
      <w:start w:val="1"/>
      <w:numFmt w:val="decimal"/>
      <w:pStyle w:val="971"/>
      <w:isLgl w:val="false"/>
      <w:suff w:val="nothing"/>
      <w:lvlText w:val=""/>
      <w:lvlJc w:val="left"/>
      <w:pPr>
        <w:pStyle w:val="965"/>
        <w:ind w:left="0" w:firstLine="0"/>
      </w:pPr>
      <w:rPr>
        <w:rFonts w:hint="eastAsia"/>
      </w:rPr>
    </w:lvl>
    <w:lvl w:ilvl="6">
      <w:start w:val="1"/>
      <w:numFmt w:val="decimal"/>
      <w:pStyle w:val="972"/>
      <w:isLgl w:val="false"/>
      <w:suff w:val="nothing"/>
      <w:lvlText w:val=""/>
      <w:lvlJc w:val="left"/>
      <w:pPr>
        <w:pStyle w:val="965"/>
        <w:ind w:left="0" w:firstLine="0"/>
      </w:pPr>
      <w:rPr>
        <w:rFonts w:hint="eastAsia"/>
      </w:rPr>
    </w:lvl>
    <w:lvl w:ilvl="7">
      <w:start w:val="1"/>
      <w:numFmt w:val="decimal"/>
      <w:pStyle w:val="973"/>
      <w:isLgl w:val="false"/>
      <w:suff w:val="nothing"/>
      <w:lvlText w:val=""/>
      <w:lvlJc w:val="left"/>
      <w:pPr>
        <w:pStyle w:val="965"/>
        <w:ind w:left="0" w:firstLine="0"/>
      </w:pPr>
      <w:rPr>
        <w:rFonts w:hint="eastAsia"/>
      </w:rPr>
    </w:lvl>
    <w:lvl w:ilvl="8">
      <w:start w:val="1"/>
      <w:numFmt w:val="decimal"/>
      <w:pStyle w:val="974"/>
      <w:isLgl w:val="false"/>
      <w:suff w:val="nothing"/>
      <w:lvlText w:val=""/>
      <w:lvlJc w:val="left"/>
      <w:pPr>
        <w:pStyle w:val="965"/>
        <w:ind w:left="0" w:firstLine="0"/>
      </w:pPr>
      <w:rPr>
        <w:rFonts w:hint="eastAsia"/>
      </w:rPr>
    </w:lvl>
  </w:abstractNum>
  <w:abstractNum w:abstractNumId="10">
    <w:multiLevelType w:val="hybridMultilevel"/>
    <w:lvl w:ilvl="0">
      <w:start w:val="5"/>
      <w:numFmt w:val="decimal"/>
      <w:isLgl w:val="false"/>
      <w:suff w:val="tab"/>
      <w:lvlText w:val="%1."/>
      <w:lvlJc w:val="left"/>
      <w:pPr>
        <w:pStyle w:val="965"/>
        <w:tabs>
          <w:tab w:val="num" w:pos="312" w:leader="none"/>
        </w:tabs>
      </w:pPr>
    </w:lvl>
    <w:lvl w:ilvl="1">
      <w:start w:val="1"/>
      <w:numFmt w:val="bullet"/>
      <w:isLgl w:val="false"/>
      <w:suff w:val="tab"/>
      <w:lvlText w:val="o"/>
      <w:lvlJc w:val="left"/>
      <w:pPr>
        <w:pStyle w:val="965"/>
        <w:ind w:left="1440" w:hanging="360"/>
      </w:pPr>
      <w:rPr>
        <w:rFonts w:ascii="Courier New" w:hAnsi="Courier New" w:eastAsia="Courier New" w:cs="Courier New"/>
      </w:rPr>
    </w:lvl>
    <w:lvl w:ilvl="2">
      <w:start w:val="1"/>
      <w:numFmt w:val="bullet"/>
      <w:isLgl w:val="false"/>
      <w:suff w:val="tab"/>
      <w:lvlText w:val="§"/>
      <w:lvlJc w:val="left"/>
      <w:pPr>
        <w:pStyle w:val="965"/>
        <w:ind w:left="2160" w:hanging="360"/>
      </w:pPr>
      <w:rPr>
        <w:rFonts w:ascii="Wingdings" w:hAnsi="Wingdings" w:eastAsia="Wingdings" w:cs="Wingdings"/>
      </w:rPr>
    </w:lvl>
    <w:lvl w:ilvl="3">
      <w:start w:val="1"/>
      <w:numFmt w:val="bullet"/>
      <w:isLgl w:val="false"/>
      <w:suff w:val="tab"/>
      <w:lvlText w:val="·"/>
      <w:lvlJc w:val="left"/>
      <w:pPr>
        <w:pStyle w:val="965"/>
        <w:ind w:left="2880" w:hanging="360"/>
      </w:pPr>
      <w:rPr>
        <w:rFonts w:ascii="Symbol" w:hAnsi="Symbol" w:eastAsia="Symbol" w:cs="Symbol"/>
      </w:rPr>
    </w:lvl>
    <w:lvl w:ilvl="4">
      <w:start w:val="1"/>
      <w:numFmt w:val="bullet"/>
      <w:isLgl w:val="false"/>
      <w:suff w:val="tab"/>
      <w:lvlText w:val="o"/>
      <w:lvlJc w:val="left"/>
      <w:pPr>
        <w:pStyle w:val="965"/>
        <w:ind w:left="3600" w:hanging="360"/>
      </w:pPr>
      <w:rPr>
        <w:rFonts w:ascii="Courier New" w:hAnsi="Courier New" w:eastAsia="Courier New" w:cs="Courier New"/>
      </w:rPr>
    </w:lvl>
    <w:lvl w:ilvl="5">
      <w:start w:val="1"/>
      <w:numFmt w:val="bullet"/>
      <w:isLgl w:val="false"/>
      <w:suff w:val="tab"/>
      <w:lvlText w:val="§"/>
      <w:lvlJc w:val="left"/>
      <w:pPr>
        <w:pStyle w:val="965"/>
        <w:ind w:left="4320" w:hanging="360"/>
      </w:pPr>
      <w:rPr>
        <w:rFonts w:ascii="Wingdings" w:hAnsi="Wingdings" w:eastAsia="Wingdings" w:cs="Wingdings"/>
      </w:rPr>
    </w:lvl>
    <w:lvl w:ilvl="6">
      <w:start w:val="1"/>
      <w:numFmt w:val="bullet"/>
      <w:isLgl w:val="false"/>
      <w:suff w:val="tab"/>
      <w:lvlText w:val="·"/>
      <w:lvlJc w:val="left"/>
      <w:pPr>
        <w:pStyle w:val="965"/>
        <w:ind w:left="5040" w:hanging="360"/>
      </w:pPr>
      <w:rPr>
        <w:rFonts w:ascii="Symbol" w:hAnsi="Symbol" w:eastAsia="Symbol" w:cs="Symbol"/>
      </w:rPr>
    </w:lvl>
    <w:lvl w:ilvl="7">
      <w:start w:val="1"/>
      <w:numFmt w:val="bullet"/>
      <w:isLgl w:val="false"/>
      <w:suff w:val="tab"/>
      <w:lvlText w:val="o"/>
      <w:lvlJc w:val="left"/>
      <w:pPr>
        <w:pStyle w:val="965"/>
        <w:ind w:left="5760" w:hanging="360"/>
      </w:pPr>
      <w:rPr>
        <w:rFonts w:ascii="Courier New" w:hAnsi="Courier New" w:eastAsia="Courier New" w:cs="Courier New"/>
      </w:rPr>
    </w:lvl>
    <w:lvl w:ilvl="8">
      <w:start w:val="1"/>
      <w:numFmt w:val="bullet"/>
      <w:isLgl w:val="false"/>
      <w:suff w:val="tab"/>
      <w:lvlText w:val="§"/>
      <w:lvlJc w:val="left"/>
      <w:pPr>
        <w:pStyle w:val="965"/>
        <w:ind w:left="6480" w:hanging="360"/>
      </w:pPr>
      <w:rPr>
        <w:rFonts w:ascii="Wingdings" w:hAnsi="Wingdings" w:eastAsia="Wingdings" w:cs="Wingdings"/>
      </w:rPr>
    </w:lvl>
  </w:abstractNum>
  <w:num w:numId="1">
    <w:abstractNumId w:val="9"/>
  </w:num>
  <w:num w:numId="2">
    <w:abstractNumId w:val="4"/>
  </w:num>
  <w:num w:numId="3">
    <w:abstractNumId w:val="6"/>
  </w:num>
  <w:num w:numId="4">
    <w:abstractNumId w:val="7"/>
  </w:num>
  <w:num w:numId="5">
    <w:abstractNumId w:val="2"/>
  </w:num>
  <w:num w:numId="6">
    <w:abstractNumId w:val="1"/>
  </w:num>
  <w:num w:numId="7">
    <w:abstractNumId w:val="8"/>
  </w:num>
  <w:num w:numId="8">
    <w:abstractNumId w:val="5"/>
  </w:num>
  <w:num w:numId="9">
    <w:abstractNumId w:val="10"/>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5"/>
    <w:next w:val="965"/>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5"/>
    <w:next w:val="965"/>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5"/>
    <w:next w:val="965"/>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65"/>
    <w:next w:val="965"/>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65"/>
    <w:next w:val="965"/>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65"/>
    <w:next w:val="965"/>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65"/>
    <w:next w:val="965"/>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65"/>
    <w:next w:val="965"/>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65"/>
    <w:next w:val="965"/>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List Paragraph"/>
    <w:basedOn w:val="965"/>
    <w:uiPriority w:val="34"/>
    <w:qFormat/>
    <w:pPr>
      <w:contextualSpacing/>
      <w:ind w:left="720"/>
    </w:pPr>
  </w:style>
  <w:style w:type="paragraph" w:styleId="806">
    <w:name w:val="No Spacing"/>
    <w:uiPriority w:val="1"/>
    <w:qFormat/>
    <w:pPr>
      <w:spacing w:before="0" w:after="0" w:line="240" w:lineRule="auto"/>
    </w:pPr>
  </w:style>
  <w:style w:type="paragraph" w:styleId="807">
    <w:name w:val="Title"/>
    <w:basedOn w:val="965"/>
    <w:next w:val="965"/>
    <w:link w:val="808"/>
    <w:uiPriority w:val="10"/>
    <w:qFormat/>
    <w:pPr>
      <w:contextualSpacing/>
      <w:spacing w:before="300" w:after="200"/>
    </w:pPr>
    <w:rPr>
      <w:sz w:val="48"/>
      <w:szCs w:val="48"/>
    </w:rPr>
  </w:style>
  <w:style w:type="character" w:styleId="808">
    <w:name w:val="Title Char"/>
    <w:link w:val="807"/>
    <w:uiPriority w:val="10"/>
    <w:rPr>
      <w:sz w:val="48"/>
      <w:szCs w:val="48"/>
    </w:rPr>
  </w:style>
  <w:style w:type="paragraph" w:styleId="809">
    <w:name w:val="Subtitle"/>
    <w:basedOn w:val="965"/>
    <w:next w:val="965"/>
    <w:link w:val="810"/>
    <w:uiPriority w:val="11"/>
    <w:qFormat/>
    <w:pPr>
      <w:spacing w:before="200" w:after="200"/>
    </w:pPr>
    <w:rPr>
      <w:sz w:val="24"/>
      <w:szCs w:val="24"/>
    </w:rPr>
  </w:style>
  <w:style w:type="character" w:styleId="810">
    <w:name w:val="Subtitle Char"/>
    <w:link w:val="809"/>
    <w:uiPriority w:val="11"/>
    <w:rPr>
      <w:sz w:val="24"/>
      <w:szCs w:val="24"/>
    </w:rPr>
  </w:style>
  <w:style w:type="paragraph" w:styleId="811">
    <w:name w:val="Quote"/>
    <w:basedOn w:val="965"/>
    <w:next w:val="965"/>
    <w:link w:val="812"/>
    <w:uiPriority w:val="29"/>
    <w:qFormat/>
    <w:pPr>
      <w:ind w:left="720" w:right="720"/>
    </w:pPr>
    <w:rPr>
      <w:i/>
    </w:rPr>
  </w:style>
  <w:style w:type="character" w:styleId="812">
    <w:name w:val="Quote Char"/>
    <w:link w:val="811"/>
    <w:uiPriority w:val="29"/>
    <w:rPr>
      <w:i/>
    </w:rPr>
  </w:style>
  <w:style w:type="paragraph" w:styleId="813">
    <w:name w:val="Intense Quote"/>
    <w:basedOn w:val="965"/>
    <w:next w:val="965"/>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paragraph" w:styleId="815">
    <w:name w:val="Header"/>
    <w:basedOn w:val="965"/>
    <w:link w:val="816"/>
    <w:uiPriority w:val="99"/>
    <w:unhideWhenUsed/>
    <w:pPr>
      <w:spacing w:after="0" w:line="240" w:lineRule="auto"/>
      <w:tabs>
        <w:tab w:val="center" w:pos="7143" w:leader="none"/>
        <w:tab w:val="right" w:pos="14287" w:leader="none"/>
      </w:tabs>
    </w:pPr>
  </w:style>
  <w:style w:type="character" w:styleId="816">
    <w:name w:val="Header Char"/>
    <w:link w:val="815"/>
    <w:uiPriority w:val="99"/>
  </w:style>
  <w:style w:type="paragraph" w:styleId="817">
    <w:name w:val="Footer"/>
    <w:basedOn w:val="965"/>
    <w:link w:val="820"/>
    <w:uiPriority w:val="99"/>
    <w:unhideWhenUsed/>
    <w:pPr>
      <w:spacing w:after="0" w:line="240" w:lineRule="auto"/>
      <w:tabs>
        <w:tab w:val="center" w:pos="7143" w:leader="none"/>
        <w:tab w:val="right" w:pos="14287" w:leader="none"/>
      </w:tabs>
    </w:pPr>
  </w:style>
  <w:style w:type="character" w:styleId="818">
    <w:name w:val="Footer Char"/>
    <w:link w:val="817"/>
    <w:uiPriority w:val="99"/>
  </w:style>
  <w:style w:type="paragraph" w:styleId="819">
    <w:name w:val="Caption"/>
    <w:basedOn w:val="965"/>
    <w:next w:val="965"/>
    <w:uiPriority w:val="35"/>
    <w:semiHidden/>
    <w:unhideWhenUsed/>
    <w:qFormat/>
    <w:pPr>
      <w:spacing w:line="276" w:lineRule="auto"/>
    </w:pPr>
    <w:rPr>
      <w:b/>
      <w:bCs/>
      <w:color w:val="4f81bd" w:themeColor="accent1"/>
      <w:sz w:val="18"/>
      <w:szCs w:val="18"/>
    </w:rPr>
  </w:style>
  <w:style w:type="character" w:styleId="820">
    <w:name w:val="Caption Char"/>
    <w:basedOn w:val="819"/>
    <w:link w:val="817"/>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jc w:val="both"/>
      <w:widowControl w:val="off"/>
    </w:pPr>
    <w:rPr>
      <w:sz w:val="21"/>
      <w:szCs w:val="21"/>
      <w:lang w:val="en-US" w:eastAsia="zh-CN" w:bidi="ar-SA"/>
    </w:rPr>
  </w:style>
  <w:style w:type="paragraph" w:styleId="966">
    <w:name w:val="标题 1"/>
    <w:basedOn w:val="965"/>
    <w:next w:val="965"/>
    <w:link w:val="977"/>
    <w:qFormat/>
    <w:pPr>
      <w:jc w:val="center"/>
      <w:keepNext/>
      <w:outlineLvl w:val="0"/>
    </w:pPr>
    <w:rPr>
      <w:rFonts w:ascii="楷体_GB2312" w:eastAsia="楷体_GB2312"/>
      <w:sz w:val="28"/>
      <w:szCs w:val="28"/>
    </w:rPr>
  </w:style>
  <w:style w:type="paragraph" w:styleId="967">
    <w:name w:val="标题 2"/>
    <w:basedOn w:val="965"/>
    <w:next w:val="965"/>
    <w:link w:val="978"/>
    <w:qFormat/>
    <w:pPr>
      <w:jc w:val="center"/>
      <w:keepLines/>
      <w:keepNext/>
      <w:spacing w:before="260" w:after="260" w:line="416" w:lineRule="auto"/>
      <w:outlineLvl w:val="1"/>
    </w:pPr>
    <w:rPr>
      <w:rFonts w:ascii="Arial" w:hAnsi="Arial" w:eastAsia="幼圆" w:cs="Arial"/>
      <w:b/>
      <w:bCs/>
      <w:sz w:val="44"/>
      <w:szCs w:val="44"/>
    </w:rPr>
  </w:style>
  <w:style w:type="paragraph" w:styleId="968">
    <w:name w:val="标题 3"/>
    <w:basedOn w:val="965"/>
    <w:next w:val="965"/>
    <w:link w:val="979"/>
    <w:qFormat/>
    <w:pPr>
      <w:keepLines/>
      <w:keepNext/>
      <w:spacing w:before="260" w:after="260" w:line="416" w:lineRule="auto"/>
      <w:outlineLvl w:val="2"/>
    </w:pPr>
    <w:rPr>
      <w:b/>
      <w:bCs/>
      <w:sz w:val="32"/>
      <w:szCs w:val="32"/>
    </w:rPr>
  </w:style>
  <w:style w:type="paragraph" w:styleId="969">
    <w:name w:val="标题 4"/>
    <w:basedOn w:val="965"/>
    <w:next w:val="981"/>
    <w:link w:val="980"/>
    <w:qFormat/>
    <w:pPr>
      <w:keepLines/>
      <w:keepNext/>
      <w:spacing w:before="280" w:after="290" w:line="376" w:lineRule="auto"/>
      <w:outlineLvl w:val="3"/>
    </w:pPr>
    <w:rPr>
      <w:rFonts w:ascii="Arial" w:hAnsi="Arial" w:eastAsia="黑体" w:cs="Arial"/>
      <w:b/>
      <w:bCs/>
      <w:sz w:val="28"/>
      <w:szCs w:val="28"/>
    </w:rPr>
  </w:style>
  <w:style w:type="paragraph" w:styleId="970">
    <w:name w:val="标题 5"/>
    <w:basedOn w:val="965"/>
    <w:next w:val="981"/>
    <w:link w:val="983"/>
    <w:qFormat/>
    <w:pPr>
      <w:keepNext/>
      <w:outlineLvl w:val="4"/>
    </w:pPr>
    <w:rPr>
      <w:rFonts w:ascii="宋体"/>
      <w:color w:val="000000"/>
      <w:sz w:val="28"/>
      <w:szCs w:val="28"/>
    </w:rPr>
  </w:style>
  <w:style w:type="paragraph" w:styleId="971">
    <w:name w:val="标题 6"/>
    <w:basedOn w:val="965"/>
    <w:next w:val="965"/>
    <w:link w:val="984"/>
    <w:qFormat/>
    <w:pPr>
      <w:numPr>
        <w:ilvl w:val="5"/>
        <w:numId w:val="1"/>
      </w:numPr>
      <w:keepLines/>
      <w:keepNext/>
      <w:spacing w:before="240" w:after="64" w:line="320" w:lineRule="auto"/>
      <w:outlineLvl w:val="5"/>
    </w:pPr>
    <w:rPr>
      <w:rFonts w:ascii="Arial" w:hAnsi="Arial" w:eastAsia="黑体"/>
      <w:b/>
      <w:bCs/>
      <w:sz w:val="24"/>
      <w:szCs w:val="24"/>
    </w:rPr>
  </w:style>
  <w:style w:type="paragraph" w:styleId="972">
    <w:name w:val="标题 7"/>
    <w:basedOn w:val="965"/>
    <w:next w:val="965"/>
    <w:link w:val="985"/>
    <w:qFormat/>
    <w:pPr>
      <w:numPr>
        <w:ilvl w:val="6"/>
        <w:numId w:val="1"/>
      </w:numPr>
      <w:keepLines/>
      <w:keepNext/>
      <w:spacing w:before="240" w:after="64" w:line="320" w:lineRule="auto"/>
      <w:outlineLvl w:val="6"/>
    </w:pPr>
    <w:rPr>
      <w:b/>
      <w:bCs/>
      <w:sz w:val="24"/>
      <w:szCs w:val="24"/>
    </w:rPr>
  </w:style>
  <w:style w:type="paragraph" w:styleId="973">
    <w:name w:val="标题 8"/>
    <w:basedOn w:val="965"/>
    <w:next w:val="965"/>
    <w:link w:val="986"/>
    <w:qFormat/>
    <w:pPr>
      <w:numPr>
        <w:ilvl w:val="7"/>
        <w:numId w:val="1"/>
      </w:numPr>
      <w:keepLines/>
      <w:keepNext/>
      <w:spacing w:before="240" w:after="64" w:line="320" w:lineRule="auto"/>
      <w:outlineLvl w:val="7"/>
    </w:pPr>
    <w:rPr>
      <w:rFonts w:ascii="Arial" w:hAnsi="Arial" w:eastAsia="黑体"/>
      <w:sz w:val="24"/>
      <w:szCs w:val="24"/>
    </w:rPr>
  </w:style>
  <w:style w:type="paragraph" w:styleId="974">
    <w:name w:val="标题 9"/>
    <w:basedOn w:val="965"/>
    <w:next w:val="965"/>
    <w:link w:val="987"/>
    <w:qFormat/>
    <w:pPr>
      <w:numPr>
        <w:ilvl w:val="8"/>
        <w:numId w:val="1"/>
      </w:numPr>
      <w:keepLines/>
      <w:keepNext/>
      <w:spacing w:before="240" w:after="64" w:line="320" w:lineRule="auto"/>
      <w:outlineLvl w:val="8"/>
    </w:pPr>
    <w:rPr>
      <w:rFonts w:ascii="Arial" w:hAnsi="Arial" w:eastAsia="黑体"/>
    </w:rPr>
  </w:style>
  <w:style w:type="character" w:styleId="975">
    <w:name w:val="默认段落字体"/>
    <w:next w:val="975"/>
    <w:link w:val="965"/>
    <w:uiPriority w:val="1"/>
    <w:unhideWhenUsed/>
  </w:style>
  <w:style w:type="table" w:styleId="976">
    <w:name w:val="普通表格"/>
    <w:next w:val="976"/>
    <w:link w:val="965"/>
    <w:uiPriority w:val="99"/>
    <w:unhideWhenUsed/>
    <w:tblPr/>
  </w:style>
  <w:style w:type="character" w:styleId="977">
    <w:name w:val="标题 1 字符"/>
    <w:next w:val="977"/>
    <w:link w:val="966"/>
    <w:rPr>
      <w:rFonts w:ascii="楷体_GB2312" w:hAnsi="Times New Roman" w:eastAsia="楷体_GB2312" w:cs="Times New Roman"/>
      <w:sz w:val="28"/>
      <w:szCs w:val="28"/>
    </w:rPr>
  </w:style>
  <w:style w:type="character" w:styleId="978">
    <w:name w:val="标题 2 字符"/>
    <w:next w:val="978"/>
    <w:link w:val="967"/>
    <w:rPr>
      <w:rFonts w:ascii="Arial" w:hAnsi="Arial" w:eastAsia="幼圆" w:cs="Arial"/>
      <w:b/>
      <w:bCs/>
      <w:sz w:val="44"/>
      <w:szCs w:val="44"/>
    </w:rPr>
  </w:style>
  <w:style w:type="character" w:styleId="979">
    <w:name w:val="标题 3 字符"/>
    <w:next w:val="979"/>
    <w:link w:val="968"/>
    <w:rPr>
      <w:rFonts w:ascii="Times New Roman" w:hAnsi="Times New Roman" w:eastAsia="宋体" w:cs="Times New Roman"/>
      <w:b/>
      <w:bCs/>
      <w:sz w:val="32"/>
      <w:szCs w:val="32"/>
    </w:rPr>
  </w:style>
  <w:style w:type="character" w:styleId="980">
    <w:name w:val="标题 4 字符"/>
    <w:next w:val="980"/>
    <w:link w:val="969"/>
    <w:rPr>
      <w:rFonts w:ascii="Arial" w:hAnsi="Arial" w:eastAsia="黑体" w:cs="Arial"/>
      <w:b/>
      <w:bCs/>
      <w:sz w:val="28"/>
      <w:szCs w:val="28"/>
    </w:rPr>
  </w:style>
  <w:style w:type="paragraph" w:styleId="981">
    <w:name w:val="正文缩进"/>
    <w:basedOn w:val="965"/>
    <w:next w:val="981"/>
    <w:link w:val="982"/>
    <w:pPr>
      <w:ind w:firstLine="420"/>
    </w:pPr>
  </w:style>
  <w:style w:type="character" w:styleId="982">
    <w:name w:val="正文缩进 字符"/>
    <w:next w:val="982"/>
    <w:link w:val="981"/>
    <w:rPr>
      <w:rFonts w:ascii="Times New Roman" w:hAnsi="Times New Roman" w:eastAsia="宋体" w:cs="Times New Roman"/>
      <w:szCs w:val="21"/>
    </w:rPr>
  </w:style>
  <w:style w:type="character" w:styleId="983">
    <w:name w:val="标题 5 字符"/>
    <w:next w:val="983"/>
    <w:link w:val="970"/>
    <w:rPr>
      <w:rFonts w:ascii="宋体" w:hAnsi="Times New Roman" w:eastAsia="宋体" w:cs="Times New Roman"/>
      <w:color w:val="000000"/>
      <w:sz w:val="28"/>
      <w:szCs w:val="28"/>
    </w:rPr>
  </w:style>
  <w:style w:type="character" w:styleId="984">
    <w:name w:val="标题 6 字符"/>
    <w:next w:val="984"/>
    <w:link w:val="971"/>
    <w:rPr>
      <w:rFonts w:ascii="Arial" w:hAnsi="Arial" w:eastAsia="黑体" w:cs="Times New Roman"/>
      <w:b/>
      <w:bCs/>
      <w:sz w:val="24"/>
      <w:szCs w:val="24"/>
    </w:rPr>
  </w:style>
  <w:style w:type="character" w:styleId="985">
    <w:name w:val="标题 7 字符"/>
    <w:next w:val="985"/>
    <w:link w:val="972"/>
    <w:rPr>
      <w:rFonts w:ascii="Times New Roman" w:hAnsi="Times New Roman" w:eastAsia="宋体" w:cs="Times New Roman"/>
      <w:b/>
      <w:bCs/>
      <w:sz w:val="24"/>
      <w:szCs w:val="24"/>
    </w:rPr>
  </w:style>
  <w:style w:type="character" w:styleId="986">
    <w:name w:val="标题 8 字符"/>
    <w:next w:val="986"/>
    <w:link w:val="973"/>
    <w:rPr>
      <w:rFonts w:ascii="Arial" w:hAnsi="Arial" w:eastAsia="黑体" w:cs="Times New Roman"/>
      <w:sz w:val="24"/>
      <w:szCs w:val="24"/>
    </w:rPr>
  </w:style>
  <w:style w:type="character" w:styleId="987">
    <w:name w:val="标题 9 字符"/>
    <w:next w:val="987"/>
    <w:link w:val="974"/>
    <w:rPr>
      <w:rFonts w:ascii="Arial" w:hAnsi="Arial" w:eastAsia="黑体" w:cs="Times New Roman"/>
      <w:szCs w:val="21"/>
    </w:rPr>
  </w:style>
  <w:style w:type="paragraph" w:styleId="988">
    <w:name w:val="列表 3"/>
    <w:basedOn w:val="965"/>
    <w:next w:val="988"/>
    <w:link w:val="965"/>
    <w:pPr>
      <w:ind w:left="100" w:hanging="200"/>
    </w:pPr>
  </w:style>
  <w:style w:type="paragraph" w:styleId="989">
    <w:name w:val="目录 7"/>
    <w:basedOn w:val="965"/>
    <w:next w:val="965"/>
    <w:link w:val="965"/>
    <w:semiHidden/>
    <w:pPr>
      <w:ind w:left="1260"/>
      <w:jc w:val="left"/>
    </w:pPr>
  </w:style>
  <w:style w:type="paragraph" w:styleId="990">
    <w:name w:val="文档结构图"/>
    <w:basedOn w:val="965"/>
    <w:next w:val="990"/>
    <w:link w:val="991"/>
    <w:semiHidden/>
    <w:pPr>
      <w:shd w:val="clear" w:color="auto" w:fill="000080"/>
    </w:pPr>
  </w:style>
  <w:style w:type="character" w:styleId="991">
    <w:name w:val="文档结构图 字符"/>
    <w:next w:val="991"/>
    <w:link w:val="990"/>
    <w:semiHidden/>
    <w:rPr>
      <w:rFonts w:ascii="Times New Roman" w:hAnsi="Times New Roman" w:eastAsia="宋体" w:cs="Times New Roman"/>
      <w:szCs w:val="21"/>
      <w:shd w:val="clear" w:color="auto" w:fill="000080"/>
    </w:rPr>
  </w:style>
  <w:style w:type="paragraph" w:styleId="992">
    <w:name w:val="批注文字"/>
    <w:basedOn w:val="965"/>
    <w:next w:val="992"/>
    <w:link w:val="993"/>
    <w:semiHidden/>
    <w:pPr>
      <w:jc w:val="left"/>
    </w:pPr>
  </w:style>
  <w:style w:type="character" w:styleId="993">
    <w:name w:val="批注文字 字符"/>
    <w:next w:val="993"/>
    <w:link w:val="992"/>
    <w:semiHidden/>
    <w:rPr>
      <w:rFonts w:ascii="Times New Roman" w:hAnsi="Times New Roman" w:eastAsia="宋体" w:cs="Times New Roman"/>
      <w:szCs w:val="21"/>
    </w:rPr>
  </w:style>
  <w:style w:type="paragraph" w:styleId="994">
    <w:name w:val="正文文本 3"/>
    <w:basedOn w:val="965"/>
    <w:next w:val="994"/>
    <w:link w:val="995"/>
    <w:rPr>
      <w:rFonts w:ascii="仿宋_GB2312" w:hAnsi="Arial" w:eastAsia="仿宋_GB2312"/>
      <w:sz w:val="32"/>
      <w:szCs w:val="32"/>
    </w:rPr>
  </w:style>
  <w:style w:type="character" w:styleId="995">
    <w:name w:val="正文文本 3 字符"/>
    <w:next w:val="995"/>
    <w:link w:val="994"/>
    <w:rPr>
      <w:rFonts w:ascii="仿宋_GB2312" w:hAnsi="Arial" w:eastAsia="仿宋_GB2312" w:cs="Times New Roman"/>
      <w:sz w:val="32"/>
      <w:szCs w:val="32"/>
    </w:rPr>
  </w:style>
  <w:style w:type="paragraph" w:styleId="996">
    <w:name w:val="正文文本"/>
    <w:basedOn w:val="965"/>
    <w:next w:val="996"/>
    <w:link w:val="997"/>
    <w:rPr>
      <w:rFonts w:ascii="楷体_GB2312" w:hAnsi="Arial" w:eastAsia="楷体_GB2312"/>
      <w:sz w:val="28"/>
      <w:szCs w:val="28"/>
    </w:rPr>
  </w:style>
  <w:style w:type="character" w:styleId="997">
    <w:name w:val="正文文本 字符"/>
    <w:next w:val="997"/>
    <w:link w:val="996"/>
    <w:rPr>
      <w:rFonts w:ascii="楷体_GB2312" w:hAnsi="Arial" w:eastAsia="楷体_GB2312" w:cs="Times New Roman"/>
      <w:sz w:val="28"/>
      <w:szCs w:val="28"/>
    </w:rPr>
  </w:style>
  <w:style w:type="paragraph" w:styleId="998">
    <w:name w:val="正文文本缩进"/>
    <w:basedOn w:val="965"/>
    <w:next w:val="998"/>
    <w:link w:val="999"/>
    <w:pPr>
      <w:ind w:firstLine="645"/>
    </w:pPr>
    <w:rPr>
      <w:rFonts w:ascii="楷体_GB2312" w:eastAsia="楷体_GB2312"/>
      <w:sz w:val="32"/>
      <w:szCs w:val="32"/>
    </w:rPr>
  </w:style>
  <w:style w:type="character" w:styleId="999">
    <w:name w:val="正文文本缩进 字符"/>
    <w:next w:val="999"/>
    <w:link w:val="998"/>
    <w:rPr>
      <w:rFonts w:ascii="楷体_GB2312" w:hAnsi="Times New Roman" w:eastAsia="楷体_GB2312" w:cs="Times New Roman"/>
      <w:sz w:val="32"/>
      <w:szCs w:val="32"/>
    </w:rPr>
  </w:style>
  <w:style w:type="paragraph" w:styleId="1000">
    <w:name w:val="列表 2"/>
    <w:basedOn w:val="965"/>
    <w:next w:val="1000"/>
    <w:link w:val="965"/>
    <w:pPr>
      <w:ind w:left="100" w:hanging="200"/>
    </w:pPr>
  </w:style>
  <w:style w:type="paragraph" w:styleId="1001">
    <w:name w:val="目录 5"/>
    <w:basedOn w:val="965"/>
    <w:next w:val="965"/>
    <w:link w:val="965"/>
    <w:semiHidden/>
    <w:pPr>
      <w:ind w:left="840"/>
      <w:jc w:val="left"/>
    </w:pPr>
  </w:style>
  <w:style w:type="paragraph" w:styleId="1002">
    <w:name w:val="目录 3"/>
    <w:basedOn w:val="965"/>
    <w:next w:val="965"/>
    <w:link w:val="965"/>
    <w:semiHidden/>
    <w:pPr>
      <w:ind w:left="420"/>
      <w:jc w:val="left"/>
    </w:pPr>
    <w:rPr>
      <w:i/>
      <w:iCs/>
      <w:szCs w:val="24"/>
    </w:rPr>
  </w:style>
  <w:style w:type="paragraph" w:styleId="1003">
    <w:name w:val="纯文本"/>
    <w:basedOn w:val="965"/>
    <w:next w:val="1003"/>
    <w:link w:val="1004"/>
    <w:rPr>
      <w:rFonts w:ascii="宋体" w:hAnsi="Courier New" w:cs="Courier New"/>
    </w:rPr>
  </w:style>
  <w:style w:type="character" w:styleId="1004">
    <w:name w:val="纯文本 字符"/>
    <w:next w:val="1004"/>
    <w:link w:val="1003"/>
    <w:rPr>
      <w:rFonts w:ascii="宋体" w:hAnsi="Courier New" w:eastAsia="宋体" w:cs="Courier New"/>
      <w:szCs w:val="21"/>
    </w:rPr>
  </w:style>
  <w:style w:type="paragraph" w:styleId="1005">
    <w:name w:val="目录 8"/>
    <w:basedOn w:val="965"/>
    <w:next w:val="965"/>
    <w:link w:val="965"/>
    <w:semiHidden/>
    <w:pPr>
      <w:ind w:left="1470"/>
      <w:jc w:val="left"/>
    </w:pPr>
  </w:style>
  <w:style w:type="paragraph" w:styleId="1006">
    <w:name w:val="日期"/>
    <w:basedOn w:val="965"/>
    <w:next w:val="965"/>
    <w:link w:val="1007"/>
    <w:rPr>
      <w:sz w:val="24"/>
      <w:szCs w:val="24"/>
    </w:rPr>
  </w:style>
  <w:style w:type="character" w:styleId="1007">
    <w:name w:val="日期 字符"/>
    <w:next w:val="1007"/>
    <w:link w:val="1006"/>
    <w:rPr>
      <w:rFonts w:ascii="Times New Roman" w:hAnsi="Times New Roman" w:eastAsia="宋体" w:cs="Times New Roman"/>
      <w:sz w:val="24"/>
      <w:szCs w:val="24"/>
    </w:rPr>
  </w:style>
  <w:style w:type="paragraph" w:styleId="1008">
    <w:name w:val="正文文本缩进 2"/>
    <w:basedOn w:val="965"/>
    <w:next w:val="1008"/>
    <w:link w:val="1009"/>
    <w:pPr>
      <w:ind w:left="630" w:firstLine="645"/>
    </w:pPr>
    <w:rPr>
      <w:rFonts w:ascii="Arial" w:hAnsi="Arial" w:eastAsia="仿宋_GB2312" w:cs="Arial"/>
      <w:sz w:val="32"/>
      <w:szCs w:val="32"/>
    </w:rPr>
  </w:style>
  <w:style w:type="character" w:styleId="1009">
    <w:name w:val="正文文本缩进 2 字符"/>
    <w:next w:val="1009"/>
    <w:link w:val="1008"/>
    <w:rPr>
      <w:rFonts w:ascii="Arial" w:hAnsi="Arial" w:eastAsia="仿宋_GB2312" w:cs="Arial"/>
      <w:sz w:val="32"/>
      <w:szCs w:val="32"/>
    </w:rPr>
  </w:style>
  <w:style w:type="paragraph" w:styleId="1010">
    <w:name w:val="批注框文本"/>
    <w:basedOn w:val="965"/>
    <w:next w:val="1010"/>
    <w:link w:val="1011"/>
    <w:semiHidden/>
    <w:rPr>
      <w:sz w:val="18"/>
      <w:szCs w:val="18"/>
    </w:rPr>
  </w:style>
  <w:style w:type="character" w:styleId="1011">
    <w:name w:val="批注框文本 字符"/>
    <w:next w:val="1011"/>
    <w:link w:val="1010"/>
    <w:semiHidden/>
    <w:rPr>
      <w:rFonts w:ascii="Times New Roman" w:hAnsi="Times New Roman" w:eastAsia="宋体" w:cs="Times New Roman"/>
      <w:sz w:val="18"/>
      <w:szCs w:val="18"/>
    </w:rPr>
  </w:style>
  <w:style w:type="paragraph" w:styleId="1012">
    <w:name w:val="页脚"/>
    <w:basedOn w:val="965"/>
    <w:next w:val="1012"/>
    <w:link w:val="1013"/>
    <w:uiPriority w:val="99"/>
    <w:pPr>
      <w:jc w:val="left"/>
      <w:tabs>
        <w:tab w:val="center" w:pos="4153" w:leader="none"/>
        <w:tab w:val="right" w:pos="8306" w:leader="none"/>
      </w:tabs>
    </w:pPr>
    <w:rPr>
      <w:sz w:val="18"/>
      <w:szCs w:val="18"/>
    </w:rPr>
  </w:style>
  <w:style w:type="character" w:styleId="1013">
    <w:name w:val="页脚 字符"/>
    <w:next w:val="1013"/>
    <w:link w:val="1012"/>
    <w:uiPriority w:val="99"/>
    <w:rPr>
      <w:rFonts w:ascii="Times New Roman" w:hAnsi="Times New Roman" w:eastAsia="宋体" w:cs="Times New Roman"/>
      <w:sz w:val="18"/>
      <w:szCs w:val="18"/>
    </w:rPr>
  </w:style>
  <w:style w:type="paragraph" w:styleId="1014">
    <w:name w:val="页眉"/>
    <w:basedOn w:val="965"/>
    <w:next w:val="1014"/>
    <w:link w:val="1015"/>
    <w:pPr>
      <w:jc w:val="center"/>
      <w:tabs>
        <w:tab w:val="center" w:pos="4153" w:leader="none"/>
        <w:tab w:val="right" w:pos="8306" w:leader="none"/>
      </w:tabs>
      <w:pBdr>
        <w:bottom w:val="single" w:color="000000" w:sz="6" w:space="1"/>
      </w:pBdr>
    </w:pPr>
    <w:rPr>
      <w:sz w:val="18"/>
      <w:szCs w:val="18"/>
    </w:rPr>
  </w:style>
  <w:style w:type="character" w:styleId="1015">
    <w:name w:val="页眉 字符"/>
    <w:next w:val="1015"/>
    <w:link w:val="1014"/>
    <w:rPr>
      <w:rFonts w:ascii="Times New Roman" w:hAnsi="Times New Roman" w:eastAsia="宋体" w:cs="Times New Roman"/>
      <w:sz w:val="18"/>
      <w:szCs w:val="18"/>
    </w:rPr>
  </w:style>
  <w:style w:type="paragraph" w:styleId="1016">
    <w:name w:val="目录 1"/>
    <w:basedOn w:val="965"/>
    <w:next w:val="965"/>
    <w:link w:val="965"/>
    <w:semiHidden/>
    <w:pPr>
      <w:jc w:val="left"/>
      <w:spacing w:before="120" w:after="120" w:line="400" w:lineRule="exact"/>
      <w:tabs>
        <w:tab w:val="right" w:pos="8720" w:leader="dot"/>
      </w:tabs>
    </w:pPr>
    <w:rPr>
      <w:rFonts w:ascii="宋体" w:hAnsi="宋体"/>
      <w:caps/>
      <w:sz w:val="24"/>
      <w:szCs w:val="24"/>
    </w:rPr>
  </w:style>
  <w:style w:type="paragraph" w:styleId="1017">
    <w:name w:val="目录 4"/>
    <w:basedOn w:val="965"/>
    <w:next w:val="965"/>
    <w:link w:val="965"/>
    <w:semiHidden/>
    <w:pPr>
      <w:ind w:left="630"/>
      <w:jc w:val="left"/>
    </w:pPr>
  </w:style>
  <w:style w:type="paragraph" w:styleId="1018">
    <w:name w:val="列表"/>
    <w:basedOn w:val="965"/>
    <w:next w:val="1018"/>
    <w:link w:val="965"/>
    <w:pPr>
      <w:ind w:left="200" w:hanging="200"/>
    </w:pPr>
  </w:style>
  <w:style w:type="paragraph" w:styleId="1019">
    <w:name w:val="目录 6"/>
    <w:basedOn w:val="965"/>
    <w:next w:val="965"/>
    <w:link w:val="965"/>
    <w:semiHidden/>
    <w:pPr>
      <w:ind w:left="1050"/>
      <w:jc w:val="left"/>
    </w:pPr>
  </w:style>
  <w:style w:type="paragraph" w:styleId="1020">
    <w:name w:val="正文文本缩进 3"/>
    <w:basedOn w:val="965"/>
    <w:next w:val="1020"/>
    <w:link w:val="1021"/>
    <w:pPr>
      <w:ind w:left="645" w:firstLine="645"/>
    </w:pPr>
    <w:rPr>
      <w:rFonts w:ascii="Arial" w:hAnsi="Arial" w:eastAsia="仿宋_GB2312" w:cs="Arial"/>
      <w:color w:val="ffff00"/>
      <w:sz w:val="32"/>
      <w:szCs w:val="32"/>
    </w:rPr>
  </w:style>
  <w:style w:type="character" w:styleId="1021">
    <w:name w:val="正文文本缩进 3 字符"/>
    <w:next w:val="1021"/>
    <w:link w:val="1020"/>
    <w:rPr>
      <w:rFonts w:ascii="Arial" w:hAnsi="Arial" w:eastAsia="仿宋_GB2312" w:cs="Arial"/>
      <w:color w:val="ffff00"/>
      <w:sz w:val="32"/>
      <w:szCs w:val="32"/>
    </w:rPr>
  </w:style>
  <w:style w:type="paragraph" w:styleId="1022">
    <w:name w:val="图表目录"/>
    <w:basedOn w:val="965"/>
    <w:next w:val="965"/>
    <w:link w:val="965"/>
    <w:semiHidden/>
    <w:pPr>
      <w:ind w:left="840" w:hanging="420"/>
    </w:pPr>
  </w:style>
  <w:style w:type="paragraph" w:styleId="1023">
    <w:name w:val="目录 2"/>
    <w:basedOn w:val="965"/>
    <w:next w:val="965"/>
    <w:link w:val="965"/>
    <w:semiHidden/>
    <w:pPr>
      <w:ind w:left="210"/>
      <w:jc w:val="left"/>
    </w:pPr>
    <w:rPr>
      <w:smallCaps/>
      <w:szCs w:val="24"/>
    </w:rPr>
  </w:style>
  <w:style w:type="paragraph" w:styleId="1024">
    <w:name w:val="目录 9"/>
    <w:basedOn w:val="965"/>
    <w:next w:val="965"/>
    <w:link w:val="965"/>
    <w:semiHidden/>
    <w:pPr>
      <w:ind w:left="1680"/>
      <w:jc w:val="left"/>
    </w:pPr>
  </w:style>
  <w:style w:type="paragraph" w:styleId="1025">
    <w:name w:val="正文文本 2"/>
    <w:basedOn w:val="965"/>
    <w:next w:val="1025"/>
    <w:link w:val="1026"/>
    <w:pPr>
      <w:jc w:val="center"/>
      <w:widowControl/>
    </w:pPr>
    <w:rPr>
      <w:rFonts w:ascii="楷体_GB2312" w:eastAsia="楷体_GB2312"/>
      <w:sz w:val="28"/>
      <w:szCs w:val="28"/>
    </w:rPr>
  </w:style>
  <w:style w:type="character" w:styleId="1026">
    <w:name w:val="正文文本 2 字符"/>
    <w:next w:val="1026"/>
    <w:link w:val="1025"/>
    <w:rPr>
      <w:rFonts w:ascii="楷体_GB2312" w:hAnsi="Times New Roman" w:eastAsia="楷体_GB2312" w:cs="Times New Roman"/>
      <w:sz w:val="28"/>
      <w:szCs w:val="28"/>
    </w:rPr>
  </w:style>
  <w:style w:type="paragraph" w:styleId="1027">
    <w:name w:val="普通(网站)"/>
    <w:basedOn w:val="965"/>
    <w:next w:val="1027"/>
    <w:link w:val="965"/>
    <w:uiPriority w:val="99"/>
    <w:pPr>
      <w:jc w:val="left"/>
      <w:spacing w:before="100" w:beforeAutospacing="1" w:after="100" w:afterAutospacing="1"/>
      <w:widowControl/>
    </w:pPr>
    <w:rPr>
      <w:rFonts w:ascii="宋体" w:hAnsi="宋体" w:cs="宋体"/>
      <w:sz w:val="24"/>
      <w:szCs w:val="24"/>
    </w:rPr>
  </w:style>
  <w:style w:type="paragraph" w:styleId="1028">
    <w:name w:val="索引 1"/>
    <w:basedOn w:val="965"/>
    <w:next w:val="965"/>
    <w:link w:val="965"/>
    <w:semiHidden/>
    <w:pPr>
      <w:spacing w:line="240" w:lineRule="atLeast"/>
    </w:pPr>
    <w:rPr>
      <w:b/>
      <w:bCs/>
    </w:rPr>
  </w:style>
  <w:style w:type="paragraph" w:styleId="1029">
    <w:name w:val="批注主题"/>
    <w:basedOn w:val="992"/>
    <w:next w:val="992"/>
    <w:link w:val="1030"/>
    <w:semiHidden/>
    <w:rPr>
      <w:b/>
      <w:bCs/>
    </w:rPr>
  </w:style>
  <w:style w:type="character" w:styleId="1030">
    <w:name w:val="批注主题 字符"/>
    <w:next w:val="1030"/>
    <w:link w:val="1029"/>
    <w:semiHidden/>
    <w:rPr>
      <w:rFonts w:ascii="Times New Roman" w:hAnsi="Times New Roman" w:eastAsia="宋体" w:cs="Times New Roman"/>
      <w:b/>
      <w:bCs/>
      <w:szCs w:val="21"/>
    </w:rPr>
  </w:style>
  <w:style w:type="paragraph" w:styleId="1031">
    <w:name w:val="正文首行缩进"/>
    <w:basedOn w:val="965"/>
    <w:next w:val="1031"/>
    <w:link w:val="1032"/>
    <w:pPr>
      <w:ind w:firstLine="200"/>
      <w:spacing w:line="360" w:lineRule="auto"/>
    </w:pPr>
    <w:rPr>
      <w:rFonts w:ascii="仿宋_GB2312" w:eastAsia="仿宋_GB2312"/>
      <w:sz w:val="30"/>
      <w:szCs w:val="30"/>
    </w:rPr>
  </w:style>
  <w:style w:type="character" w:styleId="1032">
    <w:name w:val="正文文本首行缩进 字符"/>
    <w:next w:val="1032"/>
    <w:link w:val="1031"/>
    <w:rPr>
      <w:rFonts w:ascii="仿宋_GB2312" w:hAnsi="Times New Roman" w:eastAsia="仿宋_GB2312" w:cs="Times New Roman"/>
      <w:sz w:val="30"/>
      <w:szCs w:val="30"/>
    </w:rPr>
  </w:style>
  <w:style w:type="paragraph" w:styleId="1033">
    <w:name w:val="正文首行缩进 2"/>
    <w:basedOn w:val="998"/>
    <w:next w:val="1033"/>
    <w:link w:val="1034"/>
    <w:pPr>
      <w:ind w:firstLine="420"/>
      <w:spacing w:line="360" w:lineRule="auto"/>
    </w:pPr>
    <w:rPr>
      <w:rFonts w:ascii="宋体" w:hAnsi="宋体" w:eastAsia="宋体"/>
      <w:sz w:val="21"/>
      <w:szCs w:val="20"/>
    </w:rPr>
  </w:style>
  <w:style w:type="character" w:styleId="1034">
    <w:name w:val="正文文本首行缩进 2 字符"/>
    <w:next w:val="1034"/>
    <w:link w:val="1033"/>
    <w:rPr>
      <w:rFonts w:ascii="宋体" w:hAnsi="宋体" w:eastAsia="宋体" w:cs="Times New Roman"/>
      <w:sz w:val="32"/>
      <w:szCs w:val="20"/>
    </w:rPr>
  </w:style>
  <w:style w:type="table" w:styleId="1035">
    <w:name w:val="网格型"/>
    <w:basedOn w:val="976"/>
    <w:next w:val="1035"/>
    <w:link w:val="965"/>
    <w:pPr>
      <w:jc w:val="both"/>
      <w:widowControl w:val="off"/>
    </w:pPr>
    <w:rPr>
      <w:rFonts w:ascii="Times New Roman" w:hAnsi="Times New Roman" w:eastAsia="宋体" w:cs="Times New Roman"/>
      <w:sz w:val="20"/>
      <w:szCs w:val="20"/>
    </w:rPr>
    <w:tblPr/>
  </w:style>
  <w:style w:type="character" w:styleId="1036">
    <w:name w:val="要点"/>
    <w:next w:val="1036"/>
    <w:link w:val="965"/>
    <w:qFormat/>
    <w:rPr>
      <w:b/>
      <w:bCs/>
    </w:rPr>
  </w:style>
  <w:style w:type="character" w:styleId="1037">
    <w:name w:val="页码"/>
    <w:next w:val="1037"/>
    <w:link w:val="965"/>
  </w:style>
  <w:style w:type="character" w:styleId="1038">
    <w:name w:val="已访问的超链接"/>
    <w:next w:val="1038"/>
    <w:link w:val="965"/>
    <w:rPr>
      <w:color w:val="800080"/>
      <w:u w:val="single"/>
    </w:rPr>
  </w:style>
  <w:style w:type="character" w:styleId="1039">
    <w:name w:val="强调"/>
    <w:next w:val="1039"/>
    <w:link w:val="965"/>
    <w:qFormat/>
    <w:rPr>
      <w:i/>
    </w:rPr>
  </w:style>
  <w:style w:type="character" w:styleId="1040">
    <w:name w:val="超链接"/>
    <w:next w:val="1040"/>
    <w:link w:val="965"/>
    <w:rPr>
      <w:color w:val="0000ff"/>
      <w:u w:val="single"/>
    </w:rPr>
  </w:style>
  <w:style w:type="character" w:styleId="1041">
    <w:name w:val="批注引用"/>
    <w:next w:val="1041"/>
    <w:link w:val="965"/>
    <w:semiHidden/>
    <w:rPr>
      <w:sz w:val="21"/>
      <w:szCs w:val="21"/>
    </w:rPr>
  </w:style>
  <w:style w:type="character" w:styleId="1042">
    <w:name w:val="font5 Char"/>
    <w:next w:val="1042"/>
    <w:link w:val="965"/>
    <w:rPr>
      <w:rFonts w:ascii="宋体" w:hAnsi="宋体" w:eastAsia="宋体"/>
      <w:sz w:val="28"/>
      <w:szCs w:val="28"/>
      <w:lang w:val="en-US" w:eastAsia="zh-CN" w:bidi="ar-SA"/>
    </w:rPr>
  </w:style>
  <w:style w:type="character" w:styleId="1043">
    <w:name w:val="二级目录 Char"/>
    <w:next w:val="1043"/>
    <w:link w:val="1044"/>
    <w:rPr>
      <w:b/>
      <w:sz w:val="30"/>
      <w:szCs w:val="28"/>
    </w:rPr>
  </w:style>
  <w:style w:type="paragraph" w:styleId="1044">
    <w:name w:val="二级目录"/>
    <w:next w:val="965"/>
    <w:link w:val="1043"/>
    <w:pPr>
      <w:numPr>
        <w:ilvl w:val="0"/>
        <w:numId w:val="2"/>
      </w:numPr>
      <w:tabs>
        <w:tab w:val="left" w:pos="907" w:leader="none"/>
        <w:tab w:val="left" w:pos="1145" w:leader="none"/>
      </w:tabs>
      <w:outlineLvl w:val="1"/>
    </w:pPr>
    <w:rPr>
      <w:b/>
      <w:sz w:val="30"/>
      <w:szCs w:val="28"/>
      <w:lang w:val="en-US" w:eastAsia="zh-CN" w:bidi="ar-SA"/>
    </w:rPr>
  </w:style>
  <w:style w:type="character" w:styleId="1045">
    <w:name w:val="列出段落 Char,Bullet List Char,numbered Char,FooterText Char,List Paragraph1 Char,Paragraphe de liste1 Char"/>
    <w:next w:val="1045"/>
    <w:link w:val="1046"/>
    <w:rPr>
      <w:rFonts w:ascii="Calibri" w:hAnsi="Calibri"/>
      <w:sz w:val="24"/>
      <w:szCs w:val="24"/>
      <w:lang w:eastAsia="en-US" w:bidi="en-US"/>
    </w:rPr>
  </w:style>
  <w:style w:type="paragraph" w:styleId="1046">
    <w:name w:val="列出段落1"/>
    <w:basedOn w:val="965"/>
    <w:next w:val="1046"/>
    <w:link w:val="1045"/>
    <w:qFormat/>
    <w:pPr>
      <w:contextualSpacing/>
      <w:ind w:left="720"/>
      <w:jc w:val="left"/>
      <w:widowControl/>
    </w:pPr>
    <w:rPr>
      <w:rFonts w:ascii="Calibri" w:hAnsi="Calibri" w:eastAsia="宋体" w:cs="Times New Roman"/>
      <w:sz w:val="24"/>
      <w:szCs w:val="24"/>
      <w:lang w:eastAsia="en-US" w:bidi="en-US"/>
    </w:rPr>
  </w:style>
  <w:style w:type="paragraph" w:styleId="1047">
    <w:name w:val="Body Text(ch)"/>
    <w:basedOn w:val="965"/>
    <w:next w:val="996"/>
    <w:link w:val="965"/>
    <w:pPr>
      <w:spacing w:after="120"/>
    </w:pPr>
    <w:rPr>
      <w:rFonts w:ascii="宋体" w:hAnsi="Arial"/>
      <w:bCs/>
      <w:iCs/>
      <w:szCs w:val="24"/>
    </w:rPr>
  </w:style>
  <w:style w:type="paragraph" w:styleId="1048">
    <w:name w:val="xl27"/>
    <w:basedOn w:val="965"/>
    <w:next w:val="1048"/>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6"/>
    <w:basedOn w:val="965"/>
    <w:next w:val="1049"/>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name w:val="Char"/>
    <w:basedOn w:val="965"/>
    <w:next w:val="1050"/>
    <w:link w:val="965"/>
    <w:pPr>
      <w:ind w:firstLine="200"/>
      <w:tabs>
        <w:tab w:val="left" w:pos="360" w:leader="none"/>
      </w:tabs>
    </w:pPr>
    <w:rPr>
      <w:sz w:val="28"/>
      <w:szCs w:val="30"/>
    </w:rPr>
  </w:style>
  <w:style w:type="paragraph" w:styleId="1051">
    <w:name w:val=" Char"/>
    <w:basedOn w:val="990"/>
    <w:next w:val="1051"/>
    <w:link w:val="965"/>
    <w:rPr>
      <w:rFonts w:ascii="Tahoma" w:hAnsi="Tahoma"/>
      <w:sz w:val="24"/>
      <w:szCs w:val="24"/>
    </w:rPr>
  </w:style>
  <w:style w:type="paragraph" w:styleId="1052">
    <w:name w:val="普通正文"/>
    <w:basedOn w:val="965"/>
    <w:next w:val="1052"/>
    <w:link w:val="965"/>
    <w:pPr>
      <w:ind w:firstLine="480"/>
      <w:jc w:val="left"/>
      <w:spacing w:before="120" w:after="120" w:line="360" w:lineRule="auto"/>
    </w:pPr>
    <w:rPr>
      <w:rFonts w:ascii="Arial" w:hAnsi="Arial"/>
      <w:sz w:val="24"/>
      <w:szCs w:val="24"/>
    </w:rPr>
  </w:style>
  <w:style w:type="paragraph" w:styleId="1053">
    <w:name w:val="table_lines"/>
    <w:basedOn w:val="965"/>
    <w:next w:val="1053"/>
    <w:link w:val="965"/>
    <w:pPr>
      <w:jc w:val="left"/>
      <w:widowControl/>
    </w:pPr>
    <w:rPr>
      <w:sz w:val="20"/>
      <w:szCs w:val="20"/>
      <w:lang w:val="de-DE" w:eastAsia="de-DE"/>
    </w:rPr>
  </w:style>
  <w:style w:type="paragraph" w:styleId="1054">
    <w:name w:val="附录1"/>
    <w:next w:val="1054"/>
    <w:link w:val="965"/>
    <w:pPr>
      <w:numPr>
        <w:ilvl w:val="0"/>
        <w:numId w:val="2"/>
      </w:numPr>
      <w:spacing w:before="240" w:line="600" w:lineRule="atLeast"/>
      <w:tabs>
        <w:tab w:val="left" w:pos="907" w:leader="none"/>
      </w:tabs>
    </w:pPr>
    <w:rPr>
      <w:b/>
      <w:i/>
      <w:sz w:val="28"/>
      <w:lang w:val="en-US" w:eastAsia="zh-CN" w:bidi="ar-SA"/>
    </w:rPr>
  </w:style>
  <w:style w:type="paragraph" w:styleId="1055">
    <w:name w:val="font7"/>
    <w:basedOn w:val="965"/>
    <w:next w:val="1055"/>
    <w:link w:val="965"/>
    <w:pPr>
      <w:jc w:val="left"/>
      <w:spacing w:before="100" w:beforeAutospacing="1" w:after="100" w:afterAutospacing="1"/>
      <w:widowControl/>
    </w:pPr>
    <w:rPr>
      <w:rFonts w:hint="eastAsia" w:ascii="宋体" w:hAnsi="宋体"/>
      <w:sz w:val="18"/>
      <w:szCs w:val="18"/>
    </w:rPr>
  </w:style>
  <w:style w:type="paragraph" w:styleId="1056">
    <w:name w:val=" Char Char Char Char"/>
    <w:basedOn w:val="990"/>
    <w:next w:val="1056"/>
    <w:link w:val="965"/>
    <w:pPr>
      <w:spacing w:line="360" w:lineRule="auto"/>
    </w:pPr>
    <w:rPr>
      <w:rFonts w:ascii="Tahoma" w:hAnsi="Tahoma"/>
      <w:sz w:val="24"/>
      <w:szCs w:val="24"/>
    </w:rPr>
  </w:style>
  <w:style w:type="paragraph" w:styleId="1057">
    <w:name w:val="列表段落"/>
    <w:basedOn w:val="965"/>
    <w:next w:val="1057"/>
    <w:link w:val="965"/>
    <w:qFormat/>
    <w:pPr>
      <w:contextualSpacing/>
      <w:ind w:left="720"/>
      <w:jc w:val="left"/>
      <w:widowControl/>
    </w:pPr>
    <w:rPr>
      <w:rFonts w:ascii="Calibri" w:hAnsi="Calibri"/>
      <w:sz w:val="24"/>
      <w:szCs w:val="24"/>
      <w:lang w:eastAsia="en-US" w:bidi="en-US"/>
    </w:rPr>
  </w:style>
  <w:style w:type="paragraph" w:styleId="1058">
    <w:name w:val="4"/>
    <w:basedOn w:val="965"/>
    <w:next w:val="1020"/>
    <w:link w:val="965"/>
    <w:pPr>
      <w:ind w:firstLine="420"/>
      <w:spacing w:line="360" w:lineRule="auto"/>
    </w:pPr>
    <w:rPr>
      <w:color w:val="ff0000"/>
      <w:sz w:val="24"/>
      <w:szCs w:val="24"/>
    </w:rPr>
  </w:style>
  <w:style w:type="paragraph" w:styleId="1059">
    <w:name w:val="普通 (Web)"/>
    <w:basedOn w:val="965"/>
    <w:next w:val="1059"/>
    <w:link w:val="965"/>
    <w:pPr>
      <w:jc w:val="left"/>
      <w:spacing w:before="100" w:beforeAutospacing="1" w:after="100" w:afterAutospacing="1"/>
      <w:widowControl/>
    </w:pPr>
    <w:rPr>
      <w:rFonts w:ascii="宋体" w:hAnsi="宋体"/>
      <w:sz w:val="24"/>
      <w:szCs w:val="24"/>
    </w:rPr>
  </w:style>
  <w:style w:type="paragraph" w:styleId="1060">
    <w:name w:val=" Char Char Char Char Char Char Char Char Char Char"/>
    <w:basedOn w:val="965"/>
    <w:next w:val="1060"/>
    <w:link w:val="965"/>
    <w:pPr>
      <w:spacing w:line="360" w:lineRule="auto"/>
    </w:pPr>
    <w:rPr>
      <w:sz w:val="24"/>
      <w:szCs w:val="20"/>
    </w:rPr>
  </w:style>
  <w:style w:type="paragraph" w:styleId="1061">
    <w:name w:val="样式1"/>
    <w:basedOn w:val="965"/>
    <w:next w:val="1061"/>
    <w:link w:val="965"/>
    <w:pPr>
      <w:numPr>
        <w:ilvl w:val="0"/>
        <w:numId w:val="3"/>
      </w:numPr>
      <w:tabs>
        <w:tab w:val="left" w:pos="709" w:leader="none"/>
      </w:tabs>
    </w:pPr>
    <w:rPr>
      <w:rFonts w:ascii="宋体" w:hAnsi="宋体"/>
    </w:rPr>
  </w:style>
  <w:style w:type="paragraph" w:styleId="1062">
    <w:name w:val="font6"/>
    <w:basedOn w:val="965"/>
    <w:next w:val="1062"/>
    <w:link w:val="965"/>
    <w:pPr>
      <w:jc w:val="left"/>
      <w:spacing w:before="100" w:beforeAutospacing="1" w:after="100" w:afterAutospacing="1"/>
      <w:widowControl/>
    </w:pPr>
    <w:rPr>
      <w:rFonts w:hint="eastAsia" w:ascii="宋体" w:hAnsi="宋体"/>
      <w:sz w:val="28"/>
      <w:szCs w:val="28"/>
      <w:u w:val="single"/>
    </w:rPr>
  </w:style>
  <w:style w:type="paragraph" w:styleId="1063">
    <w:name w:val="xl25"/>
    <w:basedOn w:val="965"/>
    <w:next w:val="1063"/>
    <w:link w:val="96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name w:val="图标"/>
    <w:basedOn w:val="965"/>
    <w:next w:val="965"/>
    <w:link w:val="96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name w:val="标题3"/>
    <w:basedOn w:val="965"/>
    <w:next w:val="965"/>
    <w:link w:val="965"/>
    <w:pPr>
      <w:ind w:firstLine="624"/>
      <w:spacing w:line="590" w:lineRule="atLeast"/>
    </w:pPr>
    <w:rPr>
      <w:rFonts w:ascii="方正黑体_GBK" w:eastAsia="方正黑体_GBK"/>
      <w:sz w:val="32"/>
      <w:szCs w:val="32"/>
    </w:rPr>
  </w:style>
  <w:style w:type="paragraph" w:styleId="1066">
    <w:name w:val="xl24"/>
    <w:basedOn w:val="965"/>
    <w:next w:val="1066"/>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name w:val="xl29"/>
    <w:basedOn w:val="965"/>
    <w:next w:val="1067"/>
    <w:link w:val="96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name w:val="Char Char Char Char Char Char Char Char"/>
    <w:basedOn w:val="965"/>
    <w:next w:val="1068"/>
    <w:link w:val="965"/>
    <w:pPr>
      <w:jc w:val="left"/>
      <w:spacing w:after="160" w:line="240" w:lineRule="exact"/>
      <w:widowControl/>
    </w:pPr>
    <w:rPr>
      <w:rFonts w:ascii="Verdana" w:hAnsi="Verdana"/>
      <w:sz w:val="20"/>
      <w:szCs w:val="20"/>
      <w:lang w:eastAsia="en-US"/>
    </w:rPr>
  </w:style>
  <w:style w:type="paragraph" w:styleId="1069">
    <w:name w:val="xl28"/>
    <w:basedOn w:val="965"/>
    <w:next w:val="1069"/>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name w:val=" Char Char Char Char Char Char Char Char"/>
    <w:basedOn w:val="965"/>
    <w:next w:val="1070"/>
    <w:link w:val="965"/>
    <w:pPr>
      <w:jc w:val="left"/>
      <w:spacing w:after="160" w:line="240" w:lineRule="exact"/>
      <w:widowControl/>
    </w:pPr>
    <w:rPr>
      <w:rFonts w:ascii="Verdana" w:hAnsi="Verdana"/>
      <w:sz w:val="20"/>
      <w:szCs w:val="20"/>
      <w:lang w:eastAsia="en-US"/>
    </w:rPr>
  </w:style>
  <w:style w:type="paragraph" w:styleId="1071">
    <w:name w:val="xl30"/>
    <w:basedOn w:val="965"/>
    <w:next w:val="1071"/>
    <w:link w:val="965"/>
    <w:pPr>
      <w:jc w:val="center"/>
      <w:spacing w:before="100" w:beforeAutospacing="1" w:after="100" w:afterAutospacing="1"/>
      <w:widowControl/>
    </w:pPr>
    <w:rPr>
      <w:rFonts w:ascii="宋体" w:hAnsi="宋体"/>
      <w:b/>
      <w:bCs/>
      <w:sz w:val="36"/>
      <w:szCs w:val="36"/>
    </w:rPr>
  </w:style>
  <w:style w:type="paragraph" w:styleId="1072">
    <w:name w:val="Char Char Char Char"/>
    <w:basedOn w:val="990"/>
    <w:next w:val="1072"/>
    <w:link w:val="965"/>
    <w:pPr>
      <w:spacing w:line="360" w:lineRule="auto"/>
    </w:pPr>
    <w:rPr>
      <w:rFonts w:ascii="Tahoma" w:hAnsi="Tahoma"/>
      <w:sz w:val="24"/>
      <w:szCs w:val="24"/>
    </w:rPr>
  </w:style>
  <w:style w:type="paragraph" w:styleId="1073">
    <w:name w:val="table_1stline"/>
    <w:basedOn w:val="965"/>
    <w:next w:val="1073"/>
    <w:link w:val="965"/>
    <w:pPr>
      <w:jc w:val="left"/>
      <w:spacing w:before="120"/>
      <w:widowControl/>
    </w:pPr>
    <w:rPr>
      <w:bCs/>
      <w:sz w:val="20"/>
      <w:szCs w:val="20"/>
      <w:lang w:val="de-DE" w:eastAsia="de-DE"/>
    </w:rPr>
  </w:style>
  <w:style w:type="paragraph" w:styleId="1074">
    <w:name w:val="font5"/>
    <w:basedOn w:val="965"/>
    <w:next w:val="1074"/>
    <w:link w:val="965"/>
    <w:pPr>
      <w:jc w:val="left"/>
      <w:spacing w:before="100" w:beforeAutospacing="1" w:after="100" w:afterAutospacing="1"/>
      <w:widowControl/>
    </w:pPr>
    <w:rPr>
      <w:rFonts w:hint="eastAsia" w:ascii="宋体" w:hAnsi="宋体"/>
      <w:sz w:val="28"/>
      <w:szCs w:val="28"/>
    </w:rPr>
  </w:style>
  <w:style w:type="paragraph" w:styleId="1075">
    <w:name w:val="标题1"/>
    <w:basedOn w:val="965"/>
    <w:next w:val="965"/>
    <w:link w:val="96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name w:val="修订"/>
    <w:next w:val="1076"/>
    <w:link w:val="965"/>
    <w:uiPriority w:val="99"/>
    <w:semiHidden/>
    <w:rPr>
      <w:sz w:val="21"/>
      <w:szCs w:val="21"/>
      <w:lang w:val="en-US" w:eastAsia="zh-CN" w:bidi="ar-SA"/>
    </w:rPr>
  </w:style>
  <w:style w:type="paragraph" w:styleId="1077">
    <w:name w:val="无间隔"/>
    <w:next w:val="1077"/>
    <w:link w:val="965"/>
    <w:uiPriority w:val="99"/>
    <w:qFormat/>
    <w:pPr>
      <w:jc w:val="both"/>
      <w:widowControl w:val="off"/>
    </w:pPr>
    <w:rPr>
      <w:sz w:val="21"/>
      <w:szCs w:val="21"/>
      <w:lang w:val="en-US" w:eastAsia="zh-CN" w:bidi="ar-SA"/>
    </w:rPr>
  </w:style>
  <w:style w:type="paragraph" w:styleId="1078">
    <w:name w:val="标题 31"/>
    <w:basedOn w:val="965"/>
    <w:next w:val="965"/>
    <w:link w:val="965"/>
    <w:qFormat/>
    <w:pPr>
      <w:keepLines/>
      <w:keepNext/>
      <w:spacing w:before="260" w:after="260" w:line="416" w:lineRule="auto"/>
      <w:outlineLvl w:val="2"/>
    </w:pPr>
    <w:rPr>
      <w:b/>
      <w:bCs/>
      <w:sz w:val="32"/>
      <w:szCs w:val="32"/>
    </w:rPr>
  </w:style>
  <w:style w:type="paragraph" w:styleId="1079">
    <w:name w:val="Table Paragraph"/>
    <w:basedOn w:val="965"/>
    <w:next w:val="1079"/>
    <w:link w:val="965"/>
    <w:uiPriority w:val="1"/>
    <w:qFormat/>
    <w:rPr>
      <w:rFonts w:ascii="宋体" w:hAnsi="宋体" w:cs="宋体"/>
      <w:lang w:val="zh-CN" w:bidi="zh-CN"/>
    </w:rPr>
  </w:style>
  <w:style w:type="paragraph" w:styleId="1080">
    <w:name w:val="Table Text"/>
    <w:basedOn w:val="965"/>
    <w:next w:val="1080"/>
    <w:link w:val="965"/>
    <w:semiHidden/>
    <w:qFormat/>
    <w:rPr>
      <w:rFonts w:ascii="Arial" w:hAnsi="Arial" w:eastAsia="Arial" w:cs="Arial"/>
      <w:lang w:eastAsia="en-US"/>
    </w:r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4</cp:revision>
  <dcterms:created xsi:type="dcterms:W3CDTF">2023-03-16T02:16:00Z</dcterms:created>
  <dcterms:modified xsi:type="dcterms:W3CDTF">2026-11-03T04:31:29Z</dcterms:modified>
</cp:coreProperties>
</file>