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ind w:firstLine="0"/>
        <w:jc w:val="center"/>
        <w:spacing w:line="480" w:lineRule="exact"/>
        <w:rPr>
          <w:sz w:val="28"/>
          <w:highlight w:val="none"/>
        </w:rPr>
      </w:pPr>
      <w:r>
        <w:rPr>
          <w:sz w:val="28"/>
          <w:highlight w:val="none"/>
        </w:rPr>
      </w:r>
      <w:r/>
    </w:p>
    <w:p>
      <w:pPr>
        <w:pStyle w:val="710"/>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10"/>
        <w:ind w:firstLine="0"/>
        <w:jc w:val="center"/>
        <w:spacing w:line="480" w:lineRule="exact"/>
        <w:rPr>
          <w:sz w:val="28"/>
          <w:highlight w:val="none"/>
        </w:rPr>
      </w:pPr>
      <w:r>
        <w:rPr>
          <w:sz w:val="28"/>
          <w:highlight w:val="none"/>
        </w:rPr>
      </w:r>
      <w:r/>
    </w:p>
    <w:p>
      <w:pPr>
        <w:pStyle w:val="710"/>
        <w:ind w:firstLine="0"/>
        <w:jc w:val="center"/>
        <w:spacing w:line="480" w:lineRule="exact"/>
        <w:rPr>
          <w:rFonts w:hint="eastAsia"/>
          <w:sz w:val="28"/>
          <w:highlight w:val="none"/>
        </w:rPr>
      </w:pPr>
      <w:r>
        <w:rPr>
          <w:rFonts w:hint="eastAsia"/>
          <w:sz w:val="28"/>
          <w:highlight w:val="none"/>
        </w:rPr>
      </w:r>
      <w:r/>
    </w:p>
    <w:p>
      <w:pPr>
        <w:pStyle w:val="710"/>
        <w:ind w:firstLine="0"/>
        <w:jc w:val="center"/>
        <w:spacing w:line="480" w:lineRule="exact"/>
        <w:rPr>
          <w:rFonts w:hint="eastAsia"/>
          <w:b/>
          <w:bCs/>
          <w:color w:val="000000"/>
          <w:sz w:val="32"/>
          <w:highlight w:val="none"/>
          <w:lang w:eastAsia="zh-CN"/>
        </w:rPr>
      </w:pPr>
      <w:r>
        <w:rPr>
          <w:rFonts w:hint="eastAsia" w:ascii="宋体" w:hAnsi="宋体"/>
          <w:b/>
          <w:bCs/>
          <w:color w:val="000000"/>
          <w:sz w:val="32"/>
          <w:highlight w:val="none"/>
        </w:rPr>
        <w:t xml:space="preserve">项目名称：</w:t>
      </w:r>
      <w:r>
        <w:rPr>
          <w:rFonts w:hint="eastAsia"/>
          <w:b/>
          <w:bCs/>
          <w:color w:val="000000"/>
          <w:sz w:val="32"/>
          <w:highlight w:val="none"/>
          <w:lang w:eastAsia="zh-CN"/>
        </w:rPr>
        <w:t xml:space="preserve">南通市紫琅第一小学管弦乐器采购项目</w:t>
      </w:r>
      <w:r/>
    </w:p>
    <w:p>
      <w:pPr>
        <w:pStyle w:val="710"/>
        <w:ind w:firstLine="0"/>
        <w:jc w:val="center"/>
        <w:spacing w:line="480" w:lineRule="exact"/>
        <w:rPr>
          <w:rFonts w:hint="default"/>
          <w:color w:val="000000"/>
          <w:sz w:val="32"/>
          <w:highlight w:val="none"/>
          <w:lang w:val="en-US"/>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ascii="Times New Roman" w:hAnsi="Times New Roman" w:cs="Times New Roman"/>
          <w:b w:val="0"/>
          <w:bCs w:val="0"/>
          <w:color w:val="000000" w:themeColor="text1"/>
          <w:sz w:val="32"/>
          <w:szCs w:val="24"/>
          <w:highlight w:val="none"/>
          <w:lang w:val="en-US" w:eastAsia="zh-CN"/>
          <w14:textFill>
            <w14:solidFill>
              <w14:schemeClr w14:val="tx1"/>
            </w14:solidFill>
          </w14:textFill>
        </w:rPr>
        <w:t xml:space="preserve">174</w:t>
      </w:r>
      <w:r/>
    </w:p>
    <w:p>
      <w:pPr>
        <w:pStyle w:val="710"/>
        <w:ind w:firstLine="0"/>
        <w:jc w:val="center"/>
        <w:spacing w:line="480" w:lineRule="exact"/>
        <w:rPr>
          <w:rFonts w:hint="eastAsia"/>
          <w:color w:val="000000"/>
          <w:sz w:val="32"/>
          <w:highlight w:val="none"/>
        </w:rPr>
      </w:pPr>
      <w:r>
        <w:rPr>
          <w:rFonts w:hint="eastAsia"/>
          <w:color w:val="000000"/>
          <w:sz w:val="32"/>
          <w:highlight w:val="none"/>
        </w:rPr>
      </w:r>
      <w:r/>
    </w:p>
    <w:p>
      <w:pPr>
        <w:pStyle w:val="710"/>
        <w:ind w:firstLine="0"/>
        <w:jc w:val="center"/>
        <w:spacing w:line="480" w:lineRule="exact"/>
        <w:rPr>
          <w:rFonts w:hint="eastAsia"/>
          <w:color w:val="000000"/>
          <w:sz w:val="32"/>
          <w:highlight w:val="none"/>
        </w:rPr>
      </w:pPr>
      <w:r>
        <w:rPr>
          <w:rFonts w:hint="eastAsia"/>
          <w:color w:val="000000"/>
          <w:sz w:val="32"/>
          <w:highlight w:val="none"/>
        </w:rPr>
      </w:r>
      <w:r/>
    </w:p>
    <w:p>
      <w:pPr>
        <w:pStyle w:val="710"/>
        <w:ind w:firstLine="0"/>
        <w:jc w:val="center"/>
        <w:spacing w:line="480" w:lineRule="exact"/>
        <w:rPr>
          <w:rFonts w:hint="eastAsia"/>
          <w:color w:val="000000"/>
          <w:sz w:val="32"/>
          <w:highlight w:val="none"/>
        </w:rPr>
      </w:pPr>
      <w:r>
        <w:rPr>
          <w:rFonts w:hint="eastAsia"/>
          <w:color w:val="000000"/>
          <w:sz w:val="32"/>
          <w:highlight w:val="none"/>
        </w:rPr>
      </w:r>
      <w:r/>
    </w:p>
    <w:p>
      <w:pPr>
        <w:pStyle w:val="710"/>
        <w:ind w:firstLine="0"/>
        <w:jc w:val="center"/>
        <w:spacing w:line="480" w:lineRule="exact"/>
        <w:rPr>
          <w:rFonts w:hint="eastAsia"/>
          <w:color w:val="000000"/>
          <w:sz w:val="32"/>
          <w:highlight w:val="none"/>
        </w:rPr>
      </w:pPr>
      <w:r>
        <w:rPr>
          <w:rFonts w:hint="eastAsia"/>
          <w:color w:val="000000"/>
          <w:sz w:val="32"/>
          <w:highlight w:val="none"/>
        </w:rPr>
      </w:r>
      <w:r/>
    </w:p>
    <w:p>
      <w:pPr>
        <w:pStyle w:val="710"/>
        <w:ind w:firstLine="0"/>
        <w:jc w:val="center"/>
        <w:spacing w:line="480" w:lineRule="exact"/>
        <w:rPr>
          <w:rFonts w:hint="eastAsia"/>
          <w:color w:val="000000"/>
          <w:sz w:val="32"/>
          <w:highlight w:val="none"/>
        </w:rPr>
      </w:pPr>
      <w:r>
        <w:rPr>
          <w:rFonts w:hint="eastAsia"/>
          <w:color w:val="000000"/>
          <w:sz w:val="32"/>
          <w:highlight w:val="none"/>
        </w:rPr>
      </w:r>
      <w:r/>
    </w:p>
    <w:p>
      <w:pPr>
        <w:pStyle w:val="710"/>
        <w:ind w:firstLine="0"/>
        <w:jc w:val="center"/>
        <w:spacing w:line="480" w:lineRule="exact"/>
        <w:rPr>
          <w:rFonts w:hint="eastAsia"/>
          <w:color w:val="000000"/>
          <w:sz w:val="32"/>
          <w:highlight w:val="none"/>
        </w:rPr>
      </w:pPr>
      <w:r>
        <w:rPr>
          <w:rFonts w:hint="eastAsia"/>
          <w:color w:val="000000"/>
          <w:sz w:val="32"/>
          <w:highlight w:val="none"/>
        </w:rPr>
      </w:r>
      <w:r/>
    </w:p>
    <w:p>
      <w:pPr>
        <w:pStyle w:val="710"/>
        <w:ind w:firstLine="0"/>
        <w:jc w:val="center"/>
        <w:spacing w:line="480" w:lineRule="exact"/>
        <w:rPr>
          <w:rFonts w:hint="eastAsia"/>
          <w:color w:val="000000"/>
          <w:sz w:val="32"/>
          <w:highlight w:val="none"/>
        </w:rPr>
      </w:pPr>
      <w:r>
        <w:rPr>
          <w:rFonts w:hint="eastAsia"/>
          <w:color w:val="000000"/>
          <w:sz w:val="32"/>
          <w:highlight w:val="none"/>
        </w:rPr>
      </w:r>
      <w:r/>
    </w:p>
    <w:p>
      <w:pPr>
        <w:pStyle w:val="710"/>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10"/>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11</w:t>
      </w:r>
      <w:r>
        <w:rPr>
          <w:rFonts w:hint="eastAsia" w:ascii="宋体" w:hAnsi="宋体"/>
          <w:color w:val="000000"/>
          <w:sz w:val="32"/>
          <w:highlight w:val="none"/>
        </w:rPr>
        <w:t xml:space="preserve">月</w:t>
      </w:r>
      <w:r/>
    </w:p>
    <w:p>
      <w:pPr>
        <w:pStyle w:val="710"/>
        <w:ind w:firstLine="0"/>
        <w:jc w:val="center"/>
        <w:spacing w:line="480" w:lineRule="exact"/>
        <w:rPr>
          <w:sz w:val="28"/>
          <w:highlight w:val="none"/>
        </w:rPr>
      </w:pPr>
      <w:r>
        <w:rPr>
          <w:highlight w:val="none"/>
          <w:lang w:eastAsia="zh-CN"/>
        </w:rPr>
        <w:br w:type="page" w:clear="all"/>
      </w:r>
      <w:r/>
    </w:p>
    <w:p>
      <w:pPr>
        <w:pStyle w:val="710"/>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693"/>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19</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35</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40</w:t>
          </w:r>
          <w:r>
            <w:rPr>
              <w:sz w:val="36"/>
              <w:szCs w:val="32"/>
              <w:highlight w:val="none"/>
            </w:rPr>
            <w:fldChar w:fldCharType="end"/>
          </w:r>
          <w:r>
            <w:rPr>
              <w:sz w:val="36"/>
              <w:szCs w:val="32"/>
              <w:highlight w:val="none"/>
              <w:lang w:eastAsia="zh-CN"/>
            </w:rPr>
            <w:fldChar w:fldCharType="end"/>
          </w:r>
          <w:r/>
        </w:p>
        <w:p>
          <w:pPr>
            <w:pStyle w:val="710"/>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10"/>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highlight w:val="none"/>
          <w:lang w:eastAsia="zh-CN"/>
        </w:rPr>
        <w:t xml:space="preserve">南通市紫琅第一小学管弦乐器采购项目</w:t>
      </w:r>
      <w:r>
        <w:rPr>
          <w:rFonts w:hint="eastAsia" w:ascii="仿宋" w:hAnsi="仿宋" w:eastAsia="仿宋" w:cs="仿宋"/>
          <w:sz w:val="28"/>
          <w:szCs w:val="28"/>
          <w:highlight w:val="none"/>
        </w:rPr>
        <w:t xml:space="preserve">的潜在供应商应在江苏政府采购网获取采购文件，并于2026年1</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月11</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10"/>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10"/>
        <w:ind w:firstLine="560"/>
        <w:keepLines w:val="0"/>
        <w:keepNext w:val="0"/>
        <w:pageBreakBefore w:val="0"/>
        <w:spacing w:line="46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1.项目编号：JSZC-320600-JZCG-X2026-0174</w:t>
      </w:r>
      <w:bookmarkStart w:id="14" w:name="_GoBack"/>
      <w:r/>
      <w:bookmarkEnd w:id="14"/>
      <w:r/>
      <w:r/>
    </w:p>
    <w:p>
      <w:pPr>
        <w:pStyle w:val="710"/>
        <w:ind w:firstLine="560"/>
        <w:keepLines w:val="0"/>
        <w:keepNext w:val="0"/>
        <w:pageBreakBefore w:val="0"/>
        <w:spacing w:line="46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2.项目名称：南通市紫琅第一小学管弦乐器采购项目</w:t>
      </w:r>
      <w:r/>
    </w:p>
    <w:p>
      <w:pPr>
        <w:pStyle w:val="710"/>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14</w:t>
      </w:r>
      <w:r>
        <w:rPr>
          <w:rFonts w:hint="eastAsia" w:ascii="仿宋" w:hAnsi="仿宋" w:eastAsia="仿宋" w:cs="仿宋"/>
          <w:sz w:val="28"/>
          <w:highlight w:val="none"/>
          <w:lang w:eastAsia="zh-CN"/>
        </w:rPr>
        <w:t xml:space="preserve">万元。</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8"/>
          <w:highlight w:val="none"/>
          <w:lang w:val="en-US" w:eastAsia="zh-CN"/>
        </w:rPr>
        <w:t xml:space="preserve">详见采购文件第四章</w:t>
      </w:r>
      <w:r>
        <w:rPr>
          <w:rFonts w:hint="eastAsia" w:ascii="仿宋" w:hAnsi="仿宋" w:eastAsia="仿宋" w:cs="仿宋"/>
          <w:sz w:val="28"/>
          <w:szCs w:val="28"/>
          <w:highlight w:val="none"/>
        </w:rPr>
        <w:t xml:space="preserve">。</w:t>
      </w:r>
      <w:r/>
    </w:p>
    <w:p>
      <w:pPr>
        <w:ind w:firstLine="560"/>
        <w:keepLines w:val="0"/>
        <w:keepNext w:val="0"/>
        <w:pageBreakBefore w:val="0"/>
        <w:spacing w:line="460" w:lineRule="exact"/>
        <w:widowControl w:val="off"/>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5日历天内完成安装调试</w:t>
      </w:r>
      <w:r>
        <w:rPr>
          <w:rFonts w:hint="eastAsia" w:ascii="仿宋" w:hAnsi="仿宋" w:eastAsia="仿宋" w:cs="仿宋"/>
          <w:sz w:val="28"/>
          <w:szCs w:val="28"/>
          <w:highlight w:val="none"/>
          <w:lang w:val="en-US" w:eastAsia="zh-CN"/>
        </w:rPr>
        <w:t xml:space="preserve">。</w:t>
      </w:r>
      <w:r/>
    </w:p>
    <w:p>
      <w:pPr>
        <w:pStyle w:val="710"/>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85"/>
        <w:ind w:firstLine="560"/>
        <w:keepLines w:val="0"/>
        <w:keepNext w:val="0"/>
        <w:pageBreakBefore w:val="0"/>
        <w:spacing w:after="0" w:line="46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85"/>
        <w:ind w:firstLine="560"/>
        <w:keepLines w:val="0"/>
        <w:keepNext w:val="0"/>
        <w:pageBreakBefore w:val="0"/>
        <w:spacing w:after="0" w:line="46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10"/>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10"/>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6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月11</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10"/>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10"/>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85"/>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885"/>
        <w:ind w:firstLine="56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6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885"/>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10"/>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称：南通市紫琅第一小学</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址：南通市崇川区</w:t>
      </w:r>
      <w:r>
        <w:rPr>
          <w:rFonts w:hint="eastAsia" w:ascii="仿宋" w:hAnsi="仿宋" w:eastAsia="仿宋" w:cs="仿宋"/>
          <w:sz w:val="28"/>
          <w:szCs w:val="28"/>
          <w:highlight w:val="none"/>
          <w:lang w:val="en-US" w:eastAsia="zh-CN"/>
        </w:rPr>
        <w:t xml:space="preserve">胜利路306</w:t>
      </w:r>
      <w:r>
        <w:rPr>
          <w:rFonts w:hint="eastAsia" w:ascii="仿宋" w:hAnsi="仿宋" w:eastAsia="仿宋" w:cs="仿宋"/>
          <w:sz w:val="28"/>
          <w:szCs w:val="28"/>
          <w:highlight w:val="none"/>
        </w:rPr>
        <w:t xml:space="preserve">号</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陈老师</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rPr>
        <w:t xml:space="preserve">0513-69959558</w:t>
      </w:r>
      <w:r>
        <w:rPr>
          <w:rFonts w:hint="eastAsia" w:ascii="仿宋" w:hAnsi="仿宋" w:eastAsia="仿宋" w:cs="仿宋"/>
          <w:sz w:val="28"/>
          <w:szCs w:val="28"/>
          <w:highlight w:val="none"/>
        </w:rPr>
      </w:r>
      <w:r/>
    </w:p>
    <w:p>
      <w:pPr>
        <w:pStyle w:val="885"/>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85"/>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85"/>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85"/>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85"/>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85"/>
        <w:ind w:left="0" w:firstLine="0"/>
        <w:jc w:val="left"/>
        <w:keepLines w:val="0"/>
        <w:keepNext w:val="0"/>
        <w:pageBreakBefore w:val="0"/>
        <w:spacing w:after="0" w:line="46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10"/>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1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10"/>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10"/>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10"/>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10"/>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10"/>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1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ascii="仿宋" w:hAnsi="仿宋" w:eastAsia="仿宋" w:cs="仿宋"/>
          <w:color w:val="000000"/>
          <w:sz w:val="28"/>
          <w:highlight w:val="none"/>
        </w:rPr>
        <w:t xml:space="preserve">4.5供应商的报价超过了采购预算或最高限价的。（涉及多校联合采购的项目，各校均设有独立限价的，供应商对各校的分项报价不得超过对应学校的限价）</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10"/>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10"/>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710"/>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10"/>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10"/>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10"/>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10"/>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10"/>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10"/>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10"/>
        <w:ind w:firstLine="562"/>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10. 评审过程的保密与公正</w:t>
      </w:r>
      <w:r/>
    </w:p>
    <w:p>
      <w:pPr>
        <w:pStyle w:val="710"/>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10"/>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10"/>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10"/>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10"/>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1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1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1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1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1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w:t>
      </w:r>
      <w:r>
        <w:rPr>
          <w:rFonts w:hint="eastAsia" w:ascii="仿宋" w:hAnsi="仿宋" w:eastAsia="仿宋" w:cs="仿宋"/>
          <w:sz w:val="28"/>
          <w:szCs w:val="28"/>
          <w:highlight w:val="none"/>
          <w:lang w:val="en-US" w:eastAsia="zh-CN"/>
        </w:rPr>
        <w:t xml:space="preserve">方式</w:t>
      </w:r>
      <w:r>
        <w:rPr>
          <w:rFonts w:hint="eastAsia" w:ascii="仿宋" w:hAnsi="仿宋" w:eastAsia="仿宋" w:cs="仿宋"/>
          <w:sz w:val="28"/>
          <w:szCs w:val="28"/>
          <w:highlight w:val="none"/>
          <w:lang w:val="zh-CN"/>
        </w:rPr>
        <w:t xml:space="preserve">、采购需求、供应商资格条件及审查结果、评标方法和评标标准、合同文本的询问、质疑请向采购人提出，由采购人负责答复。供应商对除上述事项以外其他事项的询问、质疑请向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1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10"/>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85"/>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10"/>
        <w:ind w:firstLine="0"/>
        <w:jc w:val="center"/>
        <w:rPr>
          <w:color w:val="000000"/>
          <w:sz w:val="28"/>
          <w:szCs w:val="28"/>
          <w:highlight w:val="none"/>
        </w:rPr>
      </w:pPr>
      <w:r>
        <w:rPr>
          <w:color w:val="000000"/>
          <w:sz w:val="28"/>
          <w:szCs w:val="28"/>
          <w:highlight w:val="none"/>
        </w:rPr>
      </w:r>
      <w:r/>
    </w:p>
    <w:p>
      <w:pPr>
        <w:pStyle w:val="710"/>
        <w:ind w:firstLine="0"/>
        <w:jc w:val="center"/>
        <w:rPr>
          <w:color w:val="000000"/>
          <w:sz w:val="28"/>
          <w:szCs w:val="28"/>
          <w:highlight w:val="none"/>
        </w:rPr>
      </w:pPr>
      <w:r>
        <w:rPr>
          <w:color w:val="000000"/>
          <w:sz w:val="28"/>
          <w:szCs w:val="28"/>
          <w:highlight w:val="none"/>
        </w:rPr>
      </w:r>
      <w:r/>
    </w:p>
    <w:p>
      <w:pPr>
        <w:pStyle w:val="710"/>
        <w:ind w:firstLine="0"/>
        <w:jc w:val="center"/>
        <w:rPr>
          <w:color w:val="000000"/>
          <w:sz w:val="28"/>
          <w:szCs w:val="28"/>
          <w:highlight w:val="none"/>
        </w:rPr>
      </w:pPr>
      <w:r>
        <w:rPr>
          <w:color w:val="000000"/>
          <w:sz w:val="28"/>
          <w:szCs w:val="28"/>
          <w:highlight w:val="none"/>
        </w:rPr>
      </w:r>
      <w:r/>
    </w:p>
    <w:p>
      <w:pPr>
        <w:pStyle w:val="710"/>
        <w:ind w:firstLine="0"/>
        <w:jc w:val="center"/>
        <w:rPr>
          <w:rFonts w:hint="eastAsia"/>
          <w:highlight w:val="none"/>
        </w:rPr>
      </w:pPr>
      <w:r>
        <w:rPr>
          <w:rFonts w:hint="eastAsia"/>
          <w:highlight w:val="none"/>
        </w:rPr>
      </w:r>
      <w:r/>
    </w:p>
    <w:p>
      <w:pPr>
        <w:pStyle w:val="872"/>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72"/>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10"/>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712"/>
        <w:ind w:left="0" w:firstLine="420"/>
        <w:spacing w:after="0" w:line="400" w:lineRule="exact"/>
        <w:rPr>
          <w:rFonts w:ascii="宋体" w:hAnsi="宋体"/>
          <w:szCs w:val="21"/>
          <w:highlight w:val="none"/>
        </w:rPr>
      </w:pPr>
      <w:r>
        <w:rPr>
          <w:rFonts w:ascii="宋体" w:hAnsi="宋体"/>
          <w:szCs w:val="21"/>
          <w:highlight w:val="none"/>
        </w:rPr>
      </w:r>
      <w:r/>
    </w:p>
    <w:p>
      <w:pPr>
        <w:pStyle w:val="712"/>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712"/>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712"/>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12"/>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05"/>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0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0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0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0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05"/>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w:t>
      </w:r>
      <w:r>
        <w:rPr>
          <w:rFonts w:hint="eastAsia" w:ascii="宋体" w:hAnsi="宋体" w:eastAsia="宋体" w:cs="宋体"/>
          <w:sz w:val="21"/>
          <w:highlight w:val="none"/>
          <w:lang w:eastAsia="zh-CN"/>
        </w:rPr>
        <w:t xml:space="preserve">采购人</w:t>
      </w:r>
      <w:r>
        <w:rPr>
          <w:rFonts w:hint="eastAsia" w:ascii="宋体" w:hAnsi="宋体" w:eastAsia="宋体" w:cs="宋体"/>
          <w:sz w:val="21"/>
          <w:highlight w:val="none"/>
        </w:rPr>
        <w:t xml:space="preserve">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05"/>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05"/>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05"/>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05"/>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05"/>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05"/>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05"/>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05"/>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06"/>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05"/>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05"/>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05"/>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712"/>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05"/>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712"/>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712"/>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0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05"/>
        <w:rPr>
          <w:rFonts w:ascii="宋体" w:hAnsi="宋体" w:eastAsia="宋体" w:cs="宋体"/>
          <w:color w:val="000000"/>
          <w:sz w:val="21"/>
          <w:highlight w:val="none"/>
        </w:rPr>
      </w:pPr>
      <w:r>
        <w:rPr>
          <w:highlight w:val="none"/>
        </w:rPr>
        <w:br w:type="page" w:clear="all"/>
      </w:r>
      <w:r/>
    </w:p>
    <w:p>
      <w:pPr>
        <w:pStyle w:val="905"/>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8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712"/>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05"/>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05"/>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10"/>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w:t>
      </w:r>
      <w:r>
        <w:rPr>
          <w:rFonts w:hint="eastAsia" w:ascii="宋体" w:hAnsi="宋体"/>
          <w:szCs w:val="21"/>
          <w:highlight w:val="none"/>
          <w:lang w:eastAsia="zh-CN"/>
        </w:rPr>
        <w:t xml:space="preserve">采购</w:t>
      </w:r>
      <w:r>
        <w:rPr>
          <w:rFonts w:hint="eastAsia" w:ascii="宋体" w:hAnsi="宋体"/>
          <w:szCs w:val="21"/>
          <w:highlight w:val="none"/>
          <w:lang w:val="en-US" w:eastAsia="zh-CN"/>
        </w:rPr>
        <w:t xml:space="preserve">方</w:t>
      </w:r>
      <w:r>
        <w:rPr>
          <w:rFonts w:hint="eastAsia" w:ascii="宋体" w:hAnsi="宋体"/>
          <w:szCs w:val="21"/>
          <w:highlight w:val="none"/>
        </w:rPr>
        <w:t xml:space="preserve">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72"/>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72"/>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712"/>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05"/>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75"/>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5"/>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05"/>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5"/>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05"/>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05"/>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12"/>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0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0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0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12"/>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0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0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05"/>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05"/>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712"/>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8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05"/>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10"/>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10"/>
        <w:ind w:firstLine="0"/>
        <w:spacing w:line="440" w:lineRule="exact"/>
        <w:rPr>
          <w:rFonts w:ascii="Times New Roman" w:hAnsi="Times New Roman"/>
          <w:b/>
          <w:bCs/>
          <w:sz w:val="32"/>
          <w:szCs w:val="32"/>
          <w:highlight w:val="none"/>
        </w:rPr>
        <w:outlineLvl w:val="1"/>
      </w:pPr>
      <w:r>
        <w:rPr>
          <w:rFonts w:hint="eastAsia"/>
          <w:b/>
          <w:sz w:val="28"/>
          <w:highlight w:val="none"/>
          <w:lang w:eastAsia="zh-CN"/>
        </w:rPr>
        <w:t xml:space="preserve">项目属性：货物类</w:t>
      </w:r>
      <w:r/>
    </w:p>
    <w:p>
      <w:pPr>
        <w:pStyle w:val="710"/>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681"/>
        <w:tblW w:w="8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421"/>
        <w:gridCol w:w="840"/>
        <w:gridCol w:w="840"/>
        <w:gridCol w:w="4327"/>
      </w:tblGrid>
      <w:tr>
        <w:trPr>
          <w:jc w:val="center"/>
          <w:trHeight w:val="0"/>
          <w:tblHeader/>
        </w:trPr>
        <w:tc>
          <w:tcPr>
            <w:tcW w:w="0" w:type="auto"/>
            <w:vAlign w:val="center"/>
            <w:textDirection w:val="lrTb"/>
            <w:noWrap w:val="false"/>
          </w:tcPr>
          <w:p>
            <w:pPr>
              <w:ind w:left="0" w:right="0" w:firstLine="0"/>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W w:w="0" w:type="auto"/>
            <w:vAlign w:val="center"/>
            <w:textDirection w:val="lrTb"/>
            <w:noWrap w:val="false"/>
          </w:tcPr>
          <w:p>
            <w:pPr>
              <w:ind w:left="0" w:right="0" w:firstLine="0"/>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产品名称</w:t>
            </w:r>
            <w:r/>
          </w:p>
        </w:tc>
        <w:tc>
          <w:tcPr>
            <w:tcW w:w="0" w:type="auto"/>
            <w:vAlign w:val="center"/>
            <w:textDirection w:val="lrTb"/>
            <w:noWrap/>
          </w:tcPr>
          <w:p>
            <w:pPr>
              <w:ind w:left="0" w:right="0" w:firstLine="0"/>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数量</w:t>
            </w:r>
            <w:r/>
          </w:p>
        </w:tc>
        <w:tc>
          <w:tcPr>
            <w:tcW w:w="0" w:type="auto"/>
            <w:vAlign w:val="center"/>
            <w:textDirection w:val="lrTb"/>
            <w:noWrap/>
          </w:tcPr>
          <w:p>
            <w:pPr>
              <w:ind w:left="0" w:right="0" w:firstLine="0"/>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单位</w:t>
            </w:r>
            <w:r/>
          </w:p>
        </w:tc>
        <w:tc>
          <w:tcPr>
            <w:tcW w:w="4327" w:type="dxa"/>
            <w:vAlign w:val="center"/>
            <w:textDirection w:val="lrTb"/>
            <w:noWrap/>
          </w:tcPr>
          <w:p>
            <w:pPr>
              <w:ind w:left="0" w:right="0" w:firstLine="0"/>
              <w:jc w:val="center"/>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对应中小企业划分标准所属行业</w:t>
            </w:r>
            <w:r/>
          </w:p>
        </w:tc>
      </w:tr>
      <w:tr>
        <w:trPr>
          <w:jc w:val="center"/>
          <w:trHeight w:val="0"/>
        </w:trPr>
        <w:tc>
          <w:tcPr>
            <w:tcW w:w="0" w:type="auto"/>
            <w:vAlign w:val="center"/>
            <w:textDirection w:val="lrTb"/>
            <w:noWrap w:val="false"/>
          </w:tcPr>
          <w:p>
            <w:pPr>
              <w:ind w:left="0" w:right="0" w:firstLine="0"/>
              <w:jc w:val="center"/>
              <w:rPr>
                <w:rFonts w:ascii="仿宋" w:hAnsi="仿宋" w:eastAsia="仿宋" w:cs="仿宋"/>
                <w:color w:val="000000"/>
                <w:sz w:val="24"/>
                <w:szCs w:val="24"/>
              </w:rPr>
            </w:pPr>
            <w:r>
              <w:rPr>
                <w:rFonts w:hint="eastAsia" w:ascii="仿宋" w:hAnsi="宋体" w:eastAsia="仿宋" w:cs="宋体"/>
                <w:sz w:val="24"/>
                <w:szCs w:val="21"/>
              </w:rPr>
              <w:t xml:space="preserve">1</w:t>
            </w:r>
            <w:r/>
          </w:p>
        </w:tc>
        <w:tc>
          <w:tcPr>
            <w:tcW w:w="0" w:type="auto"/>
            <w:vAlign w:val="center"/>
            <w:textDirection w:val="lrTb"/>
            <w:noWrap/>
          </w:tcPr>
          <w:p>
            <w:pPr>
              <w:ind w:left="0" w:right="0" w:firstLine="0"/>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定音鼓</w:t>
            </w:r>
            <w:r/>
          </w:p>
        </w:tc>
        <w:tc>
          <w:tcPr>
            <w:tcW w:w="0" w:type="auto"/>
            <w:vAlign w:val="center"/>
            <w:textDirection w:val="lrTb"/>
            <w:noWrap w:val="false"/>
          </w:tcPr>
          <w:p>
            <w:pPr>
              <w:ind w:left="0" w:right="0" w:firstLine="0"/>
              <w:jc w:val="center"/>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w:t>
            </w:r>
            <w:r/>
          </w:p>
        </w:tc>
        <w:tc>
          <w:tcPr>
            <w:tcW w:w="0" w:type="auto"/>
            <w:vAlign w:val="center"/>
            <w:textDirection w:val="lrTb"/>
            <w:noWrap w:val="false"/>
          </w:tcPr>
          <w:p>
            <w:pPr>
              <w:ind w:left="0" w:right="0" w:firstLine="0"/>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组</w:t>
            </w:r>
            <w:r/>
          </w:p>
        </w:tc>
        <w:tc>
          <w:tcPr>
            <w:tcW w:w="4327" w:type="dxa"/>
            <w:vAlign w:val="center"/>
            <w:textDirection w:val="lrTb"/>
            <w:noWrap w:val="false"/>
          </w:tcPr>
          <w:p>
            <w:pPr>
              <w:ind w:left="0" w:right="0" w:firstLine="0"/>
              <w:jc w:val="center"/>
              <w:widowControl/>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bidi="ar"/>
              </w:rPr>
              <w:t xml:space="preserve">工业</w:t>
            </w:r>
            <w:r/>
          </w:p>
        </w:tc>
      </w:tr>
      <w:tr>
        <w:trPr>
          <w:jc w:val="center"/>
          <w:trHeight w:val="0"/>
        </w:trPr>
        <w:tc>
          <w:tcPr>
            <w:tcW w:w="0" w:type="auto"/>
            <w:vAlign w:val="center"/>
            <w:textDirection w:val="lrTb"/>
            <w:noWrap w:val="false"/>
          </w:tcPr>
          <w:p>
            <w:pPr>
              <w:ind w:left="0" w:right="0" w:firstLine="0"/>
              <w:jc w:val="center"/>
              <w:rPr>
                <w:rFonts w:ascii="仿宋" w:hAnsi="仿宋" w:eastAsia="仿宋" w:cs="仿宋"/>
                <w:color w:val="000000"/>
                <w:sz w:val="24"/>
                <w:szCs w:val="24"/>
              </w:rPr>
            </w:pPr>
            <w:r>
              <w:rPr>
                <w:rFonts w:hint="eastAsia" w:ascii="仿宋" w:hAnsi="宋体" w:eastAsia="仿宋" w:cs="宋体"/>
                <w:sz w:val="24"/>
                <w:szCs w:val="21"/>
              </w:rPr>
              <w:t xml:space="preserve">2</w:t>
            </w:r>
            <w:r/>
          </w:p>
        </w:tc>
        <w:tc>
          <w:tcPr>
            <w:tcW w:w="0" w:type="auto"/>
            <w:vAlign w:val="center"/>
            <w:textDirection w:val="lrTb"/>
            <w:noWrap/>
          </w:tcPr>
          <w:p>
            <w:pPr>
              <w:ind w:left="0" w:right="0" w:firstLine="0"/>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马林巴</w:t>
            </w:r>
            <w:r/>
          </w:p>
        </w:tc>
        <w:tc>
          <w:tcPr>
            <w:tcW w:w="0" w:type="auto"/>
            <w:vAlign w:val="center"/>
            <w:textDirection w:val="lrTb"/>
            <w:noWrap w:val="false"/>
          </w:tcPr>
          <w:p>
            <w:pPr>
              <w:ind w:left="0" w:right="0" w:firstLine="0"/>
              <w:jc w:val="center"/>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w:t>
            </w:r>
            <w:r/>
          </w:p>
        </w:tc>
        <w:tc>
          <w:tcPr>
            <w:tcW w:w="0" w:type="auto"/>
            <w:vAlign w:val="center"/>
            <w:textDirection w:val="lrTb"/>
            <w:noWrap w:val="false"/>
          </w:tcPr>
          <w:p>
            <w:pPr>
              <w:ind w:left="0" w:right="0" w:firstLine="0"/>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台</w:t>
            </w:r>
            <w:r/>
          </w:p>
        </w:tc>
        <w:tc>
          <w:tcPr>
            <w:tcW w:w="4327" w:type="dxa"/>
            <w:vAlign w:val="center"/>
            <w:textDirection w:val="lrTb"/>
            <w:noWrap w:val="false"/>
          </w:tcPr>
          <w:p>
            <w:pPr>
              <w:ind w:left="0" w:right="0" w:firstLine="0"/>
              <w:jc w:val="center"/>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bidi="ar"/>
              </w:rPr>
              <w:t xml:space="preserve">工业</w:t>
            </w:r>
            <w:r/>
          </w:p>
        </w:tc>
      </w:tr>
      <w:tr>
        <w:trPr>
          <w:jc w:val="center"/>
          <w:trHeight w:val="0"/>
        </w:trPr>
        <w:tc>
          <w:tcPr>
            <w:tcW w:w="0" w:type="auto"/>
            <w:vAlign w:val="center"/>
            <w:textDirection w:val="lrTb"/>
            <w:noWrap w:val="false"/>
          </w:tcPr>
          <w:p>
            <w:pPr>
              <w:ind w:left="0" w:right="0" w:firstLine="0"/>
              <w:jc w:val="center"/>
              <w:rPr>
                <w:rFonts w:ascii="仿宋" w:hAnsi="仿宋" w:eastAsia="仿宋" w:cs="仿宋"/>
                <w:color w:val="000000"/>
                <w:sz w:val="24"/>
                <w:szCs w:val="24"/>
              </w:rPr>
            </w:pPr>
            <w:r>
              <w:rPr>
                <w:rFonts w:hint="eastAsia" w:ascii="仿宋" w:hAnsi="宋体" w:eastAsia="仿宋" w:cs="宋体"/>
                <w:sz w:val="24"/>
                <w:szCs w:val="21"/>
              </w:rPr>
              <w:t xml:space="preserve">3</w:t>
            </w:r>
            <w:r/>
          </w:p>
        </w:tc>
        <w:tc>
          <w:tcPr>
            <w:tcW w:w="0" w:type="auto"/>
            <w:vAlign w:val="center"/>
            <w:textDirection w:val="lrTb"/>
            <w:noWrap w:val="false"/>
          </w:tcPr>
          <w:p>
            <w:pPr>
              <w:ind w:left="0" w:right="0" w:firstLine="0"/>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交响大鼓</w:t>
            </w:r>
            <w:r/>
          </w:p>
        </w:tc>
        <w:tc>
          <w:tcPr>
            <w:tcW w:w="0" w:type="auto"/>
            <w:vAlign w:val="center"/>
            <w:textDirection w:val="lrTb"/>
            <w:noWrap w:val="false"/>
          </w:tcPr>
          <w:p>
            <w:pPr>
              <w:ind w:left="0" w:right="0" w:firstLine="0"/>
              <w:jc w:val="center"/>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w:t>
            </w:r>
            <w:r/>
          </w:p>
        </w:tc>
        <w:tc>
          <w:tcPr>
            <w:tcW w:w="0" w:type="auto"/>
            <w:vAlign w:val="center"/>
            <w:textDirection w:val="lrTb"/>
            <w:noWrap w:val="false"/>
          </w:tcPr>
          <w:p>
            <w:pPr>
              <w:ind w:left="0" w:right="0" w:firstLine="0"/>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台</w:t>
            </w:r>
            <w:r/>
          </w:p>
        </w:tc>
        <w:tc>
          <w:tcPr>
            <w:tcW w:w="4327" w:type="dxa"/>
            <w:vAlign w:val="center"/>
            <w:textDirection w:val="lrTb"/>
            <w:noWrap w:val="false"/>
          </w:tcPr>
          <w:p>
            <w:pPr>
              <w:ind w:left="0" w:right="0" w:firstLine="0"/>
              <w:jc w:val="center"/>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bidi="ar"/>
              </w:rPr>
              <w:t xml:space="preserve">工业</w:t>
            </w:r>
            <w:r/>
          </w:p>
        </w:tc>
      </w:tr>
      <w:tr>
        <w:trPr>
          <w:jc w:val="center"/>
          <w:trHeight w:val="0"/>
        </w:trPr>
        <w:tc>
          <w:tcPr>
            <w:tcW w:w="0" w:type="auto"/>
            <w:vAlign w:val="center"/>
            <w:textDirection w:val="lrTb"/>
            <w:noWrap w:val="false"/>
          </w:tcPr>
          <w:p>
            <w:pPr>
              <w:ind w:left="0" w:right="0" w:firstLine="0"/>
              <w:jc w:val="center"/>
              <w:rPr>
                <w:rFonts w:ascii="仿宋" w:hAnsi="宋体" w:eastAsia="仿宋" w:cs="宋体"/>
                <w:sz w:val="24"/>
                <w:szCs w:val="21"/>
              </w:rPr>
            </w:pPr>
            <w:r>
              <w:rPr>
                <w:rFonts w:hint="eastAsia" w:ascii="仿宋" w:hAnsi="宋体" w:eastAsia="仿宋" w:cs="宋体"/>
                <w:sz w:val="24"/>
                <w:szCs w:val="21"/>
              </w:rPr>
              <w:t xml:space="preserve">4</w:t>
            </w:r>
            <w:r/>
          </w:p>
        </w:tc>
        <w:tc>
          <w:tcPr>
            <w:tcW w:w="0" w:type="auto"/>
            <w:vAlign w:val="center"/>
            <w:textDirection w:val="lrTb"/>
            <w:noWrap w:val="false"/>
          </w:tcPr>
          <w:p>
            <w:pPr>
              <w:ind w:left="0" w:right="0" w:firstLine="0"/>
              <w:jc w:val="center"/>
              <w:rPr>
                <w:rFonts w:hint="default" w:ascii="仿宋" w:hAnsi="宋体" w:eastAsia="仿宋" w:cs="宋体"/>
                <w:sz w:val="24"/>
                <w:szCs w:val="21"/>
                <w:lang w:val="en-US" w:eastAsia="zh-CN"/>
              </w:rPr>
            </w:pPr>
            <w:r>
              <w:rPr>
                <w:rFonts w:hint="eastAsia" w:ascii="仿宋" w:hAnsi="宋体" w:eastAsia="仿宋" w:cs="宋体"/>
                <w:sz w:val="24"/>
                <w:szCs w:val="21"/>
                <w:lang w:val="en-US" w:eastAsia="zh-CN"/>
              </w:rPr>
              <w:t xml:space="preserve">管钟</w:t>
            </w:r>
            <w:r/>
          </w:p>
        </w:tc>
        <w:tc>
          <w:tcPr>
            <w:tcW w:w="0" w:type="auto"/>
            <w:vAlign w:val="center"/>
            <w:textDirection w:val="lrTb"/>
            <w:noWrap w:val="false"/>
          </w:tcPr>
          <w:p>
            <w:pPr>
              <w:ind w:left="0" w:right="0" w:firstLine="0"/>
              <w:jc w:val="center"/>
              <w:rPr>
                <w:rFonts w:ascii="仿宋" w:hAnsi="仿宋" w:eastAsia="仿宋" w:cs="仿宋"/>
                <w:color w:val="000000"/>
                <w:sz w:val="24"/>
                <w:szCs w:val="24"/>
                <w:lang w:bidi="ar"/>
              </w:rPr>
            </w:pPr>
            <w:r>
              <w:rPr>
                <w:rFonts w:hint="eastAsia" w:ascii="仿宋" w:hAnsi="宋体" w:eastAsia="仿宋" w:cs="宋体"/>
                <w:sz w:val="24"/>
                <w:szCs w:val="21"/>
              </w:rPr>
              <w:t xml:space="preserve">1</w:t>
            </w:r>
            <w:r/>
          </w:p>
        </w:tc>
        <w:tc>
          <w:tcPr>
            <w:tcW w:w="0" w:type="auto"/>
            <w:vAlign w:val="center"/>
            <w:textDirection w:val="lrTb"/>
            <w:noWrap w:val="false"/>
          </w:tcPr>
          <w:p>
            <w:pPr>
              <w:ind w:left="0" w:right="0" w:firstLine="0"/>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台</w:t>
            </w:r>
            <w:r/>
          </w:p>
        </w:tc>
        <w:tc>
          <w:tcPr>
            <w:tcW w:w="4327" w:type="dxa"/>
            <w:vAlign w:val="center"/>
            <w:textDirection w:val="lrTb"/>
            <w:noWrap w:val="false"/>
          </w:tcPr>
          <w:p>
            <w:pPr>
              <w:ind w:left="0" w:right="0" w:firstLine="0"/>
              <w:jc w:val="center"/>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bidi="ar"/>
              </w:rPr>
              <w:t xml:space="preserve">工业</w:t>
            </w:r>
            <w:r/>
          </w:p>
        </w:tc>
      </w:tr>
      <w:tr>
        <w:trPr>
          <w:jc w:val="center"/>
          <w:trHeight w:val="0"/>
        </w:trPr>
        <w:tc>
          <w:tcPr>
            <w:tcW w:w="0" w:type="auto"/>
            <w:vAlign w:val="center"/>
            <w:textDirection w:val="lrTb"/>
            <w:noWrap w:val="false"/>
          </w:tcPr>
          <w:p>
            <w:pPr>
              <w:ind w:left="0" w:right="0" w:firstLine="0"/>
              <w:jc w:val="center"/>
              <w:rPr>
                <w:rFonts w:ascii="仿宋" w:hAnsi="宋体" w:eastAsia="仿宋" w:cs="宋体"/>
                <w:sz w:val="24"/>
                <w:szCs w:val="21"/>
              </w:rPr>
            </w:pPr>
            <w:r>
              <w:rPr>
                <w:rFonts w:hint="eastAsia" w:ascii="仿宋" w:hAnsi="宋体" w:eastAsia="仿宋" w:cs="宋体"/>
                <w:sz w:val="24"/>
                <w:szCs w:val="21"/>
              </w:rPr>
              <w:t xml:space="preserve">5</w:t>
            </w:r>
            <w:r/>
          </w:p>
        </w:tc>
        <w:tc>
          <w:tcPr>
            <w:tcW w:w="0" w:type="auto"/>
            <w:vAlign w:val="center"/>
            <w:textDirection w:val="lrTb"/>
            <w:noWrap w:val="false"/>
          </w:tcPr>
          <w:p>
            <w:pPr>
              <w:ind w:left="0" w:right="0" w:firstLine="0"/>
              <w:jc w:val="center"/>
              <w:rPr>
                <w:rFonts w:hint="default" w:ascii="仿宋" w:hAnsi="宋体" w:eastAsia="仿宋" w:cs="宋体"/>
                <w:sz w:val="24"/>
                <w:szCs w:val="21"/>
                <w:lang w:val="en-US" w:eastAsia="zh-CN"/>
              </w:rPr>
            </w:pPr>
            <w:r>
              <w:rPr>
                <w:rFonts w:hint="eastAsia" w:ascii="仿宋" w:hAnsi="宋体" w:eastAsia="仿宋" w:cs="宋体"/>
                <w:sz w:val="24"/>
                <w:szCs w:val="21"/>
                <w:lang w:val="en-US" w:eastAsia="zh-CN"/>
              </w:rPr>
              <w:t xml:space="preserve">止音钟琴</w:t>
            </w:r>
            <w:r/>
          </w:p>
        </w:tc>
        <w:tc>
          <w:tcPr>
            <w:tcW w:w="0" w:type="auto"/>
            <w:vAlign w:val="center"/>
            <w:textDirection w:val="lrTb"/>
            <w:noWrap w:val="false"/>
          </w:tcPr>
          <w:p>
            <w:pPr>
              <w:ind w:left="0" w:right="0" w:firstLine="0"/>
              <w:jc w:val="center"/>
              <w:rPr>
                <w:rFonts w:ascii="仿宋" w:hAnsi="仿宋" w:eastAsia="仿宋" w:cs="仿宋"/>
                <w:color w:val="000000"/>
                <w:sz w:val="24"/>
                <w:szCs w:val="24"/>
                <w:lang w:bidi="ar"/>
              </w:rPr>
            </w:pPr>
            <w:r>
              <w:rPr>
                <w:rFonts w:hint="eastAsia" w:ascii="仿宋" w:hAnsi="宋体" w:eastAsia="仿宋" w:cs="宋体"/>
                <w:sz w:val="24"/>
                <w:szCs w:val="21"/>
              </w:rPr>
              <w:t xml:space="preserve">1</w:t>
            </w:r>
            <w:r/>
          </w:p>
        </w:tc>
        <w:tc>
          <w:tcPr>
            <w:tcW w:w="0" w:type="auto"/>
            <w:vAlign w:val="center"/>
            <w:textDirection w:val="lrTb"/>
            <w:noWrap w:val="false"/>
          </w:tcPr>
          <w:p>
            <w:pPr>
              <w:ind w:left="0" w:right="0" w:firstLine="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台</w:t>
            </w:r>
            <w:r/>
          </w:p>
        </w:tc>
        <w:tc>
          <w:tcPr>
            <w:tcW w:w="4327" w:type="dxa"/>
            <w:vAlign w:val="center"/>
            <w:textDirection w:val="lrTb"/>
            <w:noWrap w:val="false"/>
          </w:tcPr>
          <w:p>
            <w:pPr>
              <w:ind w:left="0" w:right="0" w:firstLine="0"/>
              <w:jc w:val="center"/>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bidi="ar"/>
              </w:rPr>
              <w:t xml:space="preserve">工业</w:t>
            </w:r>
            <w:r/>
          </w:p>
        </w:tc>
      </w:tr>
      <w:tr>
        <w:trPr>
          <w:jc w:val="center"/>
          <w:trHeight w:val="0"/>
        </w:trPr>
        <w:tc>
          <w:tcPr>
            <w:tcW w:w="840" w:type="dxa"/>
            <w:vAlign w:val="center"/>
            <w:textDirection w:val="lrTb"/>
            <w:noWrap w:val="false"/>
          </w:tcPr>
          <w:p>
            <w:pPr>
              <w:ind w:left="0" w:right="0" w:firstLine="0"/>
              <w:jc w:val="center"/>
              <w:rPr>
                <w:rFonts w:ascii="仿宋" w:hAnsi="宋体" w:eastAsia="仿宋" w:cs="宋体"/>
                <w:sz w:val="24"/>
                <w:szCs w:val="21"/>
              </w:rPr>
            </w:pPr>
            <w:r>
              <w:rPr>
                <w:rFonts w:hint="eastAsia" w:ascii="仿宋" w:hAnsi="宋体" w:eastAsia="仿宋" w:cs="宋体"/>
                <w:sz w:val="24"/>
                <w:szCs w:val="21"/>
              </w:rPr>
              <w:t xml:space="preserve">6</w:t>
            </w:r>
            <w:r/>
          </w:p>
        </w:tc>
        <w:tc>
          <w:tcPr>
            <w:tcW w:w="1421" w:type="dxa"/>
            <w:vAlign w:val="center"/>
            <w:textDirection w:val="lrTb"/>
            <w:noWrap w:val="false"/>
          </w:tcPr>
          <w:p>
            <w:pPr>
              <w:ind w:left="0" w:right="0" w:firstLine="0"/>
              <w:jc w:val="center"/>
              <w:rPr>
                <w:rFonts w:hint="default" w:ascii="仿宋" w:hAnsi="宋体" w:eastAsia="仿宋" w:cs="宋体"/>
                <w:sz w:val="24"/>
                <w:szCs w:val="21"/>
                <w:lang w:val="en-US" w:eastAsia="zh-CN"/>
              </w:rPr>
            </w:pPr>
            <w:r>
              <w:rPr>
                <w:rFonts w:hint="eastAsia" w:ascii="仿宋" w:hAnsi="宋体" w:eastAsia="仿宋" w:cs="宋体"/>
                <w:sz w:val="24"/>
                <w:szCs w:val="21"/>
                <w:lang w:val="en-US" w:eastAsia="zh-CN"/>
              </w:rPr>
              <w:t xml:space="preserve">高音木琴</w:t>
            </w:r>
            <w:r/>
          </w:p>
        </w:tc>
        <w:tc>
          <w:tcPr>
            <w:tcW w:w="840" w:type="dxa"/>
            <w:vAlign w:val="center"/>
            <w:textDirection w:val="lrTb"/>
            <w:noWrap w:val="false"/>
          </w:tcPr>
          <w:p>
            <w:pPr>
              <w:ind w:left="0" w:right="0" w:firstLine="0"/>
              <w:jc w:val="center"/>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w:t>
            </w:r>
            <w:r/>
          </w:p>
        </w:tc>
        <w:tc>
          <w:tcPr>
            <w:tcW w:w="840" w:type="dxa"/>
            <w:vAlign w:val="center"/>
            <w:textDirection w:val="lrTb"/>
            <w:noWrap w:val="false"/>
          </w:tcPr>
          <w:p>
            <w:pPr>
              <w:ind w:left="0" w:right="0" w:firstLine="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台</w:t>
            </w:r>
            <w:r/>
          </w:p>
        </w:tc>
        <w:tc>
          <w:tcPr>
            <w:tcW w:w="4327" w:type="dxa"/>
            <w:vAlign w:val="center"/>
            <w:textDirection w:val="lrTb"/>
            <w:noWrap w:val="false"/>
          </w:tcPr>
          <w:p>
            <w:pPr>
              <w:ind w:left="0" w:right="0" w:firstLine="0"/>
              <w:jc w:val="center"/>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bidi="ar"/>
              </w:rPr>
              <w:t xml:space="preserve">工业</w:t>
            </w:r>
            <w:r/>
          </w:p>
        </w:tc>
      </w:tr>
    </w:tbl>
    <w:p>
      <w:pPr>
        <w:pStyle w:val="710"/>
        <w:ind w:firstLine="0"/>
        <w:spacing w:line="480" w:lineRule="exact"/>
        <w:rPr>
          <w:rFonts w:hint="eastAsia" w:ascii="仿宋" w:hAnsi="仿宋" w:eastAsia="仿宋" w:cs="仿宋"/>
          <w:b/>
          <w:sz w:val="24"/>
          <w:szCs w:val="24"/>
          <w:highlight w:val="none"/>
        </w:rPr>
        <w:outlineLvl w:val="1"/>
      </w:pPr>
      <w:r>
        <w:rPr>
          <w:rFonts w:hint="eastAsia" w:ascii="仿宋" w:hAnsi="仿宋" w:eastAsia="仿宋" w:cs="仿宋"/>
          <w:b/>
          <w:sz w:val="24"/>
          <w:szCs w:val="24"/>
          <w:highlight w:val="none"/>
          <w:lang w:eastAsia="zh-CN"/>
        </w:rPr>
        <w:t xml:space="preserve">核心产品：</w:t>
      </w:r>
      <w:r>
        <w:rPr>
          <w:rFonts w:hint="eastAsia" w:ascii="仿宋" w:hAnsi="仿宋" w:eastAsia="仿宋" w:cs="仿宋"/>
          <w:b/>
          <w:bCs/>
          <w:color w:val="000000"/>
          <w:sz w:val="24"/>
          <w:szCs w:val="24"/>
          <w:highlight w:val="none"/>
          <w:lang w:val="en-US" w:eastAsia="zh-CN"/>
        </w:rPr>
        <w:t xml:space="preserve">定音鼓</w:t>
      </w:r>
      <w:r>
        <w:rPr>
          <w:highlight w:val="none"/>
        </w:rPr>
      </w:r>
    </w:p>
    <w:p>
      <w:pPr>
        <w:pStyle w:val="710"/>
        <w:ind w:firstLine="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keepLines w:val="0"/>
        <w:keepNext w:val="0"/>
        <w:pageBreakBefore w:val="0"/>
        <w:spacing w:line="48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spacing w:after="62" w:line="440" w:lineRule="exact"/>
        <w:rPr>
          <w:rFonts w:eastAsia="仿宋"/>
          <w:bCs/>
          <w:sz w:val="24"/>
          <w:szCs w:val="24"/>
        </w:rPr>
      </w:pPr>
      <w:r>
        <w:rPr>
          <w:rFonts w:hint="eastAsia" w:eastAsia="仿宋"/>
          <w:bCs/>
          <w:sz w:val="24"/>
          <w:szCs w:val="24"/>
        </w:rPr>
        <w:t xml:space="preserve">项目包括所需设备的包装、运输（运到采购人指定地点）、安装调试、试运行、验收、技术培训、成品保护、售后服务、质保等。以上所涉及并产生的费用均包含在响应总价中，成交人不得再要求追加任何费用。</w:t>
      </w:r>
      <w:r/>
    </w:p>
    <w:p>
      <w:pPr>
        <w:spacing w:after="62"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1.定音鼓</w:t>
      </w:r>
      <w:r>
        <w:rPr>
          <w:rFonts w:hint="eastAsia" w:ascii="仿宋" w:hAnsi="仿宋" w:eastAsia="仿宋" w:cs="仿宋"/>
          <w:b/>
          <w:bCs/>
          <w:sz w:val="24"/>
          <w:szCs w:val="24"/>
          <w:lang w:eastAsia="zh-CN"/>
        </w:rPr>
        <w:t xml:space="preserve">：</w:t>
      </w:r>
      <w:r/>
    </w:p>
    <w:p>
      <w:pPr>
        <w:numPr>
          <w:ilvl w:val="0"/>
          <w:numId w:val="1"/>
        </w:numPr>
        <w:ind w:left="425" w:hanging="425"/>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尺寸不大于20"23"26"29"32</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rPr>
        <w:t xml:space="preserve">。</w:t>
      </w:r>
      <w:r/>
    </w:p>
    <w:p>
      <w:pPr>
        <w:numPr>
          <w:ilvl w:val="0"/>
          <w:numId w:val="1"/>
        </w:numPr>
        <w:ind w:left="425" w:hanging="425"/>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腔体为铜板冲压成型。</w:t>
      </w:r>
      <w:r/>
    </w:p>
    <w:p>
      <w:pPr>
        <w:numPr>
          <w:ilvl w:val="0"/>
          <w:numId w:val="1"/>
        </w:numPr>
        <w:ind w:left="425" w:hanging="425"/>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腔体为紫铜板，采取手工砸点工艺。</w:t>
      </w:r>
      <w:r/>
    </w:p>
    <w:p>
      <w:pPr>
        <w:numPr>
          <w:ilvl w:val="0"/>
          <w:numId w:val="1"/>
        </w:numPr>
        <w:ind w:left="425" w:hanging="425"/>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鼓腔口部护腔圈到底盘架要有支撑杆支撑，每只支撑杆顶部要求U型双爪式固定护腔圈，不能少于四根。</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（5）</w:t>
      </w:r>
      <w:r>
        <w:rPr>
          <w:rFonts w:hint="eastAsia" w:ascii="仿宋" w:hAnsi="仿宋" w:eastAsia="仿宋" w:cs="仿宋"/>
          <w:b w:val="0"/>
          <w:bCs w:val="0"/>
          <w:sz w:val="24"/>
          <w:szCs w:val="24"/>
        </w:rPr>
        <w:t xml:space="preserve">鼓皮压紧圈要求特质加厚不锈钢圈，平竖面宽度各不能小于1.9cm，不能高于2.1cm。</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（6）</w:t>
      </w:r>
      <w:r>
        <w:rPr>
          <w:rFonts w:hint="eastAsia" w:ascii="仿宋" w:hAnsi="仿宋" w:eastAsia="仿宋" w:cs="仿宋"/>
          <w:b w:val="0"/>
          <w:bCs w:val="0"/>
          <w:sz w:val="24"/>
          <w:szCs w:val="24"/>
        </w:rPr>
        <w:t xml:space="preserve">鼓架调音底盘要求罗盘式底盘。罗盘上带有手控平稳装置系统。</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（7）</w:t>
      </w:r>
      <w:r>
        <w:rPr>
          <w:rFonts w:hint="eastAsia" w:ascii="仿宋" w:hAnsi="仿宋" w:eastAsia="仿宋" w:cs="仿宋"/>
          <w:b w:val="0"/>
          <w:bCs w:val="0"/>
          <w:sz w:val="24"/>
          <w:szCs w:val="24"/>
        </w:rPr>
        <w:t xml:space="preserve">鼓皮圈与罗盘式底盘要有直</w:t>
      </w:r>
      <w:r>
        <w:rPr>
          <w:rFonts w:hint="eastAsia" w:ascii="仿宋" w:hAnsi="仿宋" w:eastAsia="仿宋" w:cs="仿宋"/>
          <w:b w:val="0"/>
          <w:bCs w:val="0"/>
          <w:sz w:val="24"/>
          <w:szCs w:val="24"/>
          <w:lang w:val="en-US" w:eastAsia="zh-CN"/>
        </w:rPr>
        <w:t xml:space="preserve">行</w:t>
      </w:r>
      <w:r>
        <w:rPr>
          <w:rFonts w:hint="eastAsia" w:ascii="仿宋" w:hAnsi="仿宋" w:eastAsia="仿宋" w:cs="仿宋"/>
          <w:b w:val="0"/>
          <w:bCs w:val="0"/>
          <w:sz w:val="24"/>
          <w:szCs w:val="24"/>
        </w:rPr>
        <w:t xml:space="preserve">调音拉杆，每只鼓不能少于8根。</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（8）</w:t>
      </w:r>
      <w:r>
        <w:rPr>
          <w:rFonts w:hint="eastAsia" w:ascii="仿宋" w:hAnsi="仿宋" w:eastAsia="仿宋" w:cs="仿宋"/>
          <w:b w:val="0"/>
          <w:bCs w:val="0"/>
          <w:sz w:val="24"/>
          <w:szCs w:val="24"/>
        </w:rPr>
        <w:t xml:space="preserve">调音踏板要求悬空式脚控离合器踏板。</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（9）</w:t>
      </w:r>
      <w:r>
        <w:rPr>
          <w:rFonts w:hint="eastAsia" w:ascii="仿宋" w:hAnsi="仿宋" w:eastAsia="仿宋" w:cs="仿宋"/>
          <w:b w:val="0"/>
          <w:bCs w:val="0"/>
          <w:sz w:val="24"/>
          <w:szCs w:val="24"/>
        </w:rPr>
        <w:t xml:space="preserve">脚控调音踏板的位置要求在鼓腔的8点或4点位置。</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（10）</w:t>
      </w:r>
      <w:r>
        <w:rPr>
          <w:rFonts w:hint="eastAsia" w:ascii="仿宋" w:hAnsi="仿宋" w:eastAsia="仿宋" w:cs="仿宋"/>
          <w:b w:val="0"/>
          <w:bCs w:val="0"/>
          <w:sz w:val="24"/>
          <w:szCs w:val="24"/>
        </w:rPr>
        <w:t xml:space="preserve">每只鼓的音域不能低于6度音。</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（11）</w:t>
      </w:r>
      <w:r>
        <w:rPr>
          <w:rFonts w:hint="eastAsia" w:ascii="仿宋" w:hAnsi="仿宋" w:eastAsia="仿宋" w:cs="仿宋"/>
          <w:b w:val="0"/>
          <w:bCs w:val="0"/>
          <w:sz w:val="24"/>
          <w:szCs w:val="24"/>
        </w:rPr>
        <w:t xml:space="preserve">每只鼓带有调音指针器。指针器的位置必须为鼓的3点或9点位置。</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（12）</w:t>
      </w:r>
      <w:r>
        <w:rPr>
          <w:rFonts w:hint="eastAsia" w:ascii="仿宋" w:hAnsi="仿宋" w:eastAsia="仿宋" w:cs="仿宋"/>
          <w:b w:val="0"/>
          <w:bCs w:val="0"/>
          <w:sz w:val="24"/>
          <w:szCs w:val="24"/>
        </w:rPr>
        <w:t xml:space="preserve">每只鼓带调鼓鼓锁</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rPr>
        <w:t xml:space="preserve">止音垫。</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（13）</w:t>
      </w:r>
      <w:r>
        <w:rPr>
          <w:rFonts w:hint="eastAsia" w:ascii="仿宋" w:hAnsi="仿宋" w:eastAsia="仿宋" w:cs="仿宋"/>
          <w:b w:val="0"/>
          <w:bCs w:val="0"/>
          <w:sz w:val="24"/>
          <w:szCs w:val="24"/>
        </w:rPr>
        <w:t xml:space="preserve">鼓皮为特制REMO仿兽皮。</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（14）</w:t>
      </w:r>
      <w:r>
        <w:rPr>
          <w:rFonts w:hint="eastAsia" w:ascii="仿宋" w:hAnsi="仿宋" w:eastAsia="仿宋" w:cs="仿宋"/>
          <w:b w:val="0"/>
          <w:bCs w:val="0"/>
          <w:sz w:val="24"/>
          <w:szCs w:val="24"/>
        </w:rPr>
        <w:t xml:space="preserve">只鼓带有自贡型平衡调节支撑螺丝。不能少于3个。</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（15）</w:t>
      </w:r>
      <w:r>
        <w:rPr>
          <w:rFonts w:hint="eastAsia" w:ascii="仿宋" w:hAnsi="仿宋" w:eastAsia="仿宋" w:cs="仿宋"/>
          <w:b w:val="0"/>
          <w:bCs w:val="0"/>
          <w:sz w:val="24"/>
          <w:szCs w:val="24"/>
        </w:rPr>
        <w:t xml:space="preserve">每只鼓带有静音耐磨双滑轮，并附带面刹。</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（16）</w:t>
      </w:r>
      <w:r>
        <w:rPr>
          <w:rFonts w:hint="eastAsia" w:ascii="仿宋" w:hAnsi="仿宋" w:eastAsia="仿宋" w:cs="仿宋"/>
          <w:b w:val="0"/>
          <w:bCs w:val="0"/>
          <w:sz w:val="24"/>
          <w:szCs w:val="24"/>
        </w:rPr>
        <w:t xml:space="preserve">每只鼓带有高档鼓盖。</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（17）</w:t>
      </w:r>
      <w:r>
        <w:rPr>
          <w:rFonts w:hint="eastAsia" w:ascii="仿宋" w:hAnsi="仿宋" w:eastAsia="仿宋" w:cs="仿宋"/>
          <w:b w:val="0"/>
          <w:bCs w:val="0"/>
          <w:sz w:val="24"/>
          <w:szCs w:val="24"/>
        </w:rPr>
        <w:t xml:space="preserve">每只鼓带帆布鼓套，附带鼓槌1套，软硬各1</w:t>
      </w:r>
      <w:r>
        <w:rPr>
          <w:rFonts w:hint="eastAsia" w:ascii="仿宋" w:hAnsi="仿宋" w:eastAsia="仿宋" w:cs="仿宋"/>
          <w:b w:val="0"/>
          <w:bCs w:val="0"/>
          <w:sz w:val="24"/>
          <w:szCs w:val="24"/>
          <w:lang w:val="en-US" w:eastAsia="zh-CN"/>
        </w:rPr>
        <w:t xml:space="preserve">副</w:t>
      </w:r>
      <w:r>
        <w:rPr>
          <w:rFonts w:hint="eastAsia" w:ascii="仿宋" w:hAnsi="仿宋" w:eastAsia="仿宋" w:cs="仿宋"/>
          <w:b w:val="0"/>
          <w:bCs w:val="0"/>
          <w:sz w:val="24"/>
          <w:szCs w:val="24"/>
        </w:rPr>
        <w:t xml:space="preserve">。</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（18）</w:t>
      </w:r>
      <w:r>
        <w:rPr>
          <w:rFonts w:hint="eastAsia" w:ascii="仿宋" w:hAnsi="仿宋" w:eastAsia="仿宋" w:cs="仿宋"/>
          <w:b w:val="0"/>
          <w:bCs w:val="0"/>
          <w:sz w:val="24"/>
          <w:szCs w:val="24"/>
        </w:rPr>
        <w:t xml:space="preserve">航空箱</w:t>
      </w:r>
      <w:r/>
    </w:p>
    <w:p>
      <w:pPr>
        <w:numPr>
          <w:ilvl w:val="0"/>
          <w:numId w:val="0"/>
        </w:num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2.马林巴：</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产品规格：4.5组，52键，音域：A2-C7</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音频标准：A=442 Hz:23°</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音板尺寸：76—39mm</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音板材质：非洲花梨</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琴体材质：橡木</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共鸣管材质：航空铝合金</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琴架材质：45#合金钢（刚性与支撑力及稳定性更优秀）</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升降系统：液压辅助升降</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体积：长 2200 宽 886-400 高 1050—850mm</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包装：木包装 1件 体积 1230*590*1000=0.72m³</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毛重：97千克</w:t>
      </w:r>
      <w:r/>
    </w:p>
    <w:p>
      <w:pPr>
        <w:numPr>
          <w:ilvl w:val="0"/>
          <w:numId w:val="0"/>
        </w:num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3.交响大鼓：</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鼓皮：仿兽鼓皮；鼓腔：杨木贴PVC；鼓耳：锌合金压铸，表面镀铬；支架：优质碳素钢；鼓圈：枫木烤漆；规格：40"x18"</w:t>
      </w:r>
      <w:r/>
    </w:p>
    <w:p>
      <w:pPr>
        <w:numPr>
          <w:ilvl w:val="0"/>
          <w:numId w:val="0"/>
        </w:num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4.管钟：</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产品规格：定音：A=442Hz  音域：B4-G6 1 1/4八度 </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音管材质：专用黄铜 </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表面处理：漆金/镀镍 </w:t>
      </w:r>
      <w:r/>
    </w:p>
    <w:p>
      <w:pPr>
        <w:numPr>
          <w:ilvl w:val="0"/>
          <w:numId w:val="0"/>
        </w:num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框架：铸铝  长X宽X高（MM）：1880X1050X700</w:t>
      </w:r>
      <w:r/>
    </w:p>
    <w:p>
      <w:pPr>
        <w:numPr>
          <w:ilvl w:val="0"/>
          <w:numId w:val="0"/>
        </w:num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5.止音钟琴：</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产品规格：3组 37键 止音钟琴 音域：C5-C8</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音频标准：A=442 Hz:23°</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音板尺寸：30mm 音板材质：特硬合金铝</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琴体材质：非洲橡木</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共鸣管材质：航空铝合金</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琴架材质：45#合金钢 </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升价系统：手动升降 </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体积：长1000宽 460-300 高 1050—800mm </w:t>
      </w:r>
      <w:r/>
    </w:p>
    <w:p>
      <w:pPr>
        <w:numPr>
          <w:ilvl w:val="0"/>
          <w:numId w:val="0"/>
        </w:num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6.高音木琴：</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产品规格：3.5组44键高音木琴  音域：F4-C8</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音频标准：A=442 Hz:23°</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音板尺寸：39mm</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音板材质：非洲红木/红都拉丝玫瑰木</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琴体材质：橡木</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共鸣管材质：航空铝合金</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琴架材质：45#合金钢</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升降系统：气缸辅助升降</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体积：长 1500宽 650-360 高 1050—850mm</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包装：纸包装 1件 体积 1420*600*320=0.27m³ 毛重：35 千克</w:t>
      </w:r>
      <w:r/>
    </w:p>
    <w:p>
      <w:pPr>
        <w:keepLines w:val="0"/>
        <w:keepNext w:val="0"/>
        <w:pageBreakBefore w:val="0"/>
        <w:spacing w:after="62" w:line="440" w:lineRule="exact"/>
        <w:widowControl w:val="off"/>
        <w:rPr>
          <w:rFonts w:eastAsia="仿宋"/>
          <w:b/>
          <w:bCs/>
          <w:sz w:val="28"/>
          <w:szCs w:val="28"/>
        </w:rPr>
      </w:pPr>
      <w:r>
        <w:rPr>
          <w:rFonts w:hint="eastAsia" w:eastAsia="仿宋"/>
          <w:b/>
          <w:bCs/>
          <w:sz w:val="28"/>
          <w:szCs w:val="28"/>
        </w:rPr>
        <w:t xml:space="preserve">（四）采购标的需满足的服务标准、期限、效率等要求</w:t>
      </w:r>
      <w:r/>
    </w:p>
    <w:p>
      <w:pPr>
        <w:spacing w:after="62" w:line="360" w:lineRule="auto"/>
        <w:rPr>
          <w:rFonts w:eastAsia="仿宋"/>
          <w:sz w:val="24"/>
          <w:szCs w:val="24"/>
          <w:highlight w:val="none"/>
        </w:rPr>
      </w:pPr>
      <w:r>
        <w:rPr>
          <w:rFonts w:hint="eastAsia" w:eastAsia="仿宋"/>
          <w:sz w:val="24"/>
          <w:szCs w:val="24"/>
          <w:highlight w:val="none"/>
        </w:rPr>
        <w:t xml:space="preserve">1.供应商</w:t>
      </w:r>
      <w:r>
        <w:rPr>
          <w:rFonts w:eastAsia="仿宋"/>
          <w:sz w:val="24"/>
          <w:szCs w:val="24"/>
          <w:highlight w:val="none"/>
        </w:rPr>
        <w:t xml:space="preserve">应保证货物是全新、未使用过的原厂合格产品，并完全符合投标文件的质量、规格和参数的要求</w:t>
      </w:r>
      <w:r>
        <w:rPr>
          <w:rFonts w:hint="eastAsia" w:eastAsia="仿宋"/>
          <w:sz w:val="24"/>
          <w:szCs w:val="24"/>
          <w:highlight w:val="none"/>
        </w:rPr>
        <w:t xml:space="preserve">，全部乐器均应满足 GB28489-2022《乐器有害物质限量》</w:t>
      </w:r>
      <w:r>
        <w:rPr>
          <w:rFonts w:hint="eastAsia" w:eastAsia="仿宋"/>
          <w:sz w:val="24"/>
          <w:szCs w:val="24"/>
          <w:highlight w:val="none"/>
          <w:lang w:eastAsia="zh-CN"/>
        </w:rPr>
        <w:t xml:space="preserve">强制性国家标准</w:t>
      </w:r>
      <w:r>
        <w:rPr>
          <w:rFonts w:hint="eastAsia" w:eastAsia="仿宋"/>
          <w:sz w:val="24"/>
          <w:szCs w:val="24"/>
          <w:highlight w:val="none"/>
        </w:rPr>
        <w:t xml:space="preserve">。</w:t>
      </w:r>
      <w:r/>
    </w:p>
    <w:p>
      <w:pPr>
        <w:spacing w:after="62" w:line="360" w:lineRule="auto"/>
        <w:rPr>
          <w:rFonts w:eastAsia="仿宋"/>
          <w:sz w:val="24"/>
          <w:szCs w:val="24"/>
        </w:rPr>
      </w:pPr>
      <w:r>
        <w:rPr>
          <w:rFonts w:hint="eastAsia" w:eastAsia="仿宋"/>
          <w:sz w:val="24"/>
          <w:szCs w:val="24"/>
        </w:rPr>
        <w:t xml:space="preserve">2.供应商</w:t>
      </w:r>
      <w:r>
        <w:rPr>
          <w:rFonts w:eastAsia="仿宋"/>
          <w:sz w:val="24"/>
          <w:szCs w:val="24"/>
        </w:rPr>
        <w:t xml:space="preserve">应保证其货物在正确安装、正常使用下，在其使用寿命期内应具有满意的性能。</w:t>
      </w:r>
      <w:r/>
    </w:p>
    <w:p>
      <w:pPr>
        <w:spacing w:line="360" w:lineRule="auto"/>
        <w:rPr>
          <w:rFonts w:eastAsia="仿宋"/>
          <w:color w:val="ff0000"/>
          <w:sz w:val="24"/>
          <w:szCs w:val="24"/>
        </w:rPr>
      </w:pPr>
      <w:r>
        <w:rPr>
          <w:rFonts w:hint="eastAsia" w:eastAsia="仿宋"/>
          <w:sz w:val="24"/>
          <w:szCs w:val="24"/>
        </w:rPr>
        <w:t xml:space="preserve">3.供应商所提供的全部证书、检测报告均须真实、合法、有效。采购人有权在国家认监委、认证机构官方平台核验真伪。在投标、供货及验收全过程，如查实存在伪造、变造、虚假材料谋取中标（成交）的，采购人有权取消其中标（成交）资格，解除合同（如已签订），供应商须全额赔偿采购人由此产生的一切损失，并承担《</w:t>
      </w:r>
      <w:r>
        <w:rPr>
          <w:rFonts w:hint="eastAsia" w:eastAsia="仿宋"/>
          <w:sz w:val="24"/>
          <w:szCs w:val="24"/>
          <w:lang w:eastAsia="zh-CN"/>
        </w:rPr>
        <w:t xml:space="preserve">中华人民共和国政府采购法</w:t>
      </w:r>
      <w:r>
        <w:rPr>
          <w:rFonts w:hint="eastAsia" w:eastAsia="仿宋"/>
          <w:sz w:val="24"/>
          <w:szCs w:val="24"/>
        </w:rPr>
        <w:t xml:space="preserve">》等法律法规规定的相应法律责任。</w:t>
      </w:r>
      <w:r/>
    </w:p>
    <w:p>
      <w:pPr>
        <w:jc w:val="left"/>
        <w:keepLines w:val="0"/>
        <w:keepNext w:val="0"/>
        <w:pageBreakBefore w:val="0"/>
        <w:spacing w:line="440" w:lineRule="exact"/>
        <w:widowControl w:val="off"/>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rFonts w:hint="eastAsia" w:ascii="宋体" w:hAnsi="宋体" w:eastAsia="宋体" w:cs="Times New Roman"/>
          <w:b/>
          <w:sz w:val="28"/>
          <w:szCs w:val="20"/>
          <w:highlight w:val="none"/>
          <w:lang w:val="en-US" w:eastAsia="zh-CN" w:bidi="ar-SA"/>
        </w:rPr>
        <w:t xml:space="preserve">商务要求</w:t>
      </w:r>
      <w:r/>
    </w:p>
    <w:p>
      <w:pPr>
        <w:keepLines w:val="0"/>
        <w:keepNext w:val="0"/>
        <w:pageBreakBefore w:val="0"/>
        <w:spacing w:after="62" w:line="440" w:lineRule="exact"/>
        <w:widowControl w:val="off"/>
        <w:rPr>
          <w:rFonts w:hint="default"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keepLines w:val="0"/>
        <w:keepNext w:val="0"/>
        <w:pageBreakBefore w:val="0"/>
        <w:spacing w:after="62" w:line="440" w:lineRule="exact"/>
        <w:widowControl w:val="off"/>
        <w:rPr>
          <w:rFonts w:eastAsia="仿宋"/>
          <w:sz w:val="24"/>
          <w:szCs w:val="24"/>
        </w:rPr>
      </w:pPr>
      <w:r>
        <w:rPr>
          <w:rFonts w:hint="eastAsia" w:ascii="仿宋_GB2312" w:eastAsia="仿宋_GB2312"/>
          <w:color w:val="000000" w:themeColor="text1"/>
          <w:sz w:val="24"/>
          <w:szCs w:val="24"/>
          <w14:textFill>
            <w14:solidFill>
              <w14:schemeClr w14:val="tx1"/>
            </w14:solidFill>
          </w14:textFill>
        </w:rPr>
        <w:t xml:space="preserve">（1）实施时间：</w:t>
      </w:r>
      <w:r>
        <w:rPr>
          <w:rFonts w:hint="eastAsia" w:eastAsia="仿宋"/>
          <w:sz w:val="24"/>
          <w:szCs w:val="24"/>
        </w:rPr>
        <w:t xml:space="preserve">签订合同后15天内完成供货安装调试，学校组织验收。</w:t>
      </w:r>
      <w:r/>
    </w:p>
    <w:p>
      <w:pPr>
        <w:keepLines w:val="0"/>
        <w:keepNext w:val="0"/>
        <w:pageBreakBefore w:val="0"/>
        <w:spacing w:after="62" w:line="440" w:lineRule="exact"/>
        <w:widowControl w:val="off"/>
        <w:rPr>
          <w:rFonts w:eastAsia="仿宋"/>
          <w:sz w:val="28"/>
          <w:szCs w:val="28"/>
        </w:rPr>
      </w:pPr>
      <w:r>
        <w:rPr>
          <w:rFonts w:hint="eastAsia" w:ascii="仿宋_GB2312" w:eastAsia="仿宋_GB2312"/>
          <w:color w:val="000000" w:themeColor="text1"/>
          <w:sz w:val="24"/>
          <w:szCs w:val="24"/>
          <w14:textFill>
            <w14:solidFill>
              <w14:schemeClr w14:val="tx1"/>
            </w14:solidFill>
          </w14:textFill>
        </w:rPr>
        <w:t xml:space="preserve">（2）交付地点：</w:t>
      </w:r>
      <w:r>
        <w:rPr>
          <w:rFonts w:hint="eastAsia" w:eastAsia="仿宋"/>
          <w:sz w:val="24"/>
          <w:szCs w:val="24"/>
        </w:rPr>
        <w:t xml:space="preserve">学校指定位置。</w:t>
      </w:r>
      <w:r/>
    </w:p>
    <w:p>
      <w:pPr>
        <w:keepLines w:val="0"/>
        <w:keepNext w:val="0"/>
        <w:pageBreakBefore w:val="0"/>
        <w:spacing w:line="44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w:t>
      </w: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）打击乐器：整机质保≥2 年；质保期内非人为质量问题免费上门维修更换配件；质保期前两年提供每年1次专业调律服务。</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w:t>
      </w: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）售后响应：接到报修24 小时响应，48 小时上门处理。</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w:t>
      </w:r>
      <w:r>
        <w:rPr>
          <w:rFonts w:hint="eastAsia" w:ascii="仿宋_GB2312" w:eastAsia="仿宋_GB2312"/>
          <w:color w:val="000000" w:themeColor="text1"/>
          <w:sz w:val="24"/>
          <w:szCs w:val="24"/>
          <w:lang w:val="en-US" w:eastAsia="zh-CN"/>
          <w14:textFill>
            <w14:solidFill>
              <w14:schemeClr w14:val="tx1"/>
            </w14:solidFill>
          </w14:textFill>
        </w:rPr>
        <w:t xml:space="preserve">3</w:t>
      </w:r>
      <w:r>
        <w:rPr>
          <w:rFonts w:hint="eastAsia" w:ascii="仿宋_GB2312" w:eastAsia="仿宋_GB2312"/>
          <w:color w:val="000000" w:themeColor="text1"/>
          <w:sz w:val="24"/>
          <w:szCs w:val="24"/>
          <w14:textFill>
            <w14:solidFill>
              <w14:schemeClr w14:val="tx1"/>
            </w14:solidFill>
          </w14:textFill>
        </w:rPr>
        <w:t xml:space="preserve">）质保期从项目整体验收合格之日起计算。</w:t>
      </w:r>
      <w:r/>
    </w:p>
    <w:p>
      <w:pPr>
        <w:keepLines w:val="0"/>
        <w:keepNext w:val="0"/>
        <w:pageBreakBefore w:val="0"/>
        <w:spacing w:line="440" w:lineRule="exact"/>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after="62" w:line="440" w:lineRule="exact"/>
        <w:widowControl w:val="off"/>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after="62" w:line="440" w:lineRule="exact"/>
        <w:widowControl w:val="off"/>
        <w:rPr>
          <w:rFonts w:ascii="仿宋" w:hAnsi="仿宋" w:eastAsia="仿宋" w:cs="仿宋"/>
          <w:caps/>
          <w:sz w:val="24"/>
          <w:szCs w:val="24"/>
        </w:rPr>
      </w:pPr>
      <w:r>
        <w:rPr>
          <w:rFonts w:hint="eastAsia" w:ascii="仿宋" w:hAnsi="仿宋" w:eastAsia="仿宋" w:cs="仿宋"/>
          <w:caps/>
          <w:sz w:val="24"/>
          <w:szCs w:val="24"/>
        </w:rPr>
        <w:t xml:space="preserve">合同签订后，成交供应商完成供货及安装调试，经采购人验收合格后，由成交供应商开具合法有效发票。采购人自收到发票之日起10个工作日内，一次性支付合同总价的100%。</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4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4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4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40" w:lineRule="exact"/>
        <w:widowControl w:val="off"/>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keepLines w:val="0"/>
        <w:keepNext w:val="0"/>
        <w:pageBreakBefore w:val="0"/>
        <w:spacing w:line="440" w:lineRule="exact"/>
        <w:widowControl w:val="off"/>
        <w:rPr>
          <w:rFonts w:hint="eastAsia" w:ascii="仿宋" w:hAnsi="仿宋" w:eastAsia="仿宋"/>
          <w:color w:val="000000"/>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olor w:val="000000"/>
          <w:sz w:val="24"/>
          <w:szCs w:val="24"/>
          <w:highlight w:val="none"/>
          <w:u w:val="single"/>
          <w:lang w:val="en-US" w:eastAsia="zh-CN"/>
        </w:rPr>
        <w:t xml:space="preserve">1.1本项目所有技术参数不接受负偏离。</w:t>
      </w:r>
      <w:r/>
    </w:p>
    <w:p>
      <w:pPr>
        <w:keepLines w:val="0"/>
        <w:keepNext w:val="0"/>
        <w:pageBreakBefore w:val="0"/>
        <w:spacing w:line="440" w:lineRule="exact"/>
        <w:widowControl w:val="off"/>
        <w:rPr>
          <w:rFonts w:hint="eastAsia" w:eastAsia="仿宋"/>
          <w:iCs/>
          <w:sz w:val="24"/>
          <w:szCs w:val="24"/>
          <w:highlight w:val="none"/>
          <w:u w:val="single"/>
        </w:rPr>
        <w:outlineLvl w:val="1"/>
      </w:pPr>
      <w:r>
        <w:rPr>
          <w:rFonts w:hint="eastAsia" w:ascii="仿宋" w:hAnsi="仿宋" w:eastAsia="仿宋"/>
          <w:color w:val="000000"/>
          <w:sz w:val="24"/>
          <w:szCs w:val="24"/>
          <w:highlight w:val="none"/>
          <w:u w:val="single"/>
          <w:lang w:val="en-US" w:eastAsia="zh-CN"/>
        </w:rPr>
        <w:t xml:space="preserve">1.2供应</w:t>
      </w:r>
      <w:r>
        <w:rPr>
          <w:rFonts w:hint="eastAsia" w:eastAsia="仿宋"/>
          <w:iCs/>
          <w:sz w:val="24"/>
          <w:szCs w:val="24"/>
          <w:highlight w:val="none"/>
          <w:u w:val="single"/>
          <w:lang w:eastAsia="zh-CN"/>
        </w:rPr>
        <w:t xml:space="preserve">商须承诺验收时提供以下材料：</w:t>
      </w:r>
      <w:r>
        <w:rPr>
          <w:highlight w:val="none"/>
        </w:rPr>
      </w:r>
    </w:p>
    <w:p>
      <w:pPr>
        <w:keepLines w:val="0"/>
        <w:keepNext w:val="0"/>
        <w:pageBreakBefore w:val="0"/>
        <w:spacing w:line="440" w:lineRule="exact"/>
        <w:widowControl w:val="off"/>
        <w:rPr>
          <w:rFonts w:hint="eastAsia" w:eastAsia="仿宋"/>
          <w:iCs/>
          <w:sz w:val="24"/>
          <w:szCs w:val="24"/>
          <w:highlight w:val="none"/>
          <w:u w:val="single"/>
        </w:rPr>
        <w:outlineLvl w:val="1"/>
      </w:pPr>
      <w:r>
        <w:rPr>
          <w:rFonts w:hint="eastAsia" w:eastAsia="仿宋"/>
          <w:iCs/>
          <w:sz w:val="24"/>
          <w:szCs w:val="24"/>
          <w:highlight w:val="none"/>
          <w:u w:val="single"/>
          <w:lang w:eastAsia="zh-CN"/>
        </w:rPr>
        <w:t xml:space="preserve">① 所供乐器类产品（含琴体、音板、鼓腔、共鸣管、支架、鼓皮、软包等可触及部件）由具备 CMA 资质的第三方检测机构出具的 GB28489-2022《乐器有害物质限量》有效检测报告（按产品类别及材质对应 A/B 类检测项目执行），报告带 CMA 标识，复印件加盖供应商公章；</w:t>
      </w:r>
      <w:r>
        <w:rPr>
          <w:highlight w:val="none"/>
        </w:rPr>
      </w:r>
    </w:p>
    <w:p>
      <w:pPr>
        <w:keepLines w:val="0"/>
        <w:keepNext w:val="0"/>
        <w:pageBreakBefore w:val="0"/>
        <w:spacing w:line="440" w:lineRule="exact"/>
        <w:widowControl w:val="off"/>
        <w:rPr>
          <w:rFonts w:hint="eastAsia" w:eastAsia="仿宋"/>
          <w:iCs/>
          <w:sz w:val="24"/>
          <w:szCs w:val="24"/>
          <w:highlight w:val="none"/>
          <w:u w:val="single"/>
        </w:rPr>
        <w:outlineLvl w:val="1"/>
      </w:pPr>
      <w:r>
        <w:rPr>
          <w:rFonts w:hint="eastAsia" w:eastAsia="仿宋"/>
          <w:iCs/>
          <w:sz w:val="24"/>
          <w:szCs w:val="24"/>
          <w:highlight w:val="none"/>
          <w:u w:val="single"/>
          <w:lang w:eastAsia="zh-CN"/>
        </w:rPr>
        <w:t xml:space="preserve">② 每台/每件产品出厂产品合格证；</w:t>
      </w:r>
      <w:r>
        <w:rPr>
          <w:highlight w:val="none"/>
        </w:rPr>
      </w:r>
    </w:p>
    <w:p>
      <w:pPr>
        <w:keepLines w:val="0"/>
        <w:keepNext w:val="0"/>
        <w:pageBreakBefore w:val="0"/>
        <w:spacing w:line="440" w:lineRule="exact"/>
        <w:widowControl w:val="off"/>
        <w:rPr>
          <w:rFonts w:hint="eastAsia" w:eastAsia="仿宋"/>
          <w:iCs/>
          <w:sz w:val="24"/>
          <w:szCs w:val="24"/>
          <w:highlight w:val="none"/>
          <w:u w:val="single"/>
        </w:rPr>
        <w:outlineLvl w:val="1"/>
      </w:pPr>
      <w:r>
        <w:rPr>
          <w:rFonts w:hint="eastAsia" w:eastAsia="仿宋"/>
          <w:iCs/>
          <w:sz w:val="24"/>
          <w:szCs w:val="24"/>
          <w:highlight w:val="none"/>
          <w:u w:val="single"/>
          <w:lang w:eastAsia="zh-CN"/>
        </w:rPr>
        <w:t xml:space="preserve">③ 按国家及行业规定提供的三包服务凭证（或质保卡/保修凭证）。</w:t>
      </w:r>
      <w:r>
        <w:rPr>
          <w:highlight w:val="none"/>
        </w:rPr>
      </w:r>
    </w:p>
    <w:p>
      <w:pPr>
        <w:keepLines w:val="0"/>
        <w:keepNext w:val="0"/>
        <w:pageBreakBefore w:val="0"/>
        <w:spacing w:line="440" w:lineRule="exact"/>
        <w:widowControl w:val="off"/>
        <w:rPr>
          <w:rFonts w:hint="eastAsia" w:eastAsia="仿宋"/>
          <w:iCs/>
          <w:sz w:val="24"/>
          <w:szCs w:val="24"/>
          <w:highlight w:val="none"/>
          <w:u w:val="single"/>
        </w:rPr>
        <w:outlineLvl w:val="1"/>
      </w:pPr>
      <w:r>
        <w:rPr>
          <w:rFonts w:hint="eastAsia" w:eastAsia="仿宋"/>
          <w:iCs/>
          <w:sz w:val="24"/>
          <w:szCs w:val="24"/>
          <w:highlight w:val="none"/>
          <w:u w:val="single"/>
          <w:lang w:eastAsia="zh-CN"/>
        </w:rPr>
        <w:t xml:space="preserve">供应商在响应文件中提供书面承诺函（格式自拟），承诺以上材料在验收前真实、完整、可核查，并加盖供应商单位公章。供货验收时未能提供或材料不符合要求的，采购人有权按合同约定处理，由此产生的责任由供应商承担。</w:t>
      </w:r>
      <w:r>
        <w:rPr>
          <w:highlight w:val="none"/>
        </w:rPr>
      </w:r>
    </w:p>
    <w:p>
      <w:pPr>
        <w:numPr>
          <w:ilvl w:val="0"/>
          <w:numId w:val="0"/>
        </w:numPr>
        <w:jc w:val="both"/>
        <w:keepLines w:val="0"/>
        <w:keepNext w:val="0"/>
        <w:pageBreakBefore w:val="0"/>
        <w:spacing w:after="0" w:line="44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pStyle w:val="710"/>
        <w:ind w:left="0" w:firstLine="0"/>
        <w:keepLines w:val="0"/>
        <w:keepNext w:val="0"/>
        <w:pageBreakBefore w:val="0"/>
        <w:spacing w:line="440" w:lineRule="exact"/>
        <w:widowControl w:val="off"/>
        <w:rPr>
          <w:rFonts w:hint="eastAsia" w:ascii="仿宋" w:hAnsi="仿宋" w:eastAsia="仿宋" w:cs="仿宋"/>
          <w:b w:val="0"/>
          <w:bCs w:val="0"/>
          <w:i w:val="0"/>
          <w:iCs w:val="0"/>
          <w:color w:val="auto"/>
          <w:sz w:val="24"/>
          <w:szCs w:val="24"/>
          <w:highlight w:val="none"/>
          <w:u w:val="singl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供应商须承诺在合同签订后15个日历天内完成全部货物的供货、安装、调试并通过验收。在响应文件中提供书面承诺函（格式自拟），内容应包括详细的供货方案（须列明供货安排、人员配置、应急措施等），并加盖供应商单位公章。</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10"/>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04"/>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10"/>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0"/>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0"/>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712"/>
        <w:ind w:left="0"/>
        <w:jc w:val="center"/>
        <w:spacing w:after="0" w:line="400" w:lineRule="exact"/>
        <w:rPr>
          <w:rFonts w:ascii="宋体" w:hAnsi="宋体"/>
          <w:szCs w:val="21"/>
          <w:highlight w:val="none"/>
        </w:rPr>
      </w:pPr>
      <w:r>
        <w:rPr>
          <w:rFonts w:ascii="宋体" w:hAnsi="宋体"/>
          <w:szCs w:val="21"/>
          <w:highlight w:val="none"/>
        </w:rPr>
      </w:r>
      <w:r/>
    </w:p>
    <w:p>
      <w:pPr>
        <w:pStyle w:val="712"/>
        <w:ind w:left="0"/>
        <w:jc w:val="center"/>
        <w:spacing w:after="0" w:line="400" w:lineRule="exact"/>
        <w:rPr>
          <w:rFonts w:ascii="宋体" w:hAnsi="宋体"/>
          <w:szCs w:val="21"/>
          <w:highlight w:val="none"/>
        </w:rPr>
      </w:pPr>
      <w:r>
        <w:rPr>
          <w:rFonts w:ascii="宋体" w:hAnsi="宋体"/>
          <w:szCs w:val="21"/>
          <w:highlight w:val="none"/>
        </w:rPr>
      </w:r>
      <w:r/>
    </w:p>
    <w:p>
      <w:pPr>
        <w:pStyle w:val="713"/>
        <w:rPr>
          <w:highlight w:val="none"/>
        </w:rPr>
      </w:pPr>
      <w:r>
        <w:rPr>
          <w:highlight w:val="none"/>
        </w:rPr>
      </w:r>
      <w:r/>
    </w:p>
    <w:p>
      <w:pPr>
        <w:pStyle w:val="712"/>
        <w:ind w:left="0"/>
        <w:jc w:val="center"/>
        <w:spacing w:after="0" w:line="400" w:lineRule="exact"/>
        <w:rPr>
          <w:rFonts w:ascii="宋体" w:hAnsi="宋体"/>
          <w:szCs w:val="21"/>
          <w:highlight w:val="none"/>
        </w:rPr>
      </w:pPr>
      <w:r>
        <w:rPr>
          <w:rFonts w:ascii="宋体" w:hAnsi="宋体"/>
          <w:szCs w:val="21"/>
          <w:highlight w:val="none"/>
        </w:rPr>
      </w:r>
      <w:r/>
    </w:p>
    <w:p>
      <w:pPr>
        <w:pStyle w:val="712"/>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712"/>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10"/>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712"/>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713"/>
        <w:rPr>
          <w:rFonts w:hint="eastAsia"/>
          <w:highlight w:val="none"/>
        </w:rPr>
      </w:pPr>
      <w:r>
        <w:rPr>
          <w:rFonts w:hint="eastAsia"/>
          <w:highlight w:val="none"/>
        </w:rPr>
      </w:r>
      <w:r/>
    </w:p>
    <w:p>
      <w:pPr>
        <w:pStyle w:val="712"/>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序号</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（小写）</w:t>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1</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详见</w:t>
            </w:r>
            <w:r>
              <w:rPr>
                <w:rFonts w:hint="eastAsia" w:ascii="仿宋" w:hAnsi="仿宋" w:eastAsia="仿宋" w:cs="仿宋"/>
                <w:b w:val="0"/>
                <w:bCs w:val="0"/>
                <w:sz w:val="24"/>
                <w:szCs w:val="24"/>
                <w:highlight w:val="none"/>
                <w:lang w:val="en-US" w:eastAsia="zh-CN"/>
              </w:rPr>
              <w:t xml:space="preserve">分项</w:t>
            </w:r>
            <w:r>
              <w:rPr>
                <w:rFonts w:hint="eastAsia" w:ascii="仿宋" w:hAnsi="仿宋" w:eastAsia="仿宋" w:cs="仿宋"/>
                <w:b w:val="0"/>
                <w:bCs w:val="0"/>
                <w:sz w:val="24"/>
                <w:szCs w:val="24"/>
                <w:highlight w:val="none"/>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（大写）</w:t>
            </w: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人民币（大写）：__________________________元整</w:t>
            </w:r>
            <w:r/>
          </w:p>
        </w:tc>
      </w:tr>
    </w:tbl>
    <w:p>
      <w:pPr>
        <w:pStyle w:val="712"/>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备注：</w:t>
      </w:r>
      <w:r/>
    </w:p>
    <w:p>
      <w:pPr>
        <w:pStyle w:val="712"/>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712"/>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712"/>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712"/>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712"/>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712"/>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681"/>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712"/>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712"/>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712"/>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keepLines w:val="0"/>
        <w:keepNext w:val="0"/>
        <w:pageBreakBefore w:val="0"/>
        <w:spacing w:line="480" w:lineRule="exact"/>
        <w:widowControl w:val="off"/>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10"/>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10"/>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1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0"/>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1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10"/>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10"/>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712"/>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712"/>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10"/>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712"/>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712"/>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8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712"/>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left="0" w:right="0"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center"/>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bCs/>
          <w:color w:val="000000" w:themeColor="text1"/>
          <w:sz w:val="24"/>
          <w:szCs w:val="24"/>
          <w:highlight w:val="none"/>
          <w14:textFill>
            <w14:solidFill>
              <w14:schemeClr w14:val="tx1"/>
            </w14:solidFill>
          </w14:textFill>
        </w:rPr>
        <w:t xml:space="preserve">专门面向中小微型企业采购的</w:t>
      </w:r>
      <w:r>
        <w:rPr>
          <w:rFonts w:ascii="仿宋" w:hAnsi="仿宋" w:eastAsia="仿宋"/>
          <w:b/>
          <w:bCs/>
          <w:color w:val="000000" w:themeColor="text1"/>
          <w:sz w:val="24"/>
          <w:szCs w:val="24"/>
          <w:highlight w:val="none"/>
          <w14:textFill>
            <w14:solidFill>
              <w14:schemeClr w14:val="tx1"/>
            </w14:solidFill>
          </w14:textFill>
        </w:rPr>
        <w:t xml:space="preserve">项目</w:t>
      </w:r>
      <w:r>
        <w:rPr>
          <w:rFonts w:hint="eastAsia" w:ascii="仿宋" w:hAnsi="仿宋" w:eastAsia="仿宋"/>
          <w:b/>
          <w:bCs/>
          <w:color w:val="000000" w:themeColor="text1"/>
          <w:sz w:val="24"/>
          <w:szCs w:val="24"/>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4"/>
          <w:szCs w:val="24"/>
          <w:highlight w:val="none"/>
          <w14:textFill>
            <w14:solidFill>
              <w14:schemeClr w14:val="tx1"/>
            </w14:solidFill>
          </w14:textFill>
        </w:rPr>
        <w:t xml:space="preserve">声明函</w:t>
      </w:r>
      <w:r>
        <w:rPr>
          <w:rFonts w:hint="eastAsia" w:ascii="仿宋" w:hAnsi="仿宋" w:eastAsia="仿宋"/>
          <w:b/>
          <w:bCs/>
          <w:color w:val="000000" w:themeColor="text1"/>
          <w:sz w:val="24"/>
          <w:szCs w:val="24"/>
          <w:highlight w:val="none"/>
          <w14:textFill>
            <w14:solidFill>
              <w14:schemeClr w14:val="tx1"/>
            </w14:solidFill>
          </w14:textFill>
        </w:rPr>
        <w:t xml:space="preserve">，</w:t>
      </w:r>
      <w:r>
        <w:rPr>
          <w:rFonts w:ascii="仿宋" w:hAnsi="仿宋" w:eastAsia="仿宋"/>
          <w:b/>
          <w:bCs/>
          <w:color w:val="000000" w:themeColor="text1"/>
          <w:sz w:val="24"/>
          <w:szCs w:val="24"/>
          <w:highlight w:val="none"/>
          <w14:textFill>
            <w14:solidFill>
              <w14:schemeClr w14:val="tx1"/>
            </w14:solidFill>
          </w14:textFill>
        </w:rPr>
        <w:t xml:space="preserve">否则将</w:t>
      </w:r>
      <w:r>
        <w:rPr>
          <w:rFonts w:hint="eastAsia" w:ascii="仿宋" w:hAnsi="仿宋" w:eastAsia="仿宋"/>
          <w:b/>
          <w:bCs/>
          <w:color w:val="000000" w:themeColor="text1"/>
          <w:sz w:val="24"/>
          <w:szCs w:val="24"/>
          <w:highlight w:val="none"/>
          <w14:textFill>
            <w14:solidFill>
              <w14:schemeClr w14:val="tx1"/>
            </w14:solidFill>
          </w14:textFill>
        </w:rPr>
        <w:t xml:space="preserve">不能</w:t>
      </w:r>
      <w:r>
        <w:rPr>
          <w:rFonts w:ascii="仿宋" w:hAnsi="仿宋" w:eastAsia="仿宋"/>
          <w:b/>
          <w:bCs/>
          <w:color w:val="000000" w:themeColor="text1"/>
          <w:sz w:val="24"/>
          <w:szCs w:val="24"/>
          <w:highlight w:val="none"/>
          <w14:textFill>
            <w14:solidFill>
              <w14:schemeClr w14:val="tx1"/>
            </w14:solidFill>
          </w14:textFill>
        </w:rPr>
        <w:t xml:space="preserve">通过资格审查</w:t>
      </w:r>
      <w:r>
        <w:rPr>
          <w:rFonts w:hint="eastAsia" w:ascii="仿宋" w:hAnsi="仿宋" w:eastAsia="仿宋"/>
          <w:b/>
          <w:bCs/>
          <w:color w:val="000000" w:themeColor="text1"/>
          <w:sz w:val="24"/>
          <w:szCs w:val="24"/>
          <w:highlight w:val="none"/>
          <w14:textFill>
            <w14:solidFill>
              <w14:schemeClr w14:val="tx1"/>
            </w14:solidFill>
          </w14:textFill>
        </w:rPr>
        <w:t xml:space="preserve">。</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2.非专门面向中小微型企业采购的</w:t>
      </w:r>
      <w:r>
        <w:rPr>
          <w:rFonts w:ascii="仿宋" w:hAnsi="仿宋" w:eastAsia="仿宋"/>
          <w:b w:val="0"/>
          <w:bCs w:val="0"/>
          <w:color w:val="000000" w:themeColor="text1"/>
          <w:sz w:val="24"/>
          <w:szCs w:val="24"/>
          <w:highlight w:val="none"/>
          <w14:textFill>
            <w14:solidFill>
              <w14:schemeClr w14:val="tx1"/>
            </w14:solidFill>
          </w14:textFill>
        </w:rPr>
        <w:t xml:space="preserve">项目</w:t>
      </w:r>
      <w:r>
        <w:rPr>
          <w:rFonts w:hint="eastAsia" w:ascii="仿宋" w:hAnsi="仿宋" w:eastAsia="仿宋"/>
          <w:b w:val="0"/>
          <w:bCs w:val="0"/>
          <w:color w:val="000000" w:themeColor="text1"/>
          <w:sz w:val="24"/>
          <w:szCs w:val="24"/>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0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0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0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2"/>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keepLines w:val="0"/>
        <w:keepNext w:val="0"/>
        <w:pageBreakBefore w:val="0"/>
        <w:spacing w:line="480" w:lineRule="exact"/>
        <w:rPr>
          <w:rFonts w:ascii="仿宋" w:hAnsi="仿宋" w:eastAsia="仿宋"/>
          <w:b/>
          <w:color w:val="000000" w:themeColor="text1"/>
          <w:sz w:val="24"/>
          <w:szCs w:val="24"/>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b/>
          <w:color w:val="000000" w:themeColor="text1"/>
          <w:sz w:val="24"/>
          <w:szCs w:val="24"/>
          <w:highlight w:val="none"/>
          <w14:textFill>
            <w14:solidFill>
              <w14:schemeClr w14:val="tx1"/>
            </w14:solidFill>
          </w14:textFill>
        </w:rPr>
        <w:t xml:space="preserve">质疑函制作说明：</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1.供应商提出质疑时，应提交质疑函和必要的证明材料。</w:t>
      </w:r>
      <w:r/>
    </w:p>
    <w:p>
      <w:pPr>
        <w:jc w:val="left"/>
        <w:keepLines w:val="0"/>
        <w:keepNext w:val="0"/>
        <w:pageBreakBefore w:val="0"/>
        <w:spacing w:line="480" w:lineRule="exact"/>
        <w:widowControl/>
        <w:rPr>
          <w:rFonts w:ascii="仿宋" w:hAnsi="仿宋" w:eastAsia="仿宋"/>
          <w:b/>
          <w:bCs/>
          <w:color w:val="000000" w:themeColor="text1"/>
          <w:sz w:val="24"/>
          <w:szCs w:val="24"/>
          <w:highlight w:val="none"/>
          <w:u w:val="none"/>
          <w14:textFill>
            <w14:solidFill>
              <w14:schemeClr w14:val="tx1"/>
            </w14:solidFill>
          </w14:textFill>
        </w:rPr>
      </w:pPr>
      <w:r>
        <w:rPr>
          <w:rFonts w:hint="eastAsia" w:ascii="仿宋" w:hAnsi="仿宋" w:eastAsia="仿宋"/>
          <w:b/>
          <w:bCs/>
          <w:color w:val="000000" w:themeColor="text1"/>
          <w:sz w:val="24"/>
          <w:szCs w:val="24"/>
          <w:highlight w:val="none"/>
          <w:u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b/>
          <w:bCs/>
          <w:color w:val="000000" w:themeColor="text1"/>
          <w:sz w:val="24"/>
          <w:szCs w:val="24"/>
          <w:highlight w:val="none"/>
          <w:u w:val="none"/>
          <w14:textFill>
            <w14:solidFill>
              <w14:schemeClr w14:val="tx1"/>
            </w14:solidFill>
          </w14:textFill>
        </w:rPr>
        <w:t xml:space="preserve">供应商签署的授权委托书。授权委托书应载明代理人的姓名或者名称、代理事项、具体权限、期限和相关事项。</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3.质疑供应商若对项目的某一分包进行质疑，质疑函中应列明具体分包号。</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4.质疑函的质疑事项应具体、明确，并有必要的事实依据和法律依据。</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5.质疑函的质疑请求应与质疑事项相关。</w:t>
      </w:r>
      <w:r/>
    </w:p>
    <w:p>
      <w:pPr>
        <w:jc w:val="left"/>
        <w:keepLines w:val="0"/>
        <w:keepNext w:val="0"/>
        <w:pageBreakBefore w:val="0"/>
        <w:spacing w:line="480" w:lineRule="exact"/>
        <w:widowControl/>
        <w:rPr>
          <w:rFonts w:ascii="仿宋" w:hAnsi="仿宋" w:eastAsia="仿宋"/>
          <w:b/>
          <w:bCs/>
          <w:color w:val="000000" w:themeColor="text1"/>
          <w:sz w:val="24"/>
          <w:szCs w:val="24"/>
          <w:highlight w:val="none"/>
          <w:u w:val="none"/>
          <w14:textFill>
            <w14:solidFill>
              <w14:schemeClr w14:val="tx1"/>
            </w14:solidFill>
          </w14:textFill>
        </w:rPr>
      </w:pPr>
      <w:r>
        <w:rPr>
          <w:rFonts w:hint="eastAsia" w:ascii="仿宋" w:hAnsi="仿宋" w:eastAsia="仿宋"/>
          <w:b/>
          <w:bCs/>
          <w:color w:val="000000" w:themeColor="text1"/>
          <w:sz w:val="24"/>
          <w:szCs w:val="24"/>
          <w:highlight w:val="none"/>
          <w:u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keepLines w:val="0"/>
        <w:keepNext w:val="0"/>
        <w:pageBreakBefore w:val="0"/>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keepLines w:val="0"/>
        <w:keepNext w:val="0"/>
        <w:pageBreakBefore w:val="0"/>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keepLines w:val="0"/>
        <w:keepNext w:val="0"/>
        <w:pageBreakBefore w:val="0"/>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keepLines w:val="0"/>
        <w:keepNext w:val="0"/>
        <w:pageBreakBefore w:val="0"/>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keepLines w:val="0"/>
        <w:keepNext w:val="0"/>
        <w:pageBreakBefore w:val="0"/>
        <w:spacing w:line="480" w:lineRule="exac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04"/>
    <w:uiPriority w:val="0"/>
    <w:qFormat/>
    <w:pPr>
      <w:jc w:val="both"/>
      <w:widowControl w:val="off"/>
    </w:pPr>
    <w:rPr>
      <w:rFonts w:hint="default" w:ascii="Times New Roman" w:hAnsi="Times New Roman" w:eastAsia="宋体" w:cs="Times New Roman"/>
      <w:sz w:val="21"/>
      <w:lang w:val="en-US" w:eastAsia="zh-CN" w:bidi="ar-SA"/>
    </w:rPr>
  </w:style>
  <w:style w:type="paragraph" w:styleId="671">
    <w:name w:val="Heading 1"/>
    <w:basedOn w:val="670"/>
    <w:next w:val="670"/>
    <w:link w:val="715"/>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6"/>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7"/>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8"/>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9"/>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20"/>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22"/>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23"/>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annotation text"/>
    <w:basedOn w:val="670"/>
    <w:uiPriority w:val="0"/>
    <w:qFormat/>
    <w:pPr>
      <w:jc w:val="left"/>
    </w:pPr>
  </w:style>
  <w:style w:type="paragraph" w:styleId="685">
    <w:name w:val="Body Text"/>
    <w:basedOn w:val="670"/>
    <w:uiPriority w:val="99"/>
    <w:qFormat/>
    <w:rPr>
      <w:rFonts w:ascii="楷体_GB2312" w:hAnsi="Arial" w:eastAsia="楷体_GB2312"/>
      <w:sz w:val="28"/>
      <w:szCs w:val="28"/>
    </w:rPr>
  </w:style>
  <w:style w:type="paragraph" w:styleId="686">
    <w:name w:val="Body Text Indent"/>
    <w:basedOn w:val="670"/>
    <w:next w:val="670"/>
    <w:uiPriority w:val="0"/>
    <w:qFormat/>
    <w:pPr>
      <w:ind w:firstLine="403"/>
      <w:spacing w:line="440" w:lineRule="exact"/>
    </w:pPr>
    <w:rPr>
      <w:rFonts w:ascii="宋体" w:hAnsi="宋体"/>
      <w:sz w:val="20"/>
      <w:szCs w:val="21"/>
    </w:rPr>
  </w:style>
  <w:style w:type="paragraph" w:styleId="687">
    <w:name w:val="toc 5"/>
    <w:basedOn w:val="670"/>
    <w:next w:val="670"/>
    <w:uiPriority w:val="39"/>
    <w:unhideWhenUsed/>
    <w:qFormat/>
    <w:pPr>
      <w:ind w:left="1134" w:right="0" w:firstLine="0"/>
      <w:spacing w:after="57"/>
    </w:pPr>
  </w:style>
  <w:style w:type="paragraph" w:styleId="688">
    <w:name w:val="toc 3"/>
    <w:basedOn w:val="670"/>
    <w:next w:val="670"/>
    <w:uiPriority w:val="39"/>
    <w:unhideWhenUsed/>
    <w:qFormat/>
    <w:pPr>
      <w:ind w:left="567" w:right="0" w:firstLine="0"/>
      <w:spacing w:after="57"/>
    </w:pPr>
  </w:style>
  <w:style w:type="paragraph" w:styleId="689">
    <w:name w:val="toc 8"/>
    <w:basedOn w:val="670"/>
    <w:next w:val="670"/>
    <w:uiPriority w:val="39"/>
    <w:unhideWhenUsed/>
    <w:qFormat/>
    <w:pPr>
      <w:ind w:left="1984" w:right="0" w:firstLine="0"/>
      <w:spacing w:after="57"/>
    </w:pPr>
  </w:style>
  <w:style w:type="paragraph" w:styleId="690">
    <w:name w:val="endnote text"/>
    <w:basedOn w:val="670"/>
    <w:link w:val="861"/>
    <w:uiPriority w:val="99"/>
    <w:semiHidden/>
    <w:unhideWhenUsed/>
    <w:qFormat/>
    <w:pPr>
      <w:spacing w:after="0" w:line="240" w:lineRule="auto"/>
    </w:pPr>
    <w:rPr>
      <w:sz w:val="20"/>
    </w:rPr>
  </w:style>
  <w:style w:type="paragraph" w:styleId="691">
    <w:name w:val="Footer"/>
    <w:basedOn w:val="670"/>
    <w:link w:val="734"/>
    <w:uiPriority w:val="99"/>
    <w:unhideWhenUsed/>
    <w:qFormat/>
    <w:pPr>
      <w:spacing w:after="0" w:line="240" w:lineRule="auto"/>
      <w:tabs>
        <w:tab w:val="center" w:pos="7143" w:leader="none"/>
        <w:tab w:val="right" w:pos="14287" w:leader="none"/>
      </w:tabs>
    </w:pPr>
  </w:style>
  <w:style w:type="paragraph" w:styleId="692">
    <w:name w:val="Header"/>
    <w:basedOn w:val="670"/>
    <w:link w:val="732"/>
    <w:uiPriority w:val="99"/>
    <w:unhideWhenUsed/>
    <w:qFormat/>
    <w:pPr>
      <w:spacing w:after="0" w:line="240" w:lineRule="auto"/>
      <w:tabs>
        <w:tab w:val="center" w:pos="7143" w:leader="none"/>
        <w:tab w:val="right" w:pos="14287" w:leader="none"/>
      </w:tabs>
    </w:pPr>
  </w:style>
  <w:style w:type="paragraph" w:styleId="693">
    <w:name w:val="toc 1"/>
    <w:basedOn w:val="670"/>
    <w:next w:val="670"/>
    <w:uiPriority w:val="39"/>
    <w:unhideWhenUsed/>
    <w:qFormat/>
    <w:pPr>
      <w:ind w:left="0" w:right="0" w:firstLine="0"/>
      <w:spacing w:after="57"/>
    </w:pPr>
  </w:style>
  <w:style w:type="paragraph" w:styleId="694">
    <w:name w:val="toc 4"/>
    <w:basedOn w:val="670"/>
    <w:next w:val="670"/>
    <w:uiPriority w:val="39"/>
    <w:unhideWhenUsed/>
    <w:qFormat/>
    <w:pPr>
      <w:ind w:left="850" w:right="0" w:firstLine="0"/>
      <w:spacing w:after="57"/>
    </w:pPr>
  </w:style>
  <w:style w:type="paragraph" w:styleId="695">
    <w:name w:val="Subtitle"/>
    <w:basedOn w:val="670"/>
    <w:next w:val="670"/>
    <w:link w:val="727"/>
    <w:uiPriority w:val="11"/>
    <w:qFormat/>
    <w:pPr>
      <w:spacing w:before="200" w:after="200"/>
    </w:pPr>
    <w:rPr>
      <w:sz w:val="24"/>
      <w:szCs w:val="24"/>
    </w:rPr>
  </w:style>
  <w:style w:type="paragraph" w:styleId="696">
    <w:name w:val="footnote text"/>
    <w:basedOn w:val="670"/>
    <w:link w:val="860"/>
    <w:uiPriority w:val="99"/>
    <w:semiHidden/>
    <w:unhideWhenUsed/>
    <w:qFormat/>
    <w:pPr>
      <w:spacing w:after="40" w:line="240" w:lineRule="auto"/>
    </w:pPr>
    <w:rPr>
      <w:sz w:val="18"/>
    </w:rPr>
  </w:style>
  <w:style w:type="paragraph" w:styleId="697">
    <w:name w:val="toc 6"/>
    <w:basedOn w:val="670"/>
    <w:next w:val="670"/>
    <w:uiPriority w:val="39"/>
    <w:unhideWhenUsed/>
    <w:qFormat/>
    <w:pPr>
      <w:ind w:left="1417" w:right="0" w:firstLine="0"/>
      <w:spacing w:after="57"/>
    </w:pPr>
  </w:style>
  <w:style w:type="paragraph" w:styleId="698">
    <w:name w:val="table of figures"/>
    <w:basedOn w:val="670"/>
    <w:next w:val="670"/>
    <w:uiPriority w:val="99"/>
    <w:unhideWhenUsed/>
    <w:qFormat/>
    <w:pPr>
      <w:spacing w:after="0" w:afterAutospacing="0"/>
    </w:pPr>
  </w:style>
  <w:style w:type="paragraph" w:styleId="699">
    <w:name w:val="toc 2"/>
    <w:basedOn w:val="670"/>
    <w:next w:val="670"/>
    <w:uiPriority w:val="39"/>
    <w:unhideWhenUsed/>
    <w:qFormat/>
    <w:pPr>
      <w:ind w:left="283" w:right="0" w:firstLine="0"/>
      <w:spacing w:after="57"/>
    </w:pPr>
  </w:style>
  <w:style w:type="paragraph" w:styleId="700">
    <w:name w:val="toc 9"/>
    <w:basedOn w:val="670"/>
    <w:next w:val="670"/>
    <w:uiPriority w:val="39"/>
    <w:unhideWhenUsed/>
    <w:qFormat/>
    <w:pPr>
      <w:ind w:left="2268" w:right="0" w:firstLine="0"/>
      <w:spacing w:after="57"/>
    </w:pPr>
  </w:style>
  <w:style w:type="paragraph" w:styleId="701">
    <w:name w:val="Normal (Web)"/>
    <w:basedOn w:val="670"/>
    <w:uiPriority w:val="0"/>
    <w:qFormat/>
    <w:pPr>
      <w:jc w:val="left"/>
      <w:spacing w:beforeAutospacing="1" w:afterAutospacing="1"/>
    </w:pPr>
    <w:rPr>
      <w:sz w:val="24"/>
    </w:rPr>
  </w:style>
  <w:style w:type="paragraph" w:styleId="702">
    <w:name w:val="Title"/>
    <w:basedOn w:val="670"/>
    <w:next w:val="670"/>
    <w:link w:val="726"/>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80"/>
    <w:uiPriority w:val="22"/>
    <w:qFormat/>
    <w:rPr>
      <w:b/>
    </w:rPr>
  </w:style>
  <w:style w:type="character" w:styleId="705">
    <w:name w:val="endnote reference"/>
    <w:uiPriority w:val="99"/>
    <w:semiHidden/>
    <w:unhideWhenUsed/>
    <w:qFormat/>
    <w:rPr>
      <w:vertAlign w:val="superscript"/>
    </w:rPr>
  </w:style>
  <w:style w:type="character" w:styleId="706">
    <w:name w:val="Emphasis"/>
    <w:uiPriority w:val="0"/>
    <w:qFormat/>
    <w:rPr>
      <w:i/>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paragraph" w:styleId="709" w:customStyle="1">
    <w:name w:val="Default"/>
    <w:next w:val="670"/>
    <w:uiPriority w:val="0"/>
    <w:qFormat/>
    <w:pPr>
      <w:widowControl w:val="off"/>
    </w:pPr>
    <w:rPr>
      <w:rFonts w:hint="default" w:ascii="宋体" w:hAnsi="宋体" w:eastAsia="宋体" w:cs="宋体"/>
      <w:color w:val="000000"/>
      <w:sz w:val="24"/>
      <w:szCs w:val="24"/>
      <w:lang w:val="en-US" w:eastAsia="zh-CN" w:bidi="ar-SA"/>
    </w:rPr>
  </w:style>
  <w:style w:type="paragraph" w:styleId="710" w:customStyle="1">
    <w:name w:val="正文首行缩进 21"/>
    <w:basedOn w:val="711"/>
    <w:uiPriority w:val="0"/>
    <w:qFormat/>
    <w:pPr>
      <w:ind w:left="0" w:firstLine="420"/>
      <w:spacing w:after="0" w:line="360" w:lineRule="auto"/>
    </w:pPr>
    <w:rPr>
      <w:rFonts w:ascii="宋体" w:hAnsi="宋体"/>
      <w:sz w:val="20"/>
      <w:szCs w:val="20"/>
      <w:lang w:val="en-US" w:eastAsia="en-US"/>
    </w:rPr>
  </w:style>
  <w:style w:type="paragraph" w:styleId="711" w:customStyle="1">
    <w:name w:val="正文文本缩进1"/>
    <w:basedOn w:val="670"/>
    <w:next w:val="710"/>
    <w:uiPriority w:val="0"/>
    <w:unhideWhenUsed/>
    <w:qFormat/>
    <w:pPr>
      <w:ind w:left="420"/>
      <w:spacing w:after="120"/>
    </w:pPr>
  </w:style>
  <w:style w:type="paragraph" w:styleId="712" w:customStyle="1">
    <w:name w:val="正文文本缩进11"/>
    <w:basedOn w:val="670"/>
    <w:next w:val="713"/>
    <w:link w:val="873"/>
    <w:uiPriority w:val="0"/>
    <w:qFormat/>
    <w:pPr>
      <w:ind w:left="420"/>
      <w:spacing w:after="120"/>
    </w:pPr>
  </w:style>
  <w:style w:type="paragraph" w:styleId="713" w:customStyle="1">
    <w:name w:val="寄信人地址1"/>
    <w:basedOn w:val="670"/>
    <w:uiPriority w:val="0"/>
    <w:qFormat/>
    <w:rPr>
      <w:rFonts w:ascii="Arial" w:hAnsi="Arial"/>
    </w:rPr>
  </w:style>
  <w:style w:type="paragraph" w:styleId="714" w:customStyle="1">
    <w:name w:val="正文文本缩进 31"/>
    <w:basedOn w:val="670"/>
    <w:uiPriority w:val="0"/>
    <w:qFormat/>
    <w:pPr>
      <w:ind w:left="645" w:firstLine="645"/>
    </w:pPr>
    <w:rPr>
      <w:rFonts w:ascii="Arial" w:hAnsi="Arial" w:eastAsia="仿宋_GB2312"/>
      <w:color w:val="ffff00"/>
      <w:sz w:val="32"/>
      <w:szCs w:val="32"/>
    </w:rPr>
  </w:style>
  <w:style w:type="character" w:styleId="715" w:customStyle="1">
    <w:name w:val="Heading 1 Char"/>
    <w:link w:val="671"/>
    <w:uiPriority w:val="9"/>
    <w:qFormat/>
    <w:rPr>
      <w:rFonts w:ascii="Arial" w:hAnsi="Arial" w:eastAsia="Arial" w:cs="Arial"/>
      <w:sz w:val="40"/>
      <w:szCs w:val="40"/>
    </w:rPr>
  </w:style>
  <w:style w:type="character" w:styleId="716" w:customStyle="1">
    <w:name w:val="Heading 2 Char"/>
    <w:link w:val="672"/>
    <w:uiPriority w:val="9"/>
    <w:qFormat/>
    <w:rPr>
      <w:rFonts w:ascii="Arial" w:hAnsi="Arial" w:eastAsia="Arial" w:cs="Arial"/>
      <w:sz w:val="34"/>
    </w:rPr>
  </w:style>
  <w:style w:type="character" w:styleId="717" w:customStyle="1">
    <w:name w:val="Heading 3 Char"/>
    <w:link w:val="673"/>
    <w:uiPriority w:val="9"/>
    <w:qFormat/>
    <w:rPr>
      <w:rFonts w:ascii="Arial" w:hAnsi="Arial" w:eastAsia="Arial" w:cs="Arial"/>
      <w:sz w:val="30"/>
      <w:szCs w:val="30"/>
    </w:rPr>
  </w:style>
  <w:style w:type="character" w:styleId="718" w:customStyle="1">
    <w:name w:val="Heading 4 Char"/>
    <w:link w:val="674"/>
    <w:uiPriority w:val="9"/>
    <w:qFormat/>
    <w:rPr>
      <w:rFonts w:ascii="Arial" w:hAnsi="Arial" w:eastAsia="Arial" w:cs="Arial"/>
      <w:b/>
      <w:bCs/>
      <w:sz w:val="26"/>
      <w:szCs w:val="26"/>
    </w:rPr>
  </w:style>
  <w:style w:type="character" w:styleId="719" w:customStyle="1">
    <w:name w:val="Heading 5 Char"/>
    <w:link w:val="675"/>
    <w:uiPriority w:val="9"/>
    <w:qFormat/>
    <w:rPr>
      <w:rFonts w:ascii="Arial" w:hAnsi="Arial" w:eastAsia="Arial" w:cs="Arial"/>
      <w:b/>
      <w:bCs/>
      <w:sz w:val="24"/>
      <w:szCs w:val="24"/>
    </w:rPr>
  </w:style>
  <w:style w:type="character" w:styleId="720" w:customStyle="1">
    <w:name w:val="Heading 6 Char"/>
    <w:link w:val="676"/>
    <w:uiPriority w:val="9"/>
    <w:qFormat/>
    <w:rPr>
      <w:rFonts w:ascii="Arial" w:hAnsi="Arial" w:eastAsia="Arial" w:cs="Arial"/>
      <w:b/>
      <w:bCs/>
      <w:sz w:val="22"/>
      <w:szCs w:val="22"/>
    </w:rPr>
  </w:style>
  <w:style w:type="character" w:styleId="721" w:customStyle="1">
    <w:name w:val="Heading 7 Char"/>
    <w:link w:val="677"/>
    <w:uiPriority w:val="9"/>
    <w:qFormat/>
    <w:rPr>
      <w:rFonts w:ascii="Arial" w:hAnsi="Arial" w:eastAsia="Arial" w:cs="Arial"/>
      <w:b/>
      <w:bCs/>
      <w:i/>
      <w:iCs/>
      <w:sz w:val="22"/>
      <w:szCs w:val="22"/>
    </w:rPr>
  </w:style>
  <w:style w:type="character" w:styleId="722" w:customStyle="1">
    <w:name w:val="Heading 8 Char"/>
    <w:link w:val="678"/>
    <w:uiPriority w:val="9"/>
    <w:qFormat/>
    <w:rPr>
      <w:rFonts w:ascii="Arial" w:hAnsi="Arial" w:eastAsia="Arial" w:cs="Arial"/>
      <w:i/>
      <w:iCs/>
      <w:sz w:val="22"/>
      <w:szCs w:val="22"/>
    </w:rPr>
  </w:style>
  <w:style w:type="character" w:styleId="723" w:customStyle="1">
    <w:name w:val="Heading 9 Char"/>
    <w:link w:val="679"/>
    <w:uiPriority w:val="9"/>
    <w:qFormat/>
    <w:rPr>
      <w:rFonts w:ascii="Arial" w:hAnsi="Arial" w:eastAsia="Arial" w:cs="Arial"/>
      <w:i/>
      <w:iCs/>
      <w:sz w:val="21"/>
      <w:szCs w:val="21"/>
    </w:rPr>
  </w:style>
  <w:style w:type="paragraph" w:styleId="724">
    <w:name w:val="List Paragraph"/>
    <w:basedOn w:val="670"/>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link w:val="702"/>
    <w:uiPriority w:val="10"/>
    <w:qFormat/>
    <w:rPr>
      <w:sz w:val="48"/>
      <w:szCs w:val="48"/>
    </w:rPr>
  </w:style>
  <w:style w:type="character" w:styleId="727" w:customStyle="1">
    <w:name w:val="Subtitle Char"/>
    <w:link w:val="695"/>
    <w:uiPriority w:val="11"/>
    <w:qFormat/>
    <w:rPr>
      <w:sz w:val="24"/>
      <w:szCs w:val="24"/>
    </w:rPr>
  </w:style>
  <w:style w:type="paragraph" w:styleId="728">
    <w:name w:val="Quote"/>
    <w:basedOn w:val="670"/>
    <w:next w:val="670"/>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0"/>
    <w:next w:val="670"/>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link w:val="692"/>
    <w:uiPriority w:val="99"/>
    <w:qFormat/>
  </w:style>
  <w:style w:type="character" w:styleId="733" w:customStyle="1">
    <w:name w:val="Footer Char"/>
    <w:link w:val="691"/>
    <w:uiPriority w:val="99"/>
    <w:qFormat/>
  </w:style>
  <w:style w:type="character" w:styleId="734" w:customStyle="1">
    <w:name w:val="Caption Char"/>
    <w:link w:val="691"/>
    <w:uiPriority w:val="99"/>
    <w:qFormat/>
  </w:style>
  <w:style w:type="table" w:styleId="7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link w:val="696"/>
    <w:uiPriority w:val="99"/>
    <w:qFormat/>
    <w:rPr>
      <w:sz w:val="18"/>
    </w:rPr>
  </w:style>
  <w:style w:type="character" w:styleId="861" w:customStyle="1">
    <w:name w:val="Endnote Text Char"/>
    <w:link w:val="690"/>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标题 11"/>
    <w:basedOn w:val="670"/>
    <w:next w:val="670"/>
    <w:link w:val="869"/>
    <w:uiPriority w:val="0"/>
    <w:qFormat/>
    <w:pPr>
      <w:keepLines/>
      <w:keepNext/>
      <w:spacing w:before="340" w:after="330" w:line="578" w:lineRule="auto"/>
      <w:outlineLvl w:val="0"/>
    </w:pPr>
    <w:rPr>
      <w:b/>
      <w:bCs/>
      <w:sz w:val="44"/>
      <w:szCs w:val="44"/>
    </w:rPr>
  </w:style>
  <w:style w:type="paragraph" w:styleId="864" w:customStyle="1">
    <w:name w:val="标题 21"/>
    <w:basedOn w:val="670"/>
    <w:next w:val="670"/>
    <w:uiPriority w:val="0"/>
    <w:qFormat/>
    <w:pPr>
      <w:keepLines/>
      <w:keepNext/>
      <w:spacing w:line="360" w:lineRule="auto"/>
      <w:outlineLvl w:val="1"/>
    </w:pPr>
    <w:rPr>
      <w:rFonts w:ascii="Arial" w:hAnsi="Arial"/>
      <w:b/>
      <w:bCs/>
      <w:sz w:val="24"/>
      <w:szCs w:val="32"/>
    </w:rPr>
  </w:style>
  <w:style w:type="paragraph" w:styleId="865" w:customStyle="1">
    <w:name w:val="标题 41"/>
    <w:basedOn w:val="670"/>
    <w:next w:val="866"/>
    <w:uiPriority w:val="0"/>
    <w:qFormat/>
    <w:pPr>
      <w:jc w:val="center"/>
      <w:keepNext/>
      <w:outlineLvl w:val="3"/>
    </w:pPr>
    <w:rPr>
      <w:rFonts w:eastAsia="新宋体"/>
      <w:sz w:val="30"/>
      <w:szCs w:val="21"/>
    </w:rPr>
  </w:style>
  <w:style w:type="paragraph" w:styleId="866" w:customStyle="1">
    <w:name w:val="正文缩进11"/>
    <w:basedOn w:val="670"/>
    <w:uiPriority w:val="0"/>
    <w:qFormat/>
    <w:pPr>
      <w:ind w:firstLine="420"/>
    </w:pPr>
  </w:style>
  <w:style w:type="character" w:styleId="867" w:customStyle="1">
    <w:name w:val="默认段落字体1"/>
    <w:link w:val="670"/>
    <w:uiPriority w:val="1"/>
    <w:unhideWhenUsed/>
    <w:qFormat/>
  </w:style>
  <w:style w:type="table" w:styleId="868" w:customStyle="1">
    <w:name w:val="普通表格1"/>
    <w:uiPriority w:val="99"/>
    <w:unhideWhenUsed/>
    <w:qFormat/>
    <w:tblPr/>
  </w:style>
  <w:style w:type="character" w:styleId="869" w:customStyle="1">
    <w:name w:val="标题 1 字符"/>
    <w:link w:val="863"/>
    <w:uiPriority w:val="0"/>
    <w:qFormat/>
    <w:rPr>
      <w:rFonts w:ascii="Times New Roman" w:hAnsi="Times New Roman"/>
      <w:b/>
      <w:bCs/>
      <w:sz w:val="44"/>
      <w:szCs w:val="44"/>
    </w:rPr>
  </w:style>
  <w:style w:type="paragraph" w:styleId="870" w:customStyle="1">
    <w:name w:val="批注文字1"/>
    <w:basedOn w:val="670"/>
    <w:link w:val="871"/>
    <w:uiPriority w:val="0"/>
    <w:qFormat/>
    <w:pPr>
      <w:jc w:val="left"/>
    </w:pPr>
  </w:style>
  <w:style w:type="character" w:styleId="871" w:customStyle="1">
    <w:name w:val="批注文字 字符"/>
    <w:link w:val="870"/>
    <w:uiPriority w:val="0"/>
    <w:qFormat/>
    <w:rPr>
      <w:sz w:val="21"/>
    </w:rPr>
  </w:style>
  <w:style w:type="paragraph" w:styleId="872" w:customStyle="1">
    <w:name w:val="正文文本11"/>
    <w:basedOn w:val="670"/>
    <w:next w:val="670"/>
    <w:uiPriority w:val="0"/>
    <w:qFormat/>
    <w:rPr>
      <w:rFonts w:ascii="仿宋_GB2312" w:eastAsia="仿宋_GB2312"/>
      <w:sz w:val="24"/>
    </w:rPr>
  </w:style>
  <w:style w:type="character" w:styleId="873" w:customStyle="1">
    <w:name w:val="正文文本缩进 字符"/>
    <w:link w:val="712"/>
    <w:uiPriority w:val="0"/>
    <w:qFormat/>
    <w:rPr>
      <w:sz w:val="21"/>
    </w:rPr>
  </w:style>
  <w:style w:type="paragraph" w:styleId="874" w:customStyle="1">
    <w:name w:val="索引 41"/>
    <w:basedOn w:val="670"/>
    <w:next w:val="670"/>
    <w:uiPriority w:val="99"/>
    <w:unhideWhenUsed/>
    <w:qFormat/>
    <w:pPr>
      <w:ind w:left="600"/>
    </w:pPr>
  </w:style>
  <w:style w:type="paragraph" w:styleId="875" w:customStyle="1">
    <w:name w:val="纯文本11"/>
    <w:basedOn w:val="670"/>
    <w:uiPriority w:val="0"/>
    <w:qFormat/>
    <w:rPr>
      <w:rFonts w:ascii="宋体" w:hAnsi="Courier New" w:cs="Courier New"/>
      <w:szCs w:val="21"/>
    </w:rPr>
  </w:style>
  <w:style w:type="paragraph" w:styleId="876" w:customStyle="1">
    <w:name w:val="批注框文本1"/>
    <w:basedOn w:val="670"/>
    <w:link w:val="877"/>
    <w:uiPriority w:val="0"/>
    <w:qFormat/>
    <w:rPr>
      <w:sz w:val="18"/>
      <w:szCs w:val="18"/>
    </w:rPr>
  </w:style>
  <w:style w:type="character" w:styleId="877" w:customStyle="1">
    <w:name w:val="批注框文本 字符"/>
    <w:link w:val="876"/>
    <w:uiPriority w:val="0"/>
    <w:qFormat/>
    <w:rPr>
      <w:sz w:val="18"/>
      <w:szCs w:val="18"/>
    </w:rPr>
  </w:style>
  <w:style w:type="paragraph" w:styleId="878" w:customStyle="1">
    <w:name w:val="页脚11"/>
    <w:basedOn w:val="670"/>
    <w:link w:val="879"/>
    <w:uiPriority w:val="99"/>
    <w:qFormat/>
    <w:pPr>
      <w:jc w:val="left"/>
      <w:tabs>
        <w:tab w:val="center" w:pos="4153" w:leader="none"/>
        <w:tab w:val="right" w:pos="8306" w:leader="none"/>
      </w:tabs>
    </w:pPr>
    <w:rPr>
      <w:sz w:val="18"/>
      <w:szCs w:val="18"/>
    </w:rPr>
  </w:style>
  <w:style w:type="character" w:styleId="879" w:customStyle="1">
    <w:name w:val="页脚 字符"/>
    <w:link w:val="878"/>
    <w:uiPriority w:val="99"/>
    <w:qFormat/>
    <w:rPr>
      <w:rFonts w:ascii="Times New Roman" w:hAnsi="Times New Roman" w:eastAsia="宋体" w:cs="Times New Roman"/>
      <w:sz w:val="18"/>
      <w:szCs w:val="18"/>
    </w:rPr>
  </w:style>
  <w:style w:type="paragraph" w:styleId="880" w:customStyle="1">
    <w:name w:val="页眉1"/>
    <w:basedOn w:val="67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81" w:customStyle="1">
    <w:name w:val="目录 11"/>
    <w:basedOn w:val="670"/>
    <w:next w:val="670"/>
    <w:uiPriority w:val="39"/>
    <w:qFormat/>
  </w:style>
  <w:style w:type="paragraph" w:styleId="882" w:customStyle="1">
    <w:name w:val="普通(网站)11"/>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883" w:customStyle="1">
    <w:name w:val="批注主题1"/>
    <w:basedOn w:val="870"/>
    <w:next w:val="870"/>
    <w:link w:val="884"/>
    <w:uiPriority w:val="0"/>
    <w:qFormat/>
    <w:rPr>
      <w:b/>
      <w:bCs/>
    </w:rPr>
  </w:style>
  <w:style w:type="character" w:styleId="884" w:customStyle="1">
    <w:name w:val="批注主题 字符"/>
    <w:link w:val="883"/>
    <w:uiPriority w:val="0"/>
    <w:qFormat/>
    <w:rPr>
      <w:b/>
      <w:bCs/>
      <w:sz w:val="21"/>
    </w:rPr>
  </w:style>
  <w:style w:type="paragraph" w:styleId="885" w:customStyle="1">
    <w:name w:val="正文首行缩进1"/>
    <w:basedOn w:val="872"/>
    <w:link w:val="886"/>
    <w:uiPriority w:val="0"/>
    <w:qFormat/>
    <w:pPr>
      <w:ind w:firstLine="420"/>
      <w:spacing w:after="120"/>
    </w:pPr>
    <w:rPr>
      <w:rFonts w:ascii="Times New Roman" w:eastAsia="宋体"/>
      <w:szCs w:val="24"/>
    </w:rPr>
  </w:style>
  <w:style w:type="character" w:styleId="886" w:customStyle="1">
    <w:name w:val="正文首行缩进 字符"/>
    <w:link w:val="885"/>
    <w:uiPriority w:val="0"/>
    <w:qFormat/>
    <w:rPr>
      <w:sz w:val="24"/>
      <w:szCs w:val="24"/>
    </w:rPr>
  </w:style>
  <w:style w:type="paragraph" w:styleId="887" w:customStyle="1">
    <w:name w:val="正文首行缩进 211"/>
    <w:basedOn w:val="712"/>
    <w:next w:val="714"/>
    <w:uiPriority w:val="0"/>
    <w:qFormat/>
    <w:pPr>
      <w:ind w:left="0" w:firstLine="420"/>
      <w:spacing w:after="0" w:line="360" w:lineRule="auto"/>
    </w:pPr>
    <w:rPr>
      <w:rFonts w:ascii="宋体" w:hAnsi="宋体"/>
      <w:sz w:val="20"/>
      <w:szCs w:val="20"/>
    </w:rPr>
  </w:style>
  <w:style w:type="table" w:styleId="888" w:customStyle="1">
    <w:name w:val="网格型1"/>
    <w:basedOn w:val="868"/>
    <w:uiPriority w:val="39"/>
    <w:qFormat/>
    <w:tblPr/>
  </w:style>
  <w:style w:type="character" w:styleId="889" w:customStyle="1">
    <w:name w:val="要点1"/>
    <w:link w:val="670"/>
    <w:uiPriority w:val="22"/>
    <w:qFormat/>
    <w:rPr>
      <w:b/>
      <w:bCs/>
    </w:rPr>
  </w:style>
  <w:style w:type="character" w:styleId="890" w:customStyle="1">
    <w:name w:val="已访问的超链接1"/>
    <w:link w:val="670"/>
    <w:uiPriority w:val="0"/>
    <w:qFormat/>
    <w:rPr>
      <w:rFonts w:ascii="Times New Roman" w:hAnsi="Times New Roman" w:eastAsia="宋体" w:cs="Times New Roman"/>
      <w:sz w:val="21"/>
      <w:lang w:val="en-US" w:eastAsia="zh-CN" w:bidi="ar-SA"/>
    </w:rPr>
  </w:style>
  <w:style w:type="character" w:styleId="891" w:customStyle="1">
    <w:name w:val="强调1"/>
    <w:link w:val="670"/>
    <w:uiPriority w:val="0"/>
    <w:qFormat/>
    <w:rPr>
      <w:i/>
    </w:rPr>
  </w:style>
  <w:style w:type="character" w:styleId="892" w:customStyle="1">
    <w:name w:val="超链接1"/>
    <w:link w:val="670"/>
    <w:uiPriority w:val="99"/>
    <w:unhideWhenUsed/>
    <w:qFormat/>
    <w:rPr>
      <w:color w:val="0563c1"/>
      <w:u w:val="single"/>
    </w:rPr>
  </w:style>
  <w:style w:type="character" w:styleId="893" w:customStyle="1">
    <w:name w:val="批注引用1"/>
    <w:link w:val="670"/>
    <w:uiPriority w:val="0"/>
    <w:qFormat/>
    <w:rPr>
      <w:sz w:val="21"/>
      <w:szCs w:val="21"/>
    </w:rPr>
  </w:style>
  <w:style w:type="paragraph" w:styleId="894" w:customStyle="1">
    <w:name w:val="普通文字"/>
    <w:basedOn w:val="670"/>
    <w:next w:val="670"/>
    <w:uiPriority w:val="0"/>
    <w:qFormat/>
    <w:rPr>
      <w:rFonts w:ascii="宋体"/>
      <w:sz w:val="24"/>
    </w:rPr>
  </w:style>
  <w:style w:type="paragraph" w:styleId="895" w:customStyle="1">
    <w:name w:val="正文缩进1"/>
    <w:basedOn w:val="670"/>
    <w:uiPriority w:val="0"/>
    <w:qFormat/>
    <w:pPr>
      <w:ind w:firstLine="420"/>
      <w:jc w:val="left"/>
    </w:pPr>
    <w:rPr>
      <w:rFonts w:ascii="宋体" w:hAnsi="Calibri"/>
      <w:sz w:val="24"/>
      <w:szCs w:val="22"/>
    </w:rPr>
  </w:style>
  <w:style w:type="paragraph" w:styleId="896" w:customStyle="1">
    <w:name w:val="索引 11"/>
    <w:basedOn w:val="670"/>
    <w:next w:val="670"/>
    <w:uiPriority w:val="0"/>
    <w:qFormat/>
    <w:pPr>
      <w:spacing w:line="360" w:lineRule="auto"/>
    </w:pPr>
    <w:rPr>
      <w:rFonts w:ascii="仿宋_GB2312" w:eastAsia="仿宋_GB2312"/>
      <w:sz w:val="24"/>
    </w:rPr>
  </w:style>
  <w:style w:type="paragraph" w:styleId="897" w:customStyle="1">
    <w:name w:val="纯文本1"/>
    <w:basedOn w:val="670"/>
    <w:uiPriority w:val="0"/>
    <w:qFormat/>
    <w:rPr>
      <w:rFonts w:ascii="宋体" w:hAnsi="Courier New"/>
      <w:szCs w:val="22"/>
    </w:rPr>
  </w:style>
  <w:style w:type="paragraph" w:styleId="898" w:customStyle="1">
    <w:name w:val="普通(网站)1"/>
    <w:basedOn w:val="670"/>
    <w:uiPriority w:val="99"/>
    <w:qFormat/>
    <w:pPr>
      <w:jc w:val="left"/>
      <w:spacing w:before="100" w:beforeAutospacing="1" w:after="100" w:afterAutospacing="1"/>
    </w:pPr>
    <w:rPr>
      <w:sz w:val="24"/>
    </w:rPr>
  </w:style>
  <w:style w:type="paragraph" w:styleId="899" w:customStyle="1">
    <w:name w:val="正文文本1"/>
    <w:basedOn w:val="670"/>
    <w:next w:val="670"/>
    <w:uiPriority w:val="0"/>
    <w:qFormat/>
    <w:rPr>
      <w:sz w:val="20"/>
    </w:rPr>
  </w:style>
  <w:style w:type="paragraph" w:styleId="900" w:customStyle="1">
    <w:name w:val="正文文本首行缩进"/>
    <w:basedOn w:val="899"/>
    <w:uiPriority w:val="0"/>
    <w:qFormat/>
    <w:pPr>
      <w:ind w:firstLine="420"/>
      <w:spacing w:after="120"/>
      <w:tabs>
        <w:tab w:val="left" w:pos="2020" w:leader="none"/>
        <w:tab w:val="center" w:pos="4535" w:leader="none"/>
      </w:tabs>
    </w:pPr>
    <w:rPr>
      <w:sz w:val="21"/>
    </w:rPr>
  </w:style>
  <w:style w:type="paragraph" w:styleId="901" w:customStyle="1">
    <w:name w:val="纯文本2"/>
    <w:basedOn w:val="670"/>
    <w:uiPriority w:val="0"/>
    <w:qFormat/>
    <w:rPr>
      <w:rFonts w:ascii="宋体" w:hAnsi="Courier New"/>
    </w:rPr>
  </w:style>
  <w:style w:type="paragraph" w:styleId="902" w:customStyle="1">
    <w:name w:val="正文文本 21"/>
    <w:basedOn w:val="670"/>
    <w:uiPriority w:val="0"/>
    <w:qFormat/>
    <w:pPr>
      <w:spacing w:after="120" w:line="480" w:lineRule="auto"/>
    </w:pPr>
    <w:rPr>
      <w:sz w:val="20"/>
    </w:rPr>
  </w:style>
  <w:style w:type="paragraph" w:styleId="903" w:customStyle="1">
    <w:name w:val="页脚1"/>
    <w:basedOn w:val="670"/>
    <w:uiPriority w:val="0"/>
    <w:qFormat/>
    <w:pPr>
      <w:jc w:val="left"/>
      <w:tabs>
        <w:tab w:val="center" w:pos="4153" w:leader="none"/>
        <w:tab w:val="right" w:pos="8306" w:leader="none"/>
      </w:tabs>
    </w:pPr>
    <w:rPr>
      <w:sz w:val="18"/>
    </w:rPr>
  </w:style>
  <w:style w:type="character" w:styleId="904" w:customStyle="1">
    <w:name w:val="custom-tag-placeholder-class"/>
    <w:link w:val="670"/>
    <w:uiPriority w:val="0"/>
    <w:qFormat/>
  </w:style>
  <w:style w:type="paragraph" w:styleId="9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6" w:customStyle="1">
    <w:name w:val="列出段落1"/>
    <w:basedOn w:val="670"/>
    <w:uiPriority w:val="0"/>
    <w:qFormat/>
    <w:pPr>
      <w:ind w:firstLine="420"/>
    </w:pPr>
    <w:rPr>
      <w:szCs w:val="21"/>
    </w:rPr>
  </w:style>
  <w:style w:type="paragraph" w:styleId="907" w:customStyle="1">
    <w:name w:val="标题 111"/>
    <w:basedOn w:val="670"/>
    <w:next w:val="670"/>
    <w:uiPriority w:val="0"/>
    <w:qFormat/>
    <w:pPr>
      <w:keepLines/>
      <w:keepNext/>
      <w:spacing w:before="340" w:after="330" w:line="578" w:lineRule="auto"/>
      <w:outlineLvl w:val="0"/>
    </w:pPr>
    <w:rPr>
      <w:b/>
      <w:bCs/>
      <w:sz w:val="44"/>
      <w:szCs w:val="44"/>
      <w:lang w:val="en-US" w:eastAsia="en-US"/>
    </w:rPr>
  </w:style>
  <w:style w:type="paragraph" w:styleId="908" w:customStyle="1">
    <w:name w:val="普通(网站)2"/>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909"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10" w:customStyle="1">
    <w:name w:val="正文首行缩进11"/>
    <w:basedOn w:val="899"/>
    <w:uiPriority w:val="0"/>
    <w:qFormat/>
    <w:pPr>
      <w:ind w:firstLine="200"/>
      <w:spacing w:line="360" w:lineRule="auto"/>
    </w:pPr>
    <w:rPr>
      <w:rFonts w:ascii="仿宋_GB2312" w:hAnsi="Times New Roman" w:eastAsia="仿宋_GB2312"/>
      <w:sz w:val="30"/>
      <w:szCs w:val="30"/>
    </w:rPr>
  </w:style>
  <w:style w:type="character" w:styleId="911" w:customStyle="1">
    <w:name w:val="font51"/>
    <w:basedOn w:val="680"/>
    <w:uiPriority w:val="0"/>
    <w:qFormat/>
    <w:rPr>
      <w:rFonts w:hint="eastAsia" w:ascii="宋体" w:hAnsi="宋体" w:eastAsia="宋体" w:cs="宋体"/>
      <w:color w:val="000000"/>
      <w:sz w:val="21"/>
      <w:szCs w:val="21"/>
      <w:u w:val="none"/>
    </w:rPr>
  </w:style>
  <w:style w:type="character" w:styleId="912" w:customStyle="1">
    <w:name w:val="font41"/>
    <w:basedOn w:val="680"/>
    <w:uiPriority w:val="0"/>
    <w:qFormat/>
    <w:rPr>
      <w:rFonts w:hint="eastAsia" w:ascii="宋体" w:hAnsi="宋体" w:eastAsia="宋体" w:cs="宋体"/>
      <w:color w:val="000000"/>
      <w:sz w:val="22"/>
      <w:szCs w:val="22"/>
      <w:u w:val="none"/>
    </w:rPr>
  </w:style>
  <w:style w:type="character" w:styleId="913" w:customStyle="1">
    <w:name w:val="font21"/>
    <w:basedOn w:val="680"/>
    <w:uiPriority w:val="0"/>
    <w:qFormat/>
    <w:rPr>
      <w:rFonts w:hint="eastAsia" w:ascii="宋体" w:hAnsi="宋体" w:eastAsia="宋体" w:cs="宋体"/>
      <w:color w:val="000000"/>
      <w:sz w:val="21"/>
      <w:szCs w:val="21"/>
      <w:u w:val="none"/>
    </w:rPr>
  </w:style>
  <w:style w:type="character" w:styleId="914" w:customStyle="1">
    <w:name w:val="font31"/>
    <w:basedOn w:val="680"/>
    <w:uiPriority w:val="0"/>
    <w:qFormat/>
    <w:rPr>
      <w:rFonts w:hint="eastAsia" w:ascii="宋体" w:hAnsi="宋体" w:eastAsia="宋体" w:cs="宋体"/>
      <w:color w:val="000000"/>
      <w:sz w:val="21"/>
      <w:szCs w:val="21"/>
      <w:u w:val="none"/>
    </w:rPr>
  </w:style>
  <w:style w:type="numbering" w:styleId="85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8e6647a5-13fb-4f6c-88bf-0468cf044553</errorID>
      <errorWord>个</errorWord>
      <group>L1_Knowledge</group>
      <groupName>知识性问题</groupName>
      <ability>L2_Knowledge</ability>
      <abilityName>其他知识</abilityName>
      <candidateList>
        <item>台</item>
      </candidateList>
      <explain>请检查“个”是否为量词使用错误，建议修改为“台”。</explain>
      <paraID>5E9DAA67</paraID>
      <start>11</start>
      <end>12</end>
      <status>modified</status>
      <modifiedWord>台</modifiedWord>
      <trackRevisions>false</trackRevisions>
    </reviewItem>
    <reviewItem>
      <errorID>0dfb5b10-b8c7-4934-92ec-1c76ebfeb75a</errorID>
      <errorWord>等</errorWord>
      <group>L1_Word</group>
      <groupName>字词问题</groupName>
      <ability>L2_Typo</ability>
      <abilityName>字词错误</abilityName>
      <candidateList>
        <item>等以</item>
      </candidateList>
      <explain/>
      <paraID>33A7B388</paraID>
      <start>74</start>
      <end>76</end>
      <status>modified</status>
      <modifiedWord>等以</modifiedWord>
      <trackRevisions>false</trackRevisions>
    </reviewItem>
    <reviewItem>
      <errorID>ad546be7-55bf-4d42-92de-3e586c7dfe37</errorID>
      <errorWord>、或</errorWord>
      <group>L1_Word</group>
      <groupName>字词问题</groupName>
      <ability>L2_Typo</ability>
      <abilityName>字词错误</abilityName>
      <candidateList>
        <item>或</item>
      </candidateList>
      <explain/>
      <paraID>33A7B388</paraID>
      <start>204</start>
      <end>205</end>
      <status>modified</status>
      <modifiedWord>或</modifiedWord>
      <trackRevisions>false</trackRevisions>
    </reviewItem>
    <reviewItem>
      <errorID>daf69161-76a1-4fab-b6f1-b61a9204e429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4C4679DA</paraID>
      <start>0</start>
      <end>2</end>
      <status>modified</status>
      <modifiedWord>4.</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C9293CB-C6B3-468B-94BD-BF42CECEFF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40</cp:revision>
  <dcterms:created xsi:type="dcterms:W3CDTF">2023-12-07T03:32:00Z</dcterms:created>
  <dcterms:modified xsi:type="dcterms:W3CDTF">2026-11-03T05:47:07Z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391F640F4DB04E9EB2EDE58B3F3F9DE7_13</vt:lpwstr>
  </property>
  <property fmtid="{D5CDD505-2E9C-101B-9397-08002B2CF9AE}" pid="4" name="KSOTemplateDocerSaveRecord">
    <vt:lpwstr>eyJoZGlkIjoiYzA5YWY4M2MwNGRhODk4ZjM0ZWM5YjZlMDk5M2I4YjQiLCJ1c2VySWQiOiIxNjU1OTQ5OTg4In0=</vt:lpwstr>
  </property>
</Properties>
</file>