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A96C71">
      <w:pPr>
        <w:pStyle w:val="32"/>
        <w:spacing w:before="120" w:beforeAutospacing="0" w:after="120" w:afterAutospacing="0" w:line="360" w:lineRule="auto"/>
        <w:jc w:val="center"/>
        <w:rPr>
          <w:rFonts w:ascii="Arial" w:hAnsi="Arial" w:cs="Arial"/>
          <w:b/>
          <w:color w:val="auto"/>
          <w:sz w:val="84"/>
          <w:szCs w:val="84"/>
          <w:highlight w:val="none"/>
        </w:rPr>
      </w:pPr>
    </w:p>
    <w:p w14:paraId="59933AC8">
      <w:pPr>
        <w:pStyle w:val="32"/>
        <w:spacing w:before="120" w:beforeAutospacing="0" w:after="120" w:afterAutospacing="0" w:line="360" w:lineRule="auto"/>
        <w:jc w:val="center"/>
        <w:rPr>
          <w:rFonts w:ascii="Arial" w:hAnsi="Arial" w:cs="Arial"/>
          <w:b/>
          <w:color w:val="auto"/>
          <w:sz w:val="84"/>
          <w:szCs w:val="84"/>
          <w:highlight w:val="none"/>
        </w:rPr>
      </w:pPr>
    </w:p>
    <w:p w14:paraId="2896211D">
      <w:pPr>
        <w:pStyle w:val="32"/>
        <w:spacing w:before="120" w:beforeAutospacing="0" w:after="120" w:afterAutospacing="0" w:line="360" w:lineRule="auto"/>
        <w:jc w:val="center"/>
        <w:rPr>
          <w:rFonts w:hint="eastAsia" w:ascii="宋体" w:hAnsi="宋体" w:eastAsia="宋体"/>
          <w:b/>
          <w:bCs/>
          <w:color w:val="auto"/>
          <w:sz w:val="36"/>
          <w:szCs w:val="36"/>
          <w:highlight w:val="none"/>
          <w:shd w:val="clear" w:color="auto" w:fill="FFFFFF" w:themeFill="background1"/>
        </w:rPr>
      </w:pPr>
      <w:r>
        <w:rPr>
          <w:rFonts w:ascii="Arial" w:hAnsi="Arial" w:cs="Arial"/>
          <w:b/>
          <w:color w:val="auto"/>
          <w:sz w:val="84"/>
          <w:szCs w:val="84"/>
          <w:highlight w:val="none"/>
        </w:rPr>
        <w:t>招 标 文 件</w:t>
      </w:r>
    </w:p>
    <w:p w14:paraId="6A3B4AB0">
      <w:pPr>
        <w:spacing w:line="360" w:lineRule="auto"/>
        <w:ind w:firstLine="4320"/>
        <w:jc w:val="left"/>
        <w:rPr>
          <w:rFonts w:hint="eastAsia" w:ascii="宋体" w:hAnsi="宋体" w:eastAsia="宋体"/>
          <w:b/>
          <w:bCs/>
          <w:color w:val="auto"/>
          <w:sz w:val="36"/>
          <w:szCs w:val="36"/>
          <w:highlight w:val="none"/>
          <w:shd w:val="clear" w:color="auto" w:fill="FFFFFF" w:themeFill="background1"/>
        </w:rPr>
      </w:pPr>
    </w:p>
    <w:p w14:paraId="7A7CA9AB">
      <w:pPr>
        <w:spacing w:line="360" w:lineRule="auto"/>
        <w:ind w:firstLine="4320"/>
        <w:jc w:val="left"/>
        <w:rPr>
          <w:rFonts w:hint="eastAsia" w:ascii="宋体" w:hAnsi="宋体" w:eastAsia="宋体"/>
          <w:b/>
          <w:bCs/>
          <w:color w:val="auto"/>
          <w:sz w:val="36"/>
          <w:szCs w:val="36"/>
          <w:highlight w:val="none"/>
          <w:shd w:val="clear" w:color="auto" w:fill="FFFFFF" w:themeFill="background1"/>
        </w:rPr>
      </w:pPr>
    </w:p>
    <w:p w14:paraId="5C7A4697">
      <w:pPr>
        <w:spacing w:line="360" w:lineRule="auto"/>
        <w:ind w:firstLine="4320"/>
        <w:jc w:val="left"/>
        <w:rPr>
          <w:rFonts w:hint="eastAsia" w:ascii="宋体" w:hAnsi="宋体" w:eastAsia="宋体"/>
          <w:b/>
          <w:bCs/>
          <w:color w:val="auto"/>
          <w:sz w:val="36"/>
          <w:szCs w:val="36"/>
          <w:highlight w:val="none"/>
          <w:shd w:val="clear" w:color="auto" w:fill="FFFFFF" w:themeFill="background1"/>
        </w:rPr>
      </w:pPr>
    </w:p>
    <w:p w14:paraId="062CB1C4">
      <w:pPr>
        <w:jc w:val="center"/>
        <w:rPr>
          <w:rFonts w:hint="eastAsia" w:ascii="宋体" w:hAnsi="宋体" w:eastAsia="宋体"/>
          <w:b/>
          <w:bCs/>
          <w:color w:val="auto"/>
          <w:sz w:val="30"/>
          <w:szCs w:val="30"/>
          <w:highlight w:val="none"/>
        </w:rPr>
      </w:pPr>
      <w:r>
        <w:rPr>
          <w:rFonts w:hint="eastAsia" w:ascii="宋体" w:hAnsi="宋体" w:eastAsia="宋体"/>
          <w:b/>
          <w:bCs/>
          <w:color w:val="auto"/>
          <w:sz w:val="30"/>
          <w:szCs w:val="30"/>
          <w:highlight w:val="none"/>
        </w:rPr>
        <w:t>项目名称：医疗设备包康复设备1批</w:t>
      </w:r>
    </w:p>
    <w:p w14:paraId="38A8E93C">
      <w:pPr>
        <w:jc w:val="center"/>
        <w:rPr>
          <w:rFonts w:hint="eastAsia" w:ascii="宋体" w:hAnsi="宋体" w:eastAsia="宋体"/>
          <w:b/>
          <w:bCs/>
          <w:color w:val="auto"/>
          <w:sz w:val="30"/>
          <w:szCs w:val="30"/>
          <w:highlight w:val="none"/>
        </w:rPr>
      </w:pPr>
      <w:r>
        <w:rPr>
          <w:rFonts w:hint="eastAsia" w:ascii="宋体" w:hAnsi="宋体" w:eastAsia="宋体"/>
          <w:b/>
          <w:bCs/>
          <w:color w:val="auto"/>
          <w:sz w:val="30"/>
          <w:szCs w:val="30"/>
          <w:highlight w:val="none"/>
        </w:rPr>
        <w:t>项目编号：</w:t>
      </w:r>
      <w:r>
        <w:rPr>
          <w:rFonts w:hint="eastAsia" w:ascii="宋体" w:hAnsi="宋体" w:eastAsia="宋体"/>
          <w:b/>
          <w:bCs/>
          <w:color w:val="auto"/>
          <w:sz w:val="30"/>
          <w:szCs w:val="30"/>
          <w:highlight w:val="none"/>
          <w:lang w:eastAsia="zh-CN"/>
        </w:rPr>
        <w:t>JSZC-320104-JITC-G2026-0401</w:t>
      </w:r>
      <w:r>
        <w:rPr>
          <w:rFonts w:hint="eastAsia" w:ascii="宋体" w:hAnsi="宋体" w:eastAsia="宋体"/>
          <w:b/>
          <w:bCs/>
          <w:color w:val="auto"/>
          <w:sz w:val="30"/>
          <w:szCs w:val="30"/>
          <w:highlight w:val="none"/>
        </w:rPr>
        <w:tab/>
      </w:r>
    </w:p>
    <w:p w14:paraId="2E4A9C52">
      <w:pPr>
        <w:jc w:val="center"/>
        <w:rPr>
          <w:rFonts w:hint="eastAsia" w:ascii="宋体" w:hAnsi="宋体" w:eastAsia="宋体"/>
          <w:b/>
          <w:bCs/>
          <w:color w:val="auto"/>
          <w:sz w:val="30"/>
          <w:szCs w:val="30"/>
          <w:highlight w:val="none"/>
          <w:lang w:eastAsia="zh-CN"/>
        </w:rPr>
      </w:pPr>
      <w:r>
        <w:rPr>
          <w:rFonts w:hint="eastAsia" w:ascii="宋体" w:hAnsi="宋体" w:eastAsia="宋体"/>
          <w:b/>
          <w:bCs/>
          <w:color w:val="auto"/>
          <w:sz w:val="30"/>
          <w:szCs w:val="30"/>
          <w:highlight w:val="none"/>
        </w:rPr>
        <w:t>采购代理编号：</w:t>
      </w:r>
      <w:r>
        <w:rPr>
          <w:rFonts w:hint="eastAsia" w:ascii="宋体" w:hAnsi="宋体" w:eastAsia="宋体"/>
          <w:b/>
          <w:bCs/>
          <w:color w:val="auto"/>
          <w:sz w:val="30"/>
          <w:szCs w:val="30"/>
          <w:highlight w:val="none"/>
          <w:lang w:eastAsia="zh-CN"/>
        </w:rPr>
        <w:t>JSTCC26001108394</w:t>
      </w:r>
    </w:p>
    <w:p w14:paraId="27F9D11B">
      <w:pPr>
        <w:pStyle w:val="32"/>
        <w:spacing w:beforeAutospacing="0" w:afterAutospacing="0" w:line="360" w:lineRule="auto"/>
        <w:ind w:firstLine="2891"/>
        <w:jc w:val="center"/>
        <w:rPr>
          <w:color w:val="auto"/>
          <w:highlight w:val="none"/>
        </w:rPr>
      </w:pPr>
    </w:p>
    <w:p w14:paraId="6A13200D">
      <w:pPr>
        <w:pStyle w:val="32"/>
        <w:spacing w:beforeAutospacing="0" w:afterAutospacing="0" w:line="360" w:lineRule="auto"/>
        <w:ind w:firstLine="2891"/>
        <w:rPr>
          <w:color w:val="auto"/>
          <w:highlight w:val="none"/>
        </w:rPr>
      </w:pPr>
      <w:r>
        <w:rPr>
          <w:color w:val="auto"/>
          <w:highlight w:val="none"/>
        </w:rPr>
        <w:t> </w:t>
      </w:r>
    </w:p>
    <w:p w14:paraId="1F39BFAB">
      <w:pPr>
        <w:pStyle w:val="32"/>
        <w:spacing w:beforeAutospacing="0" w:afterAutospacing="0" w:line="360" w:lineRule="auto"/>
        <w:ind w:firstLine="2891"/>
        <w:rPr>
          <w:color w:val="auto"/>
          <w:highlight w:val="none"/>
        </w:rPr>
      </w:pPr>
      <w:r>
        <w:rPr>
          <w:color w:val="auto"/>
          <w:highlight w:val="none"/>
        </w:rPr>
        <w:t> </w:t>
      </w:r>
    </w:p>
    <w:p w14:paraId="04BE7477">
      <w:pPr>
        <w:pStyle w:val="32"/>
        <w:spacing w:beforeAutospacing="0" w:afterAutospacing="0" w:line="360" w:lineRule="auto"/>
        <w:ind w:firstLine="2891"/>
        <w:rPr>
          <w:color w:val="auto"/>
          <w:highlight w:val="none"/>
        </w:rPr>
      </w:pPr>
    </w:p>
    <w:p w14:paraId="4F18B9E1">
      <w:pPr>
        <w:pStyle w:val="32"/>
        <w:spacing w:beforeAutospacing="0" w:afterAutospacing="0" w:line="360" w:lineRule="auto"/>
        <w:ind w:firstLine="2891"/>
        <w:rPr>
          <w:color w:val="auto"/>
          <w:highlight w:val="none"/>
        </w:rPr>
      </w:pPr>
    </w:p>
    <w:p w14:paraId="2E188D64">
      <w:pPr>
        <w:pStyle w:val="32"/>
        <w:spacing w:beforeAutospacing="0" w:afterAutospacing="0" w:line="360" w:lineRule="auto"/>
        <w:rPr>
          <w:color w:val="auto"/>
          <w:highlight w:val="none"/>
        </w:rPr>
      </w:pPr>
    </w:p>
    <w:p w14:paraId="6C1B1F3C">
      <w:pPr>
        <w:pStyle w:val="32"/>
        <w:spacing w:beforeAutospacing="0" w:afterAutospacing="0" w:line="360" w:lineRule="auto"/>
        <w:ind w:firstLine="2891"/>
        <w:rPr>
          <w:color w:val="auto"/>
          <w:highlight w:val="none"/>
        </w:rPr>
      </w:pPr>
    </w:p>
    <w:p w14:paraId="3B27D5CD">
      <w:pPr>
        <w:jc w:val="left"/>
        <w:rPr>
          <w:rFonts w:hint="eastAsia" w:ascii="宋体" w:hAnsi="宋体" w:eastAsia="宋体"/>
          <w:color w:val="auto"/>
          <w:highlight w:val="none"/>
          <w:shd w:val="clear" w:color="auto" w:fill="FFFFFF" w:themeFill="background1"/>
        </w:rPr>
      </w:pPr>
    </w:p>
    <w:p w14:paraId="4D4486C8">
      <w:pPr>
        <w:pStyle w:val="191"/>
        <w:ind w:firstLine="2891"/>
        <w:rPr>
          <w:color w:val="auto"/>
          <w:highlight w:val="none"/>
        </w:rPr>
      </w:pPr>
    </w:p>
    <w:p w14:paraId="59EE5942">
      <w:pPr>
        <w:jc w:val="center"/>
        <w:rPr>
          <w:rFonts w:hint="eastAsia" w:ascii="宋体" w:hAnsi="宋体" w:eastAsia="宋体" w:cs="宋体"/>
          <w:b/>
          <w:color w:val="auto"/>
          <w:sz w:val="36"/>
          <w:szCs w:val="36"/>
          <w:highlight w:val="none"/>
          <w:shd w:val="clear" w:color="auto" w:fill="FFFFFF" w:themeFill="background1"/>
          <w:lang w:eastAsia="zh-CN"/>
        </w:rPr>
      </w:pPr>
      <w:r>
        <w:rPr>
          <w:rFonts w:hint="eastAsia" w:ascii="宋体" w:hAnsi="宋体" w:eastAsia="宋体" w:cs="宋体"/>
          <w:b/>
          <w:color w:val="auto"/>
          <w:sz w:val="36"/>
          <w:szCs w:val="36"/>
          <w:highlight w:val="none"/>
          <w:shd w:val="clear" w:color="auto" w:fill="FFFFFF" w:themeFill="background1"/>
          <w:lang w:eastAsia="zh-CN"/>
        </w:rPr>
        <w:t>南京市红十字医院</w:t>
      </w:r>
    </w:p>
    <w:p w14:paraId="5AD26EF6">
      <w:pPr>
        <w:jc w:val="center"/>
        <w:rPr>
          <w:rFonts w:hint="eastAsia" w:ascii="宋体" w:hAnsi="宋体" w:eastAsia="宋体" w:cs="宋体"/>
          <w:b/>
          <w:color w:val="auto"/>
          <w:sz w:val="36"/>
          <w:szCs w:val="36"/>
          <w:highlight w:val="none"/>
          <w:shd w:val="clear" w:color="auto" w:fill="FFFFFF" w:themeFill="background1"/>
        </w:rPr>
      </w:pPr>
      <w:r>
        <w:rPr>
          <w:rFonts w:hint="eastAsia" w:ascii="宋体" w:hAnsi="宋体" w:eastAsia="宋体" w:cs="宋体"/>
          <w:b/>
          <w:color w:val="auto"/>
          <w:sz w:val="36"/>
          <w:szCs w:val="36"/>
          <w:highlight w:val="none"/>
          <w:shd w:val="clear" w:color="auto" w:fill="FFFFFF" w:themeFill="background1"/>
        </w:rPr>
        <w:t>2026年</w:t>
      </w:r>
      <w:r>
        <w:rPr>
          <w:rFonts w:hint="eastAsia" w:ascii="宋体" w:hAnsi="宋体" w:eastAsia="宋体" w:cs="宋体"/>
          <w:b/>
          <w:color w:val="auto"/>
          <w:sz w:val="36"/>
          <w:szCs w:val="36"/>
          <w:highlight w:val="none"/>
          <w:shd w:val="clear" w:color="auto" w:fill="FFFFFF" w:themeFill="background1"/>
          <w:lang w:val="en-US" w:eastAsia="zh-CN"/>
        </w:rPr>
        <w:t>11</w:t>
      </w:r>
      <w:r>
        <w:rPr>
          <w:rFonts w:hint="eastAsia" w:ascii="宋体" w:hAnsi="宋体" w:eastAsia="宋体" w:cs="宋体"/>
          <w:b/>
          <w:color w:val="auto"/>
          <w:sz w:val="36"/>
          <w:szCs w:val="36"/>
          <w:highlight w:val="none"/>
          <w:shd w:val="clear" w:color="auto" w:fill="FFFFFF" w:themeFill="background1"/>
        </w:rPr>
        <w:t>月</w:t>
      </w:r>
    </w:p>
    <w:p w14:paraId="3E65E322">
      <w:pPr>
        <w:jc w:val="center"/>
        <w:rPr>
          <w:rFonts w:hint="eastAsia" w:ascii="宋体" w:hAnsi="宋体" w:eastAsia="宋体" w:cs="宋体"/>
          <w:b/>
          <w:color w:val="auto"/>
          <w:sz w:val="36"/>
          <w:szCs w:val="36"/>
          <w:highlight w:val="none"/>
          <w:shd w:val="clear" w:color="auto" w:fill="FFFFFF" w:themeFill="background1"/>
        </w:rPr>
      </w:pPr>
    </w:p>
    <w:p w14:paraId="31C3C6E9">
      <w:pPr>
        <w:pStyle w:val="32"/>
        <w:spacing w:beforeAutospacing="0" w:afterAutospacing="0" w:line="480" w:lineRule="auto"/>
        <w:ind w:firstLine="2530"/>
        <w:rPr>
          <w:rFonts w:ascii="Times New Roman" w:hAnsi="Times New Roman"/>
          <w:color w:val="auto"/>
          <w:sz w:val="21"/>
          <w:szCs w:val="21"/>
          <w:highlight w:val="none"/>
        </w:rPr>
      </w:pPr>
    </w:p>
    <w:p w14:paraId="17B28A97">
      <w:pPr>
        <w:pStyle w:val="32"/>
        <w:spacing w:beforeAutospacing="0" w:afterAutospacing="0" w:line="480" w:lineRule="auto"/>
        <w:ind w:firstLine="2530"/>
        <w:rPr>
          <w:rFonts w:ascii="Times New Roman" w:hAnsi="Times New Roman"/>
          <w:color w:val="auto"/>
          <w:sz w:val="21"/>
          <w:szCs w:val="21"/>
          <w:highlight w:val="none"/>
        </w:rPr>
      </w:pPr>
    </w:p>
    <w:p w14:paraId="0DDDB10D">
      <w:pPr>
        <w:pStyle w:val="32"/>
        <w:spacing w:beforeAutospacing="0" w:afterAutospacing="0" w:line="480" w:lineRule="auto"/>
        <w:ind w:firstLine="2310"/>
        <w:rPr>
          <w:color w:val="auto"/>
          <w:highlight w:val="none"/>
        </w:rPr>
      </w:pPr>
      <w:r>
        <w:rPr>
          <w:rFonts w:ascii="Times New Roman" w:hAnsi="Times New Roman"/>
          <w:color w:val="auto"/>
          <w:sz w:val="21"/>
          <w:szCs w:val="21"/>
          <w:highlight w:val="none"/>
        </w:rPr>
        <w:t> </w:t>
      </w:r>
      <w:bookmarkStart w:id="0" w:name="_Toc120614210"/>
      <w:bookmarkStart w:id="1" w:name="_Toc16938516"/>
      <w:bookmarkStart w:id="2" w:name="_Toc479757206"/>
      <w:bookmarkStart w:id="3" w:name="_Toc523127445"/>
      <w:bookmarkStart w:id="4" w:name="_Toc513029200"/>
      <w:bookmarkStart w:id="5" w:name="_Toc20823272"/>
      <w:r>
        <w:rPr>
          <w:rFonts w:ascii="黑体" w:hAnsi="宋体" w:eastAsia="黑体" w:cs="黑体"/>
          <w:b/>
          <w:color w:val="auto"/>
          <w:sz w:val="44"/>
          <w:szCs w:val="44"/>
          <w:highlight w:val="none"/>
        </w:rPr>
        <w:t>总  目  录</w:t>
      </w:r>
      <w:bookmarkEnd w:id="0"/>
      <w:bookmarkEnd w:id="1"/>
      <w:bookmarkEnd w:id="2"/>
      <w:bookmarkEnd w:id="3"/>
      <w:bookmarkEnd w:id="4"/>
      <w:bookmarkEnd w:id="5"/>
    </w:p>
    <w:p w14:paraId="3455AE95">
      <w:pPr>
        <w:pStyle w:val="32"/>
        <w:spacing w:beforeAutospacing="0" w:afterAutospacing="0" w:line="480" w:lineRule="auto"/>
        <w:ind w:firstLine="2891"/>
        <w:rPr>
          <w:color w:val="auto"/>
          <w:highlight w:val="none"/>
        </w:rPr>
      </w:pPr>
      <w:r>
        <w:rPr>
          <w:color w:val="auto"/>
          <w:highlight w:val="none"/>
        </w:rPr>
        <w:t> </w:t>
      </w:r>
    </w:p>
    <w:sdt>
      <w:sdtPr>
        <w:rPr>
          <w:rFonts w:hint="default" w:ascii="宋体" w:hAnsi="宋体" w:eastAsia="宋体" w:cstheme="minorBidi"/>
          <w:color w:val="auto"/>
          <w:sz w:val="21"/>
          <w:szCs w:val="24"/>
          <w:highlight w:val="none"/>
        </w:rPr>
        <w:id w:val="147456969"/>
        <w15:color w:val="DBDBDB"/>
        <w:docPartObj>
          <w:docPartGallery w:val="Table of Contents"/>
          <w:docPartUnique/>
        </w:docPartObj>
      </w:sdtPr>
      <w:sdtEndPr>
        <w:rPr>
          <w:rFonts w:hint="default" w:cs="Times New Roman" w:asciiTheme="minorHAnsi" w:hAnsiTheme="minorHAnsi" w:eastAsiaTheme="minorEastAsia"/>
          <w:color w:val="auto"/>
          <w:sz w:val="24"/>
          <w:szCs w:val="24"/>
          <w:highlight w:val="none"/>
        </w:rPr>
      </w:sdtEndPr>
      <w:sdtContent>
        <w:p w14:paraId="23A57BB8">
          <w:pPr>
            <w:spacing w:before="0" w:beforeLines="0" w:after="0" w:afterLines="0" w:line="240" w:lineRule="auto"/>
            <w:ind w:left="0" w:leftChars="0" w:right="0" w:rightChars="0" w:firstLine="0" w:firstLineChars="0"/>
            <w:jc w:val="center"/>
            <w:rPr>
              <w:color w:val="auto"/>
              <w:highlight w:val="none"/>
            </w:rPr>
          </w:pPr>
        </w:p>
        <w:p w14:paraId="31486FCF">
          <w:pPr>
            <w:pStyle w:val="24"/>
            <w:tabs>
              <w:tab w:val="right" w:leader="dot" w:pos="8306"/>
            </w:tabs>
            <w:rPr>
              <w:color w:val="auto"/>
              <w:sz w:val="28"/>
              <w:szCs w:val="36"/>
              <w:highlight w:val="none"/>
            </w:rPr>
          </w:pPr>
          <w:r>
            <w:rPr>
              <w:color w:val="auto"/>
              <w:sz w:val="28"/>
              <w:szCs w:val="36"/>
              <w:highlight w:val="none"/>
            </w:rPr>
            <w:fldChar w:fldCharType="begin"/>
          </w:r>
          <w:r>
            <w:rPr>
              <w:color w:val="auto"/>
              <w:sz w:val="28"/>
              <w:szCs w:val="36"/>
              <w:highlight w:val="none"/>
            </w:rPr>
            <w:instrText xml:space="preserve">TOC \o "1-3" \h \u </w:instrText>
          </w:r>
          <w:r>
            <w:rPr>
              <w:color w:val="auto"/>
              <w:sz w:val="28"/>
              <w:szCs w:val="36"/>
              <w:highlight w:val="none"/>
            </w:rPr>
            <w:fldChar w:fldCharType="separate"/>
          </w:r>
          <w:r>
            <w:rPr>
              <w:color w:val="auto"/>
              <w:sz w:val="28"/>
              <w:szCs w:val="36"/>
              <w:highlight w:val="none"/>
            </w:rPr>
            <w:fldChar w:fldCharType="begin"/>
          </w:r>
          <w:r>
            <w:rPr>
              <w:color w:val="auto"/>
              <w:sz w:val="28"/>
              <w:szCs w:val="36"/>
              <w:highlight w:val="none"/>
            </w:rPr>
            <w:instrText xml:space="preserve"> HYPERLINK \l _Toc27206 </w:instrText>
          </w:r>
          <w:r>
            <w:rPr>
              <w:color w:val="auto"/>
              <w:sz w:val="28"/>
              <w:szCs w:val="36"/>
              <w:highlight w:val="none"/>
            </w:rPr>
            <w:fldChar w:fldCharType="separate"/>
          </w:r>
          <w:r>
            <w:rPr>
              <w:rFonts w:hint="eastAsia"/>
              <w:color w:val="auto"/>
              <w:sz w:val="28"/>
              <w:szCs w:val="36"/>
              <w:highlight w:val="none"/>
            </w:rPr>
            <w:t>第一章</w:t>
          </w:r>
          <w:r>
            <w:rPr>
              <w:rFonts w:hint="eastAsia" w:eastAsia="宋体"/>
              <w:color w:val="auto"/>
              <w:sz w:val="28"/>
              <w:szCs w:val="36"/>
              <w:highlight w:val="none"/>
              <w:lang w:val="en-US" w:eastAsia="zh-CN"/>
            </w:rPr>
            <w:t xml:space="preserve"> </w:t>
          </w:r>
          <w:r>
            <w:rPr>
              <w:rFonts w:hint="eastAsia"/>
              <w:color w:val="auto"/>
              <w:sz w:val="28"/>
              <w:szCs w:val="36"/>
              <w:highlight w:val="none"/>
            </w:rPr>
            <w:t>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_Toc27206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color w:val="auto"/>
              <w:sz w:val="28"/>
              <w:szCs w:val="36"/>
              <w:highlight w:val="none"/>
            </w:rPr>
            <w:fldChar w:fldCharType="end"/>
          </w:r>
        </w:p>
        <w:p w14:paraId="515290F1">
          <w:pPr>
            <w:pStyle w:val="24"/>
            <w:tabs>
              <w:tab w:val="right" w:leader="dot" w:pos="8306"/>
            </w:tabs>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_Toc1038 </w:instrText>
          </w:r>
          <w:r>
            <w:rPr>
              <w:color w:val="auto"/>
              <w:sz w:val="28"/>
              <w:szCs w:val="36"/>
              <w:highlight w:val="none"/>
            </w:rPr>
            <w:fldChar w:fldCharType="separate"/>
          </w:r>
          <w:r>
            <w:rPr>
              <w:rFonts w:hint="eastAsia"/>
              <w:color w:val="auto"/>
              <w:sz w:val="28"/>
              <w:szCs w:val="36"/>
              <w:highlight w:val="none"/>
            </w:rPr>
            <w:t>第二章</w:t>
          </w:r>
          <w:r>
            <w:rPr>
              <w:rFonts w:hint="eastAsia" w:eastAsia="宋体"/>
              <w:color w:val="auto"/>
              <w:sz w:val="28"/>
              <w:szCs w:val="36"/>
              <w:highlight w:val="none"/>
              <w:lang w:val="en-US" w:eastAsia="zh-CN"/>
            </w:rPr>
            <w:t xml:space="preserve"> </w:t>
          </w:r>
          <w:r>
            <w:rPr>
              <w:rFonts w:hint="eastAsia"/>
              <w:color w:val="auto"/>
              <w:sz w:val="28"/>
              <w:szCs w:val="36"/>
              <w:highlight w:val="none"/>
            </w:rPr>
            <w:t>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_Toc1038 \h </w:instrText>
          </w:r>
          <w:r>
            <w:rPr>
              <w:color w:val="auto"/>
              <w:sz w:val="28"/>
              <w:szCs w:val="36"/>
              <w:highlight w:val="none"/>
            </w:rPr>
            <w:fldChar w:fldCharType="separate"/>
          </w:r>
          <w:r>
            <w:rPr>
              <w:color w:val="auto"/>
              <w:sz w:val="28"/>
              <w:szCs w:val="36"/>
              <w:highlight w:val="none"/>
            </w:rPr>
            <w:t>6</w:t>
          </w:r>
          <w:r>
            <w:rPr>
              <w:color w:val="auto"/>
              <w:sz w:val="28"/>
              <w:szCs w:val="36"/>
              <w:highlight w:val="none"/>
            </w:rPr>
            <w:fldChar w:fldCharType="end"/>
          </w:r>
          <w:r>
            <w:rPr>
              <w:color w:val="auto"/>
              <w:sz w:val="28"/>
              <w:szCs w:val="36"/>
              <w:highlight w:val="none"/>
            </w:rPr>
            <w:fldChar w:fldCharType="end"/>
          </w:r>
        </w:p>
        <w:p w14:paraId="14BEEF6F">
          <w:pPr>
            <w:pStyle w:val="24"/>
            <w:tabs>
              <w:tab w:val="right" w:leader="dot" w:pos="8306"/>
            </w:tabs>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_Toc32298 </w:instrText>
          </w:r>
          <w:r>
            <w:rPr>
              <w:color w:val="auto"/>
              <w:sz w:val="28"/>
              <w:szCs w:val="36"/>
              <w:highlight w:val="none"/>
            </w:rPr>
            <w:fldChar w:fldCharType="separate"/>
          </w:r>
          <w:r>
            <w:rPr>
              <w:rFonts w:hint="eastAsia"/>
              <w:color w:val="auto"/>
              <w:sz w:val="28"/>
              <w:szCs w:val="36"/>
              <w:highlight w:val="none"/>
            </w:rPr>
            <w:t>第三章 合同条款</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_Toc32298 \h </w:instrText>
          </w:r>
          <w:r>
            <w:rPr>
              <w:color w:val="auto"/>
              <w:sz w:val="28"/>
              <w:szCs w:val="36"/>
              <w:highlight w:val="none"/>
            </w:rPr>
            <w:fldChar w:fldCharType="separate"/>
          </w:r>
          <w:r>
            <w:rPr>
              <w:color w:val="auto"/>
              <w:sz w:val="28"/>
              <w:szCs w:val="36"/>
              <w:highlight w:val="none"/>
            </w:rPr>
            <w:t>21</w:t>
          </w:r>
          <w:r>
            <w:rPr>
              <w:color w:val="auto"/>
              <w:sz w:val="28"/>
              <w:szCs w:val="36"/>
              <w:highlight w:val="none"/>
            </w:rPr>
            <w:fldChar w:fldCharType="end"/>
          </w:r>
          <w:r>
            <w:rPr>
              <w:color w:val="auto"/>
              <w:sz w:val="28"/>
              <w:szCs w:val="36"/>
              <w:highlight w:val="none"/>
            </w:rPr>
            <w:fldChar w:fldCharType="end"/>
          </w:r>
        </w:p>
        <w:p w14:paraId="1712AF86">
          <w:pPr>
            <w:pStyle w:val="24"/>
            <w:tabs>
              <w:tab w:val="right" w:leader="dot" w:pos="8306"/>
            </w:tabs>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_Toc5100 </w:instrText>
          </w:r>
          <w:r>
            <w:rPr>
              <w:color w:val="auto"/>
              <w:sz w:val="28"/>
              <w:szCs w:val="36"/>
              <w:highlight w:val="none"/>
            </w:rPr>
            <w:fldChar w:fldCharType="separate"/>
          </w:r>
          <w:r>
            <w:rPr>
              <w:rFonts w:hint="eastAsia"/>
              <w:color w:val="auto"/>
              <w:sz w:val="28"/>
              <w:szCs w:val="36"/>
              <w:highlight w:val="none"/>
            </w:rPr>
            <w:t>第四章 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_Toc5100 \h </w:instrText>
          </w:r>
          <w:r>
            <w:rPr>
              <w:color w:val="auto"/>
              <w:sz w:val="28"/>
              <w:szCs w:val="36"/>
              <w:highlight w:val="none"/>
            </w:rPr>
            <w:fldChar w:fldCharType="separate"/>
          </w:r>
          <w:r>
            <w:rPr>
              <w:color w:val="auto"/>
              <w:sz w:val="28"/>
              <w:szCs w:val="36"/>
              <w:highlight w:val="none"/>
            </w:rPr>
            <w:t>27</w:t>
          </w:r>
          <w:r>
            <w:rPr>
              <w:color w:val="auto"/>
              <w:sz w:val="28"/>
              <w:szCs w:val="36"/>
              <w:highlight w:val="none"/>
            </w:rPr>
            <w:fldChar w:fldCharType="end"/>
          </w:r>
          <w:r>
            <w:rPr>
              <w:color w:val="auto"/>
              <w:sz w:val="28"/>
              <w:szCs w:val="36"/>
              <w:highlight w:val="none"/>
            </w:rPr>
            <w:fldChar w:fldCharType="end"/>
          </w:r>
        </w:p>
        <w:p w14:paraId="60E3F7F6">
          <w:pPr>
            <w:pStyle w:val="24"/>
            <w:tabs>
              <w:tab w:val="right" w:leader="dot" w:pos="8306"/>
            </w:tabs>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_Toc30487 </w:instrText>
          </w:r>
          <w:r>
            <w:rPr>
              <w:color w:val="auto"/>
              <w:sz w:val="28"/>
              <w:szCs w:val="36"/>
              <w:highlight w:val="none"/>
            </w:rPr>
            <w:fldChar w:fldCharType="separate"/>
          </w:r>
          <w:r>
            <w:rPr>
              <w:rFonts w:hint="eastAsia"/>
              <w:color w:val="auto"/>
              <w:sz w:val="28"/>
              <w:szCs w:val="36"/>
              <w:highlight w:val="none"/>
            </w:rPr>
            <w:t>第五章</w:t>
          </w:r>
          <w:r>
            <w:rPr>
              <w:rFonts w:hint="eastAsia" w:eastAsia="宋体"/>
              <w:color w:val="auto"/>
              <w:sz w:val="28"/>
              <w:szCs w:val="36"/>
              <w:highlight w:val="none"/>
              <w:lang w:val="en-US" w:eastAsia="zh-CN"/>
            </w:rPr>
            <w:t xml:space="preserve"> </w:t>
          </w:r>
          <w:r>
            <w:rPr>
              <w:rFonts w:hint="eastAsia"/>
              <w:color w:val="auto"/>
              <w:sz w:val="28"/>
              <w:szCs w:val="36"/>
              <w:highlight w:val="none"/>
            </w:rPr>
            <w:t>评标方法与评标标准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_Toc30487 \h </w:instrText>
          </w:r>
          <w:r>
            <w:rPr>
              <w:color w:val="auto"/>
              <w:sz w:val="28"/>
              <w:szCs w:val="36"/>
              <w:highlight w:val="none"/>
            </w:rPr>
            <w:fldChar w:fldCharType="separate"/>
          </w:r>
          <w:r>
            <w:rPr>
              <w:color w:val="auto"/>
              <w:sz w:val="28"/>
              <w:szCs w:val="36"/>
              <w:highlight w:val="none"/>
            </w:rPr>
            <w:t>66</w:t>
          </w:r>
          <w:r>
            <w:rPr>
              <w:color w:val="auto"/>
              <w:sz w:val="28"/>
              <w:szCs w:val="36"/>
              <w:highlight w:val="none"/>
            </w:rPr>
            <w:fldChar w:fldCharType="end"/>
          </w:r>
          <w:r>
            <w:rPr>
              <w:color w:val="auto"/>
              <w:sz w:val="28"/>
              <w:szCs w:val="36"/>
              <w:highlight w:val="none"/>
            </w:rPr>
            <w:fldChar w:fldCharType="end"/>
          </w:r>
        </w:p>
        <w:p w14:paraId="204ACA11">
          <w:pPr>
            <w:pStyle w:val="24"/>
            <w:tabs>
              <w:tab w:val="right" w:leader="dot" w:pos="8306"/>
            </w:tabs>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_Toc3630 </w:instrText>
          </w:r>
          <w:r>
            <w:rPr>
              <w:color w:val="auto"/>
              <w:sz w:val="28"/>
              <w:szCs w:val="36"/>
              <w:highlight w:val="none"/>
            </w:rPr>
            <w:fldChar w:fldCharType="separate"/>
          </w:r>
          <w:r>
            <w:rPr>
              <w:rFonts w:hint="eastAsia"/>
              <w:color w:val="auto"/>
              <w:sz w:val="28"/>
              <w:szCs w:val="36"/>
              <w:highlight w:val="none"/>
            </w:rPr>
            <w:t>第六章</w:t>
          </w:r>
          <w:r>
            <w:rPr>
              <w:rFonts w:hint="eastAsia" w:eastAsia="宋体"/>
              <w:color w:val="auto"/>
              <w:sz w:val="28"/>
              <w:szCs w:val="36"/>
              <w:highlight w:val="none"/>
              <w:lang w:val="en-US" w:eastAsia="zh-CN"/>
            </w:rPr>
            <w:t xml:space="preserve"> </w:t>
          </w:r>
          <w:r>
            <w:rPr>
              <w:rFonts w:hint="eastAsia"/>
              <w:color w:val="auto"/>
              <w:sz w:val="28"/>
              <w:szCs w:val="36"/>
              <w:highlight w:val="none"/>
            </w:rPr>
            <w:t>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_Toc3630 \h </w:instrText>
          </w:r>
          <w:r>
            <w:rPr>
              <w:color w:val="auto"/>
              <w:sz w:val="28"/>
              <w:szCs w:val="36"/>
              <w:highlight w:val="none"/>
            </w:rPr>
            <w:fldChar w:fldCharType="separate"/>
          </w:r>
          <w:r>
            <w:rPr>
              <w:color w:val="auto"/>
              <w:sz w:val="28"/>
              <w:szCs w:val="36"/>
              <w:highlight w:val="none"/>
            </w:rPr>
            <w:t>72</w:t>
          </w:r>
          <w:r>
            <w:rPr>
              <w:color w:val="auto"/>
              <w:sz w:val="28"/>
              <w:szCs w:val="36"/>
              <w:highlight w:val="none"/>
            </w:rPr>
            <w:fldChar w:fldCharType="end"/>
          </w:r>
          <w:r>
            <w:rPr>
              <w:color w:val="auto"/>
              <w:sz w:val="28"/>
              <w:szCs w:val="36"/>
              <w:highlight w:val="none"/>
            </w:rPr>
            <w:fldChar w:fldCharType="end"/>
          </w:r>
        </w:p>
        <w:p w14:paraId="5324A3EB">
          <w:pPr>
            <w:pStyle w:val="32"/>
            <w:tabs>
              <w:tab w:val="left" w:pos="1441"/>
            </w:tabs>
            <w:spacing w:beforeAutospacing="0" w:afterAutospacing="0" w:line="480" w:lineRule="auto"/>
            <w:rPr>
              <w:rFonts w:hint="default" w:cs="Times New Roman" w:asciiTheme="minorHAnsi" w:hAnsiTheme="minorHAnsi" w:eastAsiaTheme="minorEastAsia"/>
              <w:color w:val="auto"/>
              <w:sz w:val="24"/>
              <w:szCs w:val="24"/>
              <w:highlight w:val="none"/>
            </w:rPr>
          </w:pPr>
          <w:r>
            <w:rPr>
              <w:color w:val="auto"/>
              <w:sz w:val="36"/>
              <w:szCs w:val="36"/>
              <w:highlight w:val="none"/>
            </w:rPr>
            <w:fldChar w:fldCharType="end"/>
          </w:r>
        </w:p>
      </w:sdtContent>
    </w:sdt>
    <w:p w14:paraId="54BCC87E">
      <w:pPr>
        <w:pStyle w:val="32"/>
        <w:tabs>
          <w:tab w:val="left" w:pos="1441"/>
        </w:tabs>
        <w:spacing w:beforeAutospacing="0" w:afterAutospacing="0" w:line="480" w:lineRule="auto"/>
        <w:rPr>
          <w:rFonts w:hint="default" w:cs="Times New Roman" w:asciiTheme="minorHAnsi" w:hAnsiTheme="minorHAnsi" w:eastAsiaTheme="minorEastAsia"/>
          <w:color w:val="auto"/>
          <w:sz w:val="24"/>
          <w:szCs w:val="24"/>
          <w:highlight w:val="none"/>
        </w:rPr>
      </w:pPr>
    </w:p>
    <w:p w14:paraId="21089287">
      <w:pPr>
        <w:pStyle w:val="32"/>
        <w:spacing w:beforeAutospacing="0" w:afterAutospacing="0"/>
        <w:ind w:firstLine="2891"/>
        <w:rPr>
          <w:color w:val="auto"/>
          <w:highlight w:val="none"/>
        </w:rPr>
      </w:pPr>
      <w:r>
        <w:rPr>
          <w:color w:val="auto"/>
          <w:highlight w:val="none"/>
        </w:rPr>
        <w:t> </w:t>
      </w:r>
    </w:p>
    <w:p w14:paraId="3E292816">
      <w:pPr>
        <w:pStyle w:val="32"/>
        <w:spacing w:beforeAutospacing="0" w:afterAutospacing="0"/>
        <w:ind w:firstLine="2891"/>
        <w:rPr>
          <w:color w:val="auto"/>
          <w:highlight w:val="none"/>
        </w:rPr>
      </w:pPr>
      <w:r>
        <w:rPr>
          <w:color w:val="auto"/>
          <w:highlight w:val="none"/>
        </w:rPr>
        <w:t> </w:t>
      </w:r>
    </w:p>
    <w:p w14:paraId="4A492381">
      <w:pPr>
        <w:pStyle w:val="32"/>
        <w:spacing w:beforeAutospacing="0" w:afterAutospacing="0"/>
        <w:ind w:firstLine="2891"/>
        <w:rPr>
          <w:color w:val="auto"/>
          <w:highlight w:val="none"/>
        </w:rPr>
      </w:pPr>
      <w:r>
        <w:rPr>
          <w:color w:val="auto"/>
          <w:highlight w:val="none"/>
        </w:rPr>
        <w:t> </w:t>
      </w:r>
    </w:p>
    <w:p w14:paraId="5F93558A">
      <w:pPr>
        <w:pStyle w:val="32"/>
        <w:spacing w:beforeAutospacing="0" w:afterAutospacing="0"/>
        <w:ind w:firstLine="2891"/>
        <w:rPr>
          <w:color w:val="auto"/>
          <w:highlight w:val="none"/>
        </w:rPr>
      </w:pPr>
      <w:r>
        <w:rPr>
          <w:color w:val="auto"/>
          <w:highlight w:val="none"/>
        </w:rPr>
        <w:t> </w:t>
      </w:r>
    </w:p>
    <w:p w14:paraId="004F0C12">
      <w:pPr>
        <w:pStyle w:val="32"/>
        <w:spacing w:beforeAutospacing="0" w:afterAutospacing="0"/>
        <w:ind w:firstLine="2891"/>
        <w:rPr>
          <w:color w:val="auto"/>
          <w:highlight w:val="none"/>
        </w:rPr>
      </w:pPr>
      <w:r>
        <w:rPr>
          <w:color w:val="auto"/>
          <w:highlight w:val="none"/>
        </w:rPr>
        <w:t> </w:t>
      </w:r>
    </w:p>
    <w:p w14:paraId="2BF5370A">
      <w:pPr>
        <w:pStyle w:val="32"/>
        <w:spacing w:beforeAutospacing="0" w:afterAutospacing="0"/>
        <w:ind w:firstLine="2891"/>
        <w:rPr>
          <w:color w:val="auto"/>
          <w:highlight w:val="none"/>
        </w:rPr>
      </w:pPr>
      <w:r>
        <w:rPr>
          <w:color w:val="auto"/>
          <w:highlight w:val="none"/>
        </w:rPr>
        <w:t> </w:t>
      </w:r>
    </w:p>
    <w:p w14:paraId="577736B3">
      <w:pPr>
        <w:pStyle w:val="32"/>
        <w:spacing w:beforeAutospacing="0" w:afterAutospacing="0"/>
        <w:ind w:firstLine="2891"/>
        <w:rPr>
          <w:color w:val="auto"/>
          <w:highlight w:val="none"/>
        </w:rPr>
      </w:pPr>
      <w:r>
        <w:rPr>
          <w:color w:val="auto"/>
          <w:highlight w:val="none"/>
        </w:rPr>
        <w:t> </w:t>
      </w:r>
    </w:p>
    <w:p w14:paraId="4DA1EF43">
      <w:pPr>
        <w:pStyle w:val="32"/>
        <w:spacing w:beforeAutospacing="0" w:afterAutospacing="0"/>
        <w:ind w:firstLine="2891"/>
        <w:rPr>
          <w:color w:val="auto"/>
          <w:highlight w:val="none"/>
        </w:rPr>
      </w:pPr>
      <w:r>
        <w:rPr>
          <w:color w:val="auto"/>
          <w:highlight w:val="none"/>
        </w:rPr>
        <w:t> </w:t>
      </w:r>
    </w:p>
    <w:p w14:paraId="75569D94">
      <w:pPr>
        <w:pStyle w:val="32"/>
        <w:spacing w:beforeAutospacing="0" w:afterAutospacing="0"/>
        <w:ind w:firstLine="2891"/>
        <w:rPr>
          <w:color w:val="auto"/>
          <w:highlight w:val="none"/>
        </w:rPr>
      </w:pPr>
      <w:r>
        <w:rPr>
          <w:color w:val="auto"/>
          <w:highlight w:val="none"/>
        </w:rPr>
        <w:t> </w:t>
      </w:r>
    </w:p>
    <w:p w14:paraId="14662F3E">
      <w:pPr>
        <w:pStyle w:val="32"/>
        <w:spacing w:beforeAutospacing="0" w:afterAutospacing="0"/>
        <w:ind w:firstLine="2891"/>
        <w:rPr>
          <w:color w:val="auto"/>
          <w:highlight w:val="none"/>
        </w:rPr>
      </w:pPr>
      <w:r>
        <w:rPr>
          <w:color w:val="auto"/>
          <w:highlight w:val="none"/>
        </w:rPr>
        <w:t> </w:t>
      </w:r>
    </w:p>
    <w:p w14:paraId="6AF161FC">
      <w:pPr>
        <w:pStyle w:val="32"/>
        <w:spacing w:beforeAutospacing="0" w:afterAutospacing="0"/>
        <w:ind w:firstLine="2891"/>
        <w:rPr>
          <w:color w:val="auto"/>
          <w:highlight w:val="none"/>
        </w:rPr>
      </w:pPr>
      <w:r>
        <w:rPr>
          <w:color w:val="auto"/>
          <w:highlight w:val="none"/>
        </w:rPr>
        <w:t> </w:t>
      </w:r>
    </w:p>
    <w:p w14:paraId="1A066C48">
      <w:pPr>
        <w:pStyle w:val="32"/>
        <w:spacing w:beforeAutospacing="0" w:afterAutospacing="0"/>
        <w:ind w:firstLine="2891"/>
        <w:rPr>
          <w:color w:val="auto"/>
          <w:highlight w:val="none"/>
        </w:rPr>
      </w:pPr>
      <w:r>
        <w:rPr>
          <w:color w:val="auto"/>
          <w:highlight w:val="none"/>
        </w:rPr>
        <w:t> </w:t>
      </w:r>
    </w:p>
    <w:p w14:paraId="2E4BB566">
      <w:pPr>
        <w:pStyle w:val="32"/>
        <w:spacing w:beforeAutospacing="0" w:afterAutospacing="0"/>
        <w:ind w:firstLine="2891"/>
        <w:rPr>
          <w:color w:val="auto"/>
          <w:highlight w:val="none"/>
        </w:rPr>
      </w:pPr>
    </w:p>
    <w:p w14:paraId="22E2D472">
      <w:pPr>
        <w:pStyle w:val="32"/>
        <w:spacing w:beforeAutospacing="0" w:afterAutospacing="0"/>
        <w:ind w:firstLine="2891"/>
        <w:rPr>
          <w:color w:val="auto"/>
          <w:highlight w:val="none"/>
        </w:rPr>
      </w:pPr>
      <w:r>
        <w:rPr>
          <w:color w:val="auto"/>
          <w:highlight w:val="none"/>
        </w:rPr>
        <w:t> </w:t>
      </w:r>
    </w:p>
    <w:p w14:paraId="47171521">
      <w:pPr>
        <w:pStyle w:val="32"/>
        <w:spacing w:beforeAutospacing="0" w:afterAutospacing="0"/>
        <w:ind w:firstLine="2891"/>
        <w:rPr>
          <w:color w:val="auto"/>
          <w:highlight w:val="none"/>
        </w:rPr>
      </w:pPr>
      <w:r>
        <w:rPr>
          <w:color w:val="auto"/>
          <w:highlight w:val="none"/>
        </w:rPr>
        <w:t> </w:t>
      </w:r>
    </w:p>
    <w:p w14:paraId="387862B1">
      <w:pPr>
        <w:pStyle w:val="32"/>
        <w:spacing w:beforeAutospacing="0" w:afterAutospacing="0"/>
        <w:ind w:firstLine="2891"/>
        <w:rPr>
          <w:color w:val="auto"/>
          <w:highlight w:val="none"/>
        </w:rPr>
      </w:pPr>
      <w:r>
        <w:rPr>
          <w:color w:val="auto"/>
          <w:highlight w:val="none"/>
        </w:rPr>
        <w:t> </w:t>
      </w:r>
    </w:p>
    <w:p w14:paraId="6ADEE0A2">
      <w:pPr>
        <w:pStyle w:val="32"/>
        <w:spacing w:beforeAutospacing="0" w:afterAutospacing="0"/>
        <w:ind w:firstLine="2891"/>
        <w:rPr>
          <w:color w:val="auto"/>
          <w:highlight w:val="none"/>
        </w:rPr>
        <w:sectPr>
          <w:footerReference r:id="rId3" w:type="default"/>
          <w:pgSz w:w="11906" w:h="16838"/>
          <w:pgMar w:top="1440" w:right="1800" w:bottom="1440" w:left="1800" w:header="851" w:footer="992" w:gutter="0"/>
          <w:pgNumType w:fmt="upperRoman"/>
          <w:cols w:space="425" w:num="1"/>
          <w:docGrid w:linePitch="360" w:charSpace="0"/>
        </w:sectPr>
      </w:pPr>
      <w:r>
        <w:rPr>
          <w:color w:val="auto"/>
          <w:highlight w:val="none"/>
        </w:rPr>
        <w:t> </w:t>
      </w:r>
    </w:p>
    <w:p w14:paraId="76498947">
      <w:pPr>
        <w:pStyle w:val="32"/>
        <w:spacing w:beforeAutospacing="0" w:afterAutospacing="0"/>
        <w:rPr>
          <w:color w:val="auto"/>
          <w:highlight w:val="none"/>
        </w:rPr>
      </w:pPr>
      <w:r>
        <w:rPr>
          <w:color w:val="auto"/>
          <w:highlight w:val="none"/>
        </w:rPr>
        <w:t>  </w:t>
      </w:r>
    </w:p>
    <w:p w14:paraId="5271137C">
      <w:pPr>
        <w:pStyle w:val="2"/>
        <w:bidi w:val="0"/>
        <w:jc w:val="center"/>
        <w:rPr>
          <w:color w:val="auto"/>
          <w:highlight w:val="none"/>
        </w:rPr>
      </w:pPr>
      <w:bookmarkStart w:id="6" w:name="_Toc27206"/>
      <w:bookmarkStart w:id="7" w:name="_Toc28359086"/>
      <w:r>
        <w:rPr>
          <w:rFonts w:hint="eastAsia"/>
          <w:color w:val="auto"/>
          <w:highlight w:val="none"/>
        </w:rPr>
        <w:t>第一章</w:t>
      </w:r>
      <w:r>
        <w:rPr>
          <w:rFonts w:hint="eastAsia" w:eastAsia="宋体"/>
          <w:color w:val="auto"/>
          <w:highlight w:val="none"/>
          <w:lang w:val="en-US" w:eastAsia="zh-CN"/>
        </w:rPr>
        <w:t xml:space="preserve"> </w:t>
      </w:r>
      <w:r>
        <w:rPr>
          <w:rFonts w:hint="eastAsia"/>
          <w:color w:val="auto"/>
          <w:highlight w:val="none"/>
        </w:rPr>
        <w:t>招标公告</w:t>
      </w:r>
      <w:bookmarkEnd w:id="6"/>
    </w:p>
    <w:p w14:paraId="37C1EF05">
      <w:pPr>
        <w:pStyle w:val="32"/>
        <w:pBdr>
          <w:top w:val="single" w:color="000000" w:sz="4" w:space="0"/>
          <w:left w:val="single" w:color="000000" w:sz="4" w:space="0"/>
          <w:bottom w:val="single" w:color="000000" w:sz="4" w:space="0"/>
          <w:right w:val="single" w:color="000000" w:sz="4" w:space="25"/>
        </w:pBdr>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26644356">
      <w:pPr>
        <w:pStyle w:val="32"/>
        <w:pBdr>
          <w:top w:val="single" w:color="000000" w:sz="4" w:space="0"/>
          <w:left w:val="single" w:color="000000" w:sz="4" w:space="0"/>
          <w:bottom w:val="single" w:color="000000" w:sz="4" w:space="0"/>
          <w:right w:val="single" w:color="000000" w:sz="4" w:space="25"/>
        </w:pBdr>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olor w:val="auto"/>
          <w:highlight w:val="none"/>
          <w:u w:val="single"/>
          <w:shd w:val="clear" w:color="auto" w:fill="FFFFFF" w:themeFill="background1"/>
        </w:rPr>
        <w:t>医疗设备包康复设备1批</w:t>
      </w:r>
      <w:r>
        <w:rPr>
          <w:rFonts w:hint="eastAsia" w:ascii="宋体" w:hAnsi="宋体" w:eastAsia="宋体"/>
          <w:color w:val="auto"/>
          <w:highlight w:val="none"/>
          <w:shd w:val="clear" w:color="auto" w:fill="FFFFFF" w:themeFill="background1"/>
        </w:rPr>
        <w:t>JSZC-320104-JITC-G2026-0401</w:t>
      </w:r>
      <w:r>
        <w:rPr>
          <w:rFonts w:hint="eastAsia" w:ascii="宋体" w:hAnsi="宋体" w:eastAsia="宋体" w:cs="宋体"/>
          <w:color w:val="auto"/>
          <w:highlight w:val="none"/>
        </w:rPr>
        <w:t>招标项目的潜在投标人可在</w:t>
      </w:r>
      <w:r>
        <w:rPr>
          <w:rFonts w:hint="eastAsia" w:ascii="宋体" w:hAnsi="宋体" w:eastAsia="宋体" w:cs="宋体"/>
          <w:color w:val="auto"/>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highlight w:val="none"/>
        </w:rPr>
        <w:t>，并于</w:t>
      </w:r>
      <w:r>
        <w:rPr>
          <w:rFonts w:hint="eastAsia" w:ascii="宋体" w:hAnsi="宋体" w:eastAsia="宋体"/>
          <w:color w:val="auto"/>
          <w:highlight w:val="none"/>
          <w:shd w:val="clear" w:color="auto" w:fill="FFFFFF" w:themeFill="background1"/>
        </w:rPr>
        <w:t>2026年</w:t>
      </w:r>
      <w:r>
        <w:rPr>
          <w:rFonts w:hint="eastAsia" w:ascii="宋体" w:hAnsi="宋体" w:eastAsia="宋体"/>
          <w:color w:val="auto"/>
          <w:highlight w:val="none"/>
          <w:shd w:val="clear" w:color="auto" w:fill="FFFFFF" w:themeFill="background1"/>
          <w:lang w:val="en-US" w:eastAsia="zh-CN"/>
        </w:rPr>
        <w:t>11</w:t>
      </w:r>
      <w:r>
        <w:rPr>
          <w:rFonts w:hint="eastAsia" w:ascii="宋体" w:hAnsi="宋体" w:eastAsia="宋体"/>
          <w:color w:val="auto"/>
          <w:highlight w:val="none"/>
          <w:shd w:val="clear" w:color="auto" w:fill="FFFFFF" w:themeFill="background1"/>
        </w:rPr>
        <w:t>月</w:t>
      </w:r>
      <w:r>
        <w:rPr>
          <w:rFonts w:hint="eastAsia" w:ascii="宋体" w:hAnsi="宋体" w:eastAsia="宋体"/>
          <w:color w:val="auto"/>
          <w:highlight w:val="none"/>
          <w:shd w:val="clear" w:color="auto" w:fill="FFFFFF" w:themeFill="background1"/>
          <w:lang w:val="en-US" w:eastAsia="zh-CN"/>
        </w:rPr>
        <w:t>24</w:t>
      </w:r>
      <w:r>
        <w:rPr>
          <w:rFonts w:hint="eastAsia" w:ascii="宋体" w:hAnsi="宋体" w:eastAsia="宋体"/>
          <w:color w:val="auto"/>
          <w:highlight w:val="none"/>
          <w:shd w:val="clear" w:color="auto" w:fill="FFFFFF" w:themeFill="background1"/>
        </w:rPr>
        <w:t>日</w:t>
      </w:r>
      <w:r>
        <w:rPr>
          <w:rFonts w:hint="eastAsia" w:ascii="宋体" w:hAnsi="宋体" w:eastAsia="宋体"/>
          <w:color w:val="auto"/>
          <w:highlight w:val="none"/>
          <w:shd w:val="clear" w:color="auto" w:fill="FFFFFF" w:themeFill="background1"/>
          <w:lang w:val="en-US" w:eastAsia="zh-CN"/>
        </w:rPr>
        <w:t>09</w:t>
      </w:r>
      <w:r>
        <w:rPr>
          <w:rFonts w:hint="eastAsia" w:ascii="宋体" w:hAnsi="宋体" w:eastAsia="宋体"/>
          <w:color w:val="auto"/>
          <w:highlight w:val="none"/>
          <w:shd w:val="clear" w:color="auto" w:fill="FFFFFF" w:themeFill="background1"/>
        </w:rPr>
        <w:t>点30分（北京时间）</w:t>
      </w:r>
      <w:r>
        <w:rPr>
          <w:rFonts w:hint="eastAsia" w:ascii="宋体" w:hAnsi="宋体" w:eastAsia="宋体" w:cs="宋体"/>
          <w:color w:val="auto"/>
          <w:highlight w:val="none"/>
        </w:rPr>
        <w:t>前递交投标文件。</w:t>
      </w:r>
    </w:p>
    <w:p w14:paraId="270A2C1C">
      <w:pPr>
        <w:pStyle w:val="32"/>
        <w:keepNext/>
        <w:keepLines/>
        <w:spacing w:beforeAutospacing="0" w:afterAutospacing="0" w:line="360" w:lineRule="auto"/>
        <w:rPr>
          <w:rFonts w:hint="eastAsia" w:ascii="宋体" w:hAnsi="宋体" w:eastAsia="宋体" w:cs="宋体"/>
          <w:color w:val="auto"/>
          <w:highlight w:val="none"/>
        </w:rPr>
      </w:pPr>
      <w:bookmarkStart w:id="8" w:name="_Toc28359079"/>
      <w:bookmarkStart w:id="9" w:name="_Toc28359002"/>
      <w:bookmarkStart w:id="10" w:name="_Toc38985263"/>
      <w:bookmarkStart w:id="11" w:name="_Toc35393621"/>
      <w:bookmarkStart w:id="12" w:name="_Hlk24379207"/>
      <w:bookmarkStart w:id="13" w:name="_Toc35393790"/>
      <w:r>
        <w:rPr>
          <w:rFonts w:hint="eastAsia" w:ascii="宋体" w:hAnsi="宋体" w:eastAsia="宋体" w:cs="宋体"/>
          <w:b/>
          <w:color w:val="auto"/>
          <w:highlight w:val="none"/>
        </w:rPr>
        <w:t>一、项目基本情况</w:t>
      </w:r>
      <w:bookmarkEnd w:id="8"/>
      <w:bookmarkEnd w:id="9"/>
      <w:bookmarkEnd w:id="10"/>
      <w:bookmarkEnd w:id="11"/>
      <w:bookmarkEnd w:id="12"/>
      <w:bookmarkEnd w:id="13"/>
    </w:p>
    <w:p w14:paraId="01E3AFFF">
      <w:pPr>
        <w:spacing w:line="360" w:lineRule="auto"/>
        <w:ind w:firstLine="480"/>
        <w:jc w:val="left"/>
        <w:rPr>
          <w:rFonts w:hint="eastAsia" w:ascii="宋体" w:hAnsi="宋体" w:eastAsia="宋体"/>
          <w:color w:val="auto"/>
          <w:sz w:val="24"/>
          <w:highlight w:val="none"/>
          <w:shd w:val="clear" w:color="auto" w:fill="FFFFFF" w:themeFill="background1"/>
        </w:rPr>
      </w:pPr>
      <w:bookmarkStart w:id="14" w:name="OLE_LINK24"/>
      <w:r>
        <w:rPr>
          <w:rFonts w:hint="eastAsia" w:ascii="宋体" w:hAnsi="宋体" w:eastAsia="宋体"/>
          <w:color w:val="auto"/>
          <w:sz w:val="24"/>
          <w:highlight w:val="none"/>
          <w:shd w:val="clear" w:color="auto" w:fill="FFFFFF" w:themeFill="background1"/>
        </w:rPr>
        <w:t>1.项目编号：JSZC-320104-JITC-G2026-0401</w:t>
      </w:r>
    </w:p>
    <w:p w14:paraId="25F2A241">
      <w:pPr>
        <w:spacing w:line="360" w:lineRule="auto"/>
        <w:ind w:firstLine="48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2.项目名称：医疗设备包康复设备1批</w:t>
      </w:r>
    </w:p>
    <w:p w14:paraId="63713304">
      <w:pPr>
        <w:spacing w:line="360" w:lineRule="auto"/>
        <w:ind w:firstLine="48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3.采购方式：公开招标</w:t>
      </w:r>
    </w:p>
    <w:p w14:paraId="775EE275">
      <w:pPr>
        <w:spacing w:line="360" w:lineRule="auto"/>
        <w:ind w:firstLine="48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4.预算金额：</w:t>
      </w:r>
      <w:bookmarkStart w:id="15" w:name="OLE_LINK94"/>
      <w:bookmarkStart w:id="16" w:name="OLE_LINK77"/>
      <w:r>
        <w:rPr>
          <w:rFonts w:hint="eastAsia" w:ascii="宋体" w:hAnsi="宋体" w:eastAsia="宋体"/>
          <w:color w:val="auto"/>
          <w:sz w:val="24"/>
          <w:highlight w:val="none"/>
          <w:shd w:val="clear" w:color="auto" w:fill="FFFFFF" w:themeFill="background1"/>
          <w:lang w:eastAsia="zh-CN"/>
        </w:rPr>
        <w:t>130.900000</w:t>
      </w:r>
      <w:r>
        <w:rPr>
          <w:rFonts w:hint="eastAsia" w:ascii="宋体" w:hAnsi="宋体" w:eastAsia="宋体"/>
          <w:color w:val="auto"/>
          <w:sz w:val="24"/>
          <w:highlight w:val="none"/>
          <w:shd w:val="clear" w:color="auto" w:fill="FFFFFF" w:themeFill="background1"/>
        </w:rPr>
        <w:t>万元</w:t>
      </w:r>
      <w:bookmarkEnd w:id="15"/>
      <w:bookmarkEnd w:id="16"/>
    </w:p>
    <w:p w14:paraId="4F103842">
      <w:pPr>
        <w:spacing w:line="360" w:lineRule="auto"/>
        <w:ind w:firstLine="48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5.最高限价：</w:t>
      </w:r>
      <w:r>
        <w:rPr>
          <w:rFonts w:hint="eastAsia" w:ascii="宋体" w:hAnsi="宋体" w:eastAsia="宋体"/>
          <w:color w:val="auto"/>
          <w:sz w:val="24"/>
          <w:highlight w:val="none"/>
          <w:shd w:val="clear" w:color="auto" w:fill="FFFFFF" w:themeFill="background1"/>
          <w:lang w:eastAsia="zh-CN"/>
        </w:rPr>
        <w:t>130.900000</w:t>
      </w:r>
      <w:r>
        <w:rPr>
          <w:rFonts w:hint="eastAsia" w:ascii="宋体" w:hAnsi="宋体" w:eastAsia="宋体"/>
          <w:color w:val="auto"/>
          <w:sz w:val="24"/>
          <w:highlight w:val="none"/>
          <w:shd w:val="clear" w:color="auto" w:fill="FFFFFF" w:themeFill="background1"/>
        </w:rPr>
        <w:t>万元</w:t>
      </w:r>
      <w:bookmarkEnd w:id="14"/>
    </w:p>
    <w:p w14:paraId="407D9391">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6.采购需求：</w:t>
      </w:r>
    </w:p>
    <w:tbl>
      <w:tblPr>
        <w:tblStyle w:val="36"/>
        <w:tblW w:w="5000"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242"/>
        <w:gridCol w:w="4113"/>
        <w:gridCol w:w="3167"/>
      </w:tblGrid>
      <w:tr w14:paraId="67F8E87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jc w:val="center"/>
        </w:trPr>
        <w:tc>
          <w:tcPr>
            <w:tcW w:w="729" w:type="pct"/>
            <w:tcBorders>
              <w:top w:val="single" w:color="auto" w:sz="8" w:space="0"/>
              <w:left w:val="single" w:color="auto" w:sz="8" w:space="0"/>
              <w:bottom w:val="single" w:color="auto" w:sz="8" w:space="0"/>
              <w:right w:val="single" w:color="auto" w:sz="8" w:space="0"/>
            </w:tcBorders>
            <w:noWrap w:val="0"/>
            <w:vAlign w:val="center"/>
          </w:tcPr>
          <w:p w14:paraId="2A728EC0">
            <w:pPr>
              <w:spacing w:line="360" w:lineRule="auto"/>
              <w:ind w:firstLine="24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包号</w:t>
            </w:r>
          </w:p>
        </w:tc>
        <w:tc>
          <w:tcPr>
            <w:tcW w:w="2413" w:type="pct"/>
            <w:tcBorders>
              <w:top w:val="single" w:color="auto" w:sz="8" w:space="0"/>
              <w:left w:val="single" w:color="auto" w:sz="8" w:space="0"/>
              <w:bottom w:val="single" w:color="auto" w:sz="8" w:space="0"/>
              <w:right w:val="single" w:color="auto" w:sz="8" w:space="0"/>
            </w:tcBorders>
            <w:noWrap w:val="0"/>
            <w:vAlign w:val="center"/>
          </w:tcPr>
          <w:p w14:paraId="1FD38642">
            <w:pPr>
              <w:spacing w:line="360" w:lineRule="auto"/>
              <w:jc w:val="center"/>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货物名称</w:t>
            </w:r>
          </w:p>
        </w:tc>
        <w:tc>
          <w:tcPr>
            <w:tcW w:w="1859" w:type="pct"/>
            <w:tcBorders>
              <w:top w:val="single" w:color="auto" w:sz="8" w:space="0"/>
              <w:left w:val="single" w:color="auto" w:sz="8" w:space="0"/>
              <w:bottom w:val="single" w:color="auto" w:sz="8" w:space="0"/>
              <w:right w:val="single" w:color="auto" w:sz="8" w:space="0"/>
            </w:tcBorders>
            <w:noWrap w:val="0"/>
            <w:vAlign w:val="center"/>
          </w:tcPr>
          <w:p w14:paraId="0A467BC3">
            <w:pPr>
              <w:spacing w:line="360" w:lineRule="auto"/>
              <w:jc w:val="center"/>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数量</w:t>
            </w:r>
          </w:p>
        </w:tc>
      </w:tr>
      <w:tr w14:paraId="3297FC8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jc w:val="center"/>
        </w:trPr>
        <w:tc>
          <w:tcPr>
            <w:tcW w:w="729" w:type="pct"/>
            <w:tcBorders>
              <w:top w:val="single" w:color="auto" w:sz="8" w:space="0"/>
              <w:left w:val="single" w:color="auto" w:sz="8" w:space="0"/>
              <w:bottom w:val="single" w:color="auto" w:sz="8" w:space="0"/>
              <w:right w:val="single" w:color="auto" w:sz="8" w:space="0"/>
            </w:tcBorders>
            <w:noWrap w:val="0"/>
            <w:vAlign w:val="center"/>
          </w:tcPr>
          <w:p w14:paraId="23F13612">
            <w:pPr>
              <w:spacing w:line="360" w:lineRule="auto"/>
              <w:ind w:firstLine="48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1</w:t>
            </w:r>
          </w:p>
        </w:tc>
        <w:tc>
          <w:tcPr>
            <w:tcW w:w="2413" w:type="pct"/>
            <w:tcBorders>
              <w:top w:val="single" w:color="auto" w:sz="8" w:space="0"/>
              <w:left w:val="single" w:color="auto" w:sz="8" w:space="0"/>
              <w:bottom w:val="single" w:color="auto" w:sz="8" w:space="0"/>
              <w:right w:val="single" w:color="auto" w:sz="8" w:space="0"/>
            </w:tcBorders>
            <w:noWrap w:val="0"/>
            <w:vAlign w:val="center"/>
          </w:tcPr>
          <w:p w14:paraId="33A11380">
            <w:pPr>
              <w:spacing w:line="360" w:lineRule="auto"/>
              <w:jc w:val="center"/>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医疗设备包康复设备</w:t>
            </w:r>
          </w:p>
        </w:tc>
        <w:tc>
          <w:tcPr>
            <w:tcW w:w="1859" w:type="pct"/>
            <w:tcBorders>
              <w:top w:val="single" w:color="auto" w:sz="8" w:space="0"/>
              <w:left w:val="single" w:color="auto" w:sz="8" w:space="0"/>
              <w:bottom w:val="single" w:color="auto" w:sz="8" w:space="0"/>
              <w:right w:val="single" w:color="auto" w:sz="8" w:space="0"/>
            </w:tcBorders>
            <w:noWrap w:val="0"/>
            <w:vAlign w:val="center"/>
          </w:tcPr>
          <w:p w14:paraId="726258FE">
            <w:pPr>
              <w:spacing w:line="360" w:lineRule="auto"/>
              <w:jc w:val="center"/>
              <w:rPr>
                <w:rFonts w:hint="eastAsia" w:ascii="宋体" w:hAnsi="宋体" w:eastAsia="宋体"/>
                <w:color w:val="auto"/>
                <w:sz w:val="24"/>
                <w:highlight w:val="none"/>
                <w:shd w:val="clear" w:color="auto" w:fill="FFFFFF" w:themeFill="background1"/>
              </w:rPr>
            </w:pPr>
            <w:r>
              <w:rPr>
                <w:rFonts w:ascii="宋体" w:hAnsi="宋体" w:eastAsia="宋体"/>
                <w:color w:val="auto"/>
                <w:sz w:val="24"/>
                <w:highlight w:val="none"/>
                <w:shd w:val="clear" w:color="auto" w:fill="FFFFFF" w:themeFill="background1"/>
              </w:rPr>
              <w:t>1</w:t>
            </w:r>
            <w:r>
              <w:rPr>
                <w:rFonts w:hint="eastAsia" w:ascii="宋体" w:hAnsi="宋体" w:eastAsia="宋体"/>
                <w:color w:val="auto"/>
                <w:sz w:val="24"/>
                <w:highlight w:val="none"/>
                <w:shd w:val="clear" w:color="auto" w:fill="FFFFFF" w:themeFill="background1"/>
              </w:rPr>
              <w:t>批</w:t>
            </w:r>
          </w:p>
        </w:tc>
      </w:tr>
    </w:tbl>
    <w:p w14:paraId="53BEE40D">
      <w:pPr>
        <w:spacing w:line="360" w:lineRule="auto"/>
        <w:ind w:firstLine="480"/>
        <w:jc w:val="left"/>
        <w:rPr>
          <w:rFonts w:hint="eastAsia" w:ascii="宋体" w:hAnsi="宋体" w:eastAsia="宋体"/>
          <w:color w:val="auto"/>
          <w:sz w:val="24"/>
          <w:highlight w:val="none"/>
          <w:shd w:val="clear" w:color="auto" w:fill="FFFFFF" w:themeFill="background1"/>
        </w:rPr>
      </w:pPr>
      <w:bookmarkStart w:id="17" w:name="_Toc38985264"/>
      <w:bookmarkStart w:id="18" w:name="_Toc35393791"/>
      <w:bookmarkStart w:id="19" w:name="_Toc28359003"/>
      <w:bookmarkStart w:id="20" w:name="_Toc35393622"/>
      <w:bookmarkStart w:id="21" w:name="_Toc28359080"/>
      <w:r>
        <w:rPr>
          <w:rFonts w:hint="eastAsia" w:ascii="宋体" w:hAnsi="宋体" w:eastAsia="宋体"/>
          <w:color w:val="auto"/>
          <w:sz w:val="24"/>
          <w:highlight w:val="none"/>
          <w:shd w:val="clear" w:color="auto" w:fill="FFFFFF" w:themeFill="background1"/>
        </w:rPr>
        <w:t>7.合同履行期限：详见采购文件</w:t>
      </w:r>
    </w:p>
    <w:p w14:paraId="45FDE443">
      <w:pPr>
        <w:spacing w:line="360" w:lineRule="auto"/>
        <w:jc w:val="left"/>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二、申请人的资格要求：</w:t>
      </w:r>
      <w:bookmarkEnd w:id="17"/>
      <w:bookmarkEnd w:id="18"/>
      <w:bookmarkEnd w:id="19"/>
      <w:bookmarkEnd w:id="20"/>
      <w:bookmarkEnd w:id="21"/>
    </w:p>
    <w:p w14:paraId="6B245726">
      <w:pPr>
        <w:widowControl w:val="0"/>
        <w:spacing w:line="360" w:lineRule="auto"/>
        <w:rPr>
          <w:rFonts w:hint="eastAsia" w:ascii="宋体" w:hAnsi="宋体" w:eastAsia="宋体"/>
          <w:b w:val="0"/>
          <w:bCs w:val="0"/>
          <w:color w:val="auto"/>
          <w:sz w:val="24"/>
          <w:szCs w:val="32"/>
          <w:highlight w:val="none"/>
          <w:lang w:eastAsia="zh-CN"/>
        </w:rPr>
      </w:pPr>
      <w:r>
        <w:rPr>
          <w:rFonts w:ascii="宋体" w:hAnsi="宋体" w:eastAsia="宋体" w:cs="宋体"/>
          <w:b w:val="0"/>
          <w:bCs w:val="0"/>
          <w:color w:val="auto"/>
          <w:sz w:val="24"/>
          <w:szCs w:val="32"/>
          <w:highlight w:val="none"/>
          <w:lang w:eastAsia="zh-CN"/>
        </w:rPr>
        <w:t>（一）通用资格要求</w:t>
      </w:r>
    </w:p>
    <w:p w14:paraId="5947A9AF">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1、符合《政府采购法》第二十二条的相关规定，投标人提供《南京市政府采购供应商信用记录表暨信用承诺书》（格式见投标文件格式模板，原件）。</w:t>
      </w:r>
    </w:p>
    <w:p w14:paraId="2FDB8E2D">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其中不适用信用承诺的情形：</w:t>
      </w:r>
    </w:p>
    <w:p w14:paraId="2E07D66D">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（一）供应商被列入严重失信主体名单：</w:t>
      </w:r>
    </w:p>
    <w:p w14:paraId="6E34F027">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（二）被相关监督部门作出行政处罚且尚处在处罚有效期内：</w:t>
      </w:r>
    </w:p>
    <w:p w14:paraId="551F847B">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（三）其他法律、行政法规规定的不适用信用承诺的情形</w:t>
      </w:r>
    </w:p>
    <w:p w14:paraId="5A7C1C92">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2、投标人提供在有效经营期内的营业执照（复印件）。</w:t>
      </w:r>
    </w:p>
    <w:p w14:paraId="76724EDE">
      <w:pPr>
        <w:widowControl w:val="0"/>
        <w:spacing w:line="360" w:lineRule="auto"/>
        <w:rPr>
          <w:rFonts w:hint="eastAsia" w:ascii="宋体" w:hAnsi="宋体" w:eastAsia="宋体"/>
          <w:color w:val="auto"/>
          <w:sz w:val="24"/>
          <w:szCs w:val="32"/>
          <w:highlight w:val="none"/>
        </w:rPr>
      </w:pPr>
      <w:r>
        <w:rPr>
          <w:rFonts w:ascii="宋体" w:hAnsi="宋体" w:eastAsia="宋体" w:cs="宋体"/>
          <w:color w:val="auto"/>
          <w:sz w:val="24"/>
          <w:szCs w:val="32"/>
          <w:highlight w:val="none"/>
        </w:rPr>
        <w:t>3、在“信用中国”网站（www.creditchina.gov.cn）查询，无被列入失信被执行人、重大税收违法案件当事人名单、政府采购严重失信行为记录名单及其他不符合《中华人民共和国政府采购法》第二十二条规定条件的信用记录。</w:t>
      </w:r>
    </w:p>
    <w:p w14:paraId="16836A33">
      <w:pPr>
        <w:widowControl w:val="0"/>
        <w:spacing w:line="360" w:lineRule="auto"/>
        <w:rPr>
          <w:rFonts w:ascii="宋体" w:hAnsi="宋体" w:eastAsia="宋体" w:cs="宋体"/>
          <w:color w:val="auto"/>
          <w:sz w:val="24"/>
          <w:szCs w:val="32"/>
          <w:highlight w:val="none"/>
          <w:lang w:eastAsia="zh-CN"/>
        </w:rPr>
      </w:pPr>
      <w:r>
        <w:rPr>
          <w:rFonts w:ascii="宋体" w:hAnsi="宋体" w:eastAsia="宋体" w:cs="宋体"/>
          <w:color w:val="auto"/>
          <w:sz w:val="24"/>
          <w:szCs w:val="32"/>
          <w:highlight w:val="none"/>
          <w:lang w:eastAsia="zh-CN"/>
        </w:rPr>
        <w:t>4、本项目不接受联合体投标。</w:t>
      </w:r>
    </w:p>
    <w:p w14:paraId="3BABF698">
      <w:pPr>
        <w:widowControl w:val="0"/>
        <w:spacing w:line="360" w:lineRule="auto"/>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二</w:t>
      </w:r>
      <w:r>
        <w:rPr>
          <w:rFonts w:hint="eastAsia" w:ascii="宋体" w:hAnsi="宋体" w:eastAsia="宋体" w:cs="宋体"/>
          <w:color w:val="auto"/>
          <w:sz w:val="24"/>
          <w:szCs w:val="32"/>
          <w:highlight w:val="none"/>
          <w:lang w:eastAsia="zh-CN"/>
        </w:rPr>
        <w:t>）落实政府采购政策需满足的资格要求:</w:t>
      </w:r>
      <w:r>
        <w:rPr>
          <w:rFonts w:hint="eastAsia" w:ascii="宋体" w:hAnsi="宋体" w:eastAsia="宋体" w:cs="宋体"/>
          <w:color w:val="auto"/>
          <w:sz w:val="24"/>
          <w:szCs w:val="32"/>
          <w:highlight w:val="none"/>
          <w:lang w:val="en-US" w:eastAsia="zh-CN"/>
        </w:rPr>
        <w:t>无</w:t>
      </w:r>
    </w:p>
    <w:p w14:paraId="7AE70EA6">
      <w:pPr>
        <w:pStyle w:val="32"/>
        <w:widowControl/>
        <w:shd w:val="clear" w:color="auto" w:fill="FFFFFF"/>
        <w:spacing w:beforeAutospacing="0" w:afterAutospacing="0" w:line="360" w:lineRule="auto"/>
        <w:rPr>
          <w:rFonts w:hint="eastAsia" w:ascii="宋体" w:hAnsi="宋体" w:eastAsia="宋体" w:cs="宋体"/>
          <w:color w:val="auto"/>
          <w:highlight w:val="none"/>
        </w:rPr>
      </w:pPr>
      <w:bookmarkStart w:id="22" w:name="OLE_LINK14"/>
      <w:bookmarkStart w:id="23" w:name="OLE_LINK19"/>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）特定资格要求</w:t>
      </w:r>
    </w:p>
    <w:p w14:paraId="5E716B55">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bookmarkStart w:id="24" w:name="OLE_LINK18"/>
      <w:r>
        <w:rPr>
          <w:rFonts w:hint="eastAsia" w:ascii="宋体" w:hAnsi="宋体" w:eastAsia="宋体"/>
          <w:color w:val="auto"/>
          <w:sz w:val="24"/>
          <w:szCs w:val="24"/>
          <w:highlight w:val="none"/>
          <w:shd w:val="clear" w:color="auto" w:fill="FFFFFF" w:themeFill="background1"/>
          <w:lang w:val="en-US" w:eastAsia="zh-CN"/>
        </w:rPr>
        <w:t>1</w:t>
      </w:r>
      <w:r>
        <w:rPr>
          <w:rFonts w:ascii="宋体" w:hAnsi="宋体" w:eastAsia="宋体"/>
          <w:color w:val="auto"/>
          <w:sz w:val="24"/>
          <w:szCs w:val="24"/>
          <w:highlight w:val="none"/>
          <w:shd w:val="clear" w:color="auto" w:fill="FFFFFF" w:themeFill="background1"/>
        </w:rPr>
        <w:t>.</w:t>
      </w:r>
      <w:bookmarkStart w:id="25" w:name="OLE_LINK29"/>
      <w:bookmarkStart w:id="26" w:name="OLE_LINK5"/>
      <w:r>
        <w:rPr>
          <w:rFonts w:hint="eastAsia" w:ascii="宋体" w:hAnsi="宋体" w:eastAsia="宋体"/>
          <w:color w:val="auto"/>
          <w:sz w:val="24"/>
          <w:szCs w:val="24"/>
          <w:highlight w:val="none"/>
          <w:shd w:val="clear" w:color="auto" w:fill="FFFFFF" w:themeFill="background1"/>
        </w:rPr>
        <w:t>对照采购清单，逐一按如下要求提供材料：</w:t>
      </w:r>
    </w:p>
    <w:p w14:paraId="1215BFF5">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lang w:val="en-US" w:eastAsia="zh-CN"/>
        </w:rPr>
        <w:t>1</w:t>
      </w:r>
      <w:r>
        <w:rPr>
          <w:rFonts w:hint="eastAsia" w:ascii="宋体" w:hAnsi="宋体" w:eastAsia="宋体"/>
          <w:color w:val="auto"/>
          <w:sz w:val="24"/>
          <w:szCs w:val="24"/>
          <w:highlight w:val="none"/>
          <w:shd w:val="clear" w:color="auto" w:fill="FFFFFF" w:themeFill="background1"/>
        </w:rPr>
        <w:t>.1如投标产品为医疗器械：</w:t>
      </w:r>
    </w:p>
    <w:p w14:paraId="57122AD8">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rPr>
        <w:t>①投标人须根据所投产品类别，提供所投产品有效的医疗器械产品注册证或产品备案凭证，投标时需提供复印件加盖公章。</w:t>
      </w:r>
    </w:p>
    <w:p w14:paraId="546B9031">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rPr>
        <w:t>②若投标人为代理商，应根据国家相关规定提供范围涵盖投标产品的医疗器械经营许可证；(若投标产品属于二类医疗产品的可仅提供第二类医疗器械经营备案凭证)；</w:t>
      </w:r>
    </w:p>
    <w:p w14:paraId="074284F1">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lang w:val="en-US" w:eastAsia="zh-CN"/>
        </w:rPr>
        <w:t>③</w:t>
      </w:r>
      <w:r>
        <w:rPr>
          <w:rFonts w:hint="eastAsia" w:ascii="宋体" w:hAnsi="宋体" w:eastAsia="宋体"/>
          <w:color w:val="auto"/>
          <w:sz w:val="24"/>
          <w:szCs w:val="24"/>
          <w:highlight w:val="none"/>
          <w:shd w:val="clear" w:color="auto" w:fill="FFFFFF" w:themeFill="background1"/>
        </w:rPr>
        <w:t>若投标人为生产商，应根据国家相关规定提供范围涵盖投标产品的医疗器械生产许可证。</w:t>
      </w:r>
    </w:p>
    <w:bookmarkEnd w:id="25"/>
    <w:p w14:paraId="5E86DC97">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bookmarkStart w:id="27" w:name="OLE_LINK30"/>
      <w:r>
        <w:rPr>
          <w:rFonts w:hint="eastAsia" w:ascii="宋体" w:hAnsi="宋体" w:eastAsia="宋体"/>
          <w:color w:val="auto"/>
          <w:sz w:val="24"/>
          <w:szCs w:val="24"/>
          <w:highlight w:val="none"/>
          <w:shd w:val="clear" w:color="auto" w:fill="FFFFFF" w:themeFill="background1"/>
          <w:lang w:val="en-US" w:eastAsia="zh-CN"/>
        </w:rPr>
        <w:t>1</w:t>
      </w:r>
      <w:r>
        <w:rPr>
          <w:rFonts w:hint="eastAsia" w:ascii="宋体" w:hAnsi="宋体" w:eastAsia="宋体"/>
          <w:color w:val="auto"/>
          <w:sz w:val="24"/>
          <w:szCs w:val="24"/>
          <w:highlight w:val="none"/>
          <w:shd w:val="clear" w:color="auto" w:fill="FFFFFF" w:themeFill="background1"/>
        </w:rPr>
        <w:t>.2如投标产品为非医疗器械，需提供相关说明文件</w:t>
      </w:r>
      <w:bookmarkEnd w:id="26"/>
      <w:r>
        <w:rPr>
          <w:rFonts w:hint="eastAsia" w:ascii="宋体" w:hAnsi="宋体" w:eastAsia="宋体"/>
          <w:color w:val="auto"/>
          <w:sz w:val="24"/>
          <w:szCs w:val="24"/>
          <w:highlight w:val="none"/>
          <w:shd w:val="clear" w:color="auto" w:fill="FFFFFF" w:themeFill="background1"/>
        </w:rPr>
        <w:t>。</w:t>
      </w:r>
      <w:bookmarkEnd w:id="27"/>
    </w:p>
    <w:bookmarkEnd w:id="22"/>
    <w:bookmarkEnd w:id="23"/>
    <w:bookmarkEnd w:id="24"/>
    <w:p w14:paraId="0130E443">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三、获取招标文件</w:t>
      </w:r>
    </w:p>
    <w:p w14:paraId="4F2BEA3B">
      <w:pPr>
        <w:spacing w:line="360" w:lineRule="auto"/>
        <w:ind w:firstLine="480"/>
        <w:jc w:val="left"/>
        <w:rPr>
          <w:rFonts w:hint="eastAsia" w:ascii="宋体" w:hAnsi="宋体" w:eastAsia="宋体"/>
          <w:color w:val="auto"/>
          <w:sz w:val="24"/>
          <w:highlight w:val="none"/>
          <w:shd w:val="clear" w:color="auto" w:fill="FFFFFF" w:themeFill="background1"/>
        </w:rPr>
      </w:pPr>
      <w:bookmarkStart w:id="28" w:name="_Toc35393793"/>
      <w:bookmarkStart w:id="29" w:name="_Toc38985266"/>
      <w:bookmarkStart w:id="30" w:name="_Toc28359082"/>
      <w:bookmarkStart w:id="31" w:name="_Toc35393624"/>
      <w:bookmarkStart w:id="32" w:name="_Toc28359005"/>
      <w:r>
        <w:rPr>
          <w:rFonts w:hint="eastAsia" w:ascii="宋体" w:hAnsi="宋体" w:eastAsia="宋体"/>
          <w:color w:val="auto"/>
          <w:sz w:val="24"/>
          <w:highlight w:val="none"/>
          <w:shd w:val="clear" w:color="auto" w:fill="FFFFFF" w:themeFill="background1"/>
        </w:rPr>
        <w:t>1.时间：</w:t>
      </w:r>
      <w:bookmarkEnd w:id="28"/>
      <w:bookmarkEnd w:id="29"/>
      <w:bookmarkEnd w:id="30"/>
      <w:bookmarkEnd w:id="31"/>
      <w:bookmarkEnd w:id="32"/>
      <w:r>
        <w:rPr>
          <w:rFonts w:hint="eastAsia" w:ascii="宋体" w:hAnsi="宋体" w:eastAsia="宋体"/>
          <w:color w:val="auto"/>
          <w:sz w:val="24"/>
          <w:highlight w:val="none"/>
          <w:shd w:val="clear" w:color="auto" w:fill="FFFFFF" w:themeFill="background1"/>
        </w:rPr>
        <w:t>自招标文件公告发布之日起5个工作日。</w:t>
      </w:r>
    </w:p>
    <w:p w14:paraId="0FE75FA9">
      <w:pPr>
        <w:spacing w:line="360" w:lineRule="auto"/>
        <w:ind w:firstLine="48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2.地点：“苏采云”系统内免费下载（投标人必须在苏采云系统中获取采购文件，方能参与政府采购项目）</w:t>
      </w:r>
    </w:p>
    <w:p w14:paraId="40DE9E04">
      <w:pPr>
        <w:spacing w:line="360" w:lineRule="auto"/>
        <w:ind w:firstLine="48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3.方式：本项目采用网上注册登记方式。</w:t>
      </w:r>
    </w:p>
    <w:p w14:paraId="59FC21A7">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3.1潜在供应商访问电子招标响应交易平台的网络地址和方法：</w:t>
      </w:r>
    </w:p>
    <w:p w14:paraId="7E536C22">
      <w:pPr>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3C49772">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3.2潜在供应商访问“苏采云”系统的网络地址和方法：“苏采云”系统的网址：http://jszfcg.jsczt.cn/。</w:t>
      </w:r>
    </w:p>
    <w:p w14:paraId="1AB46293">
      <w:pPr>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3.3“CA数字证书”的获取：</w:t>
      </w:r>
    </w:p>
    <w:p w14:paraId="3BE5D6E4">
      <w:pPr>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响应供应商需办理“CA 数字证书”，CA办理指南及“苏采云”操作手册可至江苏省政府采购网―办事指南-资料下载中心下载。</w:t>
      </w:r>
    </w:p>
    <w:p w14:paraId="0F94ADE2">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通过苏采云系统首页（http://jszfcg.jscz.gov.cn/）的“苏采云控件驱动下载”，选择“政务CA、方正签章控件驱动安装包及安装说明”下载安装，具体安装方法详见下载文件内的《安装说明》。</w:t>
      </w:r>
    </w:p>
    <w:p w14:paraId="650DC47B">
      <w:pPr>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3.4采购文件（后缀名为“.kedt”）、供应商操作手册及政府采购客户端工具可通过“苏采云”系统--已报名项目--报名详情页面内相应链接进行下载。</w:t>
      </w:r>
    </w:p>
    <w:p w14:paraId="209F79CD">
      <w:pPr>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3.5采购人或采购代理机构将数据电文形式的采购文件加载至“苏采云”系统，供潜在供应商下载或者查阅。</w:t>
      </w:r>
    </w:p>
    <w:p w14:paraId="2EB64DEF">
      <w:pPr>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3.6请潜在供应商提前安装相应的控件（详见《江苏省政府采购管理交易系统（苏采云）供应商操作手册》）并使用谷歌浏览器登录“苏采云”系统参与不见面开评标。</w:t>
      </w:r>
    </w:p>
    <w:p w14:paraId="1395C585">
      <w:pPr>
        <w:spacing w:line="360" w:lineRule="auto"/>
        <w:rPr>
          <w:rFonts w:hint="eastAsia" w:ascii="宋体" w:hAnsi="宋体" w:eastAsia="宋体" w:cs="宋体"/>
          <w:b/>
          <w:color w:val="auto"/>
          <w:sz w:val="24"/>
          <w:szCs w:val="32"/>
          <w:highlight w:val="none"/>
          <w:lang w:eastAsia="zh-CN"/>
        </w:rPr>
      </w:pPr>
      <w:r>
        <w:rPr>
          <w:rFonts w:hint="eastAsia" w:ascii="宋体" w:hAnsi="宋体" w:eastAsia="宋体" w:cs="宋体"/>
          <w:color w:val="auto"/>
          <w:sz w:val="24"/>
          <w:szCs w:val="32"/>
          <w:highlight w:val="none"/>
          <w:lang w:eastAsia="zh-CN"/>
        </w:rPr>
        <w:t>注：如潜在供应商未按上述要求操作，将自行承担所产生的风险。</w:t>
      </w:r>
    </w:p>
    <w:p w14:paraId="3D01296E">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四、提交投标文件截止时间、开标时间和地点</w:t>
      </w:r>
    </w:p>
    <w:p w14:paraId="10790281">
      <w:pPr>
        <w:spacing w:line="360" w:lineRule="auto"/>
        <w:ind w:firstLine="48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1.时间：2026年</w:t>
      </w:r>
      <w:r>
        <w:rPr>
          <w:rFonts w:hint="eastAsia" w:ascii="宋体" w:hAnsi="宋体" w:eastAsia="宋体"/>
          <w:color w:val="auto"/>
          <w:sz w:val="24"/>
          <w:highlight w:val="none"/>
          <w:shd w:val="clear" w:color="auto" w:fill="FFFFFF" w:themeFill="background1"/>
          <w:lang w:val="en-US" w:eastAsia="zh-CN"/>
        </w:rPr>
        <w:t>11</w:t>
      </w:r>
      <w:r>
        <w:rPr>
          <w:rFonts w:hint="eastAsia" w:ascii="宋体" w:hAnsi="宋体" w:eastAsia="宋体"/>
          <w:color w:val="auto"/>
          <w:sz w:val="24"/>
          <w:highlight w:val="none"/>
          <w:shd w:val="clear" w:color="auto" w:fill="FFFFFF" w:themeFill="background1"/>
        </w:rPr>
        <w:t>月</w:t>
      </w:r>
      <w:r>
        <w:rPr>
          <w:rFonts w:hint="eastAsia" w:ascii="宋体" w:hAnsi="宋体" w:eastAsia="宋体"/>
          <w:color w:val="auto"/>
          <w:sz w:val="24"/>
          <w:highlight w:val="none"/>
          <w:shd w:val="clear" w:color="auto" w:fill="FFFFFF" w:themeFill="background1"/>
          <w:lang w:val="en-US" w:eastAsia="zh-CN"/>
        </w:rPr>
        <w:t>24</w:t>
      </w:r>
      <w:r>
        <w:rPr>
          <w:rFonts w:hint="eastAsia" w:ascii="宋体" w:hAnsi="宋体" w:eastAsia="宋体"/>
          <w:color w:val="auto"/>
          <w:sz w:val="24"/>
          <w:highlight w:val="none"/>
          <w:shd w:val="clear" w:color="auto" w:fill="FFFFFF" w:themeFill="background1"/>
        </w:rPr>
        <w:t>日</w:t>
      </w:r>
      <w:r>
        <w:rPr>
          <w:rFonts w:hint="eastAsia" w:ascii="宋体" w:hAnsi="宋体" w:eastAsia="宋体"/>
          <w:color w:val="auto"/>
          <w:sz w:val="24"/>
          <w:highlight w:val="none"/>
          <w:shd w:val="clear" w:color="auto" w:fill="FFFFFF" w:themeFill="background1"/>
          <w:lang w:val="en-US" w:eastAsia="zh-CN"/>
        </w:rPr>
        <w:t>09</w:t>
      </w:r>
      <w:r>
        <w:rPr>
          <w:rFonts w:hint="eastAsia" w:ascii="宋体" w:hAnsi="宋体" w:eastAsia="宋体"/>
          <w:color w:val="auto"/>
          <w:sz w:val="24"/>
          <w:highlight w:val="none"/>
          <w:shd w:val="clear" w:color="auto" w:fill="FFFFFF" w:themeFill="background1"/>
        </w:rPr>
        <w:t>:30（北京时间）</w:t>
      </w:r>
    </w:p>
    <w:p w14:paraId="08C93B70">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2.地点：“苏采云”系统（网址：http://jszfcg.jsczt.cn/）“开标大厅”</w:t>
      </w:r>
    </w:p>
    <w:p w14:paraId="15E2BDE0">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3D6C0F8">
      <w:pPr>
        <w:pStyle w:val="32"/>
        <w:keepNext/>
        <w:keepLines/>
        <w:spacing w:beforeAutospacing="0" w:afterAutospacing="0" w:line="360" w:lineRule="auto"/>
        <w:rPr>
          <w:rFonts w:hint="eastAsia" w:ascii="宋体" w:hAnsi="宋体" w:eastAsia="宋体" w:cs="宋体"/>
          <w:color w:val="auto"/>
          <w:highlight w:val="none"/>
        </w:rPr>
      </w:pPr>
      <w:bookmarkStart w:id="33" w:name="_Toc38985267"/>
      <w:bookmarkStart w:id="34" w:name="_Toc28359084"/>
      <w:bookmarkStart w:id="35" w:name="_Toc35393794"/>
      <w:bookmarkStart w:id="36" w:name="_Toc28359007"/>
      <w:bookmarkStart w:id="37" w:name="_Toc35393625"/>
      <w:r>
        <w:rPr>
          <w:rFonts w:hint="eastAsia" w:ascii="宋体" w:hAnsi="宋体" w:eastAsia="宋体" w:cs="宋体"/>
          <w:b/>
          <w:color w:val="auto"/>
          <w:highlight w:val="none"/>
        </w:rPr>
        <w:t>五、公告期限</w:t>
      </w:r>
      <w:bookmarkEnd w:id="33"/>
      <w:bookmarkEnd w:id="34"/>
      <w:bookmarkEnd w:id="35"/>
      <w:bookmarkEnd w:id="36"/>
      <w:bookmarkEnd w:id="37"/>
    </w:p>
    <w:p w14:paraId="390EFAC7">
      <w:pPr>
        <w:pStyle w:val="32"/>
        <w:widowControl/>
        <w:shd w:val="clear" w:color="auto" w:fill="FFFFFF"/>
        <w:spacing w:beforeAutospacing="0" w:afterAutospacing="0" w:line="360" w:lineRule="auto"/>
        <w:ind w:firstLine="480"/>
        <w:rPr>
          <w:rFonts w:hint="eastAsia" w:ascii="宋体" w:hAnsi="宋体" w:eastAsia="宋体" w:cs="宋体"/>
          <w:color w:val="auto"/>
          <w:highlight w:val="none"/>
          <w:shd w:val="clear" w:color="auto" w:fill="FFFFFF"/>
        </w:rPr>
      </w:pPr>
      <w:bookmarkStart w:id="38" w:name="_Toc38985268"/>
      <w:bookmarkStart w:id="39" w:name="_Toc35393626"/>
      <w:bookmarkStart w:id="40" w:name="_Toc35393795"/>
      <w:r>
        <w:rPr>
          <w:rFonts w:hint="eastAsia" w:ascii="宋体" w:hAnsi="宋体" w:eastAsia="宋体" w:cs="宋体"/>
          <w:color w:val="auto"/>
          <w:highlight w:val="none"/>
          <w:shd w:val="clear" w:color="auto" w:fill="FFFFFF"/>
        </w:rPr>
        <w:t>自本公告发布之日起5个工作日。</w:t>
      </w:r>
      <w:bookmarkEnd w:id="38"/>
      <w:bookmarkEnd w:id="39"/>
      <w:bookmarkEnd w:id="40"/>
    </w:p>
    <w:p w14:paraId="539693F9">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六、其他补充事宜</w:t>
      </w:r>
    </w:p>
    <w:p w14:paraId="217FABC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bookmarkStart w:id="41" w:name="_Toc28359018"/>
      <w:r>
        <w:rPr>
          <w:rFonts w:hint="eastAsia" w:ascii="宋体" w:hAnsi="宋体" w:eastAsia="宋体" w:cs="宋体"/>
          <w:color w:val="auto"/>
          <w:sz w:val="24"/>
          <w:szCs w:val="24"/>
          <w:highlight w:val="none"/>
          <w:lang w:eastAsia="zh-CN"/>
        </w:rPr>
        <w:t>1、本项目不收取投标保证金；</w:t>
      </w:r>
    </w:p>
    <w:p w14:paraId="30DD46D6">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olor w:val="auto"/>
          <w:sz w:val="24"/>
          <w:highlight w:val="none"/>
          <w:shd w:val="clear" w:color="auto" w:fill="FFFFFF" w:themeFill="background1"/>
          <w:lang w:val="en-US" w:eastAsia="zh-CN"/>
        </w:rPr>
        <w:t>2</w:t>
      </w:r>
      <w:r>
        <w:rPr>
          <w:rFonts w:hint="eastAsia" w:ascii="宋体" w:hAnsi="宋体" w:eastAsia="宋体"/>
          <w:color w:val="auto"/>
          <w:sz w:val="24"/>
          <w:highlight w:val="none"/>
          <w:shd w:val="clear" w:color="auto" w:fill="FFFFFF" w:themeFill="background1"/>
        </w:rPr>
        <w:t>.</w:t>
      </w:r>
      <w:bookmarkStart w:id="42" w:name="OLE_LINK81"/>
      <w:r>
        <w:rPr>
          <w:rFonts w:hint="eastAsia" w:ascii="宋体" w:hAnsi="宋体" w:eastAsia="宋体"/>
          <w:color w:val="auto"/>
          <w:sz w:val="24"/>
          <w:highlight w:val="none"/>
          <w:shd w:val="clear" w:color="auto" w:fill="FFFFFF" w:themeFill="background1"/>
        </w:rPr>
        <w:t>本项目不接受进口产品投标。</w:t>
      </w:r>
      <w:bookmarkEnd w:id="42"/>
    </w:p>
    <w:p w14:paraId="39ECB7FF">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、项目开标活动模式：不见面远程开标模式，供应商在各自地点通过不见面交易系统参加开标会。</w:t>
      </w:r>
    </w:p>
    <w:p w14:paraId="495B83E8">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、本项目落实的政府采购政策：</w:t>
      </w:r>
    </w:p>
    <w:p w14:paraId="56E0460E">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1）政府采购促进中小企业发展</w:t>
      </w:r>
    </w:p>
    <w:p w14:paraId="74EC5AB4">
      <w:pPr>
        <w:keepNext w:val="0"/>
        <w:keepLines w:val="0"/>
        <w:pageBreakBefore w:val="0"/>
        <w:kinsoku/>
        <w:wordWrap/>
        <w:overflowPunct/>
        <w:topLinePunct w:val="0"/>
        <w:autoSpaceDE/>
        <w:autoSpaceDN/>
        <w:bidi w:val="0"/>
        <w:adjustRightInd/>
        <w:snapToGrid/>
        <w:spacing w:line="360" w:lineRule="auto"/>
        <w:ind w:left="960" w:hanging="480"/>
        <w:textAlignment w:val="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本项目属于</w:t>
      </w:r>
      <w:r>
        <w:rPr>
          <w:rFonts w:hint="eastAsia" w:ascii="宋体" w:hAnsi="宋体" w:eastAsia="宋体" w:cs="宋体"/>
          <w:b/>
          <w:bCs/>
          <w:color w:val="auto"/>
          <w:sz w:val="24"/>
          <w:szCs w:val="24"/>
          <w:highlight w:val="none"/>
          <w:u w:val="single"/>
          <w:lang w:eastAsia="zh-CN"/>
        </w:rPr>
        <w:t xml:space="preserve"> 货物</w:t>
      </w:r>
      <w:r>
        <w:rPr>
          <w:rFonts w:ascii="宋体" w:hAnsi="宋体" w:eastAsia="宋体" w:cs="宋体"/>
          <w:b/>
          <w:bCs/>
          <w:color w:val="auto"/>
          <w:sz w:val="24"/>
          <w:szCs w:val="24"/>
          <w:highlight w:val="none"/>
          <w:u w:val="single"/>
          <w:lang w:eastAsia="zh-CN"/>
        </w:rPr>
        <w:t>类</w:t>
      </w:r>
      <w:r>
        <w:rPr>
          <w:rFonts w:hint="eastAsia" w:ascii="宋体" w:hAnsi="宋体" w:eastAsia="宋体" w:cs="宋体"/>
          <w:b/>
          <w:bCs/>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color w:val="auto"/>
          <w:sz w:val="24"/>
          <w:szCs w:val="24"/>
          <w:highlight w:val="none"/>
          <w:lang w:eastAsia="zh-CN"/>
        </w:rPr>
        <w:t>价格扣除优惠</w:t>
      </w:r>
      <w:r>
        <w:rPr>
          <w:rFonts w:ascii="宋体" w:hAnsi="宋体" w:eastAsia="宋体" w:cs="宋体"/>
          <w:color w:val="auto"/>
          <w:sz w:val="24"/>
          <w:szCs w:val="24"/>
          <w:highlight w:val="none"/>
          <w:lang w:eastAsia="zh-CN"/>
        </w:rPr>
        <w:t>政策。中小微企业划型标准请对照《关于印发中小企业划型标准规定的通知》（工信部联企业〔2011〕300号）（详见</w:t>
      </w:r>
      <w:r>
        <w:rPr>
          <w:rFonts w:hint="eastAsia" w:ascii="宋体" w:hAnsi="宋体" w:eastAsia="宋体" w:cs="宋体"/>
          <w:color w:val="auto"/>
          <w:sz w:val="24"/>
          <w:szCs w:val="24"/>
          <w:highlight w:val="none"/>
          <w:lang w:eastAsia="zh-CN"/>
        </w:rPr>
        <w:t>格式</w:t>
      </w:r>
      <w:r>
        <w:rPr>
          <w:rFonts w:ascii="宋体" w:hAnsi="宋体" w:eastAsia="宋体" w:cs="宋体"/>
          <w:color w:val="auto"/>
          <w:sz w:val="24"/>
          <w:szCs w:val="24"/>
          <w:highlight w:val="none"/>
          <w:lang w:eastAsia="zh-CN"/>
        </w:rPr>
        <w:t>）。</w:t>
      </w:r>
    </w:p>
    <w:p w14:paraId="2A60A081">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2）政府采购支持监狱企业发展</w:t>
      </w:r>
    </w:p>
    <w:p w14:paraId="57FA4B1B">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3）政府采购促进残疾人就业</w:t>
      </w:r>
    </w:p>
    <w:p w14:paraId="38202745">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4）政府采购鼓励采购节能环保产品</w:t>
      </w:r>
    </w:p>
    <w:p w14:paraId="448F6173">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p>
    <w:p w14:paraId="4B9A5B62">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5.1本项目对采购本国产品给予政策支持，具体内容见招标文件“第五章 评标方法与评标标准”。</w:t>
      </w:r>
    </w:p>
    <w:p w14:paraId="7BB099F0">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6DD6E0">
      <w:pPr>
        <w:pStyle w:val="32"/>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7DA2A56">
      <w:pPr>
        <w:pStyle w:val="32"/>
        <w:keepNext/>
        <w:keepLines/>
        <w:spacing w:beforeAutospacing="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七、对本次招标提出询问，请按以下方式联系</w:t>
      </w:r>
      <w:bookmarkEnd w:id="41"/>
    </w:p>
    <w:p w14:paraId="523E5C86">
      <w:pPr>
        <w:spacing w:line="360" w:lineRule="auto"/>
        <w:ind w:firstLine="480"/>
        <w:rPr>
          <w:rFonts w:hint="eastAsia" w:ascii="宋体" w:hAnsi="宋体" w:eastAsia="宋体"/>
          <w:color w:val="auto"/>
          <w:sz w:val="24"/>
          <w:highlight w:val="none"/>
        </w:rPr>
      </w:pPr>
      <w:bookmarkStart w:id="43" w:name="OLE_LINK23"/>
      <w:r>
        <w:rPr>
          <w:rFonts w:hint="eastAsia" w:ascii="宋体" w:hAnsi="宋体" w:eastAsia="宋体"/>
          <w:color w:val="auto"/>
          <w:sz w:val="24"/>
          <w:highlight w:val="none"/>
        </w:rPr>
        <w:t>1.采购人信息</w:t>
      </w:r>
    </w:p>
    <w:p w14:paraId="1BD4A266">
      <w:pPr>
        <w:spacing w:line="360" w:lineRule="auto"/>
        <w:ind w:firstLine="480"/>
        <w:rPr>
          <w:rFonts w:hint="eastAsia" w:ascii="宋体" w:hAnsi="宋体" w:eastAsia="宋体"/>
          <w:color w:val="auto"/>
          <w:sz w:val="24"/>
          <w:highlight w:val="none"/>
          <w:lang w:eastAsia="zh-CN"/>
        </w:rPr>
      </w:pPr>
      <w:r>
        <w:rPr>
          <w:rFonts w:hint="eastAsia" w:ascii="宋体" w:hAnsi="宋体" w:eastAsia="宋体"/>
          <w:color w:val="auto"/>
          <w:sz w:val="24"/>
          <w:highlight w:val="none"/>
        </w:rPr>
        <w:t>名 称：</w:t>
      </w:r>
      <w:r>
        <w:rPr>
          <w:rFonts w:hint="eastAsia" w:ascii="宋体" w:hAnsi="宋体" w:eastAsia="宋体"/>
          <w:color w:val="auto"/>
          <w:sz w:val="24"/>
          <w:highlight w:val="none"/>
          <w:lang w:eastAsia="zh-CN"/>
        </w:rPr>
        <w:t>南京市红十字医院</w:t>
      </w:r>
    </w:p>
    <w:p w14:paraId="2FC5F951">
      <w:pPr>
        <w:spacing w:line="360" w:lineRule="auto"/>
        <w:ind w:firstLine="480"/>
        <w:rPr>
          <w:rFonts w:hint="eastAsia" w:ascii="宋体" w:hAnsi="宋体" w:eastAsia="宋体"/>
          <w:color w:val="auto"/>
          <w:sz w:val="24"/>
          <w:highlight w:val="none"/>
        </w:rPr>
      </w:pPr>
      <w:r>
        <w:rPr>
          <w:rFonts w:hint="eastAsia" w:ascii="宋体" w:hAnsi="宋体" w:eastAsia="宋体"/>
          <w:color w:val="auto"/>
          <w:sz w:val="24"/>
          <w:highlight w:val="none"/>
        </w:rPr>
        <w:t>地 址：南京市白下路242号</w:t>
      </w:r>
    </w:p>
    <w:p w14:paraId="0F8E0DB8">
      <w:pPr>
        <w:spacing w:line="360" w:lineRule="auto"/>
        <w:ind w:firstLine="480"/>
        <w:rPr>
          <w:rFonts w:hint="eastAsia" w:ascii="宋体" w:hAnsi="宋体" w:eastAsia="宋体"/>
          <w:color w:val="auto"/>
          <w:sz w:val="24"/>
          <w:highlight w:val="none"/>
        </w:rPr>
      </w:pPr>
      <w:r>
        <w:rPr>
          <w:rFonts w:hint="eastAsia" w:ascii="宋体" w:hAnsi="宋体" w:eastAsia="宋体"/>
          <w:color w:val="auto"/>
          <w:sz w:val="24"/>
          <w:highlight w:val="none"/>
        </w:rPr>
        <w:t xml:space="preserve">联系人：张老师             </w:t>
      </w:r>
    </w:p>
    <w:p w14:paraId="6A9FB321">
      <w:pPr>
        <w:spacing w:line="360" w:lineRule="auto"/>
        <w:ind w:firstLine="480"/>
        <w:jc w:val="left"/>
        <w:rPr>
          <w:rFonts w:cs="宋体"/>
          <w:color w:val="auto"/>
          <w:highlight w:val="none"/>
        </w:rPr>
      </w:pPr>
      <w:r>
        <w:rPr>
          <w:rFonts w:hint="eastAsia" w:ascii="宋体" w:hAnsi="宋体" w:eastAsia="宋体"/>
          <w:color w:val="auto"/>
          <w:sz w:val="24"/>
          <w:highlight w:val="none"/>
        </w:rPr>
        <w:t>联系方式：025-84478624</w:t>
      </w:r>
      <w:r>
        <w:rPr>
          <w:rFonts w:hint="eastAsia"/>
          <w:color w:val="auto"/>
          <w:sz w:val="24"/>
          <w:highlight w:val="none"/>
        </w:rPr>
        <w:t>　</w:t>
      </w:r>
      <w:bookmarkEnd w:id="43"/>
      <w:r>
        <w:rPr>
          <w:rFonts w:hint="eastAsia" w:cs="宋体"/>
          <w:color w:val="auto"/>
          <w:highlight w:val="none"/>
        </w:rPr>
        <w:t xml:space="preserve">      </w:t>
      </w:r>
    </w:p>
    <w:p w14:paraId="03EF322D">
      <w:pPr>
        <w:pStyle w:val="32"/>
        <w:widowControl/>
        <w:shd w:val="clear" w:color="auto" w:fill="FFFFFF"/>
        <w:spacing w:beforeAutospacing="0" w:afterAutospacing="0" w:line="360" w:lineRule="auto"/>
        <w:ind w:firstLine="480"/>
        <w:rPr>
          <w:rFonts w:hint="eastAsia" w:ascii="宋体" w:hAnsi="宋体" w:eastAsia="宋体" w:cs="宋体"/>
          <w:color w:val="auto"/>
          <w:highlight w:val="none"/>
        </w:rPr>
      </w:pPr>
      <w:bookmarkStart w:id="44" w:name="_Toc28359010"/>
      <w:bookmarkStart w:id="45" w:name="_Toc28359087"/>
      <w:r>
        <w:rPr>
          <w:rFonts w:hint="eastAsia" w:ascii="宋体" w:hAnsi="宋体" w:eastAsia="宋体" w:cs="宋体"/>
          <w:color w:val="auto"/>
          <w:highlight w:val="none"/>
        </w:rPr>
        <w:t>2.采购代理机构信息</w:t>
      </w:r>
    </w:p>
    <w:p w14:paraId="5BE2CC93">
      <w:pPr>
        <w:pStyle w:val="32"/>
        <w:widowControl/>
        <w:shd w:val="clear" w:color="auto" w:fill="FFFFFF"/>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名 称：</w:t>
      </w:r>
      <w:r>
        <w:rPr>
          <w:rFonts w:hint="eastAsia" w:ascii="宋体" w:hAnsi="宋体" w:eastAsia="宋体" w:cs="宋体"/>
          <w:color w:val="auto"/>
          <w:highlight w:val="none"/>
          <w:lang w:eastAsia="zh-CN"/>
        </w:rPr>
        <w:t>江苏省招标中心有限公司</w:t>
      </w:r>
      <w:r>
        <w:rPr>
          <w:rFonts w:hint="eastAsia" w:ascii="宋体" w:hAnsi="宋体" w:eastAsia="宋体" w:cs="宋体"/>
          <w:color w:val="auto"/>
          <w:highlight w:val="none"/>
        </w:rPr>
        <w:t>　</w:t>
      </w:r>
    </w:p>
    <w:p w14:paraId="722E08F6">
      <w:pPr>
        <w:pStyle w:val="32"/>
        <w:widowControl/>
        <w:shd w:val="clear" w:color="auto" w:fill="FFFFFF"/>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地　址：南京市鼓楼区郑和中路118号17楼</w:t>
      </w:r>
    </w:p>
    <w:p w14:paraId="53C6F797">
      <w:pPr>
        <w:pStyle w:val="32"/>
        <w:widowControl/>
        <w:shd w:val="clear" w:color="auto" w:fill="FFFFFF"/>
        <w:spacing w:beforeAutospacing="0" w:afterAutospacing="0" w:line="360" w:lineRule="auto"/>
        <w:ind w:firstLine="48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联系人：</w:t>
      </w:r>
      <w:bookmarkStart w:id="46" w:name="OLE_LINK3"/>
      <w:r>
        <w:rPr>
          <w:rFonts w:hint="eastAsia" w:ascii="宋体" w:hAnsi="宋体" w:eastAsia="宋体" w:cs="宋体"/>
          <w:color w:val="auto"/>
          <w:highlight w:val="none"/>
          <w:lang w:val="en-US" w:eastAsia="zh-CN"/>
        </w:rPr>
        <w:t>黄沛、张成玉、杨涛</w:t>
      </w:r>
      <w:bookmarkEnd w:id="46"/>
    </w:p>
    <w:p w14:paraId="1F955821">
      <w:pPr>
        <w:pStyle w:val="32"/>
        <w:widowControl/>
        <w:shd w:val="clear" w:color="auto" w:fill="FFFFFF"/>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联系方式：</w:t>
      </w:r>
      <w:bookmarkStart w:id="47" w:name="OLE_LINK4"/>
      <w:r>
        <w:rPr>
          <w:rFonts w:hint="eastAsia" w:ascii="宋体" w:hAnsi="宋体" w:eastAsia="宋体" w:cs="宋体"/>
          <w:color w:val="auto"/>
          <w:highlight w:val="none"/>
        </w:rPr>
        <w:t>025-83249912</w:t>
      </w:r>
      <w:bookmarkEnd w:id="47"/>
    </w:p>
    <w:p w14:paraId="7C29376B">
      <w:pPr>
        <w:pStyle w:val="32"/>
        <w:widowControl/>
        <w:shd w:val="clear" w:color="auto" w:fill="FFFFFF"/>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3.项目联系方式</w:t>
      </w:r>
    </w:p>
    <w:p w14:paraId="77F5646B">
      <w:pPr>
        <w:pStyle w:val="32"/>
        <w:widowControl/>
        <w:shd w:val="clear" w:color="auto" w:fill="FFFFFF"/>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项目联系人：黄沛、张成玉、杨涛   </w:t>
      </w:r>
      <w:bookmarkStart w:id="257" w:name="_GoBack"/>
      <w:bookmarkEnd w:id="257"/>
    </w:p>
    <w:p w14:paraId="3333BA01">
      <w:pPr>
        <w:pStyle w:val="32"/>
        <w:widowControl/>
        <w:shd w:val="clear" w:color="auto" w:fill="FFFFFF"/>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电　话：</w:t>
      </w:r>
      <w:bookmarkEnd w:id="44"/>
      <w:bookmarkEnd w:id="45"/>
      <w:r>
        <w:rPr>
          <w:rFonts w:hint="eastAsia" w:ascii="宋体" w:hAnsi="宋体" w:eastAsia="宋体" w:cs="宋体"/>
          <w:color w:val="auto"/>
          <w:highlight w:val="none"/>
        </w:rPr>
        <w:t>025-83249912</w:t>
      </w:r>
    </w:p>
    <w:p w14:paraId="3DE322AD">
      <w:pPr>
        <w:widowControl/>
        <w:jc w:val="left"/>
        <w:rPr>
          <w:rFonts w:hint="eastAsia" w:ascii="黑体" w:hAnsi="宋体" w:eastAsia="黑体" w:cs="黑体"/>
          <w:b/>
          <w:color w:val="auto"/>
          <w:sz w:val="44"/>
          <w:szCs w:val="44"/>
          <w:highlight w:val="none"/>
        </w:rPr>
      </w:pPr>
      <w:bookmarkStart w:id="48" w:name="_Toc120614211"/>
      <w:r>
        <w:rPr>
          <w:rFonts w:ascii="黑体" w:hAnsi="宋体" w:eastAsia="黑体" w:cs="黑体"/>
          <w:b/>
          <w:color w:val="auto"/>
          <w:sz w:val="44"/>
          <w:szCs w:val="44"/>
          <w:highlight w:val="none"/>
        </w:rPr>
        <w:br w:type="page" w:clear="all"/>
      </w:r>
    </w:p>
    <w:p w14:paraId="6C13B0E8">
      <w:pPr>
        <w:pStyle w:val="2"/>
        <w:bidi w:val="0"/>
        <w:jc w:val="center"/>
        <w:rPr>
          <w:color w:val="auto"/>
          <w:highlight w:val="none"/>
        </w:rPr>
      </w:pPr>
      <w:bookmarkStart w:id="49" w:name="_Toc1038"/>
      <w:r>
        <w:rPr>
          <w:rFonts w:hint="eastAsia"/>
          <w:color w:val="auto"/>
          <w:highlight w:val="none"/>
        </w:rPr>
        <w:t>第二章</w:t>
      </w:r>
      <w:bookmarkEnd w:id="48"/>
      <w:bookmarkStart w:id="50" w:name="_Toc513029202"/>
      <w:bookmarkStart w:id="51" w:name="_Toc20823274"/>
      <w:bookmarkStart w:id="52" w:name="_Toc120614213"/>
      <w:bookmarkStart w:id="53" w:name="_Toc16938518"/>
      <w:r>
        <w:rPr>
          <w:rFonts w:hint="eastAsia" w:eastAsia="宋体"/>
          <w:color w:val="auto"/>
          <w:highlight w:val="none"/>
          <w:lang w:val="en-US" w:eastAsia="zh-CN"/>
        </w:rPr>
        <w:t xml:space="preserve"> </w:t>
      </w:r>
      <w:r>
        <w:rPr>
          <w:rFonts w:hint="eastAsia"/>
          <w:color w:val="auto"/>
          <w:highlight w:val="none"/>
        </w:rPr>
        <w:t>投标人须知</w:t>
      </w:r>
      <w:bookmarkEnd w:id="49"/>
      <w:bookmarkEnd w:id="50"/>
      <w:bookmarkEnd w:id="51"/>
      <w:bookmarkEnd w:id="52"/>
      <w:bookmarkEnd w:id="53"/>
    </w:p>
    <w:p w14:paraId="15588E04">
      <w:pPr>
        <w:pStyle w:val="32"/>
        <w:keepNext/>
        <w:keepLines/>
        <w:spacing w:before="145" w:beforeAutospacing="0" w:after="145" w:afterAutospacing="0" w:line="360" w:lineRule="auto"/>
        <w:rPr>
          <w:rFonts w:hint="eastAsia" w:ascii="宋体" w:hAnsi="宋体" w:eastAsia="宋体" w:cs="宋体"/>
          <w:color w:val="auto"/>
          <w:highlight w:val="none"/>
        </w:rPr>
      </w:pPr>
      <w:bookmarkStart w:id="54" w:name="_Toc120614214"/>
      <w:bookmarkStart w:id="55" w:name="_Toc16938519"/>
      <w:bookmarkStart w:id="56" w:name="_Toc20823275"/>
      <w:bookmarkStart w:id="57" w:name="_Toc513029203"/>
      <w:r>
        <w:rPr>
          <w:rFonts w:hint="eastAsia" w:ascii="宋体" w:hAnsi="宋体" w:eastAsia="宋体" w:cs="宋体"/>
          <w:b/>
          <w:color w:val="auto"/>
          <w:highlight w:val="none"/>
        </w:rPr>
        <w:t>一、总则</w:t>
      </w:r>
      <w:bookmarkEnd w:id="54"/>
      <w:bookmarkEnd w:id="55"/>
      <w:bookmarkEnd w:id="56"/>
      <w:bookmarkEnd w:id="57"/>
    </w:p>
    <w:p w14:paraId="3193F540">
      <w:pPr>
        <w:pStyle w:val="32"/>
        <w:keepNext/>
        <w:keepLines/>
        <w:spacing w:beforeAutospacing="0" w:afterAutospacing="0" w:line="360" w:lineRule="auto"/>
        <w:rPr>
          <w:rFonts w:hint="eastAsia" w:ascii="宋体" w:hAnsi="宋体" w:eastAsia="宋体" w:cs="宋体"/>
          <w:color w:val="auto"/>
          <w:highlight w:val="none"/>
        </w:rPr>
      </w:pPr>
      <w:bookmarkStart w:id="58" w:name="_Toc20823276"/>
      <w:bookmarkStart w:id="59" w:name="_Toc16938520"/>
      <w:bookmarkStart w:id="60" w:name="_Toc458694821"/>
      <w:bookmarkStart w:id="61" w:name="_Toc513029204"/>
      <w:bookmarkStart w:id="62" w:name="_Hlt16619475"/>
      <w:r>
        <w:rPr>
          <w:rFonts w:hint="eastAsia" w:ascii="宋体" w:hAnsi="宋体" w:eastAsia="宋体" w:cs="宋体"/>
          <w:color w:val="auto"/>
          <w:highlight w:val="none"/>
        </w:rPr>
        <w:t>1</w:t>
      </w:r>
      <w:bookmarkEnd w:id="58"/>
      <w:r>
        <w:rPr>
          <w:rFonts w:hint="eastAsia" w:ascii="宋体" w:hAnsi="宋体" w:eastAsia="宋体" w:cs="宋体"/>
          <w:color w:val="auto"/>
          <w:highlight w:val="none"/>
        </w:rPr>
        <w:t>、招标方式</w:t>
      </w:r>
      <w:bookmarkEnd w:id="59"/>
      <w:bookmarkEnd w:id="60"/>
      <w:bookmarkEnd w:id="61"/>
    </w:p>
    <w:p w14:paraId="2E7E9B0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1.1 本次招标采取公开招标方式，本招标文件仅适用于招标公告中所述项目。</w:t>
      </w:r>
    </w:p>
    <w:p w14:paraId="6EF100A9">
      <w:pPr>
        <w:pStyle w:val="32"/>
        <w:keepNext/>
        <w:keepLines/>
        <w:spacing w:beforeAutospacing="0" w:afterAutospacing="0" w:line="360" w:lineRule="auto"/>
        <w:rPr>
          <w:rFonts w:hint="eastAsia" w:ascii="宋体" w:hAnsi="宋体" w:eastAsia="宋体" w:cs="宋体"/>
          <w:color w:val="auto"/>
          <w:highlight w:val="none"/>
        </w:rPr>
      </w:pPr>
      <w:bookmarkStart w:id="63" w:name="_Toc20823277"/>
      <w:bookmarkStart w:id="64" w:name="_Toc513029205"/>
      <w:bookmarkStart w:id="65" w:name="_Toc16938521"/>
      <w:r>
        <w:rPr>
          <w:rFonts w:hint="eastAsia" w:ascii="宋体" w:hAnsi="宋体" w:eastAsia="宋体" w:cs="宋体"/>
          <w:color w:val="auto"/>
          <w:highlight w:val="none"/>
        </w:rPr>
        <w:t>2、合格的投标人</w:t>
      </w:r>
      <w:bookmarkEnd w:id="63"/>
      <w:bookmarkEnd w:id="64"/>
      <w:bookmarkEnd w:id="65"/>
    </w:p>
    <w:p w14:paraId="3BBCF8C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2.1满足招标公告中供应商的资格要求的规定。</w:t>
      </w:r>
    </w:p>
    <w:p w14:paraId="326D35E3">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2.2 满足本文件实质性要求和条件的规定。</w:t>
      </w:r>
    </w:p>
    <w:p w14:paraId="4F418548">
      <w:pPr>
        <w:pStyle w:val="32"/>
        <w:keepNext/>
        <w:keepLines/>
        <w:spacing w:beforeAutospacing="0" w:afterAutospacing="0" w:line="360" w:lineRule="auto"/>
        <w:rPr>
          <w:rFonts w:hint="eastAsia" w:ascii="宋体" w:hAnsi="宋体" w:eastAsia="宋体" w:cs="宋体"/>
          <w:color w:val="auto"/>
          <w:highlight w:val="none"/>
        </w:rPr>
      </w:pPr>
      <w:bookmarkStart w:id="66" w:name="_Toc513029206"/>
      <w:bookmarkStart w:id="67" w:name="_Toc16938522"/>
      <w:bookmarkStart w:id="68" w:name="_Toc20823278"/>
      <w:r>
        <w:rPr>
          <w:rFonts w:hint="eastAsia" w:ascii="宋体" w:hAnsi="宋体" w:eastAsia="宋体" w:cs="宋体"/>
          <w:color w:val="auto"/>
          <w:highlight w:val="none"/>
        </w:rPr>
        <w:t>3、适用法律</w:t>
      </w:r>
      <w:bookmarkEnd w:id="66"/>
      <w:bookmarkEnd w:id="67"/>
      <w:bookmarkEnd w:id="68"/>
    </w:p>
    <w:p w14:paraId="7A129ECD">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3.1 本次招标及由此产生的合同受中华人民共和国有关的法律法规制约和保护。</w:t>
      </w:r>
    </w:p>
    <w:p w14:paraId="798F2414">
      <w:pPr>
        <w:pStyle w:val="32"/>
        <w:keepNext/>
        <w:keepLines/>
        <w:spacing w:beforeAutospacing="0" w:afterAutospacing="0" w:line="360" w:lineRule="auto"/>
        <w:rPr>
          <w:rFonts w:hint="eastAsia" w:ascii="宋体" w:hAnsi="宋体" w:eastAsia="宋体" w:cs="宋体"/>
          <w:color w:val="auto"/>
          <w:highlight w:val="none"/>
        </w:rPr>
      </w:pPr>
      <w:bookmarkStart w:id="69" w:name="_Toc16938523"/>
      <w:bookmarkStart w:id="70" w:name="_Toc513029207"/>
      <w:bookmarkStart w:id="71" w:name="_Toc20823279"/>
      <w:bookmarkStart w:id="72" w:name="_Toc462564067"/>
      <w:r>
        <w:rPr>
          <w:rFonts w:hint="eastAsia" w:ascii="宋体" w:hAnsi="宋体" w:eastAsia="宋体" w:cs="宋体"/>
          <w:color w:val="auto"/>
          <w:highlight w:val="none"/>
        </w:rPr>
        <w:t>4、投标费用</w:t>
      </w:r>
      <w:bookmarkEnd w:id="69"/>
      <w:bookmarkEnd w:id="70"/>
      <w:bookmarkEnd w:id="71"/>
      <w:bookmarkEnd w:id="72"/>
    </w:p>
    <w:p w14:paraId="608275CC">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4.1 投标人应自行承担所有与参加投标有关的费用，无论投标过程中的做法和结果如何，</w:t>
      </w:r>
      <w:r>
        <w:rPr>
          <w:rFonts w:hint="eastAsia" w:ascii="宋体" w:hAnsi="宋体" w:eastAsia="宋体"/>
          <w:color w:val="auto"/>
          <w:highlight w:val="none"/>
          <w:shd w:val="clear" w:color="auto" w:fill="FFFFFF" w:themeFill="background1"/>
        </w:rPr>
        <w:t>采购代理机构</w:t>
      </w:r>
      <w:r>
        <w:rPr>
          <w:rFonts w:hint="eastAsia" w:ascii="宋体" w:hAnsi="宋体" w:eastAsia="宋体" w:cs="宋体"/>
          <w:color w:val="auto"/>
          <w:highlight w:val="none"/>
        </w:rPr>
        <w:t>在任何情况下均无义务和责任承担这些费用。</w:t>
      </w:r>
    </w:p>
    <w:p w14:paraId="72D4AC43">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Cs/>
          <w:color w:val="auto"/>
          <w:highlight w:val="none"/>
        </w:rPr>
        <w:t>5、</w:t>
      </w:r>
      <w:r>
        <w:rPr>
          <w:rFonts w:hint="eastAsia" w:ascii="宋体" w:hAnsi="宋体" w:eastAsia="宋体" w:cs="宋体"/>
          <w:color w:val="auto"/>
          <w:highlight w:val="none"/>
        </w:rPr>
        <w:t>招标文件的约束力</w:t>
      </w:r>
    </w:p>
    <w:p w14:paraId="6CDE6575">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5.1 投标人一旦参加本项目采购活动，即被认为接受了本招标文件的规定和约束。</w:t>
      </w:r>
    </w:p>
    <w:p w14:paraId="6403284A">
      <w:pPr>
        <w:pStyle w:val="32"/>
        <w:keepNext/>
        <w:keepLines/>
        <w:spacing w:before="145" w:beforeAutospacing="0" w:after="145" w:afterAutospacing="0" w:line="360" w:lineRule="auto"/>
        <w:rPr>
          <w:rFonts w:hint="eastAsia" w:ascii="宋体" w:hAnsi="宋体" w:eastAsia="宋体" w:cs="宋体"/>
          <w:color w:val="auto"/>
          <w:highlight w:val="none"/>
        </w:rPr>
      </w:pPr>
      <w:bookmarkStart w:id="73" w:name="_Toc20823281"/>
      <w:bookmarkStart w:id="74" w:name="_Toc16938525"/>
      <w:bookmarkStart w:id="75" w:name="_Toc513029209"/>
      <w:bookmarkStart w:id="76" w:name="_Toc120614215"/>
      <w:r>
        <w:rPr>
          <w:rFonts w:hint="eastAsia" w:ascii="宋体" w:hAnsi="宋体" w:eastAsia="宋体" w:cs="宋体"/>
          <w:b/>
          <w:color w:val="auto"/>
          <w:highlight w:val="none"/>
        </w:rPr>
        <w:t>二、招标文件</w:t>
      </w:r>
      <w:bookmarkEnd w:id="73"/>
      <w:bookmarkEnd w:id="74"/>
      <w:bookmarkEnd w:id="75"/>
      <w:bookmarkEnd w:id="76"/>
    </w:p>
    <w:p w14:paraId="22E25232">
      <w:pPr>
        <w:pStyle w:val="32"/>
        <w:keepNext/>
        <w:keepLines/>
        <w:spacing w:beforeAutospacing="0" w:afterAutospacing="0" w:line="360" w:lineRule="auto"/>
        <w:rPr>
          <w:rFonts w:hint="eastAsia" w:ascii="宋体" w:hAnsi="宋体" w:eastAsia="宋体" w:cs="宋体"/>
          <w:color w:val="auto"/>
          <w:highlight w:val="none"/>
        </w:rPr>
      </w:pPr>
      <w:bookmarkStart w:id="77" w:name="_Toc20823282"/>
      <w:bookmarkStart w:id="78" w:name="_Toc513029210"/>
      <w:bookmarkStart w:id="79" w:name="_Toc16938526"/>
      <w:r>
        <w:rPr>
          <w:rFonts w:hint="eastAsia" w:ascii="宋体" w:hAnsi="宋体" w:eastAsia="宋体" w:cs="宋体"/>
          <w:color w:val="auto"/>
          <w:highlight w:val="none"/>
        </w:rPr>
        <w:t>6、招标文件构成</w:t>
      </w:r>
      <w:bookmarkEnd w:id="77"/>
      <w:bookmarkEnd w:id="78"/>
      <w:bookmarkEnd w:id="79"/>
    </w:p>
    <w:p w14:paraId="1D1481C3">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5FEDE6B2">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（1）招标公告</w:t>
      </w:r>
    </w:p>
    <w:p w14:paraId="489496F9">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（2）投标人须知</w:t>
      </w:r>
    </w:p>
    <w:p w14:paraId="4F052F6B">
      <w:pPr>
        <w:pStyle w:val="32"/>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（3）合同</w:t>
      </w:r>
      <w:r>
        <w:rPr>
          <w:rFonts w:hint="eastAsia" w:ascii="宋体" w:hAnsi="宋体" w:eastAsia="宋体" w:cs="宋体"/>
          <w:color w:val="auto"/>
          <w:highlight w:val="none"/>
          <w:lang w:val="en-US" w:eastAsia="zh-CN"/>
        </w:rPr>
        <w:t>条款</w:t>
      </w:r>
    </w:p>
    <w:p w14:paraId="1A4D6B57">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（4）采购需求</w:t>
      </w:r>
    </w:p>
    <w:p w14:paraId="24F736B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（5）评标方法与评标标准</w:t>
      </w:r>
    </w:p>
    <w:p w14:paraId="1FDA3D39">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（6）投标文件格式</w:t>
      </w:r>
    </w:p>
    <w:p w14:paraId="63905D4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w:t>
      </w:r>
      <w:r>
        <w:rPr>
          <w:rFonts w:hint="eastAsia" w:ascii="宋体" w:hAnsi="宋体" w:eastAsia="宋体"/>
          <w:color w:val="auto"/>
          <w:highlight w:val="none"/>
          <w:shd w:val="clear" w:color="auto" w:fill="FFFFFF" w:themeFill="background1"/>
        </w:rPr>
        <w:t>采购代理机构</w:t>
      </w:r>
      <w:r>
        <w:rPr>
          <w:rFonts w:hint="eastAsia" w:ascii="宋体" w:hAnsi="宋体" w:eastAsia="宋体" w:cs="宋体"/>
          <w:color w:val="auto"/>
          <w:highlight w:val="none"/>
        </w:rPr>
        <w:t>联系解决。</w:t>
      </w:r>
    </w:p>
    <w:p w14:paraId="0C04084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9F2E907">
      <w:pPr>
        <w:pStyle w:val="32"/>
        <w:keepNext/>
        <w:keepLines/>
        <w:spacing w:beforeAutospacing="0" w:afterAutospacing="0" w:line="360" w:lineRule="auto"/>
        <w:rPr>
          <w:rFonts w:hint="eastAsia" w:ascii="宋体" w:hAnsi="宋体" w:eastAsia="宋体" w:cs="宋体"/>
          <w:color w:val="auto"/>
          <w:highlight w:val="none"/>
        </w:rPr>
      </w:pPr>
      <w:bookmarkStart w:id="80" w:name="_Toc20823283"/>
      <w:bookmarkStart w:id="81" w:name="_Toc513029211"/>
      <w:bookmarkStart w:id="82" w:name="_Toc462564070"/>
      <w:bookmarkStart w:id="83" w:name="_Toc16938527"/>
      <w:r>
        <w:rPr>
          <w:rFonts w:hint="eastAsia" w:ascii="宋体" w:hAnsi="宋体" w:eastAsia="宋体" w:cs="宋体"/>
          <w:color w:val="auto"/>
          <w:highlight w:val="none"/>
        </w:rPr>
        <w:t>7、招标文件的澄清</w:t>
      </w:r>
      <w:bookmarkEnd w:id="80"/>
      <w:bookmarkEnd w:id="81"/>
      <w:bookmarkEnd w:id="82"/>
      <w:bookmarkEnd w:id="83"/>
    </w:p>
    <w:p w14:paraId="7070814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7.1 任何要求对招标文件进行澄清的投标人，应在投标截止期</w:t>
      </w:r>
      <w:r>
        <w:rPr>
          <w:rFonts w:hint="eastAsia" w:ascii="宋体" w:hAnsi="宋体" w:eastAsia="宋体" w:cs="宋体"/>
          <w:b/>
          <w:color w:val="auto"/>
          <w:highlight w:val="none"/>
        </w:rPr>
        <w:t>十日</w:t>
      </w:r>
      <w:r>
        <w:rPr>
          <w:rFonts w:hint="eastAsia" w:ascii="宋体" w:hAnsi="宋体" w:eastAsia="宋体" w:cs="宋体"/>
          <w:color w:val="auto"/>
          <w:highlight w:val="none"/>
        </w:rPr>
        <w:t>前按招标公告中的通讯地址，以书面形式通知</w:t>
      </w:r>
      <w:r>
        <w:rPr>
          <w:rFonts w:hint="eastAsia" w:ascii="宋体" w:hAnsi="宋体" w:eastAsia="宋体"/>
          <w:color w:val="auto"/>
          <w:highlight w:val="none"/>
          <w:shd w:val="clear" w:color="auto" w:fill="FFFFFF" w:themeFill="background1"/>
        </w:rPr>
        <w:t>采购代理机构</w:t>
      </w:r>
      <w:r>
        <w:rPr>
          <w:rFonts w:hint="eastAsia" w:ascii="宋体" w:hAnsi="宋体" w:eastAsia="宋体" w:cs="宋体"/>
          <w:color w:val="auto"/>
          <w:highlight w:val="none"/>
        </w:rPr>
        <w:t>。</w:t>
      </w:r>
    </w:p>
    <w:p w14:paraId="17F4BBC7">
      <w:pPr>
        <w:pStyle w:val="32"/>
        <w:keepNext/>
        <w:keepLines/>
        <w:spacing w:beforeAutospacing="0" w:afterAutospacing="0" w:line="360" w:lineRule="auto"/>
        <w:rPr>
          <w:rFonts w:hint="eastAsia" w:ascii="宋体" w:hAnsi="宋体" w:eastAsia="宋体" w:cs="宋体"/>
          <w:color w:val="auto"/>
          <w:highlight w:val="none"/>
        </w:rPr>
      </w:pPr>
      <w:bookmarkStart w:id="84" w:name="_Toc513029212"/>
      <w:bookmarkStart w:id="85" w:name="_Toc462564071"/>
      <w:bookmarkStart w:id="86" w:name="_Toc16938528"/>
      <w:bookmarkStart w:id="87" w:name="_Toc20823284"/>
      <w:r>
        <w:rPr>
          <w:rFonts w:hint="eastAsia" w:ascii="宋体" w:hAnsi="宋体" w:eastAsia="宋体" w:cs="宋体"/>
          <w:color w:val="auto"/>
          <w:highlight w:val="none"/>
        </w:rPr>
        <w:t>8、招标文件的修改</w:t>
      </w:r>
      <w:bookmarkEnd w:id="84"/>
      <w:bookmarkEnd w:id="85"/>
      <w:bookmarkEnd w:id="86"/>
      <w:bookmarkEnd w:id="87"/>
    </w:p>
    <w:p w14:paraId="650885B5">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8.1 在投标截止时间前，</w:t>
      </w:r>
      <w:r>
        <w:rPr>
          <w:rFonts w:hint="eastAsia" w:ascii="宋体" w:hAnsi="宋体" w:eastAsia="宋体"/>
          <w:color w:val="auto"/>
          <w:highlight w:val="none"/>
          <w:shd w:val="clear" w:color="auto" w:fill="FFFFFF" w:themeFill="background1"/>
        </w:rPr>
        <w:t>采购代理机构</w:t>
      </w:r>
      <w:r>
        <w:rPr>
          <w:rFonts w:hint="eastAsia" w:ascii="宋体" w:hAnsi="宋体" w:eastAsia="宋体" w:cs="宋体"/>
          <w:color w:val="auto"/>
          <w:highlight w:val="none"/>
        </w:rPr>
        <w:t>可以对招标文件进行修改。</w:t>
      </w:r>
    </w:p>
    <w:p w14:paraId="595326AE">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 </w:t>
      </w:r>
      <w:r>
        <w:rPr>
          <w:rFonts w:hint="eastAsia" w:ascii="宋体" w:hAnsi="宋体" w:eastAsia="宋体"/>
          <w:color w:val="auto"/>
          <w:highlight w:val="none"/>
          <w:shd w:val="clear" w:color="auto" w:fill="FFFFFF" w:themeFill="background1"/>
        </w:rPr>
        <w:t>采购代理机构</w:t>
      </w:r>
      <w:r>
        <w:rPr>
          <w:rFonts w:hint="eastAsia" w:ascii="宋体" w:hAnsi="宋体" w:eastAsia="宋体" w:cs="宋体"/>
          <w:color w:val="auto"/>
          <w:highlight w:val="none"/>
        </w:rPr>
        <w:t>有权按照法定的要求推迟投标截止日期和开标日期。</w:t>
      </w:r>
    </w:p>
    <w:p w14:paraId="70E960FD">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8.3 招标文件的修改将在中国政府采购网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江苏政府采购网公布，补充文件将作为招标文件的组成部分，并对投标人具有约束力。</w:t>
      </w:r>
    </w:p>
    <w:p w14:paraId="6EE09C66">
      <w:pPr>
        <w:pStyle w:val="32"/>
        <w:keepNext/>
        <w:keepLines/>
        <w:spacing w:before="145" w:beforeAutospacing="0" w:after="145" w:afterAutospacing="0" w:line="360" w:lineRule="auto"/>
        <w:rPr>
          <w:rFonts w:hint="eastAsia" w:ascii="宋体" w:hAnsi="宋体" w:eastAsia="宋体" w:cs="宋体"/>
          <w:color w:val="auto"/>
          <w:highlight w:val="none"/>
        </w:rPr>
      </w:pPr>
      <w:bookmarkStart w:id="88" w:name="_Toc16938529"/>
      <w:bookmarkStart w:id="89" w:name="_Toc462564072"/>
      <w:bookmarkStart w:id="90" w:name="_Toc120614216"/>
      <w:bookmarkStart w:id="91" w:name="_Toc20823285"/>
      <w:bookmarkStart w:id="92" w:name="_Toc513029213"/>
      <w:r>
        <w:rPr>
          <w:rFonts w:hint="eastAsia" w:ascii="宋体" w:hAnsi="宋体" w:eastAsia="宋体" w:cs="宋体"/>
          <w:b/>
          <w:color w:val="auto"/>
          <w:highlight w:val="none"/>
        </w:rPr>
        <w:t>三、投标文件的编制</w:t>
      </w:r>
      <w:bookmarkEnd w:id="88"/>
      <w:bookmarkEnd w:id="89"/>
      <w:bookmarkEnd w:id="90"/>
      <w:bookmarkEnd w:id="91"/>
      <w:bookmarkEnd w:id="92"/>
    </w:p>
    <w:p w14:paraId="77CCAC98">
      <w:pPr>
        <w:pStyle w:val="32"/>
        <w:keepNext/>
        <w:keepLines/>
        <w:spacing w:beforeAutospacing="0" w:afterAutospacing="0" w:line="360" w:lineRule="auto"/>
        <w:rPr>
          <w:rFonts w:hint="eastAsia" w:ascii="宋体" w:hAnsi="宋体" w:eastAsia="宋体" w:cs="宋体"/>
          <w:color w:val="auto"/>
          <w:highlight w:val="none"/>
        </w:rPr>
      </w:pPr>
      <w:bookmarkStart w:id="93" w:name="_Toc16938530"/>
      <w:bookmarkStart w:id="94" w:name="_Toc20823286"/>
      <w:bookmarkStart w:id="95" w:name="_Toc462564073"/>
      <w:bookmarkStart w:id="96" w:name="_Toc513029214"/>
      <w:r>
        <w:rPr>
          <w:rFonts w:hint="eastAsia" w:ascii="宋体" w:hAnsi="宋体" w:eastAsia="宋体" w:cs="宋体"/>
          <w:color w:val="auto"/>
          <w:highlight w:val="none"/>
        </w:rPr>
        <w:t>9、投标文件的语言及度量衡单位</w:t>
      </w:r>
      <w:bookmarkEnd w:id="93"/>
      <w:bookmarkEnd w:id="94"/>
      <w:bookmarkEnd w:id="95"/>
      <w:bookmarkEnd w:id="96"/>
    </w:p>
    <w:p w14:paraId="5DD9FA3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9.1 投标人提交的投标文件以及投标人与</w:t>
      </w:r>
      <w:r>
        <w:rPr>
          <w:rFonts w:hint="eastAsia" w:ascii="宋体" w:hAnsi="宋体" w:eastAsia="宋体"/>
          <w:color w:val="auto"/>
          <w:highlight w:val="none"/>
          <w:shd w:val="clear" w:color="auto" w:fill="FFFFFF" w:themeFill="background1"/>
        </w:rPr>
        <w:t>采购代理机构</w:t>
      </w:r>
      <w:r>
        <w:rPr>
          <w:rFonts w:hint="eastAsia" w:ascii="宋体" w:hAnsi="宋体" w:eastAsia="宋体" w:cs="宋体"/>
          <w:color w:val="auto"/>
          <w:highlight w:val="none"/>
        </w:rPr>
        <w:t>就有关投标的所有来往通知、函件和文件均应使用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6E668CE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9.2 除技术性能另有规定外，投标文件所使用的度量衡单位，均须采用国家法定计量单位。</w:t>
      </w:r>
    </w:p>
    <w:p w14:paraId="2F5D37C0">
      <w:pPr>
        <w:pStyle w:val="32"/>
        <w:keepNext/>
        <w:keepLines/>
        <w:spacing w:beforeAutospacing="0" w:afterAutospacing="0" w:line="360" w:lineRule="auto"/>
        <w:rPr>
          <w:rFonts w:hint="eastAsia" w:ascii="宋体" w:hAnsi="宋体" w:eastAsia="宋体" w:cs="宋体"/>
          <w:color w:val="auto"/>
          <w:highlight w:val="none"/>
        </w:rPr>
      </w:pPr>
      <w:bookmarkStart w:id="97" w:name="_Toc462564074"/>
      <w:bookmarkStart w:id="98" w:name="_Toc16938531"/>
      <w:bookmarkStart w:id="99" w:name="_Toc513029215"/>
      <w:bookmarkStart w:id="100" w:name="_Toc20823287"/>
      <w:r>
        <w:rPr>
          <w:rFonts w:hint="eastAsia" w:ascii="宋体" w:hAnsi="宋体" w:eastAsia="宋体" w:cs="宋体"/>
          <w:color w:val="auto"/>
          <w:highlight w:val="none"/>
        </w:rPr>
        <w:t>10、投标文件构成</w:t>
      </w:r>
      <w:bookmarkEnd w:id="97"/>
      <w:bookmarkEnd w:id="98"/>
      <w:bookmarkEnd w:id="99"/>
      <w:bookmarkEnd w:id="100"/>
    </w:p>
    <w:p w14:paraId="375461A0">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10.1 投标人编写的投标文件应包括资格证明文件、符合性证明文件、投标分项报价表、技术需求响应及偏离表、商务需求响应及偏离表、其他证明文件、投标函、开标一览表等部分。</w:t>
      </w:r>
    </w:p>
    <w:p w14:paraId="1A5BC800">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10.2 如标书制作工具中格式和内容与</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“江苏政府采购网”发布的招标文件不一致，请以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“江苏政府采购网”发布的招标文件为准。</w:t>
      </w:r>
    </w:p>
    <w:p w14:paraId="7FC4DCB6">
      <w:pPr>
        <w:pStyle w:val="32"/>
        <w:keepNext/>
        <w:keepLines/>
        <w:spacing w:beforeAutospacing="0" w:afterAutospacing="0" w:line="360" w:lineRule="auto"/>
        <w:rPr>
          <w:rFonts w:hint="eastAsia" w:ascii="宋体" w:hAnsi="宋体" w:eastAsia="宋体" w:cs="宋体"/>
          <w:color w:val="auto"/>
          <w:highlight w:val="none"/>
        </w:rPr>
      </w:pPr>
      <w:bookmarkStart w:id="101" w:name="_Toc14577355"/>
      <w:bookmarkStart w:id="102" w:name="_Toc49090509"/>
      <w:bookmarkStart w:id="103" w:name="_Toc513029216"/>
      <w:bookmarkStart w:id="104" w:name="_Toc513029219"/>
      <w:bookmarkStart w:id="105" w:name="_Toc14577354"/>
      <w:bookmarkStart w:id="106" w:name="_Toc49090508"/>
      <w:bookmarkStart w:id="107" w:name="_Toc49090507"/>
      <w:bookmarkStart w:id="108" w:name="_Toc14577357"/>
      <w:bookmarkStart w:id="109" w:name="_Hlt26954838"/>
      <w:bookmarkStart w:id="110" w:name="_Hlt26668975"/>
      <w:bookmarkStart w:id="111" w:name="_Hlt26670360"/>
      <w:r>
        <w:rPr>
          <w:rFonts w:hint="eastAsia" w:ascii="宋体" w:hAnsi="宋体" w:eastAsia="宋体" w:cs="宋体"/>
          <w:color w:val="auto"/>
          <w:highlight w:val="none"/>
        </w:rPr>
        <w:t>11、证明投标人及投标标的符合招标文件规定的文件</w:t>
      </w:r>
      <w:bookmarkEnd w:id="101"/>
      <w:bookmarkEnd w:id="102"/>
      <w:bookmarkEnd w:id="103"/>
      <w:bookmarkEnd w:id="104"/>
      <w:bookmarkEnd w:id="105"/>
      <w:bookmarkEnd w:id="106"/>
      <w:bookmarkEnd w:id="107"/>
      <w:bookmarkEnd w:id="108"/>
    </w:p>
    <w:p w14:paraId="12DD2CC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11.1 投标人应按照招标文件要求提交证明文件，证明其及投标标的符合招标文件规定。</w:t>
      </w:r>
    </w:p>
    <w:p w14:paraId="0E8DFF93">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4425A4A0">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12、投标分项报价表</w:t>
      </w:r>
    </w:p>
    <w:p w14:paraId="26B482AD">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12.1 投标人应按照招标文件规定格式填报投标分项报价表。</w:t>
      </w:r>
    </w:p>
    <w:p w14:paraId="4D8849BD">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1B00D0FD">
      <w:pPr>
        <w:pStyle w:val="32"/>
        <w:keepNext/>
        <w:keepLines/>
        <w:spacing w:beforeAutospacing="0" w:afterAutospacing="0" w:line="360" w:lineRule="auto"/>
        <w:rPr>
          <w:rFonts w:hint="eastAsia" w:ascii="宋体" w:hAnsi="宋体" w:eastAsia="宋体" w:cs="宋体"/>
          <w:color w:val="auto"/>
          <w:highlight w:val="none"/>
        </w:rPr>
      </w:pPr>
      <w:bookmarkStart w:id="112" w:name="_Hlt26670486"/>
      <w:bookmarkStart w:id="113" w:name="_Hlt26954848"/>
      <w:bookmarkStart w:id="114" w:name="_Hlt26954731"/>
      <w:bookmarkStart w:id="115" w:name="_Hlt26670482"/>
      <w:bookmarkStart w:id="116" w:name="_Hlt26954846"/>
      <w:r>
        <w:rPr>
          <w:rFonts w:hint="eastAsia" w:ascii="宋体" w:hAnsi="宋体" w:eastAsia="宋体" w:cs="宋体"/>
          <w:color w:val="auto"/>
          <w:highlight w:val="none"/>
        </w:rPr>
        <w:t>13、技术需求响应及偏离表、商务需求响应及偏离表</w:t>
      </w:r>
    </w:p>
    <w:p w14:paraId="6730437D">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13.1 投标人需对招标文件中的技术需求与商务需求逐项作出响应或偏离，并说明原因。</w:t>
      </w:r>
    </w:p>
    <w:p w14:paraId="1D4CBA82">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13.2 投标人可在投标文件中提供认为需要的其他技术文件或说明。</w:t>
      </w:r>
    </w:p>
    <w:p w14:paraId="22921189">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14、服务承诺、培训计划、人员安排及其他</w:t>
      </w:r>
    </w:p>
    <w:p w14:paraId="7111EE4A">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14.1 投标人需根据招标文件要求提供有关售后服务的管理制度，售后服务机构的分布情况，售后服务人员的数量、素质、技术水平及售后服务的反应能力等。</w:t>
      </w:r>
    </w:p>
    <w:p w14:paraId="5906CE98">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14.2 投标人需根据招标文件要求提供培训计划。</w:t>
      </w:r>
    </w:p>
    <w:p w14:paraId="464E63E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14.3 投标人需根据招标文件要求提供所投标的的主要组成部分、功能设计、实现思路及关键技术等。</w:t>
      </w:r>
    </w:p>
    <w:p w14:paraId="4AE38D59">
      <w:pPr>
        <w:pStyle w:val="32"/>
        <w:keepNext/>
        <w:keepLines/>
        <w:spacing w:beforeAutospacing="0" w:afterAutospacing="0" w:line="360" w:lineRule="auto"/>
        <w:rPr>
          <w:rFonts w:hint="eastAsia" w:ascii="宋体" w:hAnsi="宋体" w:eastAsia="宋体" w:cs="宋体"/>
          <w:color w:val="auto"/>
          <w:highlight w:val="none"/>
        </w:rPr>
      </w:pPr>
      <w:bookmarkStart w:id="117" w:name="_Toc49090510"/>
      <w:bookmarkStart w:id="118" w:name="_Toc14577359"/>
      <w:r>
        <w:rPr>
          <w:rFonts w:hint="eastAsia" w:ascii="宋体" w:hAnsi="宋体" w:eastAsia="宋体" w:cs="宋体"/>
          <w:color w:val="auto"/>
          <w:highlight w:val="none"/>
        </w:rPr>
        <w:t>15、投标函和开标一览表</w:t>
      </w:r>
      <w:bookmarkEnd w:id="117"/>
      <w:bookmarkEnd w:id="118"/>
    </w:p>
    <w:p w14:paraId="586C3152">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15.1 投标人应按照招标文件中提供的格式完整、正确填写投标函、开标一览表。</w:t>
      </w:r>
    </w:p>
    <w:p w14:paraId="7AB39EE7">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15.2 对于采用货币报价的项目，开标一览表中的投标总报价应与投标分项报价表中的投标总报价一致，如不一致，不作为无效投标处理，但评标时按开标一览表中价格为准。</w:t>
      </w:r>
    </w:p>
    <w:p w14:paraId="5E46B573">
      <w:pPr>
        <w:pStyle w:val="32"/>
        <w:keepNext/>
        <w:keepLines/>
        <w:spacing w:beforeAutospacing="0" w:afterAutospacing="0" w:line="360" w:lineRule="auto"/>
        <w:rPr>
          <w:rFonts w:hint="eastAsia" w:ascii="宋体" w:hAnsi="宋体" w:eastAsia="宋体" w:cs="宋体"/>
          <w:color w:val="auto"/>
          <w:highlight w:val="none"/>
        </w:rPr>
      </w:pPr>
      <w:bookmarkStart w:id="119" w:name="_Toc14577360"/>
      <w:bookmarkStart w:id="120" w:name="_Toc49090511"/>
      <w:r>
        <w:rPr>
          <w:rFonts w:hint="eastAsia" w:ascii="宋体" w:hAnsi="宋体" w:eastAsia="宋体" w:cs="宋体"/>
          <w:color w:val="auto"/>
          <w:highlight w:val="none"/>
        </w:rPr>
        <w:t>16、投标有效期</w:t>
      </w:r>
      <w:bookmarkEnd w:id="119"/>
      <w:bookmarkEnd w:id="120"/>
    </w:p>
    <w:p w14:paraId="462D3B60">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16.1投标有效期为采购代理机构规定的开标之日后</w:t>
      </w:r>
      <w:r>
        <w:rPr>
          <w:rFonts w:hint="eastAsia" w:ascii="宋体" w:hAnsi="宋体" w:eastAsia="宋体" w:cs="宋体"/>
          <w:b/>
          <w:color w:val="auto"/>
          <w:highlight w:val="none"/>
          <w:u w:val="single"/>
        </w:rPr>
        <w:t>九十（90）</w:t>
      </w:r>
      <w:r>
        <w:rPr>
          <w:rFonts w:hint="eastAsia" w:ascii="宋体" w:hAnsi="宋体" w:eastAsia="宋体" w:cs="宋体"/>
          <w:b/>
          <w:color w:val="auto"/>
          <w:highlight w:val="none"/>
          <w:u w:val="single"/>
          <w:lang w:val="en-US" w:eastAsia="zh-CN"/>
        </w:rPr>
        <w:t>日</w:t>
      </w:r>
      <w:r>
        <w:rPr>
          <w:rFonts w:hint="eastAsia" w:ascii="宋体" w:hAnsi="宋体" w:eastAsia="宋体" w:cs="宋体"/>
          <w:color w:val="auto"/>
          <w:highlight w:val="none"/>
        </w:rPr>
        <w:t>。</w:t>
      </w:r>
    </w:p>
    <w:p w14:paraId="38771AE3">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17、投标有效期的延长</w:t>
      </w:r>
    </w:p>
    <w:p w14:paraId="46C969B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6B2A6A0">
      <w:pPr>
        <w:pStyle w:val="32"/>
        <w:keepNext/>
        <w:keepLines/>
        <w:spacing w:before="145" w:beforeAutospacing="0" w:after="145" w:afterAutospacing="0" w:line="360" w:lineRule="auto"/>
        <w:rPr>
          <w:rFonts w:hint="eastAsia" w:ascii="宋体" w:hAnsi="宋体" w:eastAsia="宋体" w:cs="宋体"/>
          <w:color w:val="auto"/>
          <w:highlight w:val="none"/>
        </w:rPr>
      </w:pPr>
      <w:bookmarkStart w:id="121" w:name="_Toc16938540"/>
      <w:bookmarkStart w:id="122" w:name="_Toc513029224"/>
      <w:bookmarkStart w:id="123" w:name="_Toc120614217"/>
      <w:bookmarkStart w:id="124" w:name="_Toc20823296"/>
      <w:bookmarkStart w:id="125" w:name="_Hlt26954852"/>
      <w:bookmarkStart w:id="126" w:name="_Hlt26954739"/>
      <w:r>
        <w:rPr>
          <w:rFonts w:hint="eastAsia" w:ascii="宋体" w:hAnsi="宋体" w:eastAsia="宋体" w:cs="宋体"/>
          <w:b/>
          <w:color w:val="auto"/>
          <w:highlight w:val="none"/>
        </w:rPr>
        <w:t>四、投标文件的递交</w:t>
      </w:r>
      <w:bookmarkEnd w:id="121"/>
      <w:bookmarkEnd w:id="122"/>
      <w:bookmarkEnd w:id="123"/>
      <w:bookmarkEnd w:id="124"/>
    </w:p>
    <w:p w14:paraId="7715EE60">
      <w:pPr>
        <w:pStyle w:val="32"/>
        <w:keepNext/>
        <w:keepLines/>
        <w:spacing w:beforeAutospacing="0" w:afterAutospacing="0" w:line="360" w:lineRule="auto"/>
        <w:rPr>
          <w:rFonts w:hint="eastAsia" w:ascii="宋体" w:hAnsi="宋体" w:eastAsia="宋体" w:cs="宋体"/>
          <w:color w:val="auto"/>
          <w:highlight w:val="none"/>
        </w:rPr>
      </w:pPr>
      <w:bookmarkStart w:id="127" w:name="_Toc462564084"/>
      <w:bookmarkStart w:id="128" w:name="_Toc513029225"/>
      <w:bookmarkStart w:id="129" w:name="_Toc20823297"/>
      <w:bookmarkStart w:id="130" w:name="_Toc16938541"/>
      <w:r>
        <w:rPr>
          <w:rFonts w:hint="eastAsia" w:ascii="宋体" w:hAnsi="宋体" w:eastAsia="宋体" w:cs="宋体"/>
          <w:color w:val="auto"/>
          <w:highlight w:val="none"/>
        </w:rPr>
        <w:t>18、电子投标文件</w:t>
      </w:r>
      <w:bookmarkEnd w:id="127"/>
      <w:bookmarkEnd w:id="128"/>
      <w:bookmarkEnd w:id="129"/>
      <w:bookmarkEnd w:id="130"/>
      <w:r>
        <w:rPr>
          <w:rFonts w:hint="eastAsia" w:ascii="宋体" w:hAnsi="宋体" w:eastAsia="宋体" w:cs="宋体"/>
          <w:color w:val="auto"/>
          <w:highlight w:val="none"/>
        </w:rPr>
        <w:t>的递交</w:t>
      </w:r>
    </w:p>
    <w:p w14:paraId="37C8F51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18.1投标人应当按照《操作手册》规定，在投标截止时间前制作并上传电子投标文件。</w:t>
      </w:r>
      <w:bookmarkStart w:id="131" w:name="_Toc20823298"/>
      <w:bookmarkEnd w:id="131"/>
      <w:bookmarkStart w:id="132" w:name="_Toc16938542"/>
      <w:bookmarkEnd w:id="132"/>
      <w:bookmarkStart w:id="133" w:name="_Toc513029226"/>
    </w:p>
    <w:p w14:paraId="560D1027">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19、投标截止日期</w:t>
      </w:r>
    </w:p>
    <w:p w14:paraId="0A0E033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val="0"/>
          <w:iCs/>
          <w:color w:val="auto"/>
          <w:highlight w:val="none"/>
          <w:u w:val="none"/>
        </w:rPr>
        <w:t>19.1 投标人上传电子投标文件的时间不得迟于招标公告中规定的投标截止时间。</w:t>
      </w:r>
      <w:r>
        <w:rPr>
          <w:rFonts w:hint="eastAsia" w:ascii="宋体" w:hAnsi="宋体" w:eastAsia="宋体" w:cs="宋体"/>
          <w:color w:val="auto"/>
          <w:highlight w:val="none"/>
        </w:rPr>
        <w:t>投标人应充分考虑到网络环境、网络带宽等风险因素，如因投标人自身原因造成的电子投标文件上传不成功的按照本招标文件第二章第27.1.2条规定做无效投标处理。</w:t>
      </w:r>
    </w:p>
    <w:p w14:paraId="1180A73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19.2 采购代理机构可以按照规定，通过修改招标文件酌情延长投标截止日期，在此情况下，投标人的所有权利和义务以及投标人受制的截止日期均应以延长后新的截止日期为准。</w:t>
      </w:r>
    </w:p>
    <w:p w14:paraId="2E03C9EF">
      <w:pPr>
        <w:pStyle w:val="32"/>
        <w:keepNext/>
        <w:keepLines/>
        <w:spacing w:beforeAutospacing="0" w:afterAutospacing="0" w:line="360" w:lineRule="auto"/>
        <w:rPr>
          <w:rFonts w:hint="eastAsia" w:ascii="宋体" w:hAnsi="宋体" w:eastAsia="宋体" w:cs="宋体"/>
          <w:color w:val="auto"/>
          <w:highlight w:val="none"/>
        </w:rPr>
      </w:pPr>
      <w:bookmarkStart w:id="134" w:name="_Toc20823299"/>
      <w:bookmarkStart w:id="135" w:name="_Toc513029227"/>
      <w:bookmarkStart w:id="136" w:name="_Toc16938543"/>
      <w:r>
        <w:rPr>
          <w:rFonts w:hint="eastAsia" w:ascii="宋体" w:hAnsi="宋体" w:eastAsia="宋体" w:cs="宋体"/>
          <w:color w:val="auto"/>
          <w:highlight w:val="none"/>
        </w:rPr>
        <w:t>20、投标文件</w:t>
      </w:r>
      <w:bookmarkEnd w:id="134"/>
      <w:bookmarkEnd w:id="135"/>
      <w:bookmarkEnd w:id="136"/>
      <w:r>
        <w:rPr>
          <w:rFonts w:hint="eastAsia" w:ascii="宋体" w:hAnsi="宋体" w:eastAsia="宋体" w:cs="宋体"/>
          <w:color w:val="auto"/>
          <w:highlight w:val="none"/>
        </w:rPr>
        <w:t>的拒收</w:t>
      </w:r>
    </w:p>
    <w:p w14:paraId="73FEC828">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20.1 采购代理机构拒绝接收在其规定的投标截止时间后上传的任何投标文件。</w:t>
      </w:r>
    </w:p>
    <w:p w14:paraId="4012330C">
      <w:pPr>
        <w:pStyle w:val="32"/>
        <w:keepNext/>
        <w:keepLines/>
        <w:spacing w:beforeAutospacing="0" w:afterAutospacing="0" w:line="360" w:lineRule="auto"/>
        <w:rPr>
          <w:rFonts w:hint="eastAsia" w:ascii="宋体" w:hAnsi="宋体" w:eastAsia="宋体" w:cs="宋体"/>
          <w:color w:val="auto"/>
          <w:highlight w:val="none"/>
        </w:rPr>
      </w:pPr>
      <w:bookmarkStart w:id="137" w:name="_Toc16938544"/>
      <w:bookmarkStart w:id="138" w:name="_Toc20823300"/>
      <w:bookmarkStart w:id="139" w:name="_Toc513029228"/>
      <w:r>
        <w:rPr>
          <w:rFonts w:hint="eastAsia" w:ascii="宋体" w:hAnsi="宋体" w:eastAsia="宋体" w:cs="宋体"/>
          <w:color w:val="auto"/>
          <w:highlight w:val="none"/>
        </w:rPr>
        <w:t>21、投标文件的撤回和修改</w:t>
      </w:r>
      <w:bookmarkEnd w:id="137"/>
      <w:bookmarkEnd w:id="138"/>
      <w:bookmarkEnd w:id="139"/>
    </w:p>
    <w:p w14:paraId="247D531A">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21.1 投标文件的撤回</w:t>
      </w:r>
    </w:p>
    <w:p w14:paraId="3C96BDA7">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21.1.1 电子投标文件的撤回</w:t>
      </w:r>
    </w:p>
    <w:p w14:paraId="1E61AD38">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5B3D3F28">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21.1.2 投标人撤回电子投标文件，则认为其不再参与本项目投标活动。</w:t>
      </w:r>
    </w:p>
    <w:p w14:paraId="6F3F8B63">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21.2 投标文件的修改</w:t>
      </w:r>
    </w:p>
    <w:p w14:paraId="404937B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21.2.1投标人可在投标截止时间前，对其电子投标文件进行修改，具体操作方法见《操作手册》。</w:t>
      </w:r>
    </w:p>
    <w:p w14:paraId="79F17D0F">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21.2.2 在投标截止时间之后，投标人不得对其电子投标文件作任何修改。</w:t>
      </w:r>
    </w:p>
    <w:p w14:paraId="1D732AE2">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21.3 在投标截止时间至招标文件中规定的投标有效期满之间的这段时间内，投标人不得撤回其投标。</w:t>
      </w:r>
    </w:p>
    <w:p w14:paraId="6439A95B">
      <w:pPr>
        <w:pStyle w:val="32"/>
        <w:keepNext/>
        <w:keepLines/>
        <w:spacing w:before="145" w:beforeAutospacing="0" w:after="145" w:afterAutospacing="0" w:line="360" w:lineRule="auto"/>
        <w:rPr>
          <w:rFonts w:hint="eastAsia" w:ascii="宋体" w:hAnsi="宋体" w:eastAsia="宋体" w:cs="宋体"/>
          <w:color w:val="auto"/>
          <w:highlight w:val="none"/>
        </w:rPr>
      </w:pPr>
      <w:bookmarkStart w:id="140" w:name="_Toc513029229"/>
      <w:bookmarkStart w:id="141" w:name="_Toc120614218"/>
      <w:bookmarkStart w:id="142" w:name="_Toc16938545"/>
      <w:bookmarkStart w:id="143" w:name="_Toc20823301"/>
      <w:r>
        <w:rPr>
          <w:rFonts w:hint="eastAsia" w:ascii="宋体" w:hAnsi="宋体" w:eastAsia="宋体" w:cs="宋体"/>
          <w:b/>
          <w:color w:val="auto"/>
          <w:highlight w:val="none"/>
        </w:rPr>
        <w:t>五、开标与评标</w:t>
      </w:r>
      <w:bookmarkEnd w:id="140"/>
      <w:bookmarkEnd w:id="141"/>
      <w:bookmarkEnd w:id="142"/>
      <w:bookmarkEnd w:id="143"/>
    </w:p>
    <w:p w14:paraId="76F53F07">
      <w:pPr>
        <w:pStyle w:val="32"/>
        <w:keepNext/>
        <w:keepLines/>
        <w:spacing w:beforeAutospacing="0" w:afterAutospacing="0" w:line="360" w:lineRule="auto"/>
        <w:rPr>
          <w:rFonts w:hint="eastAsia" w:ascii="宋体" w:hAnsi="宋体" w:eastAsia="宋体" w:cs="宋体"/>
          <w:color w:val="auto"/>
          <w:highlight w:val="none"/>
        </w:rPr>
      </w:pPr>
      <w:bookmarkStart w:id="144" w:name="_Toc20823302"/>
      <w:bookmarkStart w:id="145" w:name="_Toc513029230"/>
      <w:bookmarkStart w:id="146" w:name="_Toc16938546"/>
      <w:r>
        <w:rPr>
          <w:rFonts w:hint="eastAsia" w:ascii="宋体" w:hAnsi="宋体" w:eastAsia="宋体" w:cs="宋体"/>
          <w:color w:val="auto"/>
          <w:highlight w:val="none"/>
        </w:rPr>
        <w:t>22、开标</w:t>
      </w:r>
      <w:bookmarkEnd w:id="144"/>
      <w:bookmarkEnd w:id="145"/>
      <w:bookmarkEnd w:id="146"/>
    </w:p>
    <w:p w14:paraId="53175990">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22.1 采购代理机构将在招标公告中规定的时间和地点组织公开开标。投标人应当按照《操作手册》规定，参加开标活动和在苏采云系统规定的时间内对投标文件进行解密。</w:t>
      </w:r>
    </w:p>
    <w:p w14:paraId="3AB1BA0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22.2开标仪式由采购代理机构组织。苏采云系统将自动对项目进行开标，并宣布各投标人名称和投标价格。</w:t>
      </w:r>
    </w:p>
    <w:p w14:paraId="5B59EBC0">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22.3投标人在开标过程中涉及到的投标文件解密、开标结果确认等工作，应按照《操作手册》规定执行。</w:t>
      </w:r>
    </w:p>
    <w:p w14:paraId="3626FCE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22.4投标人如果对开标过程和开标记录有疑义，应当根据《操作手册》规定提出，如苏采云系统中《开标记录表》宣布后5分钟内未提出的，视同认可开标结果。</w:t>
      </w:r>
    </w:p>
    <w:p w14:paraId="7C29BBC7">
      <w:pPr>
        <w:pStyle w:val="32"/>
        <w:keepNext/>
        <w:keepLines/>
        <w:spacing w:beforeAutospacing="0" w:afterAutospacing="0" w:line="360" w:lineRule="auto"/>
        <w:rPr>
          <w:rFonts w:hint="eastAsia" w:ascii="宋体" w:hAnsi="宋体" w:eastAsia="宋体" w:cs="宋体"/>
          <w:color w:val="auto"/>
          <w:highlight w:val="none"/>
        </w:rPr>
      </w:pPr>
      <w:bookmarkStart w:id="147" w:name="_Toc20823303"/>
      <w:bookmarkStart w:id="148" w:name="_Toc513029231"/>
      <w:bookmarkStart w:id="149" w:name="_Toc16938547"/>
      <w:r>
        <w:rPr>
          <w:rFonts w:hint="eastAsia" w:ascii="宋体" w:hAnsi="宋体" w:eastAsia="宋体" w:cs="宋体"/>
          <w:color w:val="auto"/>
          <w:highlight w:val="none"/>
        </w:rPr>
        <w:t>23、评标委员会</w:t>
      </w:r>
      <w:bookmarkEnd w:id="147"/>
      <w:bookmarkEnd w:id="148"/>
      <w:bookmarkEnd w:id="149"/>
    </w:p>
    <w:p w14:paraId="4B08A23A">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23.1开标后，采购代理机构将立即组织评标委员会（以下简称评委会）进行评标。</w:t>
      </w:r>
    </w:p>
    <w:p w14:paraId="65D8DA99">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23.2 评委会由采购人代表和有关技术、经济等方面的专家组成，且人员构成符合政府采购有关规定。</w:t>
      </w:r>
    </w:p>
    <w:p w14:paraId="02DD20A0">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23.3评委会独立工作，负责评审所有投标文件并确定中标侯选人。</w:t>
      </w:r>
    </w:p>
    <w:p w14:paraId="45651D9D">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24.评标过程的保密与公正</w:t>
      </w:r>
    </w:p>
    <w:p w14:paraId="218A4140">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24.1凡是与审查、澄清、评价和比较投标的有关资料以及授标建议等，采购人、评委、采购代理机构均不得向投标人或与评标无关的其他人员透露。</w:t>
      </w:r>
    </w:p>
    <w:p w14:paraId="1436243A">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24.2在评标过程中，投标人不得以任何行为影响评标过程，否则其投标文件将被作为无效投标文件。</w:t>
      </w:r>
    </w:p>
    <w:p w14:paraId="5CE02926">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24.3 采购代理机构和评标委员会不向未中标的投标人解释未中标原因，也不公布评标过程中的相关细节。</w:t>
      </w:r>
    </w:p>
    <w:p w14:paraId="47EEDC9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24.4 采用综合评分法的项目，未中标的投标人可于中标结果公告期限届满之日起通过苏采云系统查看自己的评审得分及排序情况。</w:t>
      </w:r>
    </w:p>
    <w:p w14:paraId="4074FC1A">
      <w:pPr>
        <w:pStyle w:val="32"/>
        <w:keepNext/>
        <w:keepLines/>
        <w:spacing w:beforeAutospacing="0" w:afterAutospacing="0" w:line="360" w:lineRule="auto"/>
        <w:rPr>
          <w:rFonts w:hint="eastAsia" w:ascii="宋体" w:hAnsi="宋体" w:eastAsia="宋体" w:cs="宋体"/>
          <w:color w:val="auto"/>
          <w:highlight w:val="none"/>
        </w:rPr>
      </w:pPr>
      <w:bookmarkStart w:id="150" w:name="_Toc513029232"/>
      <w:bookmarkStart w:id="151" w:name="_Toc16938548"/>
      <w:bookmarkStart w:id="152" w:name="_Toc20823304"/>
      <w:r>
        <w:rPr>
          <w:rFonts w:hint="eastAsia" w:ascii="宋体" w:hAnsi="宋体" w:eastAsia="宋体" w:cs="宋体"/>
          <w:color w:val="auto"/>
          <w:highlight w:val="none"/>
        </w:rPr>
        <w:t>25．投标文件的澄清</w:t>
      </w:r>
      <w:bookmarkEnd w:id="150"/>
      <w:bookmarkEnd w:id="151"/>
      <w:bookmarkEnd w:id="152"/>
    </w:p>
    <w:p w14:paraId="5D5A4267">
      <w:pPr>
        <w:pStyle w:val="32"/>
        <w:spacing w:beforeAutospacing="0" w:afterAutospacing="0" w:line="360" w:lineRule="auto"/>
        <w:rPr>
          <w:rFonts w:hint="eastAsia" w:ascii="宋体" w:hAnsi="宋体" w:eastAsia="宋体" w:cs="宋体"/>
          <w:color w:val="auto"/>
          <w:highlight w:val="none"/>
        </w:rPr>
      </w:pPr>
      <w:bookmarkStart w:id="153" w:name="_Toc20823305"/>
      <w:bookmarkStart w:id="154" w:name="_Toc513029233"/>
      <w:bookmarkStart w:id="155" w:name="_Toc16938549"/>
      <w:r>
        <w:rPr>
          <w:rFonts w:hint="eastAsia" w:ascii="宋体" w:hAnsi="宋体" w:eastAsia="宋体" w:cs="宋体"/>
          <w:color w:val="auto"/>
          <w:highlight w:val="none"/>
        </w:rPr>
        <w:t>25.1评标期间，评委会对投标文件中含义不明确、同类问题表述不一致或者有明显文字和计算错误的内容 ，有权要求投标人作出必要的澄清、说明或者补正。</w:t>
      </w:r>
      <w:bookmarkEnd w:id="153"/>
      <w:bookmarkEnd w:id="154"/>
      <w:bookmarkEnd w:id="155"/>
    </w:p>
    <w:p w14:paraId="6920CFB0">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746AF1AF">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72B91B5A">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3D101D7">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25.3 接到评委会澄清、说明和补正要求的投标人如未按规定做出澄清、说明和补正，其风险由投标人自行承担。</w:t>
      </w:r>
    </w:p>
    <w:p w14:paraId="6B267CB2">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26、对投标文件的初审</w:t>
      </w:r>
    </w:p>
    <w:p w14:paraId="1EC8BA7E">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26.1投标文件初审分为资格审查和符合性审查。</w:t>
      </w:r>
    </w:p>
    <w:p w14:paraId="58D361FC">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26.1.1 资格审查：依据法律法规和招标文件的规定，由采购人对投标文件中的资格证明文件进行审查。资格审查的结论，采购人以书面形式向评委会进行反馈。</w:t>
      </w:r>
    </w:p>
    <w:p w14:paraId="0EDA1BF8">
      <w:pPr>
        <w:pStyle w:val="32"/>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采购人在进行资格性审查的同时，将在“信用中国”网站（www.creditchina.gov.cn）查询投标人的信用记录，以确定投标人是否具备投标资格,查询结果留存并归档。</w:t>
      </w:r>
    </w:p>
    <w:p w14:paraId="3B7B8E58">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8F9BE2D">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26.1.2 符合性审查：依据招标文件的规定，由评委会从投标文件的有效性、完整性和对招标文件的响应程度进行审查，以确定是否对招标文件的实质性要求作出响应。</w:t>
      </w:r>
    </w:p>
    <w:p w14:paraId="1574FFE3">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26.1.3 未通过资格审查或符合性审查的投标人，采购代理机构将在苏采云系统中告知未通过资格审查或符合性审查的原因，评审结束后，采购代理机构将不再告知未通过资格审查或符合性审查的原因。</w:t>
      </w:r>
    </w:p>
    <w:p w14:paraId="5D736D4A">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01CFB5EE">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4A08277">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26.3如果投标文件实质上没有响应招标文件的要求，评委会将予以拒绝，投标人不得通过修改或撤销不合要求的偏离或保留而使其投标成为实质性响应的投标。</w:t>
      </w:r>
    </w:p>
    <w:p w14:paraId="1691DEFA">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26.4评委会将对确定为实质性响应的投标进行进一步审核，看其是否有计算上或累加上的算术错误，修正错误的原则如下：</w:t>
      </w:r>
    </w:p>
    <w:p w14:paraId="02064601">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1793895F">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42AC82FD">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6963C5D5">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3EB68A03">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0607F10C">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5E7E9D43">
      <w:pPr>
        <w:pStyle w:val="32"/>
        <w:spacing w:beforeAutospacing="0" w:afterAutospacing="0" w:line="360" w:lineRule="auto"/>
        <w:rPr>
          <w:rFonts w:hint="eastAsia" w:ascii="宋体" w:hAnsi="宋体" w:eastAsia="宋体" w:cs="宋体"/>
          <w:color w:val="auto"/>
          <w:highlight w:val="none"/>
        </w:rPr>
      </w:pPr>
      <w:bookmarkStart w:id="156" w:name="_Toc513029234"/>
      <w:bookmarkStart w:id="157" w:name="_Toc20823306"/>
      <w:bookmarkStart w:id="158" w:name="_Toc16938550"/>
      <w:r>
        <w:rPr>
          <w:rFonts w:hint="eastAsia" w:ascii="宋体" w:hAnsi="宋体" w:eastAsia="宋体" w:cs="宋体"/>
          <w:color w:val="auto"/>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6"/>
      <w:bookmarkEnd w:id="157"/>
      <w:bookmarkEnd w:id="158"/>
    </w:p>
    <w:p w14:paraId="4CAFA85E">
      <w:pPr>
        <w:pStyle w:val="32"/>
        <w:spacing w:beforeAutospacing="0" w:afterAutospacing="0" w:line="360" w:lineRule="auto"/>
        <w:ind w:firstLine="480"/>
        <w:rPr>
          <w:rFonts w:hint="eastAsia" w:ascii="宋体" w:hAnsi="宋体" w:eastAsia="宋体" w:cs="宋体"/>
          <w:color w:val="auto"/>
          <w:highlight w:val="none"/>
        </w:rPr>
      </w:pPr>
      <w:bookmarkStart w:id="159" w:name="OLE_LINK2"/>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6252DDD">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非单一产品采购项目，招标文件中将载明其中的核心产品。多家投标人提供的核心产品品牌相同的，按前两款规定处理。</w:t>
      </w:r>
      <w:bookmarkEnd w:id="159"/>
    </w:p>
    <w:p w14:paraId="3AD792FC">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26.7投标人在开、评标全过程中应保持通讯畅通，及时登录苏采云系统查阅、答复相关信息，并安排专人与采购代理机构及评标委员会联系。</w:t>
      </w:r>
    </w:p>
    <w:p w14:paraId="37212376">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27、无效投标条款和废标条款</w:t>
      </w:r>
    </w:p>
    <w:p w14:paraId="207796AB">
      <w:pPr>
        <w:pStyle w:val="32"/>
        <w:spacing w:beforeAutospacing="0" w:afterAutospacing="0" w:line="360" w:lineRule="auto"/>
        <w:rPr>
          <w:rFonts w:hint="eastAsia" w:ascii="宋体" w:hAnsi="宋体" w:eastAsia="宋体" w:cs="宋体"/>
          <w:color w:val="auto"/>
          <w:highlight w:val="none"/>
        </w:rPr>
      </w:pPr>
      <w:bookmarkStart w:id="160" w:name="_Toc513029235"/>
      <w:bookmarkStart w:id="161" w:name="_Toc20823307"/>
      <w:bookmarkStart w:id="162" w:name="_Toc16938551"/>
      <w:r>
        <w:rPr>
          <w:rFonts w:hint="eastAsia" w:ascii="宋体" w:hAnsi="宋体" w:eastAsia="宋体" w:cs="宋体"/>
          <w:color w:val="auto"/>
          <w:highlight w:val="none"/>
        </w:rPr>
        <w:t>27.1无效投标条款</w:t>
      </w:r>
      <w:bookmarkEnd w:id="160"/>
      <w:bookmarkEnd w:id="161"/>
      <w:bookmarkEnd w:id="162"/>
    </w:p>
    <w:p w14:paraId="77655123">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27.1.1 投标人在苏采云系统规定的时间内未成功解密电子投标文件的。</w:t>
      </w:r>
    </w:p>
    <w:p w14:paraId="35ECBAB5">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27.1.2 投标人未按照招标文件要求上传电子投标文件的。</w:t>
      </w:r>
    </w:p>
    <w:p w14:paraId="7D6016AA">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27.1.3同一投标人提交两个（含两个）以上不同的投标报价的。</w:t>
      </w:r>
    </w:p>
    <w:p w14:paraId="0558E9A0">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27.1.4投标人不具备招标文件中规定资格要求的。</w:t>
      </w:r>
    </w:p>
    <w:p w14:paraId="35BE1EF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27.1.5投标人的报价超过了采购预算或最高限价的。</w:t>
      </w:r>
    </w:p>
    <w:p w14:paraId="31D2EE3D">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27.1.6未通过符合性审查的。</w:t>
      </w:r>
    </w:p>
    <w:p w14:paraId="29D10A3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27.1.7不符合招标文件中规定的实质性要求和条件的</w:t>
      </w:r>
      <w:r>
        <w:rPr>
          <w:rFonts w:hint="eastAsia" w:ascii="宋体" w:hAnsi="宋体" w:eastAsia="宋体" w:cs="宋体"/>
          <w:i w:val="0"/>
          <w:iCs w:val="0"/>
          <w:color w:val="auto"/>
          <w:highlight w:val="none"/>
          <w:u w:val="none"/>
        </w:rPr>
        <w:t>（本招标文件中</w:t>
      </w:r>
      <w:r>
        <w:rPr>
          <w:rFonts w:hint="eastAsia" w:ascii="宋体" w:hAnsi="宋体" w:eastAsia="宋体" w:cs="宋体"/>
          <w:i w:val="0"/>
          <w:iCs w:val="0"/>
          <w:color w:val="auto"/>
          <w:highlight w:val="none"/>
          <w:u w:val="none"/>
          <w:lang w:val="en-US" w:eastAsia="zh-CN"/>
        </w:rPr>
        <w:t>标“★”的</w:t>
      </w:r>
      <w:r>
        <w:rPr>
          <w:rFonts w:hint="eastAsia" w:ascii="宋体" w:hAnsi="宋体" w:eastAsia="宋体" w:cs="宋体"/>
          <w:i w:val="0"/>
          <w:iCs w:val="0"/>
          <w:color w:val="auto"/>
          <w:highlight w:val="none"/>
          <w:u w:val="none"/>
        </w:rPr>
        <w:t>为实质性要求和条件）。</w:t>
      </w:r>
    </w:p>
    <w:p w14:paraId="31F3EF6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27.1.8 </w:t>
      </w:r>
      <w:bookmarkStart w:id="163" w:name="OLE_LINK11"/>
      <w:r>
        <w:rPr>
          <w:rFonts w:hint="eastAsia" w:ascii="宋体" w:hAnsi="宋体" w:eastAsia="宋体" w:cs="宋体"/>
          <w:color w:val="auto"/>
          <w:highlight w:val="none"/>
        </w:rPr>
        <w:t>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bookmarkEnd w:id="163"/>
    </w:p>
    <w:p w14:paraId="6290E84C">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27.1.9投标文件含有采购人不能接受的附加条件的。</w:t>
      </w:r>
    </w:p>
    <w:p w14:paraId="1E58B7A2">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C41E29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E570F1D">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27.1.12 投标文件未按照招标文件要求加盖CA电子公章的。</w:t>
      </w:r>
    </w:p>
    <w:p w14:paraId="6FE60A76">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27.1.13其他法律、法规及本招标文件规定的属无效投标的情形。</w:t>
      </w:r>
    </w:p>
    <w:p w14:paraId="67FEF899">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27.2废标条款</w:t>
      </w:r>
    </w:p>
    <w:p w14:paraId="77B61F1E">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27.2.1符合专业条件的供应商或者对招标文件作实质响应的供应商不足三家的。27.2.2出现影响采购公正的违法、违规行为的。</w:t>
      </w:r>
    </w:p>
    <w:p w14:paraId="009D1E1C">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27.2.3因重大变故，采购任务取消的。</w:t>
      </w:r>
    </w:p>
    <w:p w14:paraId="79950DF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27.2.4评标委员会认定招标文件存在歧义、重大缺陷导致评审工作无法进行。</w:t>
      </w:r>
    </w:p>
    <w:p w14:paraId="6385AA0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27.2.5 因苏采云系统系统故障原因造成开标不成功的。</w:t>
      </w:r>
    </w:p>
    <w:p w14:paraId="76FA2A1F">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27.3 投标截止时间结束后参加投标的供应商不足三家的处理：</w:t>
      </w:r>
    </w:p>
    <w:p w14:paraId="65DF878C">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27.3.1如出现投标截止时间结束后参加投标的供应商或者在评标期间对招标文件做出实质响应的供应商不足三家情况，按政府采购相关规定执行。</w:t>
      </w:r>
    </w:p>
    <w:p w14:paraId="27C3D794">
      <w:pPr>
        <w:pStyle w:val="32"/>
        <w:keepNext/>
        <w:keepLines/>
        <w:spacing w:before="145" w:beforeAutospacing="0" w:after="145" w:afterAutospacing="0" w:line="360" w:lineRule="auto"/>
        <w:rPr>
          <w:rFonts w:hint="eastAsia" w:ascii="宋体" w:hAnsi="宋体" w:eastAsia="宋体" w:cs="宋体"/>
          <w:color w:val="auto"/>
          <w:highlight w:val="none"/>
        </w:rPr>
      </w:pPr>
      <w:bookmarkStart w:id="164" w:name="_Toc120614219"/>
      <w:r>
        <w:rPr>
          <w:rFonts w:hint="eastAsia" w:ascii="宋体" w:hAnsi="宋体" w:eastAsia="宋体" w:cs="宋体"/>
          <w:b/>
          <w:color w:val="auto"/>
          <w:highlight w:val="none"/>
        </w:rPr>
        <w:t>六、定标</w:t>
      </w:r>
      <w:bookmarkEnd w:id="164"/>
    </w:p>
    <w:p w14:paraId="10D8114D">
      <w:pPr>
        <w:pStyle w:val="32"/>
        <w:keepNext/>
        <w:keepLines/>
        <w:spacing w:beforeAutospacing="0" w:afterAutospacing="0" w:line="360" w:lineRule="auto"/>
        <w:rPr>
          <w:rFonts w:hint="eastAsia" w:ascii="宋体" w:hAnsi="宋体" w:eastAsia="宋体" w:cs="宋体"/>
          <w:color w:val="auto"/>
          <w:highlight w:val="none"/>
        </w:rPr>
      </w:pPr>
      <w:bookmarkStart w:id="165" w:name="_Toc20823310"/>
      <w:bookmarkStart w:id="166" w:name="_Toc16938554"/>
      <w:bookmarkStart w:id="167" w:name="_Toc513029238"/>
      <w:r>
        <w:rPr>
          <w:rFonts w:hint="eastAsia" w:ascii="宋体" w:hAnsi="宋体" w:eastAsia="宋体" w:cs="宋体"/>
          <w:color w:val="auto"/>
          <w:highlight w:val="none"/>
        </w:rPr>
        <w:t>28、</w:t>
      </w:r>
      <w:bookmarkEnd w:id="165"/>
      <w:r>
        <w:rPr>
          <w:rFonts w:hint="eastAsia" w:ascii="宋体" w:hAnsi="宋体" w:eastAsia="宋体" w:cs="宋体"/>
          <w:color w:val="auto"/>
          <w:highlight w:val="none"/>
        </w:rPr>
        <w:t>确定</w:t>
      </w:r>
      <w:bookmarkEnd w:id="166"/>
      <w:bookmarkEnd w:id="167"/>
      <w:r>
        <w:rPr>
          <w:rFonts w:hint="eastAsia" w:ascii="宋体" w:hAnsi="宋体" w:eastAsia="宋体" w:cs="宋体"/>
          <w:color w:val="auto"/>
          <w:highlight w:val="none"/>
        </w:rPr>
        <w:t>中标单位</w:t>
      </w:r>
    </w:p>
    <w:p w14:paraId="677E2E42">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28.1中标候选人的选取原则和数量见招标文件第五章规定。 </w:t>
      </w:r>
    </w:p>
    <w:p w14:paraId="2BF7B832">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28.2 采购人应根据评委会推荐的中标候选人确定中标人。</w:t>
      </w:r>
    </w:p>
    <w:p w14:paraId="4ACAD865">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28.3 采购代理机构将在“中国政府采购网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“江苏政府采购网”发布中标公告，公告期限为1个工作日。</w:t>
      </w:r>
    </w:p>
    <w:p w14:paraId="6DD29D7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28.4若有充分证据证明，中标人出现下列情况之一的，一经查实，将被取消中标资格：</w:t>
      </w:r>
    </w:p>
    <w:p w14:paraId="492B734E">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28.4.1提供虚假材料谋取中标的。</w:t>
      </w:r>
    </w:p>
    <w:p w14:paraId="055693D6">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28.4.2向采购人、采购代理机构行贿或者提供其他不正当利益的。</w:t>
      </w:r>
    </w:p>
    <w:p w14:paraId="522A03D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28.4.3属于本文件规定的无效条件，但在评标过程中又未被评委会发现的。</w:t>
      </w:r>
    </w:p>
    <w:p w14:paraId="5BDF696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28.4.4与采购人或者其他供应商恶意串通的。</w:t>
      </w:r>
    </w:p>
    <w:p w14:paraId="003DAFFE">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28.4.5采取不正当手段诋毁、排挤其他供应商的。</w:t>
      </w:r>
    </w:p>
    <w:p w14:paraId="74A6DCA6">
      <w:pPr>
        <w:pStyle w:val="32"/>
        <w:spacing w:beforeAutospacing="0" w:afterAutospacing="0" w:line="360" w:lineRule="auto"/>
        <w:rPr>
          <w:rFonts w:hint="eastAsia" w:ascii="宋体" w:hAnsi="宋体" w:eastAsia="宋体" w:cs="宋体"/>
          <w:color w:val="auto"/>
          <w:highlight w:val="none"/>
        </w:rPr>
      </w:pPr>
      <w:bookmarkStart w:id="168" w:name="_Toc200451960"/>
      <w:r>
        <w:rPr>
          <w:rFonts w:hint="eastAsia" w:ascii="宋体" w:hAnsi="宋体" w:eastAsia="宋体" w:cs="宋体"/>
          <w:color w:val="auto"/>
          <w:highlight w:val="none"/>
        </w:rPr>
        <w:t>28.5.有下列情形之一的，视为投标人串通投标，投标无效：</w:t>
      </w:r>
      <w:bookmarkEnd w:id="168"/>
    </w:p>
    <w:p w14:paraId="072BE5F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28.5.1不同投标人的投标文件由同一单位或者个人编制；</w:t>
      </w:r>
    </w:p>
    <w:p w14:paraId="64B0C1D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28.5.2不同投标人委托同一单位或者个人办理投标事宜；</w:t>
      </w:r>
    </w:p>
    <w:p w14:paraId="6F692E69">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28.5.3 不同投标人的投标文件载明的项目管理成员或者联系人员为同一人；</w:t>
      </w:r>
    </w:p>
    <w:p w14:paraId="2FE5B0E3">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28.5.4不同投标人的投标文件异常一致或者投标报价呈规律性差异；</w:t>
      </w:r>
    </w:p>
    <w:p w14:paraId="7880A012">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29、质疑处理</w:t>
      </w:r>
    </w:p>
    <w:p w14:paraId="39B17DF0">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29.1 提出质疑的供应商应当是参与所质疑项目采购活动的供应商。潜在供应商依法获取其可质疑的采购文件的，可以对采购文件提出质疑。</w:t>
      </w:r>
    </w:p>
    <w:p w14:paraId="6BB7C6EF">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11169A69">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29.2.1对可以质疑的采购文件提出质疑的，为收到采购文件之日或者采购文件公告期限届满之日；</w:t>
      </w:r>
      <w:r>
        <w:rPr>
          <w:rFonts w:hint="eastAsia" w:ascii="宋体" w:hAnsi="宋体" w:eastAsia="宋体" w:cs="宋体"/>
          <w:color w:val="auto"/>
          <w:highlight w:val="none"/>
        </w:rPr>
        <w:br w:type="textWrapping"/>
      </w:r>
      <w:r>
        <w:rPr>
          <w:rFonts w:hint="eastAsia" w:ascii="宋体" w:hAnsi="宋体" w:eastAsia="宋体" w:cs="宋体"/>
          <w:color w:val="auto"/>
          <w:highlight w:val="none"/>
        </w:rPr>
        <w:t>29.2.2对采购过程提出质疑的，为各采购程序环节结束之日；</w:t>
      </w:r>
      <w:r>
        <w:rPr>
          <w:rFonts w:hint="eastAsia" w:ascii="宋体" w:hAnsi="宋体" w:eastAsia="宋体" w:cs="宋体"/>
          <w:color w:val="auto"/>
          <w:highlight w:val="none"/>
        </w:rPr>
        <w:br w:type="textWrapping"/>
      </w:r>
      <w:r>
        <w:rPr>
          <w:rFonts w:hint="eastAsia" w:ascii="宋体" w:hAnsi="宋体" w:eastAsia="宋体" w:cs="宋体"/>
          <w:color w:val="auto"/>
          <w:highlight w:val="none"/>
        </w:rPr>
        <w:t>29.2.3对中标或者成交结果提出质疑的，为中标或者成交结果公告期限届满之日。</w:t>
      </w:r>
    </w:p>
    <w:p w14:paraId="5F5480E6">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2DBAE22E">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29.3供应商如组成联合体参加投标，则质疑函中要求签字、盖章、加盖公章之处，联合体各方均须按要求签字、盖章、加盖公章。</w:t>
      </w:r>
    </w:p>
    <w:p w14:paraId="7BF8152C">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olor w:val="auto"/>
          <w:highlight w:val="none"/>
          <w:shd w:val="clear" w:color="auto" w:fill="FFFFFF" w:themeFill="background1"/>
        </w:rPr>
        <w:t>采购代理机构</w:t>
      </w:r>
      <w:r>
        <w:rPr>
          <w:rFonts w:hint="eastAsia" w:ascii="宋体" w:hAnsi="宋体" w:eastAsia="宋体" w:cs="宋体"/>
          <w:color w:val="auto"/>
          <w:highlight w:val="none"/>
        </w:rPr>
        <w:t>提出，由</w:t>
      </w:r>
      <w:r>
        <w:rPr>
          <w:rFonts w:hint="eastAsia" w:ascii="宋体" w:hAnsi="宋体" w:eastAsia="宋体"/>
          <w:color w:val="auto"/>
          <w:highlight w:val="none"/>
          <w:shd w:val="clear" w:color="auto" w:fill="FFFFFF" w:themeFill="background1"/>
        </w:rPr>
        <w:t>采购代理机构</w:t>
      </w:r>
      <w:r>
        <w:rPr>
          <w:rFonts w:hint="eastAsia" w:ascii="宋体" w:hAnsi="宋体" w:eastAsia="宋体" w:cs="宋体"/>
          <w:color w:val="auto"/>
          <w:highlight w:val="none"/>
        </w:rPr>
        <w:t>负责答复。</w:t>
      </w:r>
    </w:p>
    <w:p w14:paraId="79CD598A">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29.5 以下情形的质疑不予受理</w:t>
      </w:r>
    </w:p>
    <w:p w14:paraId="093E94A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29.5.1 内容不符合《政府采购质疑和投诉办法》第十二条规定的质疑。</w:t>
      </w:r>
    </w:p>
    <w:p w14:paraId="6FF7A962">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29.5.2 超出政府采购法定期限的质疑。</w:t>
      </w:r>
    </w:p>
    <w:p w14:paraId="045EAD9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29.5.3 以传真、电子邮件等方式递交的非原件形式的质疑。</w:t>
      </w:r>
    </w:p>
    <w:p w14:paraId="7DF14309">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29.5.4 未参加投标活动的供应商或在投标活动中自身权益未受到损害的供应商所提出的质疑。</w:t>
      </w:r>
    </w:p>
    <w:p w14:paraId="0F12F3FE">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29.5.5供应商组成联合体参加投标，联合体中任何一方或多方未按要求签字、盖章、加盖公章的质疑。</w:t>
      </w:r>
    </w:p>
    <w:p w14:paraId="563503DC">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0F099DC">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30、中标通知书</w:t>
      </w:r>
    </w:p>
    <w:p w14:paraId="416D9002">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4A29D56">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30.2中标通知书将是合同的一个组成部分。对采购人和中标供应商均具有法律效力。中标通知书发出后，采购人改变中标结果的，或者中标供应商放弃中标项目的，应当依法承担法律责任。</w:t>
      </w:r>
    </w:p>
    <w:p w14:paraId="321108BA">
      <w:pPr>
        <w:pStyle w:val="32"/>
        <w:keepNext/>
        <w:keepLines/>
        <w:spacing w:before="145" w:beforeAutospacing="0" w:after="145" w:afterAutospacing="0" w:line="360" w:lineRule="auto"/>
        <w:rPr>
          <w:rFonts w:hint="eastAsia" w:ascii="宋体" w:hAnsi="宋体" w:eastAsia="宋体" w:cs="宋体"/>
          <w:color w:val="auto"/>
          <w:highlight w:val="none"/>
        </w:rPr>
      </w:pPr>
      <w:bookmarkStart w:id="169" w:name="_Toc16938552"/>
      <w:bookmarkStart w:id="170" w:name="_Toc120614220"/>
      <w:bookmarkStart w:id="171" w:name="_Toc20823308"/>
      <w:bookmarkStart w:id="172" w:name="_Toc513029236"/>
      <w:r>
        <w:rPr>
          <w:rFonts w:hint="eastAsia" w:ascii="宋体" w:hAnsi="宋体" w:eastAsia="宋体" w:cs="宋体"/>
          <w:b/>
          <w:color w:val="auto"/>
          <w:highlight w:val="none"/>
        </w:rPr>
        <w:t>七、授予合同</w:t>
      </w:r>
      <w:bookmarkEnd w:id="169"/>
      <w:bookmarkEnd w:id="170"/>
      <w:bookmarkEnd w:id="171"/>
      <w:bookmarkEnd w:id="172"/>
    </w:p>
    <w:p w14:paraId="095194A3">
      <w:pPr>
        <w:pStyle w:val="32"/>
        <w:keepNext/>
        <w:keepLines/>
        <w:spacing w:beforeAutospacing="0" w:afterAutospacing="0" w:line="360" w:lineRule="auto"/>
        <w:rPr>
          <w:rFonts w:hint="eastAsia" w:ascii="宋体" w:hAnsi="宋体" w:eastAsia="宋体" w:cs="宋体"/>
          <w:color w:val="auto"/>
          <w:highlight w:val="none"/>
        </w:rPr>
      </w:pPr>
      <w:bookmarkStart w:id="173" w:name="_Toc513029237"/>
      <w:bookmarkStart w:id="174" w:name="_Toc20823309"/>
      <w:bookmarkStart w:id="175" w:name="_Toc16938553"/>
      <w:r>
        <w:rPr>
          <w:rFonts w:hint="eastAsia" w:ascii="宋体" w:hAnsi="宋体" w:eastAsia="宋体" w:cs="宋体"/>
          <w:color w:val="auto"/>
          <w:highlight w:val="none"/>
        </w:rPr>
        <w:t>31. 签订合同</w:t>
      </w:r>
      <w:bookmarkEnd w:id="173"/>
      <w:bookmarkEnd w:id="174"/>
      <w:bookmarkEnd w:id="175"/>
    </w:p>
    <w:p w14:paraId="5D9EF85C">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31.l中标人应当在中标通知书发出之日起三十日内，按照招标文件确定的事项与采购人签订政府采购合同。</w:t>
      </w:r>
    </w:p>
    <w:p w14:paraId="643E6C9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31.2招标文件、中标人的投标文件及招标过程中有关澄清、承诺文件均应作为合同附件。</w:t>
      </w:r>
    </w:p>
    <w:p w14:paraId="67316D5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31.3 签订合同后，</w:t>
      </w:r>
      <w:r>
        <w:rPr>
          <w:rFonts w:hint="eastAsia" w:ascii="宋体" w:hAnsi="宋体" w:eastAsia="宋体" w:cs="宋体"/>
          <w:i w:val="0"/>
          <w:iCs/>
          <w:color w:val="auto"/>
          <w:highlight w:val="none"/>
          <w:u w:val="non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5B0E1B23">
      <w:pPr>
        <w:pStyle w:val="32"/>
        <w:keepNext/>
        <w:keepLines/>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32、货物（包含与货物相关的服务）的追加</w:t>
      </w:r>
    </w:p>
    <w:p w14:paraId="0E1ACB06">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386AF888">
      <w:pPr>
        <w:pStyle w:val="32"/>
        <w:numPr>
          <w:ilvl w:val="0"/>
          <w:numId w:val="1"/>
        </w:numP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政府采购政策功能落实</w:t>
      </w:r>
    </w:p>
    <w:p w14:paraId="7570D54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关于异常低价投标（响应）的审查情形和具体要求</w:t>
      </w:r>
    </w:p>
    <w:p w14:paraId="477C4AA5">
      <w:pPr>
        <w:pStyle w:val="14"/>
        <w:spacing w:after="0" w:line="360" w:lineRule="auto"/>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rPr>
        <w:t>3</w:t>
      </w:r>
      <w:r>
        <w:rPr>
          <w:rFonts w:hint="eastAsia" w:ascii="宋体" w:hAnsi="宋体" w:eastAsia="宋体"/>
          <w:color w:val="auto"/>
          <w:sz w:val="24"/>
          <w:szCs w:val="24"/>
          <w:highlight w:val="none"/>
          <w:shd w:val="clear" w:color="auto" w:fill="FFFFFF" w:themeFill="background1"/>
          <w:lang w:val="en-US" w:eastAsia="zh-CN"/>
        </w:rPr>
        <w:t>3</w:t>
      </w:r>
      <w:r>
        <w:rPr>
          <w:rFonts w:hint="eastAsia" w:ascii="宋体" w:hAnsi="宋体" w:eastAsia="宋体"/>
          <w:color w:val="auto"/>
          <w:sz w:val="24"/>
          <w:szCs w:val="24"/>
          <w:highlight w:val="none"/>
          <w:shd w:val="clear" w:color="auto" w:fill="FFFFFF" w:themeFill="background1"/>
        </w:rPr>
        <w:t>.1. 评审过程中出现下列情形之一的，评审委员会应当启动异常低价投标（响应）审查程序：</w:t>
      </w:r>
    </w:p>
    <w:p w14:paraId="62805699">
      <w:pPr>
        <w:spacing w:line="360" w:lineRule="auto"/>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（1）</w:t>
      </w:r>
      <w:r>
        <w:rPr>
          <w:rFonts w:hint="eastAsia" w:ascii="宋体" w:hAnsi="宋体" w:eastAsia="宋体"/>
          <w:color w:val="auto"/>
          <w:sz w:val="24"/>
          <w:highlight w:val="none"/>
          <w:shd w:val="clear" w:color="auto" w:fill="FFFFFF"/>
        </w:rPr>
        <w:t>投标（响应）报价低于全部通过符合性审查供应商投标（响应）报价平均值50%的，即投标（响应）报价&lt;全部通过符合性审查供应商投标（响应）报价平均值×50%</w:t>
      </w:r>
      <w:r>
        <w:rPr>
          <w:rFonts w:hint="eastAsia" w:ascii="宋体" w:hAnsi="宋体" w:eastAsia="宋体"/>
          <w:color w:val="auto"/>
          <w:sz w:val="24"/>
          <w:highlight w:val="none"/>
          <w:shd w:val="clear" w:color="auto" w:fill="FFFFFF" w:themeFill="background1"/>
        </w:rPr>
        <w:t>；</w:t>
      </w:r>
    </w:p>
    <w:p w14:paraId="0EAC4AA2">
      <w:pPr>
        <w:spacing w:line="360" w:lineRule="auto"/>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（2）</w:t>
      </w:r>
      <w:r>
        <w:rPr>
          <w:rFonts w:hint="eastAsia" w:ascii="宋体" w:hAnsi="宋体" w:eastAsia="宋体"/>
          <w:color w:val="auto"/>
          <w:sz w:val="24"/>
          <w:highlight w:val="none"/>
          <w:shd w:val="clear" w:color="auto" w:fill="FFFFFF"/>
        </w:rPr>
        <w:t>投标（响应）报价低于通过符合性审查的次低报价供应商投标（响应）报价50%的，即投标（响应）报价&lt;通过符合性审查的次低报价供应商投标（响应）报价×50%</w:t>
      </w:r>
      <w:r>
        <w:rPr>
          <w:rFonts w:hint="eastAsia" w:ascii="宋体" w:hAnsi="宋体" w:eastAsia="宋体"/>
          <w:color w:val="auto"/>
          <w:sz w:val="24"/>
          <w:highlight w:val="none"/>
          <w:shd w:val="clear" w:color="auto" w:fill="FFFFFF" w:themeFill="background1"/>
        </w:rPr>
        <w:t>；</w:t>
      </w:r>
    </w:p>
    <w:p w14:paraId="6686FF19">
      <w:pPr>
        <w:spacing w:line="360" w:lineRule="auto"/>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（3）</w:t>
      </w:r>
      <w:r>
        <w:rPr>
          <w:rFonts w:hint="eastAsia" w:ascii="宋体" w:hAnsi="宋体" w:eastAsia="宋体"/>
          <w:color w:val="auto"/>
          <w:sz w:val="24"/>
          <w:highlight w:val="none"/>
          <w:shd w:val="clear" w:color="auto" w:fill="FFFFFF"/>
        </w:rPr>
        <w:t>投标（响应）报价低于采购项目最高限价45%的，即投标（响应）报价&lt;采购项目最高限价×45%</w:t>
      </w:r>
      <w:r>
        <w:rPr>
          <w:rFonts w:hint="eastAsia" w:ascii="宋体" w:hAnsi="宋体" w:eastAsia="宋体"/>
          <w:color w:val="auto"/>
          <w:sz w:val="24"/>
          <w:highlight w:val="none"/>
          <w:shd w:val="clear" w:color="auto" w:fill="FFFFFF" w:themeFill="background1"/>
        </w:rPr>
        <w:t>。</w:t>
      </w:r>
    </w:p>
    <w:p w14:paraId="2E1B6DAF">
      <w:pPr>
        <w:spacing w:line="360" w:lineRule="auto"/>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（4）</w:t>
      </w:r>
      <w:r>
        <w:rPr>
          <w:rFonts w:hint="eastAsia" w:ascii="宋体" w:hAnsi="宋体" w:eastAsia="宋体"/>
          <w:color w:val="auto"/>
          <w:sz w:val="24"/>
          <w:highlight w:val="none"/>
          <w:shd w:val="clear" w:color="auto" w:fill="FFFFFF"/>
        </w:rPr>
        <w:t>评审委员会基于专业判断，认为供应商报价过低，有可能影响产品质量或者不能诚信履约的其他情形。</w:t>
      </w:r>
    </w:p>
    <w:p w14:paraId="0BF4ADDC">
      <w:pPr>
        <w:pStyle w:val="14"/>
        <w:spacing w:line="360" w:lineRule="auto"/>
        <w:jc w:val="left"/>
        <w:rPr>
          <w:rFonts w:hint="default" w:ascii="宋体" w:hAnsi="宋体" w:eastAsia="宋体" w:cs="宋体"/>
          <w:color w:val="auto"/>
          <w:highlight w:val="none"/>
          <w:lang w:val="en-US" w:eastAsia="zh-CN"/>
        </w:rPr>
      </w:pPr>
      <w:r>
        <w:rPr>
          <w:rFonts w:hint="eastAsia" w:ascii="宋体" w:hAnsi="宋体" w:eastAsia="宋体"/>
          <w:color w:val="auto"/>
          <w:sz w:val="24"/>
          <w:szCs w:val="24"/>
          <w:highlight w:val="none"/>
          <w:shd w:val="clear"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olor w:val="auto"/>
          <w:sz w:val="24"/>
          <w:szCs w:val="24"/>
          <w:highlight w:val="none"/>
          <w:shd w:val="clear" w:color="auto" w:fill="FFFFFF" w:themeFill="background1"/>
        </w:rPr>
        <w:t>。</w:t>
      </w:r>
    </w:p>
    <w:p w14:paraId="5DBBDFF5">
      <w:pPr>
        <w:tabs>
          <w:tab w:val="left" w:pos="1381"/>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33.2进口产品</w:t>
      </w:r>
    </w:p>
    <w:p w14:paraId="28C422CD">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19AC416">
      <w:pPr>
        <w:tabs>
          <w:tab w:val="left" w:pos="1381"/>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33.3中小企业、监狱企业及残疾人福利性单位</w:t>
      </w:r>
    </w:p>
    <w:p w14:paraId="53E5E23B">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33.3.1中小企业定义：</w:t>
      </w:r>
    </w:p>
    <w:p w14:paraId="3DB6CFF7">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3FD8549">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33.3.2供应商提供的货物、工程或者服务符合下列情形的，享受中小企业扶持政策：</w:t>
      </w:r>
    </w:p>
    <w:p w14:paraId="262767AF">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33.3.2.1在货物采购项目中，货物由中小企业制造，即货物由中小企业生产且使用该中小企业商号或者注册商标；</w:t>
      </w:r>
    </w:p>
    <w:p w14:paraId="7A7E3448">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33.3.2.2在工程采购项目中，工程由中小企业承建，即工程施工单位为中小企业；</w:t>
      </w:r>
    </w:p>
    <w:p w14:paraId="5FF168C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33.3.2.3在服务采购项目中，服务由中小企业承接，即提供服务的人员为中小企业依照《中华人民共和国劳动合同法》订立劳动合同的从业人员。</w:t>
      </w:r>
    </w:p>
    <w:p w14:paraId="56E3782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33.3.3在货物采购项目中，供应商提供的货物既有中小企业制造货物，也有大型企业制造货物的，不享受中小企业扶持政策。</w:t>
      </w:r>
    </w:p>
    <w:p w14:paraId="421D99E1">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33.3.4以联合体形式参加政府采购活动，联合体各方均为中小企业的，联合体视同中小企业。其中，联合体各方均为小微企业的，联合体视同小微企业。</w:t>
      </w:r>
    </w:p>
    <w:p w14:paraId="57CD9989">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176A58">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33.3.6残疾人福利单位定义：享受政府采购支持政策的残疾人福利性单位应当同时满足以下条件：</w:t>
      </w:r>
    </w:p>
    <w:p w14:paraId="06A3B4B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33.3.6.1安置的残疾人占本单位在职职工人数的比例不低于25%（含25%），并且安置的残疾人人数不少于10 人（含10 人）；</w:t>
      </w:r>
    </w:p>
    <w:p w14:paraId="7A84122D">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33.3.6.2依法与安置的每位残疾人签订了一年以上（含一年）的劳动合同或服务协议；</w:t>
      </w:r>
    </w:p>
    <w:p w14:paraId="2142D217">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33.3.6.3为安置的每位残疾人按月足额缴纳了基本养老保险、基本医疗保险、失业保险、工伤保险和生育保险等社会保险费；</w:t>
      </w:r>
    </w:p>
    <w:p w14:paraId="2B4D0ED4">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33.3.6.4通过银行等金融机构向安置的每位残疾人，按月支付了不低于单位所在区县适用的经省级人民政府批准的月最低工资标准的工资；</w:t>
      </w:r>
    </w:p>
    <w:p w14:paraId="43212242">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33.3.6.5提供本单位制造的货物、承担的工程或者服务（以下简称产品），或者提供其他残疾人福利性单位制造的货物（不包括使用非残疾人福利性单位注册商标的货物）；</w:t>
      </w:r>
    </w:p>
    <w:p w14:paraId="1911B43D">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33.3.6.6前款所称残疾人是指法定劳动年龄内，持有</w:t>
      </w:r>
      <w:bookmarkStart w:id="176" w:name="OLE_LINK45"/>
      <w:r>
        <w:rPr>
          <w:rFonts w:hint="eastAsia" w:ascii="宋体" w:hAnsi="宋体" w:eastAsia="宋体" w:cs="宋体"/>
          <w:color w:val="auto"/>
          <w:highlight w:val="none"/>
        </w:rPr>
        <w:t>《中华人民共和国残疾人证》或者《中华人民共和国残疾军人证》（1 至8 级）的自然人</w:t>
      </w:r>
      <w:bookmarkEnd w:id="176"/>
      <w:r>
        <w:rPr>
          <w:rFonts w:hint="eastAsia" w:ascii="宋体" w:hAnsi="宋体" w:eastAsia="宋体" w:cs="宋体"/>
          <w:color w:val="auto"/>
          <w:highlight w:val="none"/>
        </w:rPr>
        <w:t>，包括具有劳动条件和劳动意愿的精神残疾人。在职职工人数是指与残疾人福利性单位建立劳动关系并依法签订劳动合同或服务协议的雇员人数。</w:t>
      </w:r>
    </w:p>
    <w:p w14:paraId="55394FAF">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33.3.7本项目是否专门面向中小企业预留采购份额见第一章《招标公告》。</w:t>
      </w:r>
    </w:p>
    <w:p w14:paraId="750F07BE">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33.3.8采购标的对应的中小企业划分标准所属行业见第四章《采购需求》。</w:t>
      </w:r>
    </w:p>
    <w:p w14:paraId="22606DC3">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33.3.9小微企业价格评审优惠的政策：见第五章《评标方法和评标标准》。</w:t>
      </w:r>
    </w:p>
    <w:p w14:paraId="06B6897A">
      <w:pPr>
        <w:tabs>
          <w:tab w:val="left" w:pos="1381"/>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33.4政府采购节能产品、环境标志产品</w:t>
      </w:r>
    </w:p>
    <w:p w14:paraId="026E01B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73E8E924">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E35B1F5">
      <w:pPr>
        <w:tabs>
          <w:tab w:val="left" w:pos="1381"/>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33.5绿色包装</w:t>
      </w:r>
    </w:p>
    <w:p w14:paraId="1CEF85A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本项目中涉及商品的包装应按照“</w:t>
      </w:r>
      <w:bookmarkStart w:id="177" w:name="OLE_LINK34"/>
      <w:r>
        <w:rPr>
          <w:rFonts w:hint="eastAsia" w:ascii="宋体" w:hAnsi="宋体" w:eastAsia="宋体" w:cs="宋体"/>
          <w:color w:val="auto"/>
          <w:sz w:val="24"/>
          <w:highlight w:val="none"/>
        </w:rPr>
        <w:t>财办库〔2020〕123号</w:t>
      </w:r>
      <w:bookmarkEnd w:id="177"/>
      <w:r>
        <w:rPr>
          <w:rFonts w:hint="eastAsia" w:ascii="宋体" w:hAnsi="宋体" w:eastAsia="宋体" w:cs="宋体"/>
          <w:color w:val="auto"/>
          <w:sz w:val="24"/>
          <w:highlight w:val="none"/>
        </w:rPr>
        <w:t>《关于印发《商品包装政府采购需求标准（试行）》、《快递包装政府采购需求标准（试行）》的通知》”执行,在供货、安装过程中能做到低碳物流、环保节约、提高资源利用率。</w:t>
      </w:r>
    </w:p>
    <w:p w14:paraId="09B122C1">
      <w:pPr>
        <w:tabs>
          <w:tab w:val="left" w:pos="1381"/>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33.6政府采购创新产品</w:t>
      </w:r>
    </w:p>
    <w:p w14:paraId="29C49809">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采购人优先采购各级政府部门公开发布的有效期内的创新产品、创新服务、首台套、首购首用等《目录》的创新产品。</w:t>
      </w:r>
    </w:p>
    <w:p w14:paraId="6C35719F">
      <w:pPr>
        <w:tabs>
          <w:tab w:val="left" w:pos="1381"/>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p>
    <w:p w14:paraId="6290AF0F">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771D34F">
      <w:pPr>
        <w:tabs>
          <w:tab w:val="left" w:pos="1381"/>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33.8履约保证金政策</w:t>
      </w:r>
      <w:bookmarkStart w:id="178" w:name="OLE_LINK44"/>
      <w:r>
        <w:rPr>
          <w:rFonts w:hint="eastAsia" w:ascii="宋体" w:hAnsi="宋体" w:eastAsia="宋体" w:cs="宋体"/>
          <w:b/>
          <w:bCs/>
          <w:color w:val="auto"/>
          <w:sz w:val="24"/>
          <w:highlight w:val="none"/>
        </w:rPr>
        <w:t>（本项目不收取履约保证金）</w:t>
      </w:r>
      <w:bookmarkEnd w:id="178"/>
    </w:p>
    <w:p w14:paraId="4E6E5CFE">
      <w:pPr>
        <w:pStyle w:val="197"/>
        <w:spacing w:after="0"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确需收取履约保证金的，履约保证金的缴纳形式：</w:t>
      </w:r>
    </w:p>
    <w:p w14:paraId="2868D78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1A281C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如以履约保函（保险）形式缴纳履约保证金，供应商可通过政府采购电子履约保函（保险）平台（www.jsdzbh.com）在线申请履约保函（保险）。</w:t>
      </w:r>
    </w:p>
    <w:p w14:paraId="77C9CC9F">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部门备案的第三方信用报告，且信用报告可查实），免收履约保证金。</w:t>
      </w:r>
    </w:p>
    <w:p w14:paraId="592D144D">
      <w:pPr>
        <w:spacing w:line="360" w:lineRule="auto"/>
        <w:jc w:val="left"/>
        <w:rPr>
          <w:rFonts w:hint="eastAsia" w:ascii="宋体" w:hAnsi="宋体" w:eastAsia="宋体" w:cs="宋体"/>
          <w:color w:val="auto"/>
          <w:sz w:val="24"/>
          <w:highlight w:val="none"/>
        </w:rPr>
      </w:pPr>
      <w:bookmarkStart w:id="179" w:name="OLE_LINK28"/>
      <w:r>
        <w:rPr>
          <w:rFonts w:hint="eastAsia" w:ascii="宋体" w:hAnsi="宋体" w:eastAsia="宋体" w:cs="宋体"/>
          <w:color w:val="auto"/>
          <w:sz w:val="24"/>
          <w:highlight w:val="none"/>
        </w:rPr>
        <w:t>34.代理服务费</w:t>
      </w:r>
    </w:p>
    <w:p w14:paraId="743670DA">
      <w:pPr>
        <w:spacing w:line="360" w:lineRule="auto"/>
        <w:ind w:firstLine="480"/>
        <w:jc w:val="left"/>
        <w:rPr>
          <w:rFonts w:hint="eastAsia" w:ascii="宋体" w:hAnsi="宋体" w:eastAsia="宋体" w:cs="宋体"/>
          <w:color w:val="auto"/>
          <w:sz w:val="24"/>
          <w:highlight w:val="none"/>
        </w:rPr>
      </w:pPr>
      <w:bookmarkStart w:id="180" w:name="OLE_LINK15"/>
      <w:r>
        <w:rPr>
          <w:rFonts w:hint="eastAsia" w:ascii="宋体" w:hAnsi="宋体" w:eastAsia="宋体" w:cs="宋体"/>
          <w:color w:val="auto"/>
          <w:sz w:val="24"/>
          <w:highlight w:val="none"/>
        </w:rPr>
        <w:t>领取中标通知书</w:t>
      </w:r>
      <w:r>
        <w:rPr>
          <w:rFonts w:hint="eastAsia" w:ascii="宋体" w:hAnsi="宋体" w:eastAsia="宋体" w:cs="宋体"/>
          <w:color w:val="auto"/>
          <w:sz w:val="24"/>
          <w:highlight w:val="none"/>
          <w:lang w:val="en-US" w:eastAsia="zh-CN"/>
        </w:rPr>
        <w:t>前</w:t>
      </w:r>
      <w:r>
        <w:rPr>
          <w:rFonts w:hint="eastAsia" w:ascii="宋体" w:hAnsi="宋体" w:eastAsia="宋体" w:cs="宋体"/>
          <w:color w:val="auto"/>
          <w:sz w:val="24"/>
          <w:highlight w:val="none"/>
        </w:rPr>
        <w:t>，中标人向代理机构一次性缴纳代理服务费</w:t>
      </w:r>
      <w:r>
        <w:rPr>
          <w:rFonts w:hint="eastAsia" w:ascii="宋体" w:hAnsi="宋体" w:eastAsia="宋体" w:cs="宋体"/>
          <w:color w:val="auto"/>
          <w:sz w:val="24"/>
          <w:highlight w:val="none"/>
          <w:lang w:val="en-US" w:eastAsia="zh-CN"/>
        </w:rPr>
        <w:t>人民币8000元整</w:t>
      </w:r>
      <w:r>
        <w:rPr>
          <w:rFonts w:hint="eastAsia" w:ascii="宋体" w:hAnsi="宋体" w:eastAsia="宋体" w:cs="宋体"/>
          <w:color w:val="auto"/>
          <w:sz w:val="24"/>
          <w:highlight w:val="none"/>
        </w:rPr>
        <w:t>。</w:t>
      </w:r>
    </w:p>
    <w:bookmarkEnd w:id="179"/>
    <w:p w14:paraId="63F76E51">
      <w:pPr>
        <w:spacing w:line="360" w:lineRule="auto"/>
        <w:ind w:firstLine="480"/>
        <w:jc w:val="left"/>
        <w:rPr>
          <w:rFonts w:hint="eastAsia" w:ascii="宋体" w:hAnsi="宋体" w:eastAsia="宋体" w:cs="Times New Roman"/>
          <w:color w:val="auto"/>
          <w:sz w:val="24"/>
          <w:highlight w:val="none"/>
          <w:shd w:val="clear" w:color="auto" w:fill="FFFFFF"/>
        </w:rPr>
      </w:pPr>
      <w:r>
        <w:rPr>
          <w:rFonts w:hint="eastAsia" w:ascii="宋体" w:hAnsi="宋体" w:eastAsia="宋体" w:cs="Times New Roman"/>
          <w:color w:val="auto"/>
          <w:sz w:val="24"/>
          <w:highlight w:val="none"/>
          <w:shd w:val="clear" w:color="auto" w:fill="FFFFFF"/>
        </w:rPr>
        <w:t>银行信息：</w:t>
      </w:r>
    </w:p>
    <w:p w14:paraId="1D9AB09C">
      <w:pPr>
        <w:spacing w:line="360" w:lineRule="auto"/>
        <w:ind w:firstLine="480"/>
        <w:jc w:val="left"/>
        <w:rPr>
          <w:rFonts w:hint="eastAsia" w:ascii="宋体" w:hAnsi="宋体" w:eastAsia="宋体" w:cs="Times New Roman"/>
          <w:color w:val="auto"/>
          <w:sz w:val="24"/>
          <w:highlight w:val="none"/>
          <w:shd w:val="clear" w:color="auto" w:fill="FFFFFF"/>
          <w:lang w:eastAsia="zh-CN"/>
        </w:rPr>
      </w:pPr>
      <w:r>
        <w:rPr>
          <w:rFonts w:hint="eastAsia" w:ascii="宋体" w:hAnsi="宋体" w:eastAsia="宋体" w:cs="Times New Roman"/>
          <w:color w:val="auto"/>
          <w:sz w:val="24"/>
          <w:highlight w:val="none"/>
          <w:shd w:val="clear" w:color="auto" w:fill="FFFFFF"/>
        </w:rPr>
        <w:t>户名：</w:t>
      </w:r>
      <w:r>
        <w:rPr>
          <w:rFonts w:hint="eastAsia" w:ascii="宋体" w:hAnsi="宋体" w:eastAsia="宋体" w:cs="Times New Roman"/>
          <w:color w:val="auto"/>
          <w:sz w:val="24"/>
          <w:highlight w:val="none"/>
          <w:shd w:val="clear" w:color="auto" w:fill="FFFFFF"/>
          <w:lang w:eastAsia="zh-CN"/>
        </w:rPr>
        <w:t>江苏省招标中心有限公司</w:t>
      </w:r>
    </w:p>
    <w:bookmarkEnd w:id="180"/>
    <w:p w14:paraId="0FC10EAD">
      <w:pPr>
        <w:spacing w:line="360" w:lineRule="auto"/>
        <w:ind w:firstLine="48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开户银行：中信银行江苏路支行</w:t>
      </w:r>
    </w:p>
    <w:p w14:paraId="7638E15B">
      <w:pPr>
        <w:spacing w:line="360" w:lineRule="auto"/>
        <w:ind w:firstLine="480"/>
        <w:jc w:val="left"/>
        <w:rPr>
          <w:rFonts w:hint="eastAsia" w:ascii="宋体" w:hAnsi="宋体" w:eastAsia="宋体"/>
          <w:color w:val="auto"/>
          <w:sz w:val="24"/>
          <w:highlight w:val="none"/>
          <w:shd w:val="clear" w:color="auto" w:fill="FFFFFF" w:themeFill="background1"/>
        </w:rPr>
      </w:pPr>
      <w:r>
        <w:rPr>
          <w:rFonts w:hint="eastAsia" w:ascii="宋体" w:hAnsi="宋体" w:eastAsia="宋体"/>
          <w:color w:val="auto"/>
          <w:sz w:val="24"/>
          <w:highlight w:val="none"/>
          <w:shd w:val="clear" w:color="auto" w:fill="FFFFFF" w:themeFill="background1"/>
        </w:rPr>
        <w:t>人民币账号：7321810182600023404</w:t>
      </w:r>
    </w:p>
    <w:p w14:paraId="5B279398">
      <w:pPr>
        <w:pStyle w:val="197"/>
        <w:spacing w:after="0" w:line="360" w:lineRule="auto"/>
        <w:ind w:left="0" w:firstLine="2891"/>
        <w:jc w:val="left"/>
        <w:rPr>
          <w:rFonts w:hint="eastAsia" w:ascii="宋体" w:hAnsi="宋体" w:eastAsia="宋体"/>
          <w:color w:val="auto"/>
          <w:sz w:val="24"/>
          <w:highlight w:val="none"/>
          <w:shd w:val="clear" w:color="auto" w:fill="FFFFFF" w:themeFill="background1"/>
        </w:rPr>
      </w:pPr>
    </w:p>
    <w:p w14:paraId="507E038A">
      <w:pPr>
        <w:widowControl/>
        <w:spacing w:line="360" w:lineRule="auto"/>
        <w:jc w:val="left"/>
        <w:rPr>
          <w:rFonts w:hint="eastAsia" w:ascii="宋体" w:hAnsi="宋体" w:eastAsia="宋体" w:cs="宋体"/>
          <w:b/>
          <w:color w:val="auto"/>
          <w:sz w:val="48"/>
          <w:szCs w:val="44"/>
          <w:highlight w:val="none"/>
        </w:rPr>
      </w:pPr>
      <w:bookmarkStart w:id="181" w:name="_Toc479757211"/>
      <w:bookmarkStart w:id="182" w:name="_Toc120614244"/>
      <w:bookmarkStart w:id="183" w:name="_Toc16938590"/>
      <w:bookmarkStart w:id="184" w:name="_Toc462564139"/>
      <w:bookmarkStart w:id="185" w:name="_Toc20823346"/>
      <w:bookmarkStart w:id="186" w:name="_Hlt16619350"/>
      <w:bookmarkStart w:id="187" w:name="_Hlt16619369"/>
    </w:p>
    <w:p w14:paraId="55139ED7">
      <w:pPr>
        <w:widowControl/>
        <w:jc w:val="left"/>
        <w:rPr>
          <w:rFonts w:hint="eastAsia" w:ascii="宋体" w:hAnsi="宋体" w:eastAsia="宋体" w:cs="宋体"/>
          <w:b/>
          <w:color w:val="auto"/>
          <w:sz w:val="48"/>
          <w:szCs w:val="44"/>
          <w:highlight w:val="none"/>
        </w:rPr>
      </w:pPr>
      <w:r>
        <w:rPr>
          <w:rFonts w:ascii="宋体" w:hAnsi="宋体" w:eastAsia="宋体" w:cs="宋体"/>
          <w:b/>
          <w:color w:val="auto"/>
          <w:sz w:val="48"/>
          <w:szCs w:val="44"/>
          <w:highlight w:val="none"/>
        </w:rPr>
        <w:br w:type="page" w:clear="all"/>
      </w:r>
    </w:p>
    <w:p w14:paraId="149458F7">
      <w:pPr>
        <w:pStyle w:val="2"/>
        <w:bidi w:val="0"/>
        <w:jc w:val="center"/>
        <w:rPr>
          <w:rFonts w:hint="eastAsia"/>
          <w:color w:val="auto"/>
          <w:highlight w:val="none"/>
        </w:rPr>
      </w:pPr>
      <w:bookmarkStart w:id="188" w:name="_Toc32298"/>
      <w:r>
        <w:rPr>
          <w:rFonts w:hint="eastAsia"/>
          <w:color w:val="auto"/>
          <w:highlight w:val="none"/>
        </w:rPr>
        <w:t>第三章</w:t>
      </w:r>
      <w:r>
        <w:rPr>
          <w:rFonts w:hint="eastAsia" w:eastAsia="宋体"/>
          <w:color w:val="auto"/>
          <w:highlight w:val="none"/>
          <w:lang w:val="en-US" w:eastAsia="zh-CN"/>
        </w:rPr>
        <w:t xml:space="preserve"> </w:t>
      </w:r>
      <w:r>
        <w:rPr>
          <w:rFonts w:hint="eastAsia"/>
          <w:color w:val="auto"/>
          <w:highlight w:val="none"/>
        </w:rPr>
        <w:t>合同条款</w:t>
      </w:r>
      <w:bookmarkEnd w:id="188"/>
    </w:p>
    <w:p w14:paraId="1D07F42A">
      <w:pPr>
        <w:spacing w:before="240" w:after="240"/>
        <w:jc w:val="left"/>
        <w:rPr>
          <w:rFonts w:ascii="Calibri" w:hAnsi="Calibri" w:eastAsia="宋体" w:cs="Times New Roman"/>
          <w:color w:val="auto"/>
          <w:highlight w:val="none"/>
        </w:rPr>
      </w:pPr>
      <w:r>
        <w:rPr>
          <w:rFonts w:hint="eastAsia" w:ascii="宋体" w:hAnsi="宋体" w:eastAsia="宋体" w:cs="宋体"/>
          <w:color w:val="auto"/>
          <w:sz w:val="24"/>
          <w:highlight w:val="none"/>
        </w:rPr>
        <w:t>以下为中标后签定本项目合同的通用条款，中标人不得提出实质性的修改。</w:t>
      </w:r>
    </w:p>
    <w:p w14:paraId="7CB158DC">
      <w:pPr>
        <w:spacing w:line="360" w:lineRule="auto"/>
        <w:ind w:firstLine="1205"/>
        <w:jc w:val="left"/>
        <w:rPr>
          <w:rFonts w:ascii="Calibri" w:hAnsi="Calibri" w:eastAsia="宋体" w:cs="Times New Roman"/>
          <w:color w:val="auto"/>
          <w:highlight w:val="none"/>
        </w:rPr>
      </w:pPr>
      <w:r>
        <w:rPr>
          <w:rFonts w:hint="eastAsia" w:ascii="宋体" w:hAnsi="宋体" w:eastAsia="宋体" w:cs="宋体"/>
          <w:b/>
          <w:color w:val="auto"/>
          <w:sz w:val="30"/>
          <w:highlight w:val="none"/>
        </w:rPr>
        <w:t>政府采购合同（货物）（合同编号）</w:t>
      </w:r>
    </w:p>
    <w:p w14:paraId="787C878E">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项目名称：                        </w:t>
      </w:r>
    </w:p>
    <w:p w14:paraId="1E97B981">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项目编号：</w:t>
      </w:r>
    </w:p>
    <w:p w14:paraId="49E5759A">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甲方：（买方）_________</w:t>
      </w:r>
    </w:p>
    <w:p w14:paraId="3F530299">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乙方：（卖方）_________</w:t>
      </w:r>
    </w:p>
    <w:p w14:paraId="08B3C44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甲、乙双方根据</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项目</w:t>
      </w:r>
      <w:r>
        <w:rPr>
          <w:rFonts w:hint="eastAsia" w:ascii="宋体" w:hAnsi="宋体" w:eastAsia="宋体" w:cs="宋体"/>
          <w:color w:val="auto"/>
          <w:sz w:val="24"/>
          <w:highlight w:val="none"/>
        </w:rPr>
        <w:t>公开招标的结果，签署本合同。</w:t>
      </w:r>
    </w:p>
    <w:p w14:paraId="64D21344">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一、合同内容</w:t>
      </w:r>
    </w:p>
    <w:p w14:paraId="4FCF2CDC">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1.1 标的名称：</w:t>
      </w:r>
    </w:p>
    <w:p w14:paraId="3F89B76B">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1.2 标的质量：</w:t>
      </w:r>
    </w:p>
    <w:p w14:paraId="3A8B8480">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1.3 标的数量（规模）：</w:t>
      </w:r>
    </w:p>
    <w:p w14:paraId="1F902210">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1.4 履行时间（期限）：</w:t>
      </w:r>
    </w:p>
    <w:p w14:paraId="22A6CE19">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1.5 履行地点：</w:t>
      </w:r>
    </w:p>
    <w:p w14:paraId="7797C966">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1.6 履行方式：</w:t>
      </w:r>
    </w:p>
    <w:p w14:paraId="315DEED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 包装方式：</w:t>
      </w:r>
    </w:p>
    <w:p w14:paraId="24914D45">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 其他：</w:t>
      </w:r>
      <w:r>
        <w:rPr>
          <w:rFonts w:hint="eastAsia" w:ascii="宋体" w:hAnsi="宋体" w:eastAsia="宋体" w:cs="宋体"/>
          <w:color w:val="auto"/>
          <w:sz w:val="24"/>
          <w:highlight w:val="none"/>
        </w:rPr>
        <w:t>所有医疗设备必须提供符合国家标准的电源线，插头制式必须为中国标准制式，保证安全接地，不接受欧标、美标等制式电源线，设备出厂时间进口设备不超过壹年，国产设备不超过半年。</w:t>
      </w:r>
    </w:p>
    <w:p w14:paraId="3CBA4E6A">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二、合同金额</w:t>
      </w:r>
    </w:p>
    <w:p w14:paraId="0F5ABD94">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2.1 本合同金额为（大写）：_______圆（___元）人民币或其他币种。</w:t>
      </w:r>
    </w:p>
    <w:p w14:paraId="1C54A0B4">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三、技术资料</w:t>
      </w:r>
    </w:p>
    <w:p w14:paraId="6CCF39E3">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3.1</w:t>
      </w:r>
      <w:r>
        <w:rPr>
          <w:rFonts w:hint="eastAsia" w:ascii="宋体" w:hAnsi="宋体" w:eastAsia="宋体" w:cs="宋体"/>
          <w:color w:val="auto"/>
          <w:sz w:val="24"/>
          <w:highlight w:val="none"/>
          <w:lang w:val="en-US" w:eastAsia="zh-CN"/>
        </w:rPr>
        <w:t>乙方免费提供全套资料，含产品合格证（国产设备）、出厂计量合格证（强检设备）、操作手册、维修手册（含详细电路图）、海关报关单（进口设备）、商检合格证明（进口设备），如技术资料不全，甲方有权不支付货款。</w:t>
      </w:r>
    </w:p>
    <w:p w14:paraId="6037B579">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70E673C">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四、知识产权</w:t>
      </w:r>
    </w:p>
    <w:p w14:paraId="15C70132">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4.1乙方应保证甲方在使用、接受本合同货物（包含与货物相关的服务）或其任何一部分时不受第三方提出侵犯其专利权、版权、商标权和工业设计权等知识产权的起诉。一旦出现侵权，由乙方负全部责任。</w:t>
      </w:r>
    </w:p>
    <w:p w14:paraId="500B306E">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五、产权担保</w:t>
      </w:r>
    </w:p>
    <w:p w14:paraId="2D60BB5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5.1 乙方保证所交付的货物（包含与货物相关的服务）的所有权完全属于乙方</w:t>
      </w:r>
    </w:p>
    <w:p w14:paraId="0C3D4A33">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且无任何抵押、查封等产权瑕疵。</w:t>
      </w:r>
    </w:p>
    <w:p w14:paraId="0A3BCEE1">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六、合同转包或分包</w:t>
      </w:r>
    </w:p>
    <w:p w14:paraId="28A140E5">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6.1乙方不得将合同标的转包给他人履行。</w:t>
      </w:r>
    </w:p>
    <w:p w14:paraId="5F30873B">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6.2乙方不得将合同标的分包给他人履行。</w:t>
      </w:r>
    </w:p>
    <w:p w14:paraId="45AEC424">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6.3 乙方应当按照投标文件中提供的分包意向协议履行合同.</w:t>
      </w:r>
    </w:p>
    <w:p w14:paraId="22046E60">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6.4乙方如有转包或未经甲方同意的分包行为，甲方有权给予终止合同。</w:t>
      </w:r>
    </w:p>
    <w:p w14:paraId="4EF293BA">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七、合同款项支付</w:t>
      </w:r>
    </w:p>
    <w:p w14:paraId="01E1BFC5">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7.1合同款项的支付方式及进度安排（具体以投标文件为准）</w:t>
      </w:r>
    </w:p>
    <w:p w14:paraId="3AE2E477">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7.2当采购数量与实际使用数量不一致时，乙方应根据实际使用量供货，合同的最终结算金额按实际使用量乘以成交单价进行计算。</w:t>
      </w:r>
    </w:p>
    <w:p w14:paraId="3166A66B">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八、税费</w:t>
      </w:r>
    </w:p>
    <w:p w14:paraId="18A31DEF">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8.1本合同执行中相关的一切税费均由乙方负担。</w:t>
      </w:r>
    </w:p>
    <w:p w14:paraId="742DAA5A">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九、质量保修范围和保修期及售后服务</w:t>
      </w:r>
    </w:p>
    <w:p w14:paraId="332236A9">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9.1 乙方应按招标文件规定的货物性能、技术需求、质量标准向甲方提供未经使用的全新产品。</w:t>
      </w:r>
    </w:p>
    <w:p w14:paraId="15EEF356">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9.2 乙方提供的货物在质量期内因货物本身的质量问题发生故障，乙方应负责免费更换。对达不到技术需求者，根据实际情况，经双方协商，可按以下办法处理：</w:t>
      </w:r>
    </w:p>
    <w:p w14:paraId="74D769F2">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⑴更换：由乙方承担所发生的全部费用。</w:t>
      </w:r>
    </w:p>
    <w:p w14:paraId="6C0D1CCA">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⑵贬值处理：由甲乙双方合议定价。</w:t>
      </w:r>
    </w:p>
    <w:p w14:paraId="484CD488">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⑶退货处理：乙方应退还甲方支付的合同款，同时应承担该货物的直接费用（运输、保险、检验、货款利息及银行手续费等）。</w:t>
      </w:r>
    </w:p>
    <w:p w14:paraId="32DC5F4B">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9.3 在质保期内，乙方应对货物出现的质量及安全问题负责处理解决并承担一切费用。</w:t>
      </w:r>
    </w:p>
    <w:p w14:paraId="49DCF686">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val="en-US" w:eastAsia="zh-CN"/>
        </w:rPr>
        <w:t>4上述设备免费保修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年，</w:t>
      </w:r>
      <w:r>
        <w:rPr>
          <w:rFonts w:hint="eastAsia" w:ascii="宋体" w:hAnsi="宋体" w:eastAsia="宋体" w:cs="Times New Roman"/>
          <w:i w:val="0"/>
          <w:iCs w:val="0"/>
          <w:color w:val="auto"/>
          <w:sz w:val="24"/>
          <w:highlight w:val="none"/>
          <w:u w:val="none"/>
        </w:rPr>
        <w:t>保修期自</w:t>
      </w:r>
      <w:r>
        <w:rPr>
          <w:rFonts w:hint="eastAsia" w:ascii="宋体" w:hAnsi="宋体" w:eastAsia="宋体" w:cs="Times New Roman"/>
          <w:i w:val="0"/>
          <w:iCs w:val="0"/>
          <w:color w:val="auto"/>
          <w:sz w:val="24"/>
          <w:highlight w:val="none"/>
          <w:u w:val="none"/>
          <w:lang w:val="en-US" w:eastAsia="zh-CN"/>
        </w:rPr>
        <w:t>甲方</w:t>
      </w:r>
      <w:r>
        <w:rPr>
          <w:rFonts w:hint="eastAsia" w:ascii="宋体" w:hAnsi="宋体" w:eastAsia="宋体" w:cs="Times New Roman"/>
          <w:i w:val="0"/>
          <w:iCs w:val="0"/>
          <w:color w:val="auto"/>
          <w:sz w:val="24"/>
          <w:highlight w:val="none"/>
          <w:u w:val="none"/>
        </w:rPr>
        <w:t>验收合格之日算起，</w:t>
      </w:r>
      <w:r>
        <w:rPr>
          <w:rFonts w:hint="eastAsia" w:ascii="宋体" w:hAnsi="宋体" w:eastAsia="宋体" w:cs="宋体"/>
          <w:color w:val="auto"/>
          <w:sz w:val="24"/>
          <w:highlight w:val="none"/>
          <w:lang w:val="en-US" w:eastAsia="zh-CN"/>
        </w:rPr>
        <w:t>保修范围包括合同中所有配置。并确保设备保修期内开机率≥95%，如设备故障停机率超过5%（一年按365天计算，每年18天），每超过一天，保修期延长两周。保修期外乙方对本设备终身负责维修。</w:t>
      </w:r>
      <w:r>
        <w:rPr>
          <w:rFonts w:hint="eastAsia" w:ascii="宋体" w:hAnsi="宋体" w:eastAsia="宋体" w:cs="Times New Roman"/>
          <w:i w:val="0"/>
          <w:iCs w:val="0"/>
          <w:color w:val="auto"/>
          <w:sz w:val="24"/>
          <w:highlight w:val="none"/>
          <w:u w:val="none"/>
        </w:rPr>
        <w:t>保修期外故障待修复后只收配件费、免收上门费</w:t>
      </w:r>
      <w:r>
        <w:rPr>
          <w:rFonts w:hint="eastAsia" w:ascii="宋体" w:hAnsi="宋体" w:eastAsia="宋体" w:cs="Times New Roman"/>
          <w:i w:val="0"/>
          <w:iCs w:val="0"/>
          <w:color w:val="auto"/>
          <w:sz w:val="24"/>
          <w:highlight w:val="none"/>
          <w:u w:val="none"/>
          <w:lang w:eastAsia="zh-CN"/>
        </w:rPr>
        <w:t>、</w:t>
      </w:r>
      <w:r>
        <w:rPr>
          <w:rFonts w:hint="eastAsia" w:ascii="宋体" w:hAnsi="宋体" w:eastAsia="宋体" w:cs="Times New Roman"/>
          <w:i w:val="0"/>
          <w:iCs w:val="0"/>
          <w:color w:val="auto"/>
          <w:sz w:val="24"/>
          <w:highlight w:val="none"/>
          <w:u w:val="none"/>
        </w:rPr>
        <w:t>人工费。</w:t>
      </w:r>
    </w:p>
    <w:p w14:paraId="5D32CE3E">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9.6 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p>
    <w:p w14:paraId="0C28BE99">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9.7 保修期内每年次定期维护。</w:t>
      </w:r>
    </w:p>
    <w:p w14:paraId="5859803D">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9.8 无论在保修期内还是保修期外，乙方必须上门维修，乙方工程师至甲方维修本设备，必须事先与甲方设备耗材科取得联系，并做相应登记；在维修过程中与甲方工程师共同完成维修工作。否则引起的一切责任由乙方负责。</w:t>
      </w:r>
    </w:p>
    <w:p w14:paraId="4A7C7562">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9.9 如设备软件升级，乙方负责免费软件升级。</w:t>
      </w:r>
    </w:p>
    <w:p w14:paraId="0A2D3764">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9.10 如有设备具有远程维修诊断功能，乙方负责免费为甲方安装。</w:t>
      </w:r>
    </w:p>
    <w:p w14:paraId="306EE98B">
      <w:pPr>
        <w:spacing w:line="360" w:lineRule="auto"/>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9.11 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如乙方提供的设备设有维修软件密码，乙方保证无条件地为甲方永久免费打开。</w:t>
      </w:r>
    </w:p>
    <w:p w14:paraId="5FC091FC">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十、项目验收</w:t>
      </w:r>
    </w:p>
    <w:p w14:paraId="7ADDA6CB">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10.1 甲方依法组织履约验收工作。</w:t>
      </w:r>
    </w:p>
    <w:p w14:paraId="20B7DB70">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F19F343">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10.3 对于实际使用人和甲方分离的项目，甲方邀请实际使用人参与验收。</w:t>
      </w:r>
    </w:p>
    <w:p w14:paraId="4EC6D0B4">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10.4 如有必要，甲方邀请参加本项目的其他供应商或第三方专业机构及专家参与验收，相关意见将作为验收书的参考资料。</w:t>
      </w:r>
    </w:p>
    <w:p w14:paraId="20AEDFE7">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10.5 甲方成立验收小组，按照采购合同的约定对乙方的履约情况进行验收。验收时间、验收标准见招标文件验收内容。验收时,甲方按照采购合同的约定对每一项技术、商务需求的履约情况进行确认。验收结束后,验收小组出具验收书,列明各项标准的验收情况及项目总体评价,由验收双方共同签署。验收结果与采购合同约定的资金支付条件挂钩。履约验收的各项资料存档备查。</w:t>
      </w:r>
    </w:p>
    <w:p w14:paraId="55F9DFE2">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22E5F1D9">
      <w:pPr>
        <w:spacing w:line="360" w:lineRule="auto"/>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10.7 设备安装、调试结束后，甲方对设备试用后进行验收（时间由甲、乙双方商定），乙方免费派工程师到达现场协助验收工作。保修期自甲方验收合格之日算起，保修期外故障待修复后只收配件费，免收上门费、人工费。</w:t>
      </w:r>
    </w:p>
    <w:p w14:paraId="6351EA69">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十一、货物的包装、发运及运输</w:t>
      </w:r>
    </w:p>
    <w:p w14:paraId="548CFA1D">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71C70312">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11.2 使用说明书、质量检验证明书、随配附件和工具以及清单一并附于货物内。</w:t>
      </w:r>
    </w:p>
    <w:p w14:paraId="50DD25FB">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11.3 乙方在货物发运手续办理完毕后24小时内或货到甲方48小时前通知甲方，以准备接货。</w:t>
      </w:r>
    </w:p>
    <w:p w14:paraId="5EDD479E">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11.4 货物在交付甲方前发生的风险均由乙方负责。</w:t>
      </w:r>
    </w:p>
    <w:p w14:paraId="08019987">
      <w:pPr>
        <w:spacing w:line="360" w:lineRule="auto"/>
        <w:ind w:right="2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11.5 货物在规定的交付期限内由乙方送达甲方指定的地点视为交付，乙方同时需通知甲方货物已送达。</w:t>
      </w:r>
    </w:p>
    <w:p w14:paraId="58E7A39B">
      <w:pPr>
        <w:spacing w:line="360" w:lineRule="auto"/>
        <w:ind w:right="26"/>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11.6 乙方免费提前为甲方提供设备安装图纸，并充分协助甲方做好机房的准备工作（如必要的话）。</w:t>
      </w:r>
    </w:p>
    <w:p w14:paraId="6B069B47">
      <w:pPr>
        <w:spacing w:line="360" w:lineRule="auto"/>
        <w:ind w:right="26"/>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11.7 乙方负责设备的免费安装和调试，必须事先与甲方设备耗材科联系，并与设备耗材科共同参与，否则引起的一切责任由乙方承担。</w:t>
      </w:r>
    </w:p>
    <w:p w14:paraId="4373852A">
      <w:pPr>
        <w:spacing w:line="360" w:lineRule="auto"/>
        <w:ind w:right="26"/>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11.8 </w:t>
      </w:r>
      <w:r>
        <w:rPr>
          <w:rFonts w:hint="default" w:ascii="宋体" w:hAnsi="宋体" w:eastAsia="宋体" w:cs="宋体"/>
          <w:color w:val="auto"/>
          <w:sz w:val="24"/>
          <w:highlight w:val="none"/>
          <w:lang w:val="en-US" w:eastAsia="zh-CN"/>
        </w:rPr>
        <w:t>装机所产生的垃圾必须摆放整齐，不得有影响工作人员、病人及家属安全通过的行为。公司在装机后24小时内必须完成对包装拆除物的清理（进口设备外包装需留存的与甲方协商）。因包装拆除物原因引起的医疗事故和纠纷，由公司承担全部法律和经济责任。</w:t>
      </w:r>
    </w:p>
    <w:p w14:paraId="02FF240D">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十二、违约责任</w:t>
      </w:r>
    </w:p>
    <w:p w14:paraId="42BF1E3B">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12.1 甲方无正当理由拒收货物的，甲方向乙方偿付拒收货款总值</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的违约金。</w:t>
      </w:r>
    </w:p>
    <w:p w14:paraId="5B1CC9B2">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12.2 甲方无故逾期验收和办理货款支付手续的,甲方应按逾期付款总额每日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向乙方支付违约金。</w:t>
      </w:r>
    </w:p>
    <w:p w14:paraId="135ABB5F">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r>
        <w:rPr>
          <w:rFonts w:hint="eastAsia" w:ascii="宋体" w:hAnsi="宋体" w:eastAsia="宋体" w:cs="宋体"/>
          <w:color w:val="auto"/>
          <w:sz w:val="24"/>
          <w:highlight w:val="none"/>
          <w:lang w:val="en-US" w:eastAsia="zh-CN"/>
        </w:rPr>
        <w:t xml:space="preserve">.3 </w:t>
      </w:r>
      <w:r>
        <w:rPr>
          <w:rFonts w:hint="eastAsia" w:ascii="宋体" w:hAnsi="宋体" w:eastAsia="宋体" w:cs="宋体"/>
          <w:color w:val="auto"/>
          <w:sz w:val="24"/>
          <w:highlight w:val="none"/>
        </w:rPr>
        <w:t>乙方逾期交付货物的，每逾期一天，乙方向甲方偿付货款总额5%的</w:t>
      </w:r>
      <w:r>
        <w:rPr>
          <w:rFonts w:hint="eastAsia" w:ascii="宋体" w:hAnsi="宋体" w:eastAsia="宋体" w:cs="宋体"/>
          <w:color w:val="auto"/>
          <w:sz w:val="24"/>
          <w:highlight w:val="none"/>
          <w:lang w:val="en-US" w:eastAsia="zh-CN"/>
        </w:rPr>
        <w:t>滞纳金</w:t>
      </w:r>
      <w:r>
        <w:rPr>
          <w:rFonts w:hint="eastAsia" w:ascii="宋体" w:hAnsi="宋体" w:eastAsia="宋体" w:cs="宋体"/>
          <w:color w:val="auto"/>
          <w:sz w:val="24"/>
          <w:highlight w:val="none"/>
        </w:rPr>
        <w:t>，如乙方逾期交货达10天，甲方有权解除合同或双方协商赔偿方式。乙方因逾期交货或因其他违约行为导致甲方解除合同的，乙方应向甲方支付合同总值</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的违约金，如造成甲方损失超过违约金的，超出部分由乙方继续承担赔偿责任。 </w:t>
      </w:r>
    </w:p>
    <w:p w14:paraId="15F4C92D">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12.4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80EEADC">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十三、不可抗力事件处理</w:t>
      </w:r>
    </w:p>
    <w:p w14:paraId="57F1EE95">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13.1 在合同有效期内，任何一方因不可抗力事件导致不能履行合同，则合同履行期可延长，其延长期与不可抗力影响期相同。</w:t>
      </w:r>
    </w:p>
    <w:p w14:paraId="3A87FB4B">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13.2 不可抗力事件发生后，应立即通知对方，并寄送有关权威机构出具的证明。</w:t>
      </w:r>
    </w:p>
    <w:p w14:paraId="6D4D6422">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13.3 不可抗力事件延续120天以上，双方应通过友好协商，确定是否继续履行合同。</w:t>
      </w:r>
    </w:p>
    <w:p w14:paraId="0EBB08B6">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十四、解决争议的方法</w:t>
      </w:r>
    </w:p>
    <w:p w14:paraId="0268BA7E">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14.1甲乙双方因合同签订、履行而发生的一切争议，应通过友好协商解决。如协商不成由甲方住所地人民法院管辖。</w:t>
      </w:r>
    </w:p>
    <w:p w14:paraId="4F216D38">
      <w:pPr>
        <w:spacing w:line="360" w:lineRule="auto"/>
        <w:jc w:val="left"/>
        <w:rPr>
          <w:rFonts w:ascii="Calibri" w:hAnsi="Calibri" w:eastAsia="宋体" w:cs="Times New Roman"/>
          <w:color w:val="auto"/>
          <w:highlight w:val="none"/>
        </w:rPr>
      </w:pPr>
      <w:r>
        <w:rPr>
          <w:rFonts w:hint="eastAsia" w:ascii="宋体" w:hAnsi="宋体" w:eastAsia="宋体" w:cs="宋体"/>
          <w:b/>
          <w:color w:val="auto"/>
          <w:sz w:val="24"/>
          <w:highlight w:val="none"/>
        </w:rPr>
        <w:t>十五、合同生效及其它</w:t>
      </w:r>
    </w:p>
    <w:p w14:paraId="3E1461EA">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15.1 合同经双方法定代表人或授权委托代表人签字并加盖单位公章后生效。</w:t>
      </w:r>
    </w:p>
    <w:p w14:paraId="076790D1">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15.2本合同未尽事宜，遵照《民法典》、《政府采购法》有关条文执行。</w:t>
      </w:r>
    </w:p>
    <w:p w14:paraId="4AD6D7C7">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15.3 本合同正本一式两份，具有同等法律效力，甲方、乙方各执一份。</w:t>
      </w:r>
    </w:p>
    <w:p w14:paraId="5DF8D658">
      <w:pPr>
        <w:spacing w:line="360" w:lineRule="auto"/>
        <w:jc w:val="left"/>
        <w:rPr>
          <w:rFonts w:hint="eastAsia" w:ascii="宋体" w:hAnsi="宋体" w:eastAsia="宋体" w:cs="宋体"/>
          <w:color w:val="auto"/>
          <w:sz w:val="24"/>
          <w:highlight w:val="none"/>
        </w:rPr>
      </w:pPr>
    </w:p>
    <w:p w14:paraId="0648EEC5">
      <w:pPr>
        <w:spacing w:line="360" w:lineRule="auto"/>
        <w:jc w:val="left"/>
        <w:rPr>
          <w:rFonts w:ascii="Calibri" w:hAnsi="Calibri" w:eastAsia="宋体" w:cs="Times New Roman"/>
          <w:color w:val="auto"/>
          <w:highlight w:val="none"/>
        </w:rPr>
      </w:pPr>
    </w:p>
    <w:p w14:paraId="2CA3DE2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甲方：                          乙方： </w:t>
      </w:r>
    </w:p>
    <w:p w14:paraId="15A27314">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 xml:space="preserve">地址：                          地址： </w:t>
      </w:r>
    </w:p>
    <w:p w14:paraId="2F846748">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法定代表人或授权代表：          法定代表人或授权代表：</w:t>
      </w:r>
    </w:p>
    <w:p w14:paraId="04375D72">
      <w:pPr>
        <w:spacing w:line="360" w:lineRule="auto"/>
        <w:jc w:val="left"/>
        <w:rPr>
          <w:rFonts w:ascii="Calibri" w:hAnsi="Calibri" w:eastAsia="宋体" w:cs="Times New Roman"/>
          <w:color w:val="auto"/>
          <w:highlight w:val="none"/>
        </w:rPr>
      </w:pPr>
      <w:r>
        <w:rPr>
          <w:rFonts w:hint="eastAsia" w:ascii="宋体" w:hAnsi="宋体" w:eastAsia="宋体" w:cs="宋体"/>
          <w:color w:val="auto"/>
          <w:sz w:val="24"/>
          <w:highlight w:val="none"/>
        </w:rPr>
        <w:t xml:space="preserve">联系电话：                      联系电话：      </w:t>
      </w:r>
    </w:p>
    <w:p w14:paraId="5CD9F54B">
      <w:pPr>
        <w:spacing w:line="360" w:lineRule="auto"/>
        <w:jc w:val="left"/>
        <w:rPr>
          <w:rFonts w:ascii="Calibri" w:hAnsi="Calibri" w:eastAsia="宋体" w:cs="Times New Roman"/>
          <w:color w:val="auto"/>
          <w:highlight w:val="none"/>
        </w:rPr>
      </w:pPr>
      <w:r>
        <w:rPr>
          <w:rFonts w:hint="eastAsia" w:ascii="宋体" w:hAnsi="宋体" w:eastAsia="宋体" w:cs="宋体"/>
          <w:color w:val="auto"/>
          <w:highlight w:val="none"/>
        </w:rPr>
        <w:t>                </w:t>
      </w:r>
      <w:r>
        <w:rPr>
          <w:rFonts w:hint="eastAsia" w:ascii="宋体" w:hAnsi="宋体" w:eastAsia="宋体" w:cs="宋体"/>
          <w:color w:val="auto"/>
          <w:sz w:val="24"/>
          <w:highlight w:val="none"/>
        </w:rPr>
        <w:t xml:space="preserve">   </w:t>
      </w:r>
    </w:p>
    <w:p w14:paraId="7622E7F1">
      <w:pPr>
        <w:spacing w:line="360" w:lineRule="auto"/>
        <w:ind w:firstLine="2891"/>
        <w:jc w:val="left"/>
        <w:rPr>
          <w:rFonts w:ascii="Calibri" w:hAnsi="Calibri" w:eastAsia="宋体" w:cs="Times New Roman"/>
          <w:color w:val="auto"/>
          <w:highlight w:val="none"/>
        </w:rPr>
      </w:pPr>
      <w:r>
        <w:rPr>
          <w:rFonts w:hint="eastAsia" w:ascii="宋体" w:hAnsi="宋体" w:eastAsia="宋体" w:cs="宋体"/>
          <w:color w:val="auto"/>
          <w:sz w:val="24"/>
          <w:highlight w:val="none"/>
        </w:rPr>
        <w:t> </w:t>
      </w:r>
    </w:p>
    <w:p w14:paraId="27DD49C8">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签订日期：      年    月   日</w:t>
      </w:r>
    </w:p>
    <w:p w14:paraId="54BDCD93">
      <w:pPr>
        <w:pStyle w:val="32"/>
        <w:spacing w:before="120" w:beforeAutospacing="0" w:after="120" w:afterAutospacing="0" w:line="0" w:lineRule="atLeast"/>
        <w:ind w:firstLine="5301"/>
        <w:rPr>
          <w:rFonts w:hint="eastAsia" w:ascii="宋体" w:hAnsi="宋体" w:eastAsia="宋体" w:cs="黑体"/>
          <w:color w:val="auto"/>
          <w:sz w:val="44"/>
          <w:szCs w:val="44"/>
          <w:highlight w:val="none"/>
        </w:rPr>
      </w:pPr>
    </w:p>
    <w:p w14:paraId="3968B05E">
      <w:pPr>
        <w:pStyle w:val="32"/>
        <w:spacing w:before="120" w:beforeAutospacing="0" w:after="120" w:afterAutospacing="0" w:line="0" w:lineRule="atLeast"/>
        <w:ind w:firstLine="5301"/>
        <w:rPr>
          <w:rFonts w:hint="eastAsia" w:ascii="宋体" w:hAnsi="宋体" w:eastAsia="宋体" w:cs="黑体"/>
          <w:color w:val="auto"/>
          <w:sz w:val="44"/>
          <w:szCs w:val="44"/>
          <w:highlight w:val="none"/>
        </w:rPr>
      </w:pPr>
    </w:p>
    <w:p w14:paraId="1614D87B">
      <w:pPr>
        <w:pStyle w:val="32"/>
        <w:spacing w:before="120" w:beforeAutospacing="0" w:after="120" w:afterAutospacing="0" w:line="0" w:lineRule="atLeast"/>
        <w:ind w:firstLine="5301"/>
        <w:rPr>
          <w:rFonts w:hint="eastAsia" w:ascii="宋体" w:hAnsi="宋体" w:eastAsia="宋体" w:cs="黑体"/>
          <w:color w:val="auto"/>
          <w:sz w:val="44"/>
          <w:szCs w:val="44"/>
          <w:highlight w:val="none"/>
        </w:rPr>
      </w:pPr>
    </w:p>
    <w:p w14:paraId="12C77409">
      <w:pPr>
        <w:pStyle w:val="32"/>
        <w:spacing w:before="120" w:beforeAutospacing="0" w:after="120" w:afterAutospacing="0" w:line="0" w:lineRule="atLeast"/>
        <w:ind w:firstLine="5301"/>
        <w:rPr>
          <w:rFonts w:hint="eastAsia" w:ascii="宋体" w:hAnsi="宋体" w:eastAsia="宋体" w:cs="黑体"/>
          <w:color w:val="auto"/>
          <w:sz w:val="44"/>
          <w:szCs w:val="44"/>
          <w:highlight w:val="none"/>
        </w:rPr>
      </w:pPr>
    </w:p>
    <w:p w14:paraId="0A122F41">
      <w:pPr>
        <w:pStyle w:val="32"/>
        <w:spacing w:before="120" w:beforeAutospacing="0" w:after="120" w:afterAutospacing="0" w:line="0" w:lineRule="atLeast"/>
        <w:ind w:firstLine="5301"/>
        <w:rPr>
          <w:rFonts w:hint="eastAsia" w:ascii="宋体" w:hAnsi="宋体" w:eastAsia="宋体" w:cs="黑体"/>
          <w:color w:val="auto"/>
          <w:sz w:val="44"/>
          <w:szCs w:val="44"/>
          <w:highlight w:val="none"/>
        </w:rPr>
      </w:pPr>
    </w:p>
    <w:p w14:paraId="4BE090DC">
      <w:pPr>
        <w:pStyle w:val="32"/>
        <w:spacing w:before="120" w:beforeAutospacing="0" w:after="120" w:afterAutospacing="0" w:line="0" w:lineRule="atLeast"/>
        <w:ind w:firstLine="5301"/>
        <w:rPr>
          <w:rFonts w:hint="eastAsia" w:ascii="宋体" w:hAnsi="宋体" w:eastAsia="宋体" w:cs="黑体"/>
          <w:color w:val="auto"/>
          <w:sz w:val="44"/>
          <w:szCs w:val="44"/>
          <w:highlight w:val="none"/>
        </w:rPr>
      </w:pPr>
    </w:p>
    <w:p w14:paraId="5322A83A">
      <w:pPr>
        <w:pStyle w:val="32"/>
        <w:spacing w:before="120" w:beforeAutospacing="0" w:after="120" w:afterAutospacing="0" w:line="0" w:lineRule="atLeast"/>
        <w:ind w:firstLine="5301"/>
        <w:rPr>
          <w:rFonts w:hint="eastAsia" w:ascii="宋体" w:hAnsi="宋体" w:eastAsia="宋体" w:cs="黑体"/>
          <w:color w:val="auto"/>
          <w:sz w:val="44"/>
          <w:szCs w:val="44"/>
          <w:highlight w:val="none"/>
        </w:rPr>
      </w:pPr>
    </w:p>
    <w:p w14:paraId="507E974B">
      <w:pPr>
        <w:pStyle w:val="32"/>
        <w:spacing w:before="120" w:beforeAutospacing="0" w:after="120" w:afterAutospacing="0" w:line="0" w:lineRule="atLeast"/>
        <w:ind w:firstLine="5301"/>
        <w:rPr>
          <w:rFonts w:hint="eastAsia" w:ascii="宋体" w:hAnsi="宋体" w:eastAsia="宋体" w:cs="黑体"/>
          <w:color w:val="auto"/>
          <w:sz w:val="44"/>
          <w:szCs w:val="44"/>
          <w:highlight w:val="none"/>
        </w:rPr>
      </w:pPr>
    </w:p>
    <w:p w14:paraId="724C35BB">
      <w:pPr>
        <w:pStyle w:val="32"/>
        <w:spacing w:before="120" w:beforeAutospacing="0" w:after="120" w:afterAutospacing="0" w:line="0" w:lineRule="atLeast"/>
        <w:ind w:firstLine="5301"/>
        <w:rPr>
          <w:rFonts w:hint="eastAsia" w:ascii="宋体" w:hAnsi="宋体" w:eastAsia="宋体" w:cs="黑体"/>
          <w:color w:val="auto"/>
          <w:sz w:val="44"/>
          <w:szCs w:val="44"/>
          <w:highlight w:val="none"/>
        </w:rPr>
      </w:pPr>
    </w:p>
    <w:p w14:paraId="350D0EAB">
      <w:pPr>
        <w:widowControl/>
        <w:jc w:val="left"/>
        <w:rPr>
          <w:rFonts w:hint="eastAsia" w:ascii="宋体" w:hAnsi="宋体" w:eastAsia="宋体" w:cs="黑体"/>
          <w:color w:val="auto"/>
          <w:sz w:val="44"/>
          <w:szCs w:val="44"/>
          <w:highlight w:val="none"/>
        </w:rPr>
      </w:pPr>
      <w:r>
        <w:rPr>
          <w:rFonts w:ascii="宋体" w:hAnsi="宋体" w:eastAsia="宋体" w:cs="黑体"/>
          <w:color w:val="auto"/>
          <w:sz w:val="44"/>
          <w:szCs w:val="44"/>
          <w:highlight w:val="none"/>
        </w:rPr>
        <w:br w:type="page" w:clear="all"/>
      </w:r>
    </w:p>
    <w:p w14:paraId="12D1539D">
      <w:pPr>
        <w:pStyle w:val="2"/>
        <w:bidi w:val="0"/>
        <w:jc w:val="center"/>
        <w:rPr>
          <w:color w:val="auto"/>
          <w:highlight w:val="none"/>
        </w:rPr>
      </w:pPr>
      <w:bookmarkStart w:id="189" w:name="_Toc5100"/>
      <w:r>
        <w:rPr>
          <w:rFonts w:hint="eastAsia"/>
          <w:color w:val="auto"/>
          <w:highlight w:val="none"/>
        </w:rPr>
        <w:t>第</w:t>
      </w:r>
      <w:bookmarkEnd w:id="181"/>
      <w:r>
        <w:rPr>
          <w:rFonts w:hint="eastAsia"/>
          <w:color w:val="auto"/>
          <w:highlight w:val="none"/>
        </w:rPr>
        <w:t>四章</w:t>
      </w:r>
      <w:r>
        <w:rPr>
          <w:rFonts w:hint="eastAsia" w:eastAsia="宋体"/>
          <w:color w:val="auto"/>
          <w:highlight w:val="none"/>
          <w:lang w:val="en-US" w:eastAsia="zh-CN"/>
        </w:rPr>
        <w:t xml:space="preserve"> </w:t>
      </w:r>
      <w:r>
        <w:rPr>
          <w:rFonts w:hint="eastAsia"/>
          <w:color w:val="auto"/>
          <w:highlight w:val="none"/>
        </w:rPr>
        <w:t>采购需求</w:t>
      </w:r>
      <w:bookmarkEnd w:id="182"/>
      <w:bookmarkEnd w:id="183"/>
      <w:bookmarkEnd w:id="184"/>
      <w:bookmarkEnd w:id="185"/>
      <w:bookmarkEnd w:id="186"/>
      <w:bookmarkEnd w:id="189"/>
    </w:p>
    <w:p w14:paraId="02F979D7">
      <w:pPr>
        <w:pStyle w:val="32"/>
        <w:spacing w:beforeAutospacing="0" w:afterAutospacing="0" w:line="0" w:lineRule="atLeast"/>
        <w:rPr>
          <w:rFonts w:hint="eastAsia" w:ascii="宋体" w:hAnsi="宋体" w:eastAsia="宋体" w:cs="宋体"/>
          <w:color w:val="auto"/>
          <w:highlight w:val="none"/>
        </w:rPr>
      </w:pPr>
      <w:bookmarkStart w:id="190" w:name="_Toc26554093"/>
      <w:bookmarkStart w:id="191" w:name="_Toc49090575"/>
      <w:r>
        <w:rPr>
          <w:rFonts w:hint="eastAsia" w:ascii="宋体" w:hAnsi="宋体" w:eastAsia="宋体" w:cs="宋体"/>
          <w:b/>
          <w:bCs/>
          <w:color w:val="auto"/>
          <w:highlight w:val="none"/>
        </w:rPr>
        <w:t>项目属性:货物类项目</w:t>
      </w:r>
      <w:bookmarkEnd w:id="190"/>
      <w:bookmarkEnd w:id="191"/>
    </w:p>
    <w:p w14:paraId="1EB29DA5">
      <w:pPr>
        <w:pStyle w:val="32"/>
        <w:spacing w:beforeAutospacing="0" w:afterAutospacing="0" w:line="0" w:lineRule="atLeast"/>
        <w:ind w:firstLine="2891"/>
        <w:rPr>
          <w:rFonts w:hint="eastAsia" w:ascii="宋体" w:hAnsi="宋体" w:eastAsia="宋体" w:cs="宋体"/>
          <w:color w:val="auto"/>
          <w:highlight w:val="none"/>
        </w:rPr>
      </w:pPr>
    </w:p>
    <w:p w14:paraId="585F5234">
      <w:pPr>
        <w:spacing w:line="0" w:lineRule="atLeast"/>
        <w:jc w:val="cente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采购标的对应的中小企业划分标准所属行业一览表</w:t>
      </w:r>
    </w:p>
    <w:tbl>
      <w:tblPr>
        <w:tblStyle w:val="36"/>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3"/>
        <w:gridCol w:w="3219"/>
        <w:gridCol w:w="3701"/>
      </w:tblGrid>
      <w:tr w14:paraId="1C0B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blCellSpacing w:w="0" w:type="dxa"/>
          <w:jc w:val="center"/>
        </w:trPr>
        <w:tc>
          <w:tcPr>
            <w:tcW w:w="1533" w:type="dxa"/>
            <w:noWrap w:val="0"/>
            <w:vAlign w:val="center"/>
          </w:tcPr>
          <w:p w14:paraId="37E9B113">
            <w:pPr>
              <w:spacing w:before="100" w:beforeAutospacing="1" w:after="100" w:afterAutospacing="1" w:line="360" w:lineRule="auto"/>
              <w:jc w:val="center"/>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包号</w:t>
            </w:r>
          </w:p>
        </w:tc>
        <w:tc>
          <w:tcPr>
            <w:tcW w:w="3219" w:type="dxa"/>
            <w:noWrap w:val="0"/>
            <w:vAlign w:val="center"/>
          </w:tcPr>
          <w:p w14:paraId="338041DF">
            <w:pPr>
              <w:spacing w:before="100" w:beforeAutospacing="1" w:after="100" w:afterAutospacing="1" w:line="360" w:lineRule="auto"/>
              <w:jc w:val="center"/>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采购标的</w:t>
            </w:r>
          </w:p>
        </w:tc>
        <w:tc>
          <w:tcPr>
            <w:tcW w:w="3701" w:type="dxa"/>
            <w:noWrap w:val="0"/>
            <w:vAlign w:val="center"/>
          </w:tcPr>
          <w:p w14:paraId="28E1B620">
            <w:pPr>
              <w:spacing w:before="100" w:beforeAutospacing="1" w:after="100" w:afterAutospacing="1" w:line="360" w:lineRule="auto"/>
              <w:jc w:val="left"/>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对应中小企业划分标准所属行业</w:t>
            </w:r>
          </w:p>
        </w:tc>
      </w:tr>
      <w:tr w14:paraId="6FDD4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blCellSpacing w:w="0" w:type="dxa"/>
          <w:jc w:val="center"/>
        </w:trPr>
        <w:tc>
          <w:tcPr>
            <w:tcW w:w="1533" w:type="dxa"/>
            <w:noWrap w:val="0"/>
            <w:vAlign w:val="center"/>
          </w:tcPr>
          <w:p w14:paraId="50CA0413">
            <w:pPr>
              <w:spacing w:before="100" w:beforeAutospacing="1" w:after="100" w:afterAutospacing="1" w:line="360" w:lineRule="auto"/>
              <w:jc w:val="center"/>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1</w:t>
            </w:r>
          </w:p>
        </w:tc>
        <w:tc>
          <w:tcPr>
            <w:tcW w:w="3219" w:type="dxa"/>
            <w:noWrap w:val="0"/>
            <w:vAlign w:val="center"/>
          </w:tcPr>
          <w:p w14:paraId="36A4D92A">
            <w:pPr>
              <w:spacing w:line="360" w:lineRule="auto"/>
              <w:jc w:val="center"/>
              <w:rPr>
                <w:rFonts w:ascii="Calibri" w:hAnsi="Calibri" w:eastAsia="宋体" w:cs="Times New Roman"/>
                <w:color w:val="auto"/>
                <w:highlight w:val="none"/>
              </w:rPr>
            </w:pPr>
            <w:r>
              <w:rPr>
                <w:rFonts w:hint="eastAsia" w:ascii="Calibri" w:hAnsi="Calibri" w:eastAsia="宋体" w:cs="Times New Roman"/>
                <w:color w:val="auto"/>
                <w:sz w:val="24"/>
                <w:highlight w:val="none"/>
              </w:rPr>
              <w:t>医疗设备包康复设备1批</w:t>
            </w:r>
          </w:p>
        </w:tc>
        <w:tc>
          <w:tcPr>
            <w:tcW w:w="3701" w:type="dxa"/>
            <w:noWrap w:val="0"/>
            <w:vAlign w:val="center"/>
          </w:tcPr>
          <w:p w14:paraId="123E9D12">
            <w:pPr>
              <w:spacing w:before="100" w:beforeAutospacing="1" w:after="100" w:afterAutospacing="1" w:line="360" w:lineRule="auto"/>
              <w:ind w:firstLine="1440"/>
              <w:jc w:val="left"/>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工业</w:t>
            </w:r>
          </w:p>
        </w:tc>
      </w:tr>
    </w:tbl>
    <w:p w14:paraId="7135BCC7">
      <w:pPr>
        <w:spacing w:line="0" w:lineRule="atLeast"/>
        <w:ind w:firstLine="2880"/>
        <w:jc w:val="left"/>
        <w:rPr>
          <w:rFonts w:hint="eastAsia" w:ascii="宋体" w:hAnsi="宋体" w:eastAsia="宋体" w:cs="宋体"/>
          <w:b/>
          <w:bCs/>
          <w:color w:val="auto"/>
          <w:sz w:val="24"/>
          <w:highlight w:val="none"/>
        </w:rPr>
      </w:pPr>
    </w:p>
    <w:p w14:paraId="5E49DAC6">
      <w:pPr>
        <w:pStyle w:val="35"/>
        <w:spacing w:after="0" w:line="360" w:lineRule="auto"/>
        <w:ind w:firstLine="0"/>
        <w:jc w:val="left"/>
        <w:rPr>
          <w:rFonts w:hint="eastAsia" w:ascii="宋体" w:hAnsi="宋体"/>
          <w:b/>
          <w:bCs/>
          <w:color w:val="auto"/>
          <w:sz w:val="24"/>
          <w:highlight w:val="none"/>
          <w:shd w:val="clear" w:color="auto" w:fill="FFFFFF" w:themeFill="background1"/>
        </w:rPr>
      </w:pPr>
      <w:bookmarkStart w:id="192" w:name="OLE_LINK97"/>
    </w:p>
    <w:p w14:paraId="54B102C2">
      <w:pPr>
        <w:pStyle w:val="35"/>
        <w:spacing w:after="0" w:line="360" w:lineRule="auto"/>
        <w:ind w:firstLine="0"/>
        <w:jc w:val="left"/>
        <w:rPr>
          <w:rFonts w:hint="eastAsia" w:ascii="宋体" w:hAnsi="宋体"/>
          <w:b/>
          <w:bCs/>
          <w:color w:val="auto"/>
          <w:sz w:val="24"/>
          <w:highlight w:val="none"/>
          <w:shd w:val="clear" w:color="auto" w:fill="FFFFFF" w:themeFill="background1"/>
        </w:rPr>
      </w:pPr>
      <w:bookmarkStart w:id="193" w:name="OLE_LINK10"/>
      <w:r>
        <w:rPr>
          <w:rFonts w:hint="eastAsia" w:ascii="宋体" w:hAnsi="宋体"/>
          <w:b/>
          <w:bCs/>
          <w:color w:val="auto"/>
          <w:sz w:val="24"/>
          <w:highlight w:val="none"/>
          <w:shd w:val="clear" w:color="auto" w:fill="FFFFFF" w:themeFill="background1"/>
        </w:rPr>
        <w:t>采购清</w:t>
      </w:r>
      <w:bookmarkEnd w:id="193"/>
      <w:r>
        <w:rPr>
          <w:rFonts w:hint="eastAsia" w:ascii="宋体" w:hAnsi="宋体"/>
          <w:b/>
          <w:bCs/>
          <w:color w:val="auto"/>
          <w:sz w:val="24"/>
          <w:highlight w:val="none"/>
          <w:shd w:val="clear" w:color="auto" w:fill="FFFFFF" w:themeFill="background1"/>
        </w:rPr>
        <w:t>单：</w:t>
      </w:r>
    </w:p>
    <w:tbl>
      <w:tblPr>
        <w:tblStyle w:val="36"/>
        <w:tblW w:w="464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1"/>
        <w:gridCol w:w="3979"/>
        <w:gridCol w:w="1165"/>
        <w:gridCol w:w="2052"/>
      </w:tblGrid>
      <w:tr w14:paraId="253E5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7"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7446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序号</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4087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设备名称</w:t>
            </w:r>
          </w:p>
          <w:p w14:paraId="24B81AA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（均为核心产品）</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2E9C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数量</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9B7E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单位</w:t>
            </w:r>
          </w:p>
        </w:tc>
      </w:tr>
      <w:tr w14:paraId="722F2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5F02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bookmarkStart w:id="194" w:name="OLE_LINK31" w:colFirst="5" w:colLast="5"/>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1BD7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神经传导速度测定</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09FE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ED70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套</w:t>
            </w:r>
          </w:p>
        </w:tc>
      </w:tr>
      <w:tr w14:paraId="3F8C0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528F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B231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超声波治疗仪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36D9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34C5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34202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E0C8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22A2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中药熏蒸治疗仪（单头）</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2772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41BC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4224E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364C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87B4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磁振热治疗仪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5690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03AC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3212A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6562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0D8E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脑循环功能障碍治疗仪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03E4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2325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19CB2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A332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6</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F8FE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高频治疗仪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6924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3CB4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15CC6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DAB6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7</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3545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低频电子脉冲治疗仪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B973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AD82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35BE5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5555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8</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0282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吞咽神经肌肉低频电刺激仪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2B45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B38F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2DAE9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69CC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9</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3E01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上下肢主被动康复训练仪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DC3B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41BE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62F93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8EE7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10</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71FA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红外偏振光治疗仪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DF1C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3B31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2EA45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BA6D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11</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549B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多频振动治疗仪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0D61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BC01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0300B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047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12</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2401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偏振光治疗仪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AAE5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DA9F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7DCBA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565E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13</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B6D39">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干扰电治疗仪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4D68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F200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65139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876C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14</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BBF9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低频电刺激治疗仪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CED4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61C6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6918D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E5B7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15</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A983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中频电刺激治疗仪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0C69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40129">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63846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4A87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16</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44C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红光治疗仪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BBFA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A409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559C4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63A0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17</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ECEB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空气波压力循环治疗仪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1134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329F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68502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14F7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18</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A7C89">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生物反馈治疗仪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D000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72B2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010F6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60EF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19</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E64B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吞咽治疗仪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A475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32CB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7E0D8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5A53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20</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38BB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便携式心肺康复系统</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4579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1EC0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3326E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BA25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21</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8E219">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电脑中频治疗仪</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8F4C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F506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0B375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390E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22</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24CD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多功能治疗床（下肢分开）</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588F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8820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1D7CD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F31C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23</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3FD2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红外光灸疗机</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AEC5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C6AD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7E8EF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BB88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24</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DB68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颈椎牵引机</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9C98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84CE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tr w14:paraId="36CBD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 w:hRule="atLeast"/>
        </w:trPr>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DE02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25</w:t>
            </w:r>
          </w:p>
        </w:tc>
        <w:tc>
          <w:tcPr>
            <w:tcW w:w="2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1D59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电动升降直立床</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483C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D452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r>
      <w:bookmarkEnd w:id="194"/>
    </w:tbl>
    <w:p w14:paraId="03AF6D9E">
      <w:pPr>
        <w:pStyle w:val="35"/>
        <w:spacing w:after="0" w:line="360" w:lineRule="auto"/>
        <w:ind w:firstLine="0"/>
        <w:jc w:val="left"/>
        <w:rPr>
          <w:rFonts w:hint="eastAsia" w:ascii="宋体" w:hAnsi="宋体"/>
          <w:b/>
          <w:bCs/>
          <w:color w:val="auto"/>
          <w:sz w:val="24"/>
          <w:highlight w:val="none"/>
          <w:shd w:val="clear" w:color="auto" w:fill="FFFFFF" w:themeFill="background1"/>
        </w:rPr>
      </w:pPr>
    </w:p>
    <w:p w14:paraId="34043218">
      <w:pPr>
        <w:pStyle w:val="32"/>
        <w:spacing w:beforeAutospacing="0" w:afterAutospacing="0" w:line="360" w:lineRule="auto"/>
        <w:rPr>
          <w:rFonts w:hint="eastAsia" w:ascii="宋体" w:hAnsi="宋体"/>
          <w:b/>
          <w:bCs/>
          <w:color w:val="auto"/>
          <w:highlight w:val="none"/>
          <w:shd w:val="clear" w:color="auto" w:fill="FFFFFF" w:themeFill="background1"/>
        </w:rPr>
      </w:pPr>
      <w:r>
        <w:rPr>
          <w:rFonts w:hint="eastAsia" w:ascii="宋体" w:hAnsi="宋体"/>
          <w:b/>
          <w:bCs/>
          <w:color w:val="auto"/>
          <w:highlight w:val="none"/>
          <w:shd w:val="clear" w:color="auto" w:fill="FFFFFF" w:themeFill="background1"/>
        </w:rPr>
        <w:t>备注：</w:t>
      </w:r>
    </w:p>
    <w:p w14:paraId="3EC5EF22">
      <w:pPr>
        <w:pStyle w:val="32"/>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本项目采用综合评分法，</w:t>
      </w:r>
      <w:r>
        <w:rPr>
          <w:rFonts w:hint="eastAsia" w:ascii="宋体" w:hAnsi="宋体" w:eastAsia="宋体" w:cs="宋体"/>
          <w:b/>
          <w:bCs/>
          <w:color w:val="auto"/>
          <w:highlight w:val="none"/>
          <w:lang w:val="en-US" w:eastAsia="zh-CN"/>
        </w:rPr>
        <w:t>本项目采购清单里的设备均为核心产品，</w:t>
      </w:r>
      <w:r>
        <w:rPr>
          <w:rFonts w:hint="eastAsia" w:ascii="宋体" w:hAnsi="宋体" w:eastAsia="宋体" w:cs="宋体"/>
          <w:b/>
          <w:bCs/>
          <w:color w:val="auto"/>
          <w:highlight w:val="none"/>
        </w:rPr>
        <w:t>核心产品提供相同品牌产品且通过资格审查、符合性审查的不同投标人参加同一合同项下投标的，按一家投标人计算（非核心产品不作强制要求）</w:t>
      </w:r>
      <w:r>
        <w:rPr>
          <w:rFonts w:hint="eastAsia" w:ascii="宋体" w:hAnsi="宋体" w:eastAsia="宋体" w:cs="宋体"/>
          <w:color w:val="auto"/>
          <w:highlight w:val="none"/>
        </w:rPr>
        <w:t>，评审后得分最高的同品牌投标人获得中标人推荐资格；评审得分相同的，由评标委员会根据招标文件规定的方式（招标文件未规定的采取随机抽取的方式）确定</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个中标候选人，其他同品牌投标人不作为中标候选人。</w:t>
      </w:r>
      <w:r>
        <w:rPr>
          <w:rFonts w:hint="eastAsia" w:ascii="宋体" w:hAnsi="宋体"/>
          <w:b/>
          <w:bCs/>
          <w:color w:val="auto"/>
          <w:highlight w:val="none"/>
          <w:shd w:val="clear" w:color="auto" w:fill="FFFFFF" w:themeFill="background1"/>
        </w:rPr>
        <w:br w:type="page" w:clear="all"/>
      </w:r>
    </w:p>
    <w:p w14:paraId="7EFDFAC6">
      <w:pPr>
        <w:pStyle w:val="35"/>
        <w:spacing w:after="0" w:line="360" w:lineRule="auto"/>
        <w:ind w:firstLine="0"/>
        <w:jc w:val="left"/>
        <w:rPr>
          <w:rFonts w:hint="eastAsia" w:ascii="宋体" w:hAnsi="宋体"/>
          <w:b/>
          <w:bCs/>
          <w:color w:val="auto"/>
          <w:sz w:val="24"/>
          <w:highlight w:val="none"/>
          <w:shd w:val="clear" w:color="auto" w:fill="FFFFFF" w:themeFill="background1"/>
        </w:rPr>
      </w:pPr>
      <w:r>
        <w:rPr>
          <w:rFonts w:hint="eastAsia" w:ascii="宋体" w:hAnsi="宋体"/>
          <w:b/>
          <w:bCs/>
          <w:color w:val="auto"/>
          <w:sz w:val="24"/>
          <w:highlight w:val="none"/>
          <w:shd w:val="clear" w:color="auto" w:fill="FFFFFF" w:themeFill="background1"/>
        </w:rPr>
        <w:t>技术需求：</w:t>
      </w:r>
    </w:p>
    <w:p w14:paraId="7FA57E04">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color w:val="auto"/>
          <w:sz w:val="24"/>
          <w:szCs w:val="24"/>
          <w:highlight w:val="none"/>
          <w:shd w:val="clear" w:color="auto" w:fill="FFFFFF"/>
        </w:rPr>
      </w:pPr>
      <w:bookmarkStart w:id="195" w:name="OLE_LINK6"/>
      <w:r>
        <w:rPr>
          <w:rFonts w:hint="eastAsia" w:ascii="宋体" w:hAnsi="宋体" w:eastAsia="宋体" w:cs="Times New Roman"/>
          <w:b/>
          <w:bCs/>
          <w:color w:val="auto"/>
          <w:sz w:val="24"/>
          <w:szCs w:val="24"/>
          <w:highlight w:val="none"/>
          <w:shd w:val="clear" w:color="auto" w:fill="FFFFFF"/>
        </w:rPr>
        <w:t>品目一：</w:t>
      </w:r>
      <w:bookmarkEnd w:id="195"/>
      <w:r>
        <w:rPr>
          <w:rFonts w:hint="eastAsia" w:ascii="宋体" w:hAnsi="宋体" w:eastAsia="宋体" w:cs="Times New Roman"/>
          <w:b/>
          <w:bCs/>
          <w:color w:val="auto"/>
          <w:sz w:val="24"/>
          <w:szCs w:val="24"/>
          <w:highlight w:val="none"/>
          <w:shd w:val="clear" w:color="auto" w:fill="FFFFFF"/>
        </w:rPr>
        <w:t>神经传导速度测定</w:t>
      </w:r>
    </w:p>
    <w:p w14:paraId="76B05F0F">
      <w:pPr>
        <w:pageBreakBefore w:val="0"/>
        <w:widowControl/>
        <w:kinsoku/>
        <w:wordWrap/>
        <w:overflowPunct/>
        <w:topLinePunct w:val="0"/>
        <w:autoSpaceDE/>
        <w:autoSpaceDN/>
        <w:bidi w:val="0"/>
        <w:spacing w:line="360" w:lineRule="auto"/>
        <w:ind w:left="400"/>
        <w:jc w:val="left"/>
        <w:textAlignment w:val="auto"/>
        <w:rPr>
          <w:rFonts w:hint="eastAsia" w:ascii="宋体" w:hAnsi="宋体" w:cs="宋体"/>
          <w:b/>
          <w:color w:val="auto"/>
          <w:sz w:val="24"/>
          <w:szCs w:val="24"/>
          <w:highlight w:val="none"/>
        </w:rPr>
      </w:pPr>
      <w:r>
        <w:rPr>
          <w:rFonts w:hint="eastAsia" w:ascii="宋体" w:hAnsi="宋体" w:cs="宋体"/>
          <w:b/>
          <w:color w:val="auto"/>
          <w:kern w:val="0"/>
          <w:sz w:val="24"/>
          <w:szCs w:val="24"/>
          <w:highlight w:val="none"/>
        </w:rPr>
        <w:t>硬件参数</w:t>
      </w:r>
    </w:p>
    <w:p w14:paraId="69084716">
      <w:pPr>
        <w:pageBreakBefore w:val="0"/>
        <w:widowControl/>
        <w:numPr>
          <w:ilvl w:val="1"/>
          <w:numId w:val="2"/>
        </w:numPr>
        <w:kinsoku/>
        <w:wordWrap/>
        <w:overflowPunct/>
        <w:topLinePunct w:val="0"/>
        <w:autoSpaceDE/>
        <w:autoSpaceDN/>
        <w:bidi w:val="0"/>
        <w:spacing w:line="360" w:lineRule="auto"/>
        <w:jc w:val="left"/>
        <w:textAlignment w:val="auto"/>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基本参数</w:t>
      </w:r>
    </w:p>
    <w:p w14:paraId="3AC7B970">
      <w:pPr>
        <w:pageBreakBefore w:val="0"/>
        <w:widowControl/>
        <w:numPr>
          <w:ilvl w:val="2"/>
          <w:numId w:val="3"/>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系统构成：前置放大器、刺激系统、数据处理系统、台车、电源系统及配件。</w:t>
      </w:r>
    </w:p>
    <w:p w14:paraId="7FD9A154">
      <w:pPr>
        <w:pageBreakBefore w:val="0"/>
        <w:widowControl/>
        <w:numPr>
          <w:ilvl w:val="2"/>
          <w:numId w:val="3"/>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整机一体化设计，整机</w:t>
      </w:r>
      <w:r>
        <w:rPr>
          <w:rFonts w:hint="eastAsia" w:ascii="宋体" w:hAnsi="宋体" w:cs="宋体"/>
          <w:color w:val="auto"/>
          <w:kern w:val="0"/>
          <w:sz w:val="24"/>
          <w:szCs w:val="24"/>
          <w:highlight w:val="none"/>
          <w:u w:val="none"/>
        </w:rPr>
        <w:t>网</w:t>
      </w:r>
      <w:r>
        <w:rPr>
          <w:rFonts w:hint="eastAsia" w:ascii="宋体" w:hAnsi="宋体" w:cs="宋体"/>
          <w:color w:val="auto"/>
          <w:kern w:val="0"/>
          <w:sz w:val="24"/>
          <w:szCs w:val="24"/>
          <w:highlight w:val="none"/>
        </w:rPr>
        <w:t>电源供电，放大器经电缆连接，无需电池。</w:t>
      </w:r>
    </w:p>
    <w:p w14:paraId="2340BC51">
      <w:pPr>
        <w:pageBreakBefore w:val="0"/>
        <w:widowControl/>
        <w:numPr>
          <w:ilvl w:val="2"/>
          <w:numId w:val="3"/>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双脚踏开关</w:t>
      </w:r>
    </w:p>
    <w:p w14:paraId="1BC3824F">
      <w:pPr>
        <w:pageBreakBefore w:val="0"/>
        <w:widowControl/>
        <w:numPr>
          <w:ilvl w:val="1"/>
          <w:numId w:val="3"/>
        </w:numPr>
        <w:kinsoku/>
        <w:wordWrap/>
        <w:overflowPunct/>
        <w:topLinePunct w:val="0"/>
        <w:autoSpaceDE/>
        <w:autoSpaceDN/>
        <w:bidi w:val="0"/>
        <w:spacing w:line="360" w:lineRule="auto"/>
        <w:jc w:val="left"/>
        <w:textAlignment w:val="auto"/>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放大器</w:t>
      </w:r>
    </w:p>
    <w:p w14:paraId="29D4F55D">
      <w:pPr>
        <w:pageBreakBefore w:val="0"/>
        <w:widowControl/>
        <w:numPr>
          <w:ilvl w:val="2"/>
          <w:numId w:val="4"/>
        </w:numPr>
        <w:kinsoku/>
        <w:wordWrap/>
        <w:overflowPunct/>
        <w:topLinePunct w:val="0"/>
        <w:autoSpaceDE/>
        <w:autoSpaceDN/>
        <w:bidi w:val="0"/>
        <w:spacing w:line="360" w:lineRule="auto"/>
        <w:ind w:left="419" w:leftChars="191" w:hanging="18"/>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▲通道数：四通道附可伸缩悬臂，便于不移动仪器检查患者全身，为临床检查提     供方便。</w:t>
      </w:r>
    </w:p>
    <w:p w14:paraId="02DBE0B0">
      <w:pPr>
        <w:pageBreakBefore w:val="0"/>
        <w:widowControl/>
        <w:numPr>
          <w:ilvl w:val="2"/>
          <w:numId w:val="4"/>
        </w:numPr>
        <w:kinsoku/>
        <w:wordWrap/>
        <w:overflowPunct/>
        <w:topLinePunct w:val="0"/>
        <w:autoSpaceDE/>
        <w:autoSpaceDN/>
        <w:bidi w:val="0"/>
        <w:spacing w:line="360" w:lineRule="auto"/>
        <w:ind w:left="419" w:leftChars="191" w:hanging="18"/>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通道接口：每通道同时提供两种接口，配备DIN接口和Ф1.57插针国际标准小孔径脑电导联线接口，两种接口可根据需要独立使用。</w:t>
      </w:r>
    </w:p>
    <w:p w14:paraId="1C8FE4A8">
      <w:pPr>
        <w:pageBreakBefore w:val="0"/>
        <w:widowControl/>
        <w:numPr>
          <w:ilvl w:val="2"/>
          <w:numId w:val="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▲差模输入阻抗：≥5510兆欧</w:t>
      </w:r>
    </w:p>
    <w:p w14:paraId="26E698DD">
      <w:pPr>
        <w:pageBreakBefore w:val="0"/>
        <w:widowControl/>
        <w:numPr>
          <w:ilvl w:val="2"/>
          <w:numId w:val="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输入短路噪声：≤0.32μVrms</w:t>
      </w:r>
    </w:p>
    <w:p w14:paraId="14BCAEED">
      <w:pPr>
        <w:pageBreakBefore w:val="0"/>
        <w:widowControl/>
        <w:numPr>
          <w:ilvl w:val="2"/>
          <w:numId w:val="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▲共模抑制比：≥134dB</w:t>
      </w:r>
    </w:p>
    <w:p w14:paraId="0130A8A0">
      <w:pPr>
        <w:pageBreakBefore w:val="0"/>
        <w:widowControl/>
        <w:numPr>
          <w:ilvl w:val="2"/>
          <w:numId w:val="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滤波频率：0.1Hz</w:t>
      </w: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rPr>
        <w:t>20kHz（高通滤波：0.1</w:t>
      </w: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rPr>
        <w:t>1000Hz；低通滤波：0.02</w:t>
      </w: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rPr>
        <w:t>20kHz）</w:t>
      </w:r>
    </w:p>
    <w:p w14:paraId="118D015E">
      <w:pPr>
        <w:pageBreakBefore w:val="0"/>
        <w:widowControl/>
        <w:numPr>
          <w:ilvl w:val="2"/>
          <w:numId w:val="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幅频特性：0.5Hz - 10KHz内，幅度偏差最大为+5%</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 xml:space="preserve"> </w:t>
      </w:r>
      <w:r>
        <w:rPr>
          <w:rFonts w:hint="eastAsia" w:ascii="宋体" w:hAnsi="宋体" w:cs="宋体"/>
          <w:color w:val="auto"/>
          <w:kern w:val="0"/>
          <w:sz w:val="24"/>
          <w:szCs w:val="24"/>
          <w:highlight w:val="none"/>
        </w:rPr>
        <w:t>-10%</w:t>
      </w:r>
    </w:p>
    <w:p w14:paraId="0794891E">
      <w:pPr>
        <w:pageBreakBefore w:val="0"/>
        <w:widowControl/>
        <w:numPr>
          <w:ilvl w:val="2"/>
          <w:numId w:val="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灵敏度：0.01μV/D-500mv/D，1mS/D-500mS/D</w:t>
      </w:r>
    </w:p>
    <w:p w14:paraId="750E8A62">
      <w:pPr>
        <w:pageBreakBefore w:val="0"/>
        <w:widowControl/>
        <w:numPr>
          <w:ilvl w:val="2"/>
          <w:numId w:val="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通道增益：50，100，250，500，1000，2500，5000，10000，25000倍</w:t>
      </w:r>
    </w:p>
    <w:p w14:paraId="5329F322">
      <w:pPr>
        <w:pageBreakBefore w:val="0"/>
        <w:widowControl/>
        <w:numPr>
          <w:ilvl w:val="1"/>
          <w:numId w:val="3"/>
        </w:numPr>
        <w:kinsoku/>
        <w:wordWrap/>
        <w:overflowPunct/>
        <w:topLinePunct w:val="0"/>
        <w:autoSpaceDE/>
        <w:autoSpaceDN/>
        <w:bidi w:val="0"/>
        <w:spacing w:line="360" w:lineRule="auto"/>
        <w:jc w:val="left"/>
        <w:textAlignment w:val="auto"/>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记录器</w:t>
      </w:r>
    </w:p>
    <w:p w14:paraId="18179806">
      <w:pPr>
        <w:pageBreakBefore w:val="0"/>
        <w:widowControl/>
        <w:numPr>
          <w:ilvl w:val="2"/>
          <w:numId w:val="5"/>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接口技术：USB</w:t>
      </w:r>
    </w:p>
    <w:p w14:paraId="3ACA7BA1">
      <w:pPr>
        <w:pageBreakBefore w:val="0"/>
        <w:widowControl/>
        <w:numPr>
          <w:ilvl w:val="2"/>
          <w:numId w:val="5"/>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采样率：≥</w:t>
      </w:r>
      <w:r>
        <w:rPr>
          <w:rFonts w:ascii="宋体" w:hAnsi="宋体" w:cs="宋体"/>
          <w:color w:val="auto"/>
          <w:kern w:val="0"/>
          <w:sz w:val="24"/>
          <w:szCs w:val="24"/>
          <w:highlight w:val="none"/>
        </w:rPr>
        <w:t>200KHz</w:t>
      </w:r>
    </w:p>
    <w:p w14:paraId="2F699505">
      <w:pPr>
        <w:pageBreakBefore w:val="0"/>
        <w:widowControl/>
        <w:numPr>
          <w:ilvl w:val="2"/>
          <w:numId w:val="5"/>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A/D转换率：24Bit</w:t>
      </w:r>
    </w:p>
    <w:p w14:paraId="5B0B6A6C">
      <w:pPr>
        <w:pageBreakBefore w:val="0"/>
        <w:widowControl/>
        <w:numPr>
          <w:ilvl w:val="2"/>
          <w:numId w:val="5"/>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采集数据最大时长：不限时</w:t>
      </w:r>
    </w:p>
    <w:p w14:paraId="0BE27D61">
      <w:pPr>
        <w:pageBreakBefore w:val="0"/>
        <w:widowControl/>
        <w:numPr>
          <w:ilvl w:val="2"/>
          <w:numId w:val="5"/>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扫描时程：1ms - 6s</w:t>
      </w:r>
    </w:p>
    <w:p w14:paraId="26DE77AA">
      <w:pPr>
        <w:pageBreakBefore w:val="0"/>
        <w:widowControl/>
        <w:numPr>
          <w:ilvl w:val="1"/>
          <w:numId w:val="3"/>
        </w:numPr>
        <w:kinsoku/>
        <w:wordWrap/>
        <w:overflowPunct/>
        <w:topLinePunct w:val="0"/>
        <w:autoSpaceDE/>
        <w:autoSpaceDN/>
        <w:bidi w:val="0"/>
        <w:spacing w:line="360" w:lineRule="auto"/>
        <w:jc w:val="left"/>
        <w:textAlignment w:val="auto"/>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刺激器</w:t>
      </w:r>
    </w:p>
    <w:p w14:paraId="7844D974">
      <w:pPr>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4.1电刺激器</w:t>
      </w:r>
    </w:p>
    <w:p w14:paraId="5065998F">
      <w:pPr>
        <w:pageBreakBefore w:val="0"/>
        <w:widowControl/>
        <w:numPr>
          <w:ilvl w:val="2"/>
          <w:numId w:val="6"/>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两路电刺激输出接口，可</w:t>
      </w:r>
      <w:r>
        <w:rPr>
          <w:rFonts w:hint="eastAsia" w:ascii="宋体" w:hAnsi="宋体" w:cs="宋体"/>
          <w:color w:val="auto"/>
          <w:kern w:val="0"/>
          <w:sz w:val="24"/>
          <w:szCs w:val="24"/>
          <w:highlight w:val="none"/>
          <w:lang w:eastAsia="zh-CN"/>
        </w:rPr>
        <w:t>选</w:t>
      </w:r>
      <w:r>
        <w:rPr>
          <w:rFonts w:hint="eastAsia" w:ascii="宋体" w:hAnsi="宋体" w:cs="宋体"/>
          <w:color w:val="auto"/>
          <w:kern w:val="0"/>
          <w:sz w:val="24"/>
          <w:szCs w:val="24"/>
          <w:highlight w:val="none"/>
        </w:rPr>
        <w:t>单边输出或双边同步异步输出</w:t>
      </w:r>
    </w:p>
    <w:p w14:paraId="35DF25D4">
      <w:pPr>
        <w:pageBreakBefore w:val="0"/>
        <w:widowControl/>
        <w:numPr>
          <w:ilvl w:val="2"/>
          <w:numId w:val="6"/>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刺激类型：恒流源，短路及过载保护</w:t>
      </w:r>
    </w:p>
    <w:p w14:paraId="410B0A24">
      <w:pPr>
        <w:pageBreakBefore w:val="0"/>
        <w:widowControl/>
        <w:numPr>
          <w:ilvl w:val="2"/>
          <w:numId w:val="6"/>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刺激频率：0.05 ～ 50 Hz</w:t>
      </w:r>
    </w:p>
    <w:p w14:paraId="4C6DE76B">
      <w:pPr>
        <w:pageBreakBefore w:val="0"/>
        <w:widowControl/>
        <w:numPr>
          <w:ilvl w:val="2"/>
          <w:numId w:val="6"/>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刺激持续时间：0.05ms～ 1.0ms</w:t>
      </w:r>
    </w:p>
    <w:p w14:paraId="6F3F2099">
      <w:pPr>
        <w:pageBreakBefore w:val="0"/>
        <w:widowControl/>
        <w:numPr>
          <w:ilvl w:val="2"/>
          <w:numId w:val="6"/>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刺激分辨率：0.1mA</w:t>
      </w:r>
    </w:p>
    <w:p w14:paraId="35E60227">
      <w:pPr>
        <w:pageBreakBefore w:val="0"/>
        <w:widowControl/>
        <w:numPr>
          <w:ilvl w:val="2"/>
          <w:numId w:val="6"/>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刺激模式：单个脉冲、对冲、成对、串</w:t>
      </w:r>
    </w:p>
    <w:p w14:paraId="5873CA8F">
      <w:pPr>
        <w:pageBreakBefore w:val="0"/>
        <w:widowControl/>
        <w:numPr>
          <w:ilvl w:val="2"/>
          <w:numId w:val="6"/>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输出刺激强度：0 ～ 100mA</w:t>
      </w:r>
    </w:p>
    <w:p w14:paraId="6FD26BFB">
      <w:pPr>
        <w:pageBreakBefore w:val="0"/>
        <w:widowControl/>
        <w:numPr>
          <w:ilvl w:val="2"/>
          <w:numId w:val="6"/>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输出脉冲宽度：50 ～ 1000μs</w:t>
      </w:r>
    </w:p>
    <w:p w14:paraId="30DC4170">
      <w:pPr>
        <w:pageBreakBefore w:val="0"/>
        <w:widowControl/>
        <w:numPr>
          <w:ilvl w:val="2"/>
          <w:numId w:val="6"/>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输出短路电流：≤120mA</w:t>
      </w:r>
    </w:p>
    <w:p w14:paraId="47CE23F2">
      <w:pPr>
        <w:pageBreakBefore w:val="0"/>
        <w:widowControl/>
        <w:numPr>
          <w:ilvl w:val="2"/>
          <w:numId w:val="6"/>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最大输出电压：≤350V</w:t>
      </w:r>
    </w:p>
    <w:p w14:paraId="23E162F3">
      <w:pPr>
        <w:pageBreakBefore w:val="0"/>
        <w:kinsoku/>
        <w:wordWrap/>
        <w:overflowPunct/>
        <w:topLinePunct w:val="0"/>
        <w:autoSpaceDE/>
        <w:autoSpaceDN/>
        <w:bidi w:val="0"/>
        <w:spacing w:line="360" w:lineRule="auto"/>
        <w:ind w:firstLine="360" w:firstLineChars="150"/>
        <w:textAlignment w:val="auto"/>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软件功能</w:t>
      </w:r>
    </w:p>
    <w:p w14:paraId="4A3DA1EA">
      <w:pPr>
        <w:pageBreakBefore w:val="0"/>
        <w:widowControl/>
        <w:numPr>
          <w:ilvl w:val="1"/>
          <w:numId w:val="7"/>
        </w:numPr>
        <w:kinsoku/>
        <w:wordWrap/>
        <w:overflowPunct/>
        <w:topLinePunct w:val="0"/>
        <w:autoSpaceDE/>
        <w:autoSpaceDN/>
        <w:bidi w:val="0"/>
        <w:spacing w:line="360" w:lineRule="auto"/>
        <w:jc w:val="left"/>
        <w:textAlignment w:val="auto"/>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检查项目</w:t>
      </w:r>
    </w:p>
    <w:p w14:paraId="3755D8FE">
      <w:pPr>
        <w:pageBreakBefore w:val="0"/>
        <w:widowControl/>
        <w:kinsoku/>
        <w:wordWrap/>
        <w:overflowPunct/>
        <w:topLinePunct w:val="0"/>
        <w:autoSpaceDE/>
        <w:autoSpaceDN/>
        <w:bidi w:val="0"/>
        <w:spacing w:line="360" w:lineRule="auto"/>
        <w:ind w:left="420"/>
        <w:jc w:val="left"/>
        <w:textAlignment w:val="auto"/>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1.1肌电图</w:t>
      </w:r>
    </w:p>
    <w:p w14:paraId="12928BBB">
      <w:pPr>
        <w:pageBreakBefore w:val="0"/>
        <w:numPr>
          <w:ilvl w:val="0"/>
          <w:numId w:val="8"/>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针肌电图：插入电位、静息电位、远动单位电位、募集。</w:t>
      </w:r>
    </w:p>
    <w:p w14:paraId="0575CEBB">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23" w:firstLine="403"/>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表面肌电图（sEMG）：可选配。</w:t>
      </w:r>
    </w:p>
    <w:p w14:paraId="610D17DE">
      <w:pPr>
        <w:pageBreakBefore w:val="0"/>
        <w:widowControl/>
        <w:kinsoku/>
        <w:wordWrap/>
        <w:overflowPunct/>
        <w:topLinePunct w:val="0"/>
        <w:autoSpaceDE/>
        <w:autoSpaceDN/>
        <w:bidi w:val="0"/>
        <w:spacing w:line="360" w:lineRule="auto"/>
        <w:ind w:left="420"/>
        <w:jc w:val="left"/>
        <w:textAlignment w:val="auto"/>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1.2神经电图</w:t>
      </w:r>
    </w:p>
    <w:p w14:paraId="3C2EEAC0">
      <w:pPr>
        <w:pageBreakBefore w:val="0"/>
        <w:numPr>
          <w:ilvl w:val="0"/>
          <w:numId w:val="9"/>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运动神经传导（MCV）      </w:t>
      </w:r>
    </w:p>
    <w:p w14:paraId="6CC8678F">
      <w:pPr>
        <w:pageBreakBefore w:val="0"/>
        <w:numPr>
          <w:ilvl w:val="0"/>
          <w:numId w:val="9"/>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感觉神经传导（SCV）</w:t>
      </w:r>
    </w:p>
    <w:p w14:paraId="1A5E081D">
      <w:pPr>
        <w:pageBreakBefore w:val="0"/>
        <w:numPr>
          <w:ilvl w:val="0"/>
          <w:numId w:val="9"/>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F波（F-Wave）                 </w:t>
      </w:r>
    </w:p>
    <w:p w14:paraId="72102D50">
      <w:pPr>
        <w:pageBreakBefore w:val="0"/>
        <w:numPr>
          <w:ilvl w:val="0"/>
          <w:numId w:val="9"/>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H反射（H-Reflex）</w:t>
      </w:r>
    </w:p>
    <w:p w14:paraId="4A6C77A3">
      <w:pPr>
        <w:pageBreakBefore w:val="0"/>
        <w:numPr>
          <w:ilvl w:val="0"/>
          <w:numId w:val="9"/>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瞬目反射（BR）</w:t>
      </w:r>
    </w:p>
    <w:p w14:paraId="73E156D8">
      <w:pPr>
        <w:pageBreakBefore w:val="0"/>
        <w:numPr>
          <w:ilvl w:val="0"/>
          <w:numId w:val="9"/>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重复神经电刺激（RNS）          </w:t>
      </w:r>
    </w:p>
    <w:p w14:paraId="67ACDADB">
      <w:pPr>
        <w:pageBreakBefore w:val="0"/>
        <w:numPr>
          <w:ilvl w:val="0"/>
          <w:numId w:val="9"/>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神经节段检查（INCH）</w:t>
      </w:r>
    </w:p>
    <w:p w14:paraId="363AE995">
      <w:pPr>
        <w:pageBreakBefore w:val="0"/>
        <w:numPr>
          <w:ilvl w:val="0"/>
          <w:numId w:val="9"/>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皮肤交感反应（SSR）</w:t>
      </w:r>
    </w:p>
    <w:p w14:paraId="278ECD14">
      <w:pPr>
        <w:pageBreakBefore w:val="0"/>
        <w:widowControl/>
        <w:kinsoku/>
        <w:wordWrap/>
        <w:overflowPunct/>
        <w:topLinePunct w:val="0"/>
        <w:autoSpaceDE/>
        <w:autoSpaceDN/>
        <w:bidi w:val="0"/>
        <w:spacing w:line="360" w:lineRule="auto"/>
        <w:ind w:left="420"/>
        <w:jc w:val="left"/>
        <w:textAlignment w:val="auto"/>
        <w:rPr>
          <w:rFonts w:hint="eastAsia" w:ascii="宋体" w:hAnsi="宋体" w:cs="宋体"/>
          <w:color w:val="auto"/>
          <w:kern w:val="0"/>
          <w:sz w:val="24"/>
          <w:szCs w:val="24"/>
          <w:highlight w:val="none"/>
        </w:rPr>
      </w:pPr>
      <w:r>
        <w:rPr>
          <w:rFonts w:hint="eastAsia" w:ascii="宋体" w:hAnsi="宋体" w:cs="宋体"/>
          <w:b/>
          <w:color w:val="auto"/>
          <w:kern w:val="0"/>
          <w:sz w:val="24"/>
          <w:szCs w:val="24"/>
          <w:highlight w:val="none"/>
        </w:rPr>
        <w:t>1.3诱发电位</w:t>
      </w:r>
    </w:p>
    <w:p w14:paraId="24FEBC3C">
      <w:pPr>
        <w:pageBreakBefore w:val="0"/>
        <w:numPr>
          <w:ilvl w:val="0"/>
          <w:numId w:val="10"/>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体感诱发电位（SEP）：上肢体感诱发电位（USEP）、下肢体感诱发电位（LSEP）、脊髓诱发电位（TSEP）、三叉神经诱发电位（SCEP）、节段性体感诱发电位（DSEP）、阴部诱发电位。</w:t>
      </w:r>
    </w:p>
    <w:p w14:paraId="683D1F7A">
      <w:pPr>
        <w:pageBreakBefore w:val="0"/>
        <w:numPr>
          <w:ilvl w:val="0"/>
          <w:numId w:val="10"/>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运动诱发电位（可选配）：上肢运动诱发、下肢运动诱发。</w:t>
      </w:r>
    </w:p>
    <w:p w14:paraId="7687B395">
      <w:pPr>
        <w:pageBreakBefore w:val="0"/>
        <w:widowControl/>
        <w:numPr>
          <w:ilvl w:val="1"/>
          <w:numId w:val="7"/>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b/>
          <w:color w:val="auto"/>
          <w:kern w:val="0"/>
          <w:sz w:val="24"/>
          <w:szCs w:val="24"/>
          <w:highlight w:val="none"/>
        </w:rPr>
        <w:t>报告系统</w:t>
      </w:r>
    </w:p>
    <w:p w14:paraId="5B3323D8">
      <w:pPr>
        <w:pageBreakBefore w:val="0"/>
        <w:numPr>
          <w:ilvl w:val="0"/>
          <w:numId w:val="11"/>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中文报告软件：将检查过程中输入的患者信息、记录的波形、波形的特征值、检查结论等转换为报告格式，打印到纸上或形成PDF文件。</w:t>
      </w:r>
    </w:p>
    <w:p w14:paraId="586A012E">
      <w:pPr>
        <w:pageBreakBefore w:val="0"/>
        <w:numPr>
          <w:ilvl w:val="0"/>
          <w:numId w:val="11"/>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报告模板：用户可自行编辑用于表达检查结论的常用语句。</w:t>
      </w:r>
    </w:p>
    <w:p w14:paraId="127EE03B">
      <w:pPr>
        <w:pageBreakBefore w:val="0"/>
        <w:widowControl/>
        <w:numPr>
          <w:ilvl w:val="1"/>
          <w:numId w:val="7"/>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b/>
          <w:color w:val="auto"/>
          <w:kern w:val="0"/>
          <w:sz w:val="24"/>
          <w:szCs w:val="24"/>
          <w:highlight w:val="none"/>
        </w:rPr>
        <w:t>检查管理</w:t>
      </w:r>
    </w:p>
    <w:p w14:paraId="4B2E1950">
      <w:pPr>
        <w:pageBreakBefore w:val="0"/>
        <w:numPr>
          <w:ilvl w:val="0"/>
          <w:numId w:val="12"/>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检查项目管理器：自动形成患者的检查方案，可在各检查项目之间一键切换。</w:t>
      </w:r>
    </w:p>
    <w:p w14:paraId="7EF15166">
      <w:pPr>
        <w:pageBreakBefore w:val="0"/>
        <w:numPr>
          <w:ilvl w:val="0"/>
          <w:numId w:val="12"/>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可以定制检查方案。</w:t>
      </w:r>
    </w:p>
    <w:p w14:paraId="51563874">
      <w:pPr>
        <w:pageBreakBefore w:val="0"/>
        <w:numPr>
          <w:ilvl w:val="0"/>
          <w:numId w:val="12"/>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患者数据管理软件：可对检查形成的数据检索、导出、导入和删除。</w:t>
      </w:r>
    </w:p>
    <w:p w14:paraId="2567856D">
      <w:pPr>
        <w:pageBreakBefore w:val="0"/>
        <w:numPr>
          <w:ilvl w:val="0"/>
          <w:numId w:val="12"/>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可根据不同临床需求，生成完全自定义的检查套餐。</w:t>
      </w:r>
    </w:p>
    <w:p w14:paraId="048D6D81">
      <w:pPr>
        <w:pageBreakBefore w:val="0"/>
        <w:widowControl/>
        <w:numPr>
          <w:ilvl w:val="1"/>
          <w:numId w:val="7"/>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b/>
          <w:color w:val="auto"/>
          <w:kern w:val="0"/>
          <w:sz w:val="24"/>
          <w:szCs w:val="24"/>
          <w:highlight w:val="none"/>
        </w:rPr>
        <w:t>软件界面</w:t>
      </w:r>
    </w:p>
    <w:p w14:paraId="7962D512">
      <w:pPr>
        <w:pageBreakBefore w:val="0"/>
        <w:numPr>
          <w:ilvl w:val="0"/>
          <w:numId w:val="13"/>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实时波形监视窗：检查界面常驻实时波形监视窗，可直观了解患者连接信号及干扰情况。</w:t>
      </w:r>
    </w:p>
    <w:p w14:paraId="71F6ED4F">
      <w:pPr>
        <w:pageBreakBefore w:val="0"/>
        <w:numPr>
          <w:ilvl w:val="0"/>
          <w:numId w:val="13"/>
        </w:numPr>
        <w:kinsoku/>
        <w:wordWrap/>
        <w:overflowPunct/>
        <w:topLinePunct w:val="0"/>
        <w:autoSpaceDE/>
        <w:autoSpaceDN/>
        <w:bidi w:val="0"/>
        <w:spacing w:line="360" w:lineRule="auto"/>
        <w:ind w:left="20" w:firstLine="4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F1一键进入帮助界面，快速学习及查阅检查项目要点。</w:t>
      </w:r>
    </w:p>
    <w:p w14:paraId="71C2EDB0">
      <w:pPr>
        <w:pageBreakBefore w:val="0"/>
        <w:kinsoku/>
        <w:wordWrap/>
        <w:overflowPunct/>
        <w:topLinePunct w:val="0"/>
        <w:autoSpaceDE/>
        <w:autoSpaceDN/>
        <w:bidi w:val="0"/>
        <w:spacing w:line="360" w:lineRule="auto"/>
        <w:jc w:val="left"/>
        <w:textAlignment w:val="auto"/>
        <w:rPr>
          <w:rFonts w:hint="eastAsia" w:ascii="宋体" w:hAnsi="宋体" w:eastAsia="宋体" w:cs="Times New Roman"/>
          <w:color w:val="auto"/>
          <w:sz w:val="24"/>
          <w:szCs w:val="24"/>
          <w:highlight w:val="none"/>
          <w:shd w:val="clear" w:color="auto" w:fill="FFFFFF"/>
        </w:rPr>
      </w:pPr>
    </w:p>
    <w:p w14:paraId="7476DEDB">
      <w:pPr>
        <w:pageBreakBefore w:val="0"/>
        <w:kinsoku/>
        <w:wordWrap/>
        <w:overflowPunct/>
        <w:topLinePunct w:val="0"/>
        <w:autoSpaceDE/>
        <w:autoSpaceDN/>
        <w:bidi w:val="0"/>
        <w:spacing w:line="360" w:lineRule="auto"/>
        <w:jc w:val="left"/>
        <w:textAlignment w:val="auto"/>
        <w:rPr>
          <w:rFonts w:hint="eastAsia" w:ascii="宋体" w:hAnsi="宋体" w:eastAsia="宋体" w:cs="Times New Roman"/>
          <w:color w:val="auto"/>
          <w:sz w:val="24"/>
          <w:szCs w:val="24"/>
          <w:highlight w:val="none"/>
          <w:shd w:val="clear" w:color="auto" w:fill="FFFFFF"/>
        </w:rPr>
      </w:pPr>
    </w:p>
    <w:p w14:paraId="2AF445D4">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iCs/>
          <w:color w:val="auto"/>
          <w:sz w:val="24"/>
          <w:szCs w:val="24"/>
          <w:highlight w:val="none"/>
          <w:u w:val="single"/>
          <w:shd w:val="clear" w:color="auto" w:fill="FFFFFF"/>
        </w:rPr>
      </w:pPr>
      <w:r>
        <w:rPr>
          <w:rFonts w:hint="eastAsia" w:ascii="宋体" w:hAnsi="宋体" w:eastAsia="宋体" w:cs="Times New Roman"/>
          <w:b/>
          <w:bCs/>
          <w:i/>
          <w:iCs/>
          <w:color w:val="auto"/>
          <w:sz w:val="24"/>
          <w:szCs w:val="24"/>
          <w:highlight w:val="none"/>
          <w:u w:val="single"/>
          <w:shd w:val="clear" w:color="auto" w:fill="FFFFFF"/>
        </w:rPr>
        <w:t>品目二：超声波治疗仪</w:t>
      </w:r>
    </w:p>
    <w:p w14:paraId="07F931D9">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台面款机型，彩色液晶显示屏加一键飞梭操作；</w:t>
      </w:r>
    </w:p>
    <w:p w14:paraId="43E13DB9">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▲仪器配有 1MHz固定治疗头和3.2MHz移动治疗头</w:t>
      </w:r>
      <w:r>
        <w:rPr>
          <w:rFonts w:hint="eastAsia" w:ascii="宋体" w:hAnsi="宋体" w:cs="宋体"/>
          <w:color w:val="auto"/>
          <w:kern w:val="0"/>
          <w:sz w:val="24"/>
          <w:szCs w:val="24"/>
          <w:highlight w:val="none"/>
          <w:lang w:eastAsia="zh-CN"/>
        </w:rPr>
        <w:t>。</w:t>
      </w:r>
    </w:p>
    <w:p w14:paraId="2DFB0695">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声工作频率：1MHz、3.2MHz±10%；</w:t>
      </w:r>
    </w:p>
    <w:p w14:paraId="1E2A6801">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功率：≥100VA；</w:t>
      </w:r>
    </w:p>
    <w:p w14:paraId="3C6E7C90">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额定输出功率：5W±20%；</w:t>
      </w:r>
    </w:p>
    <w:p w14:paraId="4E4EAAFC">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使用电源：220V，50Hz；</w:t>
      </w:r>
    </w:p>
    <w:p w14:paraId="3AEAA6E2">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波束类型：准直型；</w:t>
      </w:r>
    </w:p>
    <w:p w14:paraId="2C6A34FD">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波束不均匀系数：≤8；</w:t>
      </w:r>
    </w:p>
    <w:p w14:paraId="195C4D21">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治疗头有效辐射面积：2.5cm²±20%；</w:t>
      </w:r>
    </w:p>
    <w:p w14:paraId="0EBAF271">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额定输出有效声强：≤3.0W/cm²；</w:t>
      </w:r>
    </w:p>
    <w:p w14:paraId="3430E4B2">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波束最大声强：≤24W/cm²；</w:t>
      </w:r>
    </w:p>
    <w:p w14:paraId="4E1621F3">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治疗时间：0~30分钟；</w:t>
      </w:r>
    </w:p>
    <w:p w14:paraId="23E6272B">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调制波形：脉冲波；</w:t>
      </w:r>
    </w:p>
    <w:p w14:paraId="0527C646">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脉冲重复周期：10ms，误差±5%；</w:t>
      </w:r>
    </w:p>
    <w:p w14:paraId="4C483F0D">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时间最大输出功率与输出功率的比值：1～10；</w:t>
      </w:r>
    </w:p>
    <w:p w14:paraId="08EF1734">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▲输出模式：9档脉冲模式和1档连续模式；</w:t>
      </w:r>
    </w:p>
    <w:p w14:paraId="676CA906">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占空比：0～90%可调，步进为10%；</w:t>
      </w:r>
    </w:p>
    <w:p w14:paraId="1B902E26">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治疗头对有害进液的防护程度分属于IPX7，可以水下操作；</w:t>
      </w:r>
    </w:p>
    <w:p w14:paraId="2451DF67">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具有旋钮编码器操作功能，可通过旋钮编码器进行选择通道、设置治疗档位和治疗时间、启动/暂停/停止治疗等操作；</w:t>
      </w:r>
    </w:p>
    <w:p w14:paraId="011E20A6">
      <w:pPr>
        <w:pageBreakBefore w:val="0"/>
        <w:numPr>
          <w:ilvl w:val="0"/>
          <w:numId w:val="14"/>
        </w:numPr>
        <w:kinsoku/>
        <w:wordWrap/>
        <w:overflowPunct/>
        <w:topLinePunct w:val="0"/>
        <w:autoSpaceDE/>
        <w:autoSpaceDN/>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实时显示治疗通道、治疗档位、工作模式、有效声强、输出功率、工作状态、治疗时间等参数；</w:t>
      </w:r>
    </w:p>
    <w:p w14:paraId="78AA88C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p>
    <w:p w14:paraId="7CBF5096">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177A088F">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品目三：中药熏蒸治疗仪（单头）</w:t>
      </w:r>
    </w:p>
    <w:p w14:paraId="3E6EAD3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1、定时时间:1-99min任意可调，连续工作时间≥8h</w:t>
      </w:r>
    </w:p>
    <w:p w14:paraId="516FF5BF">
      <w:pPr>
        <w:pageBreakBefore w:val="0"/>
        <w:numPr>
          <w:ilvl w:val="0"/>
          <w:numId w:val="0"/>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eastAsiaTheme="minorEastAsia"/>
          <w:color w:val="auto"/>
          <w:sz w:val="24"/>
          <w:szCs w:val="24"/>
          <w:highlight w:val="none"/>
        </w:rPr>
        <w:t>2、</w:t>
      </w:r>
      <w:r>
        <w:rPr>
          <w:rFonts w:hint="eastAsia" w:ascii="宋体" w:hAnsi="宋体" w:cs="宋体"/>
          <w:color w:val="auto"/>
          <w:sz w:val="24"/>
          <w:szCs w:val="24"/>
          <w:highlight w:val="none"/>
        </w:rPr>
        <w:t>温度显示范围:0°C-150°C，显示精度士1°C</w:t>
      </w:r>
    </w:p>
    <w:p w14:paraId="340F30F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3、压力调节范围:20-35KPa</w:t>
      </w:r>
    </w:p>
    <w:p w14:paraId="42C9B36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4、输入功率:≥</w:t>
      </w:r>
      <w:r>
        <w:rPr>
          <w:rFonts w:ascii="宋体" w:hAnsi="宋体" w:cs="宋体"/>
          <w:color w:val="auto"/>
          <w:sz w:val="24"/>
          <w:szCs w:val="24"/>
          <w:highlight w:val="none"/>
        </w:rPr>
        <w:t>2000VA</w:t>
      </w:r>
    </w:p>
    <w:p w14:paraId="13154C6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5、熏蒸锅容积:≥</w:t>
      </w:r>
      <w:r>
        <w:rPr>
          <w:rFonts w:ascii="宋体" w:hAnsi="宋体" w:cs="宋体"/>
          <w:color w:val="auto"/>
          <w:sz w:val="24"/>
          <w:szCs w:val="24"/>
          <w:highlight w:val="none"/>
        </w:rPr>
        <w:t>7L</w:t>
      </w:r>
    </w:p>
    <w:p w14:paraId="46645D7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6、正常工作加药量V: 2.5L≤V≤5L</w:t>
      </w:r>
    </w:p>
    <w:p w14:paraId="1F66E51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7、两种工作模式可任意设定(即常规模式、强弱模式)。</w:t>
      </w:r>
    </w:p>
    <w:p w14:paraId="4E84543F">
      <w:pPr>
        <w:pageBreakBefore w:val="0"/>
        <w:kinsoku/>
        <w:wordWrap/>
        <w:overflowPunct/>
        <w:topLinePunct w:val="0"/>
        <w:autoSpaceDE/>
        <w:autoSpaceDN/>
        <w:bidi w:val="0"/>
        <w:spacing w:line="360" w:lineRule="auto"/>
        <w:ind w:left="10" w:leftChars="5"/>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8、采用广视角液晶屏显示仪器的工作参数，并具有实时状态提示功能。如“液体缺少，请加液体、”“正在预热”、“正在治疗”、“压力超高，正在减压”等。</w:t>
      </w:r>
    </w:p>
    <w:p w14:paraId="43398572">
      <w:pPr>
        <w:pageBreakBefore w:val="0"/>
        <w:kinsoku/>
        <w:wordWrap/>
        <w:overflowPunct/>
        <w:topLinePunct w:val="0"/>
        <w:autoSpaceDE/>
        <w:autoSpaceDN/>
        <w:bidi w:val="0"/>
        <w:spacing w:line="360" w:lineRule="auto"/>
        <w:ind w:left="27" w:leftChars="6" w:hanging="14" w:hangingChars="6"/>
        <w:textAlignment w:val="auto"/>
        <w:rPr>
          <w:rFonts w:hint="eastAsia" w:ascii="宋体" w:hAnsi="宋体" w:cs="宋体"/>
          <w:color w:val="auto"/>
          <w:sz w:val="24"/>
          <w:szCs w:val="24"/>
          <w:highlight w:val="none"/>
        </w:rPr>
      </w:pPr>
      <w:r>
        <w:rPr>
          <w:rFonts w:hint="eastAsia" w:ascii="宋体" w:hAnsi="宋体" w:cs="宋体"/>
          <w:b/>
          <w:bCs/>
          <w:color w:val="auto"/>
          <w:sz w:val="24"/>
          <w:szCs w:val="24"/>
          <w:highlight w:val="none"/>
        </w:rPr>
        <w:t>9、▲</w:t>
      </w:r>
      <w:r>
        <w:rPr>
          <w:rFonts w:hint="eastAsia" w:ascii="宋体" w:hAnsi="宋体" w:cs="宋体"/>
          <w:color w:val="auto"/>
          <w:sz w:val="24"/>
          <w:szCs w:val="24"/>
          <w:highlight w:val="none"/>
        </w:rPr>
        <w:t>熏蒸容器具有多重安全防护装置，如达到压力自动泄压、限压阀失效后安全阀自动泄气等多重安全保护装置。</w:t>
      </w:r>
    </w:p>
    <w:p w14:paraId="7EC2E4C5">
      <w:pPr>
        <w:pageBreakBefore w:val="0"/>
        <w:kinsoku/>
        <w:wordWrap/>
        <w:overflowPunct/>
        <w:topLinePunct w:val="0"/>
        <w:autoSpaceDE/>
        <w:autoSpaceDN/>
        <w:bidi w:val="0"/>
        <w:spacing w:line="360" w:lineRule="auto"/>
        <w:ind w:left="-199" w:leftChars="-95" w:firstLine="240" w:firstLineChars="1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具有超温、超压、缺水保护并具有声响提示，多重保护措施，使仪器工作过程更加安全。</w:t>
      </w:r>
    </w:p>
    <w:p w14:paraId="6CFE94B7">
      <w:pPr>
        <w:pageBreakBefore w:val="0"/>
        <w:kinsoku/>
        <w:wordWrap/>
        <w:overflowPunct/>
        <w:topLinePunct w:val="0"/>
        <w:autoSpaceDE/>
        <w:autoSpaceDN/>
        <w:bidi w:val="0"/>
        <w:spacing w:line="360" w:lineRule="auto"/>
        <w:ind w:left="10" w:leftChars="5"/>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11熏蒸容器内设置具有过滤功能的蒸汽输出装置，防止药渣进入，堵塞蒸汽管道;蒸汽输出装置可拆卸，方便清洗药垢。</w:t>
      </w:r>
    </w:p>
    <w:p w14:paraId="1B748978">
      <w:pPr>
        <w:pageBreakBefore w:val="0"/>
        <w:kinsoku/>
        <w:wordWrap/>
        <w:overflowPunct/>
        <w:topLinePunct w:val="0"/>
        <w:autoSpaceDE/>
        <w:autoSpaceDN/>
        <w:bidi w:val="0"/>
        <w:spacing w:line="360" w:lineRule="auto"/>
        <w:ind w:left="-199" w:leftChars="-95" w:firstLine="240" w:firstLineChars="1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 配备冷凝水收集系统，保证喷出的蒸汽中没有凝聚的水珠，从而避免烫伤患者。</w:t>
      </w:r>
    </w:p>
    <w:p w14:paraId="3149B563">
      <w:pPr>
        <w:pageBreakBefore w:val="0"/>
        <w:kinsoku/>
        <w:wordWrap/>
        <w:overflowPunct/>
        <w:topLinePunct w:val="0"/>
        <w:autoSpaceDE/>
        <w:autoSpaceDN/>
        <w:bidi w:val="0"/>
        <w:spacing w:line="360" w:lineRule="auto"/>
        <w:ind w:left="-199" w:leftChars="-95" w:firstLine="240" w:firstLineChars="1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 翻盖0~90°范围内任意悬停。</w:t>
      </w:r>
    </w:p>
    <w:p w14:paraId="08BDA7F6">
      <w:pPr>
        <w:pageBreakBefore w:val="0"/>
        <w:kinsoku/>
        <w:wordWrap/>
        <w:overflowPunct/>
        <w:topLinePunct w:val="0"/>
        <w:autoSpaceDE/>
        <w:autoSpaceDN/>
        <w:bidi w:val="0"/>
        <w:spacing w:line="360" w:lineRule="auto"/>
        <w:ind w:left="10" w:leftChars="5"/>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14喷头配有嵌入式吸水海绵隔离罩，吸附多余水珠，使病人和喷嘴之间保持安全距离，防止烫伤。</w:t>
      </w:r>
    </w:p>
    <w:p w14:paraId="05769FA2">
      <w:pPr>
        <w:pageBreakBefore w:val="0"/>
        <w:kinsoku/>
        <w:wordWrap/>
        <w:overflowPunct/>
        <w:topLinePunct w:val="0"/>
        <w:autoSpaceDE/>
        <w:autoSpaceDN/>
        <w:bidi w:val="0"/>
        <w:spacing w:line="360" w:lineRule="auto"/>
        <w:ind w:left="-199" w:leftChars="-95" w:firstLine="240" w:firstLineChars="1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rPr>
        <w:t>▲配置自动、手动两种排废液方式，互不干扰，方便医护人员使用。</w:t>
      </w:r>
    </w:p>
    <w:p w14:paraId="3D51D418">
      <w:pPr>
        <w:pageBreakBefore w:val="0"/>
        <w:kinsoku/>
        <w:wordWrap/>
        <w:overflowPunct/>
        <w:topLinePunct w:val="0"/>
        <w:autoSpaceDE/>
        <w:autoSpaceDN/>
        <w:bidi w:val="0"/>
        <w:spacing w:line="360" w:lineRule="auto"/>
        <w:ind w:left="10" w:leftChars="5"/>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16熏蒸容器采用外置式一体成型加热器，有效防止药液对加热装置的腐蚀，延长使用寿命。</w:t>
      </w:r>
    </w:p>
    <w:p w14:paraId="2488431F">
      <w:pPr>
        <w:pageBreakBefore w:val="0"/>
        <w:kinsoku/>
        <w:wordWrap/>
        <w:overflowPunct/>
        <w:topLinePunct w:val="0"/>
        <w:autoSpaceDE/>
        <w:autoSpaceDN/>
        <w:bidi w:val="0"/>
        <w:spacing w:line="360" w:lineRule="auto"/>
        <w:ind w:left="10" w:leftChars="5"/>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17.仪器采用大功率加热盘，能快速的将药液提升到沸点。出蒸汽的时间为9分钟(初始水温25°C，水量2.2L)，缩短病人的守候时间 </w:t>
      </w:r>
      <w:r>
        <w:rPr>
          <w:rFonts w:hint="eastAsia" w:ascii="宋体" w:hAnsi="宋体" w:cs="宋体"/>
          <w:color w:val="auto"/>
          <w:sz w:val="24"/>
          <w:szCs w:val="24"/>
          <w:highlight w:val="none"/>
          <w:lang w:eastAsia="zh-CN"/>
        </w:rPr>
        <w:t>。</w:t>
      </w:r>
    </w:p>
    <w:p w14:paraId="76137FE2">
      <w:pPr>
        <w:pageBreakBefore w:val="0"/>
        <w:kinsoku/>
        <w:wordWrap/>
        <w:overflowPunct/>
        <w:topLinePunct w:val="0"/>
        <w:autoSpaceDE/>
        <w:autoSpaceDN/>
        <w:bidi w:val="0"/>
        <w:spacing w:line="360" w:lineRule="auto"/>
        <w:ind w:left="10" w:leftChars="5"/>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 多角度治疗: 三维万向旋转臂杆，360度旋转喷头，针对于某个部位的熏蒸灵活性大，无需患者脱衣治疗，只需露出熏蒸部位熏蒸治疗，方便灵活。</w:t>
      </w:r>
    </w:p>
    <w:p w14:paraId="31F329C8">
      <w:pPr>
        <w:pageBreakBefore w:val="0"/>
        <w:kinsoku/>
        <w:wordWrap/>
        <w:overflowPunct/>
        <w:topLinePunct w:val="0"/>
        <w:autoSpaceDE/>
        <w:autoSpaceDN/>
        <w:bidi w:val="0"/>
        <w:spacing w:line="360" w:lineRule="auto"/>
        <w:ind w:left="-199" w:leftChars="-95" w:firstLine="240" w:firstLineChars="1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19 具有浓度检测功能，通过数值大小指示运行时药物的浓度，清晰直观。</w:t>
      </w:r>
    </w:p>
    <w:p w14:paraId="541B79D9">
      <w:pPr>
        <w:pageBreakBefore w:val="0"/>
        <w:kinsoku/>
        <w:wordWrap/>
        <w:overflowPunct/>
        <w:topLinePunct w:val="0"/>
        <w:autoSpaceDE/>
        <w:autoSpaceDN/>
        <w:bidi w:val="0"/>
        <w:spacing w:line="360" w:lineRule="auto"/>
        <w:ind w:left="10" w:leftChars="5"/>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20仪器整体体积小，移动方便灵活。适用于住院部病区的床前移动治疗，对于术前治疗和手术后的康复治疗等不便移动的病人提供便利。</w:t>
      </w:r>
    </w:p>
    <w:p w14:paraId="759AE2F8">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4693DCFC">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品目四：磁振热治疗仪</w:t>
      </w:r>
    </w:p>
    <w:p w14:paraId="197E3BD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1.输入功率：300VA。</w:t>
      </w:r>
    </w:p>
    <w:p w14:paraId="1ACB0DB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2.工作条件：220V±10%，50Hz±2%。</w:t>
      </w:r>
    </w:p>
    <w:p w14:paraId="4580D86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3.柜式结构，≥7英寸彩色液晶显示屏，操作面板操作。</w:t>
      </w:r>
    </w:p>
    <w:p w14:paraId="058FBBD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4.操作功能：</w:t>
      </w:r>
    </w:p>
    <w:p w14:paraId="5EB4CDA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(1)设备断电再恢复时，应用部分不应有任何输出；</w:t>
      </w:r>
    </w:p>
    <w:p w14:paraId="639713D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(2)设备输出时具有指示功能；</w:t>
      </w:r>
    </w:p>
    <w:p w14:paraId="1126BEC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(3)设备具有手动停止输出的功能；</w:t>
      </w:r>
    </w:p>
    <w:p w14:paraId="6872F4B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(4)具有通道选择、治疗模式选择、时间和温度设置功能；</w:t>
      </w:r>
    </w:p>
    <w:p w14:paraId="4DF4043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(5)具有治疗界面显示功能，可查看所有通道运行状态：包持设置时间、剩余时间、治疗模式、设置温度、实际温度；</w:t>
      </w:r>
    </w:p>
    <w:p w14:paraId="3DAEC0B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(6)具有治疗结束声音提醒功能；</w:t>
      </w:r>
    </w:p>
    <w:p w14:paraId="09298F4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5.双通道，标配颈肩温热导子、标准温热导子。</w:t>
      </w:r>
    </w:p>
    <w:p w14:paraId="44A45AA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6.一个温热导子由8个热磁振子组成，磁体尺寸：88mm</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rPr>
        <w:t>63mm</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rPr>
        <w:t>19mm，允差±10%。</w:t>
      </w:r>
    </w:p>
    <w:p w14:paraId="6BBD72B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7.磁场强度：最大磁感应强度38mT，允差±30%或±3mT。</w:t>
      </w:r>
    </w:p>
    <w:p w14:paraId="1846F40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8.振动频率：50Hz±1Hz。</w:t>
      </w:r>
    </w:p>
    <w:p w14:paraId="11F0CC9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加热方式：40℃、46℃、52℃、58℃、常温五个档可调，误差为±2℃。</w:t>
      </w:r>
    </w:p>
    <w:p w14:paraId="7732170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超温保护装置：具有独立于恒温器的非自动复位的超温保护装置，超温保护装置动作时，应停止输出，应用部分的温度应不超过60℃。</w:t>
      </w:r>
    </w:p>
    <w:p w14:paraId="6D73571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11.6种工作模式：</w:t>
      </w:r>
    </w:p>
    <w:p w14:paraId="32D2D84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(1)模式 1：工作周期为 1s，频率 1Hz，占空比 10%。</w:t>
      </w:r>
    </w:p>
    <w:p w14:paraId="2E0DBF9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(2)模式 2：工作周期为 2s，频率 0.5Hz，占空比 10%。</w:t>
      </w:r>
    </w:p>
    <w:p w14:paraId="2778783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(3)模式 3：工作周期为 2.5s，频率 0.4Hz，占空比 8%。</w:t>
      </w:r>
    </w:p>
    <w:p w14:paraId="07AEE0D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(4)模式 4：工作周期为 3s，频率 0.33Hz，占空比 13.33%。</w:t>
      </w:r>
    </w:p>
    <w:p w14:paraId="0DE6B71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(5)模式 5：工作周期为 4s，频率 0.25Hz，占空比 25%。</w:t>
      </w:r>
    </w:p>
    <w:p w14:paraId="3E24F75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(6)模式 6：工作周期为 5s，2 种脉冲交替，第一种：频率 0.71Hz，占空比 29%。第二种：频率 0.28Hz，占空比 11%。</w:t>
      </w:r>
    </w:p>
    <w:p w14:paraId="66E3678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12.治疗时间：1～60min，步距1min，误差±10%。</w:t>
      </w:r>
    </w:p>
    <w:p w14:paraId="762D8A6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13.连续工作时间：＞8h。</w:t>
      </w:r>
    </w:p>
    <w:p w14:paraId="497F19B0">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764081AD">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品目五：脑循环功能障碍治疗仪</w:t>
      </w:r>
    </w:p>
    <w:p w14:paraId="1A5ECA0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1.工作温度：5℃～40 ℃ </w:t>
      </w:r>
    </w:p>
    <w:p w14:paraId="4C503E9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2.相对湿度10%～80 %</w:t>
      </w:r>
    </w:p>
    <w:p w14:paraId="74F68D8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3.大气压力700hPa～1060hP </w:t>
      </w:r>
    </w:p>
    <w:p w14:paraId="222EC15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4.输入功率：100VA；</w:t>
      </w:r>
    </w:p>
    <w:p w14:paraId="709991C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5.使用电源：220V，50Hz；</w:t>
      </w:r>
    </w:p>
    <w:p w14:paraId="1F3993A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6.台面结构，双通道，液晶显示屏显示加一键飞梭操作；</w:t>
      </w:r>
    </w:p>
    <w:p w14:paraId="0B72199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7.具有4路电疗输出，2路磁疗输出。可根据治疗需要 组合使用，也可单独使用 </w:t>
      </w:r>
    </w:p>
    <w:p w14:paraId="42E76DF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8.▲4种输出模式：常规模式、夜间模式、脉冲模式、连续模式；</w:t>
      </w:r>
    </w:p>
    <w:p w14:paraId="7E3BAF0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常规模式：根据设置参数治疗，治疗时间达到预设时间时停止治疗。 </w:t>
      </w:r>
    </w:p>
    <w:p w14:paraId="6BBFB6D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夜间模式：在治疗过程中，每治疗 10 分钟停止 2 小时，直至治疗时间达到预设时间。 </w:t>
      </w:r>
    </w:p>
    <w:p w14:paraId="2EA3EAB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脉冲模式：在治疗过程中，每治疗 5 秒停止 1 秒，直至治疗时间达到预设时间。 </w:t>
      </w:r>
    </w:p>
    <w:p w14:paraId="7F89536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连续模式：在治疗过程中，每 20 分钟提示 10 秒。</w:t>
      </w:r>
    </w:p>
    <w:p w14:paraId="66D533C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9.▲时间设定：</w:t>
      </w:r>
    </w:p>
    <w:p w14:paraId="162E061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(1)小脑顶核电刺激、肢体神经肌肉电刺激的时间范围：常规、夜间、脉冲模式的时间设置范围为1～30分钟，步长1分钟；连续模式的时间设置范围为1～99分钟，步长1分钟。允差±5%。</w:t>
      </w:r>
    </w:p>
    <w:p w14:paraId="082B0FE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(2)重复经颅磁刺激治疗的时间范围为1～99分钟，步长1分钟，允差±5%</w:t>
      </w:r>
    </w:p>
    <w:p w14:paraId="0DE0A45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10.小脑顶核电刺激（FNS）治疗参数</w:t>
      </w:r>
    </w:p>
    <w:p w14:paraId="620FAA5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(1)在500Ω的负载阻抗下，最大输出有效值电流应不超过50mA。</w:t>
      </w:r>
    </w:p>
    <w:p w14:paraId="53C2F1F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(2)电流强度设定显示范围为0～80可调，步长为1，无量纲数。</w:t>
      </w:r>
    </w:p>
    <w:p w14:paraId="555E3AE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(3)在标准模式下，输出电流的最大电流峰值不超过90mA。</w:t>
      </w:r>
    </w:p>
    <w:p w14:paraId="5CC9170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(4)输出开路时的最大电压峰值不大于500V</w:t>
      </w:r>
    </w:p>
    <w:p w14:paraId="0DC1E67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(5)小脑顶核电刺激输出波形为为无序波，频率不可设置</w:t>
      </w:r>
    </w:p>
    <w:p w14:paraId="39DF5E5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(6)输出电流的频率特征用基波频率描述，是一组组合脉冲电流的频率。允差±15%，</w:t>
      </w:r>
      <w:r>
        <w:rPr>
          <w:rFonts w:hint="eastAsia" w:ascii="宋体" w:hAnsi="宋体" w:cs="宋体"/>
          <w:color w:val="auto"/>
          <w:sz w:val="24"/>
          <w:szCs w:val="24"/>
          <w:highlight w:val="none"/>
          <w:lang w:val="zh-CN"/>
        </w:rPr>
        <w:t>频率</w:t>
      </w:r>
      <w:r>
        <w:rPr>
          <w:rFonts w:hint="eastAsia" w:ascii="宋体" w:hAnsi="宋体" w:cs="宋体"/>
          <w:color w:val="auto"/>
          <w:sz w:val="24"/>
          <w:szCs w:val="24"/>
          <w:highlight w:val="none"/>
        </w:rPr>
        <w:t>4种形式</w:t>
      </w:r>
      <w:r>
        <w:rPr>
          <w:rFonts w:hint="eastAsia" w:ascii="宋体" w:hAnsi="宋体" w:cs="宋体"/>
          <w:color w:val="auto"/>
          <w:sz w:val="24"/>
          <w:szCs w:val="24"/>
          <w:highlight w:val="none"/>
          <w:lang w:val="zh-CN"/>
        </w:rPr>
        <w:t>:23.81Hz 、15.87Hz 、15.87Hz、11.90Hz</w:t>
      </w:r>
    </w:p>
    <w:p w14:paraId="7C5BDB5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(7)脉冲宽度为500μs±15%</w:t>
      </w:r>
    </w:p>
    <w:p w14:paraId="6B377AF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11.肢体神经肌肉电刺激（NMES）治疗参数</w:t>
      </w:r>
    </w:p>
    <w:p w14:paraId="4DEB58D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(1)在500Ω的负载阻抗下，最大输出有效值电流应不超过100mA。</w:t>
      </w:r>
    </w:p>
    <w:p w14:paraId="0249FF3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(2)电流强度设定显示范围0～90可调，步长为1，无量纲数</w:t>
      </w:r>
    </w:p>
    <w:p w14:paraId="6CD4C36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(3)输出电流稳定度：不同负载下的电流变化率应不大于10%</w:t>
      </w:r>
    </w:p>
    <w:p w14:paraId="3B6BADC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(4)输出开路时的最大电压峰值不大于500V</w:t>
      </w:r>
    </w:p>
    <w:p w14:paraId="79CB837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(5)载波频率：4000Hz ±10%；</w:t>
      </w:r>
    </w:p>
    <w:p w14:paraId="0F95C5D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(6)载波波形及脉宽：方波，120μs±15%</w:t>
      </w:r>
    </w:p>
    <w:p w14:paraId="5D2A7AD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(7)调制波波形是棱形波，调幅度100%，允差±5%</w:t>
      </w:r>
    </w:p>
    <w:p w14:paraId="0B8B776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(8)共有 10 种调制模式，根据患者具体状况，设置参数。</w:t>
      </w:r>
    </w:p>
    <w:p w14:paraId="60E0DD4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12.重复经颅磁刺激参数</w:t>
      </w:r>
    </w:p>
    <w:p w14:paraId="6AC620A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)治疗帽区最多7个磁体，单个磁体尺寸为28mm*26mm*11mm，允差</w:t>
      </w:r>
      <w:r>
        <w:rPr>
          <w:rFonts w:hint="eastAsia" w:ascii="宋体" w:hAnsi="宋体" w:cs="宋体"/>
          <w:color w:val="auto"/>
          <w:sz w:val="24"/>
          <w:szCs w:val="24"/>
          <w:highlight w:val="none"/>
        </w:rPr>
        <w:sym w:font="Symbol" w:char="F0B1"/>
      </w:r>
      <w:r>
        <w:rPr>
          <w:rFonts w:hint="eastAsia" w:ascii="宋体" w:hAnsi="宋体" w:cs="宋体"/>
          <w:color w:val="auto"/>
          <w:sz w:val="24"/>
          <w:szCs w:val="24"/>
          <w:highlight w:val="none"/>
        </w:rPr>
        <w:t>10%</w:t>
      </w:r>
    </w:p>
    <w:p w14:paraId="5BAC5B7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(2)磁场强度3档可调，弱档3mT～15mT，中档15mT～30mT，强档30mT～50mT</w:t>
      </w:r>
    </w:p>
    <w:p w14:paraId="12CBA5E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(3)磁场频率可在0～50Hz内调节，分别为5Hz、10Hz、20Hz、30Hz、40Hz、50Hz，允差±2%。可以任选一种频率定频治疗，也可以选择变频治疗</w:t>
      </w:r>
    </w:p>
    <w:p w14:paraId="4ACA971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(4)脉冲宽度为1ms-10ms</w:t>
      </w:r>
    </w:p>
    <w:p w14:paraId="37D165F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(5)磁场强度、振动强度、振动频率在治疗状态下,点击磁场强度数值处，屏幕手动调节/转动编码器调节磁场强度。默认磁场强度为关，可在关、弱、中、强之间设置</w:t>
      </w:r>
    </w:p>
    <w:p w14:paraId="60B1D29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(6)磁体作用中心原点区域垂直表面20mm外为磁场强度有效值限值0.5mT的安全范围</w:t>
      </w:r>
    </w:p>
    <w:p w14:paraId="303E5E0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(7)磁场强度随时间变化的波形是脉冲波</w:t>
      </w:r>
    </w:p>
    <w:p w14:paraId="2B59226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13.设备具有参数显示功能</w:t>
      </w:r>
    </w:p>
    <w:p w14:paraId="620090D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(1)小脑顶核电刺激界面显示：通道数量（双通道型号适用）、治疗时间、治疗模式、电流强度、停止/暂停/启动状态</w:t>
      </w:r>
    </w:p>
    <w:p w14:paraId="349D397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(2)肢体神经肌肉电刺激界面显示：通道数量（双通道型号适用）、治疗时间、治疗模式。调制模式、电流强度、停止/暂停/启动状态</w:t>
      </w:r>
    </w:p>
    <w:p w14:paraId="4A11BBC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(3)重复经颅磁刺激界面显示：通道数量（双通道型号适用）、治疗时间、磁场强度、磁场频率、振动强度、振动频率、停止/暂停/启动状态</w:t>
      </w:r>
    </w:p>
    <w:p w14:paraId="6A5E144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14.设备具有参数设置功能，可通过点击屏幕或调节旋钮进行设置，设置内容包括：时间、强度、模式、频率</w:t>
      </w:r>
    </w:p>
    <w:p w14:paraId="2A20BEF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15.设备具有Wi-Fi无线电网络接口</w:t>
      </w:r>
    </w:p>
    <w:p w14:paraId="5D3AEC51">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6E9C2972">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335B493C">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品目六：高频治疗仪</w:t>
      </w:r>
    </w:p>
    <w:p w14:paraId="4B2CDB85">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1、使用电源:AC220V±22V，50Hz士1Hz;</w:t>
      </w:r>
    </w:p>
    <w:p w14:paraId="34A2F517">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2、工作频率:</w:t>
      </w:r>
      <w:r>
        <w:rPr>
          <w:rFonts w:hint="eastAsia"/>
          <w:color w:val="auto"/>
          <w:sz w:val="24"/>
          <w:szCs w:val="24"/>
          <w:highlight w:val="none"/>
        </w:rPr>
        <w:t xml:space="preserve"> </w:t>
      </w:r>
      <w:r>
        <w:rPr>
          <w:rFonts w:hint="eastAsia" w:ascii="宋体" w:hAnsi="宋体" w:cs="宋体"/>
          <w:color w:val="auto"/>
          <w:sz w:val="24"/>
          <w:szCs w:val="24"/>
          <w:highlight w:val="none"/>
        </w:rPr>
        <w:t>≥40.68MHz，误差士1.5%;</w:t>
      </w:r>
    </w:p>
    <w:p w14:paraId="602327C6">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3、输入功率:≤1000VA;</w:t>
      </w:r>
    </w:p>
    <w:p w14:paraId="64D9C704">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4、输出功率:200W最大，误差士20%;</w:t>
      </w:r>
    </w:p>
    <w:p w14:paraId="48866ACD">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输出强度:50W、100W、150W、200w连续可调，三模式12档可选;</w:t>
      </w:r>
    </w:p>
    <w:p w14:paraId="23E63B47">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6、输出指示: 液晶屏实时显示预热状态、治疗状态、治疗时间、结束状态等;</w:t>
      </w:r>
    </w:p>
    <w:p w14:paraId="54EE3462">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7、治疗时间: 0～30min可调，液晶屏实时显示;</w:t>
      </w:r>
    </w:p>
    <w:p w14:paraId="2D3570EE">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8、输出模式:具有脉冲、连续、断续波输出，不少于3种模式。</w:t>
      </w:r>
    </w:p>
    <w:p w14:paraId="6F7FB65D">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9、连续波模式:持续输出，“频率”“脉宽”参数显示和设定无效。</w:t>
      </w:r>
    </w:p>
    <w:p w14:paraId="28D24137">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10、断续波输出:  以50%占空比的脉冲方式输出，输出频率10～200Hz，步进10Hz，误差</w:t>
      </w:r>
    </w:p>
    <w:p w14:paraId="07D30EFF">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士10%;</w:t>
      </w:r>
    </w:p>
    <w:p w14:paraId="550023FE">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11、脉冲波输出: 脉冲宽度200～1000us，步进50us，误差士10%;</w:t>
      </w:r>
    </w:p>
    <w:p w14:paraId="79F30621">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12、显示装置:高清真彩液晶屏，仪器治疗参数和设备状态全程实时显示;</w:t>
      </w:r>
    </w:p>
    <w:p w14:paraId="49A6E281">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13、液晶触控:液晶触摸控制，管理系统智能化;</w:t>
      </w:r>
    </w:p>
    <w:p w14:paraId="1A930CA3">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14、智能一键:一键开机预热、治疗模式、输出强度，启用、暂停、停止等快捷键;</w:t>
      </w:r>
    </w:p>
    <w:p w14:paraId="736AF3F2">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15、操作提示:液晶触摸屏按键操作提示音、输出提示音、结束提示音等;</w:t>
      </w:r>
    </w:p>
    <w:p w14:paraId="41C39DD2">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16、输出电极:特制电极板适用于不同治疗部位使用;</w:t>
      </w:r>
    </w:p>
    <w:p w14:paraId="0F25DAA2">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17、输出导线:特制铜质电缆线，绝缘强、耐高温、损耗小，安装方便可靠;</w:t>
      </w:r>
    </w:p>
    <w:p w14:paraId="42FFDC68">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18、导线长度:长度≥1.1米，允差士10%，满足临床需求和方便使用;</w:t>
      </w:r>
    </w:p>
    <w:p w14:paraId="05BCCD47">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19、导线性能:导线交叉不打火、绝缘和屏蔽优;</w:t>
      </w:r>
    </w:p>
    <w:p w14:paraId="1BBDF487">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20、调谐方式:旋钮式输出回路谐振频率调谐;</w:t>
      </w:r>
    </w:p>
    <w:p w14:paraId="6AC9995B">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21、场强指示:配置场强指示附件，指示电极板输出功率分布和强弱;</w:t>
      </w:r>
    </w:p>
    <w:p w14:paraId="694526FA">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22、电流指示:最大量程为300mA，精度不低于2.5级;</w:t>
      </w:r>
    </w:p>
    <w:p w14:paraId="0C1F2C85">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trike/>
          <w:color w:val="auto"/>
          <w:sz w:val="24"/>
          <w:szCs w:val="24"/>
          <w:highlight w:val="none"/>
          <w:lang w:eastAsia="zh-CN"/>
        </w:rPr>
      </w:pPr>
      <w:r>
        <w:rPr>
          <w:rFonts w:hint="eastAsia" w:ascii="宋体" w:hAnsi="宋体" w:cs="宋体"/>
          <w:color w:val="auto"/>
          <w:sz w:val="24"/>
          <w:szCs w:val="24"/>
          <w:highlight w:val="none"/>
        </w:rPr>
        <w:t>23、产品样式:落地推车式，移动方便</w:t>
      </w:r>
      <w:r>
        <w:rPr>
          <w:rFonts w:hint="eastAsia" w:ascii="宋体" w:hAnsi="宋体" w:cs="宋体"/>
          <w:color w:val="auto"/>
          <w:sz w:val="24"/>
          <w:szCs w:val="24"/>
          <w:highlight w:val="none"/>
          <w:lang w:eastAsia="zh-CN"/>
        </w:rPr>
        <w:t>。</w:t>
      </w:r>
    </w:p>
    <w:p w14:paraId="6F071171">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24、存放装置:配置有电极板存放装置，方便临床使用。</w:t>
      </w:r>
    </w:p>
    <w:p w14:paraId="3E6A72FC">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适用范围:用于多部位、多病症辅助治疗，确保临床使用和符合医保收费。</w:t>
      </w:r>
    </w:p>
    <w:p w14:paraId="5BFBAF32">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r>
        <w:rPr>
          <w:rFonts w:hint="eastAsia" w:ascii="宋体" w:hAnsi="宋体" w:cs="宋体"/>
          <w:color w:val="auto"/>
          <w:sz w:val="24"/>
          <w:szCs w:val="24"/>
          <w:highlight w:val="none"/>
        </w:rPr>
        <w:t>26、使用期限:≥10年。</w:t>
      </w:r>
    </w:p>
    <w:p w14:paraId="51CE9731">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2742468F">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品目七：低频电子脉冲治疗仪</w:t>
      </w:r>
    </w:p>
    <w:p w14:paraId="74F752C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1.输入功率：40VA；</w:t>
      </w:r>
    </w:p>
    <w:p w14:paraId="519E256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2.使用电源：220V，50Hz；</w:t>
      </w:r>
    </w:p>
    <w:p w14:paraId="6404ECE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3.台面款机型，彩色触摸屏加选择编码器操作；</w:t>
      </w:r>
    </w:p>
    <w:p w14:paraId="7022F00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4.具有两组电疗输出；</w:t>
      </w:r>
    </w:p>
    <w:p w14:paraId="4FEDA58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5.时间设定：时间范围为0～99min可调，单步长1min；</w:t>
      </w:r>
    </w:p>
    <w:p w14:paraId="5F1A8EE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6.定时提醒：定时时间到后有声音提示功能；</w:t>
      </w:r>
    </w:p>
    <w:p w14:paraId="3B504DC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7.输出波形：每通道包含Ⅰ、Ⅱ两组输出，输出波形为方波与指数波的组合波</w:t>
      </w:r>
    </w:p>
    <w:p w14:paraId="7D4F729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8.▲波形参数：</w:t>
      </w:r>
    </w:p>
    <w:p w14:paraId="406CB5C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(1)脉冲周期：0.5s～2s可调，步长为0.1s，允差±10%；</w:t>
      </w:r>
    </w:p>
    <w:p w14:paraId="53C7EEA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(2)脉冲宽度：0.1ms～2.0ms可调，步长为0.05ms,允差±10%；</w:t>
      </w:r>
    </w:p>
    <w:p w14:paraId="3CB7726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(3)延时时间：Ⅱ路输出脉冲比Ⅰ路输出脉冲延时出现，延时时间从0.1s～1.5s可调，步长为0.1s,允差±10%；</w:t>
      </w:r>
    </w:p>
    <w:p w14:paraId="1D54B76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(4)输出强度：Ⅰ、Ⅱ两路输出脉冲电流峰峰值Ip-p从0mA～99mA可调, 步长为1 mA，最大输出值允差±15%；</w:t>
      </w:r>
    </w:p>
    <w:p w14:paraId="6C40289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9.▲处方选择：治疗仪具有≥10个默认处方和≥10个自定义处方；</w:t>
      </w:r>
    </w:p>
    <w:p w14:paraId="740340F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10.连续工作时间大于8h；</w:t>
      </w:r>
    </w:p>
    <w:p w14:paraId="272C88F6">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6015F73A">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品目八：吞咽神经肌肉低频电刺激仪</w:t>
      </w:r>
    </w:p>
    <w:p w14:paraId="6F0C775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1.输入功率：80VA</w:t>
      </w:r>
    </w:p>
    <w:p w14:paraId="66FA040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2.使用电源：220V，50Hz；</w:t>
      </w:r>
    </w:p>
    <w:p w14:paraId="6785FDA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3.产品组成：由主机、输出线、电源线、手持控制器、电极组成。</w:t>
      </w:r>
    </w:p>
    <w:p w14:paraId="3CE02F0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4.操作方式：彩色液晶触摸屏，配合一键飞梭进行定位操作。</w:t>
      </w:r>
    </w:p>
    <w:p w14:paraId="3E8E25F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5.通道数量：单通道柜式机型；</w:t>
      </w:r>
    </w:p>
    <w:p w14:paraId="2C88B4F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6.治疗功能：同时具备评估、治疗及训练三种功能；</w:t>
      </w:r>
    </w:p>
    <w:p w14:paraId="1AC6E58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7.评估模式下，具有自动计算α值（评估值）的功能，并可将评估结果保存至病历中；</w:t>
      </w:r>
    </w:p>
    <w:p w14:paraId="38952DB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8.具有治疗结束提醒功能。治疗结束具有声音提醒；</w:t>
      </w:r>
    </w:p>
    <w:p w14:paraId="2F7EDA7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9.具有收藏设置参数功能，治疗结束后可以在病历列表中调取；</w:t>
      </w:r>
    </w:p>
    <w:p w14:paraId="3D699D1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10.▲设备内置电极放置和粘贴示意图，便于临床操作人员根据不同病症灵活选择；</w:t>
      </w:r>
    </w:p>
    <w:p w14:paraId="3AB314F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11.▲患者病历信息管理：记录患者详情信息，可新增、查询、删除、导出病历信息；</w:t>
      </w:r>
    </w:p>
    <w:p w14:paraId="21A86F4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12.具有定时功能，时间范围1～99分钟，步长为1分钟；</w:t>
      </w:r>
    </w:p>
    <w:p w14:paraId="72ADB79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13.辅极：小脑顶核电刺激功能：</w:t>
      </w:r>
    </w:p>
    <w:p w14:paraId="4E0CD68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(1)输出电流的频率特征用基波频率描述，是一组组合脉冲电流的频率，辅电极输出为无序波，频率不可设置。</w:t>
      </w:r>
    </w:p>
    <w:p w14:paraId="0F8187B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(2)四种基本频率：23.81Hz、15.87Hz、15.87Hz、11.90Hz；</w:t>
      </w:r>
    </w:p>
    <w:p w14:paraId="4E84D03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(3)辅电极的脉宽500μs±15%；</w:t>
      </w:r>
    </w:p>
    <w:p w14:paraId="0DBD337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(4)辅电极最大输出电流峰值40mA；</w:t>
      </w:r>
    </w:p>
    <w:p w14:paraId="51701B6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(5)辅电极开路输出电压：开路输出峰值电压≤500V；</w:t>
      </w:r>
    </w:p>
    <w:p w14:paraId="5E4DB0E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(6)辅电极直流分量：无直流分量。</w:t>
      </w:r>
    </w:p>
    <w:p w14:paraId="73E3879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14.主电极具有5种输出模式：成人连续模式，儿童交替模式，手控触发脉冲模式，自动触发脉冲模式，评估模式。</w:t>
      </w:r>
    </w:p>
    <w:p w14:paraId="305B157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15.主电极开路输出电压：开路输出峰值电压≤500V；</w:t>
      </w:r>
    </w:p>
    <w:p w14:paraId="0E0ED27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16.成人连续模式：</w:t>
      </w:r>
    </w:p>
    <w:p w14:paraId="7B30213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(1)输出电流：0～80mA，步长0.5mA，分160档连续可调；</w:t>
      </w:r>
    </w:p>
    <w:p w14:paraId="0501B4D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(2)脉冲宽度：1～31档可调，即100μs～400μs可调，步距10μs；</w:t>
      </w:r>
    </w:p>
    <w:p w14:paraId="445F453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(3)脉冲间隔：100μs；</w:t>
      </w:r>
    </w:p>
    <w:p w14:paraId="798B76E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(4)脉冲频率：20Hz～100Hz可调，步距1Hz；</w:t>
      </w:r>
    </w:p>
    <w:p w14:paraId="2FB0D11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(5)脉冲周期：10ms～50ms；</w:t>
      </w:r>
    </w:p>
    <w:p w14:paraId="7E0F851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17.儿童交替模式：</w:t>
      </w:r>
    </w:p>
    <w:p w14:paraId="34C31AA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(1)输出电流：0～80mA，步长0.5mA，分160档连续可调；</w:t>
      </w:r>
    </w:p>
    <w:p w14:paraId="14044A7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(2)脉冲宽度：1～31档可调，即100μs～400μs可调，步距10μs；</w:t>
      </w:r>
    </w:p>
    <w:p w14:paraId="0F8D71F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(3)脉冲间隔：100μs；</w:t>
      </w:r>
    </w:p>
    <w:p w14:paraId="679F7D7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(4)脉冲频率：20Hz～100Hz可调，步距1Hz；</w:t>
      </w:r>
    </w:p>
    <w:p w14:paraId="46CA7A8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(5)持续时间：≥1s；</w:t>
      </w:r>
    </w:p>
    <w:p w14:paraId="1E28099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(6)脉冲周期：10ms～50ms；</w:t>
      </w:r>
    </w:p>
    <w:p w14:paraId="79F6A17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18.手控触发脉冲模式、自动触发脉冲模式：</w:t>
      </w:r>
    </w:p>
    <w:p w14:paraId="1B60C79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(1)输出电流：0～25mA，步长0.5mA，分50档连续可调；</w:t>
      </w:r>
    </w:p>
    <w:p w14:paraId="34EF564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(2)脉冲宽度：1～28档可调，即10ms～1000ms可调，10～100ms步距增量10ms，100～1000ms步距增量50ms；</w:t>
      </w:r>
    </w:p>
    <w:p w14:paraId="26F20AC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(3)脉冲间隔：1～5档可调，即1～5s可调，步距增量1s；</w:t>
      </w:r>
    </w:p>
    <w:p w14:paraId="5F849FB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(4)脉冲频率：自动触发脉冲模式脉冲频率：0.154Hz～0.985Hz；</w:t>
      </w:r>
    </w:p>
    <w:p w14:paraId="66EDBC9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(5)直流分量：</w:t>
      </w:r>
    </w:p>
    <w:p w14:paraId="53A5CDE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手控触发脉冲模式下直流分量为0～16mA；</w:t>
      </w:r>
    </w:p>
    <w:p w14:paraId="2A6E065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自动触发脉冲模式下直流分量为0～10mA；</w:t>
      </w:r>
    </w:p>
    <w:p w14:paraId="4809972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(6)脉冲周期：自动触发脉冲模式脉冲周期：1015ms～6500ms；</w:t>
      </w:r>
    </w:p>
    <w:p w14:paraId="04F2FA8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19.评估模式：</w:t>
      </w:r>
    </w:p>
    <w:p w14:paraId="07B3F7E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(1)输出电流：0～25mA；</w:t>
      </w:r>
    </w:p>
    <w:p w14:paraId="1A738BC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(2)脉冲宽度：1000ms、500ms；</w:t>
      </w:r>
    </w:p>
    <w:p w14:paraId="6C2B73A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(3)脉冲间隔：5s；</w:t>
      </w:r>
    </w:p>
    <w:p w14:paraId="597DE13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(4)脉冲频率：</w:t>
      </w:r>
    </w:p>
    <w:p w14:paraId="24F229A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当脉冲宽度为1000ms时，脉冲频率为0.167Hz；</w:t>
      </w:r>
    </w:p>
    <w:p w14:paraId="26C60B1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当脉冲宽度为500ms，脉冲频率为0.182Hz；</w:t>
      </w:r>
    </w:p>
    <w:p w14:paraId="46F2972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(5)直流分量：</w:t>
      </w:r>
    </w:p>
    <w:p w14:paraId="185EE45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电流阈值的直流分量：0～2mA；</w:t>
      </w:r>
    </w:p>
    <w:p w14:paraId="1408A8C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基强度的直流分量：0～4mA；</w:t>
      </w:r>
    </w:p>
    <w:p w14:paraId="117F6D6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(6)脉冲周期：</w:t>
      </w:r>
    </w:p>
    <w:p w14:paraId="45619BF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当脉冲宽度为1000ms时，脉冲周期为6000ms；</w:t>
      </w:r>
    </w:p>
    <w:p w14:paraId="6E7F6D9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当脉冲宽度为500ms，脉冲周期为5500ms；</w:t>
      </w:r>
    </w:p>
    <w:p w14:paraId="02697EF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20.手持电极模式（选配手持电极可用）：</w:t>
      </w:r>
    </w:p>
    <w:p w14:paraId="774F8A4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(1)输出电流：0～80mA，步长0.5mA，分160档连续可调；</w:t>
      </w:r>
    </w:p>
    <w:p w14:paraId="74389CF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(2)脉冲宽度：1～31档可调，即100μs～400μs可调，步距10μs；</w:t>
      </w:r>
    </w:p>
    <w:p w14:paraId="3D0C12A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(3)脉冲间隔：100μs；</w:t>
      </w:r>
    </w:p>
    <w:p w14:paraId="33630D2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(4)脉冲频率：20Hz～100Hz可调，步距1Hz；</w:t>
      </w:r>
    </w:p>
    <w:p w14:paraId="19AEBD0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(5)脉冲周期：10ms～50ms；</w:t>
      </w:r>
    </w:p>
    <w:p w14:paraId="4E36A2C2">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r>
        <w:rPr>
          <w:rFonts w:hint="eastAsia" w:ascii="宋体" w:hAnsi="宋体" w:cs="宋体"/>
          <w:color w:val="auto"/>
          <w:sz w:val="24"/>
          <w:szCs w:val="24"/>
          <w:highlight w:val="none"/>
        </w:rPr>
        <w:t>21.电刺激仪连续工作时间大于8h；</w:t>
      </w:r>
    </w:p>
    <w:p w14:paraId="1DE3B6FB">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33E65F9B">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品目九：上下肢主被动康复训练仪</w:t>
      </w:r>
    </w:p>
    <w:p w14:paraId="06AFB997">
      <w:pPr>
        <w:pageBreakBefore w:val="0"/>
        <w:kinsoku/>
        <w:wordWrap/>
        <w:overflowPunct/>
        <w:topLinePunct w:val="0"/>
        <w:autoSpaceDE/>
        <w:autoSpaceDN/>
        <w:bidi w:val="0"/>
        <w:spacing w:line="360" w:lineRule="auto"/>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适用范围</w:t>
      </w:r>
    </w:p>
    <w:p w14:paraId="231B15D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bookmarkStart w:id="196" w:name="_Toc17985"/>
      <w:r>
        <w:rPr>
          <w:rFonts w:hint="eastAsia" w:ascii="宋体" w:hAnsi="宋体" w:cs="宋体"/>
          <w:color w:val="auto"/>
          <w:kern w:val="0"/>
          <w:sz w:val="24"/>
          <w:szCs w:val="24"/>
          <w:highlight w:val="none"/>
        </w:rPr>
        <w:t>上下肢主被动运动康复机</w:t>
      </w:r>
      <w:r>
        <w:rPr>
          <w:rFonts w:hint="eastAsia" w:ascii="宋体" w:hAnsi="宋体" w:cs="宋体"/>
          <w:color w:val="auto"/>
          <w:sz w:val="24"/>
          <w:szCs w:val="24"/>
          <w:highlight w:val="none"/>
        </w:rPr>
        <w:t>可用于因神经、肌肉、韧带、骨骼损伤所引起的上/下肢运动功能障碍患者进行上/下肢功能训练、生物反馈训练、关节活动度训练、力量训练等。</w:t>
      </w:r>
      <w:bookmarkEnd w:id="196"/>
    </w:p>
    <w:p w14:paraId="33113D5D">
      <w:pPr>
        <w:pageBreakBefore w:val="0"/>
        <w:kinsoku/>
        <w:wordWrap/>
        <w:overflowPunct/>
        <w:topLinePunct w:val="0"/>
        <w:autoSpaceDE/>
        <w:autoSpaceDN/>
        <w:bidi w:val="0"/>
        <w:spacing w:line="360" w:lineRule="auto"/>
        <w:textAlignment w:val="auto"/>
        <w:rPr>
          <w:rFonts w:hint="eastAsia" w:ascii="宋体" w:hAnsi="宋体" w:cs="宋体"/>
          <w:color w:val="auto"/>
          <w:kern w:val="0"/>
          <w:sz w:val="24"/>
          <w:szCs w:val="24"/>
          <w:highlight w:val="none"/>
        </w:rPr>
      </w:pPr>
      <w:r>
        <w:rPr>
          <w:rFonts w:hint="eastAsia" w:ascii="宋体" w:hAnsi="宋体" w:cs="宋体"/>
          <w:b/>
          <w:bCs/>
          <w:color w:val="auto"/>
          <w:sz w:val="24"/>
          <w:szCs w:val="24"/>
          <w:highlight w:val="none"/>
        </w:rPr>
        <w:t>功能描述</w:t>
      </w:r>
    </w:p>
    <w:p w14:paraId="7438DAA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bookmarkStart w:id="197" w:name="_Toc7756"/>
      <w:r>
        <w:rPr>
          <w:rFonts w:hint="eastAsia" w:ascii="宋体" w:hAnsi="宋体" w:cs="宋体"/>
          <w:color w:val="auto"/>
          <w:kern w:val="0"/>
          <w:sz w:val="24"/>
          <w:szCs w:val="24"/>
          <w:highlight w:val="none"/>
        </w:rPr>
        <w:t>上下肢主被动运动康复机通过上肢及下肢的协调运动训练方式，达到被动带动无力肢体运动、健侧带动患侧、健侧患侧同时用力诱发主动运动、上肢圆周运动、下肢蹬踏的最基础的训练方式解决2-5级肌力患者的康复训练。安全的主被动运动，保证患者训练安全,可进行痉挛的发现与缓解达到降低痉挛出现的概率，并可加快本体感觉的恢复。</w:t>
      </w:r>
      <w:bookmarkEnd w:id="197"/>
    </w:p>
    <w:p w14:paraId="7831468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b/>
          <w:bCs/>
          <w:color w:val="auto"/>
          <w:sz w:val="24"/>
          <w:szCs w:val="24"/>
          <w:highlight w:val="none"/>
        </w:rPr>
        <w:t>技术参数</w:t>
      </w:r>
    </w:p>
    <w:p w14:paraId="681605A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.一台设备可提供上肢与下肢的运动康复训练；</w:t>
      </w:r>
    </w:p>
    <w:p w14:paraId="1D01735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.阻力设定范围：0-20Nm,档间距1Nm,允许误差±1Nm；</w:t>
      </w:r>
    </w:p>
    <w:p w14:paraId="3411BB4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.▲上、下肢被动训练转数：0-60rpm, 步距1rpm,允许误差±10%；</w:t>
      </w:r>
    </w:p>
    <w:p w14:paraId="503BBAE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.被动训练上肢电机动力最大输出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≥9Nm；，允许误差±20%；</w:t>
      </w:r>
    </w:p>
    <w:p w14:paraId="0F3412D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.被动训练下肢电机动力最大输出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≥16Nm；，允许误差±20%；</w:t>
      </w:r>
    </w:p>
    <w:p w14:paraId="318ACEC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.定时设置范围：0-120min,步进可调，步距1min，允许误差±10%；</w:t>
      </w:r>
    </w:p>
    <w:p w14:paraId="4746C86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.痉挛等级：高、中、低三档，根据使用者情况进行设定；</w:t>
      </w:r>
    </w:p>
    <w:p w14:paraId="1EF6E99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.电机等级：高、中、低三档；</w:t>
      </w:r>
    </w:p>
    <w:p w14:paraId="147E46F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.康复机上肢训练盘旋转面垂直调整角度90°；</w:t>
      </w:r>
    </w:p>
    <w:p w14:paraId="1D4BC9A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.上肢训练臂可进行水平方向180°旋转，为上、下肢训练提供舒适与便捷；</w:t>
      </w:r>
    </w:p>
    <w:p w14:paraId="12B9FB8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.显示屏：可进行180°旋转，7寸彩色液晶触摸显示操作；</w:t>
      </w:r>
    </w:p>
    <w:p w14:paraId="6AD794D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.▲上肢训练方式：上肢训练臂可进行垂直方向90度旋转，具有上肢垂直圆周运动与水平圆周运动变换功能；</w:t>
      </w:r>
    </w:p>
    <w:p w14:paraId="736C652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.机身高度调节范围：不低于10CM；</w:t>
      </w:r>
    </w:p>
    <w:p w14:paraId="5EF3781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.患者管理系统：具有训练方案、病例档案存储查询管理功能；可利用智能卡或U盘进行训练方案、病例档案管理，联机打印训练结果；</w:t>
      </w:r>
    </w:p>
    <w:p w14:paraId="41E6CFD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.对称性训练：具有左下肢和右下肢、左上肢和右上肢的对称性训练功能，实时显示两侧肢体运动百分比；</w:t>
      </w:r>
    </w:p>
    <w:p w14:paraId="517E129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.具有训练时间、训练速度、训练阻力及训练模式的设定功能；</w:t>
      </w:r>
    </w:p>
    <w:p w14:paraId="63CF8F6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.具有语音提示功能，实时播报患者当前运动状态；</w:t>
      </w:r>
    </w:p>
    <w:p w14:paraId="344E8EA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.具有智能探测痉挛、缓解痉挛的功能，痉挛探测可进行关闭或开启设置；</w:t>
      </w:r>
    </w:p>
    <w:p w14:paraId="17EBEC9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 xml:space="preserve">.训练期间显示：运动时间、运动阻力、运动速度、对称性、主被动及痉挛显示； </w:t>
      </w:r>
    </w:p>
    <w:p w14:paraId="2F47DE1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.训练结束后显示运动里程、运动时间、能量消耗、训练的主动被动速度、痉挛次数、肌肉张力、对称性；</w:t>
      </w:r>
    </w:p>
    <w:p w14:paraId="7FCAD49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.安全防护：异常声音控制、急停按钮、过速保护；</w:t>
      </w:r>
    </w:p>
    <w:p w14:paraId="75689E3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.主、被动训练模式可自由转换或可手动选择；</w:t>
      </w:r>
    </w:p>
    <w:p w14:paraId="22A350E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.训练方向：正转与反转，通过方向键可改变转动方向或可定时改变方向；</w:t>
      </w:r>
    </w:p>
    <w:p w14:paraId="140686C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.▲训练模式：被动模式、助力模式、主被动模式、主动模式、抗痉挛模式、对称性模式、自动模式；</w:t>
      </w:r>
    </w:p>
    <w:p w14:paraId="3500919E">
      <w:pPr>
        <w:pageBreakBefore w:val="0"/>
        <w:kinsoku/>
        <w:wordWrap/>
        <w:overflowPunct/>
        <w:topLinePunct w:val="0"/>
        <w:autoSpaceDE/>
        <w:autoSpaceDN/>
        <w:bidi w:val="0"/>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.上肢训练把手：上肢直手柄、上肢拐臂手柄、上肢托架，一键式更换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 xml:space="preserve"> </w:t>
      </w:r>
    </w:p>
    <w:p w14:paraId="7792726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.护腿板高度可调节，适用于不同身高患者使用；</w:t>
      </w:r>
    </w:p>
    <w:p w14:paraId="104D1C7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27</w:t>
      </w:r>
      <w:r>
        <w:rPr>
          <w:rFonts w:hint="eastAsia" w:ascii="宋体" w:hAnsi="宋体" w:cs="宋体"/>
          <w:color w:val="auto"/>
          <w:sz w:val="24"/>
          <w:szCs w:val="24"/>
          <w:highlight w:val="none"/>
        </w:rPr>
        <w:t>.设备自检功能：开机时，设备自动检测运行；</w:t>
      </w:r>
    </w:p>
    <w:p w14:paraId="530091C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28</w:t>
      </w:r>
      <w:r>
        <w:rPr>
          <w:rFonts w:hint="eastAsia" w:ascii="宋体" w:hAnsi="宋体" w:cs="宋体"/>
          <w:color w:val="auto"/>
          <w:sz w:val="24"/>
          <w:szCs w:val="24"/>
          <w:highlight w:val="none"/>
        </w:rPr>
        <w:t>.电源：220V  50Hz；输入功率：400VA；</w:t>
      </w:r>
    </w:p>
    <w:p w14:paraId="79F2640E">
      <w:pPr>
        <w:pageBreakBefore w:val="0"/>
        <w:kinsoku/>
        <w:wordWrap/>
        <w:overflowPunct/>
        <w:topLinePunct w:val="0"/>
        <w:autoSpaceDE/>
        <w:autoSpaceDN/>
        <w:bidi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标准配</w:t>
      </w:r>
      <w:r>
        <w:rPr>
          <w:rFonts w:hint="eastAsia" w:eastAsia="宋体"/>
          <w:b/>
          <w:bCs/>
          <w:color w:val="auto"/>
          <w:sz w:val="24"/>
          <w:szCs w:val="24"/>
          <w:highlight w:val="none"/>
          <w:lang w:val="en-US" w:eastAsia="zh-CN"/>
        </w:rPr>
        <w:t>置</w:t>
      </w:r>
    </w:p>
    <w:p w14:paraId="3056672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电源线           1根    上肢手柄      2个    上肢拐臂           2个</w:t>
      </w:r>
    </w:p>
    <w:p w14:paraId="123DDA7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上肢托架         2个   小腿支架       2个    手部固定           2个</w:t>
      </w:r>
    </w:p>
    <w:p w14:paraId="28856D6F">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r>
        <w:rPr>
          <w:rFonts w:hint="eastAsia" w:ascii="宋体" w:hAnsi="宋体" w:cs="宋体"/>
          <w:color w:val="auto"/>
          <w:sz w:val="24"/>
          <w:szCs w:val="24"/>
          <w:highlight w:val="none"/>
        </w:rPr>
        <w:t>手臂固定带       2个</w:t>
      </w:r>
    </w:p>
    <w:p w14:paraId="16EE2CBE">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iCs/>
          <w:color w:val="auto"/>
          <w:sz w:val="24"/>
          <w:szCs w:val="24"/>
          <w:highlight w:val="none"/>
          <w:u w:val="single"/>
          <w:shd w:val="clear" w:color="auto" w:fill="FFFFFF"/>
        </w:rPr>
      </w:pPr>
    </w:p>
    <w:p w14:paraId="3D8950D4">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品目十：红外偏振光治疗仪</w:t>
      </w:r>
    </w:p>
    <w:p w14:paraId="489850E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1.输入功率:400VA。</w:t>
      </w:r>
    </w:p>
    <w:p w14:paraId="5A20DCA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2.工作条件: 220V±22V，50Hz±1Hz。</w:t>
      </w:r>
    </w:p>
    <w:p w14:paraId="0DDA24B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3.▲柜式一体机，双通道，1个发散式红外辐射头(热辐射式红外)，1个集束式偏振光</w:t>
      </w:r>
    </w:p>
    <w:p w14:paraId="1E9C681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辐射头(集束式红外)。</w:t>
      </w:r>
    </w:p>
    <w:p w14:paraId="06D2BBC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4.辐射头配置:</w:t>
      </w:r>
    </w:p>
    <w:p w14:paraId="30479B5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a.发散式红外辐射头:发散式红外辐射头(热辐射式红外)</w:t>
      </w:r>
    </w:p>
    <w:p w14:paraId="25BDE0C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b.集束式偏振光辐射头:</w:t>
      </w:r>
    </w:p>
    <w:p w14:paraId="388A852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B型辐射头</w:t>
      </w:r>
    </w:p>
    <w:p w14:paraId="64E04D1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A型辐射头(选配)</w:t>
      </w:r>
    </w:p>
    <w:p w14:paraId="5F4F355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C型辐射头(选配)</w:t>
      </w:r>
    </w:p>
    <w:p w14:paraId="16FD448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D型辐射头(选配)</w:t>
      </w:r>
    </w:p>
    <w:p w14:paraId="2596D56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E型辐射头(选配)</w:t>
      </w:r>
    </w:p>
    <w:p w14:paraId="24F6595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5.操作方式:触摸式液晶显示屏，操作便捷。</w:t>
      </w:r>
    </w:p>
    <w:p w14:paraId="6D404CE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6.治疗时间:1～60min可调，步进1min，允差士5%。</w:t>
      </w:r>
    </w:p>
    <w:p w14:paraId="76A80BF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7.万向支架:万向支架水平旋转方向&gt;180，竖直转动角度&gt;90°，辅射器仰角变化&gt;90°</w:t>
      </w:r>
    </w:p>
    <w:p w14:paraId="35C82FC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8.操作使用功能要求</w:t>
      </w:r>
    </w:p>
    <w:p w14:paraId="37121E7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a)治疗时间设置和显示功能</w:t>
      </w:r>
    </w:p>
    <w:p w14:paraId="37042AA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b)输出模式选择和显示功能。</w:t>
      </w:r>
    </w:p>
    <w:p w14:paraId="367E1A3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c)输出功率设置和显示功能。</w:t>
      </w:r>
    </w:p>
    <w:p w14:paraId="116EAEB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d)注意灯罩高温显示功能。</w:t>
      </w:r>
    </w:p>
    <w:p w14:paraId="13C3CB4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e)治疗过程声音提示打开和关闭功能。</w:t>
      </w:r>
    </w:p>
    <w:p w14:paraId="0F08120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f)启动、停止、暂停和继续操作功能。</w:t>
      </w:r>
    </w:p>
    <w:p w14:paraId="54479FC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g)输出通道选择、辐射头类型显示、辐射头参数设置功能。</w:t>
      </w:r>
    </w:p>
    <w:p w14:paraId="13C1E81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9.输出不稳定度:连续输出功率稳不定度不大于士10%。</w:t>
      </w:r>
    </w:p>
    <w:p w14:paraId="292DD86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10.连续工作时间:≥4h。</w:t>
      </w:r>
    </w:p>
    <w:p w14:paraId="3A8CA9B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11.接口:具有Wi-Fi无线网络接口(选配)，USB接口</w:t>
      </w:r>
    </w:p>
    <w:p w14:paraId="4299DF7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p>
    <w:p w14:paraId="43CC0CD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一、发散式红外辐射头</w:t>
      </w:r>
    </w:p>
    <w:p w14:paraId="39D345D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.发散式红外辐射头波长范围为0.6～2.7um范围内，误差不超过士20%。</w:t>
      </w:r>
    </w:p>
    <w:p w14:paraId="182CEB9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.输出光功率:0-30W,步进为最大功率的10%，10%～100%分十档可调，允差士10%。</w:t>
      </w:r>
    </w:p>
    <w:p w14:paraId="7C6BE47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.输出方式:模式1</w:t>
      </w:r>
    </w:p>
    <w:p w14:paraId="130BA57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.最大辐射功率密度:</w:t>
      </w:r>
    </w:p>
    <w:p w14:paraId="54C7A2B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(1)距输出口5cm:1.10W/cm2</w:t>
      </w:r>
    </w:p>
    <w:p w14:paraId="52C74A2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(2)距输出口15cm:0.67W/cm2</w:t>
      </w:r>
    </w:p>
    <w:p w14:paraId="3C7DF91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.发散式红外辐射头防护罩的表面容许最高温度不得超过74°C。</w:t>
      </w:r>
    </w:p>
    <w:p w14:paraId="0E18B2C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二、集束式偏振光辐射头</w:t>
      </w:r>
    </w:p>
    <w:p w14:paraId="69732F0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.集束式偏振光辐射头波长范围为0.6～1.6um，误差不超过士20%。</w:t>
      </w:r>
    </w:p>
    <w:p w14:paraId="5FFB899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.集束式偏振光辐射头输出光功率，步进为最大功率的10%，10%～100%分十档可调，</w:t>
      </w:r>
    </w:p>
    <w:p w14:paraId="72FDBCF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允差士20%:</w:t>
      </w:r>
    </w:p>
    <w:p w14:paraId="541CFA1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(1)A型辐射头:0～850mW，允差土20%</w:t>
      </w:r>
    </w:p>
    <w:p w14:paraId="1A1A032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(2)B型辐射头:0～900mW，允差士20%</w:t>
      </w:r>
    </w:p>
    <w:p w14:paraId="7036471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(3)C型辐射头:0～1000mWW，允差士20%</w:t>
      </w:r>
    </w:p>
    <w:p w14:paraId="4A85CA7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(4)D型辐射头:0～2900mW，允差士20%</w:t>
      </w:r>
    </w:p>
    <w:p w14:paraId="0D3FDA8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(5)E型辐射头:0～2900mW，允差士20%</w:t>
      </w:r>
    </w:p>
    <w:p w14:paraId="467C43F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.输出口输出光斑直径:</w:t>
      </w:r>
    </w:p>
    <w:p w14:paraId="4270401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(1)A型辐射头:3mm</w:t>
      </w:r>
    </w:p>
    <w:p w14:paraId="4E77CC1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(2)B型辐射头:7mm</w:t>
      </w:r>
    </w:p>
    <w:p w14:paraId="1E03993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(3)C型辐射头:10mm</w:t>
      </w:r>
    </w:p>
    <w:p w14:paraId="19754C2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(4)D型辐射头:55mm</w:t>
      </w:r>
    </w:p>
    <w:p w14:paraId="7FCAA65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(5)E型辐射头:80mm</w:t>
      </w:r>
    </w:p>
    <w:p w14:paraId="332F2FF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.最大辐射功率密度</w:t>
      </w:r>
    </w:p>
    <w:p w14:paraId="7279E2BA">
      <w:pPr>
        <w:pageBreakBefore w:val="0"/>
        <w:numPr>
          <w:ilvl w:val="0"/>
          <w:numId w:val="15"/>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A型辐射头:距输出口5mmO.48W/cm2;距输出口10mmO.16W/cm2</w:t>
      </w:r>
    </w:p>
    <w:p w14:paraId="0D799E93">
      <w:pPr>
        <w:pageBreakBefore w:val="0"/>
        <w:numPr>
          <w:ilvl w:val="0"/>
          <w:numId w:val="15"/>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B型辐射头:距输出口5mmO.43W/cm2;距输出口10mm0.23W/cm2</w:t>
      </w:r>
    </w:p>
    <w:p w14:paraId="579C366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(3)C型辐射头:距输出口5mmO.31W/cm2;距输出口10mm0.25W/cm2</w:t>
      </w:r>
    </w:p>
    <w:p w14:paraId="22630FB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(4)D型辐射头:输出口处0.20W/cm2</w:t>
      </w:r>
    </w:p>
    <w:p w14:paraId="42A9065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(5)E型辐射头:输出口处0.10W/cm2</w:t>
      </w:r>
    </w:p>
    <w:p w14:paraId="2E5B5E66">
      <w:pPr>
        <w:pageBreakBefore w:val="0"/>
        <w:kinsoku/>
        <w:wordWrap/>
        <w:overflowPunct/>
        <w:topLinePunct w:val="0"/>
        <w:autoSpaceDE/>
        <w:autoSpaceDN/>
        <w:bidi w:val="0"/>
        <w:spacing w:line="360"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.▲5种输出方式:模式1、模式2、模式3、模式4、模式5</w:t>
      </w:r>
    </w:p>
    <w:p w14:paraId="4AAF3AE6">
      <w:pPr>
        <w:pageBreakBefore w:val="0"/>
        <w:kinsoku/>
        <w:wordWrap/>
        <w:overflowPunct/>
        <w:topLinePunct w:val="0"/>
        <w:autoSpaceDE/>
        <w:autoSpaceDN/>
        <w:bidi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.与皮肤接触的集束式偏振光辐射头防护罩的表面温度≤41℃</w:t>
      </w:r>
    </w:p>
    <w:p w14:paraId="4958F9E2">
      <w:pPr>
        <w:pageBreakBefore w:val="0"/>
        <w:kinsoku/>
        <w:wordWrap/>
        <w:overflowPunct/>
        <w:topLinePunct w:val="0"/>
        <w:autoSpaceDE/>
        <w:autoSpaceDN/>
        <w:bidi w:val="0"/>
        <w:spacing w:line="360" w:lineRule="auto"/>
        <w:jc w:val="left"/>
        <w:textAlignment w:val="auto"/>
        <w:rPr>
          <w:rFonts w:hint="eastAsia" w:ascii="宋体" w:hAnsi="宋体" w:cs="宋体"/>
          <w:color w:val="auto"/>
          <w:sz w:val="24"/>
          <w:szCs w:val="24"/>
          <w:highlight w:val="none"/>
        </w:rPr>
      </w:pPr>
    </w:p>
    <w:p w14:paraId="26811E90">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品目十一：多频振动治疗仪</w:t>
      </w:r>
    </w:p>
    <w:p w14:paraId="03980848">
      <w:pPr>
        <w:pageBreakBefore w:val="0"/>
        <w:kinsoku/>
        <w:wordWrap/>
        <w:overflowPunct/>
        <w:topLinePunct w:val="0"/>
        <w:autoSpaceDE/>
        <w:autoSpaceDN/>
        <w:bidi w:val="0"/>
        <w:spacing w:line="360" w:lineRule="auto"/>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手持治疗头</w:t>
      </w:r>
    </w:p>
    <w:p w14:paraId="64D48F4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技术参数</w:t>
      </w:r>
    </w:p>
    <w:p w14:paraId="127933A7">
      <w:pPr>
        <w:pageBreakBefore w:val="0"/>
        <w:numPr>
          <w:ilvl w:val="0"/>
          <w:numId w:val="16"/>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主机尺寸:</w:t>
      </w:r>
      <w:r>
        <w:rPr>
          <w:rFonts w:hint="eastAsia"/>
          <w:color w:val="auto"/>
          <w:sz w:val="24"/>
          <w:szCs w:val="24"/>
          <w:highlight w:val="none"/>
        </w:rPr>
        <w:t xml:space="preserve"> （</w:t>
      </w:r>
      <w:r>
        <w:rPr>
          <w:rFonts w:hint="eastAsia" w:ascii="宋体" w:hAnsi="宋体" w:cs="宋体"/>
          <w:color w:val="auto"/>
          <w:sz w:val="24"/>
          <w:szCs w:val="24"/>
          <w:highlight w:val="none"/>
        </w:rPr>
        <w:t>≥</w:t>
      </w:r>
      <w:r>
        <w:rPr>
          <w:rFonts w:hint="eastAsia"/>
          <w:color w:val="auto"/>
          <w:sz w:val="24"/>
          <w:szCs w:val="24"/>
          <w:highlight w:val="none"/>
        </w:rPr>
        <w:t xml:space="preserve"> </w:t>
      </w:r>
      <w:r>
        <w:rPr>
          <w:rFonts w:hint="eastAsia" w:ascii="宋体" w:hAnsi="宋体" w:cs="宋体"/>
          <w:color w:val="auto"/>
          <w:sz w:val="24"/>
          <w:szCs w:val="24"/>
          <w:highlight w:val="none"/>
        </w:rPr>
        <w:t>290mm）x≥（72mm）x≥（72mm） (长度x宽度x高度)</w:t>
      </w:r>
    </w:p>
    <w:p w14:paraId="4D4CFE4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rPr>
        <w:tab/>
      </w:r>
      <w:r>
        <w:rPr>
          <w:rFonts w:hint="eastAsia" w:ascii="宋体" w:hAnsi="宋体" w:cs="宋体"/>
          <w:color w:val="auto"/>
          <w:sz w:val="24"/>
          <w:szCs w:val="24"/>
          <w:highlight w:val="none"/>
        </w:rPr>
        <w:t>防电击类型：II类设备</w:t>
      </w:r>
    </w:p>
    <w:p w14:paraId="7151682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rPr>
        <w:tab/>
      </w:r>
      <w:r>
        <w:rPr>
          <w:rFonts w:hint="eastAsia" w:ascii="宋体" w:hAnsi="宋体" w:cs="宋体"/>
          <w:color w:val="auto"/>
          <w:sz w:val="24"/>
          <w:szCs w:val="24"/>
          <w:highlight w:val="none"/>
        </w:rPr>
        <w:t>防电击的程度：BF型应用部分</w:t>
      </w:r>
    </w:p>
    <w:p w14:paraId="328F578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rPr>
        <w:tab/>
      </w:r>
      <w:r>
        <w:rPr>
          <w:rFonts w:hint="eastAsia" w:ascii="宋体" w:hAnsi="宋体" w:cs="宋体"/>
          <w:color w:val="auto"/>
          <w:sz w:val="24"/>
          <w:szCs w:val="24"/>
          <w:highlight w:val="none"/>
        </w:rPr>
        <w:t>防进液程度：IP42</w:t>
      </w:r>
    </w:p>
    <w:p w14:paraId="59C1045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rPr>
        <w:tab/>
      </w:r>
      <w:r>
        <w:rPr>
          <w:rFonts w:hint="eastAsia" w:ascii="宋体" w:hAnsi="宋体" w:cs="宋体"/>
          <w:color w:val="auto"/>
          <w:sz w:val="24"/>
          <w:szCs w:val="24"/>
          <w:highlight w:val="none"/>
        </w:rPr>
        <w:t>有易燃麻醉气的安全程度：非AP/APG 型设备</w:t>
      </w:r>
    </w:p>
    <w:p w14:paraId="0E4BABA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rPr>
        <w:tab/>
      </w:r>
      <w:r>
        <w:rPr>
          <w:rFonts w:hint="eastAsia" w:ascii="宋体" w:hAnsi="宋体" w:cs="宋体"/>
          <w:color w:val="auto"/>
          <w:sz w:val="24"/>
          <w:szCs w:val="24"/>
          <w:highlight w:val="none"/>
        </w:rPr>
        <w:t>运行模式：连续运行</w:t>
      </w:r>
    </w:p>
    <w:p w14:paraId="5796047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w:t>
      </w:r>
      <w:r>
        <w:rPr>
          <w:rFonts w:hint="eastAsia" w:ascii="宋体" w:hAnsi="宋体" w:cs="宋体"/>
          <w:color w:val="auto"/>
          <w:sz w:val="24"/>
          <w:szCs w:val="24"/>
          <w:highlight w:val="none"/>
        </w:rPr>
        <w:tab/>
      </w:r>
      <w:r>
        <w:rPr>
          <w:rFonts w:hint="eastAsia" w:ascii="宋体" w:hAnsi="宋体" w:cs="宋体"/>
          <w:color w:val="auto"/>
          <w:sz w:val="24"/>
          <w:szCs w:val="24"/>
          <w:highlight w:val="none"/>
        </w:rPr>
        <w:t>额定电压和频率：220V～,50Hz</w:t>
      </w:r>
    </w:p>
    <w:p w14:paraId="45B33C3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color w:val="auto"/>
          <w:sz w:val="24"/>
          <w:szCs w:val="24"/>
          <w:highlight w:val="none"/>
        </w:rPr>
        <w:tab/>
      </w:r>
      <w:r>
        <w:rPr>
          <w:rFonts w:hint="eastAsia" w:ascii="宋体" w:hAnsi="宋体" w:cs="宋体"/>
          <w:color w:val="auto"/>
          <w:sz w:val="24"/>
          <w:szCs w:val="24"/>
          <w:highlight w:val="none"/>
        </w:rPr>
        <w:t>输入功率：60VA</w:t>
      </w:r>
    </w:p>
    <w:p w14:paraId="53ACFD8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color w:val="auto"/>
          <w:sz w:val="24"/>
          <w:szCs w:val="24"/>
          <w:highlight w:val="none"/>
        </w:rPr>
        <w:tab/>
      </w:r>
      <w:r>
        <w:rPr>
          <w:rFonts w:hint="eastAsia" w:ascii="宋体" w:hAnsi="宋体" w:cs="宋体"/>
          <w:color w:val="auto"/>
          <w:sz w:val="24"/>
          <w:szCs w:val="24"/>
          <w:highlight w:val="none"/>
        </w:rPr>
        <w:t>对除颤放电效应防护的应用部分：不具有</w:t>
      </w:r>
    </w:p>
    <w:p w14:paraId="788DD81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w:t>
      </w:r>
      <w:r>
        <w:rPr>
          <w:rFonts w:hint="eastAsia" w:ascii="宋体" w:hAnsi="宋体" w:cs="宋体"/>
          <w:color w:val="auto"/>
          <w:sz w:val="24"/>
          <w:szCs w:val="24"/>
          <w:highlight w:val="none"/>
        </w:rPr>
        <w:tab/>
      </w:r>
      <w:r>
        <w:rPr>
          <w:rFonts w:hint="eastAsia" w:ascii="宋体" w:hAnsi="宋体" w:cs="宋体"/>
          <w:color w:val="auto"/>
          <w:sz w:val="24"/>
          <w:szCs w:val="24"/>
          <w:highlight w:val="none"/>
        </w:rPr>
        <w:t>信号输出或输入部分：不具有</w:t>
      </w:r>
    </w:p>
    <w:p w14:paraId="6301D94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w:t>
      </w:r>
      <w:r>
        <w:rPr>
          <w:rFonts w:hint="eastAsia" w:ascii="宋体" w:hAnsi="宋体" w:cs="宋体"/>
          <w:color w:val="auto"/>
          <w:sz w:val="24"/>
          <w:szCs w:val="24"/>
          <w:highlight w:val="none"/>
        </w:rPr>
        <w:tab/>
      </w:r>
      <w:r>
        <w:rPr>
          <w:rFonts w:hint="eastAsia" w:ascii="宋体" w:hAnsi="宋体" w:cs="宋体"/>
          <w:color w:val="auto"/>
          <w:sz w:val="24"/>
          <w:szCs w:val="24"/>
          <w:highlight w:val="none"/>
        </w:rPr>
        <w:t>与电源连接情况：非永久性安装</w:t>
      </w:r>
    </w:p>
    <w:p w14:paraId="13553C6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w:t>
      </w:r>
      <w:r>
        <w:rPr>
          <w:rFonts w:hint="eastAsia" w:ascii="宋体" w:hAnsi="宋体" w:cs="宋体"/>
          <w:color w:val="auto"/>
          <w:sz w:val="24"/>
          <w:szCs w:val="24"/>
          <w:highlight w:val="none"/>
        </w:rPr>
        <w:tab/>
      </w:r>
      <w:r>
        <w:rPr>
          <w:rFonts w:hint="eastAsia" w:ascii="宋体" w:hAnsi="宋体" w:cs="宋体"/>
          <w:color w:val="auto"/>
          <w:sz w:val="24"/>
          <w:szCs w:val="24"/>
          <w:highlight w:val="none"/>
        </w:rPr>
        <w:t>电磁兼容性：1组B类</w:t>
      </w:r>
    </w:p>
    <w:p w14:paraId="3F4DD3B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w:t>
      </w:r>
      <w:r>
        <w:rPr>
          <w:rFonts w:hint="eastAsia" w:ascii="宋体" w:hAnsi="宋体" w:cs="宋体"/>
          <w:color w:val="auto"/>
          <w:sz w:val="24"/>
          <w:szCs w:val="24"/>
          <w:highlight w:val="none"/>
        </w:rPr>
        <w:tab/>
      </w:r>
      <w:r>
        <w:rPr>
          <w:rFonts w:hint="eastAsia" w:ascii="宋体" w:hAnsi="宋体" w:cs="宋体"/>
          <w:color w:val="auto"/>
          <w:sz w:val="24"/>
          <w:szCs w:val="24"/>
          <w:highlight w:val="none"/>
        </w:rPr>
        <w:t>工作环境：温度:5℃～40℃  湿度:≤80%  大气压力:86kPa～106kPa</w:t>
      </w:r>
    </w:p>
    <w:p w14:paraId="43A0CB2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w:t>
      </w:r>
      <w:r>
        <w:rPr>
          <w:rFonts w:hint="eastAsia" w:ascii="宋体" w:hAnsi="宋体" w:cs="宋体"/>
          <w:color w:val="auto"/>
          <w:sz w:val="24"/>
          <w:szCs w:val="24"/>
          <w:highlight w:val="none"/>
        </w:rPr>
        <w:tab/>
      </w:r>
      <w:r>
        <w:rPr>
          <w:rFonts w:hint="eastAsia" w:ascii="宋体" w:hAnsi="宋体" w:cs="宋体"/>
          <w:color w:val="auto"/>
          <w:sz w:val="24"/>
          <w:szCs w:val="24"/>
          <w:highlight w:val="none"/>
        </w:rPr>
        <w:t>运输和贮存环境：温度:-30℃～55℃，湿度:≤95%，</w:t>
      </w:r>
    </w:p>
    <w:p w14:paraId="59C460A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应储存在无腐蚀物质和通风良好的室内，运输时应避免日晒雨淋。</w:t>
      </w:r>
    </w:p>
    <w:p w14:paraId="5A9BFB2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w:t>
      </w:r>
      <w:r>
        <w:rPr>
          <w:rFonts w:hint="eastAsia" w:ascii="宋体" w:hAnsi="宋体" w:cs="宋体"/>
          <w:color w:val="auto"/>
          <w:sz w:val="24"/>
          <w:szCs w:val="24"/>
          <w:highlight w:val="none"/>
        </w:rPr>
        <w:tab/>
      </w:r>
      <w:r>
        <w:rPr>
          <w:rFonts w:hint="eastAsia" w:ascii="宋体" w:hAnsi="宋体" w:cs="宋体"/>
          <w:color w:val="auto"/>
          <w:sz w:val="24"/>
          <w:szCs w:val="24"/>
          <w:highlight w:val="none"/>
        </w:rPr>
        <w:t>发光器件：OLED</w:t>
      </w:r>
    </w:p>
    <w:p w14:paraId="0819891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w:t>
      </w:r>
      <w:r>
        <w:rPr>
          <w:rFonts w:hint="eastAsia" w:ascii="宋体" w:hAnsi="宋体" w:cs="宋体"/>
          <w:color w:val="auto"/>
          <w:sz w:val="24"/>
          <w:szCs w:val="24"/>
          <w:highlight w:val="none"/>
        </w:rPr>
        <w:tab/>
      </w:r>
      <w:r>
        <w:rPr>
          <w:rFonts w:hint="eastAsia" w:ascii="宋体" w:hAnsi="宋体" w:cs="宋体"/>
          <w:color w:val="auto"/>
          <w:sz w:val="24"/>
          <w:szCs w:val="24"/>
          <w:highlight w:val="none"/>
        </w:rPr>
        <w:t>发光颜色：白色</w:t>
      </w:r>
    </w:p>
    <w:p w14:paraId="054E572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w:t>
      </w:r>
      <w:r>
        <w:rPr>
          <w:rFonts w:hint="eastAsia" w:ascii="宋体" w:hAnsi="宋体" w:cs="宋体"/>
          <w:color w:val="auto"/>
          <w:sz w:val="24"/>
          <w:szCs w:val="24"/>
          <w:highlight w:val="none"/>
        </w:rPr>
        <w:tab/>
      </w:r>
      <w:r>
        <w:rPr>
          <w:rFonts w:hint="eastAsia" w:ascii="宋体" w:hAnsi="宋体" w:cs="宋体"/>
          <w:color w:val="auto"/>
          <w:sz w:val="24"/>
          <w:szCs w:val="24"/>
          <w:highlight w:val="none"/>
        </w:rPr>
        <w:t>屏幕尺寸：显示区域:</w:t>
      </w:r>
      <w:r>
        <w:rPr>
          <w:rFonts w:hint="eastAsia"/>
          <w:color w:val="auto"/>
          <w:sz w:val="24"/>
          <w:szCs w:val="24"/>
          <w:highlight w:val="none"/>
        </w:rPr>
        <w:t xml:space="preserve"> （</w:t>
      </w:r>
      <w:r>
        <w:rPr>
          <w:rFonts w:hint="eastAsia" w:ascii="宋体" w:hAnsi="宋体" w:cs="宋体"/>
          <w:color w:val="auto"/>
          <w:sz w:val="24"/>
          <w:szCs w:val="24"/>
          <w:highlight w:val="none"/>
        </w:rPr>
        <w:t>≥22mm）×（≥5.5mm）</w:t>
      </w:r>
    </w:p>
    <w:p w14:paraId="6C7D6C8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w:t>
      </w:r>
      <w:r>
        <w:rPr>
          <w:rFonts w:hint="eastAsia" w:ascii="宋体" w:hAnsi="宋体" w:cs="宋体"/>
          <w:color w:val="auto"/>
          <w:sz w:val="24"/>
          <w:szCs w:val="24"/>
          <w:highlight w:val="none"/>
        </w:rPr>
        <w:tab/>
      </w:r>
      <w:r>
        <w:rPr>
          <w:rFonts w:hint="eastAsia" w:ascii="宋体" w:hAnsi="宋体" w:cs="宋体"/>
          <w:color w:val="auto"/>
          <w:sz w:val="24"/>
          <w:szCs w:val="24"/>
          <w:highlight w:val="none"/>
        </w:rPr>
        <w:t>屏幕像素：（≥128） x （≥32）</w:t>
      </w:r>
    </w:p>
    <w:p w14:paraId="1E6894C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9</w:t>
      </w:r>
      <w:r>
        <w:rPr>
          <w:rFonts w:hint="eastAsia" w:ascii="宋体" w:hAnsi="宋体" w:cs="宋体"/>
          <w:color w:val="auto"/>
          <w:sz w:val="24"/>
          <w:szCs w:val="24"/>
          <w:highlight w:val="none"/>
        </w:rPr>
        <w:tab/>
      </w:r>
      <w:r>
        <w:rPr>
          <w:rFonts w:hint="eastAsia" w:ascii="宋体" w:hAnsi="宋体" w:cs="宋体"/>
          <w:color w:val="auto"/>
          <w:sz w:val="24"/>
          <w:szCs w:val="24"/>
          <w:highlight w:val="none"/>
        </w:rPr>
        <w:t>语言：中文(普通话)</w:t>
      </w:r>
    </w:p>
    <w:p w14:paraId="3CECF17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w:t>
      </w:r>
      <w:r>
        <w:rPr>
          <w:rFonts w:hint="eastAsia" w:ascii="宋体" w:hAnsi="宋体" w:cs="宋体"/>
          <w:color w:val="auto"/>
          <w:sz w:val="24"/>
          <w:szCs w:val="24"/>
          <w:highlight w:val="none"/>
        </w:rPr>
        <w:tab/>
      </w:r>
      <w:r>
        <w:rPr>
          <w:rFonts w:hint="eastAsia" w:ascii="宋体" w:hAnsi="宋体" w:cs="宋体"/>
          <w:color w:val="auto"/>
          <w:sz w:val="24"/>
          <w:szCs w:val="24"/>
          <w:highlight w:val="none"/>
        </w:rPr>
        <w:t>输出功率：2W</w:t>
      </w:r>
    </w:p>
    <w:p w14:paraId="090EAB5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w:t>
      </w:r>
      <w:r>
        <w:rPr>
          <w:rFonts w:hint="eastAsia" w:ascii="宋体" w:hAnsi="宋体" w:cs="宋体"/>
          <w:color w:val="auto"/>
          <w:sz w:val="24"/>
          <w:szCs w:val="24"/>
          <w:highlight w:val="none"/>
        </w:rPr>
        <w:tab/>
      </w:r>
      <w:r>
        <w:rPr>
          <w:rFonts w:hint="eastAsia" w:ascii="宋体" w:hAnsi="宋体" w:cs="宋体"/>
          <w:color w:val="auto"/>
          <w:sz w:val="24"/>
          <w:szCs w:val="24"/>
          <w:highlight w:val="none"/>
        </w:rPr>
        <w:t>采样率:16KHz</w:t>
      </w:r>
    </w:p>
    <w:p w14:paraId="0E62124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rPr>
        <w:tab/>
      </w:r>
      <w:r>
        <w:rPr>
          <w:rFonts w:hint="eastAsia" w:ascii="宋体" w:hAnsi="宋体" w:cs="宋体"/>
          <w:color w:val="auto"/>
          <w:sz w:val="24"/>
          <w:szCs w:val="24"/>
          <w:highlight w:val="none"/>
        </w:rPr>
        <w:t>额定功率:60W</w:t>
      </w:r>
    </w:p>
    <w:p w14:paraId="7BFFF51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w:t>
      </w:r>
      <w:r>
        <w:rPr>
          <w:rFonts w:hint="eastAsia" w:ascii="宋体" w:hAnsi="宋体" w:cs="宋体"/>
          <w:color w:val="auto"/>
          <w:sz w:val="24"/>
          <w:szCs w:val="24"/>
          <w:highlight w:val="none"/>
        </w:rPr>
        <w:tab/>
      </w:r>
      <w:r>
        <w:rPr>
          <w:rFonts w:hint="eastAsia" w:ascii="宋体" w:hAnsi="宋体" w:cs="宋体"/>
          <w:color w:val="auto"/>
          <w:sz w:val="24"/>
          <w:szCs w:val="24"/>
          <w:highlight w:val="none"/>
        </w:rPr>
        <w:t>输入电压:AC 100～240V 50/60Hz</w:t>
      </w:r>
    </w:p>
    <w:p w14:paraId="0FB0363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rPr>
        <w:tab/>
      </w:r>
      <w:r>
        <w:rPr>
          <w:rFonts w:hint="eastAsia" w:ascii="宋体" w:hAnsi="宋体" w:cs="宋体"/>
          <w:color w:val="auto"/>
          <w:sz w:val="24"/>
          <w:szCs w:val="24"/>
          <w:highlight w:val="none"/>
        </w:rPr>
        <w:t>输出电压:DC 12V 5A</w:t>
      </w:r>
    </w:p>
    <w:p w14:paraId="426D2EB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rPr>
        <w:tab/>
      </w:r>
      <w:r>
        <w:rPr>
          <w:rFonts w:hint="eastAsia" w:ascii="宋体" w:hAnsi="宋体" w:cs="宋体"/>
          <w:color w:val="auto"/>
          <w:sz w:val="24"/>
          <w:szCs w:val="24"/>
          <w:highlight w:val="none"/>
        </w:rPr>
        <w:t>线长:</w:t>
      </w:r>
      <w:r>
        <w:rPr>
          <w:rFonts w:hint="eastAsia"/>
          <w:color w:val="auto"/>
          <w:sz w:val="24"/>
          <w:szCs w:val="24"/>
          <w:highlight w:val="none"/>
        </w:rPr>
        <w:t xml:space="preserve"> </w:t>
      </w:r>
      <w:r>
        <w:rPr>
          <w:rFonts w:hint="eastAsia" w:ascii="宋体" w:hAnsi="宋体" w:cs="宋体"/>
          <w:color w:val="auto"/>
          <w:sz w:val="24"/>
          <w:szCs w:val="24"/>
          <w:highlight w:val="none"/>
        </w:rPr>
        <w:t>≥1000mm</w:t>
      </w:r>
    </w:p>
    <w:p w14:paraId="6878A86D">
      <w:pPr>
        <w:pageBreakBefore w:val="0"/>
        <w:kinsoku/>
        <w:wordWrap/>
        <w:overflowPunct/>
        <w:topLinePunct w:val="0"/>
        <w:autoSpaceDE/>
        <w:autoSpaceDN/>
        <w:bidi w:val="0"/>
        <w:spacing w:line="360" w:lineRule="auto"/>
        <w:ind w:left="420" w:hanging="480" w:hanging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26</w:t>
      </w:r>
      <w:r>
        <w:rPr>
          <w:rFonts w:hint="eastAsia" w:ascii="宋体" w:hAnsi="宋体" w:cs="宋体"/>
          <w:color w:val="auto"/>
          <w:sz w:val="24"/>
          <w:szCs w:val="24"/>
          <w:highlight w:val="none"/>
        </w:rPr>
        <w:tab/>
      </w:r>
      <w:r>
        <w:rPr>
          <w:rFonts w:hint="eastAsia" w:ascii="宋体" w:hAnsi="宋体" w:cs="宋体"/>
          <w:color w:val="auto"/>
          <w:sz w:val="24"/>
          <w:szCs w:val="24"/>
          <w:highlight w:val="none"/>
        </w:rPr>
        <w:t>▲振动频率:15Hz、20Hz、25Hz、30Hz、35Hz、40Hz、45Hz、50Hz、55Hz、60Hz、65Hz、70Hz、75Hz，共13档</w:t>
      </w:r>
    </w:p>
    <w:p w14:paraId="39CA16A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27</w:t>
      </w:r>
      <w:r>
        <w:rPr>
          <w:rFonts w:hint="eastAsia" w:ascii="宋体" w:hAnsi="宋体" w:cs="宋体"/>
          <w:color w:val="auto"/>
          <w:sz w:val="24"/>
          <w:szCs w:val="24"/>
          <w:highlight w:val="none"/>
        </w:rPr>
        <w:tab/>
      </w:r>
      <w:r>
        <w:rPr>
          <w:rFonts w:hint="eastAsia" w:ascii="宋体" w:hAnsi="宋体" w:cs="宋体"/>
          <w:color w:val="auto"/>
          <w:sz w:val="24"/>
          <w:szCs w:val="24"/>
          <w:highlight w:val="none"/>
        </w:rPr>
        <w:t>治疗时间：5min～60min，步进5min，共12档</w:t>
      </w:r>
    </w:p>
    <w:p w14:paraId="6D8B6CF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28</w:t>
      </w:r>
      <w:r>
        <w:rPr>
          <w:rFonts w:hint="eastAsia" w:ascii="宋体" w:hAnsi="宋体" w:cs="宋体"/>
          <w:color w:val="auto"/>
          <w:sz w:val="24"/>
          <w:szCs w:val="24"/>
          <w:highlight w:val="none"/>
        </w:rPr>
        <w:tab/>
      </w:r>
      <w:r>
        <w:rPr>
          <w:rFonts w:hint="eastAsia" w:ascii="宋体" w:hAnsi="宋体" w:cs="宋体"/>
          <w:color w:val="auto"/>
          <w:sz w:val="24"/>
          <w:szCs w:val="24"/>
          <w:highlight w:val="none"/>
        </w:rPr>
        <w:t>固定输出模式：STD，CPM，TS;</w:t>
      </w:r>
    </w:p>
    <w:p w14:paraId="26D2D66E">
      <w:pPr>
        <w:pageBreakBefore w:val="0"/>
        <w:kinsoku/>
        <w:wordWrap/>
        <w:overflowPunct/>
        <w:topLinePunct w:val="0"/>
        <w:autoSpaceDE/>
        <w:autoSpaceDN/>
        <w:bidi w:val="0"/>
        <w:spacing w:line="360" w:lineRule="auto"/>
        <w:textAlignment w:val="auto"/>
        <w:rPr>
          <w:rFonts w:hint="eastAsia" w:ascii="宋体" w:hAnsi="宋体" w:cs="宋体"/>
          <w:b/>
          <w:bCs/>
          <w:color w:val="auto"/>
          <w:sz w:val="24"/>
          <w:szCs w:val="24"/>
          <w:highlight w:val="none"/>
        </w:rPr>
      </w:pPr>
    </w:p>
    <w:p w14:paraId="204ACF6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b/>
          <w:bCs/>
          <w:color w:val="auto"/>
          <w:sz w:val="24"/>
          <w:szCs w:val="24"/>
          <w:highlight w:val="none"/>
        </w:rPr>
        <w:t>靠垫治疗头</w:t>
      </w:r>
    </w:p>
    <w:p w14:paraId="2401729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主机尺寸:（≥600mm）x≥（370mm）x≥（95mm）(长度x宽度x高度)</w:t>
      </w:r>
    </w:p>
    <w:p w14:paraId="0E2F331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rPr>
        <w:tab/>
      </w:r>
      <w:r>
        <w:rPr>
          <w:rFonts w:hint="eastAsia" w:ascii="宋体" w:hAnsi="宋体" w:cs="宋体"/>
          <w:color w:val="auto"/>
          <w:sz w:val="24"/>
          <w:szCs w:val="24"/>
          <w:highlight w:val="none"/>
        </w:rPr>
        <w:t>防电击类型:Ⅱ类设备</w:t>
      </w:r>
    </w:p>
    <w:p w14:paraId="1E48296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rPr>
        <w:tab/>
      </w:r>
      <w:r>
        <w:rPr>
          <w:rFonts w:hint="eastAsia" w:ascii="宋体" w:hAnsi="宋体" w:cs="宋体"/>
          <w:color w:val="auto"/>
          <w:sz w:val="24"/>
          <w:szCs w:val="24"/>
          <w:highlight w:val="none"/>
        </w:rPr>
        <w:t>防电击的程度:BF 型应用部分</w:t>
      </w:r>
    </w:p>
    <w:p w14:paraId="04DD520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rPr>
        <w:tab/>
      </w:r>
      <w:r>
        <w:rPr>
          <w:rFonts w:hint="eastAsia" w:ascii="宋体" w:hAnsi="宋体" w:cs="宋体"/>
          <w:color w:val="auto"/>
          <w:sz w:val="24"/>
          <w:szCs w:val="24"/>
          <w:highlight w:val="none"/>
        </w:rPr>
        <w:t>防进液程度:IP42</w:t>
      </w:r>
    </w:p>
    <w:p w14:paraId="7034C08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rPr>
        <w:tab/>
      </w:r>
      <w:r>
        <w:rPr>
          <w:rFonts w:hint="eastAsia" w:ascii="宋体" w:hAnsi="宋体" w:cs="宋体"/>
          <w:color w:val="auto"/>
          <w:sz w:val="24"/>
          <w:szCs w:val="24"/>
          <w:highlight w:val="none"/>
        </w:rPr>
        <w:t>有易燃麻醉气的安全程度:非AP/APG型设备</w:t>
      </w:r>
    </w:p>
    <w:p w14:paraId="358C600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rPr>
        <w:tab/>
      </w:r>
      <w:r>
        <w:rPr>
          <w:rFonts w:hint="eastAsia" w:ascii="宋体" w:hAnsi="宋体" w:cs="宋体"/>
          <w:color w:val="auto"/>
          <w:sz w:val="24"/>
          <w:szCs w:val="24"/>
          <w:highlight w:val="none"/>
        </w:rPr>
        <w:t>运行模式:连续运行</w:t>
      </w:r>
    </w:p>
    <w:p w14:paraId="4F118C7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rPr>
        <w:tab/>
      </w:r>
      <w:r>
        <w:rPr>
          <w:rFonts w:hint="eastAsia" w:ascii="宋体" w:hAnsi="宋体" w:cs="宋体"/>
          <w:color w:val="auto"/>
          <w:sz w:val="24"/>
          <w:szCs w:val="24"/>
          <w:highlight w:val="none"/>
        </w:rPr>
        <w:t>额定电压和频率:220V～,50Hz</w:t>
      </w:r>
    </w:p>
    <w:p w14:paraId="0909A38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w:t>
      </w:r>
      <w:r>
        <w:rPr>
          <w:rFonts w:hint="eastAsia" w:ascii="宋体" w:hAnsi="宋体" w:cs="宋体"/>
          <w:color w:val="auto"/>
          <w:sz w:val="24"/>
          <w:szCs w:val="24"/>
          <w:highlight w:val="none"/>
        </w:rPr>
        <w:tab/>
      </w:r>
      <w:r>
        <w:rPr>
          <w:rFonts w:hint="eastAsia" w:ascii="宋体" w:hAnsi="宋体" w:cs="宋体"/>
          <w:color w:val="auto"/>
          <w:sz w:val="24"/>
          <w:szCs w:val="24"/>
          <w:highlight w:val="none"/>
        </w:rPr>
        <w:t>输入功率:60VA</w:t>
      </w:r>
    </w:p>
    <w:p w14:paraId="04C2021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color w:val="auto"/>
          <w:sz w:val="24"/>
          <w:szCs w:val="24"/>
          <w:highlight w:val="none"/>
        </w:rPr>
        <w:tab/>
      </w:r>
      <w:r>
        <w:rPr>
          <w:rFonts w:hint="eastAsia" w:ascii="宋体" w:hAnsi="宋体" w:cs="宋体"/>
          <w:color w:val="auto"/>
          <w:sz w:val="24"/>
          <w:szCs w:val="24"/>
          <w:highlight w:val="none"/>
        </w:rPr>
        <w:t>对除颤放电效应防护的应用部分：不具有</w:t>
      </w:r>
    </w:p>
    <w:p w14:paraId="10E33E1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color w:val="auto"/>
          <w:sz w:val="24"/>
          <w:szCs w:val="24"/>
          <w:highlight w:val="none"/>
        </w:rPr>
        <w:tab/>
      </w:r>
      <w:r>
        <w:rPr>
          <w:rFonts w:hint="eastAsia" w:ascii="宋体" w:hAnsi="宋体" w:cs="宋体"/>
          <w:color w:val="auto"/>
          <w:sz w:val="24"/>
          <w:szCs w:val="24"/>
          <w:highlight w:val="none"/>
        </w:rPr>
        <w:t>信号输出或输入部分：不具有</w:t>
      </w:r>
    </w:p>
    <w:p w14:paraId="17912D7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w:t>
      </w:r>
      <w:r>
        <w:rPr>
          <w:rFonts w:hint="eastAsia" w:ascii="宋体" w:hAnsi="宋体" w:cs="宋体"/>
          <w:color w:val="auto"/>
          <w:sz w:val="24"/>
          <w:szCs w:val="24"/>
          <w:highlight w:val="none"/>
        </w:rPr>
        <w:tab/>
      </w:r>
      <w:r>
        <w:rPr>
          <w:rFonts w:hint="eastAsia" w:ascii="宋体" w:hAnsi="宋体" w:cs="宋体"/>
          <w:color w:val="auto"/>
          <w:sz w:val="24"/>
          <w:szCs w:val="24"/>
          <w:highlight w:val="none"/>
        </w:rPr>
        <w:t>与电源连接情况：非永久性安装</w:t>
      </w:r>
    </w:p>
    <w:p w14:paraId="2951DFD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w:t>
      </w:r>
      <w:r>
        <w:rPr>
          <w:rFonts w:hint="eastAsia" w:ascii="宋体" w:hAnsi="宋体" w:cs="宋体"/>
          <w:color w:val="auto"/>
          <w:sz w:val="24"/>
          <w:szCs w:val="24"/>
          <w:highlight w:val="none"/>
        </w:rPr>
        <w:tab/>
      </w:r>
      <w:r>
        <w:rPr>
          <w:rFonts w:hint="eastAsia" w:ascii="宋体" w:hAnsi="宋体" w:cs="宋体"/>
          <w:color w:val="auto"/>
          <w:sz w:val="24"/>
          <w:szCs w:val="24"/>
          <w:highlight w:val="none"/>
        </w:rPr>
        <w:t>电磁兼容性：1组B类</w:t>
      </w:r>
    </w:p>
    <w:p w14:paraId="60B69BE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w:t>
      </w:r>
      <w:r>
        <w:rPr>
          <w:rFonts w:hint="eastAsia" w:ascii="宋体" w:hAnsi="宋体" w:cs="宋体"/>
          <w:color w:val="auto"/>
          <w:sz w:val="24"/>
          <w:szCs w:val="24"/>
          <w:highlight w:val="none"/>
        </w:rPr>
        <w:tab/>
      </w:r>
      <w:r>
        <w:rPr>
          <w:rFonts w:hint="eastAsia" w:ascii="宋体" w:hAnsi="宋体" w:cs="宋体"/>
          <w:color w:val="auto"/>
          <w:sz w:val="24"/>
          <w:szCs w:val="24"/>
          <w:highlight w:val="none"/>
        </w:rPr>
        <w:t>工作环境：温度:5℃～40℃ 湿度:≤80%  大气压力:86kPa～106kPa</w:t>
      </w:r>
    </w:p>
    <w:p w14:paraId="66CD6BE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ab/>
      </w:r>
      <w:r>
        <w:rPr>
          <w:rFonts w:hint="eastAsia" w:ascii="宋体" w:hAnsi="宋体" w:cs="宋体"/>
          <w:color w:val="auto"/>
          <w:sz w:val="24"/>
          <w:szCs w:val="24"/>
          <w:highlight w:val="none"/>
        </w:rPr>
        <w:t>发光器件：OLED</w:t>
      </w:r>
    </w:p>
    <w:p w14:paraId="219BB89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ab/>
      </w:r>
      <w:r>
        <w:rPr>
          <w:rFonts w:hint="eastAsia" w:ascii="宋体" w:hAnsi="宋体" w:cs="宋体"/>
          <w:color w:val="auto"/>
          <w:sz w:val="24"/>
          <w:szCs w:val="24"/>
          <w:highlight w:val="none"/>
        </w:rPr>
        <w:t>发光颜色：白色</w:t>
      </w:r>
    </w:p>
    <w:p w14:paraId="17D4363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ab/>
      </w:r>
      <w:r>
        <w:rPr>
          <w:rFonts w:hint="eastAsia" w:ascii="宋体" w:hAnsi="宋体" w:cs="宋体"/>
          <w:color w:val="auto"/>
          <w:sz w:val="24"/>
          <w:szCs w:val="24"/>
          <w:highlight w:val="none"/>
        </w:rPr>
        <w:t>屏幕尺寸：显示区域:（</w:t>
      </w:r>
      <w:r>
        <w:rPr>
          <w:rFonts w:hint="eastAsia"/>
          <w:color w:val="auto"/>
          <w:sz w:val="24"/>
          <w:szCs w:val="24"/>
          <w:highlight w:val="none"/>
        </w:rPr>
        <w:t xml:space="preserve"> </w:t>
      </w:r>
      <w:r>
        <w:rPr>
          <w:rFonts w:hint="eastAsia" w:ascii="宋体" w:hAnsi="宋体" w:cs="宋体"/>
          <w:color w:val="auto"/>
          <w:sz w:val="24"/>
          <w:szCs w:val="24"/>
          <w:highlight w:val="none"/>
        </w:rPr>
        <w:t>≥35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mm）x（</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7</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mm）</w:t>
      </w:r>
    </w:p>
    <w:p w14:paraId="2BD1C2F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ab/>
      </w:r>
      <w:r>
        <w:rPr>
          <w:rFonts w:hint="eastAsia" w:ascii="宋体" w:hAnsi="宋体" w:cs="宋体"/>
          <w:color w:val="auto"/>
          <w:sz w:val="24"/>
          <w:szCs w:val="24"/>
          <w:highlight w:val="none"/>
        </w:rPr>
        <w:t>屏幕像素：（≥128） x （≥64）</w:t>
      </w:r>
    </w:p>
    <w:p w14:paraId="06ABA0A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 xml:space="preserve">  语言：中文(普通话)</w:t>
      </w:r>
    </w:p>
    <w:p w14:paraId="2FEA81C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ab/>
      </w:r>
      <w:r>
        <w:rPr>
          <w:rFonts w:hint="eastAsia" w:ascii="宋体" w:hAnsi="宋体" w:cs="宋体"/>
          <w:color w:val="auto"/>
          <w:sz w:val="24"/>
          <w:szCs w:val="24"/>
          <w:highlight w:val="none"/>
        </w:rPr>
        <w:t>输出功率：2W</w:t>
      </w:r>
    </w:p>
    <w:p w14:paraId="270F955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ab/>
      </w:r>
      <w:r>
        <w:rPr>
          <w:rFonts w:hint="eastAsia" w:ascii="宋体" w:hAnsi="宋体" w:cs="宋体"/>
          <w:color w:val="auto"/>
          <w:sz w:val="24"/>
          <w:szCs w:val="24"/>
          <w:highlight w:val="none"/>
        </w:rPr>
        <w:t>采样率:16KHz</w:t>
      </w:r>
    </w:p>
    <w:p w14:paraId="68F8DF9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ab/>
      </w:r>
      <w:r>
        <w:rPr>
          <w:rFonts w:hint="eastAsia" w:ascii="宋体" w:hAnsi="宋体" w:cs="宋体"/>
          <w:color w:val="auto"/>
          <w:sz w:val="24"/>
          <w:szCs w:val="24"/>
          <w:highlight w:val="none"/>
        </w:rPr>
        <w:t>额定功率:60W</w:t>
      </w:r>
    </w:p>
    <w:p w14:paraId="42C3234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ab/>
      </w:r>
      <w:r>
        <w:rPr>
          <w:rFonts w:hint="eastAsia" w:ascii="宋体" w:hAnsi="宋体" w:cs="宋体"/>
          <w:color w:val="auto"/>
          <w:sz w:val="24"/>
          <w:szCs w:val="24"/>
          <w:highlight w:val="none"/>
        </w:rPr>
        <w:t>输入电压:AC 100～240V 50/60Hz</w:t>
      </w:r>
    </w:p>
    <w:p w14:paraId="3C1D005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 xml:space="preserve">2  </w:t>
      </w:r>
      <w:r>
        <w:rPr>
          <w:rFonts w:hint="eastAsia" w:ascii="宋体" w:hAnsi="宋体" w:cs="宋体"/>
          <w:color w:val="auto"/>
          <w:sz w:val="24"/>
          <w:szCs w:val="24"/>
          <w:highlight w:val="none"/>
        </w:rPr>
        <w:t>输出电压:DC 12V 5A</w:t>
      </w:r>
    </w:p>
    <w:p w14:paraId="2FE643F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ab/>
      </w:r>
      <w:r>
        <w:rPr>
          <w:rFonts w:hint="eastAsia" w:ascii="宋体" w:hAnsi="宋体" w:cs="宋体"/>
          <w:color w:val="auto"/>
          <w:sz w:val="24"/>
          <w:szCs w:val="24"/>
          <w:highlight w:val="none"/>
        </w:rPr>
        <w:t>线长:</w:t>
      </w:r>
      <w:r>
        <w:rPr>
          <w:rFonts w:hint="eastAsia"/>
          <w:color w:val="auto"/>
          <w:sz w:val="24"/>
          <w:szCs w:val="24"/>
          <w:highlight w:val="none"/>
        </w:rPr>
        <w:t xml:space="preserve"> </w:t>
      </w:r>
      <w:r>
        <w:rPr>
          <w:rFonts w:hint="eastAsia" w:ascii="宋体" w:hAnsi="宋体" w:cs="宋体"/>
          <w:color w:val="auto"/>
          <w:sz w:val="24"/>
          <w:szCs w:val="24"/>
          <w:highlight w:val="none"/>
        </w:rPr>
        <w:t>≥1000mm</w:t>
      </w:r>
    </w:p>
    <w:p w14:paraId="1EED8D63">
      <w:pPr>
        <w:pageBreakBefore w:val="0"/>
        <w:kinsoku/>
        <w:wordWrap/>
        <w:overflowPunct/>
        <w:topLinePunct w:val="0"/>
        <w:autoSpaceDE/>
        <w:autoSpaceDN/>
        <w:bidi w:val="0"/>
        <w:spacing w:line="360" w:lineRule="auto"/>
        <w:ind w:left="420" w:hanging="480" w:hanging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ab/>
      </w:r>
      <w:r>
        <w:rPr>
          <w:rFonts w:hint="eastAsia" w:ascii="宋体" w:hAnsi="宋体" w:cs="宋体"/>
          <w:color w:val="auto"/>
          <w:sz w:val="24"/>
          <w:szCs w:val="24"/>
          <w:highlight w:val="none"/>
        </w:rPr>
        <w:t>▲振动频率:15Hz、20Hz、25Hz、30Hz、35Hz、40Hz、45Hz、50Hz、55Hz、60Hz、65Hz、70Hz、75Hz，共13档</w:t>
      </w:r>
    </w:p>
    <w:p w14:paraId="61ADBD5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ab/>
      </w:r>
      <w:r>
        <w:rPr>
          <w:rFonts w:hint="eastAsia" w:ascii="宋体" w:hAnsi="宋体" w:cs="宋体"/>
          <w:color w:val="auto"/>
          <w:sz w:val="24"/>
          <w:szCs w:val="24"/>
          <w:highlight w:val="none"/>
        </w:rPr>
        <w:t>治疗时间：5min～60min，步进5min，共12档</w:t>
      </w:r>
    </w:p>
    <w:p w14:paraId="32DECE5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ab/>
      </w:r>
      <w:r>
        <w:rPr>
          <w:rFonts w:hint="eastAsia" w:ascii="宋体" w:hAnsi="宋体" w:cs="宋体"/>
          <w:color w:val="auto"/>
          <w:sz w:val="24"/>
          <w:szCs w:val="24"/>
          <w:highlight w:val="none"/>
        </w:rPr>
        <w:t>固定输出模式：STD，CPM，TS;</w:t>
      </w:r>
    </w:p>
    <w:p w14:paraId="759E694A">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14BDE75D">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68982128">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品目十二：偏振光治疗仪</w:t>
      </w:r>
    </w:p>
    <w:p w14:paraId="59BB96C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1、通道数：双通道独立控制，通道一直线偏振光，通道二红外光。</w:t>
      </w:r>
    </w:p>
    <w:p w14:paraId="6926E59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、可移动式台车，配有两个储物抽屉。</w:t>
      </w:r>
    </w:p>
    <w:p w14:paraId="2A3D4C0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、≥10.1英寸彩色液晶触摸屏。</w:t>
      </w:r>
    </w:p>
    <w:p w14:paraId="2DC63B5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、直线偏振光性能参数</w:t>
      </w:r>
    </w:p>
    <w:p w14:paraId="11CF44A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.1光源：150W卤素灯光源；</w:t>
      </w:r>
    </w:p>
    <w:p w14:paraId="61B254F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.2光源寿命：≥3000h；</w:t>
      </w:r>
    </w:p>
    <w:p w14:paraId="13B3F6F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.3有效光谱波长：600nm～1600nm；</w:t>
      </w:r>
    </w:p>
    <w:p w14:paraId="5AFE314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.4传输光纤：一分二结构，可同时连接两个直线偏振治疗头；</w:t>
      </w:r>
    </w:p>
    <w:p w14:paraId="251DD45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.5偏振度：96%±3%；</w:t>
      </w:r>
    </w:p>
    <w:p w14:paraId="6507643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.6▲最大输出功率：B型治疗头：1800mW±15%，C型治疗头：2800mW±15%，D型治疗头：2800mW±15%，SG型治疗头：1500mW±15%；</w:t>
      </w:r>
    </w:p>
    <w:p w14:paraId="0ADF18C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.7照射光斑直径：B型治疗头照射光斑直径：15mm±2mm；C型治疗头照射光斑直径：80mm±2mm；D 型治疗头照射光斑直径：50mm±2mm；SG型治疗头照射光斑直径：7mm±1mm；</w:t>
      </w:r>
    </w:p>
    <w:p w14:paraId="69B02C1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.8治疗头工作表面温度:≤ 41℃。</w:t>
      </w:r>
    </w:p>
    <w:p w14:paraId="79A5D38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、红外光性能参数</w:t>
      </w:r>
    </w:p>
    <w:p w14:paraId="0C5C5E8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.1光源：150W红外光源；</w:t>
      </w:r>
    </w:p>
    <w:p w14:paraId="6BE5B62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.2光源寿命：≥3000h；</w:t>
      </w:r>
    </w:p>
    <w:p w14:paraId="649F029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.3有效光谱波长：600nm～3400nm；</w:t>
      </w:r>
    </w:p>
    <w:p w14:paraId="713CC87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.4最大输出光功率:30W士15%；</w:t>
      </w:r>
    </w:p>
    <w:p w14:paraId="7660D43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.5 A型治疗头照射光斑直径:120mm士3mm；</w:t>
      </w:r>
    </w:p>
    <w:p w14:paraId="21C2E02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.6治疗头工作表面温度:≤ 60℃。</w:t>
      </w:r>
    </w:p>
    <w:p w14:paraId="37E43B6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、▲工作模式：≥5种。连续、通断、自动通断、自动功率、安全。</w:t>
      </w:r>
    </w:p>
    <w:p w14:paraId="61A3D8E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.1连续模式：光连续输出；</w:t>
      </w:r>
    </w:p>
    <w:p w14:paraId="6812E71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.2通断模式：通时间以1秒，1.5秒，2-9秒之间以1秒的间隔可调，结束时间是在1-9秒之间，以1秒间隔可调；</w:t>
      </w:r>
    </w:p>
    <w:p w14:paraId="14605F2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.3自动通断：在治疗过程中通断时间会按设定的比例自动变化，即照射时间和间歇时间以1、1.5、2、3、4、5、6秒变换；</w:t>
      </w:r>
    </w:p>
    <w:p w14:paraId="5B493D4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.4自动功率：在治疗过程中照射功率会按设定的比例自动变化，即照射功率80%、50%、10%来回变换；</w:t>
      </w:r>
    </w:p>
    <w:p w14:paraId="2EBA79E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.5安全模式：该方式锁定了安全的输出功率（40%）及通（1秒）断（4秒）时间。</w:t>
      </w:r>
    </w:p>
    <w:p w14:paraId="7715F14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、输出强度：0%～100%可调，调节步长10%。</w:t>
      </w:r>
    </w:p>
    <w:p w14:paraId="400EBCE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、输出强度的重复性：Rp≤1%。 </w:t>
      </w:r>
    </w:p>
    <w:p w14:paraId="2E52AC6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、电源电压的波动：电源电压在额定电源电压的士10%之间变化时，最大输出光功率变化应不大于士1%。</w:t>
      </w:r>
    </w:p>
    <w:p w14:paraId="5259F00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、治疗时间： 0min～99min 可调，调节步长 1min。</w:t>
      </w:r>
    </w:p>
    <w:p w14:paraId="5BC8A0E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、连续工作时间≥8小时</w:t>
      </w:r>
    </w:p>
    <w:p w14:paraId="0D3BCBE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、患者管理</w:t>
      </w:r>
    </w:p>
    <w:p w14:paraId="485185A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.1患者信息存储，包含新建患者、患者记录、患者检索；</w:t>
      </w:r>
    </w:p>
    <w:p w14:paraId="5D8EDB9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.2患者VAS评分：可进行VAS评分；</w:t>
      </w:r>
    </w:p>
    <w:p w14:paraId="116908B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.3治疗次数记录、治疗时间记录。</w:t>
      </w:r>
    </w:p>
    <w:p w14:paraId="2F866F5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、配有可旋转屏幕：水平面 180°可调，垂直面90°可调。</w:t>
      </w:r>
    </w:p>
    <w:p w14:paraId="2F4350A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、支臂长度≥800mm，两个关节为单向限位调节</w:t>
      </w:r>
      <w:r>
        <w:rPr>
          <w:rFonts w:hint="eastAsia" w:ascii="宋体" w:hAnsi="宋体" w:cs="宋体"/>
          <w:color w:val="auto"/>
          <w:sz w:val="24"/>
          <w:szCs w:val="24"/>
          <w:highlight w:val="none"/>
          <w:lang w:eastAsia="zh-CN"/>
        </w:rPr>
        <w:t>。</w:t>
      </w:r>
    </w:p>
    <w:p w14:paraId="110D410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、安全防护</w:t>
      </w:r>
    </w:p>
    <w:p w14:paraId="7E2BF2D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.1配有急停按钮；</w:t>
      </w:r>
    </w:p>
    <w:p w14:paraId="7E62024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.2配有手持急停开关；</w:t>
      </w:r>
    </w:p>
    <w:p w14:paraId="537836C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.3温度保护，实时监测、显示温度，超温报警，停止光源输出；</w:t>
      </w:r>
    </w:p>
    <w:p w14:paraId="58424CF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 xml:space="preserve">.4▲倾倒防护：设备倾倒时，应自动切断输出，直至设备恢复到正常工作位置。 </w:t>
      </w:r>
    </w:p>
    <w:p w14:paraId="5B0907F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、预留接口</w:t>
      </w:r>
    </w:p>
    <w:p w14:paraId="0A82883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.1网络接口，与计算机进行通讯；</w:t>
      </w:r>
    </w:p>
    <w:p w14:paraId="4651141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 xml:space="preserve">.2 USB接口，进行固件升级。  </w:t>
      </w:r>
    </w:p>
    <w:p w14:paraId="6850E211">
      <w:pPr>
        <w:pageBreakBefore w:val="0"/>
        <w:kinsoku/>
        <w:wordWrap/>
        <w:overflowPunct/>
        <w:topLinePunct w:val="0"/>
        <w:autoSpaceDE/>
        <w:autoSpaceDN/>
        <w:bidi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、使用期限：≥10年。</w:t>
      </w:r>
    </w:p>
    <w:p w14:paraId="0F24E2BB">
      <w:pPr>
        <w:pageBreakBefore w:val="0"/>
        <w:kinsoku/>
        <w:wordWrap/>
        <w:overflowPunct/>
        <w:topLinePunct w:val="0"/>
        <w:autoSpaceDE/>
        <w:autoSpaceDN/>
        <w:bidi w:val="0"/>
        <w:spacing w:line="360" w:lineRule="auto"/>
        <w:jc w:val="left"/>
        <w:textAlignment w:val="auto"/>
        <w:rPr>
          <w:rFonts w:hint="eastAsia" w:ascii="宋体" w:hAnsi="宋体" w:cs="宋体"/>
          <w:color w:val="auto"/>
          <w:sz w:val="24"/>
          <w:szCs w:val="24"/>
          <w:highlight w:val="none"/>
        </w:rPr>
      </w:pPr>
    </w:p>
    <w:p w14:paraId="7C9F5125">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color w:val="auto"/>
          <w:sz w:val="24"/>
          <w:szCs w:val="24"/>
          <w:highlight w:val="none"/>
          <w:shd w:val="clear" w:color="auto" w:fill="FFFFFF"/>
        </w:rPr>
      </w:pPr>
      <w:bookmarkStart w:id="198" w:name="OLE_LINK13"/>
      <w:r>
        <w:rPr>
          <w:rFonts w:hint="eastAsia" w:ascii="宋体" w:hAnsi="宋体" w:eastAsia="宋体" w:cs="Times New Roman"/>
          <w:b/>
          <w:bCs/>
          <w:color w:val="auto"/>
          <w:sz w:val="24"/>
          <w:szCs w:val="24"/>
          <w:highlight w:val="none"/>
          <w:shd w:val="clear" w:color="auto" w:fill="FFFFFF"/>
        </w:rPr>
        <w:t>品目十三：</w:t>
      </w:r>
      <w:bookmarkEnd w:id="198"/>
      <w:r>
        <w:rPr>
          <w:rFonts w:hint="eastAsia" w:ascii="宋体" w:hAnsi="宋体" w:eastAsia="宋体" w:cs="Times New Roman"/>
          <w:b/>
          <w:bCs/>
          <w:color w:val="auto"/>
          <w:sz w:val="24"/>
          <w:szCs w:val="24"/>
          <w:highlight w:val="none"/>
          <w:shd w:val="clear" w:color="auto" w:fill="FFFFFF"/>
        </w:rPr>
        <w:t>干扰电治疗仪</w:t>
      </w:r>
    </w:p>
    <w:p w14:paraId="41CF21C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1.输入功率：400VA。</w:t>
      </w:r>
    </w:p>
    <w:p w14:paraId="0C5C946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2.工作条件：220V±10%，50Hz±1Hz。</w:t>
      </w:r>
    </w:p>
    <w:p w14:paraId="657CF2F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3.柜式结构，≥10英寸彩色触摸屏幕操控。</w:t>
      </w:r>
    </w:p>
    <w:p w14:paraId="4EA48AA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4.一路通道，可接3组吸附电疗输出，3组常规电疗输出。</w:t>
      </w:r>
    </w:p>
    <w:p w14:paraId="239340F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5.两种规格吸附电极：大、小，导电部分的尺寸规格为≥60mm、≥30mm。另外可选配中型吸附电极（≥44mm）。</w:t>
      </w:r>
    </w:p>
    <w:p w14:paraId="0D8D06D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6.工作波形：载波为正弦波。</w:t>
      </w:r>
    </w:p>
    <w:p w14:paraId="2256894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7.工作频率：1000Hz～11000Hz，允差±10%。</w:t>
      </w:r>
    </w:p>
    <w:p w14:paraId="069E5CA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8.输出电流：最大输出电流有效值不大于80mA。</w:t>
      </w:r>
    </w:p>
    <w:p w14:paraId="0634A20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9.输出强度：0～99档连续可调，步长1。</w:t>
      </w:r>
    </w:p>
    <w:p w14:paraId="32264DB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10.电流变化率：不同负载下的电流变化率应不大于10%。</w:t>
      </w:r>
    </w:p>
    <w:p w14:paraId="135FA3A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11.调制频率：0～150Hz。</w:t>
      </w:r>
    </w:p>
    <w:p w14:paraId="78602E8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12.调制方式：具有间歇和连续二类调制方式。</w:t>
      </w:r>
    </w:p>
    <w:p w14:paraId="35B58EB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(1)间歇调制：采用间歇方波调制正弦波，占空比为50%，允差±20%。</w:t>
      </w:r>
    </w:p>
    <w:p w14:paraId="77AE9EE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(2)连续调制：采用连续低频正弦波调制中频正弦波，调幅度分为0、15%、25%、50%、75%、100%六种，允差±5%。</w:t>
      </w:r>
    </w:p>
    <w:p w14:paraId="2AA2A19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13.差频频率：1～199Hz，允差±10％或1Hz，二者取最大值。</w:t>
      </w:r>
    </w:p>
    <w:p w14:paraId="5542B46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14.▲五种差频治疗模式：低差频模式、中差频模式、高差频模式、广差频模式、超广差频模式。</w:t>
      </w:r>
    </w:p>
    <w:p w14:paraId="404E089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15.差频变化周期：具有自然节律、周期性变化两类变化形式。</w:t>
      </w:r>
    </w:p>
    <w:p w14:paraId="3A31E2E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(1)自然节律是指差频频率在差频治疗模式相应范围内随机变化。</w:t>
      </w:r>
    </w:p>
    <w:p w14:paraId="131C2B2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(2)周期性差频变化分为15s、20s、25s、30s四种，允差±10％。</w:t>
      </w:r>
    </w:p>
    <w:p w14:paraId="2C9AC7B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16.七种动态节律可选：4秒、5秒、6秒、7秒、8秒、9秒、10秒，允差±10%。</w:t>
      </w:r>
    </w:p>
    <w:p w14:paraId="3E874DE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17.▲干扰输出模式：</w:t>
      </w:r>
    </w:p>
    <w:p w14:paraId="7ECF1D7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(1)双路（二维）：普通模式、动态模式、调制模式、对极模式、程序模式、波浪模式。</w:t>
      </w:r>
    </w:p>
    <w:p w14:paraId="5D39AF0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(2)立体（三维）：三维立体模式、立体动态模式、立体调制模式、立体对极模式、程序模式、波浪模式。</w:t>
      </w:r>
    </w:p>
    <w:p w14:paraId="3555491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 治疗仪具有开路、短路、过流报警功能。</w:t>
      </w:r>
    </w:p>
    <w:p w14:paraId="2F61762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(1)开路：治疗仪在输出状态无负载时，具有视觉和听觉提示。</w:t>
      </w:r>
    </w:p>
    <w:p w14:paraId="0C73A77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(2)短路：治疗仪在输出端短路时，具有视觉和听觉提示。</w:t>
      </w:r>
    </w:p>
    <w:p w14:paraId="55DF1B7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(3)过流：小号吸附电极的输出电流有效值大于50mA时，中号、大号吸附电极和电极片的输出电流有效值大于80mA时，具有视觉和听觉提示。</w:t>
      </w:r>
    </w:p>
    <w:p w14:paraId="40F4BDF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19.▲加热功能：加热装置可单独开启及关闭，最高温度为40℃±3℃。</w:t>
      </w:r>
    </w:p>
    <w:p w14:paraId="7123F6D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20.负压吸引功能：</w:t>
      </w:r>
    </w:p>
    <w:p w14:paraId="0BEE5EC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(1)输出负压0kPa～30kPa可调，最大负压值允差±10%。</w:t>
      </w:r>
    </w:p>
    <w:p w14:paraId="6733EA3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(2)具有六种吸引模式，分别为连续模式和5种5种节拍式吸引模式，吸引频率允差±10%。</w:t>
      </w:r>
    </w:p>
    <w:p w14:paraId="74EEE1A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21.脉冲宽度：脉冲信号宽度为30μs～330μs。</w:t>
      </w:r>
    </w:p>
    <w:p w14:paraId="26B97B7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22.治疗时间：1～99min可调，步长为1分钟，误差为±5%。</w:t>
      </w:r>
    </w:p>
    <w:p w14:paraId="14BC7A8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23.噪声：≤60dB（A）。</w:t>
      </w:r>
    </w:p>
    <w:p w14:paraId="4134F19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24.连续工作时间：≥4h。</w:t>
      </w:r>
    </w:p>
    <w:p w14:paraId="3462EBC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25.处方具有处方功能及自定义处方：≥15个处方，≥15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个自定义处方。</w:t>
      </w:r>
    </w:p>
    <w:p w14:paraId="50D76F8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26.软件功能：</w:t>
      </w:r>
    </w:p>
    <w:p w14:paraId="4493B0A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(1)具备吸附开关功能，吸附电极治疗结束后可保持吸附。</w:t>
      </w:r>
    </w:p>
    <w:p w14:paraId="28FC3A1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(2)可单路或多路同步调节输出强度。</w:t>
      </w:r>
    </w:p>
    <w:p w14:paraId="26B64DE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(3)显示电极放置示意图。</w:t>
      </w:r>
    </w:p>
    <w:p w14:paraId="6455A368">
      <w:pPr>
        <w:pageBreakBefore w:val="0"/>
        <w:kinsoku/>
        <w:wordWrap/>
        <w:overflowPunct/>
        <w:topLinePunct w:val="0"/>
        <w:autoSpaceDE/>
        <w:autoSpaceDN/>
        <w:bidi w:val="0"/>
        <w:spacing w:line="360" w:lineRule="auto"/>
        <w:jc w:val="left"/>
        <w:textAlignment w:val="auto"/>
        <w:rPr>
          <w:rFonts w:hint="eastAsia" w:ascii="宋体" w:hAnsi="宋体" w:eastAsia="宋体" w:cs="Times New Roman"/>
          <w:color w:val="auto"/>
          <w:sz w:val="24"/>
          <w:szCs w:val="24"/>
          <w:highlight w:val="none"/>
          <w:shd w:val="clear" w:color="auto" w:fill="FFFFFF"/>
        </w:rPr>
      </w:pPr>
      <w:r>
        <w:rPr>
          <w:rFonts w:hint="eastAsia" w:ascii="宋体" w:hAnsi="宋体" w:cs="宋体"/>
          <w:color w:val="auto"/>
          <w:sz w:val="24"/>
          <w:szCs w:val="24"/>
          <w:highlight w:val="none"/>
        </w:rPr>
        <w:t>(4)具备界面锁定功能。</w:t>
      </w:r>
    </w:p>
    <w:p w14:paraId="254E1B71">
      <w:pPr>
        <w:pageBreakBefore w:val="0"/>
        <w:kinsoku/>
        <w:wordWrap/>
        <w:overflowPunct/>
        <w:topLinePunct w:val="0"/>
        <w:autoSpaceDE/>
        <w:autoSpaceDN/>
        <w:bidi w:val="0"/>
        <w:spacing w:line="360" w:lineRule="auto"/>
        <w:jc w:val="left"/>
        <w:textAlignment w:val="auto"/>
        <w:rPr>
          <w:rFonts w:hint="eastAsia" w:ascii="宋体" w:hAnsi="宋体" w:eastAsia="宋体" w:cs="Times New Roman"/>
          <w:color w:val="auto"/>
          <w:sz w:val="24"/>
          <w:szCs w:val="24"/>
          <w:highlight w:val="none"/>
          <w:shd w:val="clear" w:color="auto" w:fill="FFFFFF"/>
        </w:rPr>
      </w:pPr>
    </w:p>
    <w:p w14:paraId="281B801D">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品目十四：低频电刺激治疗仪</w:t>
      </w:r>
    </w:p>
    <w:p w14:paraId="6F6C2DF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1.输入功率：40VA；</w:t>
      </w:r>
    </w:p>
    <w:p w14:paraId="37678AE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2.使用电源：220V，50Hz；</w:t>
      </w:r>
    </w:p>
    <w:p w14:paraId="42E9C04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3.▲≥4.3英寸彩色触摸屏加旋转编码器操作；</w:t>
      </w:r>
    </w:p>
    <w:p w14:paraId="23A258A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4.▲双通道台面款：具有2组电疗输出，独立可控；</w:t>
      </w:r>
    </w:p>
    <w:p w14:paraId="028235F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5.时间设定范围：1-99min，步长为1min，允差±2%；</w:t>
      </w:r>
    </w:p>
    <w:p w14:paraId="0A2FA8C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6.定时提醒：定时时间到后有声音提示功能；</w:t>
      </w:r>
    </w:p>
    <w:p w14:paraId="242EF55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7.电疗输出参数：</w:t>
      </w:r>
    </w:p>
    <w:p w14:paraId="7678687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(1)输出波形：双向对称方波、双向不对称方波；</w:t>
      </w:r>
    </w:p>
    <w:p w14:paraId="6C380E7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(2)双向不对称方波：</w:t>
      </w:r>
    </w:p>
    <w:p w14:paraId="7F4AA40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脉冲频率0.5Hz～10Hz可调；频率为0.5Hz～1Hz时，单步长为0.1Hz；频率为1Hz～10Hz时，单步长为1Hz，允差±10%；</w:t>
      </w:r>
    </w:p>
    <w:p w14:paraId="2C638DA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脉冲宽度0.1ms～10ms可调；脉冲宽度为0.1ms～1ms，单步长为0.05ms；脉冲宽度为1ms～10ms，单步长为0.5ms，允差±10%；</w:t>
      </w:r>
    </w:p>
    <w:p w14:paraId="31BC554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(3)双向对称方波：</w:t>
      </w:r>
    </w:p>
    <w:p w14:paraId="52D543A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当脉冲频率为10Hz～100Hz时，单步长为1Hz，脉冲宽度为80us～400us，单步长为10us，允差±10%；</w:t>
      </w:r>
    </w:p>
    <w:p w14:paraId="63D2365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当脉冲频率为100Hz～200Hz时，单步长为1Hz；脉冲宽度为80us～200us，单步长为10us，允差+10%；</w:t>
      </w:r>
    </w:p>
    <w:p w14:paraId="7B2F468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(4)输出强度：各输出通道独立控制，在500Ω负载阻抗时，每路输出电流峰值Ip从0mA～140mA可调，步长为1mA，最大输出值允差±10%；</w:t>
      </w:r>
    </w:p>
    <w:p w14:paraId="0D417A4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(5)输出电流：最大输出电流有效值应不大于50mA；</w:t>
      </w:r>
    </w:p>
    <w:p w14:paraId="1748D58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(6)脉冲能量：负载为500Ω时，皮肤电极单个脉冲最大输出的能量应不超过300mJ；</w:t>
      </w:r>
    </w:p>
    <w:p w14:paraId="3079D4A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(7)电源中断再恢复时无输出；</w:t>
      </w:r>
    </w:p>
    <w:p w14:paraId="5DC468C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(8)开路测量时，输出电压峰值应不大于500V；</w:t>
      </w:r>
    </w:p>
    <w:p w14:paraId="2415675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(9)脉冲周期：0.005s-2s，允差±10%；</w:t>
      </w:r>
    </w:p>
    <w:p w14:paraId="2341AFC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(10)脉冲重复频率为0.5Hz-200Hz，允差±10%；</w:t>
      </w:r>
    </w:p>
    <w:p w14:paraId="0708822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8.设备可进行通断调制</w:t>
      </w:r>
    </w:p>
    <w:p w14:paraId="489C01E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(1)上升时间：0s-2s，步长为0.5s；</w:t>
      </w:r>
    </w:p>
    <w:p w14:paraId="1743263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(2)保持时间：0s-20s，步长为1s；</w:t>
      </w:r>
    </w:p>
    <w:p w14:paraId="63B1D37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(3)下降时间：0s-2s，步长为0.5s；</w:t>
      </w:r>
    </w:p>
    <w:p w14:paraId="4B6537D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(4)间隔时间：2s-50s，步长为1s；</w:t>
      </w:r>
    </w:p>
    <w:p w14:paraId="3DA75A7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(5)间隔时间不少于上升时间、维持时间和下降时间之和；</w:t>
      </w:r>
    </w:p>
    <w:p w14:paraId="0F2E625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9.电源中断再恢复时无输出；</w:t>
      </w:r>
    </w:p>
    <w:p w14:paraId="670B51E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10.开路测量时，输出电压峰值应不大于500V；</w:t>
      </w:r>
    </w:p>
    <w:p w14:paraId="1534D9D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11.主界面：具有通道状态显示功能；</w:t>
      </w:r>
    </w:p>
    <w:p w14:paraId="763AB01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12.安全保护：具有警告提醒（开路、短路、设备异常）；</w:t>
      </w:r>
    </w:p>
    <w:p w14:paraId="56B8146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13.电极采用具有医疗器械注册证或备案凭证的产品；</w:t>
      </w:r>
    </w:p>
    <w:p w14:paraId="463CB9E7">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r>
        <w:rPr>
          <w:rFonts w:hint="eastAsia" w:ascii="宋体" w:hAnsi="宋体" w:cs="宋体"/>
          <w:color w:val="auto"/>
          <w:sz w:val="24"/>
          <w:szCs w:val="24"/>
          <w:highlight w:val="none"/>
        </w:rPr>
        <w:t>14.连续工作时间≥8h；</w:t>
      </w:r>
    </w:p>
    <w:p w14:paraId="3BB920F1">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6C05532B">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品目十五：中频电刺激治疗仪</w:t>
      </w:r>
    </w:p>
    <w:p w14:paraId="01D9BCD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1.输入功率:120VA；</w:t>
      </w:r>
    </w:p>
    <w:p w14:paraId="3BA8325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2.使用电源：220V，50Hz；</w:t>
      </w:r>
    </w:p>
    <w:p w14:paraId="26185A3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3.台面款，液晶触摸屏操作；</w:t>
      </w:r>
    </w:p>
    <w:p w14:paraId="0233B05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4.具有4路输出通道，4路可独立控制，同时治疗4名患者或4个部位；亦可组合使用，形成2组干扰电数量；</w:t>
      </w:r>
    </w:p>
    <w:p w14:paraId="2A3DDC0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5.中频治疗具有5种治疗模式：多步模式、音频模式、正弦调制、脉冲调制、自定义中频；</w:t>
      </w:r>
    </w:p>
    <w:p w14:paraId="663F723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6.具有≥100个内置处方及≥10个自定义处方，选择多样，灵活适配；</w:t>
      </w:r>
    </w:p>
    <w:p w14:paraId="74A5AC5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7.输出电流：≤50mA；</w:t>
      </w:r>
    </w:p>
    <w:p w14:paraId="460333B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8.载波频率：1kHz～12kHz，允差±10%；</w:t>
      </w:r>
    </w:p>
    <w:p w14:paraId="7A36187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9.调制波频率：0～150Hz，允差±10%；</w:t>
      </w:r>
    </w:p>
    <w:p w14:paraId="5AD8892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10.差频频率范围：0～200Hz范围内的单一值，允差在±10%或±1Hz；</w:t>
      </w:r>
    </w:p>
    <w:p w14:paraId="73F8BE7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11.差频变化周期：15～30s，允差±10%；</w:t>
      </w:r>
    </w:p>
    <w:p w14:paraId="4FEF500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12.动态节律：4～10s，允差±10%</w:t>
      </w:r>
    </w:p>
    <w:p w14:paraId="54E5013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13.调幅度：0～100%的范围内的单一值，调幅度允差±5%；</w:t>
      </w:r>
    </w:p>
    <w:p w14:paraId="55B50AD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14.▲干扰电治疗：</w:t>
      </w:r>
    </w:p>
    <w:p w14:paraId="505331D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(1)电疗仪具有双路（二维）干扰输出；</w:t>
      </w:r>
    </w:p>
    <w:p w14:paraId="0029D0F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(2)具有干扰模式、干扰模式选择、自定义干扰三种治疗模式；</w:t>
      </w:r>
    </w:p>
    <w:p w14:paraId="7EE1C98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15.电疗仪在多步程序中频电流疗法中具有锁定功能，满足临床个性化需求；</w:t>
      </w:r>
    </w:p>
    <w:p w14:paraId="73032DC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.▲安全功能：</w:t>
      </w:r>
    </w:p>
    <w:p w14:paraId="5E4BA38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（1）电极超温保护；</w:t>
      </w:r>
    </w:p>
    <w:p w14:paraId="32D04CC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（2）输出状态识别检测（开路、短路、过流）；</w:t>
      </w:r>
    </w:p>
    <w:p w14:paraId="159C5AD4">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6620F15A">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5ABE6191">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品目十六：红光治疗仪</w:t>
      </w:r>
    </w:p>
    <w:p w14:paraId="4B0E33BF">
      <w:pPr>
        <w:pageBreakBefore w:val="0"/>
        <w:numPr>
          <w:ilvl w:val="0"/>
          <w:numId w:val="17"/>
        </w:numPr>
        <w:tabs>
          <w:tab w:val="left" w:pos="643"/>
        </w:tabs>
        <w:kinsoku/>
        <w:wordWrap/>
        <w:overflowPunct/>
        <w:topLinePunct w:val="0"/>
        <w:autoSpaceDE/>
        <w:autoSpaceDN/>
        <w:bidi w:val="0"/>
        <w:adjustRightInd w:val="0"/>
        <w:snapToGrid w:val="0"/>
        <w:spacing w:line="360" w:lineRule="auto"/>
        <w:ind w:left="420" w:left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适用于消炎、镇痛，对体表创面有止渗液，促进肉芽组织生长、加速愈合的作用。</w:t>
      </w:r>
    </w:p>
    <w:p w14:paraId="71A87F1E">
      <w:pPr>
        <w:pageBreakBefore w:val="0"/>
        <w:numPr>
          <w:ilvl w:val="0"/>
          <w:numId w:val="17"/>
        </w:numPr>
        <w:tabs>
          <w:tab w:val="left" w:pos="643"/>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内置式储物盒设计，配备重力自动关合与磁吸锁闭功能</w:t>
      </w:r>
      <w:r>
        <w:rPr>
          <w:rFonts w:hint="eastAsia" w:ascii="宋体" w:hAnsi="宋体" w:cs="宋体"/>
          <w:color w:val="auto"/>
          <w:sz w:val="24"/>
          <w:szCs w:val="24"/>
          <w:highlight w:val="none"/>
          <w:lang w:eastAsia="zh-CN"/>
        </w:rPr>
        <w:t>。</w:t>
      </w:r>
    </w:p>
    <w:p w14:paraId="6903F7A6">
      <w:pPr>
        <w:pageBreakBefore w:val="0"/>
        <w:numPr>
          <w:ilvl w:val="0"/>
          <w:numId w:val="17"/>
        </w:numPr>
        <w:tabs>
          <w:tab w:val="left" w:pos="643"/>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光源材质：半导体固态光源（点阵芯片集成式）。</w:t>
      </w:r>
    </w:p>
    <w:p w14:paraId="7D2B766C">
      <w:pPr>
        <w:pageBreakBefore w:val="0"/>
        <w:tabs>
          <w:tab w:val="left" w:pos="643"/>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4、▲LED光源波长</w:t>
      </w:r>
    </w:p>
    <w:p w14:paraId="3E74C632">
      <w:pPr>
        <w:pageBreakBefore w:val="0"/>
        <w:tabs>
          <w:tab w:val="left" w:pos="643"/>
        </w:tabs>
        <w:kinsoku/>
        <w:wordWrap/>
        <w:overflowPunct/>
        <w:topLinePunct w:val="0"/>
        <w:autoSpaceDE/>
        <w:autoSpaceDN/>
        <w:bidi w:val="0"/>
        <w:adjustRightInd w:val="0"/>
        <w:snapToGrid w:val="0"/>
        <w:spacing w:line="360" w:lineRule="auto"/>
        <w:ind w:firstLine="720" w:firstLineChars="3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4.1峰值波长：红光640nm，允差±10nm；</w:t>
      </w:r>
    </w:p>
    <w:p w14:paraId="2ED1F1E0">
      <w:pPr>
        <w:pageBreakBefore w:val="0"/>
        <w:tabs>
          <w:tab w:val="left" w:pos="643"/>
        </w:tabs>
        <w:kinsoku/>
        <w:wordWrap/>
        <w:overflowPunct/>
        <w:topLinePunct w:val="0"/>
        <w:autoSpaceDE/>
        <w:autoSpaceDN/>
        <w:bidi w:val="0"/>
        <w:adjustRightInd w:val="0"/>
        <w:snapToGrid w:val="0"/>
        <w:spacing w:line="360" w:lineRule="auto"/>
        <w:ind w:firstLine="720" w:firstLineChars="3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4.2短波长边界：红光630nm，允差±5%。</w:t>
      </w:r>
    </w:p>
    <w:p w14:paraId="0F0682A3">
      <w:pPr>
        <w:pageBreakBefore w:val="0"/>
        <w:tabs>
          <w:tab w:val="left" w:pos="643"/>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5、最大有效治疗面积：≥500cm</w:t>
      </w:r>
      <w:r>
        <w:rPr>
          <w:rFonts w:hint="eastAsia" w:ascii="宋体" w:hAnsi="宋体" w:cs="宋体"/>
          <w:color w:val="auto"/>
          <w:sz w:val="24"/>
          <w:szCs w:val="24"/>
          <w:highlight w:val="none"/>
          <w:vertAlign w:val="superscript"/>
        </w:rPr>
        <w:t>2</w:t>
      </w:r>
      <w:r>
        <w:rPr>
          <w:rFonts w:hint="eastAsia" w:ascii="宋体" w:hAnsi="宋体" w:cs="宋体"/>
          <w:color w:val="auto"/>
          <w:sz w:val="24"/>
          <w:szCs w:val="24"/>
          <w:highlight w:val="none"/>
        </w:rPr>
        <w:t>。</w:t>
      </w:r>
    </w:p>
    <w:p w14:paraId="73232AE8">
      <w:pPr>
        <w:pageBreakBefore w:val="0"/>
        <w:tabs>
          <w:tab w:val="left" w:pos="643"/>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6、最大有效治疗深度：≥10cm。</w:t>
      </w:r>
    </w:p>
    <w:p w14:paraId="1A8DAE62">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7、单光源输出光功率：≥10W。</w:t>
      </w:r>
    </w:p>
    <w:p w14:paraId="28D4816D">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8、能量可调节：1-6档可调。</w:t>
      </w:r>
    </w:p>
    <w:p w14:paraId="51EC7C7A">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9、▲最大光功率密度（光源表面测量）：红光≥3000mW/cm</w:t>
      </w:r>
      <w:r>
        <w:rPr>
          <w:rFonts w:hint="eastAsia" w:ascii="宋体" w:hAnsi="宋体" w:cs="宋体"/>
          <w:color w:val="auto"/>
          <w:sz w:val="24"/>
          <w:szCs w:val="24"/>
          <w:highlight w:val="none"/>
          <w:vertAlign w:val="superscript"/>
        </w:rPr>
        <w:t xml:space="preserve">2  </w:t>
      </w:r>
      <w:r>
        <w:rPr>
          <w:rFonts w:hint="eastAsia" w:ascii="宋体" w:hAnsi="宋体" w:cs="宋体"/>
          <w:color w:val="auto"/>
          <w:sz w:val="24"/>
          <w:szCs w:val="24"/>
          <w:highlight w:val="none"/>
        </w:rPr>
        <w:t>。</w:t>
      </w:r>
    </w:p>
    <w:p w14:paraId="04CCD978">
      <w:pPr>
        <w:pageBreakBefore w:val="0"/>
        <w:tabs>
          <w:tab w:val="left" w:pos="643"/>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10、光功率稳定度：光源正常工作后，光功率变化率≤±1%。</w:t>
      </w:r>
    </w:p>
    <w:p w14:paraId="69264D0E">
      <w:pPr>
        <w:keepNext/>
        <w:keepLines/>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11、电动升降功能（选配）</w:t>
      </w:r>
    </w:p>
    <w:p w14:paraId="292CBC29">
      <w:pPr>
        <w:pageBreakBefore w:val="0"/>
        <w:tabs>
          <w:tab w:val="left" w:pos="643"/>
        </w:tabs>
        <w:kinsoku/>
        <w:wordWrap/>
        <w:overflowPunct/>
        <w:topLinePunct w:val="0"/>
        <w:autoSpaceDE/>
        <w:autoSpaceDN/>
        <w:bidi w:val="0"/>
        <w:adjustRightInd w:val="0"/>
        <w:snapToGrid w:val="0"/>
        <w:spacing w:line="360" w:lineRule="auto"/>
        <w:ind w:firstLine="720" w:firstLineChars="3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11.1升降行程400mm±10％，速度≥30mm/s；</w:t>
      </w:r>
    </w:p>
    <w:p w14:paraId="1C5ACBDE">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11.2电机最大推力：</w:t>
      </w:r>
      <w:bookmarkStart w:id="199" w:name="_Hlk242951576"/>
      <w:r>
        <w:rPr>
          <w:rFonts w:hint="eastAsia" w:ascii="宋体" w:hAnsi="宋体" w:cs="宋体"/>
          <w:color w:val="auto"/>
          <w:sz w:val="24"/>
          <w:szCs w:val="24"/>
          <w:highlight w:val="none"/>
        </w:rPr>
        <w:t>≥</w:t>
      </w:r>
      <w:bookmarkEnd w:id="199"/>
      <w:r>
        <w:rPr>
          <w:rFonts w:hint="eastAsia" w:ascii="宋体" w:hAnsi="宋体" w:cs="宋体"/>
          <w:color w:val="auto"/>
          <w:sz w:val="24"/>
          <w:szCs w:val="24"/>
          <w:highlight w:val="none"/>
        </w:rPr>
        <w:t>1000N；</w:t>
      </w:r>
    </w:p>
    <w:p w14:paraId="43DECFB8">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12、有效光源辐照度</w:t>
      </w:r>
    </w:p>
    <w:p w14:paraId="3499A7A9">
      <w:pPr>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a)最大有效辐照度：红光≥60mW/cm</w:t>
      </w:r>
      <w:r>
        <w:rPr>
          <w:rFonts w:hint="eastAsia" w:ascii="宋体" w:hAnsi="宋体" w:cs="宋体"/>
          <w:color w:val="auto"/>
          <w:sz w:val="24"/>
          <w:szCs w:val="24"/>
          <w:highlight w:val="none"/>
          <w:vertAlign w:val="superscript"/>
        </w:rPr>
        <w:t>2</w:t>
      </w:r>
      <w:r>
        <w:rPr>
          <w:rFonts w:hint="eastAsia" w:ascii="宋体" w:hAnsi="宋体" w:cs="宋体"/>
          <w:color w:val="auto"/>
          <w:sz w:val="24"/>
          <w:szCs w:val="24"/>
          <w:highlight w:val="none"/>
        </w:rPr>
        <w:t xml:space="preserve"> ，且不大于200 mW/cm</w:t>
      </w:r>
      <w:r>
        <w:rPr>
          <w:rFonts w:hint="eastAsia" w:ascii="宋体" w:hAnsi="宋体" w:cs="宋体"/>
          <w:color w:val="auto"/>
          <w:sz w:val="24"/>
          <w:szCs w:val="24"/>
          <w:highlight w:val="none"/>
          <w:vertAlign w:val="superscript"/>
        </w:rPr>
        <w:t>2</w:t>
      </w:r>
      <w:r>
        <w:rPr>
          <w:rFonts w:hint="eastAsia" w:ascii="宋体" w:hAnsi="宋体" w:cs="宋体"/>
          <w:color w:val="auto"/>
          <w:sz w:val="24"/>
          <w:szCs w:val="24"/>
          <w:highlight w:val="none"/>
        </w:rPr>
        <w:t>(2000W/m</w:t>
      </w:r>
      <w:r>
        <w:rPr>
          <w:rFonts w:hint="eastAsia" w:ascii="宋体" w:hAnsi="宋体" w:cs="宋体"/>
          <w:color w:val="auto"/>
          <w:sz w:val="24"/>
          <w:szCs w:val="24"/>
          <w:highlight w:val="none"/>
          <w:vertAlign w:val="superscript"/>
        </w:rPr>
        <w:t>2</w:t>
      </w:r>
      <w:r>
        <w:rPr>
          <w:rFonts w:hint="eastAsia" w:ascii="宋体" w:hAnsi="宋体" w:cs="宋体"/>
          <w:color w:val="auto"/>
          <w:sz w:val="24"/>
          <w:szCs w:val="24"/>
          <w:highlight w:val="none"/>
        </w:rPr>
        <w:t>)；</w:t>
      </w:r>
    </w:p>
    <w:p w14:paraId="4CFF5315">
      <w:pPr>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b)有效辐照度的均匀性大于0.6；</w:t>
      </w:r>
    </w:p>
    <w:p w14:paraId="6A1F4F34">
      <w:pPr>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c)有效辐照度的不稳定度不大于土1%；</w:t>
      </w:r>
    </w:p>
    <w:p w14:paraId="241FC2BF">
      <w:pPr>
        <w:pageBreakBefore w:val="0"/>
        <w:kinsoku/>
        <w:wordWrap/>
        <w:overflowPunct/>
        <w:topLinePunct w:val="0"/>
        <w:autoSpaceDE/>
        <w:autoSpaceDN/>
        <w:bidi w:val="0"/>
        <w:adjustRightInd w:val="0"/>
        <w:snapToGrid w:val="0"/>
        <w:spacing w:line="360" w:lineRule="auto"/>
        <w:ind w:left="420" w:hanging="480" w:hanging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13、水膜升温：距离出光口10cm处，环境温度26℃条件下，单次照射15min，水膜温升≤2℃，且此时的光功率密度不低于80mW/cm</w:t>
      </w:r>
      <w:r>
        <w:rPr>
          <w:rFonts w:hint="eastAsia" w:ascii="宋体" w:hAnsi="宋体" w:cs="宋体"/>
          <w:color w:val="auto"/>
          <w:sz w:val="24"/>
          <w:szCs w:val="24"/>
          <w:highlight w:val="none"/>
          <w:vertAlign w:val="superscript"/>
        </w:rPr>
        <w:t>2</w:t>
      </w:r>
      <w:r>
        <w:rPr>
          <w:rFonts w:hint="eastAsia" w:ascii="宋体" w:hAnsi="宋体" w:cs="宋体"/>
          <w:color w:val="auto"/>
          <w:sz w:val="24"/>
          <w:szCs w:val="24"/>
          <w:highlight w:val="none"/>
        </w:rPr>
        <w:t>。</w:t>
      </w:r>
    </w:p>
    <w:p w14:paraId="15BBC3F9">
      <w:pPr>
        <w:pageBreakBefore w:val="0"/>
        <w:kinsoku/>
        <w:wordWrap/>
        <w:overflowPunct/>
        <w:topLinePunct w:val="0"/>
        <w:autoSpaceDE/>
        <w:autoSpaceDN/>
        <w:bidi w:val="0"/>
        <w:adjustRightInd w:val="0"/>
        <w:snapToGrid w:val="0"/>
        <w:spacing w:line="360" w:lineRule="auto"/>
        <w:ind w:left="420" w:left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14、辐射光谱：600nm～760nm范围内的辐照度与200nm～1400nm范围内的辐照度的比值不小于0.8；</w:t>
      </w:r>
    </w:p>
    <w:p w14:paraId="32972033">
      <w:pPr>
        <w:pageBreakBefore w:val="0"/>
        <w:kinsoku/>
        <w:wordWrap/>
        <w:overflowPunct/>
        <w:topLinePunct w:val="0"/>
        <w:autoSpaceDE/>
        <w:autoSpaceDN/>
        <w:bidi w:val="0"/>
        <w:adjustRightInd w:val="0"/>
        <w:snapToGrid w:val="0"/>
        <w:spacing w:line="360" w:lineRule="auto"/>
        <w:ind w:left="420" w:left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15、红外辐射：有效辐照面上任一点的红外辐射（波长从 760nm～1400nm）不得超过10mW/cm²（100W/m²）。   </w:t>
      </w:r>
    </w:p>
    <w:p w14:paraId="08F70816">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16、在正常工作状态下，光辐射器输出的光不会出现肉眼可察觉的非功能性的闪烁现象。</w:t>
      </w:r>
    </w:p>
    <w:p w14:paraId="7609705C">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17、治疗时间设置范围：治疗时间从0min～99min可调，步长为1min、5min。</w:t>
      </w:r>
    </w:p>
    <w:p w14:paraId="12D705C2">
      <w:pPr>
        <w:pageBreakBefore w:val="0"/>
        <w:kinsoku/>
        <w:wordWrap/>
        <w:overflowPunct/>
        <w:topLinePunct w:val="0"/>
        <w:autoSpaceDE/>
        <w:autoSpaceDN/>
        <w:bidi w:val="0"/>
        <w:adjustRightInd w:val="0"/>
        <w:snapToGrid w:val="0"/>
        <w:spacing w:line="360" w:lineRule="auto"/>
        <w:ind w:left="420" w:left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18、操作记忆功能：能自动记忆上次操作，自动完成一键开启功能，减去操作人员的频繁操作。</w:t>
      </w:r>
    </w:p>
    <w:p w14:paraId="3FD220D6">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19、操作面板：≥ 7寸液晶触摸屏幕。</w:t>
      </w:r>
    </w:p>
    <w:p w14:paraId="53A4C425">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20、温度监测与超温保护功能</w:t>
      </w:r>
    </w:p>
    <w:p w14:paraId="33C693A1">
      <w:pPr>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20.1治疗仪具有对光源系统温度实时监测功能，测温准确度不大于1℃；</w:t>
      </w:r>
    </w:p>
    <w:p w14:paraId="12A79D95">
      <w:pPr>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20.2治疗界面具有温度显示功能；</w:t>
      </w:r>
    </w:p>
    <w:p w14:paraId="424D01E8">
      <w:pPr>
        <w:pageBreakBefore w:val="0"/>
        <w:kinsoku/>
        <w:wordWrap/>
        <w:overflowPunct/>
        <w:topLinePunct w:val="0"/>
        <w:autoSpaceDE/>
        <w:autoSpaceDN/>
        <w:bidi w:val="0"/>
        <w:adjustRightInd w:val="0"/>
        <w:snapToGrid w:val="0"/>
        <w:spacing w:line="360" w:lineRule="auto"/>
        <w:ind w:left="630" w:leftChars="3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20.3当光源系统的温度超过60℃时，治疗仪能立刻停止光辐射输出且不可自行恢复，并有声光提示。</w:t>
      </w:r>
    </w:p>
    <w:p w14:paraId="0DC6A581">
      <w:pPr>
        <w:pageBreakBefore w:val="0"/>
        <w:kinsoku/>
        <w:wordWrap/>
        <w:overflowPunct/>
        <w:topLinePunct w:val="0"/>
        <w:autoSpaceDE/>
        <w:autoSpaceDN/>
        <w:bidi w:val="0"/>
        <w:adjustRightInd w:val="0"/>
        <w:snapToGrid w:val="0"/>
        <w:spacing w:line="360" w:lineRule="auto"/>
        <w:ind w:left="420" w:left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21、治疗数据管理：记录治疗次数、查询功能。输出日期区间，可查询区间内治疗次数。</w:t>
      </w:r>
    </w:p>
    <w:p w14:paraId="2F6E8E93">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22、联网功能：具有WiFi连接、数据传输功能；</w:t>
      </w:r>
    </w:p>
    <w:p w14:paraId="599B1570">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23、产品配有语音提示功能。</w:t>
      </w:r>
    </w:p>
    <w:p w14:paraId="1B4A23CA">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24、产品配有遥控功能。</w:t>
      </w:r>
    </w:p>
    <w:p w14:paraId="0F27C859">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25、输入功率：≤320VA。</w:t>
      </w:r>
    </w:p>
    <w:p w14:paraId="76E8E8D3">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26、使用期限：≥10年。</w:t>
      </w:r>
    </w:p>
    <w:p w14:paraId="38CA9596">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27、正常工作条件</w:t>
      </w:r>
    </w:p>
    <w:p w14:paraId="23B0853F">
      <w:pPr>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a） 环境温度：-10℃～40℃；</w:t>
      </w:r>
    </w:p>
    <w:p w14:paraId="6AEBE6CC">
      <w:pPr>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b） 相对湿度：≤80％；</w:t>
      </w:r>
    </w:p>
    <w:p w14:paraId="10FC052B">
      <w:pPr>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c） 使用电源：AC 220V±10%\50Hz±2%；</w:t>
      </w:r>
    </w:p>
    <w:p w14:paraId="1C591E0C">
      <w:pPr>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d） 大气压力范围：70kPa～106kPa。</w:t>
      </w:r>
    </w:p>
    <w:p w14:paraId="319A30F6">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6DD410AF">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5D84E9B2">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品目十七：空气波压力循环治疗仪</w:t>
      </w:r>
    </w:p>
    <w:p w14:paraId="397237E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1.输入功率：≤60VA</w:t>
      </w:r>
    </w:p>
    <w:p w14:paraId="4F27C82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2.工作条件：220V±10% 50Hz±1Hz</w:t>
      </w:r>
    </w:p>
    <w:p w14:paraId="0C4B7F5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3.便携式机型，</w:t>
      </w:r>
      <w:bookmarkStart w:id="200" w:name="_Hlk243053878"/>
      <w:r>
        <w:rPr>
          <w:rFonts w:hint="eastAsia" w:ascii="宋体" w:hAnsi="宋体" w:cs="宋体"/>
          <w:color w:val="auto"/>
          <w:sz w:val="24"/>
          <w:szCs w:val="24"/>
          <w:highlight w:val="none"/>
        </w:rPr>
        <w:t>≥</w:t>
      </w:r>
      <w:bookmarkEnd w:id="200"/>
      <w:r>
        <w:rPr>
          <w:rFonts w:hint="eastAsia" w:ascii="宋体" w:hAnsi="宋体" w:cs="宋体"/>
          <w:color w:val="auto"/>
          <w:sz w:val="24"/>
          <w:szCs w:val="24"/>
          <w:highlight w:val="none"/>
        </w:rPr>
        <w:t>5英寸触摸屏</w:t>
      </w:r>
    </w:p>
    <w:p w14:paraId="0EAE7B5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4.单通道，四路气压输出</w:t>
      </w:r>
    </w:p>
    <w:p w14:paraId="4DE1773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5.▲治疗仪可调节治疗模式、气囊类型，设置各腔室治疗压力、治疗时间等</w:t>
      </w:r>
    </w:p>
    <w:p w14:paraId="49E84B0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6.气囊选择：</w:t>
      </w:r>
    </w:p>
    <w:p w14:paraId="16EE0CA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（1）单选：在单选模式下，可对每腔气室的压力进行设置。压强调节范围0～200mmHg，设定调整步长为5mmHg.</w:t>
      </w:r>
    </w:p>
    <w:p w14:paraId="488BE38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（2）全选：在全选模式下，可一次设置气囊所有腔室的压力。压强调节范用0～200mmHg，设定调整步长为5mmHg</w:t>
      </w:r>
    </w:p>
    <w:p w14:paraId="25DD23C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（3）梯度:启动阶梯压力功能时,近心端气室的压力值是远心端气室的60%,其余气室的压力依次递减。远心端气室压强调节范围 0~200mmHg,调整步长为5mmHg。</w:t>
      </w:r>
    </w:p>
    <w:p w14:paraId="45CACC9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7.充气模式：</w:t>
      </w:r>
    </w:p>
    <w:p w14:paraId="7C7D8CD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A：由远端到近端的逐个（腔室）常规充气模式模式 </w:t>
      </w:r>
    </w:p>
    <w:p w14:paraId="4647BAA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B：由远端到近端的每 2 个（腔室）常规充气模式模式 </w:t>
      </w:r>
    </w:p>
    <w:p w14:paraId="20CFB51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C：由近端到远端的逐个（腔室）渐进充气模式</w:t>
      </w:r>
    </w:p>
    <w:p w14:paraId="47A1BFF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D：由远端到近端的每 2 个（腔室）渐进充气模式模式</w:t>
      </w:r>
    </w:p>
    <w:p w14:paraId="16DAF78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E：由近端到远端的逐个（腔室）常规充气模式模式 </w:t>
      </w:r>
    </w:p>
    <w:p w14:paraId="29363D4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F：由近端到远端的每 2 个（腔室）常规充气模式模式</w:t>
      </w:r>
    </w:p>
    <w:p w14:paraId="45B21CB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G：由模式 A 和模式 B 组成循环进行模式模式 </w:t>
      </w:r>
    </w:p>
    <w:p w14:paraId="7862A1B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H：由模式 E 和模式 F 组成循环进行模式</w:t>
      </w:r>
    </w:p>
    <w:p w14:paraId="4C0E609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8.压力范围：0～200mmHg可调，步长5mmHg</w:t>
      </w:r>
    </w:p>
    <w:p w14:paraId="43AABAE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9.总治疗时间：为0～60min可调，步长1min，默认时间20min</w:t>
      </w:r>
    </w:p>
    <w:p w14:paraId="5CB8684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10.压力保持时间0～12s可调，步长为1s，误差±1s。</w:t>
      </w:r>
    </w:p>
    <w:p w14:paraId="634C388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11.间歇时间0～90s可调，调节步长为5s，误差±1s。</w:t>
      </w:r>
    </w:p>
    <w:p w14:paraId="7E7456B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12.▲阶梯压力设置：启动阶梯压力功能时，近心端气室的压力值是远心端气室的60%，其余气室的压力依次递减。</w:t>
      </w:r>
    </w:p>
    <w:p w14:paraId="6A45CEF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13.极限压强：治疗仪最大输出压强不超过300mmHg，且超过25mmHg的持续时间不大于10min。</w:t>
      </w:r>
    </w:p>
    <w:p w14:paraId="5E81485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14.过压保护：具有过压保护措施</w:t>
      </w:r>
    </w:p>
    <w:p w14:paraId="772A8A3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15.手动释压：治疗仪提供在各种状态下手动解除患者压强的措施</w:t>
      </w:r>
    </w:p>
    <w:p w14:paraId="16324C2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16.气密性：气囊和连接管路有良好的气密性，在最大输出压强下保持1min，压强≤10%。</w:t>
      </w:r>
    </w:p>
    <w:p w14:paraId="606FB48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17.耐压性：气囊和连接管能承受设备标称最大输出压强1.5倍的压强，保持1min，不破裂，也不永久变形。</w:t>
      </w:r>
    </w:p>
    <w:p w14:paraId="2FDA009F">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439B4AFB">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41571FF5">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品目十八：生物反馈治疗仪</w:t>
      </w:r>
    </w:p>
    <w:p w14:paraId="2CF4373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1.设备具有4组肌电采集和刺激通道；</w:t>
      </w:r>
    </w:p>
    <w:p w14:paraId="4FE8C69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2.4组独立的治疗通道，可独立或同步调节刺激强度，互不干扰，可同时多部位或多患者同时治疗。</w:t>
      </w:r>
    </w:p>
    <w:p w14:paraId="4E27ED5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3.输入功率：≥560VA；</w:t>
      </w:r>
    </w:p>
    <w:p w14:paraId="3B71A02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4.使用电源：220V，50Hz；</w:t>
      </w:r>
    </w:p>
    <w:p w14:paraId="1207BEE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5.内置锂电池：容量≥3.4Ah，电压DC16V(3.2V×5)；</w:t>
      </w:r>
    </w:p>
    <w:p w14:paraId="1848216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6.具有电刺激指示灯：指示电刺激输出状态，黄灯亮起时电刺激正在输出。</w:t>
      </w:r>
    </w:p>
    <w:p w14:paraId="218E5C9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7.▲具有四种治疗模式：电刺激、产后电刺激、反馈刺激、镜像刺激。</w:t>
      </w:r>
    </w:p>
    <w:p w14:paraId="53C9614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8.具有两种训练模块：模板训练和多媒体训练。</w:t>
      </w:r>
    </w:p>
    <w:p w14:paraId="6A889D7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9.▲设备具有≥65个治疗方案， 包含增加活动范围，肌肉萎缩治疗，增加肌力治疗等</w:t>
      </w:r>
    </w:p>
    <w:p w14:paraId="6CB7DFF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10.评估位置≥54个，设备软件明确提示肌肉名称及相应贴图位置。</w:t>
      </w:r>
    </w:p>
    <w:p w14:paraId="1CA7E80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11.▲具有肌电评估方式，波形采集界面灵敏度和扫描速度可根据需要进行调节，滤除工频和通频带外的信号干扰</w:t>
      </w:r>
    </w:p>
    <w:p w14:paraId="5C828D7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12.反馈阈值的准确度：在中心频率80Hz测量时误差应不大于标称值的±10%</w:t>
      </w:r>
    </w:p>
    <w:p w14:paraId="7FC66C4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13.幅值测量范围：1µV＜U≤100000µV（rms）</w:t>
      </w:r>
    </w:p>
    <w:p w14:paraId="47EF595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14.最高分辨率：≤1µV（rms）</w:t>
      </w:r>
    </w:p>
    <w:p w14:paraId="5EEAC07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15.系统噪声：≤1µV（rms）</w:t>
      </w:r>
    </w:p>
    <w:p w14:paraId="4306A73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16.通频带：不窄于20Hz～500Hz</w:t>
      </w:r>
    </w:p>
    <w:p w14:paraId="15AE409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17.差模输入阻抗：大于10MΩ</w:t>
      </w:r>
    </w:p>
    <w:p w14:paraId="62AB3BB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18.共模抑制比：大于120dB</w:t>
      </w:r>
    </w:p>
    <w:p w14:paraId="02685B7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19.3种电刺激输出波形：单向方波、双向方波及交替波。</w:t>
      </w:r>
    </w:p>
    <w:p w14:paraId="2A7069F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20.电流刺激强度：0～100mA(Ip-p)，步长为1mA，误差：±10%或±0.5mA，两者取大值</w:t>
      </w:r>
    </w:p>
    <w:p w14:paraId="2CD1445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21.直流分量：无直流分量</w:t>
      </w:r>
    </w:p>
    <w:p w14:paraId="41211F3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22.电流刺激脉宽：10µs～1000µs可调；步长：10µs～50µs时；步长10µs；50～500µs时，步长50µs；500µs～1000µs时，步长为100µs。误差不大于±20%</w:t>
      </w:r>
    </w:p>
    <w:p w14:paraId="396ED2A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23.频率：1~999Hz可调:1~10Hz时，步长为1Hz:10Hz~50Hz时，步长为5Hz:50Hz~250Hz时，步长为10Hz:250Hz~999Hz时，步长为50Hz。误差为+5%.</w:t>
      </w:r>
    </w:p>
    <w:p w14:paraId="78C49B4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24.治疗时间：1～60min可调，步长：1min。误差±1%</w:t>
      </w:r>
    </w:p>
    <w:p w14:paraId="21F8E13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25.可自定义编辑电刺激治疗参数和方案，包括频率、脉宽、休息时间、刺激时间、输出波形的上升/下降时间</w:t>
      </w:r>
    </w:p>
    <w:p w14:paraId="0A64F28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26.预置多媒体场景动画治疗方案，提高患者治疗过程趣味性与依从性；患者可直观看到实时的肌电值和训练得分，可对康复治疗进行自主评估。</w:t>
      </w:r>
    </w:p>
    <w:p w14:paraId="679889F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27.治疗方案提供治疗部位示意图，指导临床便于操作。</w:t>
      </w:r>
    </w:p>
    <w:p w14:paraId="5937288C">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r>
        <w:rPr>
          <w:rFonts w:hint="eastAsia" w:ascii="宋体" w:hAnsi="宋体" w:cs="宋体"/>
          <w:color w:val="auto"/>
          <w:sz w:val="24"/>
          <w:szCs w:val="24"/>
          <w:highlight w:val="none"/>
        </w:rPr>
        <w:t>28.训练过程中有语音提示功能，指导患者执行正确的肌肉收缩放松动作，实现准确评估与有效训练和治疗，减少不必要的医护人员干预，减轻工作负担，提高临床效率。</w:t>
      </w:r>
    </w:p>
    <w:p w14:paraId="56751397">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24D22AE0">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631555F8">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品目十九：吞咽治疗仪</w:t>
      </w:r>
    </w:p>
    <w:p w14:paraId="054C8F2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1.输入功率：≥80VA</w:t>
      </w:r>
    </w:p>
    <w:p w14:paraId="35DD7F2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2.使用电源：220V，50Hz；</w:t>
      </w:r>
    </w:p>
    <w:p w14:paraId="272662F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3.产品组成：由主机、输出线、电源线、手持控制器、电极组成。</w:t>
      </w:r>
    </w:p>
    <w:p w14:paraId="7A90F75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4.操作方式：彩色液晶触摸屏，配合一键飞梭进行定位操作。</w:t>
      </w:r>
    </w:p>
    <w:p w14:paraId="58876B0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5.通道数量：单通道台面机型；</w:t>
      </w:r>
    </w:p>
    <w:p w14:paraId="547D2F2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6.▲治疗功能：同时具备评估、治疗及训练三种功能；</w:t>
      </w:r>
    </w:p>
    <w:p w14:paraId="27E4DEF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7.评估模式下，具有自动计算α值（评估值）的功能，并可将评估结果保存至病历中；</w:t>
      </w:r>
    </w:p>
    <w:p w14:paraId="5EBCBAD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8.具有治疗结束提醒功能。治疗结束具有声音提醒；</w:t>
      </w:r>
    </w:p>
    <w:p w14:paraId="0C23088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9.具有收藏设置参数功能，治疗结束后可以在病历列表中调取；</w:t>
      </w:r>
    </w:p>
    <w:p w14:paraId="20C0C7F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10.▲设备内置电极放置和粘贴示意图，便于临床操作人员根据不同病症灵活选择；</w:t>
      </w:r>
    </w:p>
    <w:p w14:paraId="5A632E0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11.▲患者病历信息管理：记录患者详情信息，可新增、查询、删除、导出病历信息；</w:t>
      </w:r>
    </w:p>
    <w:p w14:paraId="3353F9F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12.具有定时功能，时间范围1～99分钟，步长为1分钟；</w:t>
      </w:r>
    </w:p>
    <w:p w14:paraId="0E64525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13.辅极：小脑顶核电刺激功能：</w:t>
      </w:r>
    </w:p>
    <w:p w14:paraId="201D1F9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(1)输出电流的频率特征用基波频率描述，是一组组合脉冲电流的频率，辅电极输出为无序波，频率不可设置。</w:t>
      </w:r>
    </w:p>
    <w:p w14:paraId="1D8FD77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(2)四种基本频率：23.81Hz、15.87Hz、15.87Hz、11.90Hz；</w:t>
      </w:r>
    </w:p>
    <w:p w14:paraId="0A8E862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(3)辅电极的脉宽500μs±15%；</w:t>
      </w:r>
    </w:p>
    <w:p w14:paraId="2EBBCA1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(4)辅电极最大输出电流峰值40mA；</w:t>
      </w:r>
    </w:p>
    <w:p w14:paraId="0A5018C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(5)辅电极开路输出电压：开路输出峰值电压≤500V；</w:t>
      </w:r>
    </w:p>
    <w:p w14:paraId="1C0DA51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(6)辅电极直流分量：无直流分量。</w:t>
      </w:r>
    </w:p>
    <w:p w14:paraId="06E9527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14.主电极具有5种输出模式：成人连续模式，儿童交替模式，手控触发脉冲模式，自动触发脉冲模式，评估模式。</w:t>
      </w:r>
    </w:p>
    <w:p w14:paraId="5AA859B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15.主电极开路输出电压：开路输出峰值电压≤500V；</w:t>
      </w:r>
    </w:p>
    <w:p w14:paraId="7B901A1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16.成人连续模式：</w:t>
      </w:r>
    </w:p>
    <w:p w14:paraId="3CDB3F3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(1)输出电流：0～80mA，步长0.5mA，分160档连续可调；</w:t>
      </w:r>
    </w:p>
    <w:p w14:paraId="27DED28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(2)脉冲宽度：1～31档可调，即100μs～400μs可调，步距10μs；</w:t>
      </w:r>
    </w:p>
    <w:p w14:paraId="45D7F61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(3)脉冲间隔：100μs；</w:t>
      </w:r>
    </w:p>
    <w:p w14:paraId="132CEB9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(4)脉冲频率：20Hz～100Hz可调，步距1Hz；</w:t>
      </w:r>
    </w:p>
    <w:p w14:paraId="3D072F9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(5)脉冲周期：10ms～50ms；</w:t>
      </w:r>
    </w:p>
    <w:p w14:paraId="18A6120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17.儿童交替模式：</w:t>
      </w:r>
    </w:p>
    <w:p w14:paraId="7F6EC23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(1)输出电流：0～80mA，步长0.5mA，分160档连续可调；</w:t>
      </w:r>
    </w:p>
    <w:p w14:paraId="0F54F06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(2)脉冲宽度：1～31档可调，即100μs～400μs可调，步距10μs；</w:t>
      </w:r>
    </w:p>
    <w:p w14:paraId="0B78E5E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(3)脉冲间隔：100μs；</w:t>
      </w:r>
    </w:p>
    <w:p w14:paraId="637A0E1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(4)脉冲频率：20Hz～100Hz可调，步距1Hz；</w:t>
      </w:r>
    </w:p>
    <w:p w14:paraId="711706A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(5)持续时间：≥1s；</w:t>
      </w:r>
    </w:p>
    <w:p w14:paraId="4BB8165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(6)脉冲周期：10ms～50ms；</w:t>
      </w:r>
    </w:p>
    <w:p w14:paraId="4B4758D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18.手控触发脉冲模式、自动触发脉冲模式：</w:t>
      </w:r>
    </w:p>
    <w:p w14:paraId="5BE6B55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(1)输出电流：0～25mA，步长0.5mA，分50档连续可调；</w:t>
      </w:r>
    </w:p>
    <w:p w14:paraId="071DC5B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(2)脉冲宽度：1～28档可调，即10ms～1000ms可调，10～100ms步距增量10ms，100～1000ms步距增量50ms；</w:t>
      </w:r>
    </w:p>
    <w:p w14:paraId="71D6773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(3)脉冲间隔：1～5档可调，即1～5s可调，步距增量1s；</w:t>
      </w:r>
    </w:p>
    <w:p w14:paraId="1BE8629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(4)脉冲频率：自动触发脉冲模式脉冲频率：0.154Hz～0.985Hz；</w:t>
      </w:r>
    </w:p>
    <w:p w14:paraId="60B61FD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(5)直流分量：</w:t>
      </w:r>
    </w:p>
    <w:p w14:paraId="0178D10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手控触发脉冲模式下直流分量为0～16mA；</w:t>
      </w:r>
    </w:p>
    <w:p w14:paraId="4F965D1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自动触发脉冲模式下直流分量为0～10mA；</w:t>
      </w:r>
    </w:p>
    <w:p w14:paraId="30315B5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(6)脉冲周期：自动触发脉冲模式脉冲周期：1015ms～6500ms；</w:t>
      </w:r>
    </w:p>
    <w:p w14:paraId="5625FE9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19.评估模式：</w:t>
      </w:r>
    </w:p>
    <w:p w14:paraId="729AC88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(1)输出电流：0～25mA；</w:t>
      </w:r>
    </w:p>
    <w:p w14:paraId="5EB505D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(2)脉冲宽度：1000ms、500ms；</w:t>
      </w:r>
    </w:p>
    <w:p w14:paraId="6B85791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(3)脉冲间隔：5s；</w:t>
      </w:r>
    </w:p>
    <w:p w14:paraId="1D279AE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(4)脉冲频率：</w:t>
      </w:r>
    </w:p>
    <w:p w14:paraId="00DDD0C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当脉冲宽度为1000ms时，脉冲频率为0.167Hz；</w:t>
      </w:r>
    </w:p>
    <w:p w14:paraId="69411FC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当脉冲宽度为500ms，脉冲频率为0.182Hz；</w:t>
      </w:r>
    </w:p>
    <w:p w14:paraId="7112DC2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(5)直流分量：</w:t>
      </w:r>
    </w:p>
    <w:p w14:paraId="1565CAF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电流阈值的直流分量：0～2mA；</w:t>
      </w:r>
    </w:p>
    <w:p w14:paraId="029E102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基强度的直流分量：0～4mA；</w:t>
      </w:r>
    </w:p>
    <w:p w14:paraId="509D6F2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(6)脉冲周期：</w:t>
      </w:r>
    </w:p>
    <w:p w14:paraId="1BB56F8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当脉冲宽度为1000ms时，脉冲周期为6000ms；</w:t>
      </w:r>
    </w:p>
    <w:p w14:paraId="037BC7B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当脉冲宽度为500ms，脉冲周期为5500ms；</w:t>
      </w:r>
    </w:p>
    <w:p w14:paraId="1B7D710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20.手持电极模式（选配手持电极可用）：</w:t>
      </w:r>
    </w:p>
    <w:p w14:paraId="12D7D9B4">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(1)输出电流：0～80mA，步长0.5mA，分160档连续可调；</w:t>
      </w:r>
    </w:p>
    <w:p w14:paraId="245B987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(2)脉冲宽度：1～31档可调，即100μs～400μs可调，步距10μs；</w:t>
      </w:r>
    </w:p>
    <w:p w14:paraId="6478201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(3)脉冲间隔：100μs；</w:t>
      </w:r>
    </w:p>
    <w:p w14:paraId="75C2A3B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(4)脉冲频率：20Hz～100Hz可调，步距1Hz；</w:t>
      </w:r>
    </w:p>
    <w:p w14:paraId="03C5EC0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(5)脉冲周期：10ms～50ms；</w:t>
      </w:r>
    </w:p>
    <w:p w14:paraId="66A46750">
      <w:pPr>
        <w:pageBreakBefore w:val="0"/>
        <w:kinsoku/>
        <w:wordWrap/>
        <w:overflowPunct/>
        <w:topLinePunct w:val="0"/>
        <w:autoSpaceDE/>
        <w:autoSpaceDN/>
        <w:bidi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21.电刺激仪连续工作时间大于8h；</w:t>
      </w:r>
    </w:p>
    <w:p w14:paraId="01B42D46">
      <w:pPr>
        <w:pageBreakBefore w:val="0"/>
        <w:kinsoku/>
        <w:wordWrap/>
        <w:overflowPunct/>
        <w:topLinePunct w:val="0"/>
        <w:autoSpaceDE/>
        <w:autoSpaceDN/>
        <w:bidi w:val="0"/>
        <w:spacing w:line="360" w:lineRule="auto"/>
        <w:jc w:val="left"/>
        <w:textAlignment w:val="auto"/>
        <w:rPr>
          <w:rFonts w:hint="eastAsia" w:ascii="宋体" w:hAnsi="宋体" w:cs="宋体"/>
          <w:color w:val="auto"/>
          <w:sz w:val="24"/>
          <w:szCs w:val="24"/>
          <w:highlight w:val="none"/>
        </w:rPr>
      </w:pPr>
    </w:p>
    <w:p w14:paraId="7FE3710A">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品目二十：便携式心肺康复系统</w:t>
      </w:r>
    </w:p>
    <w:p w14:paraId="4E8E8C73">
      <w:pPr>
        <w:pageBreakBefore w:val="0"/>
        <w:kinsoku/>
        <w:wordWrap/>
        <w:overflowPunct/>
        <w:topLinePunct w:val="0"/>
        <w:autoSpaceDE/>
        <w:autoSpaceDN/>
        <w:bidi w:val="0"/>
        <w:spacing w:line="360" w:lineRule="auto"/>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功能参数</w:t>
      </w:r>
    </w:p>
    <w:p w14:paraId="7407CA1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w:t>
      </w:r>
      <w:r>
        <w:rPr>
          <w:rFonts w:hint="eastAsia" w:ascii="宋体" w:hAnsi="宋体" w:cs="宋体"/>
          <w:color w:val="auto"/>
          <w:sz w:val="24"/>
          <w:szCs w:val="24"/>
          <w:highlight w:val="none"/>
        </w:rPr>
        <w:tab/>
      </w:r>
      <w:r>
        <w:rPr>
          <w:rFonts w:hint="eastAsia" w:ascii="宋体" w:hAnsi="宋体" w:cs="宋体"/>
          <w:color w:val="auto"/>
          <w:sz w:val="24"/>
          <w:szCs w:val="24"/>
          <w:highlight w:val="none"/>
        </w:rPr>
        <w:t>软件有心肺通气量测试、6 分钟步行测试、运动心肺换气量测试三个测试模块</w:t>
      </w:r>
    </w:p>
    <w:p w14:paraId="7AAB98D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w:t>
      </w:r>
      <w:r>
        <w:rPr>
          <w:rFonts w:hint="eastAsia" w:ascii="宋体" w:hAnsi="宋体" w:cs="宋体"/>
          <w:color w:val="auto"/>
          <w:sz w:val="24"/>
          <w:szCs w:val="24"/>
          <w:highlight w:val="none"/>
        </w:rPr>
        <w:tab/>
      </w:r>
      <w:r>
        <w:rPr>
          <w:rFonts w:hint="eastAsia" w:ascii="宋体" w:hAnsi="宋体" w:cs="宋体"/>
          <w:color w:val="auto"/>
          <w:sz w:val="24"/>
          <w:szCs w:val="24"/>
          <w:highlight w:val="none"/>
        </w:rPr>
        <w:t>心肺通气量测试通过采集流量传感器数据，可给出FIVC(用力吸气肺活量)，FIV1(用力吸气一秒量)，FIV1%(用力吸气一秒率)，PIF(吸气峰值流速)，FVC(用力呼气肺活量)，FEV1(用力呼气一秒量)，FEV1%(用力呼气一秒率)，PEF(呼气峰值流速)，FEF25%(25%肺活量时呼气流速)，FEF50%(50%肺活量时呼气流速)，FEF75%(75%肺活量时呼气流速)，MVV(最大分钟通气量)</w:t>
      </w:r>
    </w:p>
    <w:p w14:paraId="4C20939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w:t>
      </w:r>
      <w:r>
        <w:rPr>
          <w:rFonts w:hint="eastAsia" w:ascii="宋体" w:hAnsi="宋体" w:cs="宋体"/>
          <w:color w:val="auto"/>
          <w:sz w:val="24"/>
          <w:szCs w:val="24"/>
          <w:highlight w:val="none"/>
        </w:rPr>
        <w:tab/>
      </w:r>
      <w:r>
        <w:rPr>
          <w:rFonts w:hint="eastAsia" w:ascii="宋体" w:hAnsi="宋体" w:cs="宋体"/>
          <w:color w:val="auto"/>
          <w:sz w:val="24"/>
          <w:szCs w:val="24"/>
          <w:highlight w:val="none"/>
        </w:rPr>
        <w:t>▲6 分钟步行测试，可给出VI(分钟吸气量)，VE(分钟通气量)，BF(呼吸频率)</w:t>
      </w:r>
    </w:p>
    <w:p w14:paraId="789F2B8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w:t>
      </w:r>
      <w:r>
        <w:rPr>
          <w:rFonts w:hint="eastAsia" w:ascii="宋体" w:hAnsi="宋体" w:cs="宋体"/>
          <w:color w:val="auto"/>
          <w:sz w:val="24"/>
          <w:szCs w:val="24"/>
          <w:highlight w:val="none"/>
        </w:rPr>
        <w:tab/>
      </w:r>
      <w:r>
        <w:rPr>
          <w:rFonts w:hint="eastAsia" w:ascii="宋体" w:hAnsi="宋体" w:cs="宋体"/>
          <w:color w:val="auto"/>
          <w:sz w:val="24"/>
          <w:szCs w:val="24"/>
          <w:highlight w:val="none"/>
        </w:rPr>
        <w:t>可对吸入氧、二氧化碳浓度的实测数据分析及呼出的氧、二氧化碳浓度的实测数据分析</w:t>
      </w:r>
    </w:p>
    <w:p w14:paraId="785FEA4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w:t>
      </w:r>
      <w:r>
        <w:rPr>
          <w:rFonts w:hint="eastAsia" w:ascii="宋体" w:hAnsi="宋体" w:cs="宋体"/>
          <w:color w:val="auto"/>
          <w:sz w:val="24"/>
          <w:szCs w:val="24"/>
          <w:highlight w:val="none"/>
        </w:rPr>
        <w:tab/>
      </w:r>
      <w:r>
        <w:rPr>
          <w:rFonts w:hint="eastAsia" w:ascii="宋体" w:hAnsi="宋体" w:cs="宋体"/>
          <w:color w:val="auto"/>
          <w:sz w:val="24"/>
          <w:szCs w:val="24"/>
          <w:highlight w:val="none"/>
        </w:rPr>
        <w:t>运动心肺换气量测试，可给出VO₂(摄氧量)，VO₂/Kg(每公斤摄氧量)，VE(分钟通气量)，BF(呼吸频率)，VCO₂(二氧化碳呼量)，METS(梅脱值)</w:t>
      </w:r>
    </w:p>
    <w:p w14:paraId="260AA9E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w:t>
      </w:r>
      <w:r>
        <w:rPr>
          <w:rFonts w:hint="eastAsia" w:ascii="宋体" w:hAnsi="宋体" w:cs="宋体"/>
          <w:color w:val="auto"/>
          <w:sz w:val="24"/>
          <w:szCs w:val="24"/>
          <w:highlight w:val="none"/>
        </w:rPr>
        <w:tab/>
      </w:r>
      <w:r>
        <w:rPr>
          <w:rFonts w:hint="eastAsia" w:ascii="宋体" w:hAnsi="宋体" w:cs="宋体"/>
          <w:color w:val="auto"/>
          <w:sz w:val="24"/>
          <w:szCs w:val="24"/>
          <w:highlight w:val="none"/>
        </w:rPr>
        <w:t>患者信息储存，可记录受试者姓名、性别、年龄、身高、体重、ID，并保存测试报告。</w:t>
      </w:r>
    </w:p>
    <w:p w14:paraId="4A44554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w:t>
      </w:r>
      <w:r>
        <w:rPr>
          <w:rFonts w:hint="eastAsia" w:ascii="宋体" w:hAnsi="宋体" w:cs="宋体"/>
          <w:color w:val="auto"/>
          <w:sz w:val="24"/>
          <w:szCs w:val="24"/>
          <w:highlight w:val="none"/>
        </w:rPr>
        <w:tab/>
      </w:r>
      <w:r>
        <w:rPr>
          <w:rFonts w:hint="eastAsia" w:ascii="宋体" w:hAnsi="宋体" w:cs="宋体"/>
          <w:color w:val="auto"/>
          <w:sz w:val="24"/>
          <w:szCs w:val="24"/>
          <w:highlight w:val="none"/>
        </w:rPr>
        <w:t>便携式运动心肺测试仪可用于与功率车、运动平板等结合使用，可长时间佩戴监测，适用于各种活动以及体育运动监测，不受场地限制，设备便携，操作简单。</w:t>
      </w:r>
    </w:p>
    <w:p w14:paraId="2EBB535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w:t>
      </w:r>
      <w:r>
        <w:rPr>
          <w:rFonts w:hint="eastAsia" w:ascii="宋体" w:hAnsi="宋体" w:cs="宋体"/>
          <w:color w:val="auto"/>
          <w:sz w:val="24"/>
          <w:szCs w:val="24"/>
          <w:highlight w:val="none"/>
        </w:rPr>
        <w:tab/>
      </w:r>
      <w:r>
        <w:rPr>
          <w:rFonts w:hint="eastAsia" w:ascii="宋体" w:hAnsi="宋体" w:cs="宋体"/>
          <w:color w:val="auto"/>
          <w:sz w:val="24"/>
          <w:szCs w:val="24"/>
          <w:highlight w:val="none"/>
        </w:rPr>
        <w:t>测试报告给出测试值、参考标准值、测试值/参考值百分比</w:t>
      </w:r>
    </w:p>
    <w:p w14:paraId="3E5A3155">
      <w:pPr>
        <w:pageBreakBefore w:val="0"/>
        <w:kinsoku/>
        <w:wordWrap/>
        <w:overflowPunct/>
        <w:topLinePunct w:val="0"/>
        <w:autoSpaceDE/>
        <w:autoSpaceDN/>
        <w:bidi w:val="0"/>
        <w:spacing w:line="360" w:lineRule="auto"/>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设备参数</w:t>
      </w:r>
    </w:p>
    <w:p w14:paraId="37ECB0F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w:t>
      </w:r>
      <w:r>
        <w:rPr>
          <w:rFonts w:hint="eastAsia" w:ascii="宋体" w:hAnsi="宋体" w:cs="宋体"/>
          <w:color w:val="auto"/>
          <w:sz w:val="24"/>
          <w:szCs w:val="24"/>
          <w:highlight w:val="none"/>
        </w:rPr>
        <w:tab/>
      </w:r>
      <w:r>
        <w:rPr>
          <w:rFonts w:hint="eastAsia" w:ascii="宋体" w:hAnsi="宋体" w:cs="宋体"/>
          <w:color w:val="auto"/>
          <w:sz w:val="24"/>
          <w:szCs w:val="24"/>
          <w:highlight w:val="none"/>
        </w:rPr>
        <w:t>气体流量测量范围及误差，测量范围-550L/min ～ 550L/min，气体流量测量误差应小于等于士 10 %或士 10L/min</w:t>
      </w:r>
    </w:p>
    <w:p w14:paraId="3F02282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rPr>
        <w:tab/>
      </w:r>
      <w:r>
        <w:rPr>
          <w:rFonts w:hint="eastAsia" w:ascii="宋体" w:hAnsi="宋体" w:cs="宋体"/>
          <w:color w:val="auto"/>
          <w:sz w:val="24"/>
          <w:szCs w:val="24"/>
          <w:highlight w:val="none"/>
        </w:rPr>
        <w:t>通气体积：容量范围为 0-10L</w:t>
      </w:r>
    </w:p>
    <w:p w14:paraId="058951F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w:t>
      </w:r>
      <w:r>
        <w:rPr>
          <w:rFonts w:hint="eastAsia" w:ascii="宋体" w:hAnsi="宋体" w:cs="宋体"/>
          <w:color w:val="auto"/>
          <w:sz w:val="24"/>
          <w:szCs w:val="24"/>
          <w:highlight w:val="none"/>
        </w:rPr>
        <w:tab/>
      </w:r>
      <w:r>
        <w:rPr>
          <w:rFonts w:hint="eastAsia" w:ascii="宋体" w:hAnsi="宋体" w:cs="宋体"/>
          <w:color w:val="auto"/>
          <w:sz w:val="24"/>
          <w:szCs w:val="24"/>
          <w:highlight w:val="none"/>
        </w:rPr>
        <w:t>氧气传感器，测量范围：10-25%浓度，测量精度：≤士 0.1 Vol%，分辨率：0.01 Vol%，响应时间：＜100ms</w:t>
      </w:r>
    </w:p>
    <w:p w14:paraId="0E3E4A3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rPr>
        <w:tab/>
      </w:r>
      <w:r>
        <w:rPr>
          <w:rFonts w:hint="eastAsia" w:ascii="宋体" w:hAnsi="宋体" w:cs="宋体"/>
          <w:color w:val="auto"/>
          <w:sz w:val="24"/>
          <w:szCs w:val="24"/>
          <w:highlight w:val="none"/>
        </w:rPr>
        <w:t>二氧化碳传感器，测量范围：0-13%浓度，测量精度：≤士 0.1 Vol%，分辨率：0.01 Vol%，响应时间：＜100ms</w:t>
      </w:r>
    </w:p>
    <w:p w14:paraId="629F9F4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ab/>
      </w:r>
      <w:r>
        <w:rPr>
          <w:rFonts w:hint="eastAsia" w:ascii="宋体" w:hAnsi="宋体" w:cs="宋体"/>
          <w:color w:val="auto"/>
          <w:sz w:val="24"/>
          <w:szCs w:val="24"/>
          <w:highlight w:val="none"/>
        </w:rPr>
        <w:t>可连接22 mm内圆锥接头通气面罩，单人使用，避免交叉感染</w:t>
      </w:r>
    </w:p>
    <w:p w14:paraId="5650E05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ab/>
      </w:r>
      <w:r>
        <w:rPr>
          <w:rFonts w:hint="eastAsia" w:ascii="宋体" w:hAnsi="宋体" w:cs="宋体"/>
          <w:color w:val="auto"/>
          <w:sz w:val="24"/>
          <w:szCs w:val="24"/>
          <w:highlight w:val="none"/>
        </w:rPr>
        <w:t>▲可单独使用，用于不同运动项目测试，可与功率车、跑台、动态血压血氧检测仪、ECG等设备联用</w:t>
      </w:r>
    </w:p>
    <w:p w14:paraId="14ED5D24">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ab/>
      </w:r>
      <w:r>
        <w:rPr>
          <w:rFonts w:hint="eastAsia" w:ascii="宋体" w:hAnsi="宋体" w:cs="宋体"/>
          <w:color w:val="auto"/>
          <w:sz w:val="24"/>
          <w:szCs w:val="24"/>
          <w:highlight w:val="none"/>
        </w:rPr>
        <w:t>设备开机具有自检功能，确保测试准确</w:t>
      </w:r>
    </w:p>
    <w:p w14:paraId="41FF0B34">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7B1F847D">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品目二十一：电脑中频治疗仪</w:t>
      </w:r>
    </w:p>
    <w:p w14:paraId="1BE82735">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输出电流强度：在500Ω的负载电阻下，输出电流不超过以下的限值：频率≤1500Hz，为80mA(r.m.s)， 频率＞1500Hz为100mA(r.m.s)。</w:t>
      </w:r>
    </w:p>
    <w:p w14:paraId="5B02BC58">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▲输出通道：四路（温热）输出，二路干扰电治疗通道；二路直流电导入通道。</w:t>
      </w:r>
    </w:p>
    <w:p w14:paraId="538B1DE1">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▲内置参考处方：≥95个参考处方，其中多步程序电疗法外方≥30个、音频电流疗法处方≥10个、正弦电流疗法处方≥10个、脉冲调制中频电流法处方≥20个、干扰电疗法处方≥25个。</w:t>
      </w:r>
    </w:p>
    <w:p w14:paraId="4EEE9DB2">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工作频率：1kHz～12kHz，误差±10%。</w:t>
      </w:r>
    </w:p>
    <w:p w14:paraId="677067DC">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调制频率范围：在0～150Hz范围内。</w:t>
      </w:r>
    </w:p>
    <w:p w14:paraId="67C4E4DA">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差频频率范围：在0～100Hz范围内。</w:t>
      </w:r>
    </w:p>
    <w:p w14:paraId="628997F6">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调幅度：设有0%、33%、60%、100%四种调幅度，调幅度允差±5%。</w:t>
      </w:r>
    </w:p>
    <w:p w14:paraId="57DFA46D">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动态节律：4s～10s。</w:t>
      </w:r>
    </w:p>
    <w:p w14:paraId="708A3637">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差频变化周期：15s～30s。</w:t>
      </w:r>
    </w:p>
    <w:p w14:paraId="5B073553">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基波频率及波形：方波，频率为1kHz～12kHz（对应脉冲宽度为500μs～42μs）。</w:t>
      </w:r>
    </w:p>
    <w:p w14:paraId="200D9CFD">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调制波形：方波、尖波、三角波、指数波、锯齿波、正弦波、等幅波、梯形波、扇形波、扇梯波以及它们的组合。</w:t>
      </w:r>
    </w:p>
    <w:p w14:paraId="58ADEA3A">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调制方式：连续、断续、间歇、变频、疏密和交替调制。</w:t>
      </w:r>
    </w:p>
    <w:p w14:paraId="715AA993">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具有保持功能：通过按动产品上的“保持”键，使保持功能有效输出波形、频率等参数保持不变，再次按动”保持”键可解除保持功能</w:t>
      </w:r>
    </w:p>
    <w:p w14:paraId="15613542">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温热电极（温控）：25℃～41℃，多挡可调，最高不超过41℃。</w:t>
      </w:r>
    </w:p>
    <w:p w14:paraId="422EF1F7">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时间调节：</w:t>
      </w:r>
      <w:r>
        <w:rPr>
          <w:rFonts w:hint="eastAsia" w:ascii="宋体" w:hAnsi="宋体" w:cs="宋体"/>
          <w:bCs/>
          <w:color w:val="auto"/>
          <w:sz w:val="24"/>
          <w:szCs w:val="24"/>
          <w:highlight w:val="none"/>
        </w:rPr>
        <w:t>默认处方时间：10min、20min、25min、30min、40min、45min，误差±10%。时间可调功能：1min～99min，步进1min，误差±10%</w:t>
      </w:r>
      <w:r>
        <w:rPr>
          <w:rFonts w:hint="eastAsia" w:ascii="宋体" w:hAnsi="宋体" w:cs="宋体"/>
          <w:color w:val="auto"/>
          <w:sz w:val="24"/>
          <w:szCs w:val="24"/>
          <w:highlight w:val="none"/>
        </w:rPr>
        <w:t>。</w:t>
      </w:r>
    </w:p>
    <w:p w14:paraId="382D57BD">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电源条件：交流220V/频率50Hz</w:t>
      </w:r>
    </w:p>
    <w:p w14:paraId="234D95D6">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输入功率：≤150VA</w:t>
      </w:r>
    </w:p>
    <w:p w14:paraId="1585AE75">
      <w:pPr>
        <w:pageBreakBefore w:val="0"/>
        <w:numPr>
          <w:ilvl w:val="0"/>
          <w:numId w:val="18"/>
        </w:numPr>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工作环境：温度（≤5℃）～（≥40℃），相对湿度≤80%，大气压力（≤860hPa）～≥（1060 hPa）。</w:t>
      </w:r>
    </w:p>
    <w:p w14:paraId="000D6F3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.产品使用年限：≥10年</w:t>
      </w:r>
    </w:p>
    <w:p w14:paraId="298B723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.安全类型：I类BF型</w:t>
      </w:r>
    </w:p>
    <w:p w14:paraId="6C9C5401">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3376FDF4">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品目二十二：多功能治疗床（下肢分开）</w:t>
      </w:r>
    </w:p>
    <w:p w14:paraId="38812F4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1、床面尺寸:</w:t>
      </w:r>
      <w:r>
        <w:rPr>
          <w:rFonts w:hint="eastAsia"/>
          <w:color w:val="auto"/>
          <w:sz w:val="24"/>
          <w:szCs w:val="24"/>
          <w:highlight w:val="none"/>
        </w:rPr>
        <w:t xml:space="preserve"> （≥</w:t>
      </w:r>
      <w:r>
        <w:rPr>
          <w:rFonts w:hint="eastAsia" w:ascii="宋体" w:hAnsi="宋体" w:cs="宋体"/>
          <w:color w:val="auto"/>
          <w:sz w:val="24"/>
          <w:szCs w:val="24"/>
          <w:highlight w:val="none"/>
        </w:rPr>
        <w:t>2020）×（≥620）mm（尺寸±50mm）。</w:t>
      </w:r>
    </w:p>
    <w:p w14:paraId="13C9CF3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2、外形尺寸（长×宽×高）：（≥2030）×（≥650）×（≥570）mm（尺寸±50mm）。</w:t>
      </w:r>
    </w:p>
    <w:p w14:paraId="07B860B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3、床板高度调节范围：（≤560）～（≥780）mm（±20mm）。</w:t>
      </w:r>
    </w:p>
    <w:p w14:paraId="608691A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4、背板角度调节范围: （≤-35°）～（≥70°）。</w:t>
      </w:r>
    </w:p>
    <w:p w14:paraId="7278506F">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5、脚板角度调节范围: 0°～（≥12°）。</w:t>
      </w:r>
    </w:p>
    <w:p w14:paraId="02E2C79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6、腿板：分体式。</w:t>
      </w:r>
    </w:p>
    <w:p w14:paraId="5F6C79A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▲7、需带有急停装置。</w:t>
      </w:r>
    </w:p>
    <w:p w14:paraId="2FBABD7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▲8、使用期限≥10年。</w:t>
      </w:r>
    </w:p>
    <w:p w14:paraId="493D39B3">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9、产品正常使用条件</w:t>
      </w:r>
    </w:p>
    <w:p w14:paraId="749F500B">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a) 环境温度：（≤-10℃） ～ （≥+40℃）；</w:t>
      </w:r>
    </w:p>
    <w:p w14:paraId="7BB9D5D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b) 相对湿度：（≤20%） ～（≥80%）（非冷凝）；</w:t>
      </w:r>
    </w:p>
    <w:p w14:paraId="2D0924B8">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c) 大气压：（≤86） ～（≥106）kPa；</w:t>
      </w:r>
    </w:p>
    <w:p w14:paraId="0208CED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d) 电源频率：50Hz±1Hz，电压：AC220V±10%。</w:t>
      </w:r>
    </w:p>
    <w:p w14:paraId="68237E3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10、结构组成</w:t>
      </w:r>
    </w:p>
    <w:p w14:paraId="76A2797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由升降脚轮、床底架、升降架、床面支架、电控盒、电机、手控器、急停按钮、趴手、背板、小腿板、大腿板、气弹簧组成。</w:t>
      </w:r>
    </w:p>
    <w:p w14:paraId="2EE2B83A">
      <w:pPr>
        <w:pageBreakBefore w:val="0"/>
        <w:numPr>
          <w:ilvl w:val="0"/>
          <w:numId w:val="0"/>
        </w:numPr>
        <w:kinsoku/>
        <w:wordWrap/>
        <w:overflowPunct/>
        <w:topLinePunct w:val="0"/>
        <w:autoSpaceDE/>
        <w:autoSpaceDN/>
        <w:bidi w:val="0"/>
        <w:spacing w:line="360" w:lineRule="auto"/>
        <w:jc w:val="left"/>
        <w:textAlignment w:val="auto"/>
        <w:rPr>
          <w:rFonts w:hint="eastAsia" w:ascii="宋体" w:hAnsi="宋体" w:cs="宋体"/>
          <w:color w:val="auto"/>
          <w:sz w:val="24"/>
          <w:szCs w:val="24"/>
          <w:highlight w:val="none"/>
        </w:rPr>
      </w:pPr>
      <w:r>
        <w:rPr>
          <w:rFonts w:hint="eastAsia" w:ascii="宋体" w:hAnsi="宋体" w:cs="宋体" w:eastAsiaTheme="minorEastAsia"/>
          <w:color w:val="auto"/>
          <w:sz w:val="24"/>
          <w:szCs w:val="24"/>
          <w:highlight w:val="none"/>
        </w:rPr>
        <w:t>11、</w:t>
      </w:r>
      <w:r>
        <w:rPr>
          <w:rFonts w:hint="eastAsia" w:ascii="宋体" w:hAnsi="宋体" w:cs="宋体"/>
          <w:color w:val="auto"/>
          <w:sz w:val="24"/>
          <w:szCs w:val="24"/>
          <w:highlight w:val="none"/>
        </w:rPr>
        <w:t>符合GB9706.1-2020《医用电气设备第1部分：基本安全和基本性能的通用要求》 。</w:t>
      </w:r>
    </w:p>
    <w:p w14:paraId="1F68C4BB">
      <w:pPr>
        <w:pageBreakBefore w:val="0"/>
        <w:numPr>
          <w:ilvl w:val="0"/>
          <w:numId w:val="0"/>
        </w:numPr>
        <w:kinsoku/>
        <w:wordWrap/>
        <w:overflowPunct/>
        <w:topLinePunct w:val="0"/>
        <w:autoSpaceDE/>
        <w:autoSpaceDN/>
        <w:bidi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、符合GB24436-2009《康复训练器械 安全通用要求》。</w:t>
      </w:r>
    </w:p>
    <w:p w14:paraId="7196F867">
      <w:pPr>
        <w:pageBreakBefore w:val="0"/>
        <w:kinsoku/>
        <w:wordWrap/>
        <w:overflowPunct/>
        <w:topLinePunct w:val="0"/>
        <w:autoSpaceDE/>
        <w:autoSpaceDN/>
        <w:bidi w:val="0"/>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、符合YY 9706.102- 2021 《医用电气设备 第1-2部分：基本安全和基本性能的通用要求 并列标准：电磁兼容 要求和试验》。</w:t>
      </w:r>
    </w:p>
    <w:p w14:paraId="655D8C74">
      <w:pPr>
        <w:pageBreakBefore w:val="0"/>
        <w:kinsoku/>
        <w:wordWrap/>
        <w:overflowPunct/>
        <w:topLinePunct w:val="0"/>
        <w:autoSpaceDE/>
        <w:autoSpaceDN/>
        <w:bidi w:val="0"/>
        <w:spacing w:line="360" w:lineRule="auto"/>
        <w:jc w:val="left"/>
        <w:textAlignment w:val="auto"/>
        <w:rPr>
          <w:rFonts w:hint="eastAsia" w:ascii="宋体" w:hAnsi="宋体" w:cs="宋体"/>
          <w:color w:val="auto"/>
          <w:sz w:val="24"/>
          <w:szCs w:val="24"/>
          <w:highlight w:val="none"/>
        </w:rPr>
      </w:pPr>
    </w:p>
    <w:p w14:paraId="52041617">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品目二十三：红外光灸疗机</w:t>
      </w:r>
    </w:p>
    <w:p w14:paraId="2EB36A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工作原理</w:t>
      </w:r>
    </w:p>
    <w:p w14:paraId="0EC34C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用微电脑控制，利用红外光的热效应和艾灸作用照射于患处，使组织温度升高，毛细血管扩张，血流加快，增加细胞的新陈代谢，促进细胞合成，增加细胞的吞噬功能，消除肿胀，促进炎症消散，达到镇痛作用。</w:t>
      </w:r>
    </w:p>
    <w:p w14:paraId="7305FE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p>
    <w:p w14:paraId="38F3A4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技术参数</w:t>
      </w:r>
    </w:p>
    <w:p w14:paraId="2F10ED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1、电源:AC220V，频率:50Hz</w:t>
      </w:r>
    </w:p>
    <w:p w14:paraId="1FE13D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2、额定输入功率:</w:t>
      </w:r>
      <w:r>
        <w:rPr>
          <w:rFonts w:hint="eastAsia"/>
          <w:color w:val="auto"/>
          <w:sz w:val="24"/>
          <w:szCs w:val="24"/>
          <w:highlight w:val="none"/>
        </w:rPr>
        <w:t xml:space="preserve"> </w:t>
      </w:r>
      <w:r>
        <w:rPr>
          <w:rFonts w:hint="eastAsia" w:ascii="宋体" w:hAnsi="宋体" w:cs="宋体"/>
          <w:color w:val="auto"/>
          <w:sz w:val="24"/>
          <w:szCs w:val="24"/>
          <w:highlight w:val="none"/>
        </w:rPr>
        <w:t>≥ 1500VA。</w:t>
      </w:r>
    </w:p>
    <w:p w14:paraId="19E311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、▲输出通道:双通道.</w:t>
      </w:r>
    </w:p>
    <w:p w14:paraId="07CCFB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、支架高度调节范围:（≤460）~（≥1400）mm，允差±30mm.</w:t>
      </w:r>
    </w:p>
    <w:p w14:paraId="56CDF8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、显示方式:数码管显示。</w:t>
      </w:r>
    </w:p>
    <w:p w14:paraId="123B71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、▲治疗头:支持三维旋转方向;具有磁吸装置，确保在不同位置下盖子不掉落。</w:t>
      </w:r>
    </w:p>
    <w:p w14:paraId="0369B7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、艾灸能量裙，使艾灸集中于病灶，又避免暴露隐私。</w:t>
      </w:r>
    </w:p>
    <w:p w14:paraId="31781C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、红外光波长范围:（≤580）nm~（≥1050）nm.</w:t>
      </w:r>
    </w:p>
    <w:p w14:paraId="4FE61F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、输出光功率:最大10W，允差±2W.</w:t>
      </w:r>
    </w:p>
    <w:p w14:paraId="49BD28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、光疗档位:1~3档可调</w:t>
      </w:r>
    </w:p>
    <w:p w14:paraId="000EE5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、光疗频率:on、60Hz、50Hz、25Hz、10Hz、5Hz共6档</w:t>
      </w:r>
    </w:p>
    <w:p w14:paraId="3F5C23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、艾灸加热温度:100°C~160°C可调，允差+10°C，级差10°C。</w:t>
      </w:r>
    </w:p>
    <w:p w14:paraId="1B095B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、工作时间:1min~99min可调，级差1min,，充差±60s.</w:t>
      </w:r>
    </w:p>
    <w:p w14:paraId="597523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、具有双重独立的温度保护装置</w:t>
      </w:r>
    </w:p>
    <w:p w14:paraId="5EE1B0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.红光和艾炎可单独或同时使用。</w:t>
      </w:r>
    </w:p>
    <w:p w14:paraId="0387F2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、具备防倾倒保护功能，</w:t>
      </w:r>
    </w:p>
    <w:p w14:paraId="1AE1D5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、无烟灸疗，自动控温，环保高效。</w:t>
      </w:r>
    </w:p>
    <w:p w14:paraId="0F541A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适用范围</w:t>
      </w:r>
    </w:p>
    <w:p w14:paraId="1D7BEE7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r>
        <w:rPr>
          <w:rFonts w:hint="eastAsia" w:ascii="宋体" w:hAnsi="宋体" w:cs="宋体"/>
          <w:color w:val="auto"/>
          <w:sz w:val="24"/>
          <w:szCs w:val="24"/>
          <w:highlight w:val="none"/>
        </w:rPr>
        <w:t>红外光装置对带状疱疹后遗神经痛，腰椎间盘突出症及肩手综合征引起的疼痛具有缓解作用，对带状疱疹具有缓解疼痛和促进创面愈合作用，对自体内痿具有缓解疼痛和促进血液循环作用，对盆腔炎具有辅助消炎作用;灸疗装置用于做中医灸疗的工具。</w:t>
      </w:r>
    </w:p>
    <w:p w14:paraId="55DA69E0">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17CFD7EE">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品目二十四：颈椎牵引机</w:t>
      </w:r>
    </w:p>
    <w:p w14:paraId="33D2907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1.输入功率：≤180VA；</w:t>
      </w:r>
    </w:p>
    <w:p w14:paraId="1ACBEDAE">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2.使用电源：220V，50Hz；</w:t>
      </w:r>
    </w:p>
    <w:p w14:paraId="1CEB7336">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3.数码管、按键操作；</w:t>
      </w:r>
    </w:p>
    <w:p w14:paraId="5A601BC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4.牵引模式：颈椎牵引；</w:t>
      </w:r>
    </w:p>
    <w:p w14:paraId="4307B35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5.▲输出指示：在整个治疗过程中，至少包括牵引力、牵引相时间、间歇相时间和治疗时间在内的输出参数，应在设备上连续显示；</w:t>
      </w:r>
    </w:p>
    <w:p w14:paraId="4114D471">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6.颈椎牵引力可调范围：0～（≥300）N，步长为1N，在牵引力调节至200N以上时，发出警告并要求操作者确认；</w:t>
      </w:r>
    </w:p>
    <w:p w14:paraId="00E99532">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7.颈椎牵引渐进期和渐退期平均牵引力变化速率为60N/s，允差±10N/s；</w:t>
      </w:r>
    </w:p>
    <w:p w14:paraId="322CA59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8.牵引补偿：由于外力作用而使患者端突然拉紧或松弛时，设备应自动恢复预置值；</w:t>
      </w:r>
    </w:p>
    <w:p w14:paraId="4605A8CC">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9.设备具有牵引力实时监测功能，允差±30N；</w:t>
      </w:r>
    </w:p>
    <w:p w14:paraId="3343D125">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10.治疗时间可调范围：0～99min，允差为±1min,步长为1min；</w:t>
      </w:r>
    </w:p>
    <w:p w14:paraId="658FC67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11.牵引相时间可调范围：0～9min，允差为±30s，步长为1min；</w:t>
      </w:r>
    </w:p>
    <w:p w14:paraId="3ACFA299">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12.间歇相时间可调范围：0～9min，允差为±30s，步长为1min；</w:t>
      </w:r>
    </w:p>
    <w:p w14:paraId="4D88D1ED">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13.设备具有紧急保护措施，在牵引治疗过程中，按下急退按键，可使牵引力松弛至初始状态；</w:t>
      </w:r>
    </w:p>
    <w:p w14:paraId="0580301A">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14.牵引用椅与牵引绳基部的前后相对位置应可调，调节范围应至少包括牵引绳基部位于椅面中心垂直上方至向前15°的位置；</w:t>
      </w:r>
    </w:p>
    <w:p w14:paraId="333090B0">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15.电源中断及恢复通电后，设备牵引力恢复至初始状态；</w:t>
      </w:r>
    </w:p>
    <w:p w14:paraId="02AA1B77">
      <w:pPr>
        <w:pageBreakBefore w:val="0"/>
        <w:kinsoku/>
        <w:wordWrap/>
        <w:overflowPunct/>
        <w:topLinePunct w:val="0"/>
        <w:autoSpaceDE/>
        <w:autoSpaceDN/>
        <w:bidi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16.牵引用椅能够承受的最大患者体重为（≥180）kg；</w:t>
      </w:r>
    </w:p>
    <w:p w14:paraId="05E49361">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r>
        <w:rPr>
          <w:rFonts w:hint="eastAsia" w:ascii="宋体" w:hAnsi="宋体" w:cs="宋体"/>
          <w:color w:val="auto"/>
          <w:sz w:val="24"/>
          <w:szCs w:val="24"/>
          <w:highlight w:val="none"/>
        </w:rPr>
        <w:t>17.▲设备具有颈部加热带，加热功能可单独开启或关闭，最高温度不超过41℃；</w:t>
      </w:r>
    </w:p>
    <w:p w14:paraId="738A532F">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p>
    <w:p w14:paraId="48360828">
      <w:pPr>
        <w:pageBreakBefore w:val="0"/>
        <w:kinsoku/>
        <w:wordWrap/>
        <w:overflowPunct/>
        <w:topLinePunct w:val="0"/>
        <w:autoSpaceDE/>
        <w:autoSpaceDN/>
        <w:bidi w:val="0"/>
        <w:spacing w:line="360" w:lineRule="auto"/>
        <w:jc w:val="left"/>
        <w:textAlignment w:val="auto"/>
        <w:rPr>
          <w:rFonts w:hint="eastAsia" w:ascii="宋体" w:hAnsi="宋体" w:eastAsia="宋体" w:cs="Times New Roman"/>
          <w:b/>
          <w:bCs/>
          <w:i w:val="0"/>
          <w:iCs w:val="0"/>
          <w:color w:val="auto"/>
          <w:sz w:val="24"/>
          <w:szCs w:val="24"/>
          <w:highlight w:val="none"/>
          <w:u w:val="none"/>
          <w:shd w:val="clear" w:color="auto" w:fill="FFFFFF"/>
        </w:rPr>
      </w:pPr>
      <w:r>
        <w:rPr>
          <w:rFonts w:hint="eastAsia" w:ascii="宋体" w:hAnsi="宋体" w:eastAsia="宋体" w:cs="Times New Roman"/>
          <w:b/>
          <w:bCs/>
          <w:i w:val="0"/>
          <w:iCs w:val="0"/>
          <w:color w:val="auto"/>
          <w:sz w:val="24"/>
          <w:szCs w:val="24"/>
          <w:highlight w:val="none"/>
          <w:u w:val="none"/>
          <w:shd w:val="clear" w:color="auto" w:fill="FFFFFF"/>
        </w:rPr>
        <w:t>品目二十五：电动升降直立床</w:t>
      </w:r>
    </w:p>
    <w:p w14:paraId="4D0BD59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1、床面尺寸（长×宽）：（≥1800）×（≥660）mm（尺寸±20mm）。</w:t>
      </w:r>
    </w:p>
    <w:p w14:paraId="1D41DD7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2、摆台架尺寸（长×宽×总宽）：（≥760）×(≥260)×(≥460)mm（尺寸±20mm）。</w:t>
      </w:r>
    </w:p>
    <w:p w14:paraId="10F63C3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3、外形尺寸（长×宽×高）：(≥1900)×(≥780)×（≥830）mm（尺寸±20mm）。</w:t>
      </w:r>
    </w:p>
    <w:p w14:paraId="74AA101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4、脚踏板尺寸：（≥460）×（≥300）mm（尺寸±20mm）。</w:t>
      </w:r>
    </w:p>
    <w:p w14:paraId="30B5C14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5、固定带宽： 100mm（尺寸±20mm）。</w:t>
      </w:r>
    </w:p>
    <w:p w14:paraId="635C65C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6、床面最低高度：≤520mm（尺寸±20mm）。</w:t>
      </w:r>
    </w:p>
    <w:p w14:paraId="66F3E04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7、安全工作载荷：≥170kg。</w:t>
      </w:r>
    </w:p>
    <w:p w14:paraId="7C7808C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8、床面可调节角度范围 ：0～（≥85°</w:t>
      </w:r>
      <w:r>
        <w:rPr>
          <w:rFonts w:ascii="宋体" w:hAnsi="宋体" w:cs="宋体"/>
          <w:color w:val="auto"/>
          <w:sz w:val="24"/>
          <w:szCs w:val="24"/>
          <w:highlight w:val="none"/>
        </w:rPr>
        <w:t>）</w:t>
      </w:r>
      <w:r>
        <w:rPr>
          <w:rFonts w:hint="eastAsia" w:ascii="宋体" w:hAnsi="宋体" w:cs="宋体"/>
          <w:color w:val="auto"/>
          <w:sz w:val="24"/>
          <w:szCs w:val="24"/>
          <w:highlight w:val="none"/>
        </w:rPr>
        <w:t>。</w:t>
      </w:r>
    </w:p>
    <w:p w14:paraId="75211F6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▲9、脚踏板安全工作载荷≥1500N，且加载变形量≤1%。</w:t>
      </w:r>
    </w:p>
    <w:p w14:paraId="161EE6D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▲10、需带有急停装置。</w:t>
      </w:r>
    </w:p>
    <w:p w14:paraId="1725F35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11、使用期限≥10年。</w:t>
      </w:r>
    </w:p>
    <w:p w14:paraId="1A203B7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12、产品正常使用条件</w:t>
      </w:r>
    </w:p>
    <w:p w14:paraId="68DB243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a) 环境温度：（≤+5℃） ～（≥ +40℃）；</w:t>
      </w:r>
    </w:p>
    <w:p w14:paraId="158C437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b) 相对湿度：（≤20%） ～（≥ 80%）（非冷凝）；</w:t>
      </w:r>
    </w:p>
    <w:p w14:paraId="2C8169F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c) 大气压：（≤86） ～ （≥106）kPa；</w:t>
      </w:r>
    </w:p>
    <w:p w14:paraId="689FB71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d) 电源频率：50Hz±1Hz，电压：AC220V±10%。</w:t>
      </w:r>
    </w:p>
    <w:p w14:paraId="3056B301">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13、结构组成</w:t>
      </w:r>
      <w:r>
        <w:rPr>
          <w:rFonts w:hint="eastAsia" w:ascii="宋体" w:hAnsi="宋体" w:eastAsia="宋体" w:cs="宋体"/>
          <w:color w:val="auto"/>
          <w:sz w:val="24"/>
          <w:szCs w:val="24"/>
          <w:highlight w:val="none"/>
          <w:lang w:eastAsia="zh-CN"/>
        </w:rPr>
        <w:t>：</w:t>
      </w:r>
    </w:p>
    <w:p w14:paraId="26F8D39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由脚踏板、固定带、摆台架、床面、床底架、扶手、电机、手控器、电控盒、急停按钮、升降脚轮组成。</w:t>
      </w:r>
    </w:p>
    <w:p w14:paraId="292FA652">
      <w:pPr>
        <w:spacing w:line="360" w:lineRule="auto"/>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cs="宋体"/>
          <w:color w:val="auto"/>
          <w:sz w:val="24"/>
          <w:szCs w:val="24"/>
          <w:highlight w:val="none"/>
        </w:rPr>
        <w:t>符合GB9706.1-2020《医用电气设备第1部分：基本安全和基本性能的通用要求》 。</w:t>
      </w:r>
    </w:p>
    <w:p w14:paraId="16118B32">
      <w:pPr>
        <w:spacing w:line="360" w:lineRule="auto"/>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cs="宋体"/>
          <w:color w:val="auto"/>
          <w:sz w:val="24"/>
          <w:szCs w:val="24"/>
          <w:highlight w:val="none"/>
        </w:rPr>
        <w:t>符合GB24436-2009《康复训练器械 安全通用要求》。</w:t>
      </w:r>
    </w:p>
    <w:p w14:paraId="7BABFE6D">
      <w:pPr>
        <w:pageBreakBefore w:val="0"/>
        <w:kinsoku/>
        <w:wordWrap/>
        <w:overflowPunct/>
        <w:topLinePunct w:val="0"/>
        <w:autoSpaceDE/>
        <w:autoSpaceDN/>
        <w:bidi w:val="0"/>
        <w:spacing w:line="360" w:lineRule="auto"/>
        <w:jc w:val="left"/>
        <w:textAlignment w:val="auto"/>
        <w:rPr>
          <w:rFonts w:hint="eastAsia" w:ascii="宋体" w:hAnsi="宋体" w:eastAsia="宋体" w:cs="Times New Roman"/>
          <w:i/>
          <w:iCs/>
          <w:color w:val="auto"/>
          <w:sz w:val="24"/>
          <w:szCs w:val="24"/>
          <w:highlight w:val="none"/>
          <w:u w:val="single"/>
          <w:shd w:val="clear" w:color="auto" w:fill="FFFFFF"/>
        </w:rPr>
      </w:pPr>
      <w:r>
        <w:rPr>
          <w:rFonts w:hint="eastAsia" w:ascii="宋体" w:hAnsi="宋体" w:eastAsia="宋体" w:cs="宋体"/>
          <w:color w:val="auto"/>
          <w:sz w:val="24"/>
          <w:szCs w:val="24"/>
          <w:highlight w:val="none"/>
          <w:lang w:val="en-US" w:eastAsia="zh-CN"/>
        </w:rPr>
        <w:t>16、</w:t>
      </w:r>
      <w:r>
        <w:rPr>
          <w:rFonts w:hint="eastAsia" w:ascii="宋体" w:hAnsi="宋体" w:cs="宋体"/>
          <w:color w:val="auto"/>
          <w:sz w:val="24"/>
          <w:szCs w:val="24"/>
          <w:highlight w:val="none"/>
        </w:rPr>
        <w:t>符合YY 9706.102- 2021 《医用电气设备 第1-2部分：基本安全和基本性能的通用要求 并列标准：电磁兼容 要求和试验》。</w:t>
      </w:r>
    </w:p>
    <w:p w14:paraId="07D2687B">
      <w:pPr>
        <w:spacing w:line="400" w:lineRule="exact"/>
        <w:jc w:val="left"/>
        <w:rPr>
          <w:rFonts w:hint="eastAsia" w:ascii="宋体" w:hAnsi="宋体" w:eastAsia="宋体" w:cs="Times New Roman"/>
          <w:i/>
          <w:iCs/>
          <w:color w:val="auto"/>
          <w:sz w:val="24"/>
          <w:highlight w:val="none"/>
          <w:u w:val="single"/>
          <w:shd w:val="clear" w:color="auto" w:fill="FFFFFF"/>
        </w:rPr>
      </w:pPr>
    </w:p>
    <w:p w14:paraId="5EC40590">
      <w:pPr>
        <w:spacing w:line="360" w:lineRule="auto"/>
        <w:jc w:val="left"/>
        <w:rPr>
          <w:rFonts w:hint="eastAsia" w:ascii="宋体" w:hAnsi="宋体" w:eastAsia="宋体" w:cs="Times New Roman"/>
          <w:b/>
          <w:bCs/>
          <w:color w:val="auto"/>
          <w:sz w:val="24"/>
          <w:highlight w:val="none"/>
          <w:shd w:val="clear" w:color="auto" w:fill="FFFFFF"/>
        </w:rPr>
      </w:pPr>
      <w:r>
        <w:rPr>
          <w:rFonts w:hint="eastAsia" w:ascii="宋体" w:hAnsi="宋体" w:eastAsia="宋体" w:cs="Times New Roman"/>
          <w:b/>
          <w:bCs/>
          <w:i w:val="0"/>
          <w:iCs w:val="0"/>
          <w:color w:val="auto"/>
          <w:sz w:val="24"/>
          <w:highlight w:val="none"/>
          <w:u w:val="none"/>
          <w:shd w:val="clear" w:color="auto" w:fill="FFFFFF"/>
        </w:rPr>
        <w:t>注：</w:t>
      </w:r>
      <w:r>
        <w:rPr>
          <w:rFonts w:hint="eastAsia" w:ascii="宋体" w:hAnsi="宋体" w:eastAsia="宋体" w:cs="Times New Roman"/>
          <w:b w:val="0"/>
          <w:bCs w:val="0"/>
          <w:i w:val="0"/>
          <w:iCs w:val="0"/>
          <w:color w:val="auto"/>
          <w:sz w:val="24"/>
          <w:highlight w:val="none"/>
          <w:u w:val="none"/>
          <w:shd w:val="clear" w:color="auto" w:fill="FFFFFF"/>
        </w:rPr>
        <w:t>上述技术需求中，</w:t>
      </w:r>
      <w:bookmarkStart w:id="201" w:name="OLE_LINK1"/>
      <w:r>
        <w:rPr>
          <w:rFonts w:hint="eastAsia" w:ascii="宋体" w:hAnsi="宋体" w:eastAsia="宋体" w:cs="Times New Roman"/>
          <w:b w:val="0"/>
          <w:bCs w:val="0"/>
          <w:i w:val="0"/>
          <w:iCs w:val="0"/>
          <w:color w:val="auto"/>
          <w:sz w:val="24"/>
          <w:highlight w:val="none"/>
          <w:u w:val="none"/>
          <w:shd w:val="clear" w:color="auto" w:fill="FFFFFF"/>
          <w:lang w:eastAsia="zh-CN"/>
        </w:rPr>
        <w:t>标注“</w:t>
      </w:r>
      <w:bookmarkStart w:id="202" w:name="OLE_LINK33"/>
      <w:r>
        <w:rPr>
          <w:rFonts w:hint="eastAsia" w:ascii="宋体" w:hAnsi="宋体" w:eastAsia="宋体" w:cs="Times New Roman"/>
          <w:b w:val="0"/>
          <w:bCs w:val="0"/>
          <w:i w:val="0"/>
          <w:iCs w:val="0"/>
          <w:color w:val="auto"/>
          <w:sz w:val="24"/>
          <w:highlight w:val="none"/>
          <w:u w:val="none"/>
          <w:shd w:val="clear" w:color="auto" w:fill="FFFFFF"/>
          <w:lang w:eastAsia="zh-CN"/>
        </w:rPr>
        <w:t>★</w:t>
      </w:r>
      <w:bookmarkEnd w:id="202"/>
      <w:r>
        <w:rPr>
          <w:rFonts w:hint="eastAsia" w:ascii="宋体" w:hAnsi="宋体" w:eastAsia="宋体" w:cs="Times New Roman"/>
          <w:b w:val="0"/>
          <w:bCs w:val="0"/>
          <w:i w:val="0"/>
          <w:iCs w:val="0"/>
          <w:color w:val="auto"/>
          <w:sz w:val="24"/>
          <w:highlight w:val="none"/>
          <w:u w:val="none"/>
          <w:shd w:val="clear" w:color="auto" w:fill="FFFFFF"/>
          <w:lang w:eastAsia="zh-CN"/>
        </w:rPr>
        <w:t>”的内容为实质性要求</w:t>
      </w:r>
      <w:bookmarkEnd w:id="201"/>
      <w:r>
        <w:rPr>
          <w:rFonts w:hint="eastAsia" w:ascii="宋体" w:hAnsi="宋体" w:eastAsia="宋体" w:cs="Times New Roman"/>
          <w:b w:val="0"/>
          <w:bCs w:val="0"/>
          <w:i w:val="0"/>
          <w:iCs w:val="0"/>
          <w:color w:val="auto"/>
          <w:sz w:val="24"/>
          <w:highlight w:val="none"/>
          <w:u w:val="none"/>
          <w:shd w:val="clear" w:color="auto" w:fill="FFFFFF"/>
        </w:rPr>
        <w:t>，不允许负偏离，否则视为无效投标。</w:t>
      </w:r>
      <w:r>
        <w:rPr>
          <w:rFonts w:hint="eastAsia" w:ascii="宋体" w:hAnsi="宋体" w:eastAsia="宋体" w:cs="Times New Roman"/>
          <w:b/>
          <w:bCs/>
          <w:color w:val="auto"/>
          <w:sz w:val="24"/>
          <w:highlight w:val="none"/>
          <w:shd w:val="clear" w:color="auto" w:fill="FFFFFF"/>
        </w:rPr>
        <w:br w:type="page"/>
      </w:r>
    </w:p>
    <w:p w14:paraId="5B04C99F">
      <w:pPr>
        <w:spacing w:line="360" w:lineRule="auto"/>
        <w:jc w:val="left"/>
        <w:rPr>
          <w:rFonts w:hint="eastAsia" w:ascii="宋体" w:hAnsi="宋体" w:eastAsia="宋体" w:cs="Times New Roman"/>
          <w:b/>
          <w:bCs/>
          <w:color w:val="auto"/>
          <w:sz w:val="24"/>
          <w:highlight w:val="none"/>
          <w:shd w:val="clear" w:color="auto" w:fill="FFFFFF"/>
        </w:rPr>
      </w:pPr>
    </w:p>
    <w:p w14:paraId="679E677E">
      <w:pPr>
        <w:spacing w:line="360" w:lineRule="auto"/>
        <w:jc w:val="left"/>
        <w:rPr>
          <w:rFonts w:hint="eastAsia" w:ascii="宋体" w:hAnsi="宋体" w:eastAsia="宋体" w:cs="Times New Roman"/>
          <w:b/>
          <w:bCs/>
          <w:color w:val="auto"/>
          <w:sz w:val="24"/>
          <w:highlight w:val="none"/>
          <w:shd w:val="clear" w:color="auto" w:fill="FFFFFF"/>
        </w:rPr>
      </w:pPr>
      <w:r>
        <w:rPr>
          <w:rFonts w:hint="eastAsia" w:ascii="宋体" w:hAnsi="宋体" w:eastAsia="宋体" w:cs="Times New Roman"/>
          <w:b/>
          <w:bCs/>
          <w:color w:val="auto"/>
          <w:sz w:val="24"/>
          <w:highlight w:val="none"/>
          <w:shd w:val="clear" w:color="auto" w:fill="FFFFFF"/>
        </w:rPr>
        <w:t>商务需求：</w:t>
      </w:r>
    </w:p>
    <w:p w14:paraId="0470E384">
      <w:pPr>
        <w:spacing w:line="360" w:lineRule="auto"/>
        <w:jc w:val="left"/>
        <w:rPr>
          <w:rFonts w:hint="eastAsia" w:ascii="宋体" w:hAnsi="宋体" w:eastAsia="宋体" w:cs="Times New Roman"/>
          <w:i w:val="0"/>
          <w:iCs w:val="0"/>
          <w:color w:val="auto"/>
          <w:sz w:val="24"/>
          <w:highlight w:val="none"/>
          <w:u w:val="none"/>
        </w:rPr>
      </w:pPr>
      <w:r>
        <w:rPr>
          <w:rFonts w:hint="eastAsia" w:ascii="宋体" w:hAnsi="宋体" w:eastAsia="宋体" w:cs="Times New Roman"/>
          <w:b w:val="0"/>
          <w:bCs w:val="0"/>
          <w:i w:val="0"/>
          <w:iCs w:val="0"/>
          <w:color w:val="auto"/>
          <w:sz w:val="24"/>
          <w:highlight w:val="none"/>
          <w:u w:val="none"/>
          <w:shd w:val="clear" w:color="auto" w:fill="FFFFFF"/>
          <w:lang w:eastAsia="zh-CN"/>
        </w:rPr>
        <w:t>★</w:t>
      </w:r>
      <w:r>
        <w:rPr>
          <w:rFonts w:hint="eastAsia" w:ascii="宋体" w:hAnsi="宋体" w:eastAsia="宋体" w:cs="Times New Roman"/>
          <w:i w:val="0"/>
          <w:iCs w:val="0"/>
          <w:color w:val="auto"/>
          <w:sz w:val="24"/>
          <w:highlight w:val="none"/>
          <w:u w:val="none"/>
        </w:rPr>
        <w:t>1</w:t>
      </w:r>
      <w:r>
        <w:rPr>
          <w:rFonts w:ascii="宋体" w:hAnsi="宋体" w:eastAsia="宋体" w:cs="Times New Roman"/>
          <w:i w:val="0"/>
          <w:iCs w:val="0"/>
          <w:color w:val="auto"/>
          <w:sz w:val="24"/>
          <w:highlight w:val="none"/>
          <w:u w:val="none"/>
        </w:rPr>
        <w:t>.</w:t>
      </w:r>
      <w:r>
        <w:rPr>
          <w:rFonts w:hint="eastAsia" w:ascii="宋体" w:hAnsi="宋体" w:eastAsia="宋体" w:cs="Times New Roman"/>
          <w:i w:val="0"/>
          <w:iCs w:val="0"/>
          <w:color w:val="auto"/>
          <w:sz w:val="24"/>
          <w:highlight w:val="none"/>
          <w:u w:val="none"/>
        </w:rPr>
        <w:t>交货时间：自采购人通知之日起30</w:t>
      </w:r>
      <w:r>
        <w:rPr>
          <w:rFonts w:hint="eastAsia" w:ascii="宋体" w:hAnsi="宋体" w:eastAsia="宋体" w:cs="Times New Roman"/>
          <w:i w:val="0"/>
          <w:iCs w:val="0"/>
          <w:color w:val="auto"/>
          <w:sz w:val="24"/>
          <w:highlight w:val="none"/>
          <w:u w:val="none"/>
          <w:lang w:val="en-US" w:eastAsia="zh-CN"/>
        </w:rPr>
        <w:t>日</w:t>
      </w:r>
      <w:r>
        <w:rPr>
          <w:rFonts w:hint="eastAsia" w:ascii="宋体" w:hAnsi="宋体" w:eastAsia="宋体" w:cs="Times New Roman"/>
          <w:i w:val="0"/>
          <w:iCs w:val="0"/>
          <w:color w:val="auto"/>
          <w:sz w:val="24"/>
          <w:highlight w:val="none"/>
          <w:u w:val="none"/>
        </w:rPr>
        <w:t>内。</w:t>
      </w:r>
    </w:p>
    <w:p w14:paraId="7CEFD2AE">
      <w:pPr>
        <w:spacing w:line="360" w:lineRule="auto"/>
        <w:jc w:val="left"/>
        <w:rPr>
          <w:rFonts w:hint="eastAsia" w:ascii="宋体" w:hAnsi="宋体" w:eastAsia="宋体" w:cs="Times New Roman"/>
          <w:i w:val="0"/>
          <w:iCs w:val="0"/>
          <w:color w:val="auto"/>
          <w:sz w:val="24"/>
          <w:highlight w:val="none"/>
          <w:u w:val="none"/>
        </w:rPr>
      </w:pPr>
      <w:r>
        <w:rPr>
          <w:rFonts w:hint="eastAsia" w:ascii="宋体" w:hAnsi="宋体" w:eastAsia="宋体" w:cs="Times New Roman"/>
          <w:b w:val="0"/>
          <w:bCs w:val="0"/>
          <w:i w:val="0"/>
          <w:iCs w:val="0"/>
          <w:color w:val="auto"/>
          <w:sz w:val="24"/>
          <w:highlight w:val="none"/>
          <w:u w:val="none"/>
          <w:shd w:val="clear" w:color="auto" w:fill="FFFFFF"/>
          <w:lang w:eastAsia="zh-CN"/>
        </w:rPr>
        <w:t>★</w:t>
      </w:r>
      <w:r>
        <w:rPr>
          <w:rFonts w:ascii="宋体" w:hAnsi="宋体" w:eastAsia="宋体" w:cs="Times New Roman"/>
          <w:i w:val="0"/>
          <w:iCs w:val="0"/>
          <w:color w:val="auto"/>
          <w:sz w:val="24"/>
          <w:highlight w:val="none"/>
          <w:u w:val="none"/>
        </w:rPr>
        <w:t>2.</w:t>
      </w:r>
      <w:r>
        <w:rPr>
          <w:rFonts w:hint="eastAsia" w:ascii="宋体" w:hAnsi="宋体" w:eastAsia="宋体" w:cs="Times New Roman"/>
          <w:i w:val="0"/>
          <w:iCs w:val="0"/>
          <w:color w:val="auto"/>
          <w:sz w:val="24"/>
          <w:highlight w:val="none"/>
          <w:u w:val="none"/>
        </w:rPr>
        <w:t>交货地点：根据采购人要求送达指定地点</w:t>
      </w:r>
      <w:r>
        <w:rPr>
          <w:rFonts w:hint="eastAsia" w:ascii="宋体" w:hAnsi="宋体" w:eastAsia="宋体" w:cs="宋体"/>
          <w:b/>
          <w:i w:val="0"/>
          <w:iCs w:val="0"/>
          <w:color w:val="auto"/>
          <w:sz w:val="24"/>
          <w:highlight w:val="none"/>
          <w:u w:val="none"/>
        </w:rPr>
        <w:t>（本项目不集中组织踏勘，供应商可联系采购人自行前往，中标后，中标供应商不得以现场情况未了解清楚为由向采购人提出提升投标报价或其他任何要求）</w:t>
      </w:r>
      <w:r>
        <w:rPr>
          <w:rFonts w:hint="eastAsia" w:ascii="宋体" w:hAnsi="宋体" w:eastAsia="宋体" w:cs="Times New Roman"/>
          <w:i w:val="0"/>
          <w:iCs w:val="0"/>
          <w:color w:val="auto"/>
          <w:sz w:val="24"/>
          <w:highlight w:val="none"/>
          <w:u w:val="none"/>
        </w:rPr>
        <w:t>。</w:t>
      </w:r>
    </w:p>
    <w:p w14:paraId="6432C01A">
      <w:pPr>
        <w:spacing w:line="360" w:lineRule="auto"/>
        <w:jc w:val="left"/>
        <w:rPr>
          <w:rFonts w:hint="eastAsia" w:ascii="宋体" w:hAnsi="宋体" w:eastAsia="宋体" w:cs="宋体"/>
          <w:b/>
          <w:i w:val="0"/>
          <w:iCs w:val="0"/>
          <w:color w:val="auto"/>
          <w:sz w:val="24"/>
          <w:highlight w:val="none"/>
          <w:u w:val="none"/>
        </w:rPr>
      </w:pPr>
      <w:r>
        <w:rPr>
          <w:rFonts w:hint="eastAsia" w:ascii="宋体" w:hAnsi="宋体" w:eastAsia="宋体" w:cs="Times New Roman"/>
          <w:b w:val="0"/>
          <w:bCs w:val="0"/>
          <w:i w:val="0"/>
          <w:iCs w:val="0"/>
          <w:color w:val="auto"/>
          <w:sz w:val="24"/>
          <w:highlight w:val="none"/>
          <w:u w:val="none"/>
          <w:shd w:val="clear" w:color="auto" w:fill="FFFFFF"/>
          <w:lang w:eastAsia="zh-CN"/>
        </w:rPr>
        <w:t>★</w:t>
      </w:r>
      <w:r>
        <w:rPr>
          <w:rFonts w:ascii="宋体" w:hAnsi="宋体" w:eastAsia="宋体" w:cs="Times New Roman"/>
          <w:i w:val="0"/>
          <w:iCs w:val="0"/>
          <w:color w:val="auto"/>
          <w:sz w:val="24"/>
          <w:highlight w:val="none"/>
          <w:u w:val="none"/>
        </w:rPr>
        <w:t>3.</w:t>
      </w:r>
      <w:r>
        <w:rPr>
          <w:rFonts w:hint="eastAsia" w:ascii="宋体" w:hAnsi="宋体" w:eastAsia="宋体" w:cs="Times New Roman"/>
          <w:i w:val="0"/>
          <w:iCs w:val="0"/>
          <w:color w:val="auto"/>
          <w:sz w:val="24"/>
          <w:highlight w:val="none"/>
          <w:u w:val="none"/>
        </w:rPr>
        <w:t>付款方式：合同签订收到发票后支付30%，安装验收合格签字后支付70%。</w:t>
      </w:r>
    </w:p>
    <w:p w14:paraId="71C9AC33">
      <w:pPr>
        <w:spacing w:after="120" w:line="360" w:lineRule="auto"/>
        <w:jc w:val="left"/>
        <w:rPr>
          <w:rFonts w:hint="eastAsia" w:ascii="宋体" w:hAnsi="宋体" w:eastAsia="宋体" w:cs="Times New Roman"/>
          <w:i w:val="0"/>
          <w:iCs w:val="0"/>
          <w:color w:val="auto"/>
          <w:sz w:val="24"/>
          <w:highlight w:val="none"/>
          <w:u w:val="none"/>
        </w:rPr>
      </w:pPr>
      <w:r>
        <w:rPr>
          <w:rFonts w:hint="eastAsia" w:ascii="宋体" w:hAnsi="宋体" w:eastAsia="宋体" w:cs="Times New Roman"/>
          <w:b w:val="0"/>
          <w:bCs w:val="0"/>
          <w:i w:val="0"/>
          <w:iCs w:val="0"/>
          <w:color w:val="auto"/>
          <w:sz w:val="24"/>
          <w:highlight w:val="none"/>
          <w:u w:val="none"/>
          <w:shd w:val="clear" w:color="auto" w:fill="FFFFFF"/>
          <w:lang w:eastAsia="zh-CN"/>
        </w:rPr>
        <w:t>★</w:t>
      </w:r>
      <w:r>
        <w:rPr>
          <w:rFonts w:hint="eastAsia" w:ascii="宋体" w:hAnsi="宋体" w:eastAsia="宋体" w:cs="Times New Roman"/>
          <w:i w:val="0"/>
          <w:iCs w:val="0"/>
          <w:color w:val="auto"/>
          <w:sz w:val="24"/>
          <w:highlight w:val="none"/>
          <w:u w:val="none"/>
        </w:rPr>
        <w:t>4</w:t>
      </w:r>
      <w:r>
        <w:rPr>
          <w:rFonts w:ascii="宋体" w:hAnsi="宋体" w:eastAsia="宋体" w:cs="Times New Roman"/>
          <w:i w:val="0"/>
          <w:iCs w:val="0"/>
          <w:color w:val="auto"/>
          <w:sz w:val="24"/>
          <w:highlight w:val="none"/>
          <w:u w:val="none"/>
        </w:rPr>
        <w:t>.</w:t>
      </w:r>
      <w:bookmarkStart w:id="203" w:name="OLE_LINK9"/>
      <w:r>
        <w:rPr>
          <w:rFonts w:hint="eastAsia" w:ascii="宋体" w:hAnsi="宋体" w:eastAsia="宋体" w:cs="Times New Roman"/>
          <w:i w:val="0"/>
          <w:iCs w:val="0"/>
          <w:color w:val="auto"/>
          <w:sz w:val="24"/>
          <w:highlight w:val="none"/>
          <w:u w:val="none"/>
        </w:rPr>
        <w:t>质保期</w:t>
      </w:r>
      <w:bookmarkEnd w:id="203"/>
      <w:r>
        <w:rPr>
          <w:rFonts w:hint="eastAsia" w:ascii="宋体" w:hAnsi="宋体" w:eastAsia="宋体" w:cs="Times New Roman"/>
          <w:i w:val="0"/>
          <w:iCs w:val="0"/>
          <w:color w:val="auto"/>
          <w:sz w:val="24"/>
          <w:highlight w:val="none"/>
          <w:u w:val="none"/>
        </w:rPr>
        <w:t>：采购清单中的全部设备整机免费保修</w:t>
      </w:r>
      <w:r>
        <w:rPr>
          <w:rFonts w:hint="eastAsia" w:ascii="宋体" w:hAnsi="宋体" w:eastAsia="宋体" w:cs="Times New Roman"/>
          <w:i w:val="0"/>
          <w:iCs w:val="0"/>
          <w:color w:val="auto"/>
          <w:sz w:val="24"/>
          <w:highlight w:val="none"/>
          <w:u w:val="none"/>
          <w:lang w:val="en-US" w:eastAsia="zh-CN"/>
        </w:rPr>
        <w:t>3</w:t>
      </w:r>
      <w:r>
        <w:rPr>
          <w:rFonts w:hint="eastAsia" w:ascii="宋体" w:hAnsi="宋体" w:eastAsia="宋体" w:cs="Times New Roman"/>
          <w:i w:val="0"/>
          <w:iCs w:val="0"/>
          <w:color w:val="auto"/>
          <w:sz w:val="24"/>
          <w:highlight w:val="none"/>
          <w:u w:val="none"/>
        </w:rPr>
        <w:t>年，保修期自采购人验收合格之日算起，保修范围包括合同中所有配置。</w:t>
      </w:r>
      <w:r>
        <w:rPr>
          <w:rFonts w:hint="eastAsia" w:ascii="宋体" w:hAnsi="宋体" w:eastAsia="宋体" w:cs="宋体"/>
          <w:color w:val="auto"/>
          <w:sz w:val="24"/>
          <w:highlight w:val="none"/>
          <w:lang w:val="en-US" w:eastAsia="zh-CN"/>
        </w:rPr>
        <w:t>并确保设备保修期内开机率≥95%，如设备故障停机率超过5%（一年按365天计算，每年18天），每超过一天，保修期延长两周。保修期外乙方对本设备终身负责维修。</w:t>
      </w:r>
      <w:r>
        <w:rPr>
          <w:rFonts w:hint="eastAsia" w:ascii="宋体" w:hAnsi="宋体" w:eastAsia="宋体" w:cs="Times New Roman"/>
          <w:i w:val="0"/>
          <w:iCs w:val="0"/>
          <w:color w:val="auto"/>
          <w:sz w:val="24"/>
          <w:highlight w:val="none"/>
          <w:u w:val="none"/>
        </w:rPr>
        <w:t>保修期外投标人对本设备终身负责维修。保修期外故障待修复后只收配件费、免收上门费</w:t>
      </w:r>
      <w:r>
        <w:rPr>
          <w:rFonts w:hint="eastAsia" w:ascii="宋体" w:hAnsi="宋体" w:eastAsia="宋体" w:cs="Times New Roman"/>
          <w:i w:val="0"/>
          <w:iCs w:val="0"/>
          <w:color w:val="auto"/>
          <w:sz w:val="24"/>
          <w:highlight w:val="none"/>
          <w:u w:val="none"/>
          <w:lang w:eastAsia="zh-CN"/>
        </w:rPr>
        <w:t>、</w:t>
      </w:r>
      <w:r>
        <w:rPr>
          <w:rFonts w:hint="eastAsia" w:ascii="宋体" w:hAnsi="宋体" w:eastAsia="宋体" w:cs="Times New Roman"/>
          <w:i w:val="0"/>
          <w:iCs w:val="0"/>
          <w:color w:val="auto"/>
          <w:sz w:val="24"/>
          <w:highlight w:val="none"/>
          <w:u w:val="none"/>
        </w:rPr>
        <w:t>人工费。</w:t>
      </w:r>
    </w:p>
    <w:p w14:paraId="5A967CD7">
      <w:pPr>
        <w:spacing w:after="120" w:line="360" w:lineRule="auto"/>
        <w:jc w:val="left"/>
        <w:rPr>
          <w:rFonts w:hint="eastAsia" w:ascii="宋体" w:hAnsi="宋体" w:eastAsia="宋体" w:cs="Times New Roman"/>
          <w:i w:val="0"/>
          <w:iCs w:val="0"/>
          <w:color w:val="auto"/>
          <w:sz w:val="24"/>
          <w:highlight w:val="none"/>
          <w:u w:val="none"/>
        </w:rPr>
      </w:pPr>
    </w:p>
    <w:p w14:paraId="4AFFD537">
      <w:pPr>
        <w:jc w:val="left"/>
        <w:rPr>
          <w:rFonts w:ascii="Calibri" w:hAnsi="Calibri" w:eastAsia="宋体" w:cs="Times New Roman"/>
          <w:color w:val="auto"/>
          <w:highlight w:val="none"/>
        </w:rPr>
      </w:pPr>
    </w:p>
    <w:p w14:paraId="0DFB8B2E">
      <w:pPr>
        <w:jc w:val="left"/>
        <w:rPr>
          <w:rFonts w:ascii="Calibri" w:hAnsi="Calibri" w:eastAsia="宋体" w:cs="Times New Roman"/>
          <w:color w:val="auto"/>
          <w:highlight w:val="none"/>
        </w:rPr>
      </w:pPr>
    </w:p>
    <w:p w14:paraId="1CF5D670">
      <w:pPr>
        <w:pStyle w:val="191"/>
        <w:spacing w:line="360" w:lineRule="auto"/>
        <w:rPr>
          <w:b/>
          <w:bCs/>
          <w:i w:val="0"/>
          <w:iCs w:val="0"/>
          <w:color w:val="auto"/>
          <w:highlight w:val="none"/>
          <w:u w:val="none"/>
        </w:rPr>
      </w:pPr>
      <w:r>
        <w:rPr>
          <w:rFonts w:hint="eastAsia" w:hAnsi="宋体" w:eastAsia="宋体" w:cs="Times New Roman"/>
          <w:b/>
          <w:bCs/>
          <w:i w:val="0"/>
          <w:iCs w:val="0"/>
          <w:color w:val="auto"/>
          <w:highlight w:val="none"/>
          <w:u w:val="none"/>
        </w:rPr>
        <w:t>注：上述商务需求中</w:t>
      </w:r>
      <w:r>
        <w:rPr>
          <w:rFonts w:hint="eastAsia" w:hAnsi="宋体" w:eastAsia="宋体" w:cs="Times New Roman"/>
          <w:b/>
          <w:bCs/>
          <w:i w:val="0"/>
          <w:iCs w:val="0"/>
          <w:color w:val="auto"/>
          <w:highlight w:val="none"/>
          <w:u w:val="none"/>
          <w:lang w:eastAsia="zh-CN"/>
        </w:rPr>
        <w:t>，</w:t>
      </w:r>
      <w:r>
        <w:rPr>
          <w:rFonts w:hint="eastAsia" w:ascii="宋体" w:hAnsi="宋体" w:eastAsia="宋体" w:cs="Times New Roman"/>
          <w:b/>
          <w:bCs/>
          <w:i w:val="0"/>
          <w:iCs w:val="0"/>
          <w:color w:val="auto"/>
          <w:sz w:val="24"/>
          <w:highlight w:val="none"/>
          <w:u w:val="none"/>
          <w:shd w:val="clear" w:color="auto" w:fill="FFFFFF"/>
          <w:lang w:eastAsia="zh-CN"/>
        </w:rPr>
        <w:t>标注“★”的内容为实质性要求，</w:t>
      </w:r>
      <w:r>
        <w:rPr>
          <w:rFonts w:hint="eastAsia" w:hAnsi="宋体" w:eastAsia="宋体" w:cs="Times New Roman"/>
          <w:b/>
          <w:bCs/>
          <w:i w:val="0"/>
          <w:iCs w:val="0"/>
          <w:color w:val="auto"/>
          <w:highlight w:val="none"/>
          <w:u w:val="none"/>
        </w:rPr>
        <w:t>需在商务需求响应及偏离表中逐条响应具体内容，且不允许负偏离，否则视为无效投标</w:t>
      </w:r>
      <w:r>
        <w:rPr>
          <w:rFonts w:hint="eastAsia" w:hAnsi="宋体" w:eastAsia="宋体"/>
          <w:b/>
          <w:bCs/>
          <w:i w:val="0"/>
          <w:iCs w:val="0"/>
          <w:color w:val="auto"/>
          <w:highlight w:val="none"/>
          <w:u w:val="none"/>
        </w:rPr>
        <w:t>。</w:t>
      </w:r>
      <w:bookmarkEnd w:id="192"/>
    </w:p>
    <w:p w14:paraId="2963A3A4">
      <w:pPr>
        <w:widowControl/>
        <w:ind w:firstLine="3373"/>
        <w:jc w:val="left"/>
        <w:rPr>
          <w:rFonts w:hint="eastAsia" w:ascii="宋体" w:hAnsi="宋体"/>
          <w:b/>
          <w:bCs/>
          <w:color w:val="auto"/>
          <w:sz w:val="28"/>
          <w:szCs w:val="28"/>
          <w:highlight w:val="none"/>
          <w:shd w:val="clear" w:color="auto" w:fill="FFFFFF" w:themeFill="background1"/>
        </w:rPr>
      </w:pPr>
      <w:r>
        <w:rPr>
          <w:rFonts w:ascii="宋体" w:hAnsi="宋体"/>
          <w:b/>
          <w:bCs/>
          <w:color w:val="auto"/>
          <w:sz w:val="28"/>
          <w:szCs w:val="28"/>
          <w:highlight w:val="none"/>
          <w:shd w:val="clear" w:color="auto" w:fill="FFFFFF" w:themeFill="background1"/>
        </w:rPr>
        <w:br w:type="page" w:clear="all"/>
      </w:r>
    </w:p>
    <w:p w14:paraId="678AF0A0">
      <w:pPr>
        <w:pStyle w:val="2"/>
        <w:bidi w:val="0"/>
        <w:jc w:val="center"/>
        <w:rPr>
          <w:color w:val="auto"/>
          <w:highlight w:val="none"/>
        </w:rPr>
      </w:pPr>
      <w:bookmarkStart w:id="204" w:name="_Toc30487"/>
      <w:bookmarkStart w:id="205" w:name="_Toc120614281"/>
      <w:r>
        <w:rPr>
          <w:rFonts w:hint="eastAsia"/>
          <w:color w:val="auto"/>
          <w:highlight w:val="none"/>
        </w:rPr>
        <w:t>第五章</w:t>
      </w:r>
      <w:r>
        <w:rPr>
          <w:rFonts w:hint="eastAsia" w:eastAsia="宋体"/>
          <w:color w:val="auto"/>
          <w:highlight w:val="none"/>
          <w:lang w:val="en-US" w:eastAsia="zh-CN"/>
        </w:rPr>
        <w:t xml:space="preserve"> </w:t>
      </w:r>
      <w:r>
        <w:rPr>
          <w:rFonts w:hint="eastAsia"/>
          <w:color w:val="auto"/>
          <w:highlight w:val="none"/>
        </w:rPr>
        <w:t>评标方法与评标标准</w:t>
      </w:r>
      <w:bookmarkEnd w:id="204"/>
    </w:p>
    <w:p w14:paraId="407C8EF0">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77FD40F6">
      <w:pPr>
        <w:pStyle w:val="196"/>
        <w:spacing w:before="0" w:after="0"/>
        <w:ind w:firstLine="360"/>
        <w:rPr>
          <w:rFonts w:hint="eastAsia" w:ascii="宋体" w:hAnsi="宋体" w:eastAsia="宋体" w:cs="宋体"/>
          <w:color w:val="auto"/>
          <w:highlight w:val="none"/>
        </w:rPr>
      </w:pPr>
      <w:r>
        <w:rPr>
          <w:rFonts w:hint="eastAsia" w:ascii="宋体" w:hAnsi="宋体" w:eastAsia="宋体" w:cs="宋体"/>
          <w:color w:val="auto"/>
          <w:highlight w:val="none"/>
        </w:rPr>
        <w:t>本项目采用</w:t>
      </w:r>
      <w:r>
        <w:rPr>
          <w:rFonts w:hint="eastAsia" w:ascii="宋体" w:hAnsi="宋体" w:eastAsia="宋体" w:cs="宋体"/>
          <w:color w:val="auto"/>
          <w:highlight w:val="none"/>
          <w:u w:val="single"/>
        </w:rPr>
        <w:t xml:space="preserve"> 综合评分 </w:t>
      </w:r>
      <w:r>
        <w:rPr>
          <w:rFonts w:hint="eastAsia" w:ascii="宋体" w:hAnsi="宋体" w:eastAsia="宋体" w:cs="宋体"/>
          <w:color w:val="auto"/>
          <w:highlight w:val="none"/>
        </w:rPr>
        <w:t>法。评标结果按评审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6A100ED9">
      <w:pPr>
        <w:pStyle w:val="196"/>
        <w:spacing w:before="0" w:after="0"/>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123BA0E">
      <w:pPr>
        <w:pStyle w:val="196"/>
        <w:spacing w:before="0" w:after="0"/>
        <w:ind w:firstLine="360"/>
        <w:rPr>
          <w:rFonts w:hint="eastAsia" w:ascii="宋体" w:hAnsi="宋体" w:eastAsia="宋体" w:cs="宋体"/>
          <w:color w:val="auto"/>
          <w:highlight w:val="none"/>
        </w:rPr>
      </w:pPr>
      <w:r>
        <w:rPr>
          <w:rFonts w:hint="eastAsia" w:ascii="宋体" w:hAnsi="宋体" w:eastAsia="宋体" w:cs="宋体"/>
          <w:color w:val="auto"/>
          <w:highlight w:val="none"/>
        </w:rPr>
        <w:t>采购人根据评委会推荐的中标候选人按规定确定中标人。</w:t>
      </w:r>
    </w:p>
    <w:p w14:paraId="420D7F2B">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二、政府采购政策功能落实</w:t>
      </w:r>
    </w:p>
    <w:p w14:paraId="28F1A16D">
      <w:pPr>
        <w:widowControl w:val="0"/>
        <w:kinsoku w:val="0"/>
        <w:spacing w:line="360" w:lineRule="auto"/>
        <w:ind w:firstLine="420"/>
        <w:rPr>
          <w:color w:val="auto"/>
          <w:sz w:val="24"/>
          <w:szCs w:val="32"/>
          <w:highlight w:val="none"/>
          <w:lang w:eastAsia="zh-CN"/>
        </w:rPr>
      </w:pPr>
      <w:r>
        <w:rPr>
          <w:rFonts w:ascii="宋体" w:hAnsi="宋体" w:eastAsia="宋体" w:cs="宋体"/>
          <w:color w:val="auto"/>
          <w:position w:val="-10"/>
          <w:sz w:val="24"/>
          <w:szCs w:val="32"/>
          <w:highlight w:val="none"/>
          <w:lang w:eastAsia="zh-CN"/>
        </w:rPr>
        <w:t>1、促进中小企业发展政策</w:t>
      </w:r>
    </w:p>
    <w:p w14:paraId="58CAAC10">
      <w:pPr>
        <w:widowControl w:val="0"/>
        <w:kinsoku w:val="0"/>
        <w:spacing w:line="360" w:lineRule="auto"/>
        <w:ind w:firstLine="480"/>
        <w:rPr>
          <w:color w:val="auto"/>
          <w:sz w:val="24"/>
          <w:szCs w:val="32"/>
          <w:highlight w:val="none"/>
          <w:lang w:eastAsia="zh-CN"/>
        </w:rPr>
      </w:pPr>
      <w:r>
        <w:rPr>
          <w:rFonts w:ascii="宋体" w:hAnsi="宋体" w:eastAsia="宋体" w:cs="宋体"/>
          <w:color w:val="auto"/>
          <w:position w:val="-10"/>
          <w:sz w:val="24"/>
          <w:szCs w:val="32"/>
          <w:highlight w:val="none"/>
          <w:lang w:eastAsia="zh-CN"/>
        </w:rPr>
        <w:t>①本项目为非专门面向中小微企业的项目，对</w:t>
      </w:r>
      <w:r>
        <w:rPr>
          <w:rFonts w:ascii="宋体" w:hAnsi="宋体" w:eastAsia="宋体" w:cs="宋体"/>
          <w:b/>
          <w:bCs/>
          <w:color w:val="auto"/>
          <w:position w:val="-10"/>
          <w:sz w:val="24"/>
          <w:szCs w:val="32"/>
          <w:highlight w:val="none"/>
          <w:lang w:eastAsia="zh-CN"/>
        </w:rPr>
        <w:t>小型和微型企业</w:t>
      </w:r>
      <w:r>
        <w:rPr>
          <w:rFonts w:ascii="宋体" w:hAnsi="宋体" w:eastAsia="宋体" w:cs="宋体"/>
          <w:color w:val="auto"/>
          <w:position w:val="-10"/>
          <w:sz w:val="24"/>
          <w:szCs w:val="32"/>
          <w:highlight w:val="none"/>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7237B701">
      <w:pPr>
        <w:widowControl w:val="0"/>
        <w:kinsoku w:val="0"/>
        <w:spacing w:line="360" w:lineRule="auto"/>
        <w:ind w:firstLine="480"/>
        <w:rPr>
          <w:color w:val="auto"/>
          <w:sz w:val="24"/>
          <w:szCs w:val="32"/>
          <w:highlight w:val="none"/>
          <w:lang w:eastAsia="zh-CN"/>
        </w:rPr>
      </w:pPr>
      <w:r>
        <w:rPr>
          <w:rFonts w:ascii="宋体" w:hAnsi="宋体" w:eastAsia="宋体" w:cs="宋体"/>
          <w:color w:val="auto"/>
          <w:position w:val="-10"/>
          <w:sz w:val="24"/>
          <w:szCs w:val="32"/>
          <w:highlight w:val="none"/>
          <w:lang w:eastAsia="zh-CN"/>
        </w:rPr>
        <w:t>在政府采购活动中，投标人提供的货物、工程或者服务符合下列情形的，享受价格扣除：</w:t>
      </w:r>
    </w:p>
    <w:p w14:paraId="5E748F5B">
      <w:pPr>
        <w:widowControl w:val="0"/>
        <w:kinsoku w:val="0"/>
        <w:spacing w:line="360" w:lineRule="auto"/>
        <w:ind w:firstLine="480"/>
        <w:rPr>
          <w:color w:val="auto"/>
          <w:sz w:val="24"/>
          <w:szCs w:val="32"/>
          <w:highlight w:val="none"/>
          <w:lang w:eastAsia="zh-CN"/>
        </w:rPr>
      </w:pPr>
      <w:r>
        <w:rPr>
          <w:rFonts w:ascii="宋体" w:hAnsi="宋体" w:eastAsia="宋体" w:cs="宋体"/>
          <w:color w:val="auto"/>
          <w:position w:val="-10"/>
          <w:sz w:val="24"/>
          <w:szCs w:val="32"/>
          <w:highlight w:val="none"/>
          <w:lang w:eastAsia="zh-CN"/>
        </w:rPr>
        <w:t>（一）在货物采购项目中，货物由小微企业制造，即货物由小微企业生产且使用该小微企业商号或者注册商标；</w:t>
      </w:r>
    </w:p>
    <w:p w14:paraId="38AC88C6">
      <w:pPr>
        <w:widowControl w:val="0"/>
        <w:kinsoku w:val="0"/>
        <w:spacing w:line="360" w:lineRule="auto"/>
        <w:ind w:firstLine="480"/>
        <w:rPr>
          <w:color w:val="auto"/>
          <w:sz w:val="24"/>
          <w:szCs w:val="32"/>
          <w:highlight w:val="none"/>
          <w:lang w:eastAsia="zh-CN"/>
        </w:rPr>
      </w:pPr>
      <w:r>
        <w:rPr>
          <w:rFonts w:ascii="宋体" w:hAnsi="宋体" w:eastAsia="宋体" w:cs="宋体"/>
          <w:color w:val="auto"/>
          <w:position w:val="-10"/>
          <w:sz w:val="24"/>
          <w:szCs w:val="32"/>
          <w:highlight w:val="none"/>
          <w:lang w:eastAsia="zh-CN"/>
        </w:rPr>
        <w:t>（二）在服务采购项目中，服务由小微企业承接，即提供服务的人员为小微企业依照《中华人民共和国劳动合同法》订立劳动合同的从业人员。</w:t>
      </w:r>
    </w:p>
    <w:p w14:paraId="4E07F14A">
      <w:pPr>
        <w:widowControl w:val="0"/>
        <w:kinsoku w:val="0"/>
        <w:spacing w:line="360" w:lineRule="auto"/>
        <w:ind w:firstLine="480"/>
        <w:rPr>
          <w:color w:val="auto"/>
          <w:sz w:val="24"/>
          <w:szCs w:val="32"/>
          <w:highlight w:val="none"/>
          <w:lang w:eastAsia="zh-CN"/>
        </w:rPr>
      </w:pPr>
      <w:r>
        <w:rPr>
          <w:rFonts w:ascii="宋体" w:hAnsi="宋体" w:eastAsia="宋体" w:cs="宋体"/>
          <w:color w:val="auto"/>
          <w:position w:val="-10"/>
          <w:sz w:val="24"/>
          <w:szCs w:val="32"/>
          <w:highlight w:val="none"/>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21C08A29">
      <w:pPr>
        <w:widowControl w:val="0"/>
        <w:kinsoku w:val="0"/>
        <w:spacing w:line="360" w:lineRule="auto"/>
        <w:ind w:firstLine="480"/>
        <w:rPr>
          <w:color w:val="auto"/>
          <w:sz w:val="24"/>
          <w:szCs w:val="32"/>
          <w:highlight w:val="none"/>
          <w:lang w:eastAsia="zh-CN"/>
        </w:rPr>
      </w:pPr>
      <w:r>
        <w:rPr>
          <w:rFonts w:ascii="宋体" w:hAnsi="宋体" w:eastAsia="宋体" w:cs="宋体"/>
          <w:color w:val="auto"/>
          <w:position w:val="-10"/>
          <w:sz w:val="24"/>
          <w:szCs w:val="32"/>
          <w:highlight w:val="none"/>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72811E68">
      <w:pPr>
        <w:widowControl w:val="0"/>
        <w:kinsoku w:val="0"/>
        <w:spacing w:line="360" w:lineRule="auto"/>
        <w:ind w:firstLine="480"/>
        <w:rPr>
          <w:color w:val="auto"/>
          <w:sz w:val="24"/>
          <w:szCs w:val="32"/>
          <w:highlight w:val="none"/>
          <w:lang w:eastAsia="zh-CN"/>
        </w:rPr>
      </w:pPr>
      <w:r>
        <w:rPr>
          <w:rFonts w:ascii="宋体" w:hAnsi="宋体" w:eastAsia="宋体" w:cs="宋体"/>
          <w:color w:val="auto"/>
          <w:position w:val="-10"/>
          <w:sz w:val="24"/>
          <w:szCs w:val="32"/>
          <w:highlight w:val="none"/>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5E7881FA">
      <w:pPr>
        <w:widowControl w:val="0"/>
        <w:kinsoku w:val="0"/>
        <w:spacing w:line="360" w:lineRule="auto"/>
        <w:ind w:firstLine="480"/>
        <w:rPr>
          <w:color w:val="auto"/>
          <w:sz w:val="24"/>
          <w:szCs w:val="32"/>
          <w:highlight w:val="none"/>
          <w:lang w:eastAsia="zh-CN"/>
        </w:rPr>
      </w:pPr>
      <w:r>
        <w:rPr>
          <w:rFonts w:ascii="宋体" w:hAnsi="宋体" w:eastAsia="宋体" w:cs="宋体"/>
          <w:color w:val="auto"/>
          <w:position w:val="-10"/>
          <w:sz w:val="24"/>
          <w:szCs w:val="32"/>
          <w:highlight w:val="none"/>
          <w:lang w:eastAsia="zh-CN"/>
        </w:rPr>
        <w:t>④残疾人福利单位、监狱企业属于小型、微型企业的，不重复享受政策。</w:t>
      </w:r>
    </w:p>
    <w:p w14:paraId="011FD89A">
      <w:pPr>
        <w:numPr>
          <w:ilvl w:val="0"/>
          <w:numId w:val="0"/>
        </w:numPr>
        <w:spacing w:line="360" w:lineRule="auto"/>
        <w:ind w:left="0" w:leftChars="0" w:firstLine="0" w:firstLineChars="0"/>
        <w:jc w:val="left"/>
        <w:rPr>
          <w:rFonts w:hint="eastAsia"/>
          <w:color w:val="auto"/>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17E0E57B">
      <w:pPr>
        <w:tabs>
          <w:tab w:val="left" w:pos="8200"/>
        </w:tabs>
        <w:spacing w:line="360" w:lineRule="auto"/>
        <w:rPr>
          <w:rFonts w:hint="eastAsia" w:ascii="宋体" w:hAnsi="宋体" w:eastAsia="宋体" w:cs="宋体"/>
          <w:bCs/>
          <w:color w:val="auto"/>
          <w:position w:val="-10"/>
          <w:sz w:val="24"/>
          <w:szCs w:val="20"/>
          <w:highlight w:val="none"/>
        </w:rPr>
      </w:pPr>
      <w:r>
        <w:rPr>
          <w:rFonts w:hint="eastAsia" w:ascii="宋体" w:hAnsi="宋体" w:eastAsia="宋体" w:cs="宋体"/>
          <w:bCs/>
          <w:color w:val="auto"/>
          <w:position w:val="-10"/>
          <w:sz w:val="24"/>
          <w:szCs w:val="20"/>
          <w:highlight w:val="none"/>
          <w:lang w:val="en-US" w:eastAsia="zh-CN"/>
        </w:rPr>
        <w:t>3</w:t>
      </w:r>
      <w:r>
        <w:rPr>
          <w:rFonts w:hint="eastAsia" w:ascii="宋体" w:hAnsi="宋体" w:eastAsia="宋体" w:cs="宋体"/>
          <w:bCs/>
          <w:color w:val="auto"/>
          <w:position w:val="-10"/>
          <w:sz w:val="24"/>
          <w:szCs w:val="20"/>
          <w:highlight w:val="none"/>
        </w:rPr>
        <w:t>、采购本国产品的支持政策</w:t>
      </w:r>
    </w:p>
    <w:p w14:paraId="2F4F62F0">
      <w:pPr>
        <w:tabs>
          <w:tab w:val="left" w:pos="8200"/>
        </w:tabs>
        <w:spacing w:line="360" w:lineRule="auto"/>
        <w:rPr>
          <w:rFonts w:hint="eastAsia" w:ascii="宋体" w:hAnsi="宋体" w:eastAsia="宋体" w:cs="宋体"/>
          <w:bCs/>
          <w:color w:val="auto"/>
          <w:position w:val="-10"/>
          <w:sz w:val="24"/>
          <w:szCs w:val="20"/>
          <w:highlight w:val="none"/>
        </w:rPr>
      </w:pPr>
      <w:r>
        <w:rPr>
          <w:rFonts w:hint="eastAsia" w:ascii="宋体" w:hAnsi="宋体" w:eastAsia="宋体" w:cs="宋体"/>
          <w:bCs/>
          <w:color w:val="auto"/>
          <w:position w:val="-10"/>
          <w:sz w:val="24"/>
          <w:szCs w:val="20"/>
          <w:highlight w:val="none"/>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DBDC02C">
      <w:pPr>
        <w:tabs>
          <w:tab w:val="left" w:pos="8200"/>
        </w:tabs>
        <w:spacing w:line="360" w:lineRule="auto"/>
        <w:rPr>
          <w:rFonts w:hint="eastAsia" w:ascii="宋体" w:hAnsi="宋体" w:eastAsia="宋体" w:cs="宋体"/>
          <w:bCs/>
          <w:color w:val="auto"/>
          <w:position w:val="-10"/>
          <w:sz w:val="24"/>
          <w:szCs w:val="20"/>
          <w:highlight w:val="none"/>
        </w:rPr>
      </w:pPr>
      <w:r>
        <w:rPr>
          <w:rFonts w:hint="eastAsia" w:ascii="宋体" w:hAnsi="宋体" w:eastAsia="宋体" w:cs="宋体"/>
          <w:bCs/>
          <w:color w:val="auto"/>
          <w:position w:val="-10"/>
          <w:sz w:val="24"/>
          <w:szCs w:val="20"/>
          <w:highlight w:val="none"/>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A32ABB0">
      <w:pPr>
        <w:tabs>
          <w:tab w:val="left" w:pos="8200"/>
        </w:tabs>
        <w:spacing w:line="360" w:lineRule="auto"/>
        <w:rPr>
          <w:rFonts w:hint="eastAsia" w:ascii="宋体" w:hAnsi="宋体" w:eastAsia="宋体" w:cs="宋体"/>
          <w:bCs/>
          <w:color w:val="auto"/>
          <w:position w:val="-10"/>
          <w:sz w:val="24"/>
          <w:szCs w:val="20"/>
          <w:highlight w:val="none"/>
        </w:rPr>
      </w:pPr>
      <w:r>
        <w:rPr>
          <w:rFonts w:hint="eastAsia" w:ascii="宋体" w:hAnsi="宋体" w:eastAsia="宋体" w:cs="宋体"/>
          <w:bCs/>
          <w:color w:val="auto"/>
          <w:position w:val="-10"/>
          <w:sz w:val="24"/>
          <w:szCs w:val="20"/>
          <w:highlight w:val="none"/>
        </w:rPr>
        <w:t>（3）本项目政府采购活动中既有本国产品又有非本国产品参与竞争的，依法对本国产品给予价格评审优惠，对本国产品的报价给予20%的价格扣除，用扣除后的价格参与评审。</w:t>
      </w:r>
    </w:p>
    <w:p w14:paraId="5E2E5109">
      <w:pPr>
        <w:tabs>
          <w:tab w:val="left" w:pos="8200"/>
        </w:tabs>
        <w:spacing w:line="360" w:lineRule="auto"/>
        <w:rPr>
          <w:rFonts w:hint="eastAsia" w:ascii="宋体" w:hAnsi="宋体" w:eastAsia="宋体" w:cs="宋体"/>
          <w:bCs/>
          <w:color w:val="auto"/>
          <w:position w:val="-10"/>
          <w:sz w:val="24"/>
          <w:szCs w:val="20"/>
          <w:highlight w:val="none"/>
        </w:rPr>
      </w:pPr>
      <w:r>
        <w:rPr>
          <w:rFonts w:hint="eastAsia" w:ascii="宋体" w:hAnsi="宋体" w:eastAsia="宋体" w:cs="宋体"/>
          <w:bCs/>
          <w:color w:val="auto"/>
          <w:position w:val="-10"/>
          <w:sz w:val="24"/>
          <w:szCs w:val="20"/>
          <w:highlight w:val="none"/>
        </w:rPr>
        <w:t>（4）当采购项目或者采购包中含有多种产品，投标人为该采购项目或者采购包提供的符合本国产品标准的产品成本之和占该投标人提供的全部产品成本之和的比例达到80%以上时（投标人需在“第六章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978C3F5">
      <w:pPr>
        <w:tabs>
          <w:tab w:val="left" w:pos="8200"/>
        </w:tabs>
        <w:spacing w:line="360" w:lineRule="auto"/>
        <w:rPr>
          <w:rFonts w:hint="eastAsia" w:ascii="宋体" w:hAnsi="宋体" w:eastAsia="宋体" w:cs="宋体"/>
          <w:bCs/>
          <w:color w:val="auto"/>
          <w:position w:val="-10"/>
          <w:sz w:val="24"/>
          <w:szCs w:val="20"/>
          <w:highlight w:val="none"/>
        </w:rPr>
      </w:pPr>
      <w:r>
        <w:rPr>
          <w:rFonts w:hint="eastAsia" w:ascii="宋体" w:hAnsi="宋体" w:eastAsia="宋体" w:cs="宋体"/>
          <w:bCs/>
          <w:color w:val="auto"/>
          <w:position w:val="-10"/>
          <w:sz w:val="24"/>
          <w:szCs w:val="20"/>
          <w:highlight w:val="none"/>
        </w:rPr>
        <w:t>（5）投标人需按照招标文件的要求提供《关于符合本国产品标准的声明函》（以下简称《声明函》），如不提供将不享受本国产品价格评审优惠。</w:t>
      </w:r>
    </w:p>
    <w:p w14:paraId="4D86FA4D">
      <w:pPr>
        <w:tabs>
          <w:tab w:val="left" w:pos="8200"/>
        </w:tabs>
        <w:spacing w:line="360" w:lineRule="auto"/>
        <w:rPr>
          <w:rFonts w:hint="eastAsia" w:ascii="宋体" w:hAnsi="宋体" w:eastAsia="宋体" w:cs="宋体"/>
          <w:bCs/>
          <w:color w:val="auto"/>
          <w:position w:val="-10"/>
          <w:sz w:val="24"/>
          <w:szCs w:val="20"/>
          <w:highlight w:val="none"/>
        </w:rPr>
      </w:pPr>
      <w:r>
        <w:rPr>
          <w:rFonts w:hint="eastAsia" w:ascii="宋体" w:hAnsi="宋体" w:eastAsia="宋体" w:cs="宋体"/>
          <w:bCs/>
          <w:color w:val="auto"/>
          <w:position w:val="-10"/>
          <w:sz w:val="24"/>
          <w:szCs w:val="20"/>
          <w:highlight w:val="none"/>
        </w:rPr>
        <w:t>（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142D048F">
      <w:pPr>
        <w:spacing w:line="360" w:lineRule="auto"/>
        <w:rPr>
          <w:rFonts w:hint="eastAsia" w:ascii="宋体" w:hAnsi="宋体" w:eastAsia="宋体" w:cs="宋体"/>
          <w:color w:val="auto"/>
          <w:sz w:val="24"/>
          <w:highlight w:val="none"/>
        </w:rPr>
      </w:pPr>
      <w:r>
        <w:rPr>
          <w:rFonts w:hint="eastAsia" w:ascii="宋体" w:hAnsi="宋体" w:eastAsia="宋体" w:cs="宋体"/>
          <w:bCs/>
          <w:color w:val="auto"/>
          <w:position w:val="-10"/>
          <w:sz w:val="24"/>
          <w:szCs w:val="20"/>
          <w:highlight w:val="none"/>
        </w:rPr>
        <w:t>（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41C8D978">
      <w:pPr>
        <w:spacing w:line="360" w:lineRule="auto"/>
        <w:rPr>
          <w:rFonts w:hint="eastAsia" w:ascii="宋体" w:hAnsi="宋体" w:eastAsia="宋体" w:cs="宋体"/>
          <w:color w:val="auto"/>
          <w:sz w:val="24"/>
          <w:highlight w:val="none"/>
        </w:rPr>
      </w:pPr>
    </w:p>
    <w:p w14:paraId="3BB3996E">
      <w:pPr>
        <w:pStyle w:val="32"/>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三、评标方法与评标标准</w:t>
      </w:r>
    </w:p>
    <w:tbl>
      <w:tblPr>
        <w:tblStyle w:val="36"/>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746"/>
        <w:gridCol w:w="1345"/>
        <w:gridCol w:w="849"/>
        <w:gridCol w:w="5792"/>
      </w:tblGrid>
      <w:tr w14:paraId="0D695EB6">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43E5D96C">
            <w:pPr>
              <w:spacing w:line="360" w:lineRule="auto"/>
              <w:jc w:val="center"/>
              <w:rPr>
                <w:color w:val="auto"/>
                <w:sz w:val="24"/>
                <w:highlight w:val="none"/>
              </w:rPr>
            </w:pPr>
            <w:bookmarkStart w:id="206" w:name="_Hlk193984834"/>
            <w:r>
              <w:rPr>
                <w:rFonts w:hint="eastAsia"/>
                <w:color w:val="auto"/>
                <w:sz w:val="24"/>
                <w:highlight w:val="none"/>
              </w:rPr>
              <w:t>序号</w:t>
            </w:r>
          </w:p>
        </w:tc>
        <w:tc>
          <w:tcPr>
            <w:tcW w:w="77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C0ACC6">
            <w:pPr>
              <w:spacing w:line="360" w:lineRule="auto"/>
              <w:jc w:val="center"/>
              <w:rPr>
                <w:color w:val="auto"/>
                <w:sz w:val="24"/>
                <w:highlight w:val="none"/>
              </w:rPr>
            </w:pPr>
            <w:r>
              <w:rPr>
                <w:rFonts w:hint="eastAsia"/>
                <w:color w:val="auto"/>
                <w:sz w:val="24"/>
                <w:highlight w:val="none"/>
              </w:rPr>
              <w:t>评分因素</w:t>
            </w:r>
          </w:p>
        </w:tc>
        <w:tc>
          <w:tcPr>
            <w:tcW w:w="486" w:type="pct"/>
            <w:tcBorders>
              <w:top w:val="single" w:color="auto" w:sz="4" w:space="0"/>
              <w:left w:val="single" w:color="auto" w:sz="4" w:space="0"/>
              <w:bottom w:val="single" w:color="auto" w:sz="4" w:space="0"/>
              <w:right w:val="single" w:color="auto" w:sz="4" w:space="0"/>
            </w:tcBorders>
            <w:noWrap w:val="0"/>
            <w:vAlign w:val="center"/>
          </w:tcPr>
          <w:p w14:paraId="7E066CED">
            <w:pPr>
              <w:spacing w:line="360" w:lineRule="auto"/>
              <w:jc w:val="center"/>
              <w:rPr>
                <w:color w:val="auto"/>
                <w:sz w:val="24"/>
                <w:highlight w:val="none"/>
              </w:rPr>
            </w:pPr>
            <w:r>
              <w:rPr>
                <w:rFonts w:hint="eastAsia"/>
                <w:color w:val="auto"/>
                <w:sz w:val="24"/>
                <w:highlight w:val="none"/>
              </w:rPr>
              <w:t>分值</w:t>
            </w:r>
          </w:p>
        </w:tc>
        <w:tc>
          <w:tcPr>
            <w:tcW w:w="331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BFAA55">
            <w:pPr>
              <w:spacing w:line="360" w:lineRule="auto"/>
              <w:jc w:val="center"/>
              <w:rPr>
                <w:color w:val="auto"/>
                <w:sz w:val="24"/>
                <w:highlight w:val="none"/>
              </w:rPr>
            </w:pPr>
            <w:r>
              <w:rPr>
                <w:rFonts w:hint="eastAsia"/>
                <w:color w:val="auto"/>
                <w:sz w:val="24"/>
                <w:highlight w:val="none"/>
              </w:rPr>
              <w:t>评分标准</w:t>
            </w:r>
          </w:p>
        </w:tc>
      </w:tr>
      <w:tr w14:paraId="33F0C354">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575C3E24">
            <w:pPr>
              <w:spacing w:line="360" w:lineRule="auto"/>
              <w:jc w:val="center"/>
              <w:rPr>
                <w:color w:val="auto"/>
                <w:sz w:val="24"/>
                <w:highlight w:val="none"/>
              </w:rPr>
            </w:pPr>
            <w:bookmarkStart w:id="207" w:name="_Hlk183701873"/>
            <w:r>
              <w:rPr>
                <w:rFonts w:hint="eastAsia"/>
                <w:color w:val="auto"/>
                <w:sz w:val="24"/>
                <w:highlight w:val="none"/>
              </w:rPr>
              <w:t>1</w:t>
            </w:r>
          </w:p>
        </w:tc>
        <w:tc>
          <w:tcPr>
            <w:tcW w:w="77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694ACA">
            <w:pPr>
              <w:spacing w:line="360" w:lineRule="auto"/>
              <w:jc w:val="center"/>
              <w:rPr>
                <w:color w:val="auto"/>
                <w:sz w:val="24"/>
                <w:highlight w:val="none"/>
              </w:rPr>
            </w:pPr>
            <w:r>
              <w:rPr>
                <w:rFonts w:hint="eastAsia"/>
                <w:color w:val="auto"/>
                <w:sz w:val="24"/>
                <w:highlight w:val="none"/>
              </w:rPr>
              <w:t>价格分</w:t>
            </w:r>
          </w:p>
        </w:tc>
        <w:tc>
          <w:tcPr>
            <w:tcW w:w="486" w:type="pct"/>
            <w:tcBorders>
              <w:top w:val="single" w:color="auto" w:sz="4" w:space="0"/>
              <w:left w:val="single" w:color="auto" w:sz="4" w:space="0"/>
              <w:bottom w:val="single" w:color="auto" w:sz="4" w:space="0"/>
              <w:right w:val="single" w:color="auto" w:sz="4" w:space="0"/>
            </w:tcBorders>
            <w:noWrap w:val="0"/>
            <w:vAlign w:val="center"/>
          </w:tcPr>
          <w:p w14:paraId="78FE4D63">
            <w:pPr>
              <w:spacing w:line="360" w:lineRule="auto"/>
              <w:jc w:val="center"/>
              <w:rPr>
                <w:color w:val="auto"/>
                <w:sz w:val="24"/>
                <w:highlight w:val="none"/>
              </w:rPr>
            </w:pPr>
            <w:r>
              <w:rPr>
                <w:rFonts w:hint="eastAsia" w:eastAsia="宋体"/>
                <w:color w:val="auto"/>
                <w:sz w:val="24"/>
                <w:highlight w:val="none"/>
                <w:lang w:val="en-US" w:eastAsia="zh-CN"/>
              </w:rPr>
              <w:t>3</w:t>
            </w:r>
            <w:r>
              <w:rPr>
                <w:color w:val="auto"/>
                <w:sz w:val="24"/>
                <w:highlight w:val="none"/>
              </w:rPr>
              <w:t>0分</w:t>
            </w:r>
          </w:p>
        </w:tc>
        <w:tc>
          <w:tcPr>
            <w:tcW w:w="331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0998B7">
            <w:pPr>
              <w:spacing w:line="360" w:lineRule="auto"/>
              <w:jc w:val="left"/>
              <w:rPr>
                <w:color w:val="auto"/>
                <w:sz w:val="24"/>
                <w:highlight w:val="none"/>
              </w:rPr>
            </w:pPr>
            <w:bookmarkStart w:id="208" w:name="OLE_LINK91"/>
            <w:r>
              <w:rPr>
                <w:color w:val="auto"/>
                <w:sz w:val="24"/>
                <w:highlight w:val="none"/>
              </w:rPr>
              <w:t>1</w:t>
            </w:r>
            <w:r>
              <w:rPr>
                <w:rFonts w:hint="eastAsia"/>
                <w:color w:val="auto"/>
                <w:sz w:val="24"/>
                <w:highlight w:val="none"/>
              </w:rPr>
              <w:t>.</w:t>
            </w:r>
            <w:r>
              <w:rPr>
                <w:color w:val="auto"/>
                <w:sz w:val="24"/>
                <w:highlight w:val="none"/>
              </w:rPr>
              <w:t>采用低价优先法，</w:t>
            </w:r>
            <w:r>
              <w:rPr>
                <w:rFonts w:hint="eastAsia"/>
                <w:color w:val="auto"/>
                <w:sz w:val="24"/>
                <w:highlight w:val="none"/>
              </w:rPr>
              <w:t>经商务性评审（修正、小微企业扣除等）后的最低</w:t>
            </w:r>
            <w:r>
              <w:rPr>
                <w:color w:val="auto"/>
                <w:sz w:val="24"/>
                <w:highlight w:val="none"/>
              </w:rPr>
              <w:t>有效投标报价为评标基准价，其价格分为满分</w:t>
            </w:r>
            <w:r>
              <w:rPr>
                <w:rFonts w:hint="eastAsia" w:eastAsia="宋体"/>
                <w:color w:val="auto"/>
                <w:sz w:val="24"/>
                <w:highlight w:val="none"/>
                <w:lang w:val="en-US" w:eastAsia="zh-CN"/>
              </w:rPr>
              <w:t>3</w:t>
            </w:r>
            <w:r>
              <w:rPr>
                <w:color w:val="auto"/>
                <w:sz w:val="24"/>
                <w:highlight w:val="none"/>
              </w:rPr>
              <w:t>0分。</w:t>
            </w:r>
          </w:p>
          <w:p w14:paraId="7F92AF26">
            <w:pPr>
              <w:spacing w:line="360" w:lineRule="auto"/>
              <w:jc w:val="left"/>
              <w:rPr>
                <w:color w:val="auto"/>
                <w:sz w:val="24"/>
                <w:highlight w:val="none"/>
              </w:rPr>
            </w:pPr>
            <w:r>
              <w:rPr>
                <w:color w:val="auto"/>
                <w:sz w:val="24"/>
                <w:highlight w:val="none"/>
              </w:rPr>
              <w:t>2</w:t>
            </w:r>
            <w:r>
              <w:rPr>
                <w:rFonts w:hint="eastAsia"/>
                <w:color w:val="auto"/>
                <w:sz w:val="24"/>
                <w:highlight w:val="none"/>
              </w:rPr>
              <w:t>.</w:t>
            </w:r>
            <w:r>
              <w:rPr>
                <w:color w:val="auto"/>
                <w:sz w:val="24"/>
                <w:highlight w:val="none"/>
              </w:rPr>
              <w:t>其他投标人的价格分统一按下列公式计算：投标报价得分＝（评标基准价/投标报价）×</w:t>
            </w:r>
            <w:r>
              <w:rPr>
                <w:rFonts w:hint="eastAsia" w:eastAsia="宋体"/>
                <w:color w:val="auto"/>
                <w:sz w:val="24"/>
                <w:highlight w:val="none"/>
                <w:lang w:val="en-US" w:eastAsia="zh-CN"/>
              </w:rPr>
              <w:t>3</w:t>
            </w:r>
            <w:r>
              <w:rPr>
                <w:color w:val="auto"/>
                <w:sz w:val="24"/>
                <w:highlight w:val="none"/>
              </w:rPr>
              <w:t>0（四舍五入后</w:t>
            </w:r>
          </w:p>
          <w:p w14:paraId="0B58EB33">
            <w:pPr>
              <w:spacing w:line="360" w:lineRule="auto"/>
              <w:jc w:val="left"/>
              <w:rPr>
                <w:color w:val="auto"/>
                <w:sz w:val="24"/>
                <w:highlight w:val="none"/>
              </w:rPr>
            </w:pPr>
            <w:r>
              <w:rPr>
                <w:color w:val="auto"/>
                <w:sz w:val="24"/>
                <w:highlight w:val="none"/>
              </w:rPr>
              <w:t>保留小数点后两位）。</w:t>
            </w:r>
            <w:bookmarkEnd w:id="207"/>
            <w:bookmarkEnd w:id="208"/>
          </w:p>
        </w:tc>
      </w:tr>
      <w:tr w14:paraId="62335E9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570BFDBE">
            <w:pPr>
              <w:spacing w:line="360" w:lineRule="auto"/>
              <w:jc w:val="center"/>
              <w:rPr>
                <w:color w:val="auto"/>
                <w:sz w:val="24"/>
                <w:highlight w:val="none"/>
              </w:rPr>
            </w:pPr>
            <w:r>
              <w:rPr>
                <w:rFonts w:hint="eastAsia"/>
                <w:color w:val="auto"/>
                <w:sz w:val="24"/>
                <w:highlight w:val="none"/>
              </w:rPr>
              <w:t>2</w:t>
            </w:r>
          </w:p>
        </w:tc>
        <w:tc>
          <w:tcPr>
            <w:tcW w:w="77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F78E507">
            <w:pPr>
              <w:spacing w:line="360" w:lineRule="auto"/>
              <w:jc w:val="center"/>
              <w:rPr>
                <w:color w:val="auto"/>
                <w:sz w:val="24"/>
                <w:highlight w:val="none"/>
              </w:rPr>
            </w:pPr>
            <w:bookmarkStart w:id="209" w:name="OLE_LINK22"/>
            <w:r>
              <w:rPr>
                <w:rFonts w:hint="eastAsia"/>
                <w:color w:val="auto"/>
                <w:sz w:val="24"/>
                <w:highlight w:val="none"/>
              </w:rPr>
              <w:t>核心产品的</w:t>
            </w:r>
            <w:r>
              <w:rPr>
                <w:color w:val="auto"/>
                <w:sz w:val="24"/>
                <w:highlight w:val="none"/>
              </w:rPr>
              <w:t>技术</w:t>
            </w:r>
            <w:r>
              <w:rPr>
                <w:rFonts w:hint="eastAsia"/>
                <w:color w:val="auto"/>
                <w:sz w:val="24"/>
                <w:highlight w:val="none"/>
              </w:rPr>
              <w:t>响应</w:t>
            </w:r>
            <w:bookmarkEnd w:id="209"/>
          </w:p>
        </w:tc>
        <w:tc>
          <w:tcPr>
            <w:tcW w:w="486" w:type="pct"/>
            <w:tcBorders>
              <w:top w:val="single" w:color="auto" w:sz="4" w:space="0"/>
              <w:left w:val="single" w:color="auto" w:sz="4" w:space="0"/>
              <w:bottom w:val="single" w:color="auto" w:sz="4" w:space="0"/>
              <w:right w:val="single" w:color="auto" w:sz="4" w:space="0"/>
            </w:tcBorders>
            <w:noWrap w:val="0"/>
            <w:vAlign w:val="center"/>
          </w:tcPr>
          <w:p w14:paraId="2EA9DE7D">
            <w:pPr>
              <w:spacing w:line="360" w:lineRule="auto"/>
              <w:jc w:val="center"/>
              <w:rPr>
                <w:color w:val="auto"/>
                <w:sz w:val="24"/>
                <w:highlight w:val="none"/>
              </w:rPr>
            </w:pPr>
            <w:r>
              <w:rPr>
                <w:rFonts w:hint="eastAsia" w:eastAsia="宋体"/>
                <w:color w:val="auto"/>
                <w:sz w:val="24"/>
                <w:highlight w:val="none"/>
                <w:lang w:val="en-US" w:eastAsia="zh-CN"/>
              </w:rPr>
              <w:t>43</w:t>
            </w:r>
            <w:r>
              <w:rPr>
                <w:color w:val="auto"/>
                <w:sz w:val="24"/>
                <w:highlight w:val="none"/>
              </w:rPr>
              <w:t>分</w:t>
            </w:r>
          </w:p>
        </w:tc>
        <w:tc>
          <w:tcPr>
            <w:tcW w:w="331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B9E282">
            <w:pPr>
              <w:spacing w:line="360" w:lineRule="auto"/>
              <w:jc w:val="left"/>
              <w:rPr>
                <w:color w:val="auto"/>
                <w:sz w:val="24"/>
                <w:highlight w:val="none"/>
              </w:rPr>
            </w:pPr>
            <w:bookmarkStart w:id="210" w:name="OLE_LINK92"/>
            <w:r>
              <w:rPr>
                <w:color w:val="auto"/>
                <w:sz w:val="24"/>
                <w:highlight w:val="none"/>
              </w:rPr>
              <w:t>投标人所投设备完全响应招标文件第</w:t>
            </w:r>
            <w:r>
              <w:rPr>
                <w:rFonts w:hint="eastAsia"/>
                <w:color w:val="auto"/>
                <w:sz w:val="24"/>
                <w:highlight w:val="none"/>
              </w:rPr>
              <w:t>四</w:t>
            </w:r>
            <w:r>
              <w:rPr>
                <w:color w:val="auto"/>
                <w:sz w:val="24"/>
                <w:highlight w:val="none"/>
              </w:rPr>
              <w:t>章</w:t>
            </w:r>
            <w:r>
              <w:rPr>
                <w:rFonts w:hint="eastAsia"/>
                <w:color w:val="auto"/>
                <w:sz w:val="24"/>
                <w:highlight w:val="none"/>
              </w:rPr>
              <w:t>“采购需求”</w:t>
            </w:r>
            <w:r>
              <w:rPr>
                <w:color w:val="auto"/>
                <w:sz w:val="24"/>
                <w:highlight w:val="none"/>
              </w:rPr>
              <w:t>中</w:t>
            </w:r>
            <w:r>
              <w:rPr>
                <w:rFonts w:hint="eastAsia"/>
                <w:color w:val="auto"/>
                <w:sz w:val="24"/>
                <w:highlight w:val="none"/>
              </w:rPr>
              <w:t>核心产品“</w:t>
            </w:r>
            <w:bookmarkStart w:id="211" w:name="OLE_LINK8"/>
            <w:r>
              <w:rPr>
                <w:rFonts w:hint="eastAsia"/>
                <w:color w:val="auto"/>
                <w:sz w:val="24"/>
                <w:highlight w:val="none"/>
              </w:rPr>
              <w:t>技术需求</w:t>
            </w:r>
            <w:bookmarkEnd w:id="211"/>
            <w:r>
              <w:rPr>
                <w:rFonts w:hint="eastAsia"/>
                <w:color w:val="auto"/>
                <w:sz w:val="24"/>
                <w:highlight w:val="none"/>
              </w:rPr>
              <w:t>”</w:t>
            </w:r>
            <w:r>
              <w:rPr>
                <w:color w:val="auto"/>
                <w:sz w:val="24"/>
                <w:highlight w:val="none"/>
              </w:rPr>
              <w:t>的，得</w:t>
            </w:r>
            <w:r>
              <w:rPr>
                <w:rFonts w:hint="eastAsia" w:eastAsia="宋体"/>
                <w:color w:val="auto"/>
                <w:sz w:val="24"/>
                <w:highlight w:val="none"/>
                <w:lang w:val="en-US" w:eastAsia="zh-CN"/>
              </w:rPr>
              <w:t>满分</w:t>
            </w:r>
            <w:r>
              <w:rPr>
                <w:rFonts w:hint="eastAsia"/>
                <w:color w:val="auto"/>
                <w:sz w:val="24"/>
                <w:highlight w:val="none"/>
              </w:rPr>
              <w:t>。</w:t>
            </w:r>
          </w:p>
          <w:p w14:paraId="3B08DCAC">
            <w:pPr>
              <w:spacing w:line="360" w:lineRule="auto"/>
              <w:jc w:val="left"/>
              <w:rPr>
                <w:color w:val="auto"/>
                <w:sz w:val="24"/>
                <w:highlight w:val="none"/>
              </w:rPr>
            </w:pPr>
            <w:r>
              <w:rPr>
                <w:rFonts w:hint="eastAsia" w:ascii="宋体" w:hAnsi="宋体" w:eastAsia="宋体" w:cs="宋体"/>
                <w:color w:val="auto"/>
                <w:sz w:val="24"/>
                <w:szCs w:val="24"/>
                <w:highlight w:val="none"/>
                <w:lang w:val="en-US" w:eastAsia="zh-CN"/>
              </w:rPr>
              <w:t>除</w:t>
            </w:r>
            <w:r>
              <w:rPr>
                <w:rFonts w:ascii="宋体" w:hAnsi="宋体" w:eastAsia="宋体" w:cs="宋体"/>
                <w:color w:val="auto"/>
                <w:sz w:val="24"/>
                <w:szCs w:val="24"/>
                <w:highlight w:val="none"/>
              </w:rPr>
              <w:t>标注“★”的实质性要求</w:t>
            </w:r>
            <w:r>
              <w:rPr>
                <w:rFonts w:hint="eastAsia" w:ascii="宋体" w:hAnsi="宋体" w:eastAsia="宋体" w:cs="宋体"/>
                <w:color w:val="auto"/>
                <w:sz w:val="24"/>
                <w:szCs w:val="24"/>
                <w:highlight w:val="none"/>
                <w:lang w:val="en-US" w:eastAsia="zh-CN"/>
              </w:rPr>
              <w:t>外</w:t>
            </w:r>
            <w:r>
              <w:rPr>
                <w:rFonts w:hint="eastAsia" w:ascii="宋体" w:hAnsi="宋体" w:eastAsia="宋体" w:cs="宋体"/>
                <w:color w:val="auto"/>
                <w:sz w:val="24"/>
                <w:szCs w:val="24"/>
                <w:highlight w:val="none"/>
                <w:lang w:eastAsia="zh-CN"/>
              </w:rPr>
              <w:t>，</w:t>
            </w:r>
            <w:r>
              <w:rPr>
                <w:rFonts w:hint="eastAsia"/>
                <w:color w:val="auto"/>
                <w:sz w:val="24"/>
                <w:highlight w:val="none"/>
              </w:rPr>
              <w:t>标</w:t>
            </w:r>
            <w:r>
              <w:rPr>
                <w:rFonts w:hint="eastAsia" w:eastAsia="宋体"/>
                <w:color w:val="auto"/>
                <w:sz w:val="24"/>
                <w:highlight w:val="none"/>
                <w:lang w:val="en-US" w:eastAsia="zh-CN"/>
              </w:rPr>
              <w:t>注“</w:t>
            </w:r>
            <w:r>
              <w:rPr>
                <w:rFonts w:hint="eastAsia"/>
                <w:color w:val="auto"/>
                <w:sz w:val="24"/>
                <w:highlight w:val="none"/>
              </w:rPr>
              <w:t>▲</w:t>
            </w:r>
            <w:r>
              <w:rPr>
                <w:rFonts w:hint="eastAsia" w:eastAsia="宋体"/>
                <w:color w:val="auto"/>
                <w:sz w:val="24"/>
                <w:highlight w:val="none"/>
                <w:lang w:eastAsia="zh-CN"/>
              </w:rPr>
              <w:t>”</w:t>
            </w:r>
            <w:r>
              <w:rPr>
                <w:rFonts w:hint="eastAsia"/>
                <w:color w:val="auto"/>
                <w:sz w:val="24"/>
                <w:highlight w:val="none"/>
              </w:rPr>
              <w:t>号的技术需求为重要条款，如有负偏离的，每项扣</w:t>
            </w:r>
            <w:r>
              <w:rPr>
                <w:rFonts w:hint="eastAsia" w:eastAsia="宋体"/>
                <w:color w:val="auto"/>
                <w:sz w:val="24"/>
                <w:highlight w:val="none"/>
                <w:lang w:val="en-US" w:eastAsia="zh-CN"/>
              </w:rPr>
              <w:t>0.5</w:t>
            </w:r>
            <w:r>
              <w:rPr>
                <w:rFonts w:hint="eastAsia"/>
                <w:color w:val="auto"/>
                <w:sz w:val="24"/>
                <w:highlight w:val="none"/>
              </w:rPr>
              <w:t>分；非▲号的技术需求为一般条款，如有负偏离的，每项扣0.</w:t>
            </w:r>
            <w:r>
              <w:rPr>
                <w:rFonts w:hint="eastAsia" w:eastAsia="宋体"/>
                <w:color w:val="auto"/>
                <w:sz w:val="24"/>
                <w:highlight w:val="none"/>
                <w:lang w:val="en-US" w:eastAsia="zh-CN"/>
              </w:rPr>
              <w:t>2</w:t>
            </w:r>
            <w:r>
              <w:rPr>
                <w:rFonts w:hint="eastAsia"/>
                <w:color w:val="auto"/>
                <w:sz w:val="24"/>
                <w:highlight w:val="none"/>
              </w:rPr>
              <w:t>分；</w:t>
            </w:r>
          </w:p>
          <w:p w14:paraId="5F7A98E2">
            <w:pPr>
              <w:spacing w:line="360" w:lineRule="auto"/>
              <w:jc w:val="left"/>
              <w:rPr>
                <w:color w:val="auto"/>
                <w:sz w:val="24"/>
                <w:highlight w:val="none"/>
              </w:rPr>
            </w:pPr>
            <w:r>
              <w:rPr>
                <w:color w:val="auto"/>
                <w:sz w:val="24"/>
                <w:highlight w:val="none"/>
              </w:rPr>
              <w:t>注：</w:t>
            </w:r>
          </w:p>
          <w:p w14:paraId="447D16F6">
            <w:pPr>
              <w:spacing w:line="360" w:lineRule="auto"/>
              <w:jc w:val="left"/>
              <w:rPr>
                <w:rFonts w:hint="eastAsia"/>
                <w:color w:val="auto"/>
                <w:sz w:val="24"/>
                <w:szCs w:val="24"/>
                <w:highlight w:val="none"/>
              </w:rPr>
            </w:pPr>
            <w:r>
              <w:rPr>
                <w:color w:val="auto"/>
                <w:sz w:val="24"/>
                <w:highlight w:val="none"/>
              </w:rPr>
              <w:t>1</w:t>
            </w:r>
            <w:r>
              <w:rPr>
                <w:rFonts w:hint="eastAsia"/>
                <w:color w:val="auto"/>
                <w:sz w:val="24"/>
                <w:highlight w:val="none"/>
              </w:rPr>
              <w:t>.</w:t>
            </w:r>
            <w:r>
              <w:rPr>
                <w:color w:val="auto"/>
                <w:sz w:val="24"/>
                <w:highlight w:val="none"/>
              </w:rPr>
              <w:t>以上“</w:t>
            </w:r>
            <w:r>
              <w:rPr>
                <w:rFonts w:hint="eastAsia"/>
                <w:color w:val="auto"/>
                <w:sz w:val="24"/>
                <w:highlight w:val="none"/>
              </w:rPr>
              <w:t>技术需求</w:t>
            </w:r>
            <w:r>
              <w:rPr>
                <w:color w:val="auto"/>
                <w:sz w:val="24"/>
                <w:highlight w:val="none"/>
              </w:rPr>
              <w:t>”响应情况均须在投标文件《技术需求响应及偏离表》中表述清楚，如表述不清，则按</w:t>
            </w:r>
            <w:r>
              <w:rPr>
                <w:rFonts w:hint="eastAsia"/>
                <w:color w:val="auto"/>
                <w:sz w:val="24"/>
                <w:highlight w:val="none"/>
              </w:rPr>
              <w:t>负</w:t>
            </w:r>
          </w:p>
          <w:p w14:paraId="4062F472">
            <w:pPr>
              <w:spacing w:line="360" w:lineRule="auto"/>
              <w:jc w:val="left"/>
              <w:rPr>
                <w:color w:val="auto"/>
                <w:sz w:val="24"/>
                <w:szCs w:val="24"/>
                <w:highlight w:val="none"/>
              </w:rPr>
            </w:pPr>
            <w:r>
              <w:rPr>
                <w:rFonts w:hint="eastAsia"/>
                <w:color w:val="auto"/>
                <w:sz w:val="24"/>
                <w:highlight w:val="none"/>
              </w:rPr>
              <w:t>偏离</w:t>
            </w:r>
            <w:r>
              <w:rPr>
                <w:color w:val="auto"/>
                <w:sz w:val="24"/>
                <w:highlight w:val="none"/>
              </w:rPr>
              <w:t>处理</w:t>
            </w:r>
            <w:r>
              <w:rPr>
                <w:rFonts w:hint="eastAsia"/>
                <w:color w:val="auto"/>
                <w:sz w:val="24"/>
                <w:highlight w:val="none"/>
              </w:rPr>
              <w:t>。</w:t>
            </w:r>
          </w:p>
          <w:p w14:paraId="25666759">
            <w:pPr>
              <w:spacing w:line="360" w:lineRule="auto"/>
              <w:jc w:val="left"/>
              <w:rPr>
                <w:color w:val="auto"/>
                <w:sz w:val="24"/>
                <w:szCs w:val="24"/>
                <w:highlight w:val="none"/>
              </w:rPr>
            </w:pPr>
            <w:r>
              <w:rPr>
                <w:color w:val="auto"/>
                <w:sz w:val="24"/>
                <w:highlight w:val="none"/>
              </w:rPr>
              <w:t>2</w:t>
            </w:r>
            <w:r>
              <w:rPr>
                <w:rFonts w:hint="eastAsia"/>
                <w:color w:val="auto"/>
                <w:sz w:val="24"/>
                <w:highlight w:val="none"/>
              </w:rPr>
              <w:t>.“技术需求”中标▲指标，需提供技术证明材料，证明材料包括但不限于公开发行的产品彩页或产品说明书或第三方检测机构出具的检测报告或设备照片或加盖制造商公章的产品说明等，如“技术需求”中有明确要求技术证明材料形式的，以具体要求为准，技术证明材料需在</w:t>
            </w:r>
            <w:r>
              <w:rPr>
                <w:color w:val="auto"/>
                <w:sz w:val="24"/>
                <w:highlight w:val="none"/>
              </w:rPr>
              <w:t>《技术需求响应及偏离表》中清楚标注每</w:t>
            </w:r>
          </w:p>
          <w:p w14:paraId="3D290F59">
            <w:pPr>
              <w:spacing w:line="360" w:lineRule="auto"/>
              <w:jc w:val="left"/>
              <w:rPr>
                <w:color w:val="auto"/>
                <w:sz w:val="24"/>
                <w:szCs w:val="24"/>
                <w:highlight w:val="none"/>
              </w:rPr>
            </w:pPr>
            <w:r>
              <w:rPr>
                <w:color w:val="auto"/>
                <w:sz w:val="24"/>
                <w:highlight w:val="none"/>
              </w:rPr>
              <w:t>一证明材料对应项</w:t>
            </w:r>
            <w:r>
              <w:rPr>
                <w:rFonts w:hint="eastAsia"/>
                <w:color w:val="auto"/>
                <w:sz w:val="24"/>
                <w:highlight w:val="none"/>
              </w:rPr>
              <w:t>的具体</w:t>
            </w:r>
            <w:r>
              <w:rPr>
                <w:color w:val="auto"/>
                <w:sz w:val="24"/>
                <w:highlight w:val="none"/>
              </w:rPr>
              <w:t>页码，</w:t>
            </w:r>
            <w:r>
              <w:rPr>
                <w:rFonts w:hint="eastAsia"/>
                <w:color w:val="auto"/>
                <w:sz w:val="24"/>
                <w:highlight w:val="none"/>
              </w:rPr>
              <w:t>未提供或提供的不符合要求的，自行承担被视为负偏离的风险。</w:t>
            </w:r>
          </w:p>
          <w:p w14:paraId="2752C674">
            <w:pPr>
              <w:spacing w:line="360" w:lineRule="auto"/>
              <w:jc w:val="left"/>
              <w:rPr>
                <w:color w:val="auto"/>
                <w:sz w:val="24"/>
                <w:highlight w:val="none"/>
              </w:rPr>
            </w:pPr>
            <w:r>
              <w:rPr>
                <w:rFonts w:hint="eastAsia"/>
                <w:color w:val="auto"/>
                <w:sz w:val="24"/>
                <w:highlight w:val="none"/>
              </w:rPr>
              <w:t>3.投标人如虚假相应或提供虚假证明材料，一经发现</w:t>
            </w:r>
          </w:p>
          <w:p w14:paraId="03A9380B">
            <w:pPr>
              <w:spacing w:line="360" w:lineRule="auto"/>
              <w:jc w:val="left"/>
              <w:rPr>
                <w:color w:val="auto"/>
                <w:sz w:val="24"/>
                <w:highlight w:val="none"/>
              </w:rPr>
            </w:pPr>
            <w:r>
              <w:rPr>
                <w:rFonts w:hint="eastAsia"/>
                <w:color w:val="auto"/>
                <w:sz w:val="24"/>
                <w:highlight w:val="none"/>
              </w:rPr>
              <w:t>将取消中标资格，并上报财政主管部门。</w:t>
            </w:r>
            <w:bookmarkEnd w:id="210"/>
          </w:p>
        </w:tc>
      </w:tr>
      <w:tr w14:paraId="644AC2CD">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52F3440E">
            <w:pPr>
              <w:spacing w:line="360" w:lineRule="auto"/>
              <w:jc w:val="center"/>
              <w:rPr>
                <w:color w:val="auto"/>
                <w:sz w:val="24"/>
                <w:highlight w:val="none"/>
              </w:rPr>
            </w:pPr>
            <w:r>
              <w:rPr>
                <w:rFonts w:hint="eastAsia"/>
                <w:color w:val="auto"/>
                <w:sz w:val="24"/>
                <w:highlight w:val="none"/>
              </w:rPr>
              <w:t>3</w:t>
            </w:r>
          </w:p>
        </w:tc>
        <w:tc>
          <w:tcPr>
            <w:tcW w:w="77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E877B4">
            <w:pPr>
              <w:spacing w:line="360" w:lineRule="auto"/>
              <w:jc w:val="center"/>
              <w:rPr>
                <w:color w:val="auto"/>
                <w:sz w:val="24"/>
                <w:highlight w:val="none"/>
              </w:rPr>
            </w:pPr>
            <w:r>
              <w:rPr>
                <w:rFonts w:hint="eastAsia"/>
                <w:color w:val="auto"/>
                <w:sz w:val="24"/>
                <w:highlight w:val="none"/>
              </w:rPr>
              <w:t>质保期</w:t>
            </w:r>
          </w:p>
        </w:tc>
        <w:tc>
          <w:tcPr>
            <w:tcW w:w="486" w:type="pct"/>
            <w:tcBorders>
              <w:top w:val="single" w:color="auto" w:sz="4" w:space="0"/>
              <w:left w:val="single" w:color="auto" w:sz="4" w:space="0"/>
              <w:bottom w:val="single" w:color="auto" w:sz="4" w:space="0"/>
              <w:right w:val="single" w:color="auto" w:sz="4" w:space="0"/>
            </w:tcBorders>
            <w:noWrap w:val="0"/>
            <w:vAlign w:val="center"/>
          </w:tcPr>
          <w:p w14:paraId="765B81BE">
            <w:pPr>
              <w:spacing w:line="360" w:lineRule="auto"/>
              <w:jc w:val="center"/>
              <w:rPr>
                <w:color w:val="auto"/>
                <w:sz w:val="24"/>
                <w:highlight w:val="none"/>
              </w:rPr>
            </w:pPr>
            <w:r>
              <w:rPr>
                <w:rFonts w:hint="eastAsia" w:eastAsia="宋体"/>
                <w:color w:val="auto"/>
                <w:sz w:val="24"/>
                <w:highlight w:val="none"/>
                <w:lang w:val="en-US" w:eastAsia="zh-CN"/>
              </w:rPr>
              <w:t>6</w:t>
            </w:r>
            <w:r>
              <w:rPr>
                <w:rFonts w:hint="eastAsia"/>
                <w:color w:val="auto"/>
                <w:sz w:val="24"/>
                <w:highlight w:val="none"/>
              </w:rPr>
              <w:t>分</w:t>
            </w:r>
          </w:p>
        </w:tc>
        <w:tc>
          <w:tcPr>
            <w:tcW w:w="331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18AF5C">
            <w:pPr>
              <w:spacing w:line="360" w:lineRule="auto"/>
              <w:jc w:val="left"/>
              <w:rPr>
                <w:color w:val="auto"/>
                <w:sz w:val="24"/>
                <w:highlight w:val="none"/>
              </w:rPr>
            </w:pPr>
            <w:r>
              <w:rPr>
                <w:rFonts w:hint="eastAsia"/>
                <w:color w:val="auto"/>
                <w:sz w:val="24"/>
                <w:highlight w:val="none"/>
              </w:rPr>
              <w:t>采购清单中的设备，在满足基本质保期（整机免费保修</w:t>
            </w:r>
            <w:r>
              <w:rPr>
                <w:rFonts w:hint="eastAsia" w:eastAsia="宋体"/>
                <w:color w:val="auto"/>
                <w:sz w:val="24"/>
                <w:highlight w:val="none"/>
                <w:lang w:val="en-US" w:eastAsia="zh-CN"/>
              </w:rPr>
              <w:t>3</w:t>
            </w:r>
            <w:r>
              <w:rPr>
                <w:rFonts w:hint="eastAsia"/>
                <w:color w:val="auto"/>
                <w:sz w:val="24"/>
                <w:highlight w:val="none"/>
              </w:rPr>
              <w:t>年）的基础上，全部多增加一年的得</w:t>
            </w:r>
            <w:r>
              <w:rPr>
                <w:rFonts w:hint="eastAsia" w:eastAsia="宋体"/>
                <w:color w:val="auto"/>
                <w:sz w:val="24"/>
                <w:highlight w:val="none"/>
                <w:lang w:val="en-US" w:eastAsia="zh-CN"/>
              </w:rPr>
              <w:t>3</w:t>
            </w:r>
            <w:r>
              <w:rPr>
                <w:rFonts w:hint="eastAsia"/>
                <w:color w:val="auto"/>
                <w:sz w:val="24"/>
                <w:highlight w:val="none"/>
              </w:rPr>
              <w:t>分，最多得</w:t>
            </w:r>
            <w:r>
              <w:rPr>
                <w:rFonts w:hint="eastAsia" w:eastAsia="宋体"/>
                <w:color w:val="auto"/>
                <w:sz w:val="24"/>
                <w:highlight w:val="none"/>
                <w:lang w:val="en-US" w:eastAsia="zh-CN"/>
              </w:rPr>
              <w:t>6</w:t>
            </w:r>
            <w:r>
              <w:rPr>
                <w:rFonts w:hint="eastAsia"/>
                <w:color w:val="auto"/>
                <w:sz w:val="24"/>
                <w:highlight w:val="none"/>
              </w:rPr>
              <w:t>分。</w:t>
            </w:r>
          </w:p>
        </w:tc>
      </w:tr>
      <w:tr w14:paraId="38EC9B21">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008ACAA5">
            <w:pPr>
              <w:spacing w:line="360" w:lineRule="auto"/>
              <w:jc w:val="center"/>
              <w:rPr>
                <w:rFonts w:hint="eastAsia" w:eastAsia="宋体"/>
                <w:color w:val="auto"/>
                <w:sz w:val="24"/>
                <w:highlight w:val="none"/>
                <w:lang w:eastAsia="zh-CN"/>
              </w:rPr>
            </w:pPr>
            <w:bookmarkStart w:id="212" w:name="_Hlk205286650"/>
            <w:r>
              <w:rPr>
                <w:rFonts w:hint="eastAsia" w:eastAsia="宋体"/>
                <w:color w:val="auto"/>
                <w:sz w:val="24"/>
                <w:highlight w:val="none"/>
                <w:lang w:val="en-US" w:eastAsia="zh-CN"/>
              </w:rPr>
              <w:t>4</w:t>
            </w:r>
          </w:p>
        </w:tc>
        <w:tc>
          <w:tcPr>
            <w:tcW w:w="77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33F79A2">
            <w:pPr>
              <w:spacing w:line="360" w:lineRule="auto"/>
              <w:jc w:val="center"/>
              <w:rPr>
                <w:color w:val="auto"/>
                <w:sz w:val="24"/>
                <w:highlight w:val="none"/>
              </w:rPr>
            </w:pPr>
            <w:r>
              <w:rPr>
                <w:rFonts w:hint="eastAsia"/>
                <w:color w:val="auto"/>
                <w:sz w:val="24"/>
                <w:highlight w:val="none"/>
              </w:rPr>
              <w:t>项目实施方案</w:t>
            </w:r>
          </w:p>
        </w:tc>
        <w:tc>
          <w:tcPr>
            <w:tcW w:w="486" w:type="pct"/>
            <w:tcBorders>
              <w:top w:val="single" w:color="auto" w:sz="4" w:space="0"/>
              <w:left w:val="single" w:color="auto" w:sz="4" w:space="0"/>
              <w:bottom w:val="single" w:color="auto" w:sz="4" w:space="0"/>
              <w:right w:val="single" w:color="auto" w:sz="4" w:space="0"/>
            </w:tcBorders>
            <w:noWrap w:val="0"/>
            <w:vAlign w:val="center"/>
          </w:tcPr>
          <w:p w14:paraId="0C1A11CB">
            <w:pPr>
              <w:spacing w:line="360" w:lineRule="auto"/>
              <w:jc w:val="center"/>
              <w:rPr>
                <w:color w:val="auto"/>
                <w:sz w:val="24"/>
                <w:highlight w:val="none"/>
              </w:rPr>
            </w:pPr>
            <w:r>
              <w:rPr>
                <w:rFonts w:hint="eastAsia" w:eastAsia="宋体"/>
                <w:color w:val="auto"/>
                <w:sz w:val="24"/>
                <w:highlight w:val="none"/>
                <w:lang w:val="en-US" w:eastAsia="zh-CN"/>
              </w:rPr>
              <w:t>7</w:t>
            </w:r>
            <w:r>
              <w:rPr>
                <w:color w:val="auto"/>
                <w:sz w:val="24"/>
                <w:highlight w:val="none"/>
              </w:rPr>
              <w:t>分</w:t>
            </w:r>
          </w:p>
        </w:tc>
        <w:tc>
          <w:tcPr>
            <w:tcW w:w="331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229550">
            <w:pPr>
              <w:spacing w:line="360" w:lineRule="auto"/>
              <w:rPr>
                <w:rFonts w:hint="eastAsia"/>
                <w:color w:val="auto"/>
                <w:sz w:val="24"/>
                <w:highlight w:val="none"/>
              </w:rPr>
            </w:pPr>
            <w:r>
              <w:rPr>
                <w:rFonts w:hint="eastAsia"/>
                <w:color w:val="auto"/>
                <w:sz w:val="24"/>
                <w:highlight w:val="none"/>
              </w:rPr>
              <w:t>供应商根据项目具体的实施情况制定整体实施方案、安装方案、进度安排、设备使用维护方案：</w:t>
            </w:r>
          </w:p>
          <w:p w14:paraId="7AB37862">
            <w:pPr>
              <w:spacing w:line="360" w:lineRule="auto"/>
              <w:rPr>
                <w:rFonts w:hint="eastAsia"/>
                <w:color w:val="auto"/>
                <w:sz w:val="24"/>
                <w:highlight w:val="none"/>
              </w:rPr>
            </w:pPr>
            <w:r>
              <w:rPr>
                <w:rFonts w:hint="eastAsia"/>
                <w:color w:val="auto"/>
                <w:sz w:val="24"/>
                <w:highlight w:val="none"/>
              </w:rPr>
              <w:t>方案完整全面，具有明确的交货时间，方案全面，可实施性强，设备交付安装安排合理，时间进度安排合理，优于采购需求，可执行性高得</w:t>
            </w:r>
            <w:r>
              <w:rPr>
                <w:rFonts w:hint="eastAsia" w:eastAsia="宋体"/>
                <w:color w:val="auto"/>
                <w:sz w:val="24"/>
                <w:highlight w:val="none"/>
                <w:lang w:val="en-US" w:eastAsia="zh-CN"/>
              </w:rPr>
              <w:t>7</w:t>
            </w:r>
            <w:r>
              <w:rPr>
                <w:rFonts w:hint="eastAsia"/>
                <w:color w:val="auto"/>
                <w:sz w:val="24"/>
                <w:highlight w:val="none"/>
              </w:rPr>
              <w:t>分；</w:t>
            </w:r>
          </w:p>
          <w:p w14:paraId="6229383F">
            <w:pPr>
              <w:spacing w:line="360" w:lineRule="auto"/>
              <w:rPr>
                <w:rFonts w:hint="eastAsia"/>
                <w:color w:val="auto"/>
                <w:sz w:val="24"/>
                <w:highlight w:val="none"/>
              </w:rPr>
            </w:pPr>
            <w:r>
              <w:rPr>
                <w:rFonts w:hint="eastAsia"/>
                <w:color w:val="auto"/>
                <w:sz w:val="24"/>
                <w:highlight w:val="none"/>
              </w:rPr>
              <w:t>方案较完整，可实施性较强，设备交付安装安排较合理，时间进度安排较合理，符合采购需求，可执行性较高得3分；</w:t>
            </w:r>
          </w:p>
          <w:p w14:paraId="2EB64F6E">
            <w:pPr>
              <w:spacing w:line="360" w:lineRule="auto"/>
              <w:rPr>
                <w:rFonts w:hint="eastAsia"/>
                <w:color w:val="auto"/>
                <w:sz w:val="24"/>
                <w:highlight w:val="none"/>
              </w:rPr>
            </w:pPr>
            <w:r>
              <w:rPr>
                <w:rFonts w:hint="eastAsia"/>
                <w:color w:val="auto"/>
                <w:sz w:val="24"/>
                <w:highlight w:val="none"/>
              </w:rPr>
              <w:t>方案简单，可执行性一般，时间安排较长，安装安排简单，基本符合采购需求得1分；</w:t>
            </w:r>
          </w:p>
          <w:p w14:paraId="3854370C">
            <w:pPr>
              <w:spacing w:line="360" w:lineRule="auto"/>
              <w:rPr>
                <w:color w:val="auto"/>
                <w:sz w:val="24"/>
                <w:highlight w:val="none"/>
              </w:rPr>
            </w:pPr>
            <w:r>
              <w:rPr>
                <w:rFonts w:hint="eastAsia"/>
                <w:color w:val="auto"/>
                <w:sz w:val="24"/>
                <w:highlight w:val="none"/>
              </w:rPr>
              <w:t>其余或不提供不得分。</w:t>
            </w:r>
          </w:p>
        </w:tc>
      </w:tr>
      <w:bookmarkEnd w:id="212"/>
      <w:tr w14:paraId="6C96340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79F89B99">
            <w:pPr>
              <w:spacing w:line="360" w:lineRule="auto"/>
              <w:jc w:val="center"/>
              <w:rPr>
                <w:rFonts w:hint="eastAsia" w:eastAsia="宋体"/>
                <w:color w:val="auto"/>
                <w:sz w:val="24"/>
                <w:highlight w:val="none"/>
                <w:lang w:eastAsia="zh-CN"/>
              </w:rPr>
            </w:pPr>
            <w:bookmarkStart w:id="213" w:name="_Hlk205286654"/>
            <w:r>
              <w:rPr>
                <w:rFonts w:hint="eastAsia" w:eastAsia="宋体"/>
                <w:color w:val="auto"/>
                <w:sz w:val="24"/>
                <w:highlight w:val="none"/>
                <w:lang w:val="en-US" w:eastAsia="zh-CN"/>
              </w:rPr>
              <w:t>5</w:t>
            </w:r>
          </w:p>
        </w:tc>
        <w:tc>
          <w:tcPr>
            <w:tcW w:w="77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2C9305">
            <w:pPr>
              <w:spacing w:line="360" w:lineRule="auto"/>
              <w:jc w:val="center"/>
              <w:rPr>
                <w:color w:val="auto"/>
                <w:sz w:val="24"/>
                <w:highlight w:val="none"/>
              </w:rPr>
            </w:pPr>
            <w:r>
              <w:rPr>
                <w:rFonts w:hint="eastAsia"/>
                <w:color w:val="auto"/>
                <w:sz w:val="24"/>
                <w:highlight w:val="none"/>
              </w:rPr>
              <w:t>售后服务方案</w:t>
            </w:r>
          </w:p>
        </w:tc>
        <w:tc>
          <w:tcPr>
            <w:tcW w:w="486" w:type="pct"/>
            <w:tcBorders>
              <w:top w:val="single" w:color="auto" w:sz="4" w:space="0"/>
              <w:left w:val="single" w:color="auto" w:sz="4" w:space="0"/>
              <w:bottom w:val="single" w:color="auto" w:sz="4" w:space="0"/>
              <w:right w:val="single" w:color="auto" w:sz="4" w:space="0"/>
            </w:tcBorders>
            <w:noWrap w:val="0"/>
            <w:vAlign w:val="center"/>
          </w:tcPr>
          <w:p w14:paraId="76B55C85">
            <w:pPr>
              <w:spacing w:line="360" w:lineRule="auto"/>
              <w:jc w:val="center"/>
              <w:rPr>
                <w:color w:val="auto"/>
                <w:sz w:val="24"/>
                <w:highlight w:val="none"/>
              </w:rPr>
            </w:pPr>
            <w:r>
              <w:rPr>
                <w:rFonts w:hint="eastAsia" w:eastAsia="宋体"/>
                <w:color w:val="auto"/>
                <w:sz w:val="24"/>
                <w:highlight w:val="none"/>
                <w:lang w:val="en-US" w:eastAsia="zh-CN"/>
              </w:rPr>
              <w:t>7</w:t>
            </w:r>
            <w:r>
              <w:rPr>
                <w:rFonts w:hint="eastAsia"/>
                <w:color w:val="auto"/>
                <w:sz w:val="24"/>
                <w:highlight w:val="none"/>
              </w:rPr>
              <w:t>分</w:t>
            </w:r>
          </w:p>
        </w:tc>
        <w:tc>
          <w:tcPr>
            <w:tcW w:w="331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8CC0C6">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供应商根据项目需求提供售后服务方案，方案包括但不限于售后人员、响应时间、售后措施、提供备品备件的期限</w:t>
            </w:r>
            <w:r>
              <w:rPr>
                <w:rFonts w:hint="eastAsia" w:ascii="宋体" w:hAnsi="宋体" w:eastAsia="宋体"/>
                <w:color w:val="auto"/>
                <w:sz w:val="24"/>
                <w:szCs w:val="24"/>
                <w:highlight w:val="none"/>
                <w:lang w:eastAsia="zh-CN"/>
              </w:rPr>
              <w:t>：</w:t>
            </w:r>
          </w:p>
          <w:p w14:paraId="352D288A">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方案合理全面且详细，响应时间迅速，服务人员齐备，技术人员专业素养高且有经验，售后措施完善有效，优于采购需求得</w:t>
            </w:r>
            <w:r>
              <w:rPr>
                <w:rFonts w:hint="eastAsia" w:ascii="宋体" w:hAnsi="宋体" w:eastAsia="宋体"/>
                <w:color w:val="auto"/>
                <w:sz w:val="24"/>
                <w:szCs w:val="24"/>
                <w:highlight w:val="none"/>
                <w:lang w:val="en-US" w:eastAsia="zh-CN"/>
              </w:rPr>
              <w:t>7</w:t>
            </w:r>
            <w:r>
              <w:rPr>
                <w:rFonts w:hint="eastAsia" w:ascii="宋体" w:hAnsi="宋体"/>
                <w:color w:val="auto"/>
                <w:sz w:val="24"/>
                <w:szCs w:val="24"/>
                <w:highlight w:val="none"/>
              </w:rPr>
              <w:t>分；</w:t>
            </w:r>
          </w:p>
          <w:p w14:paraId="13B3C915">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方案较合理，响应时间较迅速，服务人员较齐全，管理力量比较雄厚，技术人员专业素养较高且有一定经验，售后措施比较丰富，符合采购需求得3分；</w:t>
            </w:r>
          </w:p>
          <w:p w14:paraId="05C89EB0">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方案简单，响应时间速度较慢，服务人员较少，专业素养较低或没有经验，售后措施较少得1分；</w:t>
            </w:r>
          </w:p>
          <w:p w14:paraId="2F53FDAC">
            <w:pPr>
              <w:spacing w:line="360" w:lineRule="auto"/>
              <w:rPr>
                <w:color w:val="auto"/>
                <w:sz w:val="24"/>
                <w:highlight w:val="none"/>
              </w:rPr>
            </w:pPr>
            <w:r>
              <w:rPr>
                <w:rFonts w:hint="eastAsia" w:ascii="宋体" w:hAnsi="宋体"/>
                <w:color w:val="auto"/>
                <w:sz w:val="24"/>
                <w:szCs w:val="24"/>
                <w:highlight w:val="none"/>
              </w:rPr>
              <w:t>其余或不提供不得分。</w:t>
            </w:r>
          </w:p>
        </w:tc>
      </w:tr>
      <w:bookmarkEnd w:id="213"/>
      <w:tr w14:paraId="04C320C4">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52FF409">
            <w:pPr>
              <w:spacing w:line="360" w:lineRule="auto"/>
              <w:jc w:val="center"/>
              <w:rPr>
                <w:rFonts w:hint="eastAsia" w:eastAsia="宋体"/>
                <w:color w:val="auto"/>
                <w:sz w:val="24"/>
                <w:highlight w:val="none"/>
                <w:lang w:eastAsia="zh-CN"/>
              </w:rPr>
            </w:pPr>
            <w:bookmarkStart w:id="214" w:name="_Hlk205286658"/>
            <w:r>
              <w:rPr>
                <w:rFonts w:hint="eastAsia" w:eastAsia="宋体"/>
                <w:color w:val="auto"/>
                <w:sz w:val="24"/>
                <w:highlight w:val="none"/>
                <w:lang w:val="en-US" w:eastAsia="zh-CN"/>
              </w:rPr>
              <w:t>6</w:t>
            </w:r>
          </w:p>
        </w:tc>
        <w:tc>
          <w:tcPr>
            <w:tcW w:w="77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188A9E">
            <w:pPr>
              <w:spacing w:line="360" w:lineRule="auto"/>
              <w:jc w:val="center"/>
              <w:rPr>
                <w:color w:val="auto"/>
                <w:sz w:val="24"/>
                <w:highlight w:val="none"/>
              </w:rPr>
            </w:pPr>
            <w:r>
              <w:rPr>
                <w:color w:val="auto"/>
                <w:sz w:val="24"/>
                <w:highlight w:val="none"/>
              </w:rPr>
              <w:t>人员培训方案</w:t>
            </w:r>
          </w:p>
        </w:tc>
        <w:tc>
          <w:tcPr>
            <w:tcW w:w="486" w:type="pct"/>
            <w:tcBorders>
              <w:top w:val="single" w:color="auto" w:sz="4" w:space="0"/>
              <w:left w:val="single" w:color="auto" w:sz="4" w:space="0"/>
              <w:bottom w:val="single" w:color="auto" w:sz="4" w:space="0"/>
              <w:right w:val="single" w:color="auto" w:sz="4" w:space="0"/>
            </w:tcBorders>
            <w:noWrap w:val="0"/>
            <w:vAlign w:val="center"/>
          </w:tcPr>
          <w:p w14:paraId="008E5544">
            <w:pPr>
              <w:spacing w:line="360" w:lineRule="auto"/>
              <w:jc w:val="center"/>
              <w:rPr>
                <w:color w:val="auto"/>
                <w:sz w:val="24"/>
                <w:highlight w:val="none"/>
              </w:rPr>
            </w:pPr>
            <w:r>
              <w:rPr>
                <w:rFonts w:hint="eastAsia" w:eastAsia="宋体"/>
                <w:color w:val="auto"/>
                <w:sz w:val="24"/>
                <w:highlight w:val="none"/>
                <w:lang w:val="en-US" w:eastAsia="zh-CN"/>
              </w:rPr>
              <w:t>7</w:t>
            </w:r>
            <w:r>
              <w:rPr>
                <w:color w:val="auto"/>
                <w:sz w:val="24"/>
                <w:highlight w:val="none"/>
              </w:rPr>
              <w:t>分</w:t>
            </w:r>
          </w:p>
        </w:tc>
        <w:tc>
          <w:tcPr>
            <w:tcW w:w="331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D80F25">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供应商根据该项目需求提供培训服务方案、技术支持方案、培训师资、培训场次等，方案包括但不限于人员的操作培训和售后培训以及采购人所需的技术和学术支持及其他供应商可提供的服务：</w:t>
            </w:r>
          </w:p>
          <w:p w14:paraId="59AB0F6A">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培训承诺完善、具体合理、服务时间长、有明确的、具体可行的培训方案和措施，完全保证使用单位能熟练操作、维护和正常使用、具有技术和学术支持的能力并且有明确、合理、可行的支持方案的得</w:t>
            </w:r>
            <w:r>
              <w:rPr>
                <w:rFonts w:hint="eastAsia" w:ascii="宋体" w:hAnsi="宋体" w:eastAsia="宋体"/>
                <w:color w:val="auto"/>
                <w:sz w:val="24"/>
                <w:szCs w:val="24"/>
                <w:highlight w:val="none"/>
                <w:lang w:val="en-US" w:eastAsia="zh-CN"/>
              </w:rPr>
              <w:t>7</w:t>
            </w:r>
            <w:r>
              <w:rPr>
                <w:rFonts w:hint="eastAsia" w:ascii="宋体" w:hAnsi="宋体"/>
                <w:color w:val="auto"/>
                <w:sz w:val="24"/>
                <w:szCs w:val="24"/>
                <w:highlight w:val="none"/>
              </w:rPr>
              <w:t>分；</w:t>
            </w:r>
          </w:p>
          <w:p w14:paraId="31A2B190">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承诺较完善、比较具体合理、服务时间较长、有较明确的、比较具体可行的培训方案和措施，可以保证使用单位能操作、维护和使用、具有较好的技术和学术支持能力并且有较明确、较合理、较可行的支持方案的得3分；</w:t>
            </w:r>
          </w:p>
          <w:p w14:paraId="0BED122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承诺不太完善、不太合理、服务时间较短、有较少的培训方案和措施，有较少的支持方案，基本能保证使用单位能操作、维护和使用得1分；</w:t>
            </w:r>
          </w:p>
          <w:p w14:paraId="637EEFAE">
            <w:pPr>
              <w:spacing w:line="360" w:lineRule="auto"/>
              <w:rPr>
                <w:color w:val="auto"/>
                <w:sz w:val="24"/>
                <w:highlight w:val="none"/>
              </w:rPr>
            </w:pPr>
            <w:r>
              <w:rPr>
                <w:rFonts w:hint="eastAsia" w:ascii="宋体" w:hAnsi="宋体"/>
                <w:color w:val="auto"/>
                <w:sz w:val="24"/>
                <w:szCs w:val="24"/>
                <w:highlight w:val="none"/>
              </w:rPr>
              <w:t>其余或不提供不得分。</w:t>
            </w:r>
          </w:p>
        </w:tc>
      </w:tr>
      <w:bookmarkEnd w:id="206"/>
      <w:bookmarkEnd w:id="214"/>
    </w:tbl>
    <w:p w14:paraId="7A95C395">
      <w:pPr>
        <w:ind w:firstLine="2891"/>
        <w:jc w:val="left"/>
        <w:rPr>
          <w:rFonts w:hint="eastAsia" w:ascii="宋体" w:hAnsi="宋体" w:eastAsia="宋体" w:cs="宋体"/>
          <w:color w:val="auto"/>
          <w:sz w:val="24"/>
          <w:highlight w:val="none"/>
        </w:rPr>
      </w:pPr>
      <w:bookmarkStart w:id="215" w:name="_Hlk208583925"/>
      <w:bookmarkEnd w:id="215"/>
      <w:r>
        <w:rPr>
          <w:rFonts w:hint="eastAsia" w:ascii="宋体" w:hAnsi="宋体" w:eastAsia="宋体" w:cs="宋体"/>
          <w:color w:val="auto"/>
          <w:sz w:val="24"/>
          <w:highlight w:val="none"/>
        </w:rPr>
        <w:br w:type="page" w:clear="all"/>
      </w:r>
    </w:p>
    <w:p w14:paraId="048DAA25">
      <w:pPr>
        <w:pStyle w:val="2"/>
        <w:bidi w:val="0"/>
        <w:jc w:val="center"/>
        <w:rPr>
          <w:rFonts w:hint="eastAsia"/>
          <w:color w:val="auto"/>
          <w:highlight w:val="none"/>
        </w:rPr>
      </w:pPr>
      <w:bookmarkStart w:id="216" w:name="_Toc3630"/>
      <w:r>
        <w:rPr>
          <w:rFonts w:hint="eastAsia"/>
          <w:color w:val="auto"/>
          <w:highlight w:val="none"/>
        </w:rPr>
        <w:t>第六章</w:t>
      </w:r>
      <w:r>
        <w:rPr>
          <w:rFonts w:hint="eastAsia" w:eastAsia="宋体"/>
          <w:color w:val="auto"/>
          <w:highlight w:val="none"/>
          <w:lang w:val="en-US" w:eastAsia="zh-CN"/>
        </w:rPr>
        <w:t xml:space="preserve"> </w:t>
      </w:r>
      <w:r>
        <w:rPr>
          <w:rFonts w:hint="eastAsia"/>
          <w:color w:val="auto"/>
          <w:highlight w:val="none"/>
        </w:rPr>
        <w:t>投标文件格式</w:t>
      </w:r>
      <w:bookmarkEnd w:id="216"/>
    </w:p>
    <w:p w14:paraId="3D546A03">
      <w:pPr>
        <w:pStyle w:val="32"/>
        <w:keepNext/>
        <w:spacing w:beforeAutospacing="0" w:afterAutospacing="0"/>
        <w:ind w:firstLine="2891"/>
        <w:rPr>
          <w:color w:val="auto"/>
          <w:highlight w:val="none"/>
        </w:rPr>
      </w:pPr>
    </w:p>
    <w:p w14:paraId="060F0E61">
      <w:pPr>
        <w:pStyle w:val="32"/>
        <w:spacing w:beforeAutospacing="0" w:afterAutospacing="0"/>
        <w:ind w:firstLine="1446"/>
        <w:rPr>
          <w:color w:val="auto"/>
          <w:highlight w:val="none"/>
        </w:rPr>
      </w:pPr>
      <w:bookmarkStart w:id="217" w:name="_Toc49090576"/>
      <w:bookmarkEnd w:id="217"/>
      <w:bookmarkStart w:id="218" w:name="_Toc120614282"/>
      <w:bookmarkEnd w:id="218"/>
      <w:bookmarkStart w:id="219" w:name="_Hlt26671244"/>
      <w:bookmarkStart w:id="220" w:name="_Toc26554094"/>
      <w:bookmarkStart w:id="221" w:name="_Hlt26955039"/>
      <w:r>
        <w:rPr>
          <w:rFonts w:hint="eastAsia" w:ascii="宋体" w:hAnsi="宋体" w:eastAsia="宋体" w:cs="宋体"/>
          <w:b/>
          <w:color w:val="auto"/>
          <w:sz w:val="72"/>
          <w:szCs w:val="72"/>
          <w:highlight w:val="none"/>
        </w:rPr>
        <w:t>投  标  文  件</w:t>
      </w:r>
    </w:p>
    <w:p w14:paraId="56F88DDE">
      <w:pPr>
        <w:pStyle w:val="32"/>
        <w:spacing w:beforeAutospacing="0" w:afterAutospacing="0"/>
        <w:ind w:firstLine="2891"/>
        <w:rPr>
          <w:color w:val="auto"/>
          <w:highlight w:val="none"/>
        </w:rPr>
      </w:pPr>
      <w:r>
        <w:rPr>
          <w:color w:val="auto"/>
          <w:highlight w:val="none"/>
        </w:rPr>
        <w:t> </w:t>
      </w:r>
    </w:p>
    <w:p w14:paraId="1558C2BA">
      <w:pPr>
        <w:pStyle w:val="32"/>
        <w:spacing w:beforeAutospacing="0" w:afterAutospacing="0"/>
        <w:ind w:firstLine="2891"/>
        <w:rPr>
          <w:color w:val="auto"/>
          <w:highlight w:val="none"/>
        </w:rPr>
      </w:pPr>
      <w:r>
        <w:rPr>
          <w:color w:val="auto"/>
          <w:highlight w:val="none"/>
        </w:rPr>
        <w:t> </w:t>
      </w:r>
    </w:p>
    <w:p w14:paraId="0192F913">
      <w:pPr>
        <w:pStyle w:val="32"/>
        <w:spacing w:beforeAutospacing="0" w:afterAutospacing="0"/>
        <w:ind w:firstLine="2891"/>
        <w:rPr>
          <w:color w:val="auto"/>
          <w:highlight w:val="none"/>
        </w:rPr>
      </w:pPr>
      <w:r>
        <w:rPr>
          <w:color w:val="auto"/>
          <w:highlight w:val="none"/>
        </w:rPr>
        <w:t> </w:t>
      </w:r>
    </w:p>
    <w:p w14:paraId="4BE8DA72">
      <w:pPr>
        <w:pStyle w:val="32"/>
        <w:spacing w:beforeAutospacing="0" w:afterAutospacing="0"/>
        <w:ind w:firstLine="2891"/>
        <w:rPr>
          <w:color w:val="auto"/>
          <w:highlight w:val="none"/>
        </w:rPr>
      </w:pPr>
      <w:r>
        <w:rPr>
          <w:color w:val="auto"/>
          <w:highlight w:val="none"/>
        </w:rPr>
        <w:t> </w:t>
      </w:r>
    </w:p>
    <w:p w14:paraId="6BDC5965">
      <w:pPr>
        <w:pStyle w:val="32"/>
        <w:spacing w:beforeAutospacing="0" w:afterAutospacing="0"/>
        <w:ind w:firstLine="2891"/>
        <w:rPr>
          <w:color w:val="auto"/>
          <w:highlight w:val="none"/>
        </w:rPr>
      </w:pPr>
      <w:r>
        <w:rPr>
          <w:color w:val="auto"/>
          <w:highlight w:val="none"/>
        </w:rPr>
        <w:t> </w:t>
      </w:r>
    </w:p>
    <w:p w14:paraId="53FA6AC5">
      <w:pPr>
        <w:pStyle w:val="32"/>
        <w:spacing w:beforeAutospacing="0" w:afterAutospacing="0"/>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26D6E9FA">
      <w:pPr>
        <w:pStyle w:val="32"/>
        <w:spacing w:beforeAutospacing="0" w:afterAutospacing="0"/>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2CD98FE9">
      <w:pPr>
        <w:pStyle w:val="32"/>
        <w:spacing w:beforeAutospacing="0" w:afterAutospacing="0"/>
        <w:rPr>
          <w:color w:val="auto"/>
          <w:highlight w:val="none"/>
        </w:rPr>
      </w:pPr>
      <w:r>
        <w:rPr>
          <w:rFonts w:hint="eastAsia" w:ascii="宋体" w:hAnsi="宋体" w:eastAsia="宋体" w:cs="宋体"/>
          <w:b/>
          <w:color w:val="auto"/>
          <w:sz w:val="36"/>
          <w:szCs w:val="36"/>
          <w:highlight w:val="none"/>
        </w:rPr>
        <w:t>投标人名称 ：</w:t>
      </w:r>
      <w:r>
        <w:rPr>
          <w:rFonts w:hint="eastAsia" w:ascii="宋体" w:hAnsi="宋体" w:eastAsia="宋体" w:cs="宋体"/>
          <w:b/>
          <w:color w:val="auto"/>
          <w:sz w:val="36"/>
          <w:szCs w:val="36"/>
          <w:highlight w:val="none"/>
          <w:u w:val="single"/>
        </w:rPr>
        <w:t>（加盖CA电子公章）</w:t>
      </w:r>
    </w:p>
    <w:p w14:paraId="1CC03A10">
      <w:pPr>
        <w:pStyle w:val="32"/>
        <w:spacing w:beforeAutospacing="0" w:afterAutospacing="0"/>
        <w:rPr>
          <w:color w:val="auto"/>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w:t>
      </w:r>
    </w:p>
    <w:p w14:paraId="49C49E28">
      <w:pPr>
        <w:pStyle w:val="32"/>
        <w:spacing w:beforeAutospacing="0" w:afterAutospacing="0" w:line="0" w:lineRule="atLeast"/>
        <w:ind w:firstLine="2891"/>
        <w:rPr>
          <w:color w:val="auto"/>
          <w:highlight w:val="none"/>
        </w:rPr>
      </w:pPr>
    </w:p>
    <w:p w14:paraId="30101EED">
      <w:pPr>
        <w:pStyle w:val="32"/>
        <w:spacing w:beforeAutospacing="0" w:afterAutospacing="0" w:line="0" w:lineRule="atLeast"/>
        <w:ind w:firstLine="2891"/>
        <w:rPr>
          <w:color w:val="auto"/>
          <w:highlight w:val="none"/>
        </w:rPr>
      </w:pPr>
    </w:p>
    <w:p w14:paraId="740993CF">
      <w:pPr>
        <w:pStyle w:val="32"/>
        <w:spacing w:beforeAutospacing="0" w:afterAutospacing="0" w:line="0" w:lineRule="atLeast"/>
        <w:ind w:firstLine="2891"/>
        <w:rPr>
          <w:color w:val="auto"/>
          <w:highlight w:val="none"/>
        </w:rPr>
      </w:pPr>
    </w:p>
    <w:p w14:paraId="2DBE7AB5">
      <w:pPr>
        <w:pStyle w:val="32"/>
        <w:spacing w:beforeAutospacing="0" w:afterAutospacing="0" w:line="0" w:lineRule="atLeast"/>
        <w:ind w:firstLine="2891"/>
        <w:rPr>
          <w:color w:val="auto"/>
          <w:highlight w:val="none"/>
        </w:rPr>
      </w:pPr>
    </w:p>
    <w:p w14:paraId="3CB47AC2">
      <w:pPr>
        <w:pStyle w:val="32"/>
        <w:spacing w:beforeAutospacing="0" w:afterAutospacing="0" w:line="0" w:lineRule="atLeast"/>
        <w:ind w:firstLine="2891"/>
        <w:rPr>
          <w:color w:val="auto"/>
          <w:highlight w:val="none"/>
        </w:rPr>
      </w:pPr>
    </w:p>
    <w:p w14:paraId="67ADDAD9">
      <w:pPr>
        <w:pStyle w:val="32"/>
        <w:spacing w:beforeAutospacing="0" w:afterAutospacing="0" w:line="0" w:lineRule="atLeast"/>
        <w:ind w:firstLine="2891"/>
        <w:rPr>
          <w:color w:val="auto"/>
          <w:highlight w:val="none"/>
        </w:rPr>
      </w:pPr>
    </w:p>
    <w:p w14:paraId="33A57F00">
      <w:pPr>
        <w:pStyle w:val="32"/>
        <w:spacing w:beforeAutospacing="0" w:afterAutospacing="0" w:line="0" w:lineRule="atLeast"/>
        <w:ind w:firstLine="2891"/>
        <w:rPr>
          <w:color w:val="auto"/>
          <w:highlight w:val="none"/>
        </w:rPr>
      </w:pPr>
    </w:p>
    <w:p w14:paraId="4C357AD6">
      <w:pPr>
        <w:pStyle w:val="32"/>
        <w:spacing w:beforeAutospacing="0" w:afterAutospacing="0" w:line="0" w:lineRule="atLeast"/>
        <w:ind w:firstLine="2891"/>
        <w:rPr>
          <w:color w:val="auto"/>
          <w:highlight w:val="none"/>
        </w:rPr>
      </w:pPr>
    </w:p>
    <w:p w14:paraId="60960061">
      <w:pPr>
        <w:pStyle w:val="32"/>
        <w:spacing w:beforeAutospacing="0" w:afterAutospacing="0" w:line="0" w:lineRule="atLeast"/>
        <w:ind w:firstLine="2891"/>
        <w:rPr>
          <w:color w:val="auto"/>
          <w:highlight w:val="none"/>
        </w:rPr>
      </w:pPr>
    </w:p>
    <w:p w14:paraId="1443CC38">
      <w:pPr>
        <w:pStyle w:val="32"/>
        <w:spacing w:beforeAutospacing="0" w:afterAutospacing="0" w:line="0" w:lineRule="atLeast"/>
        <w:ind w:firstLine="2891"/>
        <w:rPr>
          <w:color w:val="auto"/>
          <w:highlight w:val="none"/>
        </w:rPr>
      </w:pPr>
    </w:p>
    <w:p w14:paraId="0A5B3615">
      <w:pPr>
        <w:pStyle w:val="32"/>
        <w:spacing w:beforeAutospacing="0" w:afterAutospacing="0" w:line="0" w:lineRule="atLeast"/>
        <w:ind w:firstLine="2891"/>
        <w:rPr>
          <w:color w:val="auto"/>
          <w:highlight w:val="none"/>
        </w:rPr>
      </w:pPr>
    </w:p>
    <w:p w14:paraId="1E118310">
      <w:pPr>
        <w:pStyle w:val="32"/>
        <w:spacing w:beforeAutospacing="0" w:afterAutospacing="0" w:line="0" w:lineRule="atLeast"/>
        <w:ind w:firstLine="2891"/>
        <w:rPr>
          <w:color w:val="auto"/>
          <w:highlight w:val="none"/>
        </w:rPr>
      </w:pPr>
    </w:p>
    <w:p w14:paraId="68E02067">
      <w:pPr>
        <w:pStyle w:val="32"/>
        <w:spacing w:beforeAutospacing="0" w:afterAutospacing="0" w:line="0" w:lineRule="atLeast"/>
        <w:ind w:firstLine="2891"/>
        <w:rPr>
          <w:color w:val="auto"/>
          <w:highlight w:val="none"/>
        </w:rPr>
      </w:pPr>
    </w:p>
    <w:p w14:paraId="5254CD1C">
      <w:pPr>
        <w:pStyle w:val="32"/>
        <w:spacing w:beforeAutospacing="0" w:afterAutospacing="0" w:line="0" w:lineRule="atLeast"/>
        <w:ind w:firstLine="2891"/>
        <w:rPr>
          <w:color w:val="auto"/>
          <w:highlight w:val="none"/>
        </w:rPr>
      </w:pPr>
    </w:p>
    <w:p w14:paraId="7B29165C">
      <w:pPr>
        <w:pStyle w:val="32"/>
        <w:spacing w:beforeAutospacing="0" w:afterAutospacing="0" w:line="0" w:lineRule="atLeast"/>
        <w:ind w:firstLine="2891"/>
        <w:rPr>
          <w:color w:val="auto"/>
          <w:highlight w:val="none"/>
        </w:rPr>
      </w:pPr>
    </w:p>
    <w:p w14:paraId="77C524B5">
      <w:pPr>
        <w:pStyle w:val="32"/>
        <w:spacing w:beforeAutospacing="0" w:afterAutospacing="0" w:line="0" w:lineRule="atLeast"/>
        <w:ind w:firstLine="2891"/>
        <w:rPr>
          <w:color w:val="auto"/>
          <w:highlight w:val="none"/>
        </w:rPr>
      </w:pPr>
    </w:p>
    <w:p w14:paraId="748ADF2B">
      <w:pPr>
        <w:pStyle w:val="32"/>
        <w:spacing w:beforeAutospacing="0" w:afterAutospacing="0" w:line="0" w:lineRule="atLeast"/>
        <w:ind w:firstLine="2891"/>
        <w:rPr>
          <w:color w:val="auto"/>
          <w:highlight w:val="none"/>
        </w:rPr>
      </w:pPr>
    </w:p>
    <w:p w14:paraId="2EB946EF">
      <w:pPr>
        <w:pStyle w:val="32"/>
        <w:spacing w:beforeAutospacing="0" w:afterAutospacing="0" w:line="0" w:lineRule="atLeast"/>
        <w:ind w:firstLine="2891"/>
        <w:rPr>
          <w:color w:val="auto"/>
          <w:highlight w:val="none"/>
        </w:rPr>
      </w:pPr>
    </w:p>
    <w:p w14:paraId="03AEDC5E">
      <w:pPr>
        <w:pStyle w:val="32"/>
        <w:spacing w:beforeAutospacing="0" w:afterAutospacing="0" w:line="0" w:lineRule="atLeast"/>
        <w:ind w:firstLine="2891"/>
        <w:rPr>
          <w:color w:val="auto"/>
          <w:highlight w:val="none"/>
        </w:rPr>
      </w:pPr>
    </w:p>
    <w:p w14:paraId="6B881795">
      <w:pPr>
        <w:pStyle w:val="32"/>
        <w:spacing w:beforeAutospacing="0" w:afterAutospacing="0" w:line="0" w:lineRule="atLeast"/>
        <w:ind w:firstLine="2891"/>
        <w:rPr>
          <w:color w:val="auto"/>
          <w:highlight w:val="none"/>
        </w:rPr>
      </w:pPr>
    </w:p>
    <w:p w14:paraId="20CEA848">
      <w:pPr>
        <w:pStyle w:val="32"/>
        <w:spacing w:beforeAutospacing="0" w:afterAutospacing="0" w:line="0" w:lineRule="atLeast"/>
        <w:ind w:firstLine="2891"/>
        <w:rPr>
          <w:color w:val="auto"/>
          <w:highlight w:val="none"/>
        </w:rPr>
      </w:pPr>
    </w:p>
    <w:p w14:paraId="2308AC65">
      <w:pPr>
        <w:pStyle w:val="32"/>
        <w:spacing w:beforeAutospacing="0" w:afterAutospacing="0" w:line="0" w:lineRule="atLeast"/>
        <w:ind w:firstLine="2891"/>
        <w:rPr>
          <w:color w:val="auto"/>
          <w:highlight w:val="none"/>
        </w:rPr>
      </w:pPr>
    </w:p>
    <w:p w14:paraId="2FB74A39">
      <w:pPr>
        <w:pStyle w:val="32"/>
        <w:spacing w:beforeAutospacing="0" w:afterAutospacing="0" w:line="0" w:lineRule="atLeast"/>
        <w:ind w:firstLine="2891"/>
        <w:rPr>
          <w:color w:val="auto"/>
          <w:highlight w:val="none"/>
        </w:rPr>
      </w:pPr>
    </w:p>
    <w:p w14:paraId="13987B3D">
      <w:pPr>
        <w:pStyle w:val="32"/>
        <w:spacing w:beforeAutospacing="0" w:afterAutospacing="0" w:line="0" w:lineRule="atLeast"/>
        <w:ind w:firstLine="2891"/>
        <w:rPr>
          <w:color w:val="auto"/>
          <w:highlight w:val="none"/>
        </w:rPr>
      </w:pPr>
    </w:p>
    <w:p w14:paraId="43CF9053">
      <w:pPr>
        <w:pStyle w:val="32"/>
        <w:spacing w:beforeAutospacing="0" w:afterAutospacing="0" w:line="0" w:lineRule="atLeast"/>
        <w:rPr>
          <w:color w:val="auto"/>
          <w:highlight w:val="none"/>
        </w:rPr>
      </w:pPr>
    </w:p>
    <w:p w14:paraId="6D409AA3">
      <w:pPr>
        <w:pStyle w:val="32"/>
        <w:spacing w:beforeAutospacing="0" w:afterAutospacing="0" w:line="0" w:lineRule="atLeast"/>
        <w:rPr>
          <w:color w:val="auto"/>
          <w:highlight w:val="none"/>
        </w:rPr>
      </w:pPr>
    </w:p>
    <w:p w14:paraId="14F26755">
      <w:pPr>
        <w:pStyle w:val="32"/>
        <w:spacing w:beforeAutospacing="0" w:afterAutospacing="0" w:line="0" w:lineRule="atLeast"/>
        <w:rPr>
          <w:color w:val="auto"/>
          <w:highlight w:val="none"/>
        </w:rPr>
      </w:pPr>
    </w:p>
    <w:p w14:paraId="5046E298">
      <w:pPr>
        <w:pStyle w:val="32"/>
        <w:spacing w:beforeAutospacing="0" w:afterAutospacing="0" w:line="0" w:lineRule="atLeast"/>
        <w:ind w:firstLine="2891"/>
        <w:rPr>
          <w:color w:val="auto"/>
          <w:highlight w:val="none"/>
        </w:rPr>
      </w:pPr>
    </w:p>
    <w:p w14:paraId="5EA46679">
      <w:pPr>
        <w:spacing w:line="500" w:lineRule="exact"/>
        <w:rPr>
          <w:rFonts w:hint="eastAsia" w:ascii="宋体" w:hAnsi="宋体" w:eastAsia="宋体"/>
          <w:color w:val="auto"/>
          <w:sz w:val="32"/>
          <w:highlight w:val="none"/>
          <w:lang w:eastAsia="zh-CN"/>
        </w:rPr>
      </w:pPr>
      <w:r>
        <w:rPr>
          <w:rFonts w:hint="eastAsia" w:ascii="宋体" w:hAnsi="宋体" w:eastAsia="宋体"/>
          <w:color w:val="auto"/>
          <w:sz w:val="32"/>
          <w:highlight w:val="none"/>
          <w:lang w:eastAsia="zh-CN"/>
        </w:rPr>
        <w:t>一、投标格式</w:t>
      </w:r>
    </w:p>
    <w:p w14:paraId="3A6242D2">
      <w:pPr>
        <w:spacing w:line="500" w:lineRule="exact"/>
        <w:rPr>
          <w:rFonts w:hint="eastAsia" w:ascii="宋体" w:hAnsi="宋体" w:eastAsia="宋体"/>
          <w:b/>
          <w:color w:val="auto"/>
          <w:sz w:val="24"/>
          <w:szCs w:val="24"/>
          <w:highlight w:val="none"/>
          <w:lang w:eastAsia="zh-CN"/>
        </w:rPr>
      </w:pPr>
      <w:r>
        <w:rPr>
          <w:rFonts w:hint="eastAsia" w:ascii="宋体" w:hAnsi="宋体" w:eastAsia="宋体"/>
          <w:color w:val="auto"/>
          <w:sz w:val="24"/>
          <w:szCs w:val="24"/>
          <w:highlight w:val="none"/>
          <w:lang w:eastAsia="zh-CN"/>
        </w:rPr>
        <w:t>格式一：投标函</w:t>
      </w:r>
    </w:p>
    <w:p w14:paraId="0FB3B04F">
      <w:pPr>
        <w:spacing w:line="500" w:lineRule="exact"/>
        <w:rPr>
          <w:rFonts w:hint="eastAsia" w:ascii="宋体" w:hAnsi="宋体" w:eastAsia="宋体"/>
          <w:b/>
          <w:color w:val="auto"/>
          <w:sz w:val="24"/>
          <w:szCs w:val="24"/>
          <w:highlight w:val="none"/>
          <w:lang w:eastAsia="zh-CN"/>
        </w:rPr>
      </w:pPr>
      <w:r>
        <w:rPr>
          <w:rFonts w:hint="eastAsia" w:ascii="宋体" w:hAnsi="宋体" w:eastAsia="宋体"/>
          <w:color w:val="auto"/>
          <w:sz w:val="24"/>
          <w:szCs w:val="24"/>
          <w:highlight w:val="none"/>
          <w:lang w:eastAsia="zh-CN"/>
        </w:rPr>
        <w:t>格式二：开标一览表</w:t>
      </w:r>
    </w:p>
    <w:p w14:paraId="19ED6ADC">
      <w:pPr>
        <w:spacing w:line="500" w:lineRule="exact"/>
        <w:rPr>
          <w:rFonts w:hint="eastAsia" w:ascii="宋体" w:hAnsi="宋体" w:eastAsia="宋体"/>
          <w:b/>
          <w:color w:val="auto"/>
          <w:sz w:val="24"/>
          <w:szCs w:val="24"/>
          <w:highlight w:val="none"/>
          <w:lang w:eastAsia="zh-CN"/>
        </w:rPr>
      </w:pPr>
      <w:r>
        <w:rPr>
          <w:rFonts w:hint="eastAsia" w:ascii="宋体" w:hAnsi="宋体" w:eastAsia="宋体"/>
          <w:color w:val="auto"/>
          <w:sz w:val="24"/>
          <w:szCs w:val="24"/>
          <w:highlight w:val="none"/>
          <w:lang w:eastAsia="zh-CN"/>
        </w:rPr>
        <w:t>格式三：分项报价表</w:t>
      </w:r>
    </w:p>
    <w:p w14:paraId="732625ED">
      <w:pPr>
        <w:spacing w:line="500" w:lineRule="exact"/>
        <w:rPr>
          <w:rFonts w:hint="eastAsia" w:ascii="宋体" w:hAnsi="宋体" w:eastAsia="宋体"/>
          <w:b/>
          <w:color w:val="auto"/>
          <w:sz w:val="24"/>
          <w:szCs w:val="24"/>
          <w:highlight w:val="none"/>
          <w:lang w:eastAsia="zh-CN"/>
        </w:rPr>
      </w:pPr>
      <w:r>
        <w:rPr>
          <w:rFonts w:hint="eastAsia" w:ascii="宋体" w:hAnsi="宋体" w:eastAsia="宋体"/>
          <w:color w:val="auto"/>
          <w:sz w:val="24"/>
          <w:szCs w:val="24"/>
          <w:highlight w:val="none"/>
          <w:lang w:eastAsia="zh-CN"/>
        </w:rPr>
        <w:t>格式四：参数偏离表</w:t>
      </w:r>
    </w:p>
    <w:p w14:paraId="5D44E158">
      <w:pPr>
        <w:spacing w:line="500" w:lineRule="exact"/>
        <w:rPr>
          <w:rFonts w:hint="eastAsia" w:ascii="宋体" w:hAnsi="宋体" w:eastAsia="宋体"/>
          <w:b/>
          <w:color w:val="auto"/>
          <w:sz w:val="24"/>
          <w:szCs w:val="24"/>
          <w:highlight w:val="none"/>
          <w:lang w:eastAsia="zh-CN"/>
        </w:rPr>
      </w:pPr>
      <w:r>
        <w:rPr>
          <w:rFonts w:hint="eastAsia" w:ascii="宋体" w:hAnsi="宋体" w:eastAsia="宋体"/>
          <w:color w:val="auto"/>
          <w:sz w:val="24"/>
          <w:szCs w:val="24"/>
          <w:highlight w:val="none"/>
          <w:lang w:eastAsia="zh-CN"/>
        </w:rPr>
        <w:t>格式五：技术/服务方案及承诺</w:t>
      </w:r>
    </w:p>
    <w:p w14:paraId="54CA69EC">
      <w:pPr>
        <w:spacing w:line="500" w:lineRule="exact"/>
        <w:rPr>
          <w:rFonts w:hint="eastAsia" w:ascii="宋体" w:hAnsi="宋体" w:eastAsia="宋体"/>
          <w:b/>
          <w:color w:val="auto"/>
          <w:sz w:val="24"/>
          <w:szCs w:val="24"/>
          <w:highlight w:val="none"/>
          <w:lang w:eastAsia="zh-CN"/>
        </w:rPr>
      </w:pPr>
      <w:r>
        <w:rPr>
          <w:rFonts w:hint="eastAsia" w:ascii="宋体" w:hAnsi="宋体" w:eastAsia="宋体"/>
          <w:color w:val="auto"/>
          <w:sz w:val="24"/>
          <w:szCs w:val="24"/>
          <w:highlight w:val="none"/>
          <w:lang w:eastAsia="zh-CN"/>
        </w:rPr>
        <w:t>格式六：中小企业声明函</w:t>
      </w:r>
    </w:p>
    <w:p w14:paraId="222C8038">
      <w:pPr>
        <w:spacing w:line="500" w:lineRule="exact"/>
        <w:rPr>
          <w:rFonts w:hint="eastAsia" w:ascii="宋体" w:hAnsi="宋体" w:eastAsia="宋体"/>
          <w:b/>
          <w:color w:val="auto"/>
          <w:sz w:val="24"/>
          <w:szCs w:val="24"/>
          <w:highlight w:val="none"/>
          <w:lang w:eastAsia="zh-CN"/>
        </w:rPr>
      </w:pPr>
      <w:r>
        <w:rPr>
          <w:rFonts w:hint="eastAsia" w:ascii="宋体" w:hAnsi="宋体" w:eastAsia="宋体"/>
          <w:color w:val="auto"/>
          <w:sz w:val="24"/>
          <w:szCs w:val="24"/>
          <w:highlight w:val="none"/>
          <w:lang w:eastAsia="zh-CN"/>
        </w:rPr>
        <w:t>格式七：其他声明函</w:t>
      </w:r>
    </w:p>
    <w:p w14:paraId="4EC33FF2">
      <w:pPr>
        <w:spacing w:line="500" w:lineRule="exact"/>
        <w:rPr>
          <w:rFonts w:hint="eastAsia" w:ascii="宋体" w:hAnsi="宋体" w:eastAsia="宋体"/>
          <w:b/>
          <w:color w:val="auto"/>
          <w:sz w:val="24"/>
          <w:szCs w:val="24"/>
          <w:highlight w:val="none"/>
          <w:lang w:eastAsia="zh-CN"/>
        </w:rPr>
      </w:pPr>
      <w:r>
        <w:rPr>
          <w:rFonts w:hint="eastAsia" w:ascii="宋体" w:hAnsi="宋体" w:eastAsia="宋体"/>
          <w:color w:val="auto"/>
          <w:sz w:val="24"/>
          <w:szCs w:val="24"/>
          <w:highlight w:val="none"/>
          <w:lang w:eastAsia="zh-CN"/>
        </w:rPr>
        <w:t>格式八：招标文件要求提供的其他材料或投标人认为需提供的材料</w:t>
      </w:r>
    </w:p>
    <w:p w14:paraId="2A864774">
      <w:pPr>
        <w:spacing w:line="50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格式九：</w:t>
      </w:r>
      <w:r>
        <w:rPr>
          <w:rFonts w:hint="eastAsia" w:ascii="宋体" w:hAnsi="宋体" w:eastAsia="宋体"/>
          <w:color w:val="auto"/>
          <w:sz w:val="24"/>
          <w:szCs w:val="24"/>
          <w:highlight w:val="none"/>
          <w:lang w:val="en-US" w:eastAsia="zh-CN"/>
        </w:rPr>
        <w:t>法定代表人授权书</w:t>
      </w:r>
    </w:p>
    <w:p w14:paraId="444E0FF5">
      <w:pPr>
        <w:spacing w:line="500" w:lineRule="exact"/>
        <w:rPr>
          <w:rFonts w:hint="eastAsia" w:ascii="宋体" w:hAnsi="宋体" w:eastAsia="宋体"/>
          <w:color w:val="auto"/>
          <w:sz w:val="32"/>
          <w:highlight w:val="none"/>
          <w:lang w:eastAsia="zh-CN"/>
        </w:rPr>
      </w:pPr>
      <w:r>
        <w:rPr>
          <w:rFonts w:hint="eastAsia" w:ascii="宋体" w:hAnsi="宋体" w:eastAsia="宋体"/>
          <w:color w:val="auto"/>
          <w:sz w:val="32"/>
          <w:highlight w:val="none"/>
          <w:lang w:eastAsia="zh-CN"/>
        </w:rPr>
        <w:t>二</w:t>
      </w:r>
      <w:r>
        <w:rPr>
          <w:rFonts w:ascii="宋体" w:hAnsi="宋体" w:eastAsia="宋体"/>
          <w:color w:val="auto"/>
          <w:sz w:val="32"/>
          <w:highlight w:val="none"/>
          <w:lang w:eastAsia="zh-CN"/>
        </w:rPr>
        <w:t>、资格证明文件</w:t>
      </w:r>
    </w:p>
    <w:p w14:paraId="3B959434">
      <w:pPr>
        <w:spacing w:line="360" w:lineRule="auto"/>
        <w:jc w:val="left"/>
        <w:rPr>
          <w:rFonts w:hint="eastAsia" w:ascii="宋体" w:hAnsi="宋体" w:eastAsia="宋体"/>
          <w:color w:val="auto"/>
          <w:sz w:val="24"/>
          <w:highlight w:val="none"/>
          <w:lang w:val="en-US" w:eastAsia="zh-CN"/>
        </w:rPr>
      </w:pPr>
    </w:p>
    <w:p w14:paraId="187D30D5">
      <w:pPr>
        <w:widowControl/>
        <w:ind w:firstLine="420" w:firstLineChars="0"/>
        <w:jc w:val="left"/>
        <w:rPr>
          <w:rFonts w:hint="eastAsia" w:ascii="黑体" w:hAnsi="宋体" w:eastAsia="黑体" w:cs="黑体"/>
          <w:i/>
          <w:color w:val="auto"/>
          <w:sz w:val="32"/>
          <w:szCs w:val="32"/>
          <w:highlight w:val="none"/>
        </w:rPr>
      </w:pPr>
      <w:bookmarkStart w:id="222" w:name="_Toc120614284"/>
      <w:r>
        <w:rPr>
          <w:rFonts w:hint="eastAsia" w:ascii="黑体" w:hAnsi="宋体" w:eastAsia="黑体" w:cs="黑体"/>
          <w:i/>
          <w:color w:val="auto"/>
          <w:sz w:val="32"/>
          <w:szCs w:val="32"/>
          <w:highlight w:val="none"/>
        </w:rPr>
        <w:br w:type="page" w:clear="all"/>
      </w:r>
    </w:p>
    <w:p w14:paraId="16ED8100">
      <w:pPr>
        <w:spacing w:line="500" w:lineRule="exact"/>
        <w:rPr>
          <w:rFonts w:hint="eastAsia" w:ascii="宋体" w:hAnsi="宋体" w:eastAsia="宋体"/>
          <w:b/>
          <w:color w:val="auto"/>
          <w:sz w:val="44"/>
          <w:highlight w:val="none"/>
          <w:lang w:eastAsia="zh-CN"/>
        </w:rPr>
      </w:pPr>
      <w:bookmarkStart w:id="223" w:name="_Hlt26955070"/>
      <w:bookmarkStart w:id="224" w:name="_格式3__银行出具的资信证明"/>
      <w:bookmarkStart w:id="225" w:name="_Hlt26671380"/>
      <w:r>
        <w:rPr>
          <w:rFonts w:hint="eastAsia" w:ascii="宋体" w:hAnsi="宋体" w:eastAsia="宋体"/>
          <w:color w:val="auto"/>
          <w:highlight w:val="none"/>
          <w:lang w:eastAsia="zh-CN"/>
        </w:rPr>
        <w:t xml:space="preserve">格式一    </w:t>
      </w:r>
    </w:p>
    <w:p w14:paraId="636A62C8">
      <w:pPr>
        <w:spacing w:line="500" w:lineRule="exact"/>
        <w:jc w:val="center"/>
        <w:rPr>
          <w:rFonts w:hint="eastAsia" w:ascii="宋体" w:hAnsi="宋体" w:eastAsia="宋体"/>
          <w:color w:val="auto"/>
          <w:sz w:val="44"/>
          <w:highlight w:val="none"/>
          <w:lang w:eastAsia="zh-CN"/>
        </w:rPr>
      </w:pPr>
      <w:r>
        <w:rPr>
          <w:rFonts w:hint="eastAsia" w:ascii="宋体" w:hAnsi="宋体" w:eastAsia="宋体"/>
          <w:color w:val="auto"/>
          <w:sz w:val="44"/>
          <w:highlight w:val="none"/>
          <w:lang w:eastAsia="zh-CN"/>
        </w:rPr>
        <w:t>投标函</w:t>
      </w:r>
    </w:p>
    <w:p w14:paraId="2ECAA2D1">
      <w:pPr>
        <w:spacing w:line="500" w:lineRule="exact"/>
        <w:jc w:val="center"/>
        <w:rPr>
          <w:rFonts w:hint="eastAsia" w:ascii="宋体" w:hAnsi="宋体" w:eastAsia="宋体"/>
          <w:color w:val="auto"/>
          <w:sz w:val="44"/>
          <w:highlight w:val="none"/>
          <w:lang w:val="en-US" w:eastAsia="zh-CN"/>
        </w:rPr>
      </w:pPr>
    </w:p>
    <w:p w14:paraId="7B9246E6">
      <w:pPr>
        <w:pStyle w:val="32"/>
        <w:spacing w:beforeAutospacing="0" w:afterAutospacing="0" w:line="360" w:lineRule="auto"/>
        <w:rPr>
          <w:rFonts w:hint="eastAsia" w:eastAsia="宋体"/>
          <w:color w:val="auto"/>
          <w:highlight w:val="none"/>
          <w:shd w:val="clear" w:color="auto" w:fill="FFFFFF" w:themeFill="background1"/>
          <w:lang w:eastAsia="zh-CN"/>
        </w:rPr>
      </w:pPr>
      <w:bookmarkStart w:id="226" w:name="OLE_LINK53"/>
      <w:bookmarkStart w:id="227" w:name="OLE_LINK112"/>
      <w:bookmarkStart w:id="228" w:name="OLE_LINK101"/>
      <w:r>
        <w:rPr>
          <w:rFonts w:hint="eastAsia"/>
          <w:color w:val="auto"/>
          <w:highlight w:val="none"/>
          <w:shd w:val="clear" w:color="auto" w:fill="FFFFFF" w:themeFill="background1"/>
        </w:rPr>
        <w:t>致：</w:t>
      </w:r>
      <w:r>
        <w:rPr>
          <w:rFonts w:hint="eastAsia" w:eastAsia="宋体"/>
          <w:color w:val="auto"/>
          <w:highlight w:val="none"/>
          <w:shd w:val="clear" w:color="auto" w:fill="FFFFFF" w:themeFill="background1"/>
          <w:lang w:eastAsia="zh-CN"/>
        </w:rPr>
        <w:t>江苏省招标中心有限公司</w:t>
      </w:r>
      <w:r>
        <w:rPr>
          <w:rFonts w:hint="eastAsia"/>
          <w:color w:val="auto"/>
          <w:highlight w:val="none"/>
          <w:shd w:val="clear" w:color="auto" w:fill="FFFFFF" w:themeFill="background1"/>
        </w:rPr>
        <w:t>/</w:t>
      </w:r>
      <w:r>
        <w:rPr>
          <w:rFonts w:hint="eastAsia" w:eastAsia="宋体"/>
          <w:color w:val="auto"/>
          <w:highlight w:val="none"/>
          <w:shd w:val="clear" w:color="auto" w:fill="FFFFFF" w:themeFill="background1"/>
          <w:lang w:eastAsia="zh-CN"/>
        </w:rPr>
        <w:t>南京市红十字医院</w:t>
      </w:r>
    </w:p>
    <w:p w14:paraId="71CA5696">
      <w:pPr>
        <w:pStyle w:val="32"/>
        <w:spacing w:beforeAutospacing="0" w:afterAutospacing="0" w:line="360" w:lineRule="auto"/>
        <w:ind w:firstLine="480"/>
        <w:rPr>
          <w:color w:val="auto"/>
          <w:highlight w:val="none"/>
          <w:shd w:val="clear" w:color="auto" w:fill="FFFFFF" w:themeFill="background1"/>
        </w:rPr>
      </w:pPr>
      <w:r>
        <w:rPr>
          <w:rFonts w:hint="eastAsia"/>
          <w:color w:val="auto"/>
          <w:highlight w:val="none"/>
          <w:shd w:val="clear" w:color="auto" w:fill="FFFFFF" w:themeFill="background1"/>
        </w:rPr>
        <w:t>根据贵方的</w:t>
      </w:r>
      <w:r>
        <w:rPr>
          <w:rFonts w:hint="eastAsia" w:eastAsia="宋体"/>
          <w:color w:val="auto"/>
          <w:highlight w:val="none"/>
          <w:u w:val="single"/>
          <w:shd w:val="clear" w:color="auto" w:fill="FFFFFF" w:themeFill="background1"/>
          <w:lang w:val="en-US" w:eastAsia="zh-CN"/>
        </w:rPr>
        <w:t xml:space="preserve">       </w:t>
      </w:r>
      <w:r>
        <w:rPr>
          <w:rFonts w:hint="eastAsia"/>
          <w:color w:val="auto"/>
          <w:highlight w:val="none"/>
          <w:u w:val="single"/>
          <w:shd w:val="clear" w:color="auto" w:fill="FFFFFF" w:themeFill="background1"/>
        </w:rPr>
        <w:tab/>
      </w:r>
      <w:r>
        <w:rPr>
          <w:rFonts w:hint="eastAsia"/>
          <w:color w:val="auto"/>
          <w:highlight w:val="none"/>
          <w:shd w:val="clear" w:color="auto" w:fill="FFFFFF" w:themeFill="background1"/>
        </w:rPr>
        <w:t>号招标文件，正式授权下述签字人______(姓名)代表我方______________（投标人的名称），全权处理本次项目投标的有关事宜。</w:t>
      </w:r>
    </w:p>
    <w:p w14:paraId="3099F014">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据此函，__________签字人兹宣布同意如下：</w:t>
      </w:r>
    </w:p>
    <w:p w14:paraId="74C335D5">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1.按招标文件规定的各项要求，向买方提供所需货物（包含与货物相关的服务）。</w:t>
      </w:r>
    </w:p>
    <w:p w14:paraId="03E87259">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2.我们完全理解贵方不一定将合同授予最低报价的投标人。</w:t>
      </w:r>
    </w:p>
    <w:p w14:paraId="45469AD0">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3.我们已详细审核全部招标文件及其有效补充文件，我们知道必须放弃提出含糊不清或误解问题的权利。</w:t>
      </w:r>
    </w:p>
    <w:p w14:paraId="3803CE21">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4.我们同意从规定的开标日期起遵循本投标文件，并在规定的投标有效期期满之前均具有约束力（投标有效期：开标之日后</w:t>
      </w:r>
      <w:r>
        <w:rPr>
          <w:rFonts w:hint="eastAsia"/>
          <w:color w:val="auto"/>
          <w:highlight w:val="none"/>
          <w:u w:val="single"/>
          <w:shd w:val="clear" w:color="auto" w:fill="FFFFFF" w:themeFill="background1"/>
        </w:rPr>
        <w:t>九十（90）</w:t>
      </w:r>
      <w:r>
        <w:rPr>
          <w:rFonts w:hint="eastAsia" w:eastAsia="宋体"/>
          <w:color w:val="auto"/>
          <w:highlight w:val="none"/>
          <w:u w:val="single"/>
          <w:shd w:val="clear" w:color="auto" w:fill="FFFFFF" w:themeFill="background1"/>
          <w:lang w:val="en-US" w:eastAsia="zh-CN"/>
        </w:rPr>
        <w:t>日</w:t>
      </w:r>
      <w:r>
        <w:rPr>
          <w:rFonts w:hint="eastAsia"/>
          <w:color w:val="auto"/>
          <w:highlight w:val="none"/>
          <w:shd w:val="clear" w:color="auto" w:fill="FFFFFF" w:themeFill="background1"/>
        </w:rPr>
        <w:t>）。</w:t>
      </w:r>
    </w:p>
    <w:p w14:paraId="76259F50">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5.同意向贵方提供贵方可能另外要求的与投标有关的任何证据或资料，并保证我方已提供和将要提供的文件是真实的、准确的。</w:t>
      </w:r>
    </w:p>
    <w:p w14:paraId="6C28081F">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6.一旦我方中标,我方将根据招标文件的规定，严格履行合同的责任和义务,并保证在招标文件规定的时间完成项目，交付买方验收、使用。</w:t>
      </w:r>
    </w:p>
    <w:p w14:paraId="56E94528">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7.与本投标有关的正式通讯地址为：</w:t>
      </w:r>
    </w:p>
    <w:p w14:paraId="0835F707">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地          址：</w:t>
      </w:r>
    </w:p>
    <w:p w14:paraId="085648C6">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邮          编：</w:t>
      </w:r>
    </w:p>
    <w:p w14:paraId="32EA36EA">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电          话：</w:t>
      </w:r>
    </w:p>
    <w:p w14:paraId="7C32F7E5">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传          真：</w:t>
      </w:r>
    </w:p>
    <w:p w14:paraId="3F7EC62D">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投标人开户行：</w:t>
      </w:r>
    </w:p>
    <w:p w14:paraId="3D251626">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 xml:space="preserve">账          号： </w:t>
      </w:r>
    </w:p>
    <w:p w14:paraId="420999F1">
      <w:pPr>
        <w:pStyle w:val="32"/>
        <w:spacing w:beforeAutospacing="0" w:afterAutospacing="0" w:line="360" w:lineRule="auto"/>
        <w:rPr>
          <w:color w:val="auto"/>
          <w:highlight w:val="none"/>
          <w:shd w:val="clear" w:color="auto" w:fill="FFFFFF" w:themeFill="background1"/>
        </w:rPr>
      </w:pPr>
      <w:r>
        <w:rPr>
          <w:rFonts w:hint="eastAsia"/>
          <w:color w:val="auto"/>
          <w:highlight w:val="none"/>
          <w:shd w:val="clear" w:color="auto" w:fill="FFFFFF" w:themeFill="background1"/>
        </w:rPr>
        <w:t>日          期：____年____月____日</w:t>
      </w:r>
    </w:p>
    <w:bookmarkEnd w:id="226"/>
    <w:p w14:paraId="79B946F2">
      <w:pPr>
        <w:pStyle w:val="32"/>
        <w:spacing w:beforeAutospacing="0" w:afterAutospacing="0" w:line="0" w:lineRule="atLeast"/>
        <w:ind w:firstLine="2891"/>
        <w:rPr>
          <w:color w:val="auto"/>
          <w:highlight w:val="none"/>
        </w:rPr>
      </w:pPr>
    </w:p>
    <w:bookmarkEnd w:id="227"/>
    <w:p w14:paraId="228563E1">
      <w:pPr>
        <w:pStyle w:val="32"/>
        <w:spacing w:beforeAutospacing="0" w:afterAutospacing="0" w:line="0" w:lineRule="atLeast"/>
        <w:ind w:firstLine="2891"/>
        <w:rPr>
          <w:color w:val="auto"/>
          <w:highlight w:val="none"/>
        </w:rPr>
      </w:pPr>
    </w:p>
    <w:p w14:paraId="534C64B2">
      <w:pPr>
        <w:pStyle w:val="32"/>
        <w:spacing w:beforeAutospacing="0" w:afterAutospacing="0" w:line="0" w:lineRule="atLeast"/>
        <w:ind w:firstLine="2891"/>
        <w:rPr>
          <w:color w:val="auto"/>
          <w:highlight w:val="none"/>
        </w:rPr>
      </w:pPr>
    </w:p>
    <w:p w14:paraId="6F81B50B">
      <w:pPr>
        <w:pStyle w:val="32"/>
        <w:spacing w:beforeAutospacing="0" w:afterAutospacing="0" w:line="0" w:lineRule="atLeast"/>
        <w:ind w:firstLine="2891"/>
        <w:rPr>
          <w:color w:val="auto"/>
          <w:highlight w:val="none"/>
        </w:rPr>
      </w:pPr>
    </w:p>
    <w:p w14:paraId="4A7F7541">
      <w:pPr>
        <w:spacing w:line="500" w:lineRule="exact"/>
        <w:ind w:right="-5"/>
        <w:rPr>
          <w:rFonts w:hint="eastAsia" w:ascii="宋体" w:hAnsi="宋体" w:eastAsia="宋体"/>
          <w:b/>
          <w:color w:val="auto"/>
          <w:highlight w:val="none"/>
          <w:lang w:eastAsia="zh-CN"/>
        </w:rPr>
      </w:pPr>
      <w:r>
        <w:rPr>
          <w:rFonts w:hint="eastAsia" w:ascii="宋体" w:hAnsi="宋体" w:eastAsia="宋体"/>
          <w:color w:val="auto"/>
          <w:highlight w:val="none"/>
          <w:lang w:eastAsia="zh-CN"/>
        </w:rPr>
        <w:t>格式二：</w:t>
      </w:r>
    </w:p>
    <w:p w14:paraId="4D901046">
      <w:pPr>
        <w:spacing w:line="400" w:lineRule="exact"/>
        <w:jc w:val="center"/>
        <w:rPr>
          <w:rFonts w:hint="eastAsia" w:ascii="宋体" w:hAnsi="宋体" w:eastAsia="宋体"/>
          <w:bCs/>
          <w:color w:val="auto"/>
          <w:highlight w:val="none"/>
          <w:lang w:eastAsia="zh-CN"/>
        </w:rPr>
      </w:pPr>
      <w:r>
        <w:rPr>
          <w:rFonts w:hint="eastAsia" w:ascii="宋体" w:hAnsi="宋体" w:eastAsia="宋体"/>
          <w:bCs/>
          <w:color w:val="auto"/>
          <w:highlight w:val="none"/>
          <w:lang w:eastAsia="zh-CN"/>
        </w:rPr>
        <w:t>开标一览表</w:t>
      </w:r>
    </w:p>
    <w:p w14:paraId="23600986">
      <w:pPr>
        <w:spacing w:line="400" w:lineRule="exact"/>
        <w:rPr>
          <w:rFonts w:hint="eastAsia" w:ascii="宋体" w:hAnsi="宋体" w:eastAsia="宋体"/>
          <w:b/>
          <w:color w:val="auto"/>
          <w:highlight w:val="none"/>
          <w:lang w:eastAsia="zh-CN"/>
        </w:rPr>
      </w:pPr>
      <w:r>
        <w:rPr>
          <w:rFonts w:hint="eastAsia" w:ascii="宋体" w:hAnsi="宋体" w:eastAsia="宋体"/>
          <w:color w:val="auto"/>
          <w:highlight w:val="none"/>
          <w:lang w:eastAsia="zh-CN"/>
        </w:rPr>
        <w:t xml:space="preserve">  </w:t>
      </w:r>
    </w:p>
    <w:tbl>
      <w:tblPr>
        <w:tblStyle w:val="36"/>
        <w:tblW w:w="8213" w:type="dxa"/>
        <w:tblInd w:w="0" w:type="dxa"/>
        <w:tblLayout w:type="fixed"/>
        <w:tblCellMar>
          <w:top w:w="0" w:type="dxa"/>
          <w:left w:w="30" w:type="dxa"/>
          <w:bottom w:w="0" w:type="dxa"/>
          <w:right w:w="30" w:type="dxa"/>
        </w:tblCellMar>
      </w:tblPr>
      <w:tblGrid>
        <w:gridCol w:w="8213"/>
      </w:tblGrid>
      <w:tr w14:paraId="5FE5F004">
        <w:tblPrEx>
          <w:tblCellMar>
            <w:top w:w="0" w:type="dxa"/>
            <w:left w:w="30" w:type="dxa"/>
            <w:bottom w:w="0" w:type="dxa"/>
            <w:right w:w="30" w:type="dxa"/>
          </w:tblCellMar>
        </w:tblPrEx>
        <w:trPr>
          <w:trHeight w:val="961" w:hRule="atLeast"/>
        </w:trPr>
        <w:tc>
          <w:tcPr>
            <w:tcW w:w="8213" w:type="dxa"/>
            <w:tcBorders>
              <w:top w:val="single" w:color="auto" w:sz="6" w:space="0"/>
              <w:left w:val="single" w:color="auto" w:sz="6" w:space="0"/>
              <w:bottom w:val="single" w:color="auto" w:sz="6" w:space="0"/>
              <w:right w:val="single" w:color="auto" w:sz="6" w:space="0"/>
            </w:tcBorders>
            <w:noWrap w:val="0"/>
            <w:vAlign w:val="center"/>
          </w:tcPr>
          <w:p w14:paraId="681F8D71">
            <w:pPr>
              <w:jc w:val="center"/>
              <w:rPr>
                <w:rFonts w:hint="eastAsia" w:ascii="宋体" w:hAnsi="宋体" w:eastAsia="宋体"/>
                <w:b/>
                <w:color w:val="auto"/>
                <w:highlight w:val="none"/>
              </w:rPr>
            </w:pPr>
            <w:r>
              <w:rPr>
                <w:rFonts w:hint="eastAsia" w:ascii="宋体" w:hAnsi="宋体" w:eastAsia="宋体"/>
                <w:color w:val="auto"/>
                <w:highlight w:val="none"/>
              </w:rPr>
              <w:t>价格</w:t>
            </w:r>
          </w:p>
        </w:tc>
      </w:tr>
      <w:tr w14:paraId="2BCA9822">
        <w:tblPrEx>
          <w:tblCellMar>
            <w:top w:w="0" w:type="dxa"/>
            <w:left w:w="30" w:type="dxa"/>
            <w:bottom w:w="0" w:type="dxa"/>
            <w:right w:w="30" w:type="dxa"/>
          </w:tblCellMar>
        </w:tblPrEx>
        <w:trPr>
          <w:trHeight w:val="3587" w:hRule="atLeast"/>
        </w:trPr>
        <w:tc>
          <w:tcPr>
            <w:tcW w:w="8213" w:type="dxa"/>
            <w:tcBorders>
              <w:top w:val="single" w:color="auto" w:sz="6" w:space="0"/>
              <w:left w:val="single" w:color="auto" w:sz="6" w:space="0"/>
              <w:bottom w:val="single" w:color="auto" w:sz="6" w:space="0"/>
              <w:right w:val="single" w:color="auto" w:sz="6" w:space="0"/>
            </w:tcBorders>
            <w:noWrap w:val="0"/>
            <w:vAlign w:val="center"/>
          </w:tcPr>
          <w:p w14:paraId="7D785D9F">
            <w:pPr>
              <w:jc w:val="center"/>
              <w:rPr>
                <w:rFonts w:hint="eastAsia" w:ascii="宋体" w:hAnsi="宋体" w:eastAsia="宋体"/>
                <w:b/>
                <w:color w:val="auto"/>
                <w:highlight w:val="none"/>
              </w:rPr>
            </w:pPr>
          </w:p>
        </w:tc>
      </w:tr>
    </w:tbl>
    <w:p w14:paraId="4AD9367E">
      <w:pPr>
        <w:ind w:left="595" w:right="-5" w:firstLine="4080"/>
        <w:rPr>
          <w:rFonts w:hint="eastAsia" w:ascii="宋体" w:hAnsi="宋体" w:eastAsia="宋体"/>
          <w:b/>
          <w:color w:val="auto"/>
          <w:highlight w:val="none"/>
        </w:rPr>
      </w:pPr>
    </w:p>
    <w:p w14:paraId="22977C15">
      <w:pPr>
        <w:spacing w:line="500" w:lineRule="exact"/>
        <w:ind w:right="-5"/>
        <w:rPr>
          <w:rFonts w:hint="eastAsia" w:ascii="宋体" w:hAnsi="宋体" w:eastAsia="宋体"/>
          <w:b/>
          <w:color w:val="auto"/>
          <w:highlight w:val="none"/>
        </w:rPr>
      </w:pPr>
    </w:p>
    <w:p w14:paraId="1EC66A2E">
      <w:pPr>
        <w:spacing w:line="500" w:lineRule="exact"/>
        <w:ind w:right="-5"/>
        <w:rPr>
          <w:rFonts w:hint="eastAsia" w:ascii="宋体" w:hAnsi="宋体" w:eastAsia="宋体"/>
          <w:b/>
          <w:color w:val="auto"/>
          <w:highlight w:val="none"/>
        </w:rPr>
      </w:pPr>
    </w:p>
    <w:p w14:paraId="31D235FF">
      <w:pPr>
        <w:spacing w:line="400" w:lineRule="exact"/>
        <w:rPr>
          <w:rFonts w:hint="eastAsia" w:ascii="宋体" w:hAnsi="宋体" w:eastAsia="宋体"/>
          <w:bCs/>
          <w:color w:val="auto"/>
          <w:highlight w:val="none"/>
          <w:lang w:eastAsia="zh-CN"/>
        </w:rPr>
      </w:pPr>
      <w:r>
        <w:rPr>
          <w:rFonts w:hint="eastAsia" w:ascii="宋体" w:hAnsi="宋体" w:eastAsia="宋体"/>
          <w:b/>
          <w:color w:val="auto"/>
          <w:highlight w:val="none"/>
          <w:lang w:eastAsia="zh-CN"/>
        </w:rPr>
        <w:t>本章按苏采云电子标</w:t>
      </w:r>
      <w:r>
        <w:rPr>
          <w:rFonts w:hint="eastAsia" w:ascii="宋体" w:hAnsi="宋体" w:eastAsia="宋体"/>
          <w:bCs/>
          <w:color w:val="auto"/>
          <w:highlight w:val="none"/>
          <w:lang w:eastAsia="zh-CN"/>
        </w:rPr>
        <w:t>开标一览表格式报价填写，请注意报价单位与格式</w:t>
      </w:r>
    </w:p>
    <w:p w14:paraId="777321D7">
      <w:pPr>
        <w:pStyle w:val="32"/>
        <w:spacing w:beforeAutospacing="0" w:afterAutospacing="0" w:line="0" w:lineRule="atLeast"/>
        <w:ind w:firstLine="2891"/>
        <w:rPr>
          <w:color w:val="auto"/>
          <w:highlight w:val="none"/>
        </w:rPr>
      </w:pPr>
    </w:p>
    <w:p w14:paraId="758E6948">
      <w:pPr>
        <w:pStyle w:val="32"/>
        <w:spacing w:beforeAutospacing="0" w:afterAutospacing="0" w:line="0" w:lineRule="atLeast"/>
        <w:ind w:firstLine="2891"/>
        <w:rPr>
          <w:color w:val="auto"/>
          <w:highlight w:val="none"/>
        </w:rPr>
      </w:pPr>
    </w:p>
    <w:bookmarkEnd w:id="228"/>
    <w:p w14:paraId="4C4DEA82">
      <w:pPr>
        <w:pStyle w:val="32"/>
        <w:spacing w:beforeAutospacing="0" w:afterAutospacing="0" w:line="0" w:lineRule="atLeast"/>
        <w:ind w:firstLine="2249"/>
        <w:rPr>
          <w:rFonts w:hint="eastAsia" w:ascii="黑体" w:hAnsi="宋体" w:eastAsia="黑体" w:cs="黑体"/>
          <w:b/>
          <w:color w:val="auto"/>
          <w:sz w:val="32"/>
          <w:szCs w:val="32"/>
          <w:highlight w:val="none"/>
          <w:lang w:val="en-US" w:eastAsia="zh-CN"/>
        </w:rPr>
      </w:pPr>
    </w:p>
    <w:p w14:paraId="448C135D">
      <w:pPr>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br w:type="page"/>
      </w:r>
    </w:p>
    <w:p w14:paraId="7377B118">
      <w:pPr>
        <w:spacing w:line="400" w:lineRule="exact"/>
        <w:rPr>
          <w:rFonts w:hint="eastAsia" w:ascii="宋体" w:hAnsi="宋体" w:eastAsia="宋体"/>
          <w:bCs/>
          <w:color w:val="auto"/>
          <w:highlight w:val="none"/>
          <w:lang w:eastAsia="zh-CN"/>
        </w:rPr>
      </w:pPr>
      <w:r>
        <w:rPr>
          <w:rFonts w:hint="eastAsia" w:ascii="宋体" w:hAnsi="宋体" w:eastAsia="宋体"/>
          <w:color w:val="auto"/>
          <w:highlight w:val="none"/>
          <w:lang w:eastAsia="zh-CN"/>
        </w:rPr>
        <w:t>格式三：  分项报价表</w:t>
      </w:r>
    </w:p>
    <w:p w14:paraId="4A796B91">
      <w:pPr>
        <w:pStyle w:val="32"/>
        <w:spacing w:beforeAutospacing="0" w:afterAutospacing="0" w:line="0" w:lineRule="atLeast"/>
        <w:ind w:firstLine="2249"/>
        <w:rPr>
          <w:rFonts w:hint="eastAsia" w:ascii="黑体" w:hAnsi="宋体" w:eastAsia="黑体" w:cs="黑体"/>
          <w:b/>
          <w:color w:val="auto"/>
          <w:sz w:val="32"/>
          <w:szCs w:val="32"/>
          <w:highlight w:val="none"/>
          <w:lang w:val="en-US" w:eastAsia="zh-CN"/>
        </w:rPr>
      </w:pPr>
    </w:p>
    <w:p w14:paraId="17A5EE73">
      <w:pPr>
        <w:pStyle w:val="32"/>
        <w:spacing w:beforeAutospacing="0" w:afterAutospacing="0"/>
        <w:ind w:firstLine="2570"/>
        <w:rPr>
          <w:rFonts w:hint="eastAsia" w:ascii="黑体" w:hAnsi="宋体" w:eastAsia="黑体" w:cs="黑体"/>
          <w:b/>
          <w:color w:val="auto"/>
          <w:sz w:val="32"/>
          <w:szCs w:val="32"/>
          <w:highlight w:val="none"/>
        </w:rPr>
      </w:pPr>
      <w:bookmarkStart w:id="229" w:name="OLE_LINK55"/>
      <w:bookmarkStart w:id="230" w:name="OLE_LINK103"/>
      <w:r>
        <w:rPr>
          <w:rFonts w:hint="eastAsia" w:ascii="黑体" w:hAnsi="宋体" w:eastAsia="黑体" w:cs="黑体"/>
          <w:b/>
          <w:color w:val="auto"/>
          <w:sz w:val="32"/>
          <w:szCs w:val="32"/>
          <w:highlight w:val="none"/>
          <w:lang w:val="en-US" w:eastAsia="zh-CN"/>
        </w:rPr>
        <w:t>投标</w:t>
      </w:r>
      <w:r>
        <w:rPr>
          <w:rFonts w:hint="eastAsia" w:ascii="黑体" w:hAnsi="宋体" w:eastAsia="黑体" w:cs="黑体"/>
          <w:b/>
          <w:color w:val="auto"/>
          <w:sz w:val="32"/>
          <w:szCs w:val="32"/>
          <w:highlight w:val="none"/>
        </w:rPr>
        <w:t>分项报价表</w:t>
      </w:r>
    </w:p>
    <w:p w14:paraId="2B11D94E">
      <w:pPr>
        <w:pBdr>
          <w:top w:val="none" w:color="000000" w:sz="0" w:space="0"/>
          <w:left w:val="none" w:color="000000" w:sz="0" w:space="0"/>
          <w:bottom w:val="none" w:color="000000" w:sz="0" w:space="0"/>
          <w:right w:val="none" w:color="000000" w:sz="0" w:space="0"/>
        </w:pBdr>
        <w:jc w:val="left"/>
        <w:rPr>
          <w:color w:val="auto"/>
          <w:highlight w:val="none"/>
          <w:shd w:val="clear" w:color="auto" w:fill="FFFFFF" w:themeFill="background1"/>
        </w:rPr>
      </w:pPr>
      <w:r>
        <w:rPr>
          <w:rFonts w:ascii="宋体" w:hAnsi="宋体" w:eastAsia="宋体" w:cs="宋体"/>
          <w:color w:val="auto"/>
          <w:sz w:val="24"/>
          <w:highlight w:val="none"/>
          <w:shd w:val="clear" w:color="auto" w:fill="FFFFFF" w:themeFill="background1"/>
        </w:rPr>
        <w:t>按照采购清单内容，自行填报，金额单位：人民币元。</w:t>
      </w:r>
    </w:p>
    <w:tbl>
      <w:tblPr>
        <w:tblStyle w:val="36"/>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3103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CellSpacing w:w="0" w:type="dxa"/>
        </w:trPr>
        <w:tc>
          <w:tcPr>
            <w:tcW w:w="546" w:type="dxa"/>
            <w:noWrap w:val="0"/>
            <w:vAlign w:val="center"/>
          </w:tcPr>
          <w:p w14:paraId="1E02795A">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996" w:type="dxa"/>
            <w:noWrap w:val="0"/>
            <w:vAlign w:val="center"/>
          </w:tcPr>
          <w:p w14:paraId="60AC134E">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05" w:type="dxa"/>
            <w:noWrap w:val="0"/>
            <w:vAlign w:val="center"/>
          </w:tcPr>
          <w:p w14:paraId="7DC0AB03">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298" w:type="dxa"/>
            <w:noWrap w:val="0"/>
            <w:vAlign w:val="center"/>
          </w:tcPr>
          <w:p w14:paraId="39C15EE6">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746" w:type="dxa"/>
            <w:noWrap w:val="0"/>
            <w:vAlign w:val="center"/>
          </w:tcPr>
          <w:p w14:paraId="2DCC6B8D">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18" w:type="dxa"/>
            <w:noWrap w:val="0"/>
            <w:vAlign w:val="center"/>
          </w:tcPr>
          <w:p w14:paraId="4382930E">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696" w:type="dxa"/>
            <w:noWrap w:val="0"/>
            <w:vAlign w:val="center"/>
          </w:tcPr>
          <w:p w14:paraId="73D8B79A">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c>
          <w:tcPr>
            <w:tcW w:w="1261" w:type="dxa"/>
            <w:noWrap w:val="0"/>
            <w:vAlign w:val="center"/>
          </w:tcPr>
          <w:p w14:paraId="2DD36EF7">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7</w:t>
            </w:r>
          </w:p>
        </w:tc>
        <w:tc>
          <w:tcPr>
            <w:tcW w:w="1151" w:type="dxa"/>
            <w:noWrap w:val="0"/>
            <w:vAlign w:val="center"/>
          </w:tcPr>
          <w:p w14:paraId="18FA3F6A">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8</w:t>
            </w:r>
          </w:p>
        </w:tc>
      </w:tr>
      <w:tr w14:paraId="1C30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546" w:type="dxa"/>
            <w:noWrap w:val="0"/>
            <w:vAlign w:val="center"/>
          </w:tcPr>
          <w:p w14:paraId="1F63740D">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96" w:type="dxa"/>
            <w:noWrap w:val="0"/>
            <w:vAlign w:val="center"/>
          </w:tcPr>
          <w:p w14:paraId="32A5E911">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产品</w:t>
            </w:r>
          </w:p>
          <w:p w14:paraId="6D47D88A">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名称</w:t>
            </w:r>
          </w:p>
        </w:tc>
        <w:tc>
          <w:tcPr>
            <w:tcW w:w="905" w:type="dxa"/>
            <w:noWrap w:val="0"/>
            <w:vAlign w:val="center"/>
          </w:tcPr>
          <w:p w14:paraId="0E9E22FF">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品牌</w:t>
            </w:r>
          </w:p>
        </w:tc>
        <w:tc>
          <w:tcPr>
            <w:tcW w:w="1298" w:type="dxa"/>
            <w:noWrap w:val="0"/>
            <w:vAlign w:val="center"/>
          </w:tcPr>
          <w:p w14:paraId="065D94EE">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规格</w:t>
            </w:r>
          </w:p>
          <w:p w14:paraId="379A7B67">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型号</w:t>
            </w:r>
          </w:p>
        </w:tc>
        <w:tc>
          <w:tcPr>
            <w:tcW w:w="746" w:type="dxa"/>
            <w:noWrap w:val="0"/>
            <w:vAlign w:val="center"/>
          </w:tcPr>
          <w:p w14:paraId="5A09541F">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产地</w:t>
            </w:r>
          </w:p>
        </w:tc>
        <w:tc>
          <w:tcPr>
            <w:tcW w:w="918" w:type="dxa"/>
            <w:noWrap w:val="0"/>
            <w:vAlign w:val="center"/>
          </w:tcPr>
          <w:p w14:paraId="0B1F2D4C">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696" w:type="dxa"/>
            <w:noWrap w:val="0"/>
            <w:vAlign w:val="center"/>
          </w:tcPr>
          <w:p w14:paraId="630E0CEA">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261" w:type="dxa"/>
            <w:noWrap w:val="0"/>
            <w:vAlign w:val="center"/>
          </w:tcPr>
          <w:p w14:paraId="025B3B8B">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分项单价</w:t>
            </w:r>
          </w:p>
        </w:tc>
        <w:tc>
          <w:tcPr>
            <w:tcW w:w="1151" w:type="dxa"/>
            <w:noWrap w:val="0"/>
            <w:vAlign w:val="center"/>
          </w:tcPr>
          <w:p w14:paraId="4E149B31">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分项总价</w:t>
            </w:r>
          </w:p>
        </w:tc>
      </w:tr>
      <w:tr w14:paraId="76C9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blCellSpacing w:w="0" w:type="dxa"/>
        </w:trPr>
        <w:tc>
          <w:tcPr>
            <w:tcW w:w="546" w:type="dxa"/>
            <w:noWrap w:val="0"/>
            <w:vAlign w:val="center"/>
          </w:tcPr>
          <w:p w14:paraId="3FFBF97A">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996" w:type="dxa"/>
            <w:noWrap w:val="0"/>
            <w:vAlign w:val="center"/>
          </w:tcPr>
          <w:p w14:paraId="26F3FD61">
            <w:pPr>
              <w:pStyle w:val="32"/>
              <w:spacing w:beforeAutospacing="0" w:afterAutospacing="0" w:line="0" w:lineRule="atLeast"/>
              <w:jc w:val="both"/>
              <w:rPr>
                <w:color w:val="auto"/>
                <w:highlight w:val="none"/>
              </w:rPr>
            </w:pPr>
            <w:r>
              <w:rPr>
                <w:color w:val="auto"/>
                <w:highlight w:val="none"/>
              </w:rPr>
              <w:t> </w:t>
            </w:r>
          </w:p>
        </w:tc>
        <w:tc>
          <w:tcPr>
            <w:tcW w:w="905" w:type="dxa"/>
            <w:noWrap w:val="0"/>
            <w:vAlign w:val="center"/>
          </w:tcPr>
          <w:p w14:paraId="619D9B78">
            <w:pPr>
              <w:pStyle w:val="32"/>
              <w:spacing w:beforeAutospacing="0" w:afterAutospacing="0" w:line="0" w:lineRule="atLeast"/>
              <w:jc w:val="both"/>
              <w:rPr>
                <w:color w:val="auto"/>
                <w:highlight w:val="none"/>
              </w:rPr>
            </w:pPr>
            <w:r>
              <w:rPr>
                <w:color w:val="auto"/>
                <w:highlight w:val="none"/>
              </w:rPr>
              <w:t> </w:t>
            </w:r>
          </w:p>
        </w:tc>
        <w:tc>
          <w:tcPr>
            <w:tcW w:w="1298" w:type="dxa"/>
            <w:noWrap w:val="0"/>
            <w:vAlign w:val="center"/>
          </w:tcPr>
          <w:p w14:paraId="6EDD74B6">
            <w:pPr>
              <w:pStyle w:val="32"/>
              <w:spacing w:beforeAutospacing="0" w:afterAutospacing="0" w:line="0" w:lineRule="atLeast"/>
              <w:jc w:val="both"/>
              <w:rPr>
                <w:color w:val="auto"/>
                <w:highlight w:val="none"/>
              </w:rPr>
            </w:pPr>
            <w:r>
              <w:rPr>
                <w:color w:val="auto"/>
                <w:highlight w:val="none"/>
              </w:rPr>
              <w:t> </w:t>
            </w:r>
          </w:p>
        </w:tc>
        <w:tc>
          <w:tcPr>
            <w:tcW w:w="746" w:type="dxa"/>
            <w:noWrap w:val="0"/>
            <w:vAlign w:val="center"/>
          </w:tcPr>
          <w:p w14:paraId="399A844C">
            <w:pPr>
              <w:pStyle w:val="32"/>
              <w:spacing w:beforeAutospacing="0" w:afterAutospacing="0" w:line="0" w:lineRule="atLeast"/>
              <w:jc w:val="both"/>
              <w:rPr>
                <w:color w:val="auto"/>
                <w:highlight w:val="none"/>
              </w:rPr>
            </w:pPr>
            <w:r>
              <w:rPr>
                <w:color w:val="auto"/>
                <w:highlight w:val="none"/>
              </w:rPr>
              <w:t> </w:t>
            </w:r>
          </w:p>
        </w:tc>
        <w:tc>
          <w:tcPr>
            <w:tcW w:w="918" w:type="dxa"/>
            <w:noWrap w:val="0"/>
            <w:vAlign w:val="center"/>
          </w:tcPr>
          <w:p w14:paraId="39DEA5D2">
            <w:pPr>
              <w:pStyle w:val="32"/>
              <w:spacing w:beforeAutospacing="0" w:afterAutospacing="0" w:line="0" w:lineRule="atLeast"/>
              <w:jc w:val="both"/>
              <w:rPr>
                <w:color w:val="auto"/>
                <w:highlight w:val="none"/>
              </w:rPr>
            </w:pPr>
            <w:r>
              <w:rPr>
                <w:color w:val="auto"/>
                <w:highlight w:val="none"/>
              </w:rPr>
              <w:t> </w:t>
            </w:r>
          </w:p>
        </w:tc>
        <w:tc>
          <w:tcPr>
            <w:tcW w:w="696" w:type="dxa"/>
            <w:noWrap w:val="0"/>
            <w:vAlign w:val="center"/>
          </w:tcPr>
          <w:p w14:paraId="15AE3AEB">
            <w:pPr>
              <w:pStyle w:val="32"/>
              <w:spacing w:beforeAutospacing="0" w:afterAutospacing="0" w:line="0" w:lineRule="atLeast"/>
              <w:jc w:val="both"/>
              <w:rPr>
                <w:color w:val="auto"/>
                <w:highlight w:val="none"/>
              </w:rPr>
            </w:pPr>
            <w:r>
              <w:rPr>
                <w:color w:val="auto"/>
                <w:highlight w:val="none"/>
              </w:rPr>
              <w:t> </w:t>
            </w:r>
          </w:p>
        </w:tc>
        <w:tc>
          <w:tcPr>
            <w:tcW w:w="1261" w:type="dxa"/>
            <w:noWrap w:val="0"/>
            <w:vAlign w:val="center"/>
          </w:tcPr>
          <w:p w14:paraId="13B8E51E">
            <w:pPr>
              <w:pStyle w:val="32"/>
              <w:spacing w:beforeAutospacing="0" w:afterAutospacing="0" w:line="0" w:lineRule="atLeast"/>
              <w:jc w:val="both"/>
              <w:rPr>
                <w:color w:val="auto"/>
                <w:highlight w:val="none"/>
              </w:rPr>
            </w:pPr>
            <w:r>
              <w:rPr>
                <w:color w:val="auto"/>
                <w:highlight w:val="none"/>
              </w:rPr>
              <w:t> </w:t>
            </w:r>
          </w:p>
        </w:tc>
        <w:tc>
          <w:tcPr>
            <w:tcW w:w="1151" w:type="dxa"/>
            <w:noWrap w:val="0"/>
            <w:vAlign w:val="center"/>
          </w:tcPr>
          <w:p w14:paraId="5FF1DC8F">
            <w:pPr>
              <w:pStyle w:val="32"/>
              <w:spacing w:beforeAutospacing="0" w:afterAutospacing="0" w:line="0" w:lineRule="atLeast"/>
              <w:jc w:val="both"/>
              <w:rPr>
                <w:color w:val="auto"/>
                <w:highlight w:val="none"/>
              </w:rPr>
            </w:pPr>
            <w:r>
              <w:rPr>
                <w:color w:val="auto"/>
                <w:highlight w:val="none"/>
              </w:rPr>
              <w:t> </w:t>
            </w:r>
          </w:p>
        </w:tc>
      </w:tr>
      <w:tr w14:paraId="47A9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blCellSpacing w:w="0" w:type="dxa"/>
        </w:trPr>
        <w:tc>
          <w:tcPr>
            <w:tcW w:w="546" w:type="dxa"/>
            <w:noWrap w:val="0"/>
            <w:vAlign w:val="center"/>
          </w:tcPr>
          <w:p w14:paraId="2636C1A1">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996" w:type="dxa"/>
            <w:noWrap w:val="0"/>
            <w:vAlign w:val="center"/>
          </w:tcPr>
          <w:p w14:paraId="3A2286EA">
            <w:pPr>
              <w:pStyle w:val="32"/>
              <w:spacing w:beforeAutospacing="0" w:afterAutospacing="0" w:line="0" w:lineRule="atLeast"/>
              <w:jc w:val="both"/>
              <w:rPr>
                <w:color w:val="auto"/>
                <w:highlight w:val="none"/>
              </w:rPr>
            </w:pPr>
            <w:r>
              <w:rPr>
                <w:color w:val="auto"/>
                <w:highlight w:val="none"/>
              </w:rPr>
              <w:t> </w:t>
            </w:r>
          </w:p>
        </w:tc>
        <w:tc>
          <w:tcPr>
            <w:tcW w:w="905" w:type="dxa"/>
            <w:noWrap w:val="0"/>
            <w:vAlign w:val="center"/>
          </w:tcPr>
          <w:p w14:paraId="174E7BCB">
            <w:pPr>
              <w:pStyle w:val="32"/>
              <w:spacing w:beforeAutospacing="0" w:afterAutospacing="0" w:line="0" w:lineRule="atLeast"/>
              <w:jc w:val="both"/>
              <w:rPr>
                <w:color w:val="auto"/>
                <w:highlight w:val="none"/>
              </w:rPr>
            </w:pPr>
            <w:r>
              <w:rPr>
                <w:color w:val="auto"/>
                <w:highlight w:val="none"/>
              </w:rPr>
              <w:t> </w:t>
            </w:r>
          </w:p>
        </w:tc>
        <w:tc>
          <w:tcPr>
            <w:tcW w:w="1298" w:type="dxa"/>
            <w:noWrap w:val="0"/>
            <w:vAlign w:val="center"/>
          </w:tcPr>
          <w:p w14:paraId="34C71F1E">
            <w:pPr>
              <w:pStyle w:val="32"/>
              <w:spacing w:beforeAutospacing="0" w:afterAutospacing="0" w:line="0" w:lineRule="atLeast"/>
              <w:jc w:val="both"/>
              <w:rPr>
                <w:color w:val="auto"/>
                <w:highlight w:val="none"/>
              </w:rPr>
            </w:pPr>
            <w:r>
              <w:rPr>
                <w:color w:val="auto"/>
                <w:highlight w:val="none"/>
              </w:rPr>
              <w:t> </w:t>
            </w:r>
          </w:p>
        </w:tc>
        <w:tc>
          <w:tcPr>
            <w:tcW w:w="746" w:type="dxa"/>
            <w:noWrap w:val="0"/>
            <w:vAlign w:val="center"/>
          </w:tcPr>
          <w:p w14:paraId="78BC09E2">
            <w:pPr>
              <w:pStyle w:val="32"/>
              <w:spacing w:beforeAutospacing="0" w:afterAutospacing="0" w:line="0" w:lineRule="atLeast"/>
              <w:jc w:val="both"/>
              <w:rPr>
                <w:color w:val="auto"/>
                <w:highlight w:val="none"/>
              </w:rPr>
            </w:pPr>
            <w:r>
              <w:rPr>
                <w:color w:val="auto"/>
                <w:highlight w:val="none"/>
              </w:rPr>
              <w:t> </w:t>
            </w:r>
          </w:p>
        </w:tc>
        <w:tc>
          <w:tcPr>
            <w:tcW w:w="918" w:type="dxa"/>
            <w:noWrap w:val="0"/>
            <w:vAlign w:val="center"/>
          </w:tcPr>
          <w:p w14:paraId="5A78DBDE">
            <w:pPr>
              <w:pStyle w:val="32"/>
              <w:spacing w:beforeAutospacing="0" w:afterAutospacing="0" w:line="0" w:lineRule="atLeast"/>
              <w:jc w:val="both"/>
              <w:rPr>
                <w:color w:val="auto"/>
                <w:highlight w:val="none"/>
              </w:rPr>
            </w:pPr>
            <w:r>
              <w:rPr>
                <w:color w:val="auto"/>
                <w:highlight w:val="none"/>
              </w:rPr>
              <w:t> </w:t>
            </w:r>
          </w:p>
        </w:tc>
        <w:tc>
          <w:tcPr>
            <w:tcW w:w="696" w:type="dxa"/>
            <w:noWrap w:val="0"/>
            <w:vAlign w:val="center"/>
          </w:tcPr>
          <w:p w14:paraId="19EEEC4A">
            <w:pPr>
              <w:pStyle w:val="32"/>
              <w:spacing w:beforeAutospacing="0" w:afterAutospacing="0" w:line="0" w:lineRule="atLeast"/>
              <w:jc w:val="both"/>
              <w:rPr>
                <w:color w:val="auto"/>
                <w:highlight w:val="none"/>
              </w:rPr>
            </w:pPr>
            <w:r>
              <w:rPr>
                <w:color w:val="auto"/>
                <w:highlight w:val="none"/>
              </w:rPr>
              <w:t> </w:t>
            </w:r>
          </w:p>
        </w:tc>
        <w:tc>
          <w:tcPr>
            <w:tcW w:w="1261" w:type="dxa"/>
            <w:noWrap w:val="0"/>
            <w:vAlign w:val="center"/>
          </w:tcPr>
          <w:p w14:paraId="3E9FEE38">
            <w:pPr>
              <w:pStyle w:val="32"/>
              <w:spacing w:beforeAutospacing="0" w:afterAutospacing="0" w:line="0" w:lineRule="atLeast"/>
              <w:jc w:val="both"/>
              <w:rPr>
                <w:color w:val="auto"/>
                <w:highlight w:val="none"/>
              </w:rPr>
            </w:pPr>
            <w:r>
              <w:rPr>
                <w:color w:val="auto"/>
                <w:highlight w:val="none"/>
              </w:rPr>
              <w:t> </w:t>
            </w:r>
          </w:p>
        </w:tc>
        <w:tc>
          <w:tcPr>
            <w:tcW w:w="1151" w:type="dxa"/>
            <w:noWrap w:val="0"/>
            <w:vAlign w:val="center"/>
          </w:tcPr>
          <w:p w14:paraId="5B1F1E38">
            <w:pPr>
              <w:pStyle w:val="32"/>
              <w:spacing w:beforeAutospacing="0" w:afterAutospacing="0" w:line="0" w:lineRule="atLeast"/>
              <w:jc w:val="both"/>
              <w:rPr>
                <w:color w:val="auto"/>
                <w:highlight w:val="none"/>
              </w:rPr>
            </w:pPr>
            <w:r>
              <w:rPr>
                <w:color w:val="auto"/>
                <w:highlight w:val="none"/>
              </w:rPr>
              <w:t> </w:t>
            </w:r>
          </w:p>
        </w:tc>
      </w:tr>
      <w:tr w14:paraId="59D1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46" w:type="dxa"/>
            <w:noWrap w:val="0"/>
            <w:vAlign w:val="center"/>
          </w:tcPr>
          <w:p w14:paraId="6EC2AAE4">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96" w:type="dxa"/>
            <w:noWrap w:val="0"/>
            <w:vAlign w:val="center"/>
          </w:tcPr>
          <w:p w14:paraId="7D239658">
            <w:pPr>
              <w:pStyle w:val="32"/>
              <w:spacing w:beforeAutospacing="0" w:afterAutospacing="0" w:line="0" w:lineRule="atLeast"/>
              <w:jc w:val="both"/>
              <w:rPr>
                <w:color w:val="auto"/>
                <w:highlight w:val="none"/>
              </w:rPr>
            </w:pPr>
            <w:r>
              <w:rPr>
                <w:color w:val="auto"/>
                <w:highlight w:val="none"/>
              </w:rPr>
              <w:t> </w:t>
            </w:r>
          </w:p>
        </w:tc>
        <w:tc>
          <w:tcPr>
            <w:tcW w:w="905" w:type="dxa"/>
            <w:noWrap w:val="0"/>
            <w:vAlign w:val="center"/>
          </w:tcPr>
          <w:p w14:paraId="576AB23E">
            <w:pPr>
              <w:pStyle w:val="32"/>
              <w:spacing w:beforeAutospacing="0" w:afterAutospacing="0" w:line="0" w:lineRule="atLeast"/>
              <w:jc w:val="both"/>
              <w:rPr>
                <w:color w:val="auto"/>
                <w:highlight w:val="none"/>
              </w:rPr>
            </w:pPr>
            <w:r>
              <w:rPr>
                <w:color w:val="auto"/>
                <w:highlight w:val="none"/>
              </w:rPr>
              <w:t> </w:t>
            </w:r>
          </w:p>
        </w:tc>
        <w:tc>
          <w:tcPr>
            <w:tcW w:w="1298" w:type="dxa"/>
            <w:noWrap w:val="0"/>
            <w:vAlign w:val="center"/>
          </w:tcPr>
          <w:p w14:paraId="7A3E7613">
            <w:pPr>
              <w:pStyle w:val="32"/>
              <w:spacing w:beforeAutospacing="0" w:afterAutospacing="0" w:line="0" w:lineRule="atLeast"/>
              <w:jc w:val="both"/>
              <w:rPr>
                <w:color w:val="auto"/>
                <w:highlight w:val="none"/>
              </w:rPr>
            </w:pPr>
            <w:r>
              <w:rPr>
                <w:color w:val="auto"/>
                <w:highlight w:val="none"/>
              </w:rPr>
              <w:t> </w:t>
            </w:r>
          </w:p>
        </w:tc>
        <w:tc>
          <w:tcPr>
            <w:tcW w:w="746" w:type="dxa"/>
            <w:noWrap w:val="0"/>
            <w:vAlign w:val="center"/>
          </w:tcPr>
          <w:p w14:paraId="5FDFD444">
            <w:pPr>
              <w:pStyle w:val="32"/>
              <w:spacing w:beforeAutospacing="0" w:afterAutospacing="0" w:line="0" w:lineRule="atLeast"/>
              <w:jc w:val="both"/>
              <w:rPr>
                <w:color w:val="auto"/>
                <w:highlight w:val="none"/>
              </w:rPr>
            </w:pPr>
            <w:r>
              <w:rPr>
                <w:color w:val="auto"/>
                <w:highlight w:val="none"/>
              </w:rPr>
              <w:t> </w:t>
            </w:r>
          </w:p>
        </w:tc>
        <w:tc>
          <w:tcPr>
            <w:tcW w:w="918" w:type="dxa"/>
            <w:noWrap w:val="0"/>
            <w:vAlign w:val="center"/>
          </w:tcPr>
          <w:p w14:paraId="109DAEE4">
            <w:pPr>
              <w:pStyle w:val="32"/>
              <w:spacing w:beforeAutospacing="0" w:afterAutospacing="0" w:line="0" w:lineRule="atLeast"/>
              <w:jc w:val="both"/>
              <w:rPr>
                <w:color w:val="auto"/>
                <w:highlight w:val="none"/>
              </w:rPr>
            </w:pPr>
            <w:r>
              <w:rPr>
                <w:color w:val="auto"/>
                <w:highlight w:val="none"/>
              </w:rPr>
              <w:t> </w:t>
            </w:r>
          </w:p>
        </w:tc>
        <w:tc>
          <w:tcPr>
            <w:tcW w:w="696" w:type="dxa"/>
            <w:noWrap w:val="0"/>
            <w:vAlign w:val="center"/>
          </w:tcPr>
          <w:p w14:paraId="5BEC8968">
            <w:pPr>
              <w:pStyle w:val="32"/>
              <w:spacing w:beforeAutospacing="0" w:afterAutospacing="0" w:line="0" w:lineRule="atLeast"/>
              <w:jc w:val="both"/>
              <w:rPr>
                <w:color w:val="auto"/>
                <w:highlight w:val="none"/>
              </w:rPr>
            </w:pPr>
            <w:r>
              <w:rPr>
                <w:color w:val="auto"/>
                <w:highlight w:val="none"/>
              </w:rPr>
              <w:t> </w:t>
            </w:r>
          </w:p>
        </w:tc>
        <w:tc>
          <w:tcPr>
            <w:tcW w:w="1261" w:type="dxa"/>
            <w:noWrap w:val="0"/>
            <w:vAlign w:val="center"/>
          </w:tcPr>
          <w:p w14:paraId="2D4CD6C6">
            <w:pPr>
              <w:pStyle w:val="32"/>
              <w:spacing w:beforeAutospacing="0" w:afterAutospacing="0" w:line="0" w:lineRule="atLeast"/>
              <w:jc w:val="both"/>
              <w:rPr>
                <w:color w:val="auto"/>
                <w:highlight w:val="none"/>
              </w:rPr>
            </w:pPr>
            <w:r>
              <w:rPr>
                <w:color w:val="auto"/>
                <w:highlight w:val="none"/>
              </w:rPr>
              <w:t> </w:t>
            </w:r>
          </w:p>
        </w:tc>
        <w:tc>
          <w:tcPr>
            <w:tcW w:w="1151" w:type="dxa"/>
            <w:noWrap w:val="0"/>
            <w:vAlign w:val="center"/>
          </w:tcPr>
          <w:p w14:paraId="06774169">
            <w:pPr>
              <w:pStyle w:val="32"/>
              <w:spacing w:beforeAutospacing="0" w:afterAutospacing="0" w:line="0" w:lineRule="atLeast"/>
              <w:jc w:val="both"/>
              <w:rPr>
                <w:color w:val="auto"/>
                <w:highlight w:val="none"/>
              </w:rPr>
            </w:pPr>
            <w:r>
              <w:rPr>
                <w:color w:val="auto"/>
                <w:highlight w:val="none"/>
              </w:rPr>
              <w:t> </w:t>
            </w:r>
          </w:p>
        </w:tc>
      </w:tr>
      <w:tr w14:paraId="2E3AB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CellSpacing w:w="0" w:type="dxa"/>
        </w:trPr>
        <w:tc>
          <w:tcPr>
            <w:tcW w:w="546" w:type="dxa"/>
            <w:noWrap w:val="0"/>
            <w:vAlign w:val="center"/>
          </w:tcPr>
          <w:p w14:paraId="4D16EE4D">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996" w:type="dxa"/>
            <w:noWrap w:val="0"/>
            <w:vAlign w:val="center"/>
          </w:tcPr>
          <w:p w14:paraId="3F21CB43">
            <w:pPr>
              <w:pStyle w:val="32"/>
              <w:spacing w:beforeAutospacing="0" w:afterAutospacing="0" w:line="0" w:lineRule="atLeast"/>
              <w:jc w:val="both"/>
              <w:rPr>
                <w:color w:val="auto"/>
                <w:highlight w:val="none"/>
              </w:rPr>
            </w:pPr>
            <w:r>
              <w:rPr>
                <w:rFonts w:hint="eastAsia" w:ascii="宋体" w:hAnsi="宋体" w:eastAsia="宋体" w:cs="宋体"/>
                <w:color w:val="auto"/>
                <w:highlight w:val="none"/>
              </w:rPr>
              <w:t>……</w:t>
            </w:r>
          </w:p>
        </w:tc>
        <w:tc>
          <w:tcPr>
            <w:tcW w:w="905" w:type="dxa"/>
            <w:noWrap w:val="0"/>
            <w:vAlign w:val="center"/>
          </w:tcPr>
          <w:p w14:paraId="343632C7">
            <w:pPr>
              <w:pStyle w:val="32"/>
              <w:spacing w:beforeAutospacing="0" w:afterAutospacing="0" w:line="0" w:lineRule="atLeast"/>
              <w:jc w:val="both"/>
              <w:rPr>
                <w:color w:val="auto"/>
                <w:highlight w:val="none"/>
              </w:rPr>
            </w:pPr>
            <w:r>
              <w:rPr>
                <w:color w:val="auto"/>
                <w:highlight w:val="none"/>
              </w:rPr>
              <w:t> </w:t>
            </w:r>
          </w:p>
        </w:tc>
        <w:tc>
          <w:tcPr>
            <w:tcW w:w="1298" w:type="dxa"/>
            <w:noWrap w:val="0"/>
            <w:vAlign w:val="center"/>
          </w:tcPr>
          <w:p w14:paraId="2FE93184">
            <w:pPr>
              <w:pStyle w:val="32"/>
              <w:spacing w:beforeAutospacing="0" w:afterAutospacing="0" w:line="0" w:lineRule="atLeast"/>
              <w:jc w:val="both"/>
              <w:rPr>
                <w:color w:val="auto"/>
                <w:highlight w:val="none"/>
              </w:rPr>
            </w:pPr>
            <w:r>
              <w:rPr>
                <w:color w:val="auto"/>
                <w:highlight w:val="none"/>
              </w:rPr>
              <w:t> </w:t>
            </w:r>
          </w:p>
        </w:tc>
        <w:tc>
          <w:tcPr>
            <w:tcW w:w="746" w:type="dxa"/>
            <w:noWrap w:val="0"/>
            <w:vAlign w:val="center"/>
          </w:tcPr>
          <w:p w14:paraId="68727E04">
            <w:pPr>
              <w:pStyle w:val="32"/>
              <w:spacing w:beforeAutospacing="0" w:afterAutospacing="0" w:line="0" w:lineRule="atLeast"/>
              <w:jc w:val="both"/>
              <w:rPr>
                <w:color w:val="auto"/>
                <w:highlight w:val="none"/>
              </w:rPr>
            </w:pPr>
            <w:r>
              <w:rPr>
                <w:color w:val="auto"/>
                <w:highlight w:val="none"/>
              </w:rPr>
              <w:t> </w:t>
            </w:r>
          </w:p>
        </w:tc>
        <w:tc>
          <w:tcPr>
            <w:tcW w:w="918" w:type="dxa"/>
            <w:noWrap w:val="0"/>
            <w:vAlign w:val="center"/>
          </w:tcPr>
          <w:p w14:paraId="025A5D20">
            <w:pPr>
              <w:pStyle w:val="32"/>
              <w:spacing w:beforeAutospacing="0" w:afterAutospacing="0" w:line="0" w:lineRule="atLeast"/>
              <w:jc w:val="both"/>
              <w:rPr>
                <w:color w:val="auto"/>
                <w:highlight w:val="none"/>
              </w:rPr>
            </w:pPr>
            <w:r>
              <w:rPr>
                <w:color w:val="auto"/>
                <w:highlight w:val="none"/>
              </w:rPr>
              <w:t> </w:t>
            </w:r>
          </w:p>
        </w:tc>
        <w:tc>
          <w:tcPr>
            <w:tcW w:w="696" w:type="dxa"/>
            <w:noWrap w:val="0"/>
            <w:vAlign w:val="center"/>
          </w:tcPr>
          <w:p w14:paraId="2E9A5D5F">
            <w:pPr>
              <w:pStyle w:val="32"/>
              <w:spacing w:beforeAutospacing="0" w:afterAutospacing="0" w:line="0" w:lineRule="atLeast"/>
              <w:jc w:val="both"/>
              <w:rPr>
                <w:color w:val="auto"/>
                <w:highlight w:val="none"/>
              </w:rPr>
            </w:pPr>
            <w:r>
              <w:rPr>
                <w:color w:val="auto"/>
                <w:highlight w:val="none"/>
              </w:rPr>
              <w:t> </w:t>
            </w:r>
          </w:p>
        </w:tc>
        <w:tc>
          <w:tcPr>
            <w:tcW w:w="1261" w:type="dxa"/>
            <w:noWrap w:val="0"/>
            <w:vAlign w:val="center"/>
          </w:tcPr>
          <w:p w14:paraId="7B0DC860">
            <w:pPr>
              <w:pStyle w:val="32"/>
              <w:spacing w:beforeAutospacing="0" w:afterAutospacing="0" w:line="0" w:lineRule="atLeast"/>
              <w:jc w:val="both"/>
              <w:rPr>
                <w:color w:val="auto"/>
                <w:highlight w:val="none"/>
              </w:rPr>
            </w:pPr>
            <w:r>
              <w:rPr>
                <w:color w:val="auto"/>
                <w:highlight w:val="none"/>
              </w:rPr>
              <w:t> </w:t>
            </w:r>
          </w:p>
        </w:tc>
        <w:tc>
          <w:tcPr>
            <w:tcW w:w="1151" w:type="dxa"/>
            <w:noWrap w:val="0"/>
            <w:vAlign w:val="center"/>
          </w:tcPr>
          <w:p w14:paraId="1730B6F7">
            <w:pPr>
              <w:pStyle w:val="32"/>
              <w:spacing w:beforeAutospacing="0" w:afterAutospacing="0" w:line="0" w:lineRule="atLeast"/>
              <w:jc w:val="both"/>
              <w:rPr>
                <w:color w:val="auto"/>
                <w:highlight w:val="none"/>
              </w:rPr>
            </w:pPr>
            <w:r>
              <w:rPr>
                <w:color w:val="auto"/>
                <w:highlight w:val="none"/>
              </w:rPr>
              <w:t> </w:t>
            </w:r>
          </w:p>
        </w:tc>
      </w:tr>
      <w:tr w14:paraId="4812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CellSpacing w:w="0" w:type="dxa"/>
        </w:trPr>
        <w:tc>
          <w:tcPr>
            <w:tcW w:w="7366" w:type="dxa"/>
            <w:gridSpan w:val="8"/>
            <w:noWrap w:val="0"/>
            <w:vAlign w:val="center"/>
          </w:tcPr>
          <w:p w14:paraId="11D03F13">
            <w:pPr>
              <w:pStyle w:val="32"/>
              <w:spacing w:beforeAutospacing="0" w:afterAutospacing="0"/>
              <w:jc w:val="center"/>
              <w:rPr>
                <w:color w:val="auto"/>
                <w:highlight w:val="none"/>
              </w:rPr>
            </w:pPr>
            <w:r>
              <w:rPr>
                <w:rFonts w:hint="eastAsia" w:ascii="宋体" w:hAnsi="宋体" w:eastAsia="宋体" w:cs="宋体"/>
                <w:color w:val="auto"/>
                <w:highlight w:val="none"/>
              </w:rPr>
              <w:t>投标总报价（人民币：元）</w:t>
            </w:r>
          </w:p>
        </w:tc>
        <w:tc>
          <w:tcPr>
            <w:tcW w:w="1151" w:type="dxa"/>
            <w:noWrap w:val="0"/>
            <w:vAlign w:val="center"/>
          </w:tcPr>
          <w:p w14:paraId="4A81C1C9">
            <w:pPr>
              <w:pStyle w:val="32"/>
              <w:spacing w:beforeAutospacing="0" w:afterAutospacing="0"/>
              <w:jc w:val="both"/>
              <w:rPr>
                <w:color w:val="auto"/>
                <w:highlight w:val="none"/>
              </w:rPr>
            </w:pPr>
            <w:r>
              <w:rPr>
                <w:color w:val="auto"/>
                <w:highlight w:val="none"/>
              </w:rPr>
              <w:t> </w:t>
            </w:r>
          </w:p>
        </w:tc>
      </w:tr>
      <w:tr w14:paraId="49AF7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CellSpacing w:w="0" w:type="dxa"/>
        </w:trPr>
        <w:tc>
          <w:tcPr>
            <w:tcW w:w="8517" w:type="dxa"/>
            <w:gridSpan w:val="9"/>
            <w:noWrap w:val="0"/>
            <w:vAlign w:val="center"/>
          </w:tcPr>
          <w:p w14:paraId="50119AC4">
            <w:pPr>
              <w:pStyle w:val="32"/>
              <w:spacing w:beforeAutospacing="0" w:afterAutospacing="0"/>
              <w:jc w:val="both"/>
              <w:rPr>
                <w:color w:val="auto"/>
                <w:highlight w:val="none"/>
              </w:rPr>
            </w:pPr>
            <w:r>
              <w:rPr>
                <w:rFonts w:hint="eastAsia" w:ascii="宋体" w:hAnsi="宋体" w:eastAsia="宋体" w:cs="宋体"/>
                <w:color w:val="auto"/>
                <w:highlight w:val="none"/>
              </w:rPr>
              <w:t>本采购包中提供的符合本国产品标准的产品成本之和占该采购包提供的全部产品成本之和的比例为________%。</w:t>
            </w:r>
            <w:bookmarkEnd w:id="229"/>
          </w:p>
        </w:tc>
      </w:tr>
    </w:tbl>
    <w:p w14:paraId="7DE41E51">
      <w:pPr>
        <w:pBdr>
          <w:top w:val="none" w:color="000000" w:sz="0" w:space="0"/>
          <w:left w:val="none" w:color="000000" w:sz="0" w:space="23"/>
          <w:bottom w:val="none" w:color="000000" w:sz="0" w:space="0"/>
          <w:right w:val="none" w:color="000000" w:sz="0" w:space="0"/>
        </w:pBdr>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备注：</w:t>
      </w:r>
    </w:p>
    <w:p w14:paraId="4A9670EE">
      <w:pPr>
        <w:pBdr>
          <w:top w:val="none" w:color="000000" w:sz="0" w:space="0"/>
          <w:left w:val="none" w:color="000000" w:sz="0" w:space="23"/>
          <w:bottom w:val="none" w:color="000000" w:sz="0" w:space="0"/>
          <w:right w:val="none" w:color="000000" w:sz="0" w:space="0"/>
        </w:pBd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p>
    <w:p w14:paraId="087129FE">
      <w:pPr>
        <w:pBdr>
          <w:top w:val="none" w:color="000000" w:sz="0" w:space="0"/>
          <w:left w:val="none" w:color="000000" w:sz="0" w:space="23"/>
          <w:bottom w:val="none" w:color="000000" w:sz="0" w:space="0"/>
          <w:right w:val="none" w:color="000000" w:sz="0" w:space="0"/>
        </w:pBd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2.“投标分项报价表”中“投标总报价”数额应当与“开标一览表”中</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投标总价数额一致</w:t>
      </w:r>
      <w:r>
        <w:rPr>
          <w:rFonts w:ascii="宋体" w:hAnsi="宋体" w:eastAsia="宋体" w:cs="宋体"/>
          <w:color w:val="auto"/>
          <w:sz w:val="24"/>
          <w:highlight w:val="none"/>
        </w:rPr>
        <w:t>。</w:t>
      </w:r>
    </w:p>
    <w:p w14:paraId="2989BBE8">
      <w:pPr>
        <w:tabs>
          <w:tab w:val="left" w:pos="84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ascii="宋体" w:hAnsi="宋体" w:eastAsia="宋体" w:cs="宋体"/>
          <w:color w:val="auto"/>
          <w:sz w:val="24"/>
          <w:highlight w:val="none"/>
        </w:rPr>
        <w:t>.</w:t>
      </w:r>
      <w:r>
        <w:rPr>
          <w:rFonts w:hint="eastAsia" w:ascii="宋体" w:hAnsi="宋体" w:eastAsia="宋体" w:cs="宋体"/>
          <w:color w:val="auto"/>
          <w:sz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AD12DE4">
      <w:pPr>
        <w:spacing w:line="360" w:lineRule="auto"/>
        <w:rPr>
          <w:rFonts w:hint="eastAsia" w:ascii="宋体" w:hAnsi="宋体" w:eastAsia="宋体"/>
          <w:color w:val="auto"/>
          <w:sz w:val="24"/>
          <w:highlight w:val="none"/>
        </w:rPr>
      </w:pPr>
    </w:p>
    <w:p w14:paraId="01968247">
      <w:pPr>
        <w:spacing w:line="360" w:lineRule="auto"/>
        <w:jc w:val="right"/>
        <w:rPr>
          <w:rFonts w:hint="eastAsia" w:ascii="宋体" w:hAnsi="宋体" w:eastAsia="宋体"/>
          <w:color w:val="auto"/>
          <w:sz w:val="24"/>
          <w:highlight w:val="none"/>
        </w:rPr>
      </w:pPr>
      <w:r>
        <w:rPr>
          <w:rFonts w:hint="eastAsia" w:ascii="宋体" w:hAnsi="宋体" w:eastAsia="宋体"/>
          <w:color w:val="auto"/>
          <w:sz w:val="24"/>
          <w:highlight w:val="none"/>
        </w:rPr>
        <w:t>供应商全称（加盖CA电子公章）：</w:t>
      </w:r>
    </w:p>
    <w:p w14:paraId="48C333E8">
      <w:pPr>
        <w:spacing w:line="360" w:lineRule="auto"/>
        <w:jc w:val="right"/>
        <w:rPr>
          <w:color w:val="auto"/>
          <w:highlight w:val="none"/>
        </w:rPr>
      </w:pPr>
      <w:r>
        <w:rPr>
          <w:rFonts w:hint="eastAsia" w:ascii="宋体" w:hAnsi="宋体" w:eastAsia="宋体"/>
          <w:color w:val="auto"/>
          <w:sz w:val="24"/>
          <w:highlight w:val="none"/>
        </w:rPr>
        <w:t>日  期：</w:t>
      </w:r>
      <w:bookmarkEnd w:id="230"/>
      <w:r>
        <w:rPr>
          <w:color w:val="auto"/>
          <w:highlight w:val="none"/>
        </w:rPr>
        <w:t> </w:t>
      </w:r>
    </w:p>
    <w:p w14:paraId="3D2A73C0">
      <w:pPr>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br w:type="page"/>
      </w:r>
    </w:p>
    <w:p w14:paraId="4D4A35B6">
      <w:pPr>
        <w:spacing w:after="120" w:line="500" w:lineRule="exact"/>
        <w:rPr>
          <w:rFonts w:hint="eastAsia" w:ascii="宋体" w:hAnsi="宋体" w:eastAsia="宋体"/>
          <w:b/>
          <w:color w:val="auto"/>
          <w:highlight w:val="none"/>
          <w:lang w:eastAsia="zh-CN"/>
        </w:rPr>
      </w:pPr>
      <w:r>
        <w:rPr>
          <w:rFonts w:hint="eastAsia" w:ascii="宋体" w:hAnsi="宋体" w:eastAsia="宋体"/>
          <w:color w:val="auto"/>
          <w:highlight w:val="none"/>
          <w:lang w:eastAsia="zh-CN"/>
        </w:rPr>
        <w:t>格式四：参数偏离表</w:t>
      </w:r>
    </w:p>
    <w:p w14:paraId="2DAE1D84">
      <w:pPr>
        <w:rPr>
          <w:rFonts w:hint="eastAsia" w:ascii="宋体" w:hAnsi="宋体" w:eastAsia="宋体"/>
          <w:b/>
          <w:color w:val="auto"/>
          <w:sz w:val="21"/>
          <w:highlight w:val="none"/>
          <w:lang w:eastAsia="zh-CN"/>
        </w:rPr>
      </w:pPr>
      <w:bookmarkStart w:id="231" w:name="OLE_LINK57"/>
    </w:p>
    <w:p w14:paraId="684632C2">
      <w:pPr>
        <w:pStyle w:val="32"/>
        <w:spacing w:beforeAutospacing="0" w:afterAutospacing="0"/>
        <w:jc w:val="center"/>
        <w:rPr>
          <w:color w:val="auto"/>
          <w:highlight w:val="none"/>
        </w:rPr>
      </w:pPr>
      <w:bookmarkStart w:id="232" w:name="OLE_LINK104"/>
      <w:bookmarkStart w:id="233" w:name="OLE_LINK56"/>
      <w:bookmarkStart w:id="234" w:name="OLE_LINK115"/>
      <w:r>
        <w:rPr>
          <w:rFonts w:hint="eastAsia" w:ascii="黑体" w:hAnsi="宋体" w:eastAsia="黑体" w:cs="黑体"/>
          <w:b/>
          <w:color w:val="auto"/>
          <w:sz w:val="32"/>
          <w:szCs w:val="32"/>
          <w:highlight w:val="none"/>
        </w:rPr>
        <w:t>技术需求响应及偏离表</w:t>
      </w:r>
    </w:p>
    <w:tbl>
      <w:tblPr>
        <w:tblStyle w:val="36"/>
        <w:tblW w:w="8897" w:type="dxa"/>
        <w:tblCellSpacing w:w="0" w:type="dxa"/>
        <w:tblInd w:w="10" w:type="dxa"/>
        <w:tblLayout w:type="fixed"/>
        <w:tblCellMar>
          <w:top w:w="0" w:type="dxa"/>
          <w:left w:w="108" w:type="dxa"/>
          <w:bottom w:w="0" w:type="dxa"/>
          <w:right w:w="108" w:type="dxa"/>
        </w:tblCellMar>
      </w:tblPr>
      <w:tblGrid>
        <w:gridCol w:w="817"/>
        <w:gridCol w:w="2126"/>
        <w:gridCol w:w="2127"/>
        <w:gridCol w:w="2126"/>
        <w:gridCol w:w="1701"/>
      </w:tblGrid>
      <w:tr w14:paraId="49396A3B">
        <w:tblPrEx>
          <w:tblCellMar>
            <w:top w:w="0" w:type="dxa"/>
            <w:left w:w="108" w:type="dxa"/>
            <w:bottom w:w="0" w:type="dxa"/>
            <w:right w:w="108" w:type="dxa"/>
          </w:tblCellMar>
        </w:tblPrEx>
        <w:trPr>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793DC9CC">
            <w:pPr>
              <w:pStyle w:val="32"/>
              <w:spacing w:beforeAutospacing="0" w:afterAutospacing="0"/>
              <w:jc w:val="center"/>
              <w:rPr>
                <w:color w:val="auto"/>
                <w:highlight w:val="none"/>
              </w:rPr>
            </w:pPr>
            <w:r>
              <w:rPr>
                <w:rFonts w:hint="eastAsia" w:ascii="宋体" w:hAnsi="宋体" w:eastAsia="宋体" w:cs="宋体"/>
                <w:color w:val="auto"/>
                <w:highlight w:val="none"/>
              </w:rPr>
              <w:t>序号</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88CCC39">
            <w:pPr>
              <w:pStyle w:val="32"/>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50C1297C">
            <w:pPr>
              <w:pStyle w:val="32"/>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F40C429">
            <w:pPr>
              <w:pStyle w:val="32"/>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13B9AB31">
            <w:pPr>
              <w:pStyle w:val="32"/>
              <w:spacing w:beforeAutospacing="0" w:afterAutospacing="0"/>
              <w:jc w:val="center"/>
              <w:rPr>
                <w:color w:val="auto"/>
                <w:highlight w:val="none"/>
              </w:rPr>
            </w:pPr>
            <w:r>
              <w:rPr>
                <w:rFonts w:hint="eastAsia" w:ascii="宋体" w:hAnsi="宋体" w:eastAsia="宋体" w:cs="宋体"/>
                <w:color w:val="auto"/>
                <w:highlight w:val="none"/>
              </w:rPr>
              <w:t>证明</w:t>
            </w:r>
          </w:p>
          <w:p w14:paraId="74A8833A">
            <w:pPr>
              <w:pStyle w:val="32"/>
              <w:spacing w:beforeAutospacing="0" w:afterAutospacing="0"/>
              <w:jc w:val="center"/>
              <w:rPr>
                <w:color w:val="auto"/>
                <w:highlight w:val="none"/>
              </w:rPr>
            </w:pPr>
            <w:r>
              <w:rPr>
                <w:rFonts w:hint="eastAsia" w:ascii="宋体" w:hAnsi="宋体" w:eastAsia="宋体" w:cs="宋体"/>
                <w:color w:val="auto"/>
                <w:highlight w:val="none"/>
              </w:rPr>
              <w:t>材料页码</w:t>
            </w:r>
          </w:p>
        </w:tc>
      </w:tr>
      <w:tr w14:paraId="794878CD">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7C078D01">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8D2BAB0">
            <w:pPr>
              <w:pStyle w:val="32"/>
              <w:spacing w:beforeAutospacing="0" w:afterAutospacing="0"/>
              <w:jc w:val="center"/>
              <w:rPr>
                <w:color w:val="auto"/>
                <w:highlight w:val="none"/>
              </w:rPr>
            </w:pPr>
            <w:r>
              <w:rPr>
                <w:color w:val="auto"/>
                <w:highlight w:val="none"/>
              </w:rPr>
              <w:t> </w:t>
            </w: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5088F518">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8C0C895">
            <w:pPr>
              <w:pStyle w:val="32"/>
              <w:spacing w:beforeAutospacing="0" w:afterAutospacing="0"/>
              <w:jc w:val="center"/>
              <w:rPr>
                <w:color w:val="auto"/>
                <w:highlight w:val="none"/>
              </w:rPr>
            </w:pPr>
            <w:r>
              <w:rPr>
                <w:color w:val="auto"/>
                <w:highlight w:val="none"/>
              </w:rPr>
              <w:t> </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45E05538">
            <w:pPr>
              <w:pStyle w:val="32"/>
              <w:spacing w:beforeAutospacing="0" w:afterAutospacing="0"/>
              <w:jc w:val="center"/>
              <w:rPr>
                <w:color w:val="auto"/>
                <w:highlight w:val="none"/>
              </w:rPr>
            </w:pPr>
            <w:r>
              <w:rPr>
                <w:color w:val="auto"/>
                <w:highlight w:val="none"/>
              </w:rPr>
              <w:t> </w:t>
            </w:r>
          </w:p>
        </w:tc>
      </w:tr>
      <w:tr w14:paraId="0DC1C833">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636C032D">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18670B9A">
            <w:pPr>
              <w:pStyle w:val="32"/>
              <w:spacing w:beforeAutospacing="0" w:afterAutospacing="0"/>
              <w:jc w:val="center"/>
              <w:rPr>
                <w:color w:val="auto"/>
                <w:highlight w:val="none"/>
              </w:rPr>
            </w:pPr>
            <w:r>
              <w:rPr>
                <w:color w:val="auto"/>
                <w:highlight w:val="none"/>
              </w:rPr>
              <w:t> </w:t>
            </w: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2063C8E8">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8EF3D5F">
            <w:pPr>
              <w:pStyle w:val="32"/>
              <w:spacing w:beforeAutospacing="0" w:afterAutospacing="0"/>
              <w:jc w:val="center"/>
              <w:rPr>
                <w:color w:val="auto"/>
                <w:highlight w:val="none"/>
              </w:rPr>
            </w:pPr>
            <w:r>
              <w:rPr>
                <w:color w:val="auto"/>
                <w:highlight w:val="none"/>
              </w:rPr>
              <w:t> </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0504E0AF">
            <w:pPr>
              <w:pStyle w:val="32"/>
              <w:spacing w:beforeAutospacing="0" w:afterAutospacing="0"/>
              <w:jc w:val="center"/>
              <w:rPr>
                <w:color w:val="auto"/>
                <w:highlight w:val="none"/>
              </w:rPr>
            </w:pPr>
            <w:r>
              <w:rPr>
                <w:color w:val="auto"/>
                <w:highlight w:val="none"/>
              </w:rPr>
              <w:t> </w:t>
            </w:r>
          </w:p>
        </w:tc>
      </w:tr>
      <w:tr w14:paraId="15DBA09A">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18FCC6F9">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85D5444">
            <w:pPr>
              <w:pStyle w:val="32"/>
              <w:spacing w:beforeAutospacing="0" w:afterAutospacing="0"/>
              <w:jc w:val="center"/>
              <w:rPr>
                <w:color w:val="auto"/>
                <w:highlight w:val="none"/>
              </w:rPr>
            </w:pPr>
            <w:r>
              <w:rPr>
                <w:color w:val="auto"/>
                <w:highlight w:val="none"/>
              </w:rPr>
              <w:t> </w:t>
            </w: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74D51097">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4E41EB85">
            <w:pPr>
              <w:pStyle w:val="32"/>
              <w:spacing w:beforeAutospacing="0" w:afterAutospacing="0"/>
              <w:jc w:val="center"/>
              <w:rPr>
                <w:color w:val="auto"/>
                <w:highlight w:val="none"/>
              </w:rPr>
            </w:pPr>
            <w:r>
              <w:rPr>
                <w:color w:val="auto"/>
                <w:highlight w:val="none"/>
              </w:rPr>
              <w:t> </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1CAF468A">
            <w:pPr>
              <w:pStyle w:val="32"/>
              <w:spacing w:beforeAutospacing="0" w:afterAutospacing="0"/>
              <w:jc w:val="center"/>
              <w:rPr>
                <w:color w:val="auto"/>
                <w:highlight w:val="none"/>
              </w:rPr>
            </w:pPr>
            <w:r>
              <w:rPr>
                <w:color w:val="auto"/>
                <w:highlight w:val="none"/>
              </w:rPr>
              <w:t> </w:t>
            </w:r>
          </w:p>
        </w:tc>
      </w:tr>
      <w:tr w14:paraId="78647303">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1AA6607C">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4707410B">
            <w:pPr>
              <w:pStyle w:val="32"/>
              <w:spacing w:beforeAutospacing="0" w:afterAutospacing="0"/>
              <w:jc w:val="center"/>
              <w:rPr>
                <w:color w:val="auto"/>
                <w:highlight w:val="none"/>
              </w:rPr>
            </w:pPr>
            <w:r>
              <w:rPr>
                <w:color w:val="auto"/>
                <w:highlight w:val="none"/>
              </w:rPr>
              <w:t> </w:t>
            </w: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4DCB04E2">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626857ED">
            <w:pPr>
              <w:pStyle w:val="32"/>
              <w:spacing w:beforeAutospacing="0" w:afterAutospacing="0"/>
              <w:jc w:val="center"/>
              <w:rPr>
                <w:color w:val="auto"/>
                <w:highlight w:val="none"/>
              </w:rPr>
            </w:pPr>
            <w:r>
              <w:rPr>
                <w:color w:val="auto"/>
                <w:highlight w:val="none"/>
              </w:rPr>
              <w:t> </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64D17B42">
            <w:pPr>
              <w:pStyle w:val="32"/>
              <w:spacing w:beforeAutospacing="0" w:afterAutospacing="0"/>
              <w:jc w:val="center"/>
              <w:rPr>
                <w:color w:val="auto"/>
                <w:highlight w:val="none"/>
              </w:rPr>
            </w:pPr>
            <w:r>
              <w:rPr>
                <w:color w:val="auto"/>
                <w:highlight w:val="none"/>
              </w:rPr>
              <w:t> </w:t>
            </w:r>
          </w:p>
        </w:tc>
      </w:tr>
      <w:tr w14:paraId="1B9833DB">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79039FFD">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1701A757">
            <w:pPr>
              <w:pStyle w:val="32"/>
              <w:spacing w:beforeAutospacing="0" w:afterAutospacing="0"/>
              <w:jc w:val="center"/>
              <w:rPr>
                <w:color w:val="auto"/>
                <w:highlight w:val="none"/>
              </w:rPr>
            </w:pPr>
            <w:r>
              <w:rPr>
                <w:color w:val="auto"/>
                <w:highlight w:val="none"/>
              </w:rPr>
              <w:t> </w:t>
            </w: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537A3005">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66F97C63">
            <w:pPr>
              <w:pStyle w:val="32"/>
              <w:spacing w:beforeAutospacing="0" w:afterAutospacing="0"/>
              <w:jc w:val="center"/>
              <w:rPr>
                <w:color w:val="auto"/>
                <w:highlight w:val="none"/>
              </w:rPr>
            </w:pPr>
            <w:r>
              <w:rPr>
                <w:color w:val="auto"/>
                <w:highlight w:val="none"/>
              </w:rPr>
              <w:t> </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7E349BE8">
            <w:pPr>
              <w:pStyle w:val="32"/>
              <w:spacing w:beforeAutospacing="0" w:afterAutospacing="0"/>
              <w:jc w:val="center"/>
              <w:rPr>
                <w:color w:val="auto"/>
                <w:highlight w:val="none"/>
              </w:rPr>
            </w:pPr>
            <w:r>
              <w:rPr>
                <w:color w:val="auto"/>
                <w:highlight w:val="none"/>
              </w:rPr>
              <w:t> </w:t>
            </w:r>
          </w:p>
        </w:tc>
      </w:tr>
      <w:tr w14:paraId="3EA41994">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24EF8A33">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357766CF">
            <w:pPr>
              <w:pStyle w:val="32"/>
              <w:spacing w:beforeAutospacing="0" w:afterAutospacing="0"/>
              <w:jc w:val="center"/>
              <w:rPr>
                <w:color w:val="auto"/>
                <w:highlight w:val="none"/>
              </w:rPr>
            </w:pPr>
            <w:r>
              <w:rPr>
                <w:color w:val="auto"/>
                <w:highlight w:val="none"/>
              </w:rPr>
              <w:t> </w:t>
            </w: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1A608988">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4D14F0F2">
            <w:pPr>
              <w:pStyle w:val="32"/>
              <w:spacing w:beforeAutospacing="0" w:afterAutospacing="0"/>
              <w:jc w:val="center"/>
              <w:rPr>
                <w:color w:val="auto"/>
                <w:highlight w:val="none"/>
              </w:rPr>
            </w:pPr>
            <w:r>
              <w:rPr>
                <w:color w:val="auto"/>
                <w:highlight w:val="none"/>
              </w:rPr>
              <w:t> </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4D0D9EFC">
            <w:pPr>
              <w:pStyle w:val="32"/>
              <w:spacing w:beforeAutospacing="0" w:afterAutospacing="0"/>
              <w:jc w:val="center"/>
              <w:rPr>
                <w:color w:val="auto"/>
                <w:highlight w:val="none"/>
              </w:rPr>
            </w:pPr>
            <w:r>
              <w:rPr>
                <w:color w:val="auto"/>
                <w:highlight w:val="none"/>
              </w:rPr>
              <w:t> </w:t>
            </w:r>
          </w:p>
        </w:tc>
      </w:tr>
      <w:tr w14:paraId="77C35AA1">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744A2509">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73791034">
            <w:pPr>
              <w:pStyle w:val="32"/>
              <w:spacing w:beforeAutospacing="0" w:afterAutospacing="0"/>
              <w:jc w:val="center"/>
              <w:rPr>
                <w:color w:val="auto"/>
                <w:highlight w:val="none"/>
              </w:rPr>
            </w:pPr>
            <w:r>
              <w:rPr>
                <w:color w:val="auto"/>
                <w:highlight w:val="none"/>
              </w:rPr>
              <w:t> </w:t>
            </w: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2EC606A7">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69F7B2FC">
            <w:pPr>
              <w:pStyle w:val="32"/>
              <w:spacing w:beforeAutospacing="0" w:afterAutospacing="0"/>
              <w:jc w:val="center"/>
              <w:rPr>
                <w:color w:val="auto"/>
                <w:highlight w:val="none"/>
              </w:rPr>
            </w:pPr>
            <w:r>
              <w:rPr>
                <w:color w:val="auto"/>
                <w:highlight w:val="none"/>
              </w:rPr>
              <w:t> </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2E5FAB99">
            <w:pPr>
              <w:pStyle w:val="32"/>
              <w:spacing w:beforeAutospacing="0" w:afterAutospacing="0"/>
              <w:jc w:val="center"/>
              <w:rPr>
                <w:color w:val="auto"/>
                <w:highlight w:val="none"/>
              </w:rPr>
            </w:pPr>
            <w:r>
              <w:rPr>
                <w:color w:val="auto"/>
                <w:highlight w:val="none"/>
              </w:rPr>
              <w:t> </w:t>
            </w:r>
          </w:p>
        </w:tc>
      </w:tr>
      <w:tr w14:paraId="3A864B46">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2EF18728">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615B902B">
            <w:pPr>
              <w:pStyle w:val="32"/>
              <w:spacing w:beforeAutospacing="0" w:afterAutospacing="0"/>
              <w:jc w:val="center"/>
              <w:rPr>
                <w:color w:val="auto"/>
                <w:highlight w:val="none"/>
              </w:rPr>
            </w:pPr>
            <w:r>
              <w:rPr>
                <w:rFonts w:hint="eastAsia" w:ascii="宋体" w:hAnsi="宋体" w:eastAsia="宋体" w:cs="宋体"/>
                <w:color w:val="auto"/>
                <w:highlight w:val="none"/>
              </w:rPr>
              <w:t>……</w:t>
            </w: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3DA648C9">
            <w:pPr>
              <w:pStyle w:val="32"/>
              <w:spacing w:beforeAutospacing="0" w:afterAutospacing="0"/>
              <w:jc w:val="center"/>
              <w:rPr>
                <w:color w:val="auto"/>
                <w:highlight w:val="none"/>
              </w:rPr>
            </w:pPr>
            <w:r>
              <w:rPr>
                <w:color w:val="auto"/>
                <w:highlight w:val="none"/>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950CCCB">
            <w:pPr>
              <w:pStyle w:val="32"/>
              <w:spacing w:beforeAutospacing="0" w:afterAutospacing="0"/>
              <w:jc w:val="center"/>
              <w:rPr>
                <w:color w:val="auto"/>
                <w:highlight w:val="none"/>
              </w:rPr>
            </w:pPr>
            <w:r>
              <w:rPr>
                <w:color w:val="auto"/>
                <w:highlight w:val="none"/>
              </w:rPr>
              <w:t> </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26CBAD2F">
            <w:pPr>
              <w:pStyle w:val="32"/>
              <w:spacing w:beforeAutospacing="0" w:afterAutospacing="0"/>
              <w:jc w:val="center"/>
              <w:rPr>
                <w:color w:val="auto"/>
                <w:highlight w:val="none"/>
              </w:rPr>
            </w:pPr>
            <w:r>
              <w:rPr>
                <w:color w:val="auto"/>
                <w:highlight w:val="none"/>
              </w:rPr>
              <w:t> </w:t>
            </w:r>
          </w:p>
        </w:tc>
      </w:tr>
    </w:tbl>
    <w:p w14:paraId="5E81FA1D">
      <w:pPr>
        <w:pStyle w:val="32"/>
        <w:spacing w:beforeAutospacing="0" w:afterAutospacing="0"/>
        <w:rPr>
          <w:color w:val="auto"/>
          <w:highlight w:val="none"/>
        </w:rPr>
      </w:pPr>
      <w:r>
        <w:rPr>
          <w:rFonts w:hint="eastAsia" w:ascii="宋体" w:hAnsi="宋体" w:eastAsia="宋体" w:cs="宋体"/>
          <w:color w:val="auto"/>
          <w:highlight w:val="none"/>
        </w:rPr>
        <w:t>注： 行数不够，可自行添加。</w:t>
      </w:r>
    </w:p>
    <w:p w14:paraId="5E0188D6">
      <w:pPr>
        <w:pStyle w:val="32"/>
        <w:spacing w:beforeAutospacing="0" w:afterAutospacing="0"/>
        <w:ind w:firstLine="2891"/>
        <w:rPr>
          <w:color w:val="auto"/>
          <w:highlight w:val="none"/>
        </w:rPr>
      </w:pPr>
      <w:r>
        <w:rPr>
          <w:color w:val="auto"/>
          <w:highlight w:val="none"/>
        </w:rPr>
        <w:t> </w:t>
      </w:r>
    </w:p>
    <w:p w14:paraId="127A840E">
      <w:pPr>
        <w:pStyle w:val="32"/>
        <w:spacing w:beforeAutospacing="0" w:afterAutospacing="0"/>
        <w:ind w:firstLine="2891"/>
        <w:rPr>
          <w:color w:val="auto"/>
          <w:highlight w:val="none"/>
        </w:rPr>
      </w:pPr>
      <w:r>
        <w:rPr>
          <w:color w:val="auto"/>
          <w:highlight w:val="none"/>
        </w:rPr>
        <w:t> </w:t>
      </w:r>
    </w:p>
    <w:bookmarkEnd w:id="232"/>
    <w:bookmarkEnd w:id="233"/>
    <w:p w14:paraId="07E7A078">
      <w:pPr>
        <w:pBdr>
          <w:top w:val="none" w:color="000000" w:sz="0" w:space="0"/>
          <w:left w:val="none" w:color="000000" w:sz="0" w:space="0"/>
          <w:bottom w:val="none" w:color="000000" w:sz="0" w:space="0"/>
          <w:right w:val="none" w:color="000000" w:sz="0" w:space="0"/>
        </w:pBdr>
        <w:spacing w:before="240" w:after="240" w:line="85" w:lineRule="atLeast"/>
        <w:ind w:left="0" w:right="0" w:firstLine="0"/>
        <w:rPr>
          <w:color w:val="auto"/>
          <w:highlight w:val="none"/>
        </w:rPr>
      </w:pPr>
      <w:r>
        <w:rPr>
          <w:rFonts w:ascii="宋体" w:hAnsi="宋体" w:eastAsia="宋体" w:cs="宋体"/>
          <w:color w:val="auto"/>
          <w:sz w:val="24"/>
          <w:highlight w:val="none"/>
        </w:rPr>
        <w:t>注：</w:t>
      </w:r>
    </w:p>
    <w:p w14:paraId="39CB4AF5">
      <w:pPr>
        <w:pBdr>
          <w:top w:val="none" w:color="000000" w:sz="0" w:space="0"/>
          <w:left w:val="none" w:color="000000" w:sz="0" w:space="0"/>
          <w:bottom w:val="none" w:color="000000" w:sz="0" w:space="0"/>
          <w:right w:val="none" w:color="000000" w:sz="0" w:space="0"/>
        </w:pBdr>
        <w:spacing w:before="240" w:after="240" w:line="85" w:lineRule="atLeast"/>
        <w:ind w:left="0" w:right="0" w:firstLine="0"/>
        <w:rPr>
          <w:color w:val="auto"/>
          <w:highlight w:val="none"/>
        </w:rPr>
      </w:pPr>
      <w:r>
        <w:rPr>
          <w:rFonts w:ascii="Calibri" w:hAnsi="Calibri" w:eastAsia="Calibri" w:cs="Calibri"/>
          <w:color w:val="auto"/>
          <w:sz w:val="24"/>
          <w:highlight w:val="none"/>
        </w:rPr>
        <w:t>1.</w:t>
      </w:r>
      <w:r>
        <w:rPr>
          <w:rFonts w:ascii="宋体" w:hAnsi="宋体" w:eastAsia="宋体" w:cs="宋体"/>
          <w:color w:val="auto"/>
          <w:sz w:val="24"/>
          <w:highlight w:val="none"/>
        </w:rPr>
        <w:t>技术需求中的非实质性要求，需在上述表格中逐条响应，缺漏项视为负偏离；</w:t>
      </w:r>
    </w:p>
    <w:p w14:paraId="2F9865BD">
      <w:pPr>
        <w:pBdr>
          <w:top w:val="none" w:color="000000" w:sz="0" w:space="0"/>
          <w:left w:val="none" w:color="000000" w:sz="0" w:space="0"/>
          <w:bottom w:val="none" w:color="000000" w:sz="0" w:space="0"/>
          <w:right w:val="none" w:color="000000" w:sz="0" w:space="0"/>
        </w:pBdr>
        <w:spacing w:before="240" w:after="240" w:line="85" w:lineRule="atLeast"/>
        <w:ind w:left="0" w:right="0" w:firstLine="0"/>
        <w:rPr>
          <w:color w:val="auto"/>
          <w:highlight w:val="none"/>
        </w:rPr>
      </w:pPr>
      <w:r>
        <w:rPr>
          <w:rFonts w:ascii="Calibri" w:hAnsi="Calibri" w:eastAsia="Calibri" w:cs="Calibri"/>
          <w:color w:val="auto"/>
          <w:sz w:val="24"/>
          <w:highlight w:val="none"/>
        </w:rPr>
        <w:t>2.</w:t>
      </w:r>
      <w:r>
        <w:rPr>
          <w:rFonts w:ascii="宋体" w:hAnsi="宋体" w:eastAsia="宋体" w:cs="宋体"/>
          <w:color w:val="auto"/>
          <w:sz w:val="24"/>
          <w:highlight w:val="none"/>
        </w:rPr>
        <w:t>关于技术需求中的“实质性要求”响应情况：</w:t>
      </w:r>
    </w:p>
    <w:p w14:paraId="01AA394C">
      <w:pPr>
        <w:pBdr>
          <w:top w:val="none" w:color="000000" w:sz="0" w:space="0"/>
          <w:left w:val="none" w:color="000000" w:sz="0" w:space="0"/>
          <w:bottom w:val="none" w:color="000000" w:sz="0" w:space="0"/>
          <w:right w:val="none" w:color="000000" w:sz="0" w:space="0"/>
        </w:pBdr>
        <w:spacing w:before="240" w:after="240" w:line="85" w:lineRule="atLeast"/>
        <w:ind w:left="0" w:right="0" w:firstLine="0"/>
        <w:rPr>
          <w:color w:val="auto"/>
          <w:highlight w:val="none"/>
        </w:rPr>
      </w:pPr>
      <w:r>
        <w:rPr>
          <w:rFonts w:ascii="Calibri" w:hAnsi="Calibri" w:eastAsia="Calibri" w:cs="Calibri"/>
          <w:color w:val="auto"/>
          <w:sz w:val="24"/>
          <w:highlight w:val="none"/>
        </w:rPr>
        <w:t>2.1.</w:t>
      </w:r>
      <w:r>
        <w:rPr>
          <w:rFonts w:ascii="宋体" w:hAnsi="宋体" w:eastAsia="宋体" w:cs="宋体"/>
          <w:color w:val="auto"/>
          <w:sz w:val="24"/>
          <w:highlight w:val="none"/>
        </w:rPr>
        <w:t>投标人可根据投标产品实际情况，对照技术需求，逐一响应，并且列明对应响应情况；</w:t>
      </w:r>
    </w:p>
    <w:p w14:paraId="242CCBCC">
      <w:pPr>
        <w:pBdr>
          <w:top w:val="none" w:color="000000" w:sz="0" w:space="0"/>
          <w:left w:val="none" w:color="000000" w:sz="0" w:space="0"/>
          <w:bottom w:val="none" w:color="000000" w:sz="0" w:space="0"/>
          <w:right w:val="none" w:color="000000" w:sz="0" w:space="0"/>
        </w:pBdr>
        <w:spacing w:before="240" w:after="240" w:line="85" w:lineRule="atLeast"/>
        <w:ind w:left="0" w:right="0" w:firstLine="0"/>
        <w:rPr>
          <w:color w:val="auto"/>
          <w:highlight w:val="none"/>
        </w:rPr>
      </w:pPr>
      <w:r>
        <w:rPr>
          <w:rFonts w:ascii="Calibri" w:hAnsi="Calibri" w:eastAsia="Calibri" w:cs="Calibri"/>
          <w:color w:val="auto"/>
          <w:sz w:val="24"/>
          <w:highlight w:val="none"/>
        </w:rPr>
        <w:t>2.2.</w:t>
      </w:r>
      <w:r>
        <w:rPr>
          <w:rFonts w:ascii="宋体" w:hAnsi="宋体" w:eastAsia="宋体" w:cs="宋体"/>
          <w:color w:val="auto"/>
          <w:sz w:val="24"/>
          <w:highlight w:val="none"/>
        </w:rPr>
        <w:t>投标人亦可提供关于满足技术需求中的全部“实质性要求”的承诺函，承诺函格式自拟，并建议放在本模块中；</w:t>
      </w:r>
    </w:p>
    <w:p w14:paraId="6557C997">
      <w:pPr>
        <w:pBdr>
          <w:top w:val="none" w:color="000000" w:sz="0" w:space="0"/>
          <w:left w:val="none" w:color="000000" w:sz="0" w:space="0"/>
          <w:bottom w:val="none" w:color="000000" w:sz="0" w:space="0"/>
          <w:right w:val="none" w:color="000000" w:sz="0" w:space="0"/>
        </w:pBdr>
        <w:spacing w:before="240" w:after="240" w:line="85" w:lineRule="atLeast"/>
        <w:ind w:left="0" w:right="0" w:firstLine="0"/>
        <w:rPr>
          <w:rFonts w:hint="eastAsia" w:ascii="宋体" w:hAnsi="宋体" w:eastAsia="宋体" w:cs="宋体"/>
          <w:color w:val="auto"/>
          <w:sz w:val="24"/>
          <w:highlight w:val="none"/>
          <w:lang w:eastAsia="zh-CN"/>
        </w:rPr>
      </w:pPr>
      <w:r>
        <w:rPr>
          <w:rFonts w:ascii="Calibri" w:hAnsi="Calibri" w:eastAsia="Calibri" w:cs="Calibri"/>
          <w:color w:val="auto"/>
          <w:sz w:val="24"/>
          <w:highlight w:val="none"/>
        </w:rPr>
        <w:t>3.</w:t>
      </w:r>
      <w:r>
        <w:rPr>
          <w:rFonts w:ascii="宋体" w:hAnsi="宋体" w:eastAsia="宋体" w:cs="宋体"/>
          <w:color w:val="auto"/>
          <w:sz w:val="24"/>
          <w:highlight w:val="none"/>
        </w:rPr>
        <w:t>技术需求中需要提供相关技术证明材料的，建议放在本模块中，以便评审</w:t>
      </w:r>
      <w:bookmarkEnd w:id="234"/>
      <w:r>
        <w:rPr>
          <w:rFonts w:hint="eastAsia" w:ascii="宋体" w:hAnsi="宋体" w:eastAsia="宋体" w:cs="宋体"/>
          <w:color w:val="auto"/>
          <w:sz w:val="24"/>
          <w:highlight w:val="none"/>
          <w:lang w:eastAsia="zh-CN"/>
        </w:rPr>
        <w:t>。</w:t>
      </w:r>
    </w:p>
    <w:p w14:paraId="18508EB2">
      <w:pPr>
        <w:pBdr>
          <w:top w:val="none" w:color="000000" w:sz="0" w:space="0"/>
          <w:left w:val="none" w:color="000000" w:sz="0" w:space="0"/>
          <w:bottom w:val="none" w:color="000000" w:sz="0" w:space="0"/>
          <w:right w:val="none" w:color="000000" w:sz="0" w:space="0"/>
        </w:pBdr>
        <w:spacing w:before="240" w:after="240" w:line="85" w:lineRule="atLeast"/>
        <w:ind w:left="0" w:right="0" w:firstLine="0"/>
        <w:rPr>
          <w:rFonts w:hint="eastAsia" w:ascii="宋体" w:hAnsi="宋体" w:eastAsia="宋体" w:cs="宋体"/>
          <w:color w:val="auto"/>
          <w:sz w:val="24"/>
          <w:highlight w:val="none"/>
          <w:lang w:eastAsia="zh-CN"/>
        </w:rPr>
      </w:pPr>
    </w:p>
    <w:p w14:paraId="7C41899C">
      <w:pPr>
        <w:pStyle w:val="32"/>
        <w:spacing w:beforeAutospacing="0" w:afterAutospacing="0"/>
        <w:rPr>
          <w:color w:val="auto"/>
          <w:highlight w:val="none"/>
        </w:rPr>
      </w:pPr>
    </w:p>
    <w:p w14:paraId="0FF9C11D">
      <w:pPr>
        <w:pStyle w:val="32"/>
        <w:spacing w:beforeAutospacing="0" w:afterAutospacing="0"/>
        <w:ind w:firstLine="2570"/>
        <w:rPr>
          <w:color w:val="auto"/>
          <w:highlight w:val="none"/>
        </w:rPr>
      </w:pPr>
      <w:bookmarkStart w:id="235" w:name="OLE_LINK105"/>
      <w:r>
        <w:rPr>
          <w:rFonts w:hint="eastAsia" w:ascii="黑体" w:hAnsi="宋体" w:eastAsia="黑体" w:cs="黑体"/>
          <w:b/>
          <w:color w:val="auto"/>
          <w:sz w:val="32"/>
          <w:szCs w:val="32"/>
          <w:highlight w:val="none"/>
        </w:rPr>
        <w:t>商务需求响应及偏离表</w:t>
      </w:r>
    </w:p>
    <w:tbl>
      <w:tblPr>
        <w:tblStyle w:val="36"/>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843"/>
        <w:gridCol w:w="2410"/>
        <w:gridCol w:w="2349"/>
        <w:gridCol w:w="1101"/>
      </w:tblGrid>
      <w:tr w14:paraId="0A6C6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817" w:type="dxa"/>
            <w:noWrap w:val="0"/>
            <w:vAlign w:val="center"/>
          </w:tcPr>
          <w:p w14:paraId="2C2691C2">
            <w:pPr>
              <w:pStyle w:val="32"/>
              <w:spacing w:beforeAutospacing="0" w:afterAutospacing="0"/>
              <w:jc w:val="center"/>
              <w:rPr>
                <w:color w:val="auto"/>
                <w:highlight w:val="none"/>
              </w:rPr>
            </w:pPr>
            <w:bookmarkStart w:id="236" w:name="_Hlt26782999"/>
            <w:bookmarkStart w:id="237" w:name="_Hlt26955064"/>
            <w:bookmarkStart w:id="238" w:name="_Hlt26671343"/>
            <w:bookmarkStart w:id="239" w:name="_Hlt26580838"/>
            <w:bookmarkStart w:id="240" w:name="_Hlt26671372"/>
            <w:bookmarkStart w:id="241" w:name="_Hlt26609391"/>
            <w:bookmarkStart w:id="242" w:name="_Hlt26955056"/>
            <w:bookmarkStart w:id="243" w:name="_Hlt24879081"/>
            <w:r>
              <w:rPr>
                <w:rFonts w:hint="eastAsia" w:ascii="宋体" w:hAnsi="宋体" w:eastAsia="宋体" w:cs="宋体"/>
                <w:color w:val="auto"/>
                <w:highlight w:val="none"/>
              </w:rPr>
              <w:t>序号</w:t>
            </w:r>
            <w:bookmarkEnd w:id="236"/>
            <w:bookmarkEnd w:id="237"/>
            <w:bookmarkEnd w:id="238"/>
            <w:bookmarkEnd w:id="239"/>
            <w:bookmarkEnd w:id="240"/>
            <w:bookmarkEnd w:id="241"/>
            <w:bookmarkEnd w:id="242"/>
            <w:bookmarkEnd w:id="243"/>
          </w:p>
        </w:tc>
        <w:tc>
          <w:tcPr>
            <w:tcW w:w="1843" w:type="dxa"/>
            <w:noWrap w:val="0"/>
            <w:vAlign w:val="center"/>
          </w:tcPr>
          <w:p w14:paraId="122B9F2D">
            <w:pPr>
              <w:pStyle w:val="32"/>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410" w:type="dxa"/>
            <w:noWrap w:val="0"/>
            <w:vAlign w:val="center"/>
          </w:tcPr>
          <w:p w14:paraId="7FE50D9C">
            <w:pPr>
              <w:pStyle w:val="32"/>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2349" w:type="dxa"/>
            <w:noWrap w:val="0"/>
            <w:vAlign w:val="center"/>
          </w:tcPr>
          <w:p w14:paraId="11A9A717">
            <w:pPr>
              <w:pStyle w:val="32"/>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noWrap w:val="0"/>
            <w:vAlign w:val="center"/>
          </w:tcPr>
          <w:p w14:paraId="0835E3BD">
            <w:pPr>
              <w:pStyle w:val="32"/>
              <w:spacing w:beforeAutospacing="0" w:afterAutospacing="0"/>
              <w:jc w:val="center"/>
              <w:rPr>
                <w:color w:val="auto"/>
                <w:highlight w:val="none"/>
              </w:rPr>
            </w:pPr>
            <w:r>
              <w:rPr>
                <w:rFonts w:hint="eastAsia" w:ascii="宋体" w:hAnsi="宋体" w:eastAsia="宋体" w:cs="宋体"/>
                <w:color w:val="auto"/>
                <w:highlight w:val="none"/>
              </w:rPr>
              <w:t>证明</w:t>
            </w:r>
          </w:p>
          <w:p w14:paraId="4AC193B0">
            <w:pPr>
              <w:pStyle w:val="32"/>
              <w:spacing w:beforeAutospacing="0" w:afterAutospacing="0"/>
              <w:jc w:val="center"/>
              <w:rPr>
                <w:color w:val="auto"/>
                <w:highlight w:val="none"/>
              </w:rPr>
            </w:pPr>
            <w:r>
              <w:rPr>
                <w:rFonts w:hint="eastAsia" w:ascii="宋体" w:hAnsi="宋体" w:eastAsia="宋体" w:cs="宋体"/>
                <w:color w:val="auto"/>
                <w:highlight w:val="none"/>
              </w:rPr>
              <w:t>材料</w:t>
            </w:r>
          </w:p>
        </w:tc>
      </w:tr>
      <w:tr w14:paraId="1FD5C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noWrap w:val="0"/>
            <w:vAlign w:val="center"/>
          </w:tcPr>
          <w:p w14:paraId="7C285BCB">
            <w:pPr>
              <w:pStyle w:val="32"/>
              <w:spacing w:beforeAutospacing="0" w:afterAutospacing="0"/>
              <w:jc w:val="center"/>
              <w:rPr>
                <w:color w:val="auto"/>
                <w:highlight w:val="none"/>
              </w:rPr>
            </w:pPr>
            <w:r>
              <w:rPr>
                <w:color w:val="auto"/>
                <w:highlight w:val="none"/>
              </w:rPr>
              <w:t> </w:t>
            </w:r>
          </w:p>
        </w:tc>
        <w:tc>
          <w:tcPr>
            <w:tcW w:w="1843" w:type="dxa"/>
            <w:noWrap w:val="0"/>
            <w:vAlign w:val="center"/>
          </w:tcPr>
          <w:p w14:paraId="1ABCEF85">
            <w:pPr>
              <w:pStyle w:val="32"/>
              <w:spacing w:beforeAutospacing="0" w:afterAutospacing="0"/>
              <w:jc w:val="center"/>
              <w:rPr>
                <w:color w:val="auto"/>
                <w:highlight w:val="none"/>
              </w:rPr>
            </w:pPr>
            <w:r>
              <w:rPr>
                <w:color w:val="auto"/>
                <w:highlight w:val="none"/>
              </w:rPr>
              <w:t> </w:t>
            </w:r>
          </w:p>
        </w:tc>
        <w:tc>
          <w:tcPr>
            <w:tcW w:w="2410" w:type="dxa"/>
            <w:noWrap w:val="0"/>
            <w:vAlign w:val="center"/>
          </w:tcPr>
          <w:p w14:paraId="7A235C63">
            <w:pPr>
              <w:pStyle w:val="32"/>
              <w:spacing w:beforeAutospacing="0" w:afterAutospacing="0"/>
              <w:jc w:val="center"/>
              <w:rPr>
                <w:color w:val="auto"/>
                <w:highlight w:val="none"/>
              </w:rPr>
            </w:pPr>
            <w:r>
              <w:rPr>
                <w:color w:val="auto"/>
                <w:highlight w:val="none"/>
              </w:rPr>
              <w:t> </w:t>
            </w:r>
          </w:p>
        </w:tc>
        <w:tc>
          <w:tcPr>
            <w:tcW w:w="2349" w:type="dxa"/>
            <w:noWrap w:val="0"/>
            <w:vAlign w:val="center"/>
          </w:tcPr>
          <w:p w14:paraId="2AE03C3A">
            <w:pPr>
              <w:pStyle w:val="32"/>
              <w:spacing w:beforeAutospacing="0" w:afterAutospacing="0"/>
              <w:jc w:val="center"/>
              <w:rPr>
                <w:color w:val="auto"/>
                <w:highlight w:val="none"/>
              </w:rPr>
            </w:pPr>
            <w:r>
              <w:rPr>
                <w:color w:val="auto"/>
                <w:highlight w:val="none"/>
              </w:rPr>
              <w:t> </w:t>
            </w:r>
          </w:p>
        </w:tc>
        <w:tc>
          <w:tcPr>
            <w:tcW w:w="1101" w:type="dxa"/>
            <w:noWrap w:val="0"/>
            <w:vAlign w:val="center"/>
          </w:tcPr>
          <w:p w14:paraId="0524020B">
            <w:pPr>
              <w:pStyle w:val="32"/>
              <w:spacing w:beforeAutospacing="0" w:afterAutospacing="0"/>
              <w:jc w:val="center"/>
              <w:rPr>
                <w:color w:val="auto"/>
                <w:highlight w:val="none"/>
              </w:rPr>
            </w:pPr>
            <w:r>
              <w:rPr>
                <w:color w:val="auto"/>
                <w:highlight w:val="none"/>
              </w:rPr>
              <w:t> </w:t>
            </w:r>
          </w:p>
        </w:tc>
      </w:tr>
      <w:tr w14:paraId="65D23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noWrap w:val="0"/>
            <w:vAlign w:val="center"/>
          </w:tcPr>
          <w:p w14:paraId="75162A2F">
            <w:pPr>
              <w:pStyle w:val="32"/>
              <w:spacing w:beforeAutospacing="0" w:afterAutospacing="0"/>
              <w:jc w:val="center"/>
              <w:rPr>
                <w:color w:val="auto"/>
                <w:highlight w:val="none"/>
              </w:rPr>
            </w:pPr>
            <w:r>
              <w:rPr>
                <w:color w:val="auto"/>
                <w:highlight w:val="none"/>
              </w:rPr>
              <w:t> </w:t>
            </w:r>
          </w:p>
        </w:tc>
        <w:tc>
          <w:tcPr>
            <w:tcW w:w="1843" w:type="dxa"/>
            <w:noWrap w:val="0"/>
            <w:vAlign w:val="center"/>
          </w:tcPr>
          <w:p w14:paraId="39E9240E">
            <w:pPr>
              <w:pStyle w:val="32"/>
              <w:spacing w:beforeAutospacing="0" w:afterAutospacing="0"/>
              <w:jc w:val="center"/>
              <w:rPr>
                <w:color w:val="auto"/>
                <w:highlight w:val="none"/>
              </w:rPr>
            </w:pPr>
            <w:r>
              <w:rPr>
                <w:color w:val="auto"/>
                <w:highlight w:val="none"/>
              </w:rPr>
              <w:t> </w:t>
            </w:r>
          </w:p>
        </w:tc>
        <w:tc>
          <w:tcPr>
            <w:tcW w:w="2410" w:type="dxa"/>
            <w:noWrap w:val="0"/>
            <w:vAlign w:val="center"/>
          </w:tcPr>
          <w:p w14:paraId="6390C5A0">
            <w:pPr>
              <w:pStyle w:val="32"/>
              <w:spacing w:beforeAutospacing="0" w:afterAutospacing="0"/>
              <w:jc w:val="center"/>
              <w:rPr>
                <w:color w:val="auto"/>
                <w:highlight w:val="none"/>
              </w:rPr>
            </w:pPr>
            <w:r>
              <w:rPr>
                <w:color w:val="auto"/>
                <w:highlight w:val="none"/>
              </w:rPr>
              <w:t> </w:t>
            </w:r>
          </w:p>
        </w:tc>
        <w:tc>
          <w:tcPr>
            <w:tcW w:w="2349" w:type="dxa"/>
            <w:noWrap w:val="0"/>
            <w:vAlign w:val="center"/>
          </w:tcPr>
          <w:p w14:paraId="450ACA18">
            <w:pPr>
              <w:pStyle w:val="32"/>
              <w:spacing w:beforeAutospacing="0" w:afterAutospacing="0"/>
              <w:jc w:val="center"/>
              <w:rPr>
                <w:color w:val="auto"/>
                <w:highlight w:val="none"/>
              </w:rPr>
            </w:pPr>
            <w:r>
              <w:rPr>
                <w:color w:val="auto"/>
                <w:highlight w:val="none"/>
              </w:rPr>
              <w:t> </w:t>
            </w:r>
          </w:p>
        </w:tc>
        <w:tc>
          <w:tcPr>
            <w:tcW w:w="1101" w:type="dxa"/>
            <w:noWrap w:val="0"/>
            <w:vAlign w:val="center"/>
          </w:tcPr>
          <w:p w14:paraId="5EC66FA3">
            <w:pPr>
              <w:pStyle w:val="32"/>
              <w:spacing w:beforeAutospacing="0" w:afterAutospacing="0"/>
              <w:jc w:val="center"/>
              <w:rPr>
                <w:color w:val="auto"/>
                <w:highlight w:val="none"/>
              </w:rPr>
            </w:pPr>
            <w:r>
              <w:rPr>
                <w:color w:val="auto"/>
                <w:highlight w:val="none"/>
              </w:rPr>
              <w:t> </w:t>
            </w:r>
          </w:p>
        </w:tc>
      </w:tr>
      <w:tr w14:paraId="4C27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noWrap w:val="0"/>
            <w:vAlign w:val="center"/>
          </w:tcPr>
          <w:p w14:paraId="5B14A06C">
            <w:pPr>
              <w:pStyle w:val="32"/>
              <w:spacing w:beforeAutospacing="0" w:afterAutospacing="0"/>
              <w:jc w:val="center"/>
              <w:rPr>
                <w:color w:val="auto"/>
                <w:highlight w:val="none"/>
              </w:rPr>
            </w:pPr>
            <w:r>
              <w:rPr>
                <w:color w:val="auto"/>
                <w:highlight w:val="none"/>
              </w:rPr>
              <w:t> </w:t>
            </w:r>
          </w:p>
        </w:tc>
        <w:tc>
          <w:tcPr>
            <w:tcW w:w="1843" w:type="dxa"/>
            <w:noWrap w:val="0"/>
            <w:vAlign w:val="center"/>
          </w:tcPr>
          <w:p w14:paraId="404737E3">
            <w:pPr>
              <w:pStyle w:val="32"/>
              <w:spacing w:beforeAutospacing="0" w:afterAutospacing="0"/>
              <w:jc w:val="center"/>
              <w:rPr>
                <w:color w:val="auto"/>
                <w:highlight w:val="none"/>
              </w:rPr>
            </w:pPr>
            <w:r>
              <w:rPr>
                <w:color w:val="auto"/>
                <w:highlight w:val="none"/>
              </w:rPr>
              <w:t> </w:t>
            </w:r>
          </w:p>
        </w:tc>
        <w:tc>
          <w:tcPr>
            <w:tcW w:w="2410" w:type="dxa"/>
            <w:noWrap w:val="0"/>
            <w:vAlign w:val="center"/>
          </w:tcPr>
          <w:p w14:paraId="4DC649CF">
            <w:pPr>
              <w:pStyle w:val="32"/>
              <w:spacing w:beforeAutospacing="0" w:afterAutospacing="0"/>
              <w:jc w:val="center"/>
              <w:rPr>
                <w:color w:val="auto"/>
                <w:highlight w:val="none"/>
              </w:rPr>
            </w:pPr>
            <w:r>
              <w:rPr>
                <w:color w:val="auto"/>
                <w:highlight w:val="none"/>
              </w:rPr>
              <w:t> </w:t>
            </w:r>
          </w:p>
        </w:tc>
        <w:tc>
          <w:tcPr>
            <w:tcW w:w="2349" w:type="dxa"/>
            <w:noWrap w:val="0"/>
            <w:vAlign w:val="center"/>
          </w:tcPr>
          <w:p w14:paraId="5E1FFD26">
            <w:pPr>
              <w:pStyle w:val="32"/>
              <w:spacing w:beforeAutospacing="0" w:afterAutospacing="0"/>
              <w:jc w:val="center"/>
              <w:rPr>
                <w:color w:val="auto"/>
                <w:highlight w:val="none"/>
              </w:rPr>
            </w:pPr>
            <w:r>
              <w:rPr>
                <w:color w:val="auto"/>
                <w:highlight w:val="none"/>
              </w:rPr>
              <w:t> </w:t>
            </w:r>
          </w:p>
        </w:tc>
        <w:tc>
          <w:tcPr>
            <w:tcW w:w="1101" w:type="dxa"/>
            <w:noWrap w:val="0"/>
            <w:vAlign w:val="center"/>
          </w:tcPr>
          <w:p w14:paraId="4C44218B">
            <w:pPr>
              <w:pStyle w:val="32"/>
              <w:spacing w:beforeAutospacing="0" w:afterAutospacing="0"/>
              <w:jc w:val="center"/>
              <w:rPr>
                <w:color w:val="auto"/>
                <w:highlight w:val="none"/>
              </w:rPr>
            </w:pPr>
            <w:r>
              <w:rPr>
                <w:color w:val="auto"/>
                <w:highlight w:val="none"/>
              </w:rPr>
              <w:t> </w:t>
            </w:r>
          </w:p>
        </w:tc>
      </w:tr>
      <w:tr w14:paraId="141C8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noWrap w:val="0"/>
            <w:vAlign w:val="center"/>
          </w:tcPr>
          <w:p w14:paraId="0EBC794A">
            <w:pPr>
              <w:pStyle w:val="32"/>
              <w:spacing w:beforeAutospacing="0" w:afterAutospacing="0"/>
              <w:jc w:val="center"/>
              <w:rPr>
                <w:color w:val="auto"/>
                <w:highlight w:val="none"/>
              </w:rPr>
            </w:pPr>
            <w:r>
              <w:rPr>
                <w:color w:val="auto"/>
                <w:highlight w:val="none"/>
              </w:rPr>
              <w:t> </w:t>
            </w:r>
          </w:p>
        </w:tc>
        <w:tc>
          <w:tcPr>
            <w:tcW w:w="1843" w:type="dxa"/>
            <w:noWrap w:val="0"/>
            <w:vAlign w:val="center"/>
          </w:tcPr>
          <w:p w14:paraId="3186F8A3">
            <w:pPr>
              <w:pStyle w:val="32"/>
              <w:spacing w:beforeAutospacing="0" w:afterAutospacing="0"/>
              <w:jc w:val="center"/>
              <w:rPr>
                <w:color w:val="auto"/>
                <w:highlight w:val="none"/>
              </w:rPr>
            </w:pPr>
            <w:r>
              <w:rPr>
                <w:color w:val="auto"/>
                <w:highlight w:val="none"/>
              </w:rPr>
              <w:t> </w:t>
            </w:r>
          </w:p>
        </w:tc>
        <w:tc>
          <w:tcPr>
            <w:tcW w:w="2410" w:type="dxa"/>
            <w:noWrap w:val="0"/>
            <w:vAlign w:val="center"/>
          </w:tcPr>
          <w:p w14:paraId="707584F0">
            <w:pPr>
              <w:pStyle w:val="32"/>
              <w:spacing w:beforeAutospacing="0" w:afterAutospacing="0"/>
              <w:jc w:val="center"/>
              <w:rPr>
                <w:color w:val="auto"/>
                <w:highlight w:val="none"/>
              </w:rPr>
            </w:pPr>
            <w:r>
              <w:rPr>
                <w:color w:val="auto"/>
                <w:highlight w:val="none"/>
              </w:rPr>
              <w:t> </w:t>
            </w:r>
          </w:p>
        </w:tc>
        <w:tc>
          <w:tcPr>
            <w:tcW w:w="2349" w:type="dxa"/>
            <w:noWrap w:val="0"/>
            <w:vAlign w:val="center"/>
          </w:tcPr>
          <w:p w14:paraId="1EB5B7A1">
            <w:pPr>
              <w:pStyle w:val="32"/>
              <w:spacing w:beforeAutospacing="0" w:afterAutospacing="0"/>
              <w:jc w:val="center"/>
              <w:rPr>
                <w:color w:val="auto"/>
                <w:highlight w:val="none"/>
              </w:rPr>
            </w:pPr>
            <w:r>
              <w:rPr>
                <w:color w:val="auto"/>
                <w:highlight w:val="none"/>
              </w:rPr>
              <w:t> </w:t>
            </w:r>
          </w:p>
        </w:tc>
        <w:tc>
          <w:tcPr>
            <w:tcW w:w="1101" w:type="dxa"/>
            <w:noWrap w:val="0"/>
            <w:vAlign w:val="center"/>
          </w:tcPr>
          <w:p w14:paraId="32CEA8E9">
            <w:pPr>
              <w:pStyle w:val="32"/>
              <w:spacing w:beforeAutospacing="0" w:afterAutospacing="0"/>
              <w:jc w:val="center"/>
              <w:rPr>
                <w:color w:val="auto"/>
                <w:highlight w:val="none"/>
              </w:rPr>
            </w:pPr>
            <w:r>
              <w:rPr>
                <w:color w:val="auto"/>
                <w:highlight w:val="none"/>
              </w:rPr>
              <w:t> </w:t>
            </w:r>
          </w:p>
        </w:tc>
      </w:tr>
      <w:tr w14:paraId="7606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noWrap w:val="0"/>
            <w:vAlign w:val="center"/>
          </w:tcPr>
          <w:p w14:paraId="19C5D57F">
            <w:pPr>
              <w:pStyle w:val="32"/>
              <w:spacing w:beforeAutospacing="0" w:afterAutospacing="0"/>
              <w:jc w:val="center"/>
              <w:rPr>
                <w:color w:val="auto"/>
                <w:highlight w:val="none"/>
              </w:rPr>
            </w:pPr>
            <w:r>
              <w:rPr>
                <w:color w:val="auto"/>
                <w:highlight w:val="none"/>
              </w:rPr>
              <w:t> </w:t>
            </w:r>
          </w:p>
        </w:tc>
        <w:tc>
          <w:tcPr>
            <w:tcW w:w="1843" w:type="dxa"/>
            <w:noWrap w:val="0"/>
            <w:vAlign w:val="center"/>
          </w:tcPr>
          <w:p w14:paraId="27609047">
            <w:pPr>
              <w:pStyle w:val="32"/>
              <w:spacing w:beforeAutospacing="0" w:afterAutospacing="0"/>
              <w:jc w:val="center"/>
              <w:rPr>
                <w:color w:val="auto"/>
                <w:highlight w:val="none"/>
              </w:rPr>
            </w:pPr>
            <w:r>
              <w:rPr>
                <w:color w:val="auto"/>
                <w:highlight w:val="none"/>
              </w:rPr>
              <w:t> </w:t>
            </w:r>
          </w:p>
        </w:tc>
        <w:tc>
          <w:tcPr>
            <w:tcW w:w="2410" w:type="dxa"/>
            <w:noWrap w:val="0"/>
            <w:vAlign w:val="center"/>
          </w:tcPr>
          <w:p w14:paraId="5F0B935A">
            <w:pPr>
              <w:pStyle w:val="32"/>
              <w:spacing w:beforeAutospacing="0" w:afterAutospacing="0"/>
              <w:jc w:val="center"/>
              <w:rPr>
                <w:color w:val="auto"/>
                <w:highlight w:val="none"/>
              </w:rPr>
            </w:pPr>
            <w:r>
              <w:rPr>
                <w:color w:val="auto"/>
                <w:highlight w:val="none"/>
              </w:rPr>
              <w:t> </w:t>
            </w:r>
          </w:p>
        </w:tc>
        <w:tc>
          <w:tcPr>
            <w:tcW w:w="2349" w:type="dxa"/>
            <w:noWrap w:val="0"/>
            <w:vAlign w:val="center"/>
          </w:tcPr>
          <w:p w14:paraId="3D97BDA1">
            <w:pPr>
              <w:pStyle w:val="32"/>
              <w:spacing w:beforeAutospacing="0" w:afterAutospacing="0"/>
              <w:jc w:val="center"/>
              <w:rPr>
                <w:color w:val="auto"/>
                <w:highlight w:val="none"/>
              </w:rPr>
            </w:pPr>
            <w:r>
              <w:rPr>
                <w:color w:val="auto"/>
                <w:highlight w:val="none"/>
              </w:rPr>
              <w:t> </w:t>
            </w:r>
          </w:p>
        </w:tc>
        <w:tc>
          <w:tcPr>
            <w:tcW w:w="1101" w:type="dxa"/>
            <w:noWrap w:val="0"/>
            <w:vAlign w:val="center"/>
          </w:tcPr>
          <w:p w14:paraId="7330F60D">
            <w:pPr>
              <w:pStyle w:val="32"/>
              <w:spacing w:beforeAutospacing="0" w:afterAutospacing="0"/>
              <w:jc w:val="center"/>
              <w:rPr>
                <w:color w:val="auto"/>
                <w:highlight w:val="none"/>
              </w:rPr>
            </w:pPr>
            <w:r>
              <w:rPr>
                <w:color w:val="auto"/>
                <w:highlight w:val="none"/>
              </w:rPr>
              <w:t> </w:t>
            </w:r>
          </w:p>
        </w:tc>
      </w:tr>
      <w:tr w14:paraId="49C29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noWrap w:val="0"/>
            <w:vAlign w:val="center"/>
          </w:tcPr>
          <w:p w14:paraId="774711E9">
            <w:pPr>
              <w:pStyle w:val="32"/>
              <w:spacing w:beforeAutospacing="0" w:afterAutospacing="0"/>
              <w:jc w:val="center"/>
              <w:rPr>
                <w:color w:val="auto"/>
                <w:highlight w:val="none"/>
              </w:rPr>
            </w:pPr>
            <w:r>
              <w:rPr>
                <w:color w:val="auto"/>
                <w:highlight w:val="none"/>
              </w:rPr>
              <w:t> </w:t>
            </w:r>
          </w:p>
        </w:tc>
        <w:tc>
          <w:tcPr>
            <w:tcW w:w="1843" w:type="dxa"/>
            <w:noWrap w:val="0"/>
            <w:vAlign w:val="center"/>
          </w:tcPr>
          <w:p w14:paraId="554A3746">
            <w:pPr>
              <w:pStyle w:val="32"/>
              <w:spacing w:beforeAutospacing="0" w:afterAutospacing="0"/>
              <w:jc w:val="center"/>
              <w:rPr>
                <w:color w:val="auto"/>
                <w:highlight w:val="none"/>
              </w:rPr>
            </w:pPr>
            <w:r>
              <w:rPr>
                <w:color w:val="auto"/>
                <w:highlight w:val="none"/>
              </w:rPr>
              <w:t> </w:t>
            </w:r>
          </w:p>
        </w:tc>
        <w:tc>
          <w:tcPr>
            <w:tcW w:w="2410" w:type="dxa"/>
            <w:noWrap w:val="0"/>
            <w:vAlign w:val="center"/>
          </w:tcPr>
          <w:p w14:paraId="5CBD7140">
            <w:pPr>
              <w:pStyle w:val="32"/>
              <w:spacing w:beforeAutospacing="0" w:afterAutospacing="0"/>
              <w:jc w:val="center"/>
              <w:rPr>
                <w:color w:val="auto"/>
                <w:highlight w:val="none"/>
              </w:rPr>
            </w:pPr>
            <w:r>
              <w:rPr>
                <w:color w:val="auto"/>
                <w:highlight w:val="none"/>
              </w:rPr>
              <w:t> </w:t>
            </w:r>
          </w:p>
        </w:tc>
        <w:tc>
          <w:tcPr>
            <w:tcW w:w="2349" w:type="dxa"/>
            <w:noWrap w:val="0"/>
            <w:vAlign w:val="center"/>
          </w:tcPr>
          <w:p w14:paraId="7AF586C5">
            <w:pPr>
              <w:pStyle w:val="32"/>
              <w:spacing w:beforeAutospacing="0" w:afterAutospacing="0"/>
              <w:jc w:val="center"/>
              <w:rPr>
                <w:color w:val="auto"/>
                <w:highlight w:val="none"/>
              </w:rPr>
            </w:pPr>
            <w:r>
              <w:rPr>
                <w:color w:val="auto"/>
                <w:highlight w:val="none"/>
              </w:rPr>
              <w:t> </w:t>
            </w:r>
          </w:p>
        </w:tc>
        <w:tc>
          <w:tcPr>
            <w:tcW w:w="1101" w:type="dxa"/>
            <w:noWrap w:val="0"/>
            <w:vAlign w:val="center"/>
          </w:tcPr>
          <w:p w14:paraId="0DFE085C">
            <w:pPr>
              <w:pStyle w:val="32"/>
              <w:spacing w:beforeAutospacing="0" w:afterAutospacing="0"/>
              <w:jc w:val="center"/>
              <w:rPr>
                <w:color w:val="auto"/>
                <w:highlight w:val="none"/>
              </w:rPr>
            </w:pPr>
            <w:r>
              <w:rPr>
                <w:color w:val="auto"/>
                <w:highlight w:val="none"/>
              </w:rPr>
              <w:t> </w:t>
            </w:r>
          </w:p>
        </w:tc>
      </w:tr>
      <w:tr w14:paraId="66AE5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noWrap w:val="0"/>
            <w:vAlign w:val="center"/>
          </w:tcPr>
          <w:p w14:paraId="2BB8A8A9">
            <w:pPr>
              <w:pStyle w:val="32"/>
              <w:spacing w:beforeAutospacing="0" w:afterAutospacing="0"/>
              <w:jc w:val="center"/>
              <w:rPr>
                <w:color w:val="auto"/>
                <w:highlight w:val="none"/>
              </w:rPr>
            </w:pPr>
            <w:r>
              <w:rPr>
                <w:color w:val="auto"/>
                <w:highlight w:val="none"/>
              </w:rPr>
              <w:t> </w:t>
            </w:r>
          </w:p>
        </w:tc>
        <w:tc>
          <w:tcPr>
            <w:tcW w:w="1843" w:type="dxa"/>
            <w:noWrap w:val="0"/>
            <w:vAlign w:val="center"/>
          </w:tcPr>
          <w:p w14:paraId="53474684">
            <w:pPr>
              <w:pStyle w:val="32"/>
              <w:spacing w:beforeAutospacing="0" w:afterAutospacing="0"/>
              <w:jc w:val="center"/>
              <w:rPr>
                <w:color w:val="auto"/>
                <w:highlight w:val="none"/>
              </w:rPr>
            </w:pPr>
            <w:r>
              <w:rPr>
                <w:color w:val="auto"/>
                <w:highlight w:val="none"/>
              </w:rPr>
              <w:t> </w:t>
            </w:r>
          </w:p>
        </w:tc>
        <w:tc>
          <w:tcPr>
            <w:tcW w:w="2410" w:type="dxa"/>
            <w:noWrap w:val="0"/>
            <w:vAlign w:val="center"/>
          </w:tcPr>
          <w:p w14:paraId="20CD8B5A">
            <w:pPr>
              <w:pStyle w:val="32"/>
              <w:spacing w:beforeAutospacing="0" w:afterAutospacing="0"/>
              <w:jc w:val="center"/>
              <w:rPr>
                <w:color w:val="auto"/>
                <w:highlight w:val="none"/>
              </w:rPr>
            </w:pPr>
            <w:r>
              <w:rPr>
                <w:color w:val="auto"/>
                <w:highlight w:val="none"/>
              </w:rPr>
              <w:t> </w:t>
            </w:r>
          </w:p>
        </w:tc>
        <w:tc>
          <w:tcPr>
            <w:tcW w:w="2349" w:type="dxa"/>
            <w:noWrap w:val="0"/>
            <w:vAlign w:val="center"/>
          </w:tcPr>
          <w:p w14:paraId="602F90F0">
            <w:pPr>
              <w:pStyle w:val="32"/>
              <w:spacing w:beforeAutospacing="0" w:afterAutospacing="0"/>
              <w:jc w:val="center"/>
              <w:rPr>
                <w:color w:val="auto"/>
                <w:highlight w:val="none"/>
              </w:rPr>
            </w:pPr>
            <w:r>
              <w:rPr>
                <w:color w:val="auto"/>
                <w:highlight w:val="none"/>
              </w:rPr>
              <w:t> </w:t>
            </w:r>
          </w:p>
        </w:tc>
        <w:tc>
          <w:tcPr>
            <w:tcW w:w="1101" w:type="dxa"/>
            <w:noWrap w:val="0"/>
            <w:vAlign w:val="center"/>
          </w:tcPr>
          <w:p w14:paraId="2BF9AFE7">
            <w:pPr>
              <w:pStyle w:val="32"/>
              <w:spacing w:beforeAutospacing="0" w:afterAutospacing="0"/>
              <w:jc w:val="center"/>
              <w:rPr>
                <w:color w:val="auto"/>
                <w:highlight w:val="none"/>
              </w:rPr>
            </w:pPr>
            <w:r>
              <w:rPr>
                <w:color w:val="auto"/>
                <w:highlight w:val="none"/>
              </w:rPr>
              <w:t> </w:t>
            </w:r>
          </w:p>
        </w:tc>
      </w:tr>
      <w:tr w14:paraId="5D74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noWrap w:val="0"/>
            <w:vAlign w:val="center"/>
          </w:tcPr>
          <w:p w14:paraId="223893F2">
            <w:pPr>
              <w:pStyle w:val="32"/>
              <w:spacing w:beforeAutospacing="0" w:afterAutospacing="0"/>
              <w:jc w:val="center"/>
              <w:rPr>
                <w:color w:val="auto"/>
                <w:highlight w:val="none"/>
              </w:rPr>
            </w:pPr>
            <w:r>
              <w:rPr>
                <w:color w:val="auto"/>
                <w:highlight w:val="none"/>
              </w:rPr>
              <w:t> </w:t>
            </w:r>
          </w:p>
        </w:tc>
        <w:tc>
          <w:tcPr>
            <w:tcW w:w="1843" w:type="dxa"/>
            <w:noWrap w:val="0"/>
            <w:vAlign w:val="center"/>
          </w:tcPr>
          <w:p w14:paraId="53E176D9">
            <w:pPr>
              <w:pStyle w:val="32"/>
              <w:spacing w:beforeAutospacing="0" w:afterAutospacing="0"/>
              <w:jc w:val="center"/>
              <w:rPr>
                <w:color w:val="auto"/>
                <w:highlight w:val="none"/>
              </w:rPr>
            </w:pPr>
            <w:r>
              <w:rPr>
                <w:rFonts w:hint="eastAsia" w:ascii="宋体" w:hAnsi="宋体" w:eastAsia="宋体" w:cs="宋体"/>
                <w:color w:val="auto"/>
                <w:highlight w:val="none"/>
              </w:rPr>
              <w:t>……</w:t>
            </w:r>
          </w:p>
        </w:tc>
        <w:tc>
          <w:tcPr>
            <w:tcW w:w="2410" w:type="dxa"/>
            <w:noWrap w:val="0"/>
            <w:vAlign w:val="center"/>
          </w:tcPr>
          <w:p w14:paraId="286B3256">
            <w:pPr>
              <w:pStyle w:val="32"/>
              <w:spacing w:beforeAutospacing="0" w:afterAutospacing="0"/>
              <w:jc w:val="center"/>
              <w:rPr>
                <w:color w:val="auto"/>
                <w:highlight w:val="none"/>
              </w:rPr>
            </w:pPr>
            <w:r>
              <w:rPr>
                <w:color w:val="auto"/>
                <w:highlight w:val="none"/>
              </w:rPr>
              <w:t> </w:t>
            </w:r>
          </w:p>
        </w:tc>
        <w:tc>
          <w:tcPr>
            <w:tcW w:w="2349" w:type="dxa"/>
            <w:noWrap w:val="0"/>
            <w:vAlign w:val="center"/>
          </w:tcPr>
          <w:p w14:paraId="2E0E5143">
            <w:pPr>
              <w:pStyle w:val="32"/>
              <w:spacing w:beforeAutospacing="0" w:afterAutospacing="0"/>
              <w:jc w:val="center"/>
              <w:rPr>
                <w:color w:val="auto"/>
                <w:highlight w:val="none"/>
              </w:rPr>
            </w:pPr>
            <w:r>
              <w:rPr>
                <w:color w:val="auto"/>
                <w:highlight w:val="none"/>
              </w:rPr>
              <w:t> </w:t>
            </w:r>
          </w:p>
        </w:tc>
        <w:tc>
          <w:tcPr>
            <w:tcW w:w="1101" w:type="dxa"/>
            <w:noWrap w:val="0"/>
            <w:vAlign w:val="center"/>
          </w:tcPr>
          <w:p w14:paraId="02A06065">
            <w:pPr>
              <w:pStyle w:val="32"/>
              <w:spacing w:beforeAutospacing="0" w:afterAutospacing="0"/>
              <w:jc w:val="center"/>
              <w:rPr>
                <w:color w:val="auto"/>
                <w:highlight w:val="none"/>
              </w:rPr>
            </w:pPr>
            <w:r>
              <w:rPr>
                <w:color w:val="auto"/>
                <w:highlight w:val="none"/>
              </w:rPr>
              <w:t> </w:t>
            </w:r>
          </w:p>
        </w:tc>
      </w:tr>
    </w:tbl>
    <w:p w14:paraId="1FA3CC09">
      <w:pPr>
        <w:pStyle w:val="32"/>
        <w:spacing w:beforeAutospacing="0" w:afterAutospacing="0"/>
        <w:rPr>
          <w:color w:val="auto"/>
          <w:highlight w:val="none"/>
        </w:rPr>
      </w:pPr>
      <w:r>
        <w:rPr>
          <w:rFonts w:hint="eastAsia" w:ascii="宋体" w:hAnsi="宋体" w:eastAsia="宋体" w:cs="宋体"/>
          <w:color w:val="auto"/>
          <w:highlight w:val="none"/>
        </w:rPr>
        <w:t>注： 行数不够，可自行添加。</w:t>
      </w:r>
    </w:p>
    <w:p w14:paraId="3F59384B">
      <w:pPr>
        <w:pStyle w:val="32"/>
        <w:spacing w:beforeAutospacing="0" w:afterAutospacing="0" w:line="480" w:lineRule="auto"/>
        <w:ind w:firstLine="2891"/>
        <w:rPr>
          <w:color w:val="auto"/>
          <w:highlight w:val="none"/>
        </w:rPr>
      </w:pPr>
      <w:r>
        <w:rPr>
          <w:color w:val="auto"/>
          <w:highlight w:val="none"/>
        </w:rPr>
        <w:t> </w:t>
      </w:r>
    </w:p>
    <w:p w14:paraId="75AA88A7">
      <w:pPr>
        <w:pStyle w:val="32"/>
        <w:spacing w:beforeAutospacing="0" w:afterAutospacing="0" w:line="480" w:lineRule="auto"/>
        <w:ind w:firstLine="2891"/>
        <w:rPr>
          <w:color w:val="auto"/>
          <w:highlight w:val="none"/>
        </w:rPr>
      </w:pPr>
      <w:r>
        <w:rPr>
          <w:color w:val="auto"/>
          <w:highlight w:val="none"/>
        </w:rPr>
        <w:t> </w:t>
      </w:r>
    </w:p>
    <w:bookmarkEnd w:id="235"/>
    <w:p w14:paraId="6E072EF1">
      <w:pPr>
        <w:pStyle w:val="32"/>
        <w:spacing w:beforeAutospacing="0" w:afterAutospacing="0"/>
        <w:ind w:firstLine="2891"/>
        <w:rPr>
          <w:color w:val="auto"/>
          <w:highlight w:val="none"/>
        </w:rPr>
      </w:pPr>
      <w:r>
        <w:rPr>
          <w:color w:val="auto"/>
          <w:highlight w:val="none"/>
        </w:rPr>
        <w:t> </w:t>
      </w:r>
    </w:p>
    <w:p w14:paraId="1F6308B2">
      <w:pPr>
        <w:pStyle w:val="32"/>
        <w:spacing w:beforeAutospacing="0" w:afterAutospacing="0"/>
        <w:ind w:firstLine="2891"/>
        <w:rPr>
          <w:color w:val="auto"/>
          <w:highlight w:val="none"/>
        </w:rPr>
      </w:pPr>
      <w:r>
        <w:rPr>
          <w:color w:val="auto"/>
          <w:highlight w:val="none"/>
        </w:rPr>
        <w:t> </w:t>
      </w:r>
    </w:p>
    <w:p w14:paraId="64567C94">
      <w:pPr>
        <w:pStyle w:val="32"/>
        <w:spacing w:beforeAutospacing="0" w:afterAutospacing="0"/>
        <w:ind w:firstLine="2891"/>
        <w:rPr>
          <w:color w:val="auto"/>
          <w:highlight w:val="none"/>
        </w:rPr>
      </w:pPr>
      <w:r>
        <w:rPr>
          <w:color w:val="auto"/>
          <w:highlight w:val="none"/>
        </w:rPr>
        <w:t> </w:t>
      </w:r>
    </w:p>
    <w:p w14:paraId="3D86A02E">
      <w:pPr>
        <w:pStyle w:val="32"/>
        <w:spacing w:beforeAutospacing="0" w:afterAutospacing="0"/>
        <w:ind w:firstLine="2891"/>
        <w:rPr>
          <w:color w:val="auto"/>
          <w:highlight w:val="none"/>
        </w:rPr>
      </w:pPr>
    </w:p>
    <w:bookmarkEnd w:id="231"/>
    <w:p w14:paraId="1CB1F85F">
      <w:pPr>
        <w:pStyle w:val="32"/>
        <w:spacing w:beforeAutospacing="0" w:afterAutospacing="0"/>
        <w:ind w:firstLine="2891"/>
        <w:rPr>
          <w:color w:val="auto"/>
          <w:highlight w:val="none"/>
        </w:rPr>
      </w:pPr>
    </w:p>
    <w:p w14:paraId="7D932B03">
      <w:pPr>
        <w:pStyle w:val="32"/>
        <w:spacing w:beforeAutospacing="0" w:afterAutospacing="0"/>
        <w:ind w:firstLine="2891"/>
        <w:rPr>
          <w:color w:val="auto"/>
          <w:highlight w:val="none"/>
        </w:rPr>
      </w:pPr>
    </w:p>
    <w:p w14:paraId="600F4105">
      <w:pPr>
        <w:pStyle w:val="32"/>
        <w:spacing w:beforeAutospacing="0" w:afterAutospacing="0"/>
        <w:ind w:firstLine="2891"/>
        <w:rPr>
          <w:color w:val="auto"/>
          <w:highlight w:val="none"/>
        </w:rPr>
      </w:pPr>
    </w:p>
    <w:p w14:paraId="401AB116">
      <w:pPr>
        <w:pStyle w:val="32"/>
        <w:spacing w:beforeAutospacing="0" w:afterAutospacing="0"/>
        <w:ind w:firstLine="2891"/>
        <w:rPr>
          <w:color w:val="auto"/>
          <w:highlight w:val="none"/>
        </w:rPr>
      </w:pPr>
    </w:p>
    <w:p w14:paraId="1F5B0884">
      <w:pPr>
        <w:rPr>
          <w:color w:val="auto"/>
          <w:highlight w:val="none"/>
        </w:rPr>
      </w:pPr>
      <w:r>
        <w:rPr>
          <w:color w:val="auto"/>
          <w:highlight w:val="none"/>
        </w:rPr>
        <w:br w:type="page"/>
      </w:r>
    </w:p>
    <w:p w14:paraId="38C21C1B">
      <w:pPr>
        <w:spacing w:line="500" w:lineRule="exact"/>
        <w:rPr>
          <w:rFonts w:hint="eastAsia" w:ascii="宋体" w:hAnsi="宋体" w:eastAsia="宋体"/>
          <w:b/>
          <w:color w:val="auto"/>
          <w:sz w:val="24"/>
          <w:szCs w:val="24"/>
          <w:highlight w:val="none"/>
          <w:lang w:eastAsia="zh-CN"/>
        </w:rPr>
      </w:pPr>
      <w:r>
        <w:rPr>
          <w:rFonts w:hint="eastAsia" w:ascii="宋体" w:hAnsi="宋体" w:eastAsia="宋体"/>
          <w:color w:val="auto"/>
          <w:sz w:val="24"/>
          <w:szCs w:val="24"/>
          <w:highlight w:val="none"/>
          <w:lang w:eastAsia="zh-CN"/>
        </w:rPr>
        <w:t>格式五：技术/服务方案及承诺</w:t>
      </w:r>
    </w:p>
    <w:p w14:paraId="766B64E2">
      <w:pPr>
        <w:spacing w:line="500" w:lineRule="exact"/>
        <w:jc w:val="center"/>
        <w:rPr>
          <w:rFonts w:hint="eastAsia" w:ascii="宋体" w:hAnsi="宋体" w:eastAsia="宋体"/>
          <w:b/>
          <w:color w:val="auto"/>
          <w:highlight w:val="none"/>
          <w:lang w:eastAsia="zh-CN"/>
        </w:rPr>
      </w:pPr>
      <w:r>
        <w:rPr>
          <w:rFonts w:hint="eastAsia" w:ascii="宋体" w:hAnsi="宋体" w:eastAsia="宋体"/>
          <w:color w:val="auto"/>
          <w:highlight w:val="none"/>
          <w:lang w:eastAsia="zh-CN"/>
        </w:rPr>
        <w:t>（内容自拟）</w:t>
      </w:r>
    </w:p>
    <w:p w14:paraId="5962D204">
      <w:pPr>
        <w:rPr>
          <w:rFonts w:hint="eastAsia" w:ascii="宋体" w:hAnsi="宋体" w:eastAsia="宋体"/>
          <w:b/>
          <w:color w:val="auto"/>
          <w:highlight w:val="none"/>
          <w:lang w:eastAsia="zh-CN"/>
        </w:rPr>
      </w:pPr>
      <w:r>
        <w:rPr>
          <w:rFonts w:hint="eastAsia" w:ascii="宋体" w:hAnsi="宋体" w:eastAsia="宋体"/>
          <w:b/>
          <w:color w:val="auto"/>
          <w:highlight w:val="none"/>
          <w:lang w:eastAsia="zh-CN"/>
        </w:rPr>
        <w:br w:type="page"/>
      </w:r>
    </w:p>
    <w:p w14:paraId="7A201124">
      <w:pPr>
        <w:rPr>
          <w:rFonts w:hint="eastAsia" w:ascii="宋体" w:hAnsi="宋体" w:eastAsia="宋体"/>
          <w:b/>
          <w:bCs/>
          <w:color w:val="auto"/>
          <w:highlight w:val="none"/>
          <w:lang w:eastAsia="zh-CN"/>
        </w:rPr>
      </w:pPr>
      <w:r>
        <w:rPr>
          <w:rFonts w:hint="eastAsia" w:ascii="宋体" w:hAnsi="宋体" w:eastAsia="宋体"/>
          <w:color w:val="auto"/>
          <w:highlight w:val="none"/>
          <w:lang w:eastAsia="zh-CN"/>
        </w:rPr>
        <w:t>格式六：</w:t>
      </w:r>
      <w:r>
        <w:rPr>
          <w:rFonts w:hint="eastAsia" w:ascii="宋体" w:hAnsi="宋体" w:eastAsia="宋体"/>
          <w:bCs/>
          <w:color w:val="auto"/>
          <w:highlight w:val="none"/>
          <w:lang w:eastAsia="zh-CN"/>
        </w:rPr>
        <w:t>声明函</w:t>
      </w:r>
    </w:p>
    <w:p w14:paraId="718140B9">
      <w:pPr>
        <w:pStyle w:val="32"/>
        <w:spacing w:beforeAutospacing="0" w:afterAutospacing="0" w:line="0" w:lineRule="atLeast"/>
        <w:rPr>
          <w:rFonts w:hint="eastAsia" w:ascii="黑体" w:hAnsi="宋体" w:eastAsia="黑体" w:cs="黑体"/>
          <w:b/>
          <w:color w:val="auto"/>
          <w:sz w:val="32"/>
          <w:szCs w:val="32"/>
          <w:highlight w:val="none"/>
          <w:lang w:val="en-US" w:eastAsia="zh-CN"/>
        </w:rPr>
      </w:pPr>
    </w:p>
    <w:p w14:paraId="21F80B32">
      <w:pPr>
        <w:pStyle w:val="32"/>
        <w:spacing w:beforeAutospacing="0" w:afterAutospacing="0" w:line="0" w:lineRule="atLeast"/>
        <w:ind w:firstLine="2249"/>
        <w:rPr>
          <w:color w:val="auto"/>
          <w:highlight w:val="none"/>
        </w:rPr>
      </w:pPr>
      <w:bookmarkStart w:id="244" w:name="OLE_LINK113"/>
      <w:bookmarkStart w:id="245" w:name="OLE_LINK54"/>
      <w:bookmarkStart w:id="246" w:name="OLE_LINK102"/>
      <w:r>
        <w:rPr>
          <w:rFonts w:hint="eastAsia" w:ascii="黑体" w:hAnsi="宋体" w:eastAsia="黑体" w:cs="黑体"/>
          <w:b/>
          <w:color w:val="auto"/>
          <w:sz w:val="32"/>
          <w:szCs w:val="32"/>
          <w:highlight w:val="none"/>
        </w:rPr>
        <w:t>中小企业声明函（货物）</w:t>
      </w:r>
    </w:p>
    <w:p w14:paraId="7551DD90">
      <w:pPr>
        <w:pStyle w:val="14"/>
        <w:tabs>
          <w:tab w:val="left" w:pos="7098"/>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采购活动，提供的货物全部由符合政策要求的中小企业制造。相关企业 （含联合体中的中小企业、签订分包意向协议的中小企业） 的具体情况如下：</w:t>
      </w:r>
    </w:p>
    <w:p w14:paraId="73859E32">
      <w:pPr>
        <w:pStyle w:val="14"/>
        <w:tabs>
          <w:tab w:val="left" w:pos="7098"/>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 xml:space="preserve">（招标文件中明确的所属行业） </w:t>
      </w:r>
      <w:r>
        <w:rPr>
          <w:rFonts w:hint="eastAsia" w:ascii="宋体" w:hAnsi="宋体" w:eastAsia="宋体" w:cs="宋体"/>
          <w:bCs/>
          <w:color w:val="auto"/>
          <w:sz w:val="24"/>
          <w:szCs w:val="24"/>
          <w:highlight w:val="none"/>
        </w:rPr>
        <w:t>行业；制造商为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（□中型企业、□小型企业、□微型企业）</w:t>
      </w:r>
      <w:r>
        <w:rPr>
          <w:rFonts w:hint="eastAsia" w:ascii="宋体" w:hAnsi="宋体" w:eastAsia="宋体" w:cs="宋体"/>
          <w:bCs/>
          <w:color w:val="auto"/>
          <w:sz w:val="24"/>
          <w:szCs w:val="24"/>
          <w:highlight w:val="none"/>
        </w:rPr>
        <w:t>；</w:t>
      </w:r>
    </w:p>
    <w:p w14:paraId="505E85B3">
      <w:pPr>
        <w:pStyle w:val="14"/>
        <w:tabs>
          <w:tab w:val="left" w:pos="7098"/>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 xml:space="preserve">（招标文件中明确的所属行业） </w:t>
      </w:r>
      <w:r>
        <w:rPr>
          <w:rFonts w:hint="eastAsia" w:ascii="宋体" w:hAnsi="宋体" w:eastAsia="宋体" w:cs="宋体"/>
          <w:bCs/>
          <w:color w:val="auto"/>
          <w:sz w:val="24"/>
          <w:szCs w:val="24"/>
          <w:highlight w:val="none"/>
        </w:rPr>
        <w:t>行业；制造商为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（□中型企业、□小型 企业、□微型企业）</w:t>
      </w:r>
      <w:r>
        <w:rPr>
          <w:rFonts w:hint="eastAsia" w:ascii="宋体" w:hAnsi="宋体" w:eastAsia="宋体" w:cs="宋体"/>
          <w:bCs/>
          <w:color w:val="auto"/>
          <w:sz w:val="24"/>
          <w:szCs w:val="24"/>
          <w:highlight w:val="none"/>
        </w:rPr>
        <w:t>；</w:t>
      </w:r>
    </w:p>
    <w:p w14:paraId="647882EF">
      <w:pPr>
        <w:pStyle w:val="14"/>
        <w:tabs>
          <w:tab w:val="left" w:pos="7098"/>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1C5E0BA8">
      <w:pPr>
        <w:pStyle w:val="14"/>
        <w:tabs>
          <w:tab w:val="left" w:pos="7098"/>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w:t>
      </w:r>
    </w:p>
    <w:p w14:paraId="705707FC">
      <w:pPr>
        <w:pStyle w:val="14"/>
        <w:tabs>
          <w:tab w:val="left" w:pos="7098"/>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本企业对上述声明内容的真实性负责。如有虚假，将依法承担相应责任。</w:t>
      </w:r>
    </w:p>
    <w:p w14:paraId="58FA7E2B">
      <w:pPr>
        <w:pStyle w:val="14"/>
        <w:tabs>
          <w:tab w:val="left" w:pos="7098"/>
        </w:tabs>
        <w:spacing w:line="360" w:lineRule="auto"/>
        <w:ind w:firstLine="6000"/>
        <w:jc w:val="left"/>
        <w:rPr>
          <w:rFonts w:hint="eastAsia" w:ascii="宋体" w:hAnsi="宋体" w:eastAsia="宋体" w:cs="宋体"/>
          <w:bCs/>
          <w:color w:val="auto"/>
          <w:sz w:val="24"/>
          <w:szCs w:val="24"/>
          <w:highlight w:val="none"/>
        </w:rPr>
      </w:pPr>
    </w:p>
    <w:p w14:paraId="48D84C6C">
      <w:pPr>
        <w:pStyle w:val="14"/>
        <w:tabs>
          <w:tab w:val="left" w:pos="7098"/>
        </w:tabs>
        <w:spacing w:line="360" w:lineRule="auto"/>
        <w:ind w:firstLine="2891"/>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投标人或制造商名称（盖章）：</w:t>
      </w:r>
    </w:p>
    <w:p w14:paraId="751716E9">
      <w:pPr>
        <w:pStyle w:val="32"/>
        <w:spacing w:beforeAutospacing="0" w:afterAutospacing="0" w:line="360" w:lineRule="auto"/>
        <w:ind w:right="480" w:firstLine="2891"/>
        <w:rPr>
          <w:rFonts w:hint="eastAsia" w:ascii="宋体" w:hAnsi="宋体" w:eastAsia="宋体"/>
          <w:bCs/>
          <w:color w:val="auto"/>
          <w:highlight w:val="none"/>
        </w:rPr>
      </w:pPr>
      <w:r>
        <w:rPr>
          <w:rFonts w:hint="eastAsia" w:ascii="宋体" w:hAnsi="宋体" w:eastAsia="宋体" w:cs="宋体"/>
          <w:bCs/>
          <w:color w:val="auto"/>
          <w:highlight w:val="none"/>
        </w:rPr>
        <w:t>日 期：</w:t>
      </w:r>
    </w:p>
    <w:p w14:paraId="16DB8F41">
      <w:pPr>
        <w:pStyle w:val="32"/>
        <w:spacing w:beforeAutospacing="0" w:afterAutospacing="0" w:line="360" w:lineRule="auto"/>
        <w:ind w:firstLine="2891"/>
        <w:rPr>
          <w:color w:val="auto"/>
          <w:highlight w:val="none"/>
        </w:rPr>
      </w:pPr>
      <w:r>
        <w:rPr>
          <w:color w:val="auto"/>
          <w:highlight w:val="none"/>
        </w:rPr>
        <w:t> </w:t>
      </w:r>
    </w:p>
    <w:p w14:paraId="45118C27">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p>
    <w:p w14:paraId="5DB928A6">
      <w:pPr>
        <w:numPr>
          <w:ilvl w:val="0"/>
          <w:numId w:val="19"/>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p>
    <w:p w14:paraId="55F3686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（2）从业人员、营业收入、资产总额填报上一年度数据，无上一年度数据的新成立企业可不填报。</w:t>
      </w:r>
    </w:p>
    <w:p w14:paraId="62B7DEC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（3）在货物采购项目中，供应商提供的货物既有中小企业制造货物，也有大型企业制造货物的，不享受本办法规定的中小企业扶持政策。</w:t>
      </w:r>
    </w:p>
    <w:p w14:paraId="1943EF4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3ED3130B">
      <w:pPr>
        <w:pStyle w:val="32"/>
        <w:spacing w:beforeAutospacing="0" w:afterAutospacing="0" w:line="360" w:lineRule="auto"/>
        <w:rPr>
          <w:color w:val="auto"/>
          <w:highlight w:val="none"/>
        </w:rPr>
      </w:pPr>
    </w:p>
    <w:p w14:paraId="58364245">
      <w:pPr>
        <w:pStyle w:val="32"/>
        <w:spacing w:beforeAutospacing="0" w:afterAutospacing="0" w:line="0" w:lineRule="atLeast"/>
        <w:ind w:firstLine="257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bookmarkEnd w:id="244"/>
    </w:p>
    <w:p w14:paraId="1A85A444">
      <w:pPr>
        <w:spacing w:line="360" w:lineRule="auto"/>
        <w:rPr>
          <w:rFonts w:hint="eastAsia" w:ascii="宋体" w:hAnsi="宋体" w:eastAsia="宋体"/>
          <w:b/>
          <w:bCs/>
          <w:color w:val="auto"/>
          <w:highlight w:val="none"/>
          <w:lang w:eastAsia="zh-CN"/>
        </w:rPr>
      </w:pPr>
      <w:r>
        <w:rPr>
          <w:rFonts w:hint="eastAsia" w:ascii="宋体" w:hAnsi="宋体" w:eastAsia="宋体"/>
          <w:bCs/>
          <w:color w:val="auto"/>
          <w:highlight w:val="none"/>
          <w:lang w:eastAsia="zh-CN"/>
        </w:rPr>
        <w:t>格式</w:t>
      </w:r>
      <w:r>
        <w:rPr>
          <w:rFonts w:hint="eastAsia" w:ascii="宋体" w:hAnsi="宋体" w:eastAsia="宋体"/>
          <w:bCs/>
          <w:color w:val="auto"/>
          <w:highlight w:val="none"/>
          <w:lang w:val="en-US" w:eastAsia="zh-CN"/>
        </w:rPr>
        <w:t>七</w:t>
      </w:r>
      <w:r>
        <w:rPr>
          <w:rFonts w:hint="eastAsia" w:ascii="宋体" w:hAnsi="宋体" w:eastAsia="宋体"/>
          <w:bCs/>
          <w:color w:val="auto"/>
          <w:highlight w:val="none"/>
          <w:lang w:eastAsia="zh-CN"/>
        </w:rPr>
        <w:t>：其他声明函</w:t>
      </w:r>
    </w:p>
    <w:p w14:paraId="54CEA3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（一）残疾人福利性单位声明函格式</w:t>
      </w:r>
    </w:p>
    <w:p w14:paraId="093F4FB0">
      <w:pPr>
        <w:pStyle w:val="32"/>
        <w:spacing w:beforeAutospacing="0" w:afterAutospacing="0" w:line="0" w:lineRule="atLeast"/>
        <w:ind w:firstLine="2570"/>
        <w:rPr>
          <w:rFonts w:hint="eastAsia" w:ascii="黑体" w:hAnsi="宋体" w:eastAsia="黑体" w:cs="黑体"/>
          <w:b/>
          <w:color w:val="auto"/>
          <w:sz w:val="32"/>
          <w:szCs w:val="32"/>
          <w:highlight w:val="none"/>
        </w:rPr>
      </w:pPr>
    </w:p>
    <w:p w14:paraId="38E80AF2">
      <w:pPr>
        <w:pStyle w:val="32"/>
        <w:spacing w:beforeAutospacing="0" w:afterAutospacing="0" w:line="0" w:lineRule="atLeast"/>
        <w:ind w:firstLine="2570"/>
        <w:rPr>
          <w:color w:val="auto"/>
          <w:highlight w:val="none"/>
        </w:rPr>
      </w:pPr>
      <w:bookmarkStart w:id="247" w:name="OLE_LINK114"/>
      <w:r>
        <w:rPr>
          <w:rFonts w:hint="eastAsia" w:ascii="黑体" w:hAnsi="宋体" w:eastAsia="黑体" w:cs="黑体"/>
          <w:b/>
          <w:color w:val="auto"/>
          <w:sz w:val="32"/>
          <w:szCs w:val="32"/>
          <w:highlight w:val="none"/>
        </w:rPr>
        <w:t>残疾人福利性单位声明函</w:t>
      </w:r>
    </w:p>
    <w:p w14:paraId="435A4F9B">
      <w:pPr>
        <w:pStyle w:val="32"/>
        <w:spacing w:beforeAutospacing="0" w:afterAutospacing="0" w:line="360" w:lineRule="auto"/>
        <w:ind w:firstLine="480"/>
        <w:rPr>
          <w:rFonts w:hint="eastAsia" w:ascii="宋体" w:hAnsi="宋体" w:eastAsia="宋体" w:cs="宋体"/>
          <w:color w:val="auto"/>
          <w:highlight w:val="none"/>
        </w:rPr>
      </w:pPr>
    </w:p>
    <w:p w14:paraId="28B5FD35">
      <w:pPr>
        <w:pStyle w:val="32"/>
        <w:spacing w:beforeAutospacing="0" w:afterAutospacing="0" w:line="360" w:lineRule="auto"/>
        <w:ind w:firstLine="480"/>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项目（分包号：**）采购活动提供本单位制造的货物，或者提供其他残疾人福利性单位制造的货物（不包括使用非残疾人福利性单位注册商标的货物）。</w:t>
      </w:r>
    </w:p>
    <w:p w14:paraId="4029E8B3">
      <w:pPr>
        <w:pStyle w:val="32"/>
        <w:spacing w:beforeAutospacing="0" w:afterAutospacing="0" w:line="360" w:lineRule="auto"/>
        <w:ind w:firstLine="480"/>
        <w:rPr>
          <w:color w:val="auto"/>
          <w:highlight w:val="none"/>
        </w:rPr>
      </w:pPr>
      <w:r>
        <w:rPr>
          <w:rFonts w:hint="eastAsia" w:ascii="宋体" w:hAnsi="宋体" w:eastAsia="宋体" w:cs="宋体"/>
          <w:color w:val="auto"/>
          <w:highlight w:val="none"/>
        </w:rPr>
        <w:t>本单位对上述声明的真实性负责。如有虚假，将依法承担相应责任。</w:t>
      </w:r>
    </w:p>
    <w:p w14:paraId="51EB7CFE">
      <w:pPr>
        <w:pStyle w:val="32"/>
        <w:spacing w:beforeAutospacing="0" w:afterAutospacing="0" w:line="360" w:lineRule="auto"/>
        <w:ind w:firstLine="2891"/>
        <w:rPr>
          <w:color w:val="auto"/>
          <w:highlight w:val="none"/>
        </w:rPr>
      </w:pPr>
      <w:r>
        <w:rPr>
          <w:color w:val="auto"/>
          <w:highlight w:val="none"/>
        </w:rPr>
        <w:t> </w:t>
      </w:r>
    </w:p>
    <w:p w14:paraId="5B5A7FCF">
      <w:pPr>
        <w:pStyle w:val="3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备注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中标供应商为残疾人福利单位的，此声明函将随中标结果同时公告，接受社会监督</w:t>
      </w:r>
    </w:p>
    <w:p w14:paraId="1C4DA10C">
      <w:pPr>
        <w:pStyle w:val="32"/>
        <w:spacing w:beforeAutospacing="0" w:afterAutospacing="0" w:line="360" w:lineRule="auto"/>
        <w:ind w:firstLine="2891"/>
        <w:rPr>
          <w:color w:val="auto"/>
          <w:highlight w:val="none"/>
        </w:rPr>
      </w:pPr>
      <w:r>
        <w:rPr>
          <w:color w:val="auto"/>
          <w:highlight w:val="none"/>
        </w:rPr>
        <w:t> </w:t>
      </w:r>
    </w:p>
    <w:p w14:paraId="1D880F63">
      <w:pPr>
        <w:pStyle w:val="32"/>
        <w:tabs>
          <w:tab w:val="left" w:pos="4864"/>
        </w:tabs>
        <w:spacing w:beforeAutospacing="0" w:afterAutospacing="0" w:line="360" w:lineRule="auto"/>
        <w:ind w:right="1560"/>
        <w:rPr>
          <w:rFonts w:hint="eastAsia" w:ascii="宋体" w:hAnsi="宋体" w:eastAsia="宋体" w:cs="宋体"/>
          <w:color w:val="auto"/>
          <w:highlight w:val="none"/>
        </w:rPr>
      </w:pPr>
    </w:p>
    <w:p w14:paraId="30AE210F">
      <w:pPr>
        <w:pStyle w:val="32"/>
        <w:tabs>
          <w:tab w:val="left" w:pos="4864"/>
        </w:tabs>
        <w:spacing w:beforeAutospacing="0" w:afterAutospacing="0" w:line="360" w:lineRule="auto"/>
        <w:ind w:right="1560"/>
        <w:jc w:val="right"/>
        <w:rPr>
          <w:color w:val="auto"/>
          <w:highlight w:val="none"/>
        </w:rPr>
      </w:pPr>
      <w:r>
        <w:rPr>
          <w:rFonts w:hint="eastAsia" w:ascii="宋体" w:hAnsi="宋体" w:eastAsia="宋体" w:cs="宋体"/>
          <w:color w:val="auto"/>
          <w:highlight w:val="none"/>
        </w:rPr>
        <w:t>供应商全称（加盖CA电子公章）：</w:t>
      </w:r>
    </w:p>
    <w:p w14:paraId="639DF17B">
      <w:pPr>
        <w:pStyle w:val="32"/>
        <w:tabs>
          <w:tab w:val="left" w:pos="4864"/>
        </w:tabs>
        <w:spacing w:beforeAutospacing="0" w:afterAutospacing="0" w:line="360" w:lineRule="auto"/>
        <w:ind w:right="1560"/>
        <w:jc w:val="right"/>
        <w:rPr>
          <w:color w:val="auto"/>
          <w:highlight w:val="none"/>
        </w:rPr>
      </w:pPr>
      <w:r>
        <w:rPr>
          <w:rFonts w:hint="eastAsia" w:ascii="宋体" w:hAnsi="宋体" w:eastAsia="宋体" w:cs="宋体"/>
          <w:color w:val="auto"/>
          <w:highlight w:val="none"/>
        </w:rPr>
        <w:t>日  期：</w:t>
      </w:r>
    </w:p>
    <w:p w14:paraId="5EE39A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（二）属于监狱企业的证明文件</w:t>
      </w:r>
    </w:p>
    <w:p w14:paraId="1BB6BDD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olor w:val="auto"/>
          <w:highlight w:val="none"/>
          <w:lang w:eastAsia="zh-CN"/>
        </w:rPr>
      </w:pPr>
      <w:r>
        <w:rPr>
          <w:rFonts w:hint="eastAsia" w:ascii="宋体" w:hAnsi="宋体" w:eastAsia="宋体"/>
          <w:color w:val="auto"/>
          <w:highlight w:val="none"/>
          <w:lang w:eastAsia="zh-CN"/>
        </w:rPr>
        <w:t>提供由省级以上监狱管理局、戒毒管理局(含新疆生产建设兵团)出具的属于监狱企业的证明文件</w:t>
      </w:r>
    </w:p>
    <w:p w14:paraId="1A4CA31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olor w:val="auto"/>
          <w:highlight w:val="none"/>
          <w:lang w:eastAsia="zh-CN"/>
        </w:rPr>
      </w:pPr>
    </w:p>
    <w:p w14:paraId="09AA08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（三）节能产品认证文件</w:t>
      </w:r>
    </w:p>
    <w:p w14:paraId="536D8A3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b/>
          <w:color w:val="auto"/>
          <w:highlight w:val="none"/>
          <w:lang w:eastAsia="zh-CN"/>
        </w:rPr>
      </w:pPr>
      <w:r>
        <w:rPr>
          <w:rFonts w:hint="eastAsia" w:ascii="宋体" w:hAnsi="宋体" w:eastAsia="宋体"/>
          <w:color w:val="auto"/>
          <w:highlight w:val="none"/>
          <w:lang w:eastAsia="zh-CN"/>
        </w:rPr>
        <w:t>提供其投标产品在《节能产品政府采购清单》中相应的页面截图及相关证明材料</w:t>
      </w:r>
    </w:p>
    <w:p w14:paraId="4BB108D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b/>
          <w:color w:val="auto"/>
          <w:highlight w:val="none"/>
          <w:lang w:eastAsia="zh-CN"/>
        </w:rPr>
      </w:pPr>
    </w:p>
    <w:p w14:paraId="7AA9AC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（四）环境标志产品认证文件</w:t>
      </w:r>
    </w:p>
    <w:p w14:paraId="278BBD4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b/>
          <w:color w:val="auto"/>
          <w:highlight w:val="none"/>
          <w:lang w:eastAsia="zh-CN"/>
        </w:rPr>
      </w:pPr>
      <w:r>
        <w:rPr>
          <w:rFonts w:hint="eastAsia" w:ascii="宋体" w:hAnsi="宋体" w:eastAsia="宋体"/>
          <w:color w:val="auto"/>
          <w:highlight w:val="none"/>
          <w:lang w:eastAsia="zh-CN"/>
        </w:rPr>
        <w:t>提供其投标产品在《环境标志产品政府采购清单》中相应的页面截图及相关证明材料</w:t>
      </w:r>
    </w:p>
    <w:p w14:paraId="6A52580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91"/>
        <w:textAlignment w:val="auto"/>
        <w:rPr>
          <w:color w:val="auto"/>
          <w:highlight w:val="none"/>
        </w:rPr>
      </w:pPr>
      <w:r>
        <w:rPr>
          <w:color w:val="auto"/>
          <w:highlight w:val="none"/>
        </w:rPr>
        <w:t> </w:t>
      </w:r>
      <w:bookmarkEnd w:id="245"/>
      <w:bookmarkEnd w:id="247"/>
    </w:p>
    <w:p w14:paraId="355970E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91"/>
        <w:textAlignment w:val="auto"/>
        <w:rPr>
          <w:color w:val="auto"/>
          <w:highlight w:val="none"/>
        </w:rPr>
      </w:pPr>
      <w:r>
        <w:rPr>
          <w:color w:val="auto"/>
          <w:highlight w:val="none"/>
        </w:rPr>
        <w:t> </w:t>
      </w:r>
    </w:p>
    <w:p w14:paraId="0AF8C19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91"/>
        <w:textAlignment w:val="auto"/>
        <w:rPr>
          <w:color w:val="auto"/>
          <w:highlight w:val="none"/>
        </w:rPr>
      </w:pPr>
      <w:r>
        <w:rPr>
          <w:color w:val="auto"/>
          <w:highlight w:val="none"/>
        </w:rPr>
        <w:t> </w:t>
      </w:r>
    </w:p>
    <w:p w14:paraId="2B11D5B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91"/>
        <w:textAlignment w:val="auto"/>
        <w:rPr>
          <w:color w:val="auto"/>
          <w:highlight w:val="none"/>
        </w:rPr>
      </w:pPr>
      <w:r>
        <w:rPr>
          <w:color w:val="auto"/>
          <w:highlight w:val="none"/>
        </w:rPr>
        <w:t> </w:t>
      </w:r>
    </w:p>
    <w:p w14:paraId="3EDD5B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（五）关于符合本国产品标准的声明函</w:t>
      </w:r>
    </w:p>
    <w:bookmarkEnd w:id="246"/>
    <w:p w14:paraId="4EDEECE5">
      <w:pPr>
        <w:pStyle w:val="32"/>
        <w:spacing w:beforeAutospacing="0" w:afterAutospacing="0" w:line="0" w:lineRule="atLeast"/>
        <w:ind w:firstLine="2891"/>
        <w:rPr>
          <w:color w:val="auto"/>
          <w:highlight w:val="none"/>
        </w:rPr>
      </w:pPr>
    </w:p>
    <w:p w14:paraId="78877B98">
      <w:pPr>
        <w:pStyle w:val="32"/>
        <w:spacing w:beforeAutospacing="0" w:afterAutospacing="0"/>
        <w:ind w:firstLine="1285"/>
        <w:rPr>
          <w:rFonts w:hint="eastAsia" w:ascii="黑体" w:hAnsi="宋体" w:eastAsia="黑体" w:cs="黑体"/>
          <w:b/>
          <w:color w:val="auto"/>
          <w:sz w:val="32"/>
          <w:szCs w:val="32"/>
          <w:highlight w:val="none"/>
        </w:rPr>
      </w:pPr>
      <w:bookmarkStart w:id="248" w:name="OLE_LINK12"/>
      <w:r>
        <w:rPr>
          <w:rFonts w:hint="eastAsia" w:ascii="黑体" w:hAnsi="宋体" w:eastAsia="黑体" w:cs="黑体"/>
          <w:b/>
          <w:color w:val="auto"/>
          <w:sz w:val="32"/>
          <w:szCs w:val="32"/>
          <w:highlight w:val="none"/>
        </w:rPr>
        <w:t>关于符合本国产品标准的声明</w:t>
      </w:r>
      <w:bookmarkEnd w:id="248"/>
      <w:r>
        <w:rPr>
          <w:rFonts w:hint="eastAsia" w:ascii="黑体" w:hAnsi="宋体" w:eastAsia="黑体" w:cs="黑体"/>
          <w:b/>
          <w:color w:val="auto"/>
          <w:sz w:val="32"/>
          <w:szCs w:val="32"/>
          <w:highlight w:val="none"/>
        </w:rPr>
        <w:t>函</w:t>
      </w:r>
    </w:p>
    <w:p w14:paraId="62A18925">
      <w:pPr>
        <w:pStyle w:val="32"/>
        <w:spacing w:beforeAutospacing="0" w:afterAutospacing="0"/>
        <w:ind w:firstLine="2570"/>
        <w:rPr>
          <w:rFonts w:hint="eastAsia" w:ascii="黑体" w:hAnsi="宋体" w:eastAsia="黑体" w:cs="黑体"/>
          <w:b/>
          <w:color w:val="auto"/>
          <w:sz w:val="32"/>
          <w:szCs w:val="32"/>
          <w:highlight w:val="none"/>
        </w:rPr>
      </w:pPr>
    </w:p>
    <w:p w14:paraId="016DCD02">
      <w:pPr>
        <w:spacing w:line="360" w:lineRule="auto"/>
        <w:ind w:firstLine="420"/>
        <w:rPr>
          <w:rFonts w:hint="eastAsia" w:ascii="宋体" w:hAnsi="宋体" w:eastAsia="宋体" w:cs="方正魏碑_GBK"/>
          <w:color w:val="auto"/>
          <w:sz w:val="24"/>
          <w:highlight w:val="none"/>
        </w:rPr>
      </w:pPr>
      <w:r>
        <w:rPr>
          <w:rFonts w:hint="eastAsia" w:ascii="宋体" w:hAnsi="宋体" w:eastAsia="宋体" w:cs="方正魏碑_GBK"/>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564ECC6">
      <w:pPr>
        <w:spacing w:before="30" w:after="30" w:line="360" w:lineRule="auto"/>
        <w:ind w:firstLine="420"/>
        <w:rPr>
          <w:rFonts w:hint="eastAsia" w:ascii="宋体" w:hAnsi="宋体" w:eastAsia="宋体" w:cs="方正魏碑_GBK"/>
          <w:color w:val="auto"/>
          <w:sz w:val="24"/>
          <w:highlight w:val="none"/>
        </w:rPr>
      </w:pPr>
      <w:r>
        <w:rPr>
          <w:rFonts w:hint="eastAsia" w:ascii="宋体" w:hAnsi="宋体" w:eastAsia="宋体" w:cs="方正魏碑_GBK"/>
          <w:color w:val="auto"/>
          <w:sz w:val="24"/>
          <w:highlight w:val="none"/>
        </w:rPr>
        <mc:AlternateContent>
          <mc:Choice Requires="wps">
            <w:drawing>
              <wp:anchor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1" name="直接箭头连接符 36"/>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noFill/>
                        <a:ln w="9525">
                          <a:solidFill>
                            <a:srgbClr val="000000"/>
                          </a:solidFill>
                          <a:round/>
                        </a:ln>
                      </wps:spPr>
                      <wps:bodyPr rot="0">
                        <a:noAutofit/>
                      </wps:bodyPr>
                    </wps:wsp>
                  </a:graphicData>
                </a:graphic>
              </wp:anchor>
            </w:drawing>
          </mc:Choice>
          <mc:Fallback>
            <w:pict>
              <v:shape id="直接箭头连接符 36" o:spid="_x0000_s1026" o:spt="32" type="#_x0000_t32" style="position:absolute;left:0pt;flip:y;margin-left:-0.7pt;margin-top:40.25pt;height:10.3pt;width:44.55pt;z-index:251671552;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DNBPHLVAAAACAEAAA8AAAAAAAAAAQAgAAAAIgAAAGRycy9kb3ducmV2LnhtbFBLAQIU&#10;ABQAAAAIAIdO4kDWt9KZ9gEAAL0DAAAOAAAAAAAAAAEAIAAAACQBAABkcnMvZTJvRG9jLnhtbFBL&#10;BQYAAAAABgAGAFkBAACMBQ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2" name="直接箭头连接符 35"/>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noFill/>
                        <a:ln w="9525">
                          <a:solidFill>
                            <a:srgbClr val="000000"/>
                          </a:solidFill>
                          <a:round/>
                        </a:ln>
                      </wps:spPr>
                      <wps:bodyPr rot="0">
                        <a:noAutofit/>
                      </wps:bodyPr>
                    </wps:wsp>
                  </a:graphicData>
                </a:graphic>
              </wp:anchor>
            </w:drawing>
          </mc:Choice>
          <mc:Fallback>
            <w:pict>
              <v:shape id="直接箭头连接符 35" o:spid="_x0000_s1026" o:spt="32" type="#_x0000_t32" style="position:absolute;left:0pt;flip:y;margin-left:391.85pt;margin-top:24.4pt;height:7.7pt;width:15.45pt;z-index:251670528;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Jr2QVDWAAAACQEAAA8AAAAAAAAAAQAgAAAAIgAAAGRycy9kb3ducmV2LnhtbFBLAQIU&#10;ABQAAAAIAIdO4kCW/fEm9QEAALwDAAAOAAAAAAAAAAEAIAAAACUBAABkcnMvZTJvRG9jLnhtbFBL&#10;BQYAAAAABgAGAFkBAACMBQ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3" name="直接箭头连接符 34"/>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rot="0">
                        <a:noAutofit/>
                      </wps:bodyPr>
                    </wps:wsp>
                  </a:graphicData>
                </a:graphic>
              </wp:anchor>
            </w:drawing>
          </mc:Choice>
          <mc:Fallback>
            <w:pict>
              <v:shape id="直接箭头连接符 34" o:spid="_x0000_s1026" o:spt="32" type="#_x0000_t32" style="position:absolute;left:0pt;flip:y;margin-left:244.85pt;margin-top:40.25pt;height:11.6pt;width:64.3pt;z-index:251669504;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0mIWc9cAAAAKAQAADwAAAAAAAAABACAAAAAiAAAAZHJzL2Rvd25yZXYueG1sUEsB&#10;AhQAFAAAAAgAh07iQIVnAOP2AQAAvQMAAA4AAAAAAAAAAQAgAAAAJgEAAGRycy9lMm9Eb2MueG1s&#10;UEsFBgAAAAAGAAYAWQEAAI4FA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4" name="直接箭头连接符 33"/>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noFill/>
                        <a:ln w="9525">
                          <a:solidFill>
                            <a:srgbClr val="000000"/>
                          </a:solidFill>
                          <a:round/>
                        </a:ln>
                      </wps:spPr>
                      <wps:bodyPr rot="0">
                        <a:noAutofit/>
                      </wps:bodyPr>
                    </wps:wsp>
                  </a:graphicData>
                </a:graphic>
              </wp:anchor>
            </w:drawing>
          </mc:Choice>
          <mc:Fallback>
            <w:pict>
              <v:shape id="直接箭头连接符 33" o:spid="_x0000_s1026" o:spt="32" type="#_x0000_t32" style="position:absolute;left:0pt;flip:y;margin-left:2.3pt;margin-top:24.4pt;height:7.7pt;width:28.7pt;z-index:251668480;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pHddUtMAAAAGAQAADwAAAAAAAAABACAAAAAiAAAAZHJzL2Rvd25yZXYueG1sUEsBAhQAFAAA&#10;AAgAh07iQOOtKbn0AQAAvAMAAA4AAAAAAAAAAQAgAAAAIgEAAGRycy9lMm9Eb2MueG1sUEsFBgAA&#10;AAAGAAYAWQEAAIgFA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5" name="直接箭头连接符 32"/>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wps:spPr>
                      <wps:bodyPr rot="0">
                        <a:noAutofit/>
                      </wps:bodyPr>
                    </wps:wsp>
                  </a:graphicData>
                </a:graphic>
              </wp:anchor>
            </w:drawing>
          </mc:Choice>
          <mc:Fallback>
            <w:pict>
              <v:shape id="直接箭头连接符 32"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GKFxa1gAAAAkBAAAPAAAAAAAAAAEAIAAAACIAAABkcnMvZG93bnJldi54bWxQSwECFAAU&#10;AAAACACHTuJAxxySb/MBAAC8AwAADgAAAAAAAAABACAAAAAlAQAAZHJzL2Uyb0RvYy54bWxQSwUG&#10;AAAAAAYABgBZAQAAigU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6" name="直接箭头连接符 31"/>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wps:spPr>
                      <wps:bodyPr rot="0">
                        <a:noAutofit/>
                      </wps:bodyPr>
                    </wps:wsp>
                  </a:graphicData>
                </a:graphic>
              </wp:anchor>
            </w:drawing>
          </mc:Choice>
          <mc:Fallback>
            <w:pict>
              <v:shape id="直接箭头连接符 31"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Afyfu9YAAAAKAQAADwAAAAAAAAABACAAAAAiAAAAZHJzL2Rvd25yZXYueG1sUEsBAhQA&#10;FAAAAAgAh07iQN9Ea4X0AQAAvQMAAA4AAAAAAAAAAQAgAAAAJQEAAGRycy9lMm9Eb2MueG1sUEsF&#10;BgAAAAAGAAYAWQEAAIsFA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7" name="直接箭头连接符 30"/>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wps:spPr>
                      <wps:bodyPr rot="0">
                        <a:noAutofit/>
                      </wps:bodyPr>
                    </wps:wsp>
                  </a:graphicData>
                </a:graphic>
              </wp:anchor>
            </w:drawing>
          </mc:Choice>
          <mc:Fallback>
            <w:pict>
              <v:shape id="直接箭头连接符 3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r0J761wAAAAkBAAAPAAAAAAAAAAEAIAAAACIAAABkcnMvZG93bnJldi54bWxQSwEC&#10;FAAUAAAACACHTuJAwFS4XvUBAAC9AwAADgAAAAAAAAABACAAAAAmAQAAZHJzL2Uyb0RvYy54bWxQ&#10;SwUGAAAAAAYABgBZAQAAjQU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8" name="直接箭头连接符 29"/>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wps:spPr>
                      <wps:bodyPr rot="0">
                        <a:noAutofit/>
                      </wps:bodyPr>
                    </wps:wsp>
                  </a:graphicData>
                </a:graphic>
              </wp:anchor>
            </w:drawing>
          </mc:Choice>
          <mc:Fallback>
            <w:pict>
              <v:shape id="直接箭头连接符 29"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bn/bNcAAAAJAQAADwAAAAAAAAABACAAAAAiAAAAZHJzL2Rvd25yZXYueG1sUEsBAhQA&#10;FAAAAAgAh07iQF2RW2LzAQAAvAMAAA4AAAAAAAAAAQAgAAAAJgEAAGRycy9lMm9Eb2MueG1sUEsF&#10;BgAAAAAGAAYAWQEAAIsFA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shd w:val="clear" w:color="auto" w:fill="FFFFFF"/>
        </w:rPr>
        <w:t>1.</w:t>
      </w:r>
      <w:r>
        <w:rPr>
          <w:rFonts w:hint="eastAsia" w:ascii="宋体" w:hAnsi="宋体" w:eastAsia="宋体" w:cs="方正魏碑_GBK"/>
          <w:color w:val="auto"/>
          <w:sz w:val="24"/>
          <w:highlight w:val="none"/>
          <w:u w:val="single"/>
          <w:shd w:val="clear" w:color="auto" w:fill="FFFFFF"/>
        </w:rPr>
        <w:t>（产品名称1）</w:t>
      </w:r>
      <w:r>
        <w:rPr>
          <w:rFonts w:hint="eastAsia" w:ascii="宋体" w:hAnsi="宋体" w:eastAsia="宋体" w:cs="方正魏碑_GBK"/>
          <w:color w:val="auto"/>
          <w:sz w:val="24"/>
          <w:highlight w:val="none"/>
          <w:shd w:val="clear" w:color="auto" w:fill="FFFFFF"/>
          <w:vertAlign w:val="superscript"/>
        </w:rPr>
        <w:t>1</w:t>
      </w:r>
      <w:r>
        <w:rPr>
          <w:rFonts w:hint="eastAsia" w:ascii="宋体" w:hAnsi="宋体" w:eastAsia="宋体" w:cs="方正魏碑_GBK"/>
          <w:color w:val="auto"/>
          <w:sz w:val="24"/>
          <w:highlight w:val="none"/>
          <w:shd w:val="clear" w:color="auto" w:fill="FFFFFF"/>
        </w:rPr>
        <w:t>，生产厂为</w:t>
      </w:r>
      <w:r>
        <w:rPr>
          <w:rFonts w:hint="eastAsia" w:ascii="宋体" w:hAnsi="宋体" w:eastAsia="宋体" w:cs="方正魏碑_GBK"/>
          <w:color w:val="auto"/>
          <w:sz w:val="24"/>
          <w:highlight w:val="none"/>
          <w:u w:val="single"/>
          <w:shd w:val="clear" w:color="auto" w:fill="FFFFFF"/>
        </w:rPr>
        <w:t>（厂名）</w:t>
      </w:r>
      <w:r>
        <w:rPr>
          <w:rFonts w:hint="eastAsia" w:ascii="宋体" w:hAnsi="宋体" w:eastAsia="宋体" w:cs="方正魏碑_GBK"/>
          <w:color w:val="auto"/>
          <w:sz w:val="24"/>
          <w:highlight w:val="none"/>
          <w:shd w:val="clear" w:color="auto" w:fill="FFFFFF"/>
          <w:vertAlign w:val="superscript"/>
        </w:rPr>
        <w:t>2</w:t>
      </w:r>
      <w:r>
        <w:rPr>
          <w:rFonts w:hint="eastAsia" w:ascii="宋体" w:hAnsi="宋体" w:eastAsia="宋体" w:cs="方正魏碑_GBK"/>
          <w:color w:val="auto"/>
          <w:sz w:val="24"/>
          <w:highlight w:val="none"/>
          <w:shd w:val="clear" w:color="auto" w:fill="FFFFFF"/>
        </w:rPr>
        <w:t>，厂址为</w:t>
      </w:r>
      <w:r>
        <w:rPr>
          <w:rFonts w:hint="eastAsia" w:ascii="宋体" w:hAnsi="宋体" w:eastAsia="宋体" w:cs="方正魏碑_GBK"/>
          <w:color w:val="auto"/>
          <w:sz w:val="24"/>
          <w:highlight w:val="none"/>
          <w:u w:val="single"/>
          <w:shd w:val="clear" w:color="auto" w:fill="FFFFFF"/>
        </w:rPr>
        <w:t>（生产厂址）</w:t>
      </w:r>
      <w:r>
        <w:rPr>
          <w:rFonts w:hint="eastAsia" w:ascii="宋体" w:hAnsi="宋体" w:eastAsia="宋体" w:cs="方正魏碑_GBK"/>
          <w:color w:val="auto"/>
          <w:sz w:val="24"/>
          <w:highlight w:val="none"/>
          <w:shd w:val="clear" w:color="auto" w:fill="FFFFFF"/>
        </w:rPr>
        <w:t>。</w:t>
      </w:r>
      <w:r>
        <w:rPr>
          <w:rFonts w:hint="eastAsia" w:ascii="宋体" w:hAnsi="宋体" w:eastAsia="宋体" w:cs="方正魏碑_GBK"/>
          <w:color w:val="auto"/>
          <w:sz w:val="24"/>
          <w:highlight w:val="none"/>
          <w:u w:val="single"/>
          <w:shd w:val="clear" w:color="auto" w:fill="FFFFFF"/>
        </w:rPr>
        <w:t xml:space="preserve"> （产品名称1） </w:t>
      </w:r>
      <w:r>
        <w:rPr>
          <w:rFonts w:hint="eastAsia" w:ascii="宋体" w:hAnsi="宋体" w:eastAsia="宋体" w:cs="方正魏碑_GBK"/>
          <w:color w:val="auto"/>
          <w:sz w:val="24"/>
          <w:highlight w:val="none"/>
          <w:shd w:val="clear" w:color="auto" w:fill="FFFFFF"/>
        </w:rPr>
        <w:t>的中国境内生产的组件成本占比≥</w:t>
      </w:r>
      <w:r>
        <w:rPr>
          <w:rFonts w:hint="eastAsia" w:ascii="宋体" w:hAnsi="宋体" w:eastAsia="宋体" w:cs="方正魏碑_GBK"/>
          <w:color w:val="auto"/>
          <w:sz w:val="24"/>
          <w:highlight w:val="none"/>
          <w:u w:val="single"/>
          <w:shd w:val="clear" w:color="auto" w:fill="FFFFFF"/>
        </w:rPr>
        <w:t>（规定</w:t>
      </w:r>
      <w:r>
        <w:rPr>
          <w:rFonts w:ascii="宋体" w:hAnsi="宋体" w:eastAsia="宋体" w:cs="方正魏碑_GBK"/>
          <w:color w:val="auto"/>
          <w:sz w:val="24"/>
          <w:highlight w:val="none"/>
          <w:u w:val="single"/>
          <w:shd w:val="clear" w:color="auto" w:fill="FFFFFF"/>
        </w:rPr>
        <w:t>比例</w:t>
      </w:r>
      <w:r>
        <w:rPr>
          <w:rFonts w:hint="eastAsia" w:ascii="宋体" w:hAnsi="宋体" w:eastAsia="宋体" w:cs="方正魏碑_GBK"/>
          <w:color w:val="auto"/>
          <w:sz w:val="24"/>
          <w:highlight w:val="none"/>
          <w:u w:val="single"/>
          <w:shd w:val="clear" w:color="auto" w:fill="FFFFFF"/>
        </w:rPr>
        <w:t>）</w:t>
      </w:r>
      <w:r>
        <w:rPr>
          <w:rFonts w:hint="eastAsia" w:ascii="宋体" w:hAnsi="宋体" w:eastAsia="宋体" w:cs="方正魏碑_GBK"/>
          <w:color w:val="auto"/>
          <w:sz w:val="24"/>
          <w:highlight w:val="none"/>
          <w:shd w:val="clear" w:color="auto" w:fill="FFFFFF"/>
          <w:vertAlign w:val="superscript"/>
        </w:rPr>
        <w:t>3</w:t>
      </w:r>
      <w:r>
        <w:rPr>
          <w:rFonts w:hint="eastAsia" w:ascii="宋体" w:hAnsi="宋体" w:eastAsia="宋体" w:cs="方正魏碑_GBK"/>
          <w:color w:val="auto"/>
          <w:sz w:val="24"/>
          <w:highlight w:val="none"/>
          <w:shd w:val="clear" w:color="auto" w:fill="FFFFFF"/>
        </w:rPr>
        <w:t>。</w:t>
      </w:r>
      <w:r>
        <w:rPr>
          <w:rFonts w:hint="eastAsia" w:ascii="宋体" w:hAnsi="宋体" w:eastAsia="宋体" w:cs="方正魏碑_GBK"/>
          <w:color w:val="auto"/>
          <w:sz w:val="24"/>
          <w:highlight w:val="none"/>
          <w:u w:val="single"/>
          <w:shd w:val="clear" w:color="auto" w:fill="FFFFFF"/>
        </w:rPr>
        <w:t>（产品名称1）</w:t>
      </w:r>
      <w:r>
        <w:rPr>
          <w:rFonts w:hint="eastAsia" w:ascii="宋体" w:hAnsi="宋体" w:eastAsia="宋体" w:cs="方正魏碑_GBK"/>
          <w:color w:val="auto"/>
          <w:sz w:val="24"/>
          <w:highlight w:val="none"/>
          <w:shd w:val="clear" w:color="auto" w:fill="FFFFFF"/>
        </w:rPr>
        <w:t>的</w:t>
      </w:r>
      <w:r>
        <w:rPr>
          <w:rFonts w:hint="eastAsia" w:ascii="宋体" w:hAnsi="宋体" w:eastAsia="宋体" w:cs="方正魏碑_GBK"/>
          <w:color w:val="auto"/>
          <w:sz w:val="24"/>
          <w:highlight w:val="none"/>
          <w:u w:val="single"/>
          <w:shd w:val="clear" w:color="auto" w:fill="FFFFFF"/>
        </w:rPr>
        <w:t>（关键</w:t>
      </w:r>
      <w:r>
        <w:rPr>
          <w:rFonts w:ascii="宋体" w:hAnsi="宋体" w:eastAsia="宋体" w:cs="方正魏碑_GBK"/>
          <w:color w:val="auto"/>
          <w:sz w:val="24"/>
          <w:highlight w:val="none"/>
          <w:u w:val="single"/>
          <w:shd w:val="clear" w:color="auto" w:fill="FFFFFF"/>
        </w:rPr>
        <w:t>组件</w:t>
      </w:r>
      <w:r>
        <w:rPr>
          <w:rFonts w:hint="eastAsia" w:ascii="宋体" w:hAnsi="宋体" w:eastAsia="宋体" w:cs="方正魏碑_GBK"/>
          <w:color w:val="auto"/>
          <w:sz w:val="24"/>
          <w:highlight w:val="none"/>
          <w:u w:val="single"/>
          <w:shd w:val="clear" w:color="auto" w:fill="FFFFFF"/>
        </w:rPr>
        <w:t>）</w:t>
      </w:r>
      <w:r>
        <w:rPr>
          <w:rFonts w:hint="eastAsia" w:ascii="宋体" w:hAnsi="宋体" w:eastAsia="宋体" w:cs="方正魏碑_GBK"/>
          <w:color w:val="auto"/>
          <w:sz w:val="24"/>
          <w:highlight w:val="none"/>
          <w:shd w:val="clear" w:color="auto" w:fill="FFFFFF"/>
          <w:vertAlign w:val="superscript"/>
        </w:rPr>
        <w:t>4</w:t>
      </w:r>
      <w:r>
        <w:rPr>
          <w:rFonts w:hint="eastAsia" w:ascii="宋体" w:hAnsi="宋体" w:eastAsia="宋体" w:cs="方正魏碑_GBK"/>
          <w:color w:val="auto"/>
          <w:sz w:val="24"/>
          <w:highlight w:val="none"/>
          <w:shd w:val="clear" w:color="auto" w:fill="FFFFFF"/>
        </w:rPr>
        <w:t>在中国境内生产。</w:t>
      </w:r>
      <w:r>
        <w:rPr>
          <w:rFonts w:hint="eastAsia" w:ascii="宋体" w:hAnsi="宋体" w:eastAsia="宋体" w:cs="方正魏碑_GBK"/>
          <w:color w:val="auto"/>
          <w:sz w:val="24"/>
          <w:highlight w:val="none"/>
          <w:u w:val="single"/>
          <w:shd w:val="clear" w:color="auto" w:fill="FFFFFF"/>
        </w:rPr>
        <w:t>（产品名称1）</w:t>
      </w:r>
      <w:r>
        <w:rPr>
          <w:rFonts w:hint="eastAsia" w:ascii="宋体" w:hAnsi="宋体" w:eastAsia="宋体" w:cs="方正魏碑_GBK"/>
          <w:color w:val="auto"/>
          <w:sz w:val="24"/>
          <w:highlight w:val="none"/>
          <w:shd w:val="clear" w:color="auto" w:fill="FFFFFF"/>
        </w:rPr>
        <w:t>的</w:t>
      </w:r>
      <w:r>
        <w:rPr>
          <w:rFonts w:hint="eastAsia" w:ascii="宋体" w:hAnsi="宋体" w:eastAsia="宋体" w:cs="方正魏碑_GBK"/>
          <w:color w:val="auto"/>
          <w:sz w:val="24"/>
          <w:highlight w:val="none"/>
          <w:u w:val="single"/>
          <w:shd w:val="clear" w:color="auto" w:fill="FFFFFF"/>
        </w:rPr>
        <w:t>（关键工序）</w:t>
      </w:r>
      <w:r>
        <w:rPr>
          <w:rFonts w:hint="eastAsia" w:ascii="宋体" w:hAnsi="宋体" w:eastAsia="宋体" w:cs="方正魏碑_GBK"/>
          <w:color w:val="auto"/>
          <w:sz w:val="24"/>
          <w:highlight w:val="none"/>
          <w:shd w:val="clear" w:color="auto" w:fill="FFFFFF"/>
          <w:vertAlign w:val="superscript"/>
        </w:rPr>
        <w:t>5</w:t>
      </w:r>
      <w:r>
        <w:rPr>
          <w:rFonts w:hint="eastAsia" w:ascii="宋体" w:hAnsi="宋体" w:eastAsia="宋体" w:cs="方正魏碑_GBK"/>
          <w:color w:val="auto"/>
          <w:sz w:val="24"/>
          <w:highlight w:val="none"/>
          <w:shd w:val="clear" w:color="auto" w:fill="FFFFFF"/>
        </w:rPr>
        <w:t>在中国境内完成。</w:t>
      </w:r>
    </w:p>
    <w:p w14:paraId="129B8F7A">
      <w:pPr>
        <w:spacing w:before="30" w:after="30" w:line="360" w:lineRule="auto"/>
        <w:ind w:firstLine="420"/>
        <w:rPr>
          <w:rFonts w:hint="eastAsia" w:ascii="宋体" w:hAnsi="宋体" w:eastAsia="宋体" w:cs="方正魏碑_GBK"/>
          <w:color w:val="auto"/>
          <w:sz w:val="24"/>
          <w:highlight w:val="none"/>
        </w:rPr>
      </w:pPr>
      <w:r>
        <w:rPr>
          <w:rFonts w:hint="eastAsia" w:ascii="宋体" w:hAnsi="宋体" w:eastAsia="宋体" w:cs="方正魏碑_GBK"/>
          <w:color w:val="auto"/>
          <w:sz w:val="24"/>
          <w:highlight w:val="none"/>
        </w:rPr>
        <mc:AlternateContent>
          <mc:Choice Requires="wps">
            <w:drawing>
              <wp:anchor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9" name="直接箭头连接符 28"/>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noFill/>
                        <a:ln w="9525">
                          <a:solidFill>
                            <a:srgbClr val="000000"/>
                          </a:solidFill>
                          <a:round/>
                        </a:ln>
                      </wps:spPr>
                      <wps:bodyPr rot="0">
                        <a:noAutofit/>
                      </wps:bodyPr>
                    </wps:wsp>
                  </a:graphicData>
                </a:graphic>
              </wp:anchor>
            </w:drawing>
          </mc:Choice>
          <mc:Fallback>
            <w:pict>
              <v:shape id="直接箭头连接符 28" o:spid="_x0000_s1026" o:spt="32" type="#_x0000_t32" style="position:absolute;left:0pt;flip:y;margin-left:376.45pt;margin-top:21.4pt;height:11.6pt;width:36.4pt;z-index:251674624;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D0Vvk1wAAAAkBAAAPAAAAAAAAAAEAIAAAACIAAABkcnMvZG93bnJldi54bWxQSwEC&#10;FAAUAAAACACHTuJAsjNti/UBAAC9AwAADgAAAAAAAAABACAAAAAmAQAAZHJzL2Uyb0RvYy54bWxQ&#10;SwUGAAAAAAYABgBZAQAAjQU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0" name="直接箭头连接符 27"/>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noFill/>
                        <a:ln w="9525">
                          <a:solidFill>
                            <a:srgbClr val="000000"/>
                          </a:solidFill>
                          <a:round/>
                        </a:ln>
                      </wps:spPr>
                      <wps:bodyPr rot="0">
                        <a:noAutofit/>
                      </wps:bodyPr>
                    </wps:wsp>
                  </a:graphicData>
                </a:graphic>
              </wp:anchor>
            </w:drawing>
          </mc:Choice>
          <mc:Fallback>
            <w:pict>
              <v:shape id="直接箭头连接符 27" o:spid="_x0000_s1026" o:spt="32" type="#_x0000_t32" style="position:absolute;left:0pt;flip:y;margin-left:1pt;margin-top:40.3pt;height:8.85pt;width:33.45pt;z-index:251675648;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rqp4ydUAAAAGAQAADwAAAAAAAAABACAAAAAiAAAAZHJzL2Rvd25yZXYueG1sUEsBAhQA&#10;FAAAAAgAh07iQEbd3SX1AQAAvgMAAA4AAAAAAAAAAQAgAAAAJAEAAGRycy9lMm9Eb2MueG1sUEsF&#10;BgAAAAAGAAYAWQEAAIsFA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1" name="直接箭头连接符 26"/>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noFill/>
                        <a:ln w="9525">
                          <a:solidFill>
                            <a:srgbClr val="000000"/>
                          </a:solidFill>
                          <a:round/>
                        </a:ln>
                      </wps:spPr>
                      <wps:bodyPr rot="0">
                        <a:noAutofit/>
                      </wps:bodyPr>
                    </wps:wsp>
                  </a:graphicData>
                </a:graphic>
              </wp:anchor>
            </w:drawing>
          </mc:Choice>
          <mc:Fallback>
            <w:pict>
              <v:shape id="直接箭头连接符 26" o:spid="_x0000_s1026" o:spt="32" type="#_x0000_t32" style="position:absolute;left:0pt;flip:y;margin-left:-2pt;margin-top:22.7pt;height:6.85pt;width:18.45pt;z-index:251673600;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BlUFDHXAAAABwEAAA8AAAAAAAAAAQAgAAAAIgAAAGRycy9kb3ducmV2LnhtbFBLAQIU&#10;ABQAAAAIAIdO4kBb4NxC9AEAAL0DAAAOAAAAAAAAAAEAIAAAACYBAABkcnMvZTJvRG9jLnhtbFBL&#10;BQYAAAAABgAGAFkBAACMBQ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2" name="直接箭头连接符 25"/>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wps:spPr>
                      <wps:bodyPr rot="0">
                        <a:noAutofit/>
                      </wps:bodyPr>
                    </wps:wsp>
                  </a:graphicData>
                </a:graphic>
              </wp:anchor>
            </w:drawing>
          </mc:Choice>
          <mc:Fallback>
            <w:pict>
              <v:shape id="直接箭头连接符 25" o:spid="_x0000_s1026" o:spt="32" type="#_x0000_t32" style="position:absolute;left:0pt;flip:y;margin-left:352.45pt;margin-top:4.7pt;height:7.7pt;width:56.55pt;z-index:251672576;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Dvzlm7XAAAACAEAAA8AAAAAAAAAAQAgAAAAIgAAAGRycy9kb3ducmV2LnhtbFBLAQIU&#10;ABQAAAAIAIdO4kB1N6d59AEAAL0DAAAOAAAAAAAAAAEAIAAAACYBAABkcnMvZTJvRG9jLnhtbFBL&#10;BQYAAAAABgAGAFkBAACMBQ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3" name="直接箭头连接符 24"/>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wps:spPr>
                      <wps:bodyPr rot="0">
                        <a:noAutofit/>
                      </wps:bodyPr>
                    </wps:wsp>
                  </a:graphicData>
                </a:graphic>
              </wp:anchor>
            </w:drawing>
          </mc:Choice>
          <mc:Fallback>
            <w:pict>
              <v:shape id="直接箭头连接符 24"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XUvHTYAAAACQEAAA8AAAAAAAAAAQAgAAAAIgAAAGRycy9kb3ducmV2LnhtbFBL&#10;AQIUABQAAAAIAIdO4kB3e2ci9gEAAL4DAAAOAAAAAAAAAAEAIAAAACcBAABkcnMvZTJvRG9jLnht&#10;bFBLBQYAAAAABgAGAFkBAACPBQ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4" name="直接箭头连接符 23"/>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wps:spPr>
                      <wps:bodyPr rot="0">
                        <a:noAutofit/>
                      </wps:bodyPr>
                    </wps:wsp>
                  </a:graphicData>
                </a:graphic>
              </wp:anchor>
            </w:drawing>
          </mc:Choice>
          <mc:Fallback>
            <w:pict>
              <v:shape id="直接箭头连接符 23"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Drw149cAAAAJAQAADwAAAAAAAAABACAAAAAiAAAAZHJzL2Rvd25yZXYueG1sUEsB&#10;AhQAFAAAAAgAh07iQK3rt4H2AQAAvgMAAA4AAAAAAAAAAQAgAAAAJgEAAGRycy9lMm9Eb2MueG1s&#10;UEsFBgAAAAAGAAYAWQEAAI4FA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5" name="直接箭头连接符 22"/>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wps:spPr>
                      <wps:bodyPr rot="0">
                        <a:noAutofit/>
                      </wps:bodyPr>
                    </wps:wsp>
                  </a:graphicData>
                </a:graphic>
              </wp:anchor>
            </w:drawing>
          </mc:Choice>
          <mc:Fallback>
            <w:pict>
              <v:shape id="直接箭头连接符 22"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Eado9gAAAAJAQAADwAAAAAAAAABACAAAAAiAAAAZHJzL2Rvd25yZXYueG1sUEsB&#10;AhQAFAAAAAgAh07iQLdvFm71AQAAvgMAAA4AAAAAAAAAAQAgAAAAJwEAAGRycy9lMm9Eb2MueG1s&#10;UEsFBgAAAAAGAAYAWQEAAI4FA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16" name="直接箭头连接符 21"/>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wps:spPr>
                      <wps:bodyPr rot="0">
                        <a:noAutofit/>
                      </wps:bodyPr>
                    </wps:wsp>
                  </a:graphicData>
                </a:graphic>
              </wp:anchor>
            </w:drawing>
          </mc:Choice>
          <mc:Fallback>
            <w:pict>
              <v:shape id="直接箭头连接符 21"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SyQJDXAAAACQEAAA8AAAAAAAAAAQAgAAAAIgAAAGRycy9kb3ducmV2LnhtbFBL&#10;AQIUABQAAAAIAIdO4kDWy2Pc9wEAAL4DAAAOAAAAAAAAAAEAIAAAACYBAABkcnMvZTJvRG9jLnht&#10;bFBLBQYAAAAABgAGAFkBAACPBQAAAAA=&#10;">
                <v:fill on="f" focussize="0,0"/>
                <v:stroke color="#000000" joinstyle="round"/>
                <v:imagedata o:title=""/>
                <o:lock v:ext="edit" aspectratio="f"/>
              </v:shape>
            </w:pict>
          </mc:Fallback>
        </mc:AlternateContent>
      </w:r>
      <w:r>
        <w:rPr>
          <w:rFonts w:hint="eastAsia" w:ascii="宋体" w:hAnsi="宋体" w:eastAsia="宋体" w:cs="方正魏碑_GBK"/>
          <w:color w:val="auto"/>
          <w:sz w:val="24"/>
          <w:highlight w:val="none"/>
          <w:shd w:val="clear" w:color="auto" w:fill="FFFFFF"/>
        </w:rPr>
        <w:t>2.</w:t>
      </w:r>
      <w:r>
        <w:rPr>
          <w:rFonts w:hint="eastAsia" w:ascii="宋体" w:hAnsi="宋体" w:eastAsia="宋体" w:cs="方正魏碑_GBK"/>
          <w:color w:val="auto"/>
          <w:sz w:val="24"/>
          <w:highlight w:val="none"/>
          <w:u w:val="single"/>
          <w:shd w:val="clear" w:color="auto" w:fill="FFFFFF"/>
        </w:rPr>
        <w:t>（产品名称2）</w:t>
      </w:r>
      <w:r>
        <w:rPr>
          <w:rFonts w:hint="eastAsia" w:ascii="宋体" w:hAnsi="宋体" w:eastAsia="宋体" w:cs="方正魏碑_GBK"/>
          <w:color w:val="auto"/>
          <w:sz w:val="24"/>
          <w:highlight w:val="none"/>
          <w:shd w:val="clear" w:color="auto" w:fill="FFFFFF"/>
        </w:rPr>
        <w:t>，生产厂为</w:t>
      </w:r>
      <w:r>
        <w:rPr>
          <w:rFonts w:hint="eastAsia" w:ascii="宋体" w:hAnsi="宋体" w:eastAsia="宋体" w:cs="方正魏碑_GBK"/>
          <w:color w:val="auto"/>
          <w:sz w:val="24"/>
          <w:highlight w:val="none"/>
          <w:u w:val="single"/>
          <w:shd w:val="clear" w:color="auto" w:fill="FFFFFF"/>
        </w:rPr>
        <w:t>（厂名）</w:t>
      </w:r>
      <w:r>
        <w:rPr>
          <w:rFonts w:hint="eastAsia" w:ascii="宋体" w:hAnsi="宋体" w:eastAsia="宋体" w:cs="方正魏碑_GBK"/>
          <w:color w:val="auto"/>
          <w:sz w:val="24"/>
          <w:highlight w:val="none"/>
          <w:shd w:val="clear" w:color="auto" w:fill="FFFFFF"/>
        </w:rPr>
        <w:t>，厂址为</w:t>
      </w:r>
      <w:r>
        <w:rPr>
          <w:rFonts w:hint="eastAsia" w:ascii="宋体" w:hAnsi="宋体" w:eastAsia="宋体" w:cs="方正魏碑_GBK"/>
          <w:color w:val="auto"/>
          <w:sz w:val="24"/>
          <w:highlight w:val="none"/>
          <w:u w:val="single"/>
          <w:shd w:val="clear" w:color="auto" w:fill="FFFFFF"/>
        </w:rPr>
        <w:t>（生产厂址）</w:t>
      </w:r>
      <w:r>
        <w:rPr>
          <w:rFonts w:hint="eastAsia" w:ascii="宋体" w:hAnsi="宋体" w:eastAsia="宋体" w:cs="方正魏碑_GBK"/>
          <w:color w:val="auto"/>
          <w:sz w:val="24"/>
          <w:highlight w:val="none"/>
          <w:shd w:val="clear" w:color="auto" w:fill="FFFFFF"/>
        </w:rPr>
        <w:t>。</w:t>
      </w:r>
      <w:r>
        <w:rPr>
          <w:rFonts w:hint="eastAsia" w:ascii="宋体" w:hAnsi="宋体" w:eastAsia="宋体" w:cs="方正魏碑_GBK"/>
          <w:color w:val="auto"/>
          <w:sz w:val="24"/>
          <w:highlight w:val="none"/>
          <w:u w:val="single"/>
          <w:shd w:val="clear" w:color="auto" w:fill="FFFFFF"/>
        </w:rPr>
        <w:t>（产品名称2）</w:t>
      </w:r>
      <w:r>
        <w:rPr>
          <w:rFonts w:hint="eastAsia" w:ascii="宋体" w:hAnsi="宋体" w:eastAsia="宋体" w:cs="方正魏碑_GBK"/>
          <w:color w:val="auto"/>
          <w:sz w:val="24"/>
          <w:highlight w:val="none"/>
          <w:shd w:val="clear" w:color="auto" w:fill="FFFFFF"/>
        </w:rPr>
        <w:t>的中国境内生产的组件成本占比≥</w:t>
      </w:r>
      <w:r>
        <w:rPr>
          <w:rFonts w:hint="eastAsia" w:ascii="宋体" w:hAnsi="宋体" w:eastAsia="宋体" w:cs="方正魏碑_GBK"/>
          <w:color w:val="auto"/>
          <w:sz w:val="24"/>
          <w:highlight w:val="none"/>
          <w:u w:val="single"/>
          <w:shd w:val="clear" w:color="auto" w:fill="FFFFFF"/>
        </w:rPr>
        <w:t>（规定</w:t>
      </w:r>
      <w:r>
        <w:rPr>
          <w:rFonts w:ascii="宋体" w:hAnsi="宋体" w:eastAsia="宋体" w:cs="方正魏碑_GBK"/>
          <w:color w:val="auto"/>
          <w:sz w:val="24"/>
          <w:highlight w:val="none"/>
          <w:u w:val="single"/>
          <w:shd w:val="clear" w:color="auto" w:fill="FFFFFF"/>
        </w:rPr>
        <w:t>比例</w:t>
      </w:r>
      <w:r>
        <w:rPr>
          <w:rFonts w:hint="eastAsia" w:ascii="宋体" w:hAnsi="宋体" w:eastAsia="宋体" w:cs="方正魏碑_GBK"/>
          <w:color w:val="auto"/>
          <w:sz w:val="24"/>
          <w:highlight w:val="none"/>
          <w:u w:val="single"/>
          <w:shd w:val="clear" w:color="auto" w:fill="FFFFFF"/>
        </w:rPr>
        <w:t>）</w:t>
      </w:r>
      <w:r>
        <w:rPr>
          <w:rFonts w:hint="eastAsia" w:ascii="宋体" w:hAnsi="宋体" w:eastAsia="宋体" w:cs="方正魏碑_GBK"/>
          <w:color w:val="auto"/>
          <w:sz w:val="24"/>
          <w:highlight w:val="none"/>
          <w:shd w:val="clear" w:color="auto" w:fill="FFFFFF"/>
        </w:rPr>
        <w:t>。</w:t>
      </w:r>
      <w:r>
        <w:rPr>
          <w:rFonts w:hint="eastAsia" w:ascii="宋体" w:hAnsi="宋体" w:eastAsia="宋体" w:cs="方正魏碑_GBK"/>
          <w:color w:val="auto"/>
          <w:sz w:val="24"/>
          <w:highlight w:val="none"/>
          <w:u w:val="single"/>
          <w:shd w:val="clear" w:color="auto" w:fill="FFFFFF"/>
        </w:rPr>
        <w:t>（产品名称2）</w:t>
      </w:r>
      <w:r>
        <w:rPr>
          <w:rFonts w:hint="eastAsia" w:ascii="宋体" w:hAnsi="宋体" w:eastAsia="宋体" w:cs="方正魏碑_GBK"/>
          <w:color w:val="auto"/>
          <w:sz w:val="24"/>
          <w:highlight w:val="none"/>
          <w:shd w:val="clear" w:color="auto" w:fill="FFFFFF"/>
        </w:rPr>
        <w:t>的</w:t>
      </w:r>
      <w:r>
        <w:rPr>
          <w:rFonts w:hint="eastAsia" w:ascii="宋体" w:hAnsi="宋体" w:eastAsia="宋体" w:cs="方正魏碑_GBK"/>
          <w:color w:val="auto"/>
          <w:sz w:val="24"/>
          <w:highlight w:val="none"/>
          <w:u w:val="single"/>
          <w:shd w:val="clear" w:color="auto" w:fill="FFFFFF"/>
        </w:rPr>
        <w:t>（关键</w:t>
      </w:r>
      <w:r>
        <w:rPr>
          <w:rFonts w:ascii="宋体" w:hAnsi="宋体" w:eastAsia="宋体" w:cs="方正魏碑_GBK"/>
          <w:color w:val="auto"/>
          <w:sz w:val="24"/>
          <w:highlight w:val="none"/>
          <w:u w:val="single"/>
          <w:shd w:val="clear" w:color="auto" w:fill="FFFFFF"/>
        </w:rPr>
        <w:t>组件</w:t>
      </w:r>
      <w:r>
        <w:rPr>
          <w:rFonts w:hint="eastAsia" w:ascii="宋体" w:hAnsi="宋体" w:eastAsia="宋体" w:cs="方正魏碑_GBK"/>
          <w:color w:val="auto"/>
          <w:sz w:val="24"/>
          <w:highlight w:val="none"/>
          <w:u w:val="single"/>
          <w:shd w:val="clear" w:color="auto" w:fill="FFFFFF"/>
        </w:rPr>
        <w:t>）</w:t>
      </w:r>
      <w:r>
        <w:rPr>
          <w:rFonts w:hint="eastAsia" w:ascii="宋体" w:hAnsi="宋体" w:eastAsia="宋体" w:cs="方正魏碑_GBK"/>
          <w:color w:val="auto"/>
          <w:sz w:val="24"/>
          <w:highlight w:val="none"/>
          <w:shd w:val="clear" w:color="auto" w:fill="FFFFFF"/>
        </w:rPr>
        <w:t>在中国境内生产。</w:t>
      </w:r>
      <w:r>
        <w:rPr>
          <w:rFonts w:hint="eastAsia" w:ascii="宋体" w:hAnsi="宋体" w:eastAsia="宋体" w:cs="方正魏碑_GBK"/>
          <w:color w:val="auto"/>
          <w:sz w:val="24"/>
          <w:highlight w:val="none"/>
          <w:u w:val="single"/>
          <w:shd w:val="clear" w:color="auto" w:fill="FFFFFF"/>
        </w:rPr>
        <w:t>（产品名称1）</w:t>
      </w:r>
      <w:r>
        <w:rPr>
          <w:rFonts w:hint="eastAsia" w:ascii="宋体" w:hAnsi="宋体" w:eastAsia="宋体" w:cs="方正魏碑_GBK"/>
          <w:color w:val="auto"/>
          <w:sz w:val="24"/>
          <w:highlight w:val="none"/>
          <w:shd w:val="clear" w:color="auto" w:fill="FFFFFF"/>
        </w:rPr>
        <w:t>的</w:t>
      </w:r>
      <w:r>
        <w:rPr>
          <w:rFonts w:hint="eastAsia" w:ascii="宋体" w:hAnsi="宋体" w:eastAsia="宋体" w:cs="方正魏碑_GBK"/>
          <w:color w:val="auto"/>
          <w:sz w:val="24"/>
          <w:highlight w:val="none"/>
          <w:u w:val="single"/>
          <w:shd w:val="clear" w:color="auto" w:fill="FFFFFF"/>
        </w:rPr>
        <w:t>（关键工序）</w:t>
      </w:r>
      <w:r>
        <w:rPr>
          <w:rFonts w:hint="eastAsia" w:ascii="宋体" w:hAnsi="宋体" w:eastAsia="宋体" w:cs="方正魏碑_GBK"/>
          <w:color w:val="auto"/>
          <w:sz w:val="24"/>
          <w:highlight w:val="none"/>
          <w:shd w:val="clear" w:color="auto" w:fill="FFFFFF"/>
        </w:rPr>
        <w:t>在中国境内完成。</w:t>
      </w:r>
    </w:p>
    <w:p w14:paraId="2231E717">
      <w:pPr>
        <w:spacing w:before="30" w:after="30" w:line="360" w:lineRule="auto"/>
        <w:ind w:firstLine="420"/>
        <w:rPr>
          <w:rFonts w:hint="eastAsia" w:ascii="宋体" w:hAnsi="宋体" w:eastAsia="宋体" w:cs="方正魏碑_GBK"/>
          <w:color w:val="auto"/>
          <w:sz w:val="24"/>
          <w:highlight w:val="none"/>
        </w:rPr>
      </w:pPr>
      <w:r>
        <w:rPr>
          <w:rFonts w:hint="eastAsia" w:ascii="宋体" w:hAnsi="宋体" w:eastAsia="宋体" w:cs="方正魏碑_GBK"/>
          <w:color w:val="auto"/>
          <w:sz w:val="24"/>
          <w:highlight w:val="none"/>
          <w:shd w:val="clear" w:color="auto" w:fill="FFFFFF"/>
        </w:rPr>
        <w:t>……</w:t>
      </w:r>
    </w:p>
    <w:p w14:paraId="7BD9314A">
      <w:pPr>
        <w:spacing w:before="30" w:after="30" w:line="360" w:lineRule="auto"/>
        <w:ind w:firstLine="420"/>
        <w:rPr>
          <w:rFonts w:hint="eastAsia" w:ascii="宋体" w:hAnsi="宋体" w:eastAsia="宋体" w:cs="方正魏碑_GBK"/>
          <w:color w:val="auto"/>
          <w:sz w:val="24"/>
          <w:highlight w:val="none"/>
        </w:rPr>
      </w:pPr>
      <w:r>
        <w:rPr>
          <w:rFonts w:hint="eastAsia" w:ascii="宋体" w:hAnsi="宋体" w:eastAsia="宋体" w:cs="方正魏碑_GBK"/>
          <w:color w:val="auto"/>
          <w:sz w:val="24"/>
          <w:highlight w:val="none"/>
          <w:shd w:val="clear" w:color="auto" w:fill="FFFFFF"/>
        </w:rPr>
        <w:t>本公司（单位）对上述声明内容的真实性负责。如有虚假，愿承担相应法律责任。</w:t>
      </w:r>
    </w:p>
    <w:p w14:paraId="13BACD24">
      <w:pPr>
        <w:spacing w:before="30" w:after="30" w:line="360" w:lineRule="auto"/>
        <w:rPr>
          <w:rFonts w:hint="eastAsia" w:ascii="宋体" w:hAnsi="宋体" w:eastAsia="宋体" w:cs="方正魏碑_GBK"/>
          <w:color w:val="auto"/>
          <w:sz w:val="24"/>
          <w:highlight w:val="none"/>
        </w:rPr>
      </w:pPr>
    </w:p>
    <w:p w14:paraId="632897C8">
      <w:pPr>
        <w:tabs>
          <w:tab w:val="left" w:pos="4864"/>
        </w:tabs>
        <w:spacing w:beforeAutospacing="1" w:afterAutospacing="1" w:line="360" w:lineRule="auto"/>
        <w:ind w:right="1560" w:firstLine="904"/>
        <w:jc w:val="left"/>
        <w:rPr>
          <w:rFonts w:cs="Times New Roman"/>
          <w:color w:val="auto"/>
          <w:sz w:val="24"/>
          <w:highlight w:val="none"/>
        </w:rPr>
      </w:pPr>
      <w:r>
        <w:rPr>
          <w:rFonts w:hint="eastAsia" w:ascii="宋体" w:hAnsi="宋体" w:eastAsia="宋体" w:cs="Times New Roman"/>
          <w:color w:val="auto"/>
          <w:spacing w:val="6"/>
          <w:sz w:val="24"/>
          <w:highlight w:val="none"/>
        </w:rPr>
        <w:t xml:space="preserve">           </w:t>
      </w:r>
      <w:r>
        <w:rPr>
          <w:rFonts w:hint="eastAsia" w:ascii="宋体" w:hAnsi="宋体" w:eastAsia="宋体" w:cs="Times New Roman"/>
          <w:color w:val="auto"/>
          <w:sz w:val="24"/>
          <w:highlight w:val="none"/>
        </w:rPr>
        <w:t xml:space="preserve">    </w:t>
      </w:r>
      <w:r>
        <w:rPr>
          <w:rFonts w:hint="eastAsia" w:ascii="宋体" w:hAnsi="宋体" w:eastAsia="宋体" w:cs="宋体"/>
          <w:color w:val="auto"/>
          <w:sz w:val="24"/>
          <w:highlight w:val="none"/>
        </w:rPr>
        <w:t>供应商全称（加盖CA电子公章）：</w:t>
      </w:r>
    </w:p>
    <w:p w14:paraId="750A6CBE">
      <w:pPr>
        <w:tabs>
          <w:tab w:val="left" w:pos="4860"/>
        </w:tabs>
        <w:spacing w:line="360" w:lineRule="auto"/>
        <w:ind w:right="1560" w:firstLine="420"/>
        <w:jc w:val="center"/>
        <w:rPr>
          <w:rFonts w:hint="eastAsia" w:ascii="宋体" w:hAnsi="宋体" w:eastAsia="宋体" w:cs="方正魏碑_GBK"/>
          <w:color w:val="auto"/>
          <w:sz w:val="24"/>
          <w:highlight w:val="none"/>
          <w:shd w:val="clear" w:color="auto" w:fill="FFFFFF"/>
        </w:rPr>
      </w:pPr>
      <w:r>
        <w:rPr>
          <w:rFonts w:hint="eastAsia" w:ascii="宋体" w:hAnsi="宋体" w:eastAsia="宋体" w:cs="宋体"/>
          <w:color w:val="auto"/>
          <w:highlight w:val="none"/>
        </w:rPr>
        <w:t>                      日  期</w:t>
      </w:r>
      <w:r>
        <w:rPr>
          <w:rFonts w:hint="eastAsia" w:ascii="宋体" w:hAnsi="宋体" w:eastAsia="宋体" w:cs="方正魏碑_GBK"/>
          <w:color w:val="auto"/>
          <w:sz w:val="24"/>
          <w:highlight w:val="none"/>
          <w:shd w:val="clear" w:color="auto" w:fill="FFFFFF"/>
        </w:rPr>
        <w:t>：</w:t>
      </w:r>
    </w:p>
    <w:p w14:paraId="5A4B039A">
      <w:pPr>
        <w:tabs>
          <w:tab w:val="left" w:pos="4860"/>
        </w:tabs>
        <w:spacing w:line="360" w:lineRule="auto"/>
        <w:ind w:right="1560" w:firstLine="480"/>
        <w:jc w:val="center"/>
        <w:rPr>
          <w:rFonts w:hint="eastAsia" w:ascii="宋体" w:hAnsi="宋体" w:eastAsia="宋体" w:cs="方正魏碑_GBK"/>
          <w:color w:val="auto"/>
          <w:sz w:val="24"/>
          <w:highlight w:val="none"/>
        </w:rPr>
      </w:pPr>
    </w:p>
    <w:p w14:paraId="1AAB6604">
      <w:pPr>
        <w:spacing w:before="30" w:after="30" w:line="360" w:lineRule="auto"/>
        <w:rPr>
          <w:rFonts w:hint="eastAsia" w:ascii="宋体" w:hAnsi="宋体" w:eastAsia="宋体" w:cs="方正魏碑_GBK"/>
          <w:color w:val="auto"/>
          <w:sz w:val="24"/>
          <w:highlight w:val="none"/>
        </w:rPr>
      </w:pPr>
      <w:r>
        <w:rPr>
          <w:rFonts w:hint="eastAsia" w:ascii="宋体" w:hAnsi="宋体" w:eastAsia="宋体" w:cs="方正魏碑_GBK"/>
          <w:color w:val="auto"/>
          <w:sz w:val="24"/>
          <w:highlight w:val="none"/>
          <w:shd w:val="clear" w:color="auto" w:fill="FFFFFF"/>
        </w:rPr>
        <w:t>1.产品如有型号，请在“产品名称”栏一并填写。</w:t>
      </w:r>
    </w:p>
    <w:p w14:paraId="74F6635D">
      <w:pPr>
        <w:spacing w:before="30" w:after="30" w:line="360" w:lineRule="auto"/>
        <w:rPr>
          <w:rFonts w:hint="eastAsia" w:ascii="宋体" w:hAnsi="宋体" w:eastAsia="宋体" w:cs="方正魏碑_GBK"/>
          <w:color w:val="auto"/>
          <w:sz w:val="24"/>
          <w:highlight w:val="none"/>
        </w:rPr>
      </w:pPr>
      <w:r>
        <w:rPr>
          <w:rFonts w:hint="eastAsia" w:ascii="宋体" w:hAnsi="宋体" w:eastAsia="宋体" w:cs="方正魏碑_GBK"/>
          <w:color w:val="auto"/>
          <w:sz w:val="24"/>
          <w:highlight w:val="none"/>
          <w:shd w:val="clear" w:color="auto" w:fill="FFFFFF"/>
        </w:rPr>
        <w:t>2.生产厂名与厂址应与生产厂营业执照载明的相关信息保持一致。</w:t>
      </w:r>
    </w:p>
    <w:p w14:paraId="1AF48D4E">
      <w:pPr>
        <w:spacing w:before="30" w:after="30" w:line="360" w:lineRule="auto"/>
        <w:rPr>
          <w:rFonts w:hint="eastAsia" w:ascii="宋体" w:hAnsi="宋体" w:eastAsia="宋体" w:cs="方正魏碑_GBK"/>
          <w:color w:val="auto"/>
          <w:sz w:val="24"/>
          <w:highlight w:val="none"/>
        </w:rPr>
      </w:pPr>
      <w:r>
        <w:rPr>
          <w:rFonts w:hint="eastAsia" w:ascii="宋体" w:hAnsi="宋体" w:eastAsia="宋体" w:cs="方正魏碑_GBK"/>
          <w:color w:val="auto"/>
          <w:sz w:val="24"/>
          <w:highlight w:val="none"/>
          <w:shd w:val="clear" w:color="auto" w:fill="FFFFFF"/>
        </w:rPr>
        <w:t>3.该产品的中国境内生产的组件成本占比相关要求实施前，“规定比例”栏可不填，下同。</w:t>
      </w:r>
    </w:p>
    <w:p w14:paraId="7DB4CA06">
      <w:pPr>
        <w:spacing w:before="30" w:after="30" w:line="360" w:lineRule="auto"/>
        <w:rPr>
          <w:rFonts w:hint="eastAsia" w:ascii="宋体" w:hAnsi="宋体" w:eastAsia="宋体" w:cs="方正魏碑_GBK"/>
          <w:color w:val="auto"/>
          <w:sz w:val="24"/>
          <w:highlight w:val="none"/>
        </w:rPr>
      </w:pPr>
      <w:r>
        <w:rPr>
          <w:rFonts w:hint="eastAsia" w:ascii="宋体" w:hAnsi="宋体" w:eastAsia="宋体" w:cs="方正魏碑_GBK"/>
          <w:color w:val="auto"/>
          <w:sz w:val="24"/>
          <w:highlight w:val="none"/>
          <w:shd w:val="clear" w:color="auto" w:fill="FFFFFF"/>
        </w:rPr>
        <w:t>4.该产品的关键组件要求实施前，“关键组件”栏可不填，下同。</w:t>
      </w:r>
    </w:p>
    <w:p w14:paraId="5000973D">
      <w:pPr>
        <w:spacing w:before="30" w:after="30" w:line="360" w:lineRule="auto"/>
        <w:rPr>
          <w:rFonts w:hint="eastAsia" w:ascii="宋体" w:hAnsi="宋体" w:eastAsia="宋体" w:cs="方正魏碑_GBK"/>
          <w:color w:val="auto"/>
          <w:sz w:val="24"/>
          <w:highlight w:val="none"/>
          <w:shd w:val="clear" w:color="auto" w:fill="FFFFFF"/>
        </w:rPr>
      </w:pPr>
      <w:r>
        <w:rPr>
          <w:rFonts w:hint="eastAsia" w:ascii="宋体" w:hAnsi="宋体" w:eastAsia="宋体" w:cs="方正魏碑_GBK"/>
          <w:color w:val="auto"/>
          <w:sz w:val="24"/>
          <w:highlight w:val="none"/>
          <w:shd w:val="clear" w:color="auto" w:fill="FFFFFF"/>
        </w:rPr>
        <w:t>5.该产品的关键工序要求实施前，“关键工序”栏可不填，下同。</w:t>
      </w:r>
    </w:p>
    <w:p w14:paraId="7BD74E19">
      <w:pPr>
        <w:spacing w:before="30" w:after="30" w:line="360" w:lineRule="auto"/>
        <w:rPr>
          <w:rFonts w:hint="eastAsia" w:ascii="宋体" w:hAnsi="宋体" w:eastAsia="宋体" w:cs="方正魏碑_GBK"/>
          <w:color w:val="auto"/>
          <w:sz w:val="24"/>
          <w:highlight w:val="none"/>
          <w:shd w:val="clear" w:color="auto" w:fill="FFFFFF"/>
        </w:rPr>
      </w:pPr>
      <w:r>
        <w:rPr>
          <w:rFonts w:hint="eastAsia" w:ascii="宋体" w:hAnsi="宋体" w:eastAsia="宋体" w:cs="方正魏碑_GBK"/>
          <w:color w:val="auto"/>
          <w:sz w:val="24"/>
          <w:highlight w:val="none"/>
          <w:shd w:val="clear" w:color="auto" w:fill="FFFFFF"/>
        </w:rPr>
        <w:t>6.用斜线划除的地方无需填写。</w:t>
      </w:r>
    </w:p>
    <w:p w14:paraId="7C37D12B">
      <w:pPr>
        <w:rPr>
          <w:rFonts w:hint="eastAsia" w:ascii="宋体" w:hAnsi="宋体" w:eastAsia="宋体" w:cs="宋体"/>
          <w:b/>
          <w:color w:val="auto"/>
          <w:sz w:val="32"/>
          <w:szCs w:val="32"/>
          <w:highlight w:val="none"/>
        </w:rPr>
      </w:pPr>
      <w:bookmarkStart w:id="249" w:name="_Hlt26955066"/>
      <w:bookmarkStart w:id="250" w:name="_Hlt26609389"/>
      <w:bookmarkStart w:id="251" w:name="_Hlt26955054"/>
      <w:bookmarkStart w:id="252" w:name="_Toc462564146"/>
      <w:bookmarkStart w:id="253" w:name="_格式2__法定代表人授权书"/>
      <w:bookmarkStart w:id="254" w:name="_Hlt26671374"/>
      <w:r>
        <w:rPr>
          <w:rFonts w:hint="eastAsia" w:ascii="宋体" w:hAnsi="宋体" w:eastAsia="宋体" w:cs="宋体"/>
          <w:b/>
          <w:color w:val="auto"/>
          <w:sz w:val="32"/>
          <w:szCs w:val="32"/>
          <w:highlight w:val="none"/>
        </w:rPr>
        <w:br w:type="page"/>
      </w:r>
    </w:p>
    <w:p w14:paraId="3D423CB5">
      <w:pPr>
        <w:rPr>
          <w:rFonts w:hint="eastAsia" w:ascii="宋体" w:hAnsi="宋体" w:eastAsia="宋体"/>
          <w:b/>
          <w:bCs/>
          <w:color w:val="auto"/>
          <w:highlight w:val="none"/>
          <w:lang w:eastAsia="zh-CN"/>
        </w:rPr>
      </w:pPr>
      <w:r>
        <w:rPr>
          <w:rFonts w:hint="eastAsia" w:ascii="宋体" w:hAnsi="宋体" w:eastAsia="宋体"/>
          <w:bCs/>
          <w:color w:val="auto"/>
          <w:highlight w:val="none"/>
          <w:lang w:eastAsia="zh-CN"/>
        </w:rPr>
        <w:t>格式</w:t>
      </w:r>
      <w:r>
        <w:rPr>
          <w:rFonts w:hint="eastAsia" w:ascii="宋体" w:hAnsi="宋体" w:eastAsia="宋体"/>
          <w:bCs/>
          <w:color w:val="auto"/>
          <w:highlight w:val="none"/>
          <w:lang w:val="en-US" w:eastAsia="zh-CN"/>
        </w:rPr>
        <w:t>八</w:t>
      </w:r>
      <w:r>
        <w:rPr>
          <w:rFonts w:hint="eastAsia" w:ascii="宋体" w:hAnsi="宋体" w:eastAsia="宋体"/>
          <w:bCs/>
          <w:color w:val="auto"/>
          <w:highlight w:val="none"/>
          <w:lang w:eastAsia="zh-CN"/>
        </w:rPr>
        <w:t>：招标文件要求提供的其他材料或投标人认为需提供的材料</w:t>
      </w:r>
    </w:p>
    <w:p w14:paraId="6AF2A7D3">
      <w:pPr>
        <w:pStyle w:val="32"/>
        <w:spacing w:beforeAutospacing="0" w:afterAutospacing="0"/>
        <w:rPr>
          <w:rFonts w:hint="eastAsia" w:ascii="宋体" w:hAnsi="宋体" w:eastAsia="宋体" w:cs="宋体"/>
          <w:b/>
          <w:color w:val="auto"/>
          <w:sz w:val="32"/>
          <w:szCs w:val="32"/>
          <w:highlight w:val="none"/>
        </w:rPr>
      </w:pPr>
    </w:p>
    <w:p w14:paraId="0CAEF43B">
      <w:pPr>
        <w:pStyle w:val="32"/>
        <w:spacing w:beforeAutospacing="0" w:afterAutospacing="0"/>
        <w:ind w:firstLine="3840"/>
        <w:rPr>
          <w:rFonts w:hint="eastAsia" w:ascii="宋体" w:hAnsi="宋体" w:eastAsia="宋体" w:cs="宋体"/>
          <w:b/>
          <w:color w:val="auto"/>
          <w:sz w:val="32"/>
          <w:szCs w:val="32"/>
          <w:highlight w:val="none"/>
        </w:rPr>
      </w:pPr>
    </w:p>
    <w:p w14:paraId="716F98CA">
      <w:pPr>
        <w:pStyle w:val="32"/>
        <w:spacing w:beforeAutospacing="0" w:afterAutospacing="0"/>
        <w:jc w:val="left"/>
        <w:rPr>
          <w:rFonts w:hint="default" w:ascii="宋体" w:hAnsi="宋体" w:eastAsia="宋体" w:cs="宋体"/>
          <w:b/>
          <w:color w:val="auto"/>
          <w:sz w:val="21"/>
          <w:szCs w:val="21"/>
          <w:highlight w:val="none"/>
          <w:lang w:val="en-US"/>
        </w:rPr>
      </w:pPr>
      <w:r>
        <w:rPr>
          <w:rFonts w:hint="eastAsia" w:ascii="宋体" w:hAnsi="宋体" w:eastAsia="宋体"/>
          <w:bCs/>
          <w:color w:val="auto"/>
          <w:sz w:val="21"/>
          <w:szCs w:val="21"/>
          <w:highlight w:val="none"/>
          <w:lang w:eastAsia="zh-CN"/>
        </w:rPr>
        <w:t>格式</w:t>
      </w:r>
      <w:r>
        <w:rPr>
          <w:rFonts w:hint="eastAsia" w:ascii="宋体" w:hAnsi="宋体" w:eastAsia="宋体"/>
          <w:bCs/>
          <w:color w:val="auto"/>
          <w:sz w:val="21"/>
          <w:szCs w:val="21"/>
          <w:highlight w:val="none"/>
          <w:lang w:val="en-US" w:eastAsia="zh-CN"/>
        </w:rPr>
        <w:t>九</w:t>
      </w:r>
      <w:r>
        <w:rPr>
          <w:rFonts w:hint="eastAsia" w:ascii="宋体" w:hAnsi="宋体" w:eastAsia="宋体"/>
          <w:bCs/>
          <w:color w:val="auto"/>
          <w:sz w:val="21"/>
          <w:szCs w:val="21"/>
          <w:highlight w:val="none"/>
          <w:lang w:eastAsia="zh-CN"/>
        </w:rPr>
        <w:t>：</w:t>
      </w:r>
      <w:r>
        <w:rPr>
          <w:rFonts w:hint="eastAsia" w:ascii="宋体" w:hAnsi="宋体" w:eastAsia="宋体"/>
          <w:bCs/>
          <w:color w:val="auto"/>
          <w:sz w:val="21"/>
          <w:szCs w:val="21"/>
          <w:highlight w:val="none"/>
          <w:lang w:val="en-US" w:eastAsia="zh-CN"/>
        </w:rPr>
        <w:t>法定代表人授权书</w:t>
      </w:r>
    </w:p>
    <w:p w14:paraId="25910FA0">
      <w:pPr>
        <w:pStyle w:val="32"/>
        <w:spacing w:beforeAutospacing="0" w:afterAutospacing="0"/>
        <w:ind w:firstLine="3840"/>
        <w:rPr>
          <w:rFonts w:hint="eastAsia" w:ascii="宋体" w:hAnsi="宋体" w:eastAsia="宋体" w:cs="宋体"/>
          <w:b/>
          <w:color w:val="auto"/>
          <w:sz w:val="32"/>
          <w:szCs w:val="32"/>
          <w:highlight w:val="none"/>
        </w:rPr>
      </w:pPr>
    </w:p>
    <w:p w14:paraId="71AA87BA">
      <w:pPr>
        <w:pStyle w:val="14"/>
        <w:spacing w:after="0" w:line="360" w:lineRule="auto"/>
        <w:ind w:firstLine="2880"/>
        <w:jc w:val="left"/>
        <w:rPr>
          <w:color w:val="auto"/>
          <w:highlight w:val="none"/>
        </w:rPr>
      </w:pPr>
      <w:bookmarkStart w:id="255" w:name="OLE_LINK52"/>
      <w:r>
        <w:rPr>
          <w:rFonts w:hint="eastAsia" w:ascii="黑体" w:hAnsi="宋体" w:eastAsia="黑体" w:cs="黑体"/>
          <w:i w:val="0"/>
          <w:iCs/>
          <w:color w:val="auto"/>
          <w:sz w:val="32"/>
          <w:szCs w:val="32"/>
          <w:highlight w:val="none"/>
          <w:u w:val="none"/>
        </w:rPr>
        <w:t>法定代表人授权书</w:t>
      </w:r>
    </w:p>
    <w:p w14:paraId="1BDBC219">
      <w:pPr>
        <w:pStyle w:val="32"/>
        <w:tabs>
          <w:tab w:val="left" w:pos="360"/>
        </w:tabs>
        <w:spacing w:before="100" w:after="100" w:line="360" w:lineRule="auto"/>
        <w:ind w:firstLine="480"/>
        <w:rPr>
          <w:color w:val="auto"/>
          <w:highlight w:val="none"/>
          <w:shd w:val="clear" w:color="auto" w:fill="FFFFFF" w:themeFill="background1"/>
        </w:rPr>
      </w:pPr>
      <w:r>
        <w:rPr>
          <w:color w:val="auto"/>
          <w:highlight w:val="none"/>
          <w:shd w:val="clear" w:color="auto" w:fill="FFFFFF" w:themeFill="background1"/>
        </w:rPr>
        <w:t>本授权书声明：____________（投标人名称）授权________________（被授权人的姓名）为我方就</w:t>
      </w:r>
      <w:r>
        <w:rPr>
          <w:rFonts w:hint="eastAsia" w:ascii="宋体" w:hAnsi="宋体" w:eastAsia="宋体"/>
          <w:color w:val="auto"/>
          <w:highlight w:val="none"/>
          <w:u w:val="single"/>
          <w:shd w:val="clear" w:color="auto" w:fill="FFFFFF" w:themeFill="background1"/>
          <w:lang w:val="en-US" w:eastAsia="zh-CN"/>
        </w:rPr>
        <w:t xml:space="preserve">        </w:t>
      </w:r>
      <w:r>
        <w:rPr>
          <w:rFonts w:hint="eastAsia" w:ascii="宋体" w:hAnsi="宋体" w:eastAsia="宋体"/>
          <w:color w:val="auto"/>
          <w:highlight w:val="none"/>
          <w:u w:val="single"/>
          <w:shd w:val="clear" w:color="auto" w:fill="FFFFFF" w:themeFill="background1"/>
        </w:rPr>
        <w:tab/>
      </w:r>
      <w:r>
        <w:rPr>
          <w:color w:val="auto"/>
          <w:highlight w:val="none"/>
          <w:shd w:val="clear" w:color="auto" w:fill="FFFFFF" w:themeFill="background1"/>
        </w:rPr>
        <w:t>项目采购活动的合法代理人，以本单位名义全权处理一切与该项目采购有关的事务。</w:t>
      </w:r>
    </w:p>
    <w:p w14:paraId="5650739B">
      <w:pPr>
        <w:pStyle w:val="32"/>
        <w:tabs>
          <w:tab w:val="left" w:pos="360"/>
        </w:tabs>
        <w:spacing w:before="100" w:after="100" w:line="360" w:lineRule="auto"/>
        <w:ind w:firstLine="480"/>
        <w:rPr>
          <w:color w:val="auto"/>
          <w:highlight w:val="none"/>
          <w:shd w:val="clear" w:color="auto" w:fill="FFFFFF" w:themeFill="background1"/>
        </w:rPr>
      </w:pPr>
      <w:r>
        <w:rPr>
          <w:color w:val="auto"/>
          <w:highlight w:val="none"/>
          <w:shd w:val="clear" w:color="auto" w:fill="FFFFFF" w:themeFill="background1"/>
        </w:rPr>
        <w:t>本授权书于______年____月____日起生效，特此声明。</w:t>
      </w:r>
    </w:p>
    <w:p w14:paraId="7436F6BD">
      <w:pPr>
        <w:pStyle w:val="32"/>
        <w:tabs>
          <w:tab w:val="left" w:pos="360"/>
        </w:tabs>
        <w:spacing w:before="100" w:after="100" w:line="360" w:lineRule="auto"/>
        <w:ind w:firstLine="480"/>
        <w:rPr>
          <w:color w:val="auto"/>
          <w:highlight w:val="none"/>
          <w:shd w:val="clear" w:color="auto" w:fill="FFFFFF" w:themeFill="background1"/>
        </w:rPr>
      </w:pPr>
      <w:r>
        <w:rPr>
          <w:color w:val="auto"/>
          <w:highlight w:val="none"/>
          <w:shd w:val="clear" w:color="auto" w:fill="FFFFFF" w:themeFill="background1"/>
        </w:rPr>
        <w:t>被授权人身份证号码：</w:t>
      </w:r>
      <w:r>
        <w:rPr>
          <w:color w:val="auto"/>
          <w:highlight w:val="none"/>
          <w:u w:val="single"/>
          <w:shd w:val="clear" w:color="auto" w:fill="FFFFFF" w:themeFill="background1"/>
        </w:rPr>
        <w:t xml:space="preserve">                   </w:t>
      </w:r>
    </w:p>
    <w:p w14:paraId="1F6100E9">
      <w:pPr>
        <w:pStyle w:val="32"/>
        <w:tabs>
          <w:tab w:val="left" w:pos="360"/>
        </w:tabs>
        <w:spacing w:before="100" w:after="100" w:line="360" w:lineRule="auto"/>
        <w:ind w:firstLine="480"/>
        <w:rPr>
          <w:color w:val="auto"/>
          <w:highlight w:val="none"/>
          <w:shd w:val="clear" w:color="auto" w:fill="FFFFFF" w:themeFill="background1"/>
        </w:rPr>
      </w:pPr>
      <w:r>
        <w:rPr>
          <w:color w:val="auto"/>
          <w:highlight w:val="none"/>
          <w:shd w:val="clear" w:color="auto" w:fill="FFFFFF" w:themeFill="background1"/>
        </w:rPr>
        <w:t>被授权人联系电话：（手机）</w:t>
      </w:r>
      <w:r>
        <w:rPr>
          <w:color w:val="auto"/>
          <w:highlight w:val="none"/>
          <w:u w:val="single"/>
          <w:shd w:val="clear" w:color="auto" w:fill="FFFFFF" w:themeFill="background1"/>
        </w:rPr>
        <w:t xml:space="preserve">              </w:t>
      </w:r>
    </w:p>
    <w:p w14:paraId="0CC5C027">
      <w:pPr>
        <w:pStyle w:val="32"/>
        <w:tabs>
          <w:tab w:val="left" w:pos="360"/>
        </w:tabs>
        <w:spacing w:before="100" w:after="100" w:line="360" w:lineRule="auto"/>
        <w:ind w:firstLine="480"/>
        <w:rPr>
          <w:color w:val="auto"/>
          <w:highlight w:val="none"/>
          <w:shd w:val="clear" w:color="auto" w:fill="FFFFFF" w:themeFill="background1"/>
        </w:rPr>
      </w:pPr>
      <w:r>
        <w:rPr>
          <w:color w:val="auto"/>
          <w:highlight w:val="none"/>
          <w:shd w:val="clear" w:color="auto" w:fill="FFFFFF" w:themeFill="background1"/>
        </w:rPr>
        <w:t>授权单位名称：</w:t>
      </w:r>
      <w:r>
        <w:rPr>
          <w:color w:val="auto"/>
          <w:highlight w:val="none"/>
          <w:u w:val="single"/>
          <w:shd w:val="clear" w:color="auto" w:fill="FFFFFF" w:themeFill="background1"/>
        </w:rPr>
        <w:t>（加盖CA电子公章）</w:t>
      </w:r>
    </w:p>
    <w:p w14:paraId="077D3FB5">
      <w:pPr>
        <w:pStyle w:val="32"/>
        <w:tabs>
          <w:tab w:val="left" w:pos="360"/>
        </w:tabs>
        <w:spacing w:before="100" w:after="100" w:line="360" w:lineRule="auto"/>
        <w:ind w:firstLine="480"/>
        <w:rPr>
          <w:color w:val="auto"/>
          <w:highlight w:val="none"/>
          <w:shd w:val="clear" w:color="auto" w:fill="FFFFFF" w:themeFill="background1"/>
        </w:rPr>
      </w:pPr>
      <w:r>
        <w:rPr>
          <w:color w:val="auto"/>
          <w:highlight w:val="none"/>
          <w:shd w:val="clear" w:color="auto" w:fill="FFFFFF" w:themeFill="background1"/>
        </w:rPr>
        <w:t>单位地址：</w:t>
      </w:r>
      <w:r>
        <w:rPr>
          <w:color w:val="auto"/>
          <w:highlight w:val="none"/>
          <w:u w:val="single"/>
          <w:shd w:val="clear" w:color="auto" w:fill="FFFFFF" w:themeFill="background1"/>
        </w:rPr>
        <w:t xml:space="preserve">              </w:t>
      </w:r>
    </w:p>
    <w:p w14:paraId="7AD2B496">
      <w:pPr>
        <w:pStyle w:val="32"/>
        <w:tabs>
          <w:tab w:val="left" w:pos="360"/>
        </w:tabs>
        <w:spacing w:before="100" w:after="100" w:line="360" w:lineRule="auto"/>
        <w:ind w:firstLine="480"/>
        <w:rPr>
          <w:color w:val="auto"/>
          <w:highlight w:val="none"/>
          <w:shd w:val="clear" w:color="auto" w:fill="FFFFFF" w:themeFill="background1"/>
        </w:rPr>
      </w:pPr>
      <w:r>
        <w:rPr>
          <w:color w:val="auto"/>
          <w:highlight w:val="none"/>
          <w:shd w:val="clear" w:color="auto" w:fill="FFFFFF" w:themeFill="background1"/>
        </w:rPr>
        <w:t>日期：</w:t>
      </w:r>
      <w:r>
        <w:rPr>
          <w:color w:val="auto"/>
          <w:highlight w:val="none"/>
          <w:u w:val="single"/>
          <w:shd w:val="clear" w:color="auto" w:fill="FFFFFF" w:themeFill="background1"/>
        </w:rPr>
        <w:t xml:space="preserve">                      </w:t>
      </w:r>
    </w:p>
    <w:p w14:paraId="775C43AA">
      <w:pPr>
        <w:pStyle w:val="32"/>
        <w:spacing w:before="100" w:after="100" w:line="360" w:lineRule="auto"/>
        <w:ind w:firstLine="480"/>
        <w:rPr>
          <w:color w:val="auto"/>
          <w:highlight w:val="none"/>
          <w:shd w:val="clear" w:color="auto" w:fill="FFFFFF" w:themeFill="background1"/>
        </w:rPr>
      </w:pPr>
      <w:bookmarkStart w:id="256" w:name="_Hlk194933938"/>
      <w:r>
        <w:rPr>
          <w:rFonts w:hint="eastAsia"/>
          <w:color w:val="auto"/>
          <w:highlight w:val="none"/>
          <w:shd w:val="clear" w:color="auto" w:fill="FFFFFF" w:themeFill="background1"/>
        </w:rPr>
        <w:t>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56"/>
    </w:p>
    <w:p w14:paraId="1411FA96">
      <w:pPr>
        <w:pStyle w:val="32"/>
        <w:keepNext/>
        <w:keepLines/>
        <w:spacing w:before="260" w:after="260" w:line="415" w:lineRule="auto"/>
        <w:ind w:firstLine="2891"/>
        <w:rPr>
          <w:color w:val="auto"/>
          <w:highlight w:val="none"/>
        </w:rPr>
      </w:pPr>
      <w:r>
        <w:rPr>
          <w:rFonts w:hint="eastAsia" w:ascii="宋体" w:hAnsi="宋体" w:eastAsia="宋体" w:cs="宋体"/>
          <w:b/>
          <w:color w:val="auto"/>
          <w:highlight w:val="none"/>
        </w:rPr>
        <w:br w:type="page" w:clear="all"/>
      </w:r>
      <w:bookmarkEnd w:id="255"/>
    </w:p>
    <w:p w14:paraId="1F3B9C48">
      <w:pPr>
        <w:pStyle w:val="32"/>
        <w:spacing w:beforeAutospacing="0" w:afterAutospacing="0"/>
        <w:ind w:firstLine="3840"/>
        <w:rPr>
          <w:rFonts w:hint="eastAsia" w:ascii="宋体" w:hAnsi="宋体" w:eastAsia="宋体" w:cs="宋体"/>
          <w:b/>
          <w:color w:val="auto"/>
          <w:sz w:val="32"/>
          <w:szCs w:val="32"/>
          <w:highlight w:val="none"/>
        </w:rPr>
      </w:pPr>
    </w:p>
    <w:p w14:paraId="6CFA5D64">
      <w:pPr>
        <w:spacing w:line="500" w:lineRule="exact"/>
        <w:rPr>
          <w:rFonts w:hint="eastAsia" w:ascii="宋体" w:hAnsi="宋体" w:eastAsia="宋体"/>
          <w:color w:val="auto"/>
          <w:sz w:val="32"/>
          <w:highlight w:val="none"/>
          <w:lang w:eastAsia="zh-CN"/>
        </w:rPr>
      </w:pPr>
      <w:r>
        <w:rPr>
          <w:rFonts w:hint="eastAsia" w:ascii="宋体" w:hAnsi="宋体" w:eastAsia="宋体"/>
          <w:color w:val="auto"/>
          <w:sz w:val="32"/>
          <w:highlight w:val="none"/>
          <w:lang w:eastAsia="zh-CN"/>
        </w:rPr>
        <w:t>二</w:t>
      </w:r>
      <w:r>
        <w:rPr>
          <w:rFonts w:ascii="宋体" w:hAnsi="宋体" w:eastAsia="宋体"/>
          <w:color w:val="auto"/>
          <w:sz w:val="32"/>
          <w:highlight w:val="none"/>
          <w:lang w:eastAsia="zh-CN"/>
        </w:rPr>
        <w:t>、资格证明文件</w:t>
      </w:r>
    </w:p>
    <w:p w14:paraId="086AD491">
      <w:pPr>
        <w:spacing w:line="600" w:lineRule="exact"/>
        <w:ind w:right="-6"/>
        <w:rPr>
          <w:rFonts w:hint="eastAsia" w:ascii="宋体" w:hAnsi="宋体" w:eastAsia="宋体"/>
          <w:color w:val="auto"/>
          <w:highlight w:val="none"/>
          <w:lang w:eastAsia="zh-CN"/>
        </w:rPr>
      </w:pPr>
      <w:r>
        <w:rPr>
          <w:rFonts w:hint="eastAsia" w:ascii="宋体" w:hAnsi="宋体" w:eastAsia="宋体"/>
          <w:color w:val="auto"/>
          <w:highlight w:val="none"/>
          <w:lang w:eastAsia="zh-CN"/>
        </w:rPr>
        <w:t>（说明：投标人须按“招标公告”的要求，并按下列格式提供相应的资格证明文件）</w:t>
      </w:r>
    </w:p>
    <w:p w14:paraId="7F14D6D2">
      <w:pPr>
        <w:pStyle w:val="32"/>
        <w:spacing w:beforeAutospacing="0" w:afterAutospacing="0"/>
        <w:ind w:firstLine="3840"/>
        <w:rPr>
          <w:rFonts w:hint="eastAsia" w:ascii="宋体" w:hAnsi="宋体" w:eastAsia="宋体" w:cs="宋体"/>
          <w:b/>
          <w:color w:val="auto"/>
          <w:sz w:val="32"/>
          <w:szCs w:val="32"/>
          <w:highlight w:val="none"/>
        </w:rPr>
      </w:pPr>
    </w:p>
    <w:p w14:paraId="3FC51901">
      <w:pPr>
        <w:widowControl w:val="0"/>
        <w:spacing w:line="360" w:lineRule="auto"/>
        <w:rPr>
          <w:rFonts w:hint="eastAsia" w:ascii="宋体" w:hAnsi="宋体" w:eastAsia="宋体"/>
          <w:b w:val="0"/>
          <w:bCs w:val="0"/>
          <w:color w:val="auto"/>
          <w:sz w:val="24"/>
          <w:szCs w:val="32"/>
          <w:highlight w:val="none"/>
          <w:lang w:eastAsia="zh-CN"/>
        </w:rPr>
      </w:pPr>
      <w:r>
        <w:rPr>
          <w:rFonts w:ascii="宋体" w:hAnsi="宋体" w:eastAsia="宋体" w:cs="宋体"/>
          <w:b w:val="0"/>
          <w:bCs w:val="0"/>
          <w:color w:val="auto"/>
          <w:sz w:val="24"/>
          <w:szCs w:val="32"/>
          <w:highlight w:val="none"/>
          <w:lang w:eastAsia="zh-CN"/>
        </w:rPr>
        <w:t>（一）通用资格要求</w:t>
      </w:r>
    </w:p>
    <w:p w14:paraId="5A34EBC9">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1、符合《政府采购法》第二十二条的相关规定，投标人提供《南京市政府采购供应商信用记录表暨信用承诺书》（格式见投标文件格式模板，原件）。</w:t>
      </w:r>
    </w:p>
    <w:p w14:paraId="4B81A781">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其中不适用信用承诺的情形：</w:t>
      </w:r>
    </w:p>
    <w:p w14:paraId="0FBB39F3">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（一）供应商被列入严重失信主体名单：</w:t>
      </w:r>
    </w:p>
    <w:p w14:paraId="53FB5725">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（二）被相关监督部门作出行政处罚且尚处在处罚有效期内：</w:t>
      </w:r>
    </w:p>
    <w:p w14:paraId="5A794E1A">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（三）其他法律、行政法规规定的不适用信用承诺的情形</w:t>
      </w:r>
    </w:p>
    <w:p w14:paraId="00939D74">
      <w:pPr>
        <w:widowControl w:val="0"/>
        <w:spacing w:line="360" w:lineRule="auto"/>
        <w:rPr>
          <w:rFonts w:hint="eastAsia" w:ascii="宋体" w:hAnsi="宋体" w:eastAsia="宋体"/>
          <w:color w:val="auto"/>
          <w:sz w:val="24"/>
          <w:szCs w:val="32"/>
          <w:highlight w:val="none"/>
          <w:lang w:eastAsia="zh-CN"/>
        </w:rPr>
      </w:pPr>
      <w:r>
        <w:rPr>
          <w:rFonts w:ascii="宋体" w:hAnsi="宋体" w:eastAsia="宋体" w:cs="宋体"/>
          <w:color w:val="auto"/>
          <w:sz w:val="24"/>
          <w:szCs w:val="32"/>
          <w:highlight w:val="none"/>
          <w:lang w:eastAsia="zh-CN"/>
        </w:rPr>
        <w:t>2、投标人提供在有效经营期内的营业执照（复印件）。</w:t>
      </w:r>
    </w:p>
    <w:p w14:paraId="20D27CB8">
      <w:pPr>
        <w:widowControl w:val="0"/>
        <w:spacing w:line="360" w:lineRule="auto"/>
        <w:rPr>
          <w:rFonts w:hint="eastAsia" w:ascii="宋体" w:hAnsi="宋体" w:eastAsia="宋体"/>
          <w:color w:val="auto"/>
          <w:sz w:val="24"/>
          <w:szCs w:val="32"/>
          <w:highlight w:val="none"/>
        </w:rPr>
      </w:pPr>
      <w:r>
        <w:rPr>
          <w:rFonts w:ascii="宋体" w:hAnsi="宋体" w:eastAsia="宋体" w:cs="宋体"/>
          <w:color w:val="auto"/>
          <w:sz w:val="24"/>
          <w:szCs w:val="32"/>
          <w:highlight w:val="none"/>
        </w:rPr>
        <w:t>3、在“信用中国”网站（www.creditchina.gov.cn）查询，无被列入失信被执行人、重大税收违法案件当事人名单、政府采购严重失信行为记录名单及其他不符合《中华人民共和国政府采购法》第二十二条规定条件的信用记录。</w:t>
      </w:r>
    </w:p>
    <w:p w14:paraId="740AD1B3">
      <w:pPr>
        <w:widowControl w:val="0"/>
        <w:spacing w:line="360" w:lineRule="auto"/>
        <w:rPr>
          <w:rFonts w:ascii="宋体" w:hAnsi="宋体" w:eastAsia="宋体" w:cs="宋体"/>
          <w:color w:val="auto"/>
          <w:sz w:val="24"/>
          <w:szCs w:val="32"/>
          <w:highlight w:val="none"/>
          <w:lang w:eastAsia="zh-CN"/>
        </w:rPr>
      </w:pPr>
      <w:r>
        <w:rPr>
          <w:rFonts w:ascii="宋体" w:hAnsi="宋体" w:eastAsia="宋体" w:cs="宋体"/>
          <w:color w:val="auto"/>
          <w:sz w:val="24"/>
          <w:szCs w:val="32"/>
          <w:highlight w:val="none"/>
          <w:lang w:eastAsia="zh-CN"/>
        </w:rPr>
        <w:t>4、本项目不接受联合体投标。</w:t>
      </w:r>
    </w:p>
    <w:p w14:paraId="2E537C3A">
      <w:pPr>
        <w:widowControl w:val="0"/>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二</w:t>
      </w:r>
      <w:r>
        <w:rPr>
          <w:rFonts w:hint="eastAsia" w:ascii="宋体" w:hAnsi="宋体" w:eastAsia="宋体" w:cs="宋体"/>
          <w:color w:val="auto"/>
          <w:sz w:val="24"/>
          <w:szCs w:val="32"/>
          <w:highlight w:val="none"/>
          <w:lang w:eastAsia="zh-CN"/>
        </w:rPr>
        <w:t>）落实政府采购政策需满足的资格要求:</w:t>
      </w:r>
      <w:r>
        <w:rPr>
          <w:rFonts w:hint="eastAsia" w:ascii="宋体" w:hAnsi="宋体" w:eastAsia="宋体" w:cs="宋体"/>
          <w:color w:val="auto"/>
          <w:sz w:val="24"/>
          <w:szCs w:val="32"/>
          <w:highlight w:val="none"/>
          <w:lang w:val="en-US" w:eastAsia="zh-CN"/>
        </w:rPr>
        <w:t>无</w:t>
      </w:r>
    </w:p>
    <w:p w14:paraId="79C969DF">
      <w:pPr>
        <w:pStyle w:val="32"/>
        <w:widowControl/>
        <w:shd w:val="clear" w:color="auto" w:fill="FFFFFF"/>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）特定资格要求</w:t>
      </w:r>
    </w:p>
    <w:p w14:paraId="2F3E3A52">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lang w:val="en-US" w:eastAsia="zh-CN"/>
        </w:rPr>
        <w:t>1</w:t>
      </w:r>
      <w:r>
        <w:rPr>
          <w:rFonts w:ascii="宋体" w:hAnsi="宋体" w:eastAsia="宋体"/>
          <w:color w:val="auto"/>
          <w:sz w:val="24"/>
          <w:szCs w:val="24"/>
          <w:highlight w:val="none"/>
          <w:shd w:val="clear" w:color="auto" w:fill="FFFFFF" w:themeFill="background1"/>
        </w:rPr>
        <w:t>.</w:t>
      </w:r>
      <w:r>
        <w:rPr>
          <w:rFonts w:hint="eastAsia" w:ascii="宋体" w:hAnsi="宋体" w:eastAsia="宋体"/>
          <w:color w:val="auto"/>
          <w:sz w:val="24"/>
          <w:szCs w:val="24"/>
          <w:highlight w:val="none"/>
          <w:shd w:val="clear" w:color="auto" w:fill="FFFFFF" w:themeFill="background1"/>
        </w:rPr>
        <w:t>对照采购清单，逐一按如下要求提供材料：</w:t>
      </w:r>
    </w:p>
    <w:p w14:paraId="3A35C59D">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lang w:val="en-US" w:eastAsia="zh-CN"/>
        </w:rPr>
        <w:t>1</w:t>
      </w:r>
      <w:r>
        <w:rPr>
          <w:rFonts w:hint="eastAsia" w:ascii="宋体" w:hAnsi="宋体" w:eastAsia="宋体"/>
          <w:color w:val="auto"/>
          <w:sz w:val="24"/>
          <w:szCs w:val="24"/>
          <w:highlight w:val="none"/>
          <w:shd w:val="clear" w:color="auto" w:fill="FFFFFF" w:themeFill="background1"/>
        </w:rPr>
        <w:t>.1如投标产品为医疗器械：</w:t>
      </w:r>
    </w:p>
    <w:p w14:paraId="02279321">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rPr>
        <w:t>①投标人须根据所投产品类别，提供所投产品有效的医疗器械产品注册证或产品备案凭证，投标时需提供复印件加盖公章。</w:t>
      </w:r>
    </w:p>
    <w:p w14:paraId="08CB148D">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rPr>
        <w:t>②若投标人为代理商，应根据国家相关规定提供范围涵盖投标产品的医疗器械经营许可证；(若投标产品属于二类医疗产品的可仅提供第二类医疗器械经营备案凭证)；</w:t>
      </w:r>
    </w:p>
    <w:p w14:paraId="22C05CE9">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lang w:val="en-US" w:eastAsia="zh-CN"/>
        </w:rPr>
        <w:t>③</w:t>
      </w:r>
      <w:r>
        <w:rPr>
          <w:rFonts w:hint="eastAsia" w:ascii="宋体" w:hAnsi="宋体" w:eastAsia="宋体"/>
          <w:color w:val="auto"/>
          <w:sz w:val="24"/>
          <w:szCs w:val="24"/>
          <w:highlight w:val="none"/>
          <w:shd w:val="clear" w:color="auto" w:fill="FFFFFF" w:themeFill="background1"/>
        </w:rPr>
        <w:t>若投标人为生产商，应根据国家相关规定提供范围涵盖投标产品的医疗器械生产许可证。</w:t>
      </w:r>
    </w:p>
    <w:p w14:paraId="68535ED6">
      <w:pPr>
        <w:pStyle w:val="14"/>
        <w:spacing w:after="0" w:line="360" w:lineRule="auto"/>
        <w:ind w:firstLine="480"/>
        <w:jc w:val="left"/>
        <w:rPr>
          <w:rFonts w:hint="eastAsia" w:ascii="宋体" w:hAnsi="宋体" w:eastAsia="宋体"/>
          <w:color w:val="auto"/>
          <w:sz w:val="24"/>
          <w:szCs w:val="24"/>
          <w:highlight w:val="none"/>
          <w:shd w:val="clear" w:color="auto" w:fill="FFFFFF" w:themeFill="background1"/>
        </w:rPr>
      </w:pPr>
      <w:r>
        <w:rPr>
          <w:rFonts w:hint="eastAsia" w:ascii="宋体" w:hAnsi="宋体" w:eastAsia="宋体"/>
          <w:color w:val="auto"/>
          <w:sz w:val="24"/>
          <w:szCs w:val="24"/>
          <w:highlight w:val="none"/>
          <w:shd w:val="clear" w:color="auto" w:fill="FFFFFF" w:themeFill="background1"/>
          <w:lang w:val="en-US" w:eastAsia="zh-CN"/>
        </w:rPr>
        <w:t>1</w:t>
      </w:r>
      <w:r>
        <w:rPr>
          <w:rFonts w:hint="eastAsia" w:ascii="宋体" w:hAnsi="宋体" w:eastAsia="宋体"/>
          <w:color w:val="auto"/>
          <w:sz w:val="24"/>
          <w:szCs w:val="24"/>
          <w:highlight w:val="none"/>
          <w:shd w:val="clear" w:color="auto" w:fill="FFFFFF" w:themeFill="background1"/>
        </w:rPr>
        <w:t>.2如投标产品为非医疗器械，需提供相关说明文件。</w:t>
      </w:r>
    </w:p>
    <w:p w14:paraId="05D869A5">
      <w:pPr>
        <w:pStyle w:val="32"/>
        <w:spacing w:beforeAutospacing="0" w:afterAutospacing="0"/>
        <w:rPr>
          <w:rFonts w:hint="eastAsia" w:ascii="宋体" w:hAnsi="宋体" w:eastAsia="宋体" w:cs="宋体"/>
          <w:b/>
          <w:color w:val="auto"/>
          <w:sz w:val="32"/>
          <w:szCs w:val="32"/>
          <w:highlight w:val="none"/>
        </w:rPr>
      </w:pPr>
    </w:p>
    <w:p w14:paraId="0EF8BD44">
      <w:pPr>
        <w:pStyle w:val="32"/>
        <w:spacing w:beforeAutospacing="0" w:afterAutospacing="0"/>
        <w:ind w:firstLine="3840"/>
        <w:rPr>
          <w:rFonts w:hint="eastAsia" w:ascii="宋体" w:hAnsi="宋体" w:eastAsia="宋体" w:cs="宋体"/>
          <w:b/>
          <w:color w:val="auto"/>
          <w:sz w:val="32"/>
          <w:szCs w:val="32"/>
          <w:highlight w:val="none"/>
        </w:rPr>
      </w:pPr>
    </w:p>
    <w:p w14:paraId="5BF00012">
      <w:pPr>
        <w:pStyle w:val="32"/>
        <w:spacing w:beforeAutospacing="0" w:afterAutospacing="0"/>
        <w:ind w:firstLine="3840"/>
        <w:rPr>
          <w:rFonts w:hint="eastAsia" w:ascii="宋体" w:hAnsi="宋体" w:eastAsia="宋体" w:cs="宋体"/>
          <w:b/>
          <w:color w:val="auto"/>
          <w:sz w:val="32"/>
          <w:szCs w:val="32"/>
          <w:highlight w:val="none"/>
        </w:rPr>
      </w:pPr>
    </w:p>
    <w:p w14:paraId="6DF112AB">
      <w:pPr>
        <w:pStyle w:val="32"/>
        <w:spacing w:beforeAutospacing="0" w:afterAutospacing="0"/>
        <w:rPr>
          <w:rFonts w:hint="eastAsia" w:ascii="宋体" w:hAnsi="宋体" w:eastAsia="宋体" w:cs="宋体"/>
          <w:b/>
          <w:color w:val="auto"/>
          <w:sz w:val="32"/>
          <w:szCs w:val="32"/>
          <w:highlight w:val="none"/>
        </w:rPr>
      </w:pPr>
      <w:r>
        <w:rPr>
          <w:rFonts w:hint="eastAsia" w:ascii="宋体" w:hAnsi="宋体" w:eastAsia="宋体"/>
          <w:color w:val="auto"/>
          <w:highlight w:val="none"/>
          <w:lang w:eastAsia="zh-CN"/>
        </w:rPr>
        <w:t>格式           南京市政府采购供应商信用记录表暨信用承诺书</w:t>
      </w:r>
    </w:p>
    <w:p w14:paraId="7C71180B">
      <w:pPr>
        <w:spacing w:line="500" w:lineRule="exact"/>
        <w:ind w:right="-5"/>
        <w:rPr>
          <w:rFonts w:hint="eastAsia" w:ascii="宋体" w:hAnsi="宋体" w:eastAsia="宋体"/>
          <w:b/>
          <w:color w:val="auto"/>
          <w:highlight w:val="none"/>
          <w:lang w:eastAsia="zh-CN"/>
        </w:rPr>
      </w:pPr>
      <w:r>
        <w:rPr>
          <w:rFonts w:hint="eastAsia" w:ascii="宋体" w:hAnsi="宋体" w:eastAsia="宋体"/>
          <w:color w:val="auto"/>
          <w:highlight w:val="none"/>
          <w:lang w:eastAsia="zh-CN"/>
        </w:rPr>
        <w:t>南京市政府采购供应商信用记录表暨信用承诺书</w:t>
      </w:r>
    </w:p>
    <w:p w14:paraId="5BD8EB96">
      <w:pPr>
        <w:ind w:right="-5" w:firstLine="480"/>
        <w:rPr>
          <w:rFonts w:hint="eastAsia" w:ascii="宋体" w:hAnsi="宋体" w:eastAsia="宋体"/>
          <w:b/>
          <w:bCs/>
          <w:color w:val="auto"/>
          <w:highlight w:val="none"/>
          <w:lang w:eastAsia="zh-CN"/>
        </w:rPr>
      </w:pPr>
      <w:r>
        <w:rPr>
          <w:rFonts w:hint="eastAsia" w:ascii="宋体" w:hAnsi="宋体" w:eastAsia="宋体"/>
          <w:color w:val="auto"/>
          <w:highlight w:val="none"/>
          <w:lang w:eastAsia="zh-CN"/>
        </w:rPr>
        <w:t>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b/>
          <w:bCs/>
          <w:color w:val="auto"/>
          <w:highlight w:val="none"/>
          <w:lang w:eastAsia="zh-CN"/>
        </w:rPr>
        <w:t>，</w:t>
      </w:r>
      <w:r>
        <w:rPr>
          <w:rFonts w:hint="eastAsia" w:ascii="宋体" w:hAnsi="宋体" w:eastAsia="宋体"/>
          <w:b/>
          <w:bCs/>
          <w:color w:val="auto"/>
          <w:highlight w:val="none"/>
          <w:u w:val="single"/>
          <w:lang w:eastAsia="zh-CN"/>
        </w:rPr>
        <w:t>由法人签字或盖章</w:t>
      </w:r>
      <w:r>
        <w:rPr>
          <w:rFonts w:hint="eastAsia" w:ascii="宋体" w:hAnsi="宋体" w:eastAsia="宋体"/>
          <w:b/>
          <w:bCs/>
          <w:color w:val="auto"/>
          <w:highlight w:val="none"/>
          <w:lang w:eastAsia="zh-CN"/>
        </w:rPr>
        <w:t>，并盖单位公章。</w:t>
      </w:r>
    </w:p>
    <w:p w14:paraId="645604DE">
      <w:pPr>
        <w:ind w:right="-5"/>
        <w:rPr>
          <w:rFonts w:hint="eastAsia" w:ascii="宋体" w:hAnsi="宋体" w:eastAsia="宋体"/>
          <w:b/>
          <w:bCs/>
          <w:color w:val="auto"/>
          <w:highlight w:val="none"/>
          <w:lang w:eastAsia="zh-CN"/>
        </w:rPr>
      </w:pPr>
    </w:p>
    <w:p w14:paraId="01E487CF">
      <w:pPr>
        <w:ind w:firstLine="482"/>
        <w:rPr>
          <w:rFonts w:hint="eastAsia" w:ascii="宋体" w:hAnsi="宋体" w:eastAsia="宋体"/>
          <w:b/>
          <w:bCs/>
          <w:color w:val="auto"/>
          <w:highlight w:val="none"/>
          <w:u w:val="single"/>
          <w:lang w:eastAsia="zh-CN"/>
        </w:rPr>
      </w:pPr>
      <w:r>
        <w:rPr>
          <w:rFonts w:hint="eastAsia" w:ascii="宋体" w:hAnsi="宋体" w:eastAsia="宋体"/>
          <w:b/>
          <w:bCs/>
          <w:color w:val="auto"/>
          <w:highlight w:val="none"/>
          <w:u w:val="single"/>
          <w:lang w:eastAsia="zh-CN"/>
        </w:rPr>
        <w:t>注：  该信用承诺书生成时间必须为本项目公告挂网时间之后，开标时间之前</w:t>
      </w:r>
    </w:p>
    <w:p w14:paraId="22DB4B48">
      <w:pPr>
        <w:pStyle w:val="32"/>
        <w:spacing w:beforeAutospacing="0" w:afterAutospacing="0"/>
        <w:ind w:firstLine="3840"/>
        <w:rPr>
          <w:rFonts w:hint="eastAsia" w:ascii="宋体" w:hAnsi="宋体" w:eastAsia="宋体" w:cs="宋体"/>
          <w:b/>
          <w:color w:val="auto"/>
          <w:sz w:val="32"/>
          <w:szCs w:val="32"/>
          <w:highlight w:val="none"/>
        </w:rPr>
      </w:pPr>
    </w:p>
    <w:p w14:paraId="386C1DC0">
      <w:pPr>
        <w:pStyle w:val="32"/>
        <w:spacing w:beforeAutospacing="0" w:afterAutospacing="0"/>
        <w:ind w:firstLine="3840"/>
        <w:rPr>
          <w:rFonts w:hint="eastAsia" w:ascii="宋体" w:hAnsi="宋体" w:eastAsia="宋体" w:cs="宋体"/>
          <w:b/>
          <w:color w:val="auto"/>
          <w:sz w:val="32"/>
          <w:szCs w:val="32"/>
          <w:highlight w:val="none"/>
        </w:rPr>
      </w:pPr>
    </w:p>
    <w:p w14:paraId="29B7A127">
      <w:pPr>
        <w:pStyle w:val="32"/>
        <w:spacing w:beforeAutospacing="0" w:afterAutospacing="0"/>
        <w:ind w:firstLine="3840"/>
        <w:rPr>
          <w:rFonts w:hint="eastAsia" w:ascii="宋体" w:hAnsi="宋体" w:eastAsia="宋体" w:cs="宋体"/>
          <w:b/>
          <w:color w:val="auto"/>
          <w:sz w:val="32"/>
          <w:szCs w:val="32"/>
          <w:highlight w:val="none"/>
        </w:rPr>
      </w:pPr>
    </w:p>
    <w:p w14:paraId="3FD2F870">
      <w:pPr>
        <w:spacing w:line="500" w:lineRule="exact"/>
        <w:ind w:right="-5"/>
        <w:rPr>
          <w:rFonts w:hint="eastAsia" w:ascii="宋体" w:hAnsi="宋体" w:eastAsia="宋体"/>
          <w:b/>
          <w:bCs/>
          <w:color w:val="auto"/>
          <w:highlight w:val="none"/>
          <w:lang w:eastAsia="zh-CN"/>
        </w:rPr>
      </w:pPr>
      <w:r>
        <w:rPr>
          <w:rFonts w:hint="eastAsia" w:ascii="宋体" w:hAnsi="宋体" w:eastAsia="宋体"/>
          <w:color w:val="auto"/>
          <w:highlight w:val="none"/>
          <w:lang w:eastAsia="zh-CN"/>
        </w:rPr>
        <w:t xml:space="preserve">格式 </w:t>
      </w:r>
      <w:r>
        <w:rPr>
          <w:rFonts w:ascii="宋体" w:hAnsi="宋体" w:eastAsia="宋体"/>
          <w:color w:val="auto"/>
          <w:highlight w:val="none"/>
          <w:lang w:eastAsia="zh-CN"/>
        </w:rPr>
        <w:t xml:space="preserve">                     </w:t>
      </w:r>
      <w:r>
        <w:rPr>
          <w:rFonts w:hint="eastAsia" w:ascii="宋体" w:hAnsi="宋体" w:eastAsia="宋体"/>
          <w:bCs/>
          <w:color w:val="auto"/>
          <w:highlight w:val="none"/>
          <w:lang w:eastAsia="zh-CN"/>
        </w:rPr>
        <w:t>营业执照（复印件）</w:t>
      </w:r>
    </w:p>
    <w:p w14:paraId="1F666FD7">
      <w:pPr>
        <w:spacing w:line="500" w:lineRule="exact"/>
        <w:ind w:right="-5"/>
        <w:rPr>
          <w:rFonts w:hint="eastAsia" w:ascii="宋体" w:hAnsi="宋体" w:eastAsia="宋体"/>
          <w:b/>
          <w:bCs/>
          <w:color w:val="auto"/>
          <w:highlight w:val="none"/>
          <w:lang w:eastAsia="zh-CN"/>
        </w:rPr>
      </w:pPr>
    </w:p>
    <w:p w14:paraId="146ADEEA">
      <w:pPr>
        <w:spacing w:line="500" w:lineRule="exact"/>
        <w:ind w:right="-5"/>
        <w:rPr>
          <w:rFonts w:hint="eastAsia" w:ascii="宋体" w:hAnsi="宋体" w:eastAsia="宋体"/>
          <w:b/>
          <w:bCs/>
          <w:color w:val="auto"/>
          <w:highlight w:val="none"/>
          <w:lang w:eastAsia="zh-CN"/>
        </w:rPr>
      </w:pPr>
    </w:p>
    <w:p w14:paraId="77CDB86C">
      <w:pPr>
        <w:spacing w:line="500" w:lineRule="exact"/>
        <w:ind w:right="-5"/>
        <w:rPr>
          <w:rFonts w:hint="eastAsia" w:ascii="宋体" w:hAnsi="宋体" w:eastAsia="宋体"/>
          <w:b/>
          <w:bCs/>
          <w:color w:val="auto"/>
          <w:highlight w:val="none"/>
          <w:lang w:eastAsia="zh-CN"/>
        </w:rPr>
      </w:pPr>
      <w:r>
        <w:rPr>
          <w:rFonts w:hint="eastAsia" w:ascii="宋体" w:hAnsi="宋体" w:eastAsia="宋体"/>
          <w:bCs/>
          <w:color w:val="auto"/>
          <w:highlight w:val="none"/>
          <w:lang w:eastAsia="zh-CN"/>
        </w:rPr>
        <w:t xml:space="preserve">格式 </w:t>
      </w:r>
      <w:r>
        <w:rPr>
          <w:rFonts w:ascii="宋体" w:hAnsi="宋体" w:eastAsia="宋体"/>
          <w:bCs/>
          <w:color w:val="auto"/>
          <w:highlight w:val="none"/>
          <w:lang w:eastAsia="zh-CN"/>
        </w:rPr>
        <w:t xml:space="preserve">        </w:t>
      </w:r>
      <w:r>
        <w:rPr>
          <w:rFonts w:hint="eastAsia" w:ascii="宋体" w:hAnsi="宋体" w:eastAsia="宋体"/>
          <w:bCs/>
          <w:color w:val="auto"/>
          <w:highlight w:val="none"/>
          <w:lang w:eastAsia="zh-CN"/>
        </w:rPr>
        <w:t>投标人及投标产品（货物/服务）资质证书（复印件）</w:t>
      </w:r>
    </w:p>
    <w:p w14:paraId="35E1677F">
      <w:pPr>
        <w:spacing w:line="500" w:lineRule="exact"/>
        <w:ind w:right="-5"/>
        <w:rPr>
          <w:rFonts w:hint="eastAsia" w:ascii="宋体" w:hAnsi="宋体" w:eastAsia="宋体"/>
          <w:color w:val="auto"/>
          <w:sz w:val="21"/>
          <w:highlight w:val="none"/>
          <w:lang w:eastAsia="zh-CN"/>
        </w:rPr>
      </w:pPr>
    </w:p>
    <w:p w14:paraId="2B72FECD">
      <w:pPr>
        <w:spacing w:line="500" w:lineRule="exact"/>
        <w:ind w:right="-5"/>
        <w:rPr>
          <w:rFonts w:hint="eastAsia" w:ascii="宋体" w:hAnsi="宋体" w:eastAsia="宋体"/>
          <w:color w:val="auto"/>
          <w:sz w:val="21"/>
          <w:highlight w:val="none"/>
          <w:lang w:eastAsia="zh-CN"/>
        </w:rPr>
      </w:pPr>
    </w:p>
    <w:p w14:paraId="03663560">
      <w:pPr>
        <w:pStyle w:val="14"/>
        <w:rPr>
          <w:rFonts w:hint="eastAsia"/>
          <w:color w:val="auto"/>
          <w:highlight w:val="none"/>
          <w:lang w:val="en-US"/>
        </w:rPr>
      </w:pPr>
    </w:p>
    <w:p w14:paraId="5C2D1A97">
      <w:pPr>
        <w:rPr>
          <w:rFonts w:hint="eastAsia" w:ascii="宋体" w:hAnsi="宋体" w:eastAsia="宋体"/>
          <w:color w:val="auto"/>
          <w:highlight w:val="none"/>
          <w:lang w:eastAsia="zh-CN"/>
        </w:rPr>
      </w:pPr>
    </w:p>
    <w:p w14:paraId="65F9AEB6">
      <w:pPr>
        <w:spacing w:line="500" w:lineRule="exact"/>
        <w:ind w:right="-5"/>
        <w:rPr>
          <w:rFonts w:hint="eastAsia" w:ascii="宋体" w:hAnsi="宋体" w:eastAsia="宋体"/>
          <w:b/>
          <w:color w:val="auto"/>
          <w:sz w:val="21"/>
          <w:highlight w:val="none"/>
          <w:lang w:eastAsia="zh-CN"/>
        </w:rPr>
      </w:pPr>
      <w:r>
        <w:rPr>
          <w:rFonts w:hint="eastAsia" w:ascii="宋体" w:hAnsi="宋体" w:eastAsia="宋体"/>
          <w:color w:val="auto"/>
          <w:highlight w:val="none"/>
        </w:rPr>
        <w:t xml:space="preserve">格式        </w:t>
      </w:r>
      <w:r>
        <w:rPr>
          <w:rFonts w:ascii="宋体" w:hAnsi="宋体" w:eastAsia="宋体"/>
          <w:color w:val="auto"/>
          <w:highlight w:val="none"/>
        </w:rPr>
        <w:t xml:space="preserve">               </w:t>
      </w:r>
      <w:r>
        <w:rPr>
          <w:rFonts w:hint="eastAsia" w:ascii="宋体" w:hAnsi="宋体" w:eastAsia="宋体"/>
          <w:color w:val="auto"/>
          <w:highlight w:val="none"/>
        </w:rPr>
        <w:t xml:space="preserve">   公告中其他</w:t>
      </w:r>
      <w:r>
        <w:rPr>
          <w:rFonts w:ascii="宋体" w:hAnsi="宋体" w:eastAsia="宋体"/>
          <w:color w:val="auto"/>
          <w:highlight w:val="none"/>
        </w:rPr>
        <w:t>要求</w:t>
      </w:r>
    </w:p>
    <w:p w14:paraId="536DBD25">
      <w:pPr>
        <w:pStyle w:val="32"/>
        <w:spacing w:beforeAutospacing="0" w:afterAutospacing="0"/>
        <w:ind w:firstLine="3840"/>
        <w:rPr>
          <w:rFonts w:hint="eastAsia" w:ascii="宋体" w:hAnsi="宋体" w:eastAsia="宋体" w:cs="宋体"/>
          <w:b/>
          <w:color w:val="auto"/>
          <w:sz w:val="32"/>
          <w:szCs w:val="32"/>
          <w:highlight w:val="none"/>
        </w:rPr>
      </w:pPr>
    </w:p>
    <w:p w14:paraId="76C08F42">
      <w:pPr>
        <w:pStyle w:val="32"/>
        <w:spacing w:beforeAutospacing="0" w:afterAutospacing="0"/>
        <w:ind w:firstLine="3840"/>
        <w:rPr>
          <w:rFonts w:hint="eastAsia" w:ascii="宋体" w:hAnsi="宋体" w:eastAsia="宋体" w:cs="宋体"/>
          <w:b/>
          <w:color w:val="auto"/>
          <w:sz w:val="32"/>
          <w:szCs w:val="32"/>
          <w:highlight w:val="none"/>
        </w:rPr>
      </w:pPr>
    </w:p>
    <w:p w14:paraId="45BD632C">
      <w:pPr>
        <w:pStyle w:val="32"/>
        <w:spacing w:beforeAutospacing="0" w:afterAutospacing="0"/>
        <w:ind w:firstLine="3840"/>
        <w:rPr>
          <w:rFonts w:hint="eastAsia" w:ascii="宋体" w:hAnsi="宋体" w:eastAsia="宋体" w:cs="宋体"/>
          <w:b/>
          <w:color w:val="auto"/>
          <w:sz w:val="32"/>
          <w:szCs w:val="32"/>
          <w:highlight w:val="none"/>
        </w:rPr>
      </w:pPr>
    </w:p>
    <w:p w14:paraId="3F4749B6">
      <w:pPr>
        <w:pStyle w:val="32"/>
        <w:spacing w:beforeAutospacing="0" w:afterAutospacing="0"/>
        <w:ind w:firstLine="3840"/>
        <w:rPr>
          <w:rFonts w:hint="eastAsia" w:ascii="宋体" w:hAnsi="宋体" w:eastAsia="宋体" w:cs="宋体"/>
          <w:b/>
          <w:color w:val="auto"/>
          <w:sz w:val="32"/>
          <w:szCs w:val="32"/>
          <w:highlight w:val="none"/>
        </w:rPr>
      </w:pPr>
    </w:p>
    <w:p w14:paraId="6455E218">
      <w:pPr>
        <w:pStyle w:val="32"/>
        <w:spacing w:beforeAutospacing="0" w:afterAutospacing="0"/>
        <w:ind w:firstLine="3840"/>
        <w:rPr>
          <w:rFonts w:hint="eastAsia" w:ascii="宋体" w:hAnsi="宋体" w:eastAsia="宋体" w:cs="宋体"/>
          <w:b/>
          <w:color w:val="auto"/>
          <w:sz w:val="32"/>
          <w:szCs w:val="32"/>
          <w:highlight w:val="none"/>
        </w:rPr>
      </w:pPr>
    </w:p>
    <w:p w14:paraId="3F6E7E07">
      <w:pPr>
        <w:pStyle w:val="32"/>
        <w:spacing w:beforeAutospacing="0" w:afterAutospacing="0"/>
        <w:ind w:firstLine="3840"/>
        <w:rPr>
          <w:rFonts w:hint="eastAsia" w:ascii="宋体" w:hAnsi="宋体" w:eastAsia="宋体" w:cs="宋体"/>
          <w:b/>
          <w:color w:val="auto"/>
          <w:sz w:val="32"/>
          <w:szCs w:val="32"/>
          <w:highlight w:val="none"/>
        </w:rPr>
      </w:pPr>
    </w:p>
    <w:p w14:paraId="5421DB2E">
      <w:pPr>
        <w:pStyle w:val="32"/>
        <w:spacing w:beforeAutospacing="0" w:afterAutospacing="0"/>
        <w:ind w:firstLine="3840"/>
        <w:rPr>
          <w:rFonts w:hint="eastAsia" w:ascii="宋体" w:hAnsi="宋体" w:eastAsia="宋体" w:cs="宋体"/>
          <w:b/>
          <w:color w:val="auto"/>
          <w:sz w:val="32"/>
          <w:szCs w:val="32"/>
          <w:highlight w:val="none"/>
        </w:rPr>
      </w:pPr>
    </w:p>
    <w:p w14:paraId="4C747E76">
      <w:pPr>
        <w:pStyle w:val="32"/>
        <w:spacing w:beforeAutospacing="0" w:afterAutospacing="0"/>
        <w:ind w:firstLine="3840"/>
        <w:rPr>
          <w:rFonts w:hint="eastAsia" w:ascii="宋体" w:hAnsi="宋体" w:eastAsia="宋体" w:cs="宋体"/>
          <w:b/>
          <w:color w:val="auto"/>
          <w:sz w:val="32"/>
          <w:szCs w:val="32"/>
          <w:highlight w:val="none"/>
        </w:rPr>
      </w:pPr>
    </w:p>
    <w:p w14:paraId="0AE7D2C3">
      <w:pPr>
        <w:pStyle w:val="32"/>
        <w:spacing w:beforeAutospacing="0" w:afterAutospacing="0"/>
        <w:rPr>
          <w:rFonts w:hint="eastAsia" w:ascii="宋体" w:hAnsi="宋体" w:eastAsia="宋体" w:cs="宋体"/>
          <w:b/>
          <w:bCs/>
          <w:color w:val="auto"/>
          <w:sz w:val="32"/>
          <w:szCs w:val="32"/>
          <w:highlight w:val="none"/>
        </w:rPr>
      </w:pPr>
    </w:p>
    <w:bookmarkEnd w:id="7"/>
    <w:bookmarkEnd w:id="62"/>
    <w:bookmarkEnd w:id="109"/>
    <w:bookmarkEnd w:id="110"/>
    <w:bookmarkEnd w:id="111"/>
    <w:bookmarkEnd w:id="112"/>
    <w:bookmarkEnd w:id="113"/>
    <w:bookmarkEnd w:id="114"/>
    <w:bookmarkEnd w:id="115"/>
    <w:bookmarkEnd w:id="116"/>
    <w:bookmarkEnd w:id="125"/>
    <w:bookmarkEnd w:id="126"/>
    <w:bookmarkEnd w:id="133"/>
    <w:bookmarkEnd w:id="187"/>
    <w:bookmarkEnd w:id="205"/>
    <w:bookmarkEnd w:id="219"/>
    <w:bookmarkEnd w:id="220"/>
    <w:bookmarkEnd w:id="221"/>
    <w:bookmarkEnd w:id="222"/>
    <w:bookmarkEnd w:id="223"/>
    <w:bookmarkEnd w:id="224"/>
    <w:bookmarkEnd w:id="225"/>
    <w:bookmarkEnd w:id="249"/>
    <w:bookmarkEnd w:id="250"/>
    <w:bookmarkEnd w:id="251"/>
    <w:bookmarkEnd w:id="252"/>
    <w:bookmarkEnd w:id="253"/>
    <w:bookmarkEnd w:id="254"/>
    <w:p w14:paraId="72975D36">
      <w:pPr>
        <w:pStyle w:val="32"/>
        <w:spacing w:beforeAutospacing="0" w:afterAutospacing="0"/>
        <w:rPr>
          <w:color w:val="auto"/>
          <w:highlight w:val="none"/>
        </w:rPr>
      </w:pPr>
    </w:p>
    <w:sectPr>
      <w:footerReference r:id="rId4" w:type="default"/>
      <w:pgSz w:w="11906" w:h="16838"/>
      <w:pgMar w:top="1440" w:right="1800" w:bottom="1440" w:left="1800" w:header="851" w:footer="992" w:gutter="0"/>
      <w:pgNumType w:fmt="decimal"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魏碑_GBK">
    <w:panose1 w:val="02000000000000000000"/>
    <w:charset w:val="86"/>
    <w:family w:val="auto"/>
    <w:pitch w:val="default"/>
    <w:sig w:usb0="A00002BF" w:usb1="38CF7CFA" w:usb2="00082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6C06B">
    <w:pPr>
      <w:pStyle w:val="195"/>
      <w:ind w:firstLine="3855"/>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C60925">
                          <w:pPr>
                            <w:pStyle w:val="22"/>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EC60925">
                    <w:pPr>
                      <w:pStyle w:val="22"/>
                    </w:pPr>
                    <w:r>
                      <w:fldChar w:fldCharType="begin"/>
                    </w:r>
                    <w:r>
                      <w:instrText xml:space="preserve"> PAGE  \* MERGEFORMAT </w:instrText>
                    </w:r>
                    <w:r>
                      <w:fldChar w:fldCharType="separate"/>
                    </w:r>
                    <w:r>
                      <w:t>I</w:t>
                    </w:r>
                    <w:r>
                      <w:fldChar w:fldCharType="end"/>
                    </w:r>
                  </w:p>
                </w:txbxContent>
              </v:textbox>
            </v:shape>
          </w:pict>
        </mc:Fallback>
      </mc:AlternateContent>
    </w:r>
  </w:p>
  <w:p w14:paraId="15D2F175"/>
  <w:p w14:paraId="37E3333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D2C4D">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F2F59">
                          <w:pPr>
                            <w:pStyle w:val="22"/>
                          </w:pPr>
                          <w:r>
                            <w:fldChar w:fldCharType="begin"/>
                          </w:r>
                          <w:r>
                            <w:instrText xml:space="preserve"> PAGE  \* MERGEFORMAT </w:instrText>
                          </w:r>
                          <w:r>
                            <w:fldChar w:fldCharType="separate"/>
                          </w:r>
                          <w:r>
                            <w:t>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1DF2F59">
                    <w:pPr>
                      <w:pStyle w:val="22"/>
                    </w:pPr>
                    <w:r>
                      <w:fldChar w:fldCharType="begin"/>
                    </w:r>
                    <w:r>
                      <w:instrText xml:space="preserve"> PAGE  \* MERGEFORMAT </w:instrText>
                    </w:r>
                    <w:r>
                      <w:fldChar w:fldCharType="separate"/>
                    </w:r>
                    <w:r>
                      <w:t>III</w:t>
                    </w:r>
                    <w:r>
                      <w:fldChar w:fldCharType="end"/>
                    </w:r>
                  </w:p>
                </w:txbxContent>
              </v:textbox>
            </v:shape>
          </w:pict>
        </mc:Fallback>
      </mc:AlternateContent>
    </w:r>
  </w:p>
  <w:p w14:paraId="2C0BCF82"/>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8501502F"/>
    <w:multiLevelType w:val="singleLevel"/>
    <w:tmpl w:val="8501502F"/>
    <w:lvl w:ilvl="0" w:tentative="0">
      <w:start w:val="1"/>
      <w:numFmt w:val="decimal"/>
      <w:suff w:val="space"/>
      <w:lvlText w:val="%1."/>
      <w:lvlJc w:val="left"/>
      <w:pPr>
        <w:ind w:left="845" w:hanging="425"/>
      </w:pPr>
      <w:rPr>
        <w:rFonts w:hint="default"/>
      </w:rPr>
    </w:lvl>
  </w:abstractNum>
  <w:abstractNum w:abstractNumId="2">
    <w:nsid w:val="8C53CB26"/>
    <w:multiLevelType w:val="singleLevel"/>
    <w:tmpl w:val="8C53CB26"/>
    <w:lvl w:ilvl="0" w:tentative="0">
      <w:start w:val="1"/>
      <w:numFmt w:val="decimal"/>
      <w:lvlText w:val="(%1)"/>
      <w:lvlJc w:val="left"/>
      <w:pPr>
        <w:ind w:left="445" w:hanging="425"/>
      </w:pPr>
      <w:rPr>
        <w:rFonts w:hint="default"/>
      </w:rPr>
    </w:lvl>
  </w:abstractNum>
  <w:abstractNum w:abstractNumId="3">
    <w:nsid w:val="93844835"/>
    <w:multiLevelType w:val="singleLevel"/>
    <w:tmpl w:val="93844835"/>
    <w:lvl w:ilvl="0" w:tentative="0">
      <w:start w:val="1"/>
      <w:numFmt w:val="decimal"/>
      <w:lvlText w:val="(%1)"/>
      <w:lvlJc w:val="left"/>
      <w:pPr>
        <w:ind w:left="445" w:hanging="425"/>
      </w:pPr>
      <w:rPr>
        <w:rFonts w:hint="default"/>
      </w:rPr>
    </w:lvl>
  </w:abstractNum>
  <w:abstractNum w:abstractNumId="4">
    <w:nsid w:val="A372BB23"/>
    <w:multiLevelType w:val="singleLevel"/>
    <w:tmpl w:val="A372BB23"/>
    <w:lvl w:ilvl="0" w:tentative="0">
      <w:start w:val="1"/>
      <w:numFmt w:val="decimal"/>
      <w:lvlText w:val="(%1)"/>
      <w:lvlJc w:val="left"/>
      <w:pPr>
        <w:ind w:left="445" w:hanging="425"/>
      </w:pPr>
      <w:rPr>
        <w:rFonts w:hint="default"/>
      </w:rPr>
    </w:lvl>
  </w:abstractNum>
  <w:abstractNum w:abstractNumId="5">
    <w:nsid w:val="ABD61A75"/>
    <w:multiLevelType w:val="singleLevel"/>
    <w:tmpl w:val="ABD61A75"/>
    <w:lvl w:ilvl="0" w:tentative="0">
      <w:start w:val="1"/>
      <w:numFmt w:val="decimal"/>
      <w:lvlText w:val="(%1)"/>
      <w:lvlJc w:val="left"/>
      <w:pPr>
        <w:ind w:left="445" w:hanging="425"/>
      </w:pPr>
      <w:rPr>
        <w:rFonts w:hint="default"/>
      </w:rPr>
    </w:lvl>
  </w:abstractNum>
  <w:abstractNum w:abstractNumId="6">
    <w:nsid w:val="BD92239E"/>
    <w:multiLevelType w:val="singleLevel"/>
    <w:tmpl w:val="BD92239E"/>
    <w:lvl w:ilvl="0" w:tentative="0">
      <w:start w:val="1"/>
      <w:numFmt w:val="decimal"/>
      <w:suff w:val="nothing"/>
      <w:lvlText w:val="%1、"/>
      <w:lvlJc w:val="left"/>
      <w:rPr>
        <w:rFonts w:hint="default"/>
        <w:color w:val="000000"/>
      </w:rPr>
    </w:lvl>
  </w:abstractNum>
  <w:abstractNum w:abstractNumId="7">
    <w:nsid w:val="D0437182"/>
    <w:multiLevelType w:val="singleLevel"/>
    <w:tmpl w:val="D0437182"/>
    <w:lvl w:ilvl="0" w:tentative="0">
      <w:start w:val="1"/>
      <w:numFmt w:val="decimal"/>
      <w:lvlText w:val="(%1)"/>
      <w:lvlJc w:val="left"/>
      <w:pPr>
        <w:ind w:left="445" w:hanging="425"/>
      </w:pPr>
      <w:rPr>
        <w:rFonts w:hint="default"/>
      </w:rPr>
    </w:lvl>
  </w:abstractNum>
  <w:abstractNum w:abstractNumId="8">
    <w:nsid w:val="E3B6F668"/>
    <w:multiLevelType w:val="multilevel"/>
    <w:tmpl w:val="E3B6F668"/>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20" w:firstLine="400"/>
      </w:pPr>
      <w:rPr>
        <w:rFonts w:hint="default"/>
        <w:b/>
        <w:bCs/>
        <w:sz w:val="28"/>
        <w:szCs w:val="28"/>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9">
    <w:nsid w:val="F2E029D2"/>
    <w:multiLevelType w:val="singleLevel"/>
    <w:tmpl w:val="F2E029D2"/>
    <w:lvl w:ilvl="0" w:tentative="0">
      <w:start w:val="33"/>
      <w:numFmt w:val="decimal"/>
      <w:lvlText w:val="%1."/>
      <w:lvlJc w:val="left"/>
      <w:pPr>
        <w:tabs>
          <w:tab w:val="left" w:pos="312"/>
        </w:tabs>
      </w:pPr>
    </w:lvl>
  </w:abstractNum>
  <w:abstractNum w:abstractNumId="10">
    <w:nsid w:val="F7FA09DF"/>
    <w:multiLevelType w:val="multilevel"/>
    <w:tmpl w:val="F7FA09DF"/>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1">
    <w:nsid w:val="1AE50B5B"/>
    <w:multiLevelType w:val="multilevel"/>
    <w:tmpl w:val="1AE50B5B"/>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2">
    <w:nsid w:val="1B022E18"/>
    <w:multiLevelType w:val="singleLevel"/>
    <w:tmpl w:val="1B022E18"/>
    <w:lvl w:ilvl="0" w:tentative="0">
      <w:start w:val="1"/>
      <w:numFmt w:val="decimal"/>
      <w:lvlText w:val="%1"/>
      <w:lvlJc w:val="left"/>
    </w:lvl>
  </w:abstractNum>
  <w:abstractNum w:abstractNumId="13">
    <w:nsid w:val="2A673A56"/>
    <w:multiLevelType w:val="multilevel"/>
    <w:tmpl w:val="2A673A56"/>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4">
    <w:nsid w:val="3A365A56"/>
    <w:multiLevelType w:val="singleLevel"/>
    <w:tmpl w:val="3A365A56"/>
    <w:lvl w:ilvl="0" w:tentative="0">
      <w:start w:val="1"/>
      <w:numFmt w:val="decimal"/>
      <w:lvlText w:val="(%1)"/>
      <w:lvlJc w:val="left"/>
      <w:pPr>
        <w:tabs>
          <w:tab w:val="left" w:pos="312"/>
        </w:tabs>
      </w:pPr>
    </w:lvl>
  </w:abstractNum>
  <w:abstractNum w:abstractNumId="15">
    <w:nsid w:val="466DD5E4"/>
    <w:multiLevelType w:val="multilevel"/>
    <w:tmpl w:val="466DD5E4"/>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6">
    <w:nsid w:val="67F7D0ED"/>
    <w:multiLevelType w:val="singleLevel"/>
    <w:tmpl w:val="67F7D0ED"/>
    <w:lvl w:ilvl="0" w:tentative="0">
      <w:start w:val="1"/>
      <w:numFmt w:val="decimal"/>
      <w:lvlText w:val="(%1)"/>
      <w:lvlJc w:val="left"/>
      <w:pPr>
        <w:ind w:left="445" w:hanging="425"/>
      </w:pPr>
      <w:rPr>
        <w:rFonts w:hint="default"/>
      </w:rPr>
    </w:lvl>
  </w:abstractNum>
  <w:abstractNum w:abstractNumId="17">
    <w:nsid w:val="6D1440B3"/>
    <w:multiLevelType w:val="multilevel"/>
    <w:tmpl w:val="6D1440B3"/>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8">
    <w:nsid w:val="746D4A1B"/>
    <w:multiLevelType w:val="singleLevel"/>
    <w:tmpl w:val="746D4A1B"/>
    <w:lvl w:ilvl="0" w:tentative="0">
      <w:start w:val="1"/>
      <w:numFmt w:val="decimal"/>
      <w:lvlText w:val="%1."/>
      <w:lvlJc w:val="left"/>
      <w:pPr>
        <w:ind w:left="425" w:hanging="425"/>
      </w:pPr>
      <w:rPr>
        <w:rFonts w:hint="default"/>
      </w:rPr>
    </w:lvl>
  </w:abstractNum>
  <w:num w:numId="1">
    <w:abstractNumId w:val="9"/>
  </w:num>
  <w:num w:numId="2">
    <w:abstractNumId w:val="11"/>
  </w:num>
  <w:num w:numId="3">
    <w:abstractNumId w:val="10"/>
  </w:num>
  <w:num w:numId="4">
    <w:abstractNumId w:val="17"/>
  </w:num>
  <w:num w:numId="5">
    <w:abstractNumId w:val="15"/>
  </w:num>
  <w:num w:numId="6">
    <w:abstractNumId w:val="13"/>
  </w:num>
  <w:num w:numId="7">
    <w:abstractNumId w:val="8"/>
  </w:num>
  <w:num w:numId="8">
    <w:abstractNumId w:val="7"/>
  </w:num>
  <w:num w:numId="9">
    <w:abstractNumId w:val="4"/>
  </w:num>
  <w:num w:numId="10">
    <w:abstractNumId w:val="2"/>
  </w:num>
  <w:num w:numId="11">
    <w:abstractNumId w:val="3"/>
  </w:num>
  <w:num w:numId="12">
    <w:abstractNumId w:val="16"/>
  </w:num>
  <w:num w:numId="13">
    <w:abstractNumId w:val="5"/>
  </w:num>
  <w:num w:numId="14">
    <w:abstractNumId w:val="1"/>
  </w:num>
  <w:num w:numId="15">
    <w:abstractNumId w:val="14"/>
  </w:num>
  <w:num w:numId="16">
    <w:abstractNumId w:val="12"/>
  </w:num>
  <w:num w:numId="17">
    <w:abstractNumId w:val="6"/>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C4DB3"/>
    <w:rsid w:val="02FA6996"/>
    <w:rsid w:val="07E13BA5"/>
    <w:rsid w:val="135049C5"/>
    <w:rsid w:val="26271C78"/>
    <w:rsid w:val="271414F1"/>
    <w:rsid w:val="2BEE62A6"/>
    <w:rsid w:val="31E700FB"/>
    <w:rsid w:val="42791565"/>
    <w:rsid w:val="454B7753"/>
    <w:rsid w:val="45516873"/>
    <w:rsid w:val="4B8447C5"/>
    <w:rsid w:val="54A0061D"/>
    <w:rsid w:val="56892796"/>
    <w:rsid w:val="62C7461B"/>
    <w:rsid w:val="6B290CCF"/>
    <w:rsid w:val="6E56465F"/>
    <w:rsid w:val="70E9014C"/>
    <w:rsid w:val="71D46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nhideWhenUsed="0" w:uiPriority="0"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rPr>
  </w:style>
  <w:style w:type="paragraph" w:styleId="2">
    <w:name w:val="heading 1"/>
    <w:basedOn w:val="1"/>
    <w:next w:val="1"/>
    <w:link w:val="205"/>
    <w:qFormat/>
    <w:uiPriority w:val="0"/>
    <w:pPr>
      <w:keepNext/>
      <w:keepLines/>
      <w:spacing w:before="340" w:after="330" w:line="578" w:lineRule="auto"/>
      <w:outlineLvl w:val="0"/>
    </w:pPr>
    <w:rPr>
      <w:b/>
      <w:bCs/>
      <w:sz w:val="44"/>
      <w:szCs w:val="44"/>
    </w:rPr>
  </w:style>
  <w:style w:type="paragraph" w:styleId="3">
    <w:name w:val="heading 2"/>
    <w:basedOn w:val="1"/>
    <w:next w:val="1"/>
    <w:link w:val="209"/>
    <w:unhideWhenUsed/>
    <w:qFormat/>
    <w:uiPriority w:val="0"/>
    <w:pPr>
      <w:widowControl/>
      <w:shd w:val="clear" w:color="auto" w:fill="FFFFFF"/>
      <w:spacing w:line="360" w:lineRule="auto"/>
      <w:jc w:val="center"/>
      <w:outlineLvl w:val="1"/>
    </w:pPr>
    <w:rPr>
      <w:rFonts w:ascii="宋体" w:hAnsi="宋体" w:eastAsia="宋体" w:cs="宋体"/>
      <w:b/>
      <w:bCs/>
      <w:color w:val="333333"/>
      <w:sz w:val="24"/>
      <w:shd w:val="clear" w:color="auto" w:fill="FFFFFF"/>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207"/>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link w:val="202"/>
    <w:qFormat/>
    <w:uiPriority w:val="0"/>
    <w:pPr>
      <w:jc w:val="left"/>
    </w:pPr>
  </w:style>
  <w:style w:type="paragraph" w:styleId="14">
    <w:name w:val="Body Text"/>
    <w:basedOn w:val="1"/>
    <w:next w:val="1"/>
    <w:link w:val="199"/>
    <w:unhideWhenUsed/>
    <w:qFormat/>
    <w:uiPriority w:val="0"/>
    <w:pPr>
      <w:spacing w:after="120"/>
    </w:pPr>
    <w:rPr>
      <w:rFonts w:ascii="Calibri" w:hAnsi="Calibri"/>
      <w:szCs w:val="22"/>
    </w:rPr>
  </w:style>
  <w:style w:type="paragraph" w:styleId="15">
    <w:name w:val="index 4"/>
    <w:basedOn w:val="1"/>
    <w:next w:val="1"/>
    <w:qFormat/>
    <w:uiPriority w:val="99"/>
    <w:pPr>
      <w:widowControl w:val="0"/>
      <w:ind w:left="600" w:leftChars="600"/>
      <w:jc w:val="both"/>
    </w:pPr>
    <w:rPr>
      <w:rFonts w:ascii="Calibri" w:hAnsi="Calibri" w:eastAsia="宋体"/>
      <w:kern w:val="2"/>
      <w:sz w:val="21"/>
      <w:lang w:eastAsia="zh-CN"/>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link w:val="206"/>
    <w:unhideWhenUsed/>
    <w:qFormat/>
    <w:uiPriority w:val="0"/>
    <w:rPr>
      <w:rFonts w:ascii="宋体" w:hAnsi="Courier New" w:cs="Courier New"/>
      <w:szCs w:val="21"/>
    </w:rPr>
  </w:style>
  <w:style w:type="paragraph" w:styleId="19">
    <w:name w:val="toc 8"/>
    <w:basedOn w:val="1"/>
    <w:next w:val="1"/>
    <w:unhideWhenUsed/>
    <w:qFormat/>
    <w:uiPriority w:val="39"/>
    <w:pPr>
      <w:spacing w:after="57"/>
      <w:ind w:left="1984"/>
    </w:pPr>
  </w:style>
  <w:style w:type="paragraph" w:styleId="20">
    <w:name w:val="Date"/>
    <w:basedOn w:val="1"/>
    <w:next w:val="1"/>
    <w:link w:val="208"/>
    <w:qFormat/>
    <w:uiPriority w:val="0"/>
    <w:pPr>
      <w:ind w:left="100"/>
    </w:pPr>
  </w:style>
  <w:style w:type="paragraph" w:styleId="21">
    <w:name w:val="endnote text"/>
    <w:basedOn w:val="1"/>
    <w:link w:val="189"/>
    <w:semiHidden/>
    <w:unhideWhenUsed/>
    <w:qFormat/>
    <w:uiPriority w:val="99"/>
    <w:pPr>
      <w:spacing w:after="0" w:line="240" w:lineRule="auto"/>
    </w:pPr>
    <w:rPr>
      <w:sz w:val="20"/>
    </w:rPr>
  </w:style>
  <w:style w:type="paragraph" w:styleId="22">
    <w:name w:val="footer"/>
    <w:basedOn w:val="1"/>
    <w:link w:val="193"/>
    <w:qFormat/>
    <w:uiPriority w:val="0"/>
    <w:pPr>
      <w:tabs>
        <w:tab w:val="center" w:pos="4153"/>
        <w:tab w:val="right" w:pos="8306"/>
      </w:tabs>
      <w:jc w:val="left"/>
    </w:pPr>
    <w:rPr>
      <w:sz w:val="18"/>
      <w:szCs w:val="18"/>
    </w:rPr>
  </w:style>
  <w:style w:type="paragraph" w:styleId="23">
    <w:name w:val="header"/>
    <w:basedOn w:val="1"/>
    <w:link w:val="192"/>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5"/>
    <w:qFormat/>
    <w:uiPriority w:val="11"/>
    <w:pPr>
      <w:spacing w:before="200" w:after="200"/>
    </w:pPr>
    <w:rPr>
      <w:sz w:val="24"/>
      <w:szCs w:val="24"/>
    </w:rPr>
  </w:style>
  <w:style w:type="paragraph" w:styleId="27">
    <w:name w:val="footnote text"/>
    <w:basedOn w:val="1"/>
    <w:link w:val="188"/>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4"/>
    <w:qFormat/>
    <w:uiPriority w:val="10"/>
    <w:pPr>
      <w:spacing w:before="300" w:after="200"/>
      <w:contextualSpacing/>
    </w:pPr>
    <w:rPr>
      <w:sz w:val="48"/>
      <w:szCs w:val="48"/>
    </w:rPr>
  </w:style>
  <w:style w:type="paragraph" w:styleId="34">
    <w:name w:val="annotation subject"/>
    <w:basedOn w:val="13"/>
    <w:next w:val="13"/>
    <w:link w:val="203"/>
    <w:qFormat/>
    <w:uiPriority w:val="0"/>
    <w:rPr>
      <w:b/>
      <w:bCs/>
    </w:rPr>
  </w:style>
  <w:style w:type="paragraph" w:styleId="35">
    <w:name w:val="Body Text First Indent"/>
    <w:basedOn w:val="14"/>
    <w:link w:val="200"/>
    <w:qFormat/>
    <w:uiPriority w:val="0"/>
    <w:pPr>
      <w:ind w:firstLine="420"/>
    </w:pPr>
    <w:rPr>
      <w:rFonts w:asciiTheme="minorHAnsi" w:hAnsiTheme="minorHAnsi"/>
      <w:szCs w:val="24"/>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basedOn w:val="38"/>
    <w:qFormat/>
    <w:uiPriority w:val="22"/>
    <w:rPr>
      <w:b/>
      <w:bCs/>
    </w:rPr>
  </w:style>
  <w:style w:type="character" w:styleId="40">
    <w:name w:val="endnote reference"/>
    <w:basedOn w:val="38"/>
    <w:semiHidden/>
    <w:unhideWhenUsed/>
    <w:qFormat/>
    <w:uiPriority w:val="99"/>
    <w:rPr>
      <w:vertAlign w:val="superscript"/>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annotation reference"/>
    <w:basedOn w:val="38"/>
    <w:qFormat/>
    <w:uiPriority w:val="0"/>
    <w:rPr>
      <w:sz w:val="21"/>
      <w:szCs w:val="21"/>
    </w:rPr>
  </w:style>
  <w:style w:type="character" w:styleId="43">
    <w:name w:val="footnote reference"/>
    <w:basedOn w:val="38"/>
    <w:unhideWhenUsed/>
    <w:qFormat/>
    <w:uiPriority w:val="99"/>
    <w:rPr>
      <w:vertAlign w:val="superscript"/>
    </w:rPr>
  </w:style>
  <w:style w:type="character" w:customStyle="1" w:styleId="44">
    <w:name w:val="Heading 1 Char"/>
    <w:basedOn w:val="38"/>
    <w:qFormat/>
    <w:uiPriority w:val="9"/>
    <w:rPr>
      <w:rFonts w:ascii="Arial" w:hAnsi="Arial" w:eastAsia="Arial" w:cs="Arial"/>
      <w:sz w:val="40"/>
      <w:szCs w:val="40"/>
    </w:rPr>
  </w:style>
  <w:style w:type="character" w:customStyle="1" w:styleId="45">
    <w:name w:val="Heading 2 Char"/>
    <w:basedOn w:val="38"/>
    <w:qFormat/>
    <w:uiPriority w:val="9"/>
    <w:rPr>
      <w:rFonts w:ascii="Arial" w:hAnsi="Arial" w:eastAsia="Arial" w:cs="Arial"/>
      <w:sz w:val="34"/>
    </w:rPr>
  </w:style>
  <w:style w:type="character" w:customStyle="1" w:styleId="46">
    <w:name w:val="Heading 3 Char"/>
    <w:basedOn w:val="38"/>
    <w:link w:val="4"/>
    <w:qFormat/>
    <w:uiPriority w:val="9"/>
    <w:rPr>
      <w:rFonts w:ascii="Arial" w:hAnsi="Arial" w:eastAsia="Arial" w:cs="Arial"/>
      <w:sz w:val="30"/>
      <w:szCs w:val="30"/>
    </w:rPr>
  </w:style>
  <w:style w:type="character" w:customStyle="1" w:styleId="47">
    <w:name w:val="Heading 4 Char"/>
    <w:basedOn w:val="38"/>
    <w:qFormat/>
    <w:uiPriority w:val="9"/>
    <w:rPr>
      <w:rFonts w:ascii="Arial" w:hAnsi="Arial" w:eastAsia="Arial" w:cs="Arial"/>
      <w:b/>
      <w:bCs/>
      <w:sz w:val="26"/>
      <w:szCs w:val="26"/>
    </w:rPr>
  </w:style>
  <w:style w:type="character" w:customStyle="1" w:styleId="48">
    <w:name w:val="Heading 5 Char"/>
    <w:basedOn w:val="38"/>
    <w:link w:val="6"/>
    <w:qFormat/>
    <w:uiPriority w:val="9"/>
    <w:rPr>
      <w:rFonts w:ascii="Arial" w:hAnsi="Arial" w:eastAsia="Arial" w:cs="Arial"/>
      <w:b/>
      <w:bCs/>
      <w:sz w:val="24"/>
      <w:szCs w:val="24"/>
    </w:rPr>
  </w:style>
  <w:style w:type="character" w:customStyle="1" w:styleId="49">
    <w:name w:val="Heading 6 Char"/>
    <w:basedOn w:val="38"/>
    <w:link w:val="7"/>
    <w:qFormat/>
    <w:uiPriority w:val="9"/>
    <w:rPr>
      <w:rFonts w:ascii="Arial" w:hAnsi="Arial" w:eastAsia="Arial" w:cs="Arial"/>
      <w:b/>
      <w:bCs/>
      <w:sz w:val="22"/>
      <w:szCs w:val="22"/>
    </w:rPr>
  </w:style>
  <w:style w:type="character" w:customStyle="1" w:styleId="50">
    <w:name w:val="Heading 7 Char"/>
    <w:basedOn w:val="38"/>
    <w:link w:val="8"/>
    <w:qFormat/>
    <w:uiPriority w:val="9"/>
    <w:rPr>
      <w:rFonts w:ascii="Arial" w:hAnsi="Arial" w:eastAsia="Arial" w:cs="Arial"/>
      <w:b/>
      <w:bCs/>
      <w:i/>
      <w:iCs/>
      <w:sz w:val="22"/>
      <w:szCs w:val="22"/>
    </w:rPr>
  </w:style>
  <w:style w:type="character" w:customStyle="1" w:styleId="51">
    <w:name w:val="Heading 8 Char"/>
    <w:basedOn w:val="38"/>
    <w:link w:val="9"/>
    <w:qFormat/>
    <w:uiPriority w:val="9"/>
    <w:rPr>
      <w:rFonts w:ascii="Arial" w:hAnsi="Arial" w:eastAsia="Arial" w:cs="Arial"/>
      <w:i/>
      <w:iCs/>
      <w:sz w:val="22"/>
      <w:szCs w:val="22"/>
    </w:rPr>
  </w:style>
  <w:style w:type="character" w:customStyle="1" w:styleId="52">
    <w:name w:val="Heading 9 Char"/>
    <w:basedOn w:val="38"/>
    <w:link w:val="10"/>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8"/>
    <w:link w:val="33"/>
    <w:qFormat/>
    <w:uiPriority w:val="10"/>
    <w:rPr>
      <w:sz w:val="48"/>
      <w:szCs w:val="48"/>
    </w:rPr>
  </w:style>
  <w:style w:type="character" w:customStyle="1" w:styleId="55">
    <w:name w:val="Subtitle Char"/>
    <w:basedOn w:val="38"/>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8"/>
    <w:qFormat/>
    <w:uiPriority w:val="99"/>
  </w:style>
  <w:style w:type="character" w:customStyle="1" w:styleId="61">
    <w:name w:val="Footer Char"/>
    <w:basedOn w:val="38"/>
    <w:qFormat/>
    <w:uiPriority w:val="99"/>
  </w:style>
  <w:style w:type="character" w:customStyle="1" w:styleId="62">
    <w:name w:val="Caption Char"/>
    <w:qFormat/>
    <w:uiPriority w:val="99"/>
  </w:style>
  <w:style w:type="table" w:customStyle="1" w:styleId="63">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1">
    <w:name w:val="Grid Table 1 Light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2">
    <w:name w:val="Grid Table 1 Light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3">
    <w:name w:val="Grid Table 1 Light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4">
    <w:name w:val="Grid Table 1 Light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5">
    <w:name w:val="Grid Table 1 Light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6">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8">
    <w:name w:val="Grid Table 2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9">
    <w:name w:val="Grid Table 2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0">
    <w:name w:val="Grid Table 2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1">
    <w:name w:val="Grid Table 2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2">
    <w:name w:val="Grid Table 2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3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3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3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3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3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2">
    <w:name w:val="Grid Table 4 - Accent 2"/>
    <w:basedOn w:val="3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4 - Accent 3"/>
    <w:basedOn w:val="3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4 - Accent 4"/>
    <w:basedOn w:val="3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4 - Accent 5"/>
    <w:basedOn w:val="3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4 - Accent 6"/>
    <w:basedOn w:val="3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9">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0">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1">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2">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3">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4">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6"/>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0">
    <w:name w:val="Grid Table 6 Colorful - Accent 6"/>
    <w:basedOn w:val="3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1">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7 Colorful - Accent 6"/>
    <w:basedOn w:val="3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8">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6"/>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0">
    <w:name w:val="List Table 1 Light - Accent 2"/>
    <w:basedOn w:val="3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1">
    <w:name w:val="List Table 1 Light - Accent 3"/>
    <w:basedOn w:val="3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2">
    <w:name w:val="List Table 1 Light - Accent 4"/>
    <w:basedOn w:val="3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3">
    <w:name w:val="List Table 1 Light - Accent 5"/>
    <w:basedOn w:val="36"/>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4">
    <w:name w:val="List Table 1 Light - Accent 6"/>
    <w:basedOn w:val="3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5">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6"/>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7">
    <w:name w:val="List Table 2 - Accent 2"/>
    <w:basedOn w:val="3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8">
    <w:name w:val="List Table 2 - Accent 3"/>
    <w:basedOn w:val="3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9">
    <w:name w:val="List Table 2 - Accent 4"/>
    <w:basedOn w:val="3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0">
    <w:name w:val="List Table 2 - Accent 5"/>
    <w:basedOn w:val="36"/>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1">
    <w:name w:val="List Table 2 - Accent 6"/>
    <w:basedOn w:val="3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2">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6"/>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4">
    <w:name w:val="List Table 3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5">
    <w:name w:val="List Table 3 - Accent 3"/>
    <w:basedOn w:val="3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6">
    <w:name w:val="List Table 3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7">
    <w:name w:val="List Table 3 - Accent 5"/>
    <w:basedOn w:val="3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8">
    <w:name w:val="List Table 3 - Accent 6"/>
    <w:basedOn w:val="3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9">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6"/>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1">
    <w:name w:val="List Table 4 - Accent 2"/>
    <w:basedOn w:val="3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2">
    <w:name w:val="List Table 4 - Accent 3"/>
    <w:basedOn w:val="3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3">
    <w:name w:val="List Table 4 - Accent 4"/>
    <w:basedOn w:val="3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4">
    <w:name w:val="List Table 4 - Accent 5"/>
    <w:basedOn w:val="36"/>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5">
    <w:name w:val="List Table 4 - Accent 6"/>
    <w:basedOn w:val="3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6">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8">
    <w:name w:val="List Table 5 Dark - Accent 2"/>
    <w:basedOn w:val="3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9">
    <w:name w:val="List Table 5 Dark - Accent 3"/>
    <w:basedOn w:val="3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0">
    <w:name w:val="List Table 5 Dark - Accent 4"/>
    <w:basedOn w:val="3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1">
    <w:name w:val="List Table 5 Dark - Accent 5"/>
    <w:basedOn w:val="3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2">
    <w:name w:val="List Table 5 Dark - Accent 6"/>
    <w:basedOn w:val="3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3">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6"/>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5">
    <w:name w:val="List Table 6 Colorful - Accent 2"/>
    <w:basedOn w:val="3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6"/>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6"/>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7 Colorful - Accent 2"/>
    <w:basedOn w:val="3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6"/>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6"/>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9">
    <w:name w:val="Lined - Accent 2"/>
    <w:basedOn w:val="3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0">
    <w:name w:val="Lined - Accent 3"/>
    <w:basedOn w:val="3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1">
    <w:name w:val="Lined - Accent 4"/>
    <w:basedOn w:val="3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2">
    <w:name w:val="Lined - Accent 5"/>
    <w:basedOn w:val="36"/>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3">
    <w:name w:val="Lined - Accent 6"/>
    <w:basedOn w:val="3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4">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6"/>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Bordered &amp; Lined - Accent 2"/>
    <w:basedOn w:val="3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Bordered &amp; Lined - Accent 3"/>
    <w:basedOn w:val="3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Bordered &amp; Lined - Accent 4"/>
    <w:basedOn w:val="3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Bordered &amp; Lined - Accent 5"/>
    <w:basedOn w:val="36"/>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Bordered &amp; Lined - Accent 6"/>
    <w:basedOn w:val="3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3">
    <w:name w:val="Bordered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4">
    <w:name w:val="Bordered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5">
    <w:name w:val="Bordered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6">
    <w:name w:val="Bordered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7">
    <w:name w:val="Bordered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8">
    <w:name w:val="Footnote Text Char"/>
    <w:link w:val="27"/>
    <w:qFormat/>
    <w:uiPriority w:val="99"/>
    <w:rPr>
      <w:sz w:val="18"/>
    </w:rPr>
  </w:style>
  <w:style w:type="character" w:customStyle="1" w:styleId="189">
    <w:name w:val="Endnote Text Char"/>
    <w:link w:val="21"/>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Default"/>
    <w:basedOn w:val="1"/>
    <w:semiHidden/>
    <w:qFormat/>
    <w:uiPriority w:val="0"/>
    <w:pPr>
      <w:jc w:val="left"/>
    </w:pPr>
    <w:rPr>
      <w:rFonts w:ascii="宋体" w:hAnsi="Calibri" w:cs="宋体"/>
      <w:color w:val="000000"/>
      <w:sz w:val="24"/>
    </w:rPr>
  </w:style>
  <w:style w:type="character" w:customStyle="1" w:styleId="192">
    <w:name w:val="页眉 字符"/>
    <w:basedOn w:val="38"/>
    <w:link w:val="23"/>
    <w:qFormat/>
    <w:uiPriority w:val="0"/>
    <w:rPr>
      <w:rFonts w:asciiTheme="minorHAnsi" w:hAnsiTheme="minorHAnsi" w:eastAsiaTheme="minorEastAsia" w:cstheme="minorBidi"/>
      <w:sz w:val="18"/>
      <w:szCs w:val="18"/>
    </w:rPr>
  </w:style>
  <w:style w:type="character" w:customStyle="1" w:styleId="193">
    <w:name w:val="页脚 字符"/>
    <w:basedOn w:val="38"/>
    <w:link w:val="22"/>
    <w:qFormat/>
    <w:uiPriority w:val="0"/>
    <w:rPr>
      <w:rFonts w:asciiTheme="minorHAnsi" w:hAnsiTheme="minorHAnsi" w:eastAsiaTheme="minorEastAsia" w:cstheme="minorBidi"/>
      <w:sz w:val="18"/>
      <w:szCs w:val="18"/>
    </w:rPr>
  </w:style>
  <w:style w:type="paragraph" w:customStyle="1" w:styleId="194">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195">
    <w:name w:val="页脚1"/>
    <w:basedOn w:val="1"/>
    <w:unhideWhenUsed/>
    <w:qFormat/>
    <w:uiPriority w:val="99"/>
    <w:pPr>
      <w:tabs>
        <w:tab w:val="center" w:pos="4153"/>
        <w:tab w:val="right" w:pos="8306"/>
      </w:tabs>
      <w:jc w:val="left"/>
    </w:pPr>
    <w:rPr>
      <w:sz w:val="18"/>
      <w:szCs w:val="18"/>
    </w:rPr>
  </w:style>
  <w:style w:type="paragraph" w:customStyle="1" w:styleId="196">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197">
    <w:name w:val="正文首行缩进 21"/>
    <w:basedOn w:val="198"/>
    <w:qFormat/>
    <w:uiPriority w:val="0"/>
    <w:pPr>
      <w:ind w:firstLine="420"/>
    </w:pPr>
  </w:style>
  <w:style w:type="paragraph" w:customStyle="1" w:styleId="198">
    <w:name w:val="正文文本缩进1"/>
    <w:basedOn w:val="1"/>
    <w:qFormat/>
    <w:uiPriority w:val="0"/>
    <w:pPr>
      <w:spacing w:after="120"/>
      <w:ind w:left="420"/>
    </w:pPr>
  </w:style>
  <w:style w:type="character" w:customStyle="1" w:styleId="199">
    <w:name w:val="正文文本 字符"/>
    <w:basedOn w:val="38"/>
    <w:link w:val="14"/>
    <w:qFormat/>
    <w:uiPriority w:val="0"/>
    <w:rPr>
      <w:rFonts w:ascii="Calibri" w:hAnsi="Calibri" w:eastAsiaTheme="minorEastAsia" w:cstheme="minorBidi"/>
      <w:sz w:val="21"/>
      <w:szCs w:val="22"/>
    </w:rPr>
  </w:style>
  <w:style w:type="character" w:customStyle="1" w:styleId="200">
    <w:name w:val="正文文本首行缩进 字符"/>
    <w:basedOn w:val="199"/>
    <w:link w:val="35"/>
    <w:qFormat/>
    <w:uiPriority w:val="0"/>
    <w:rPr>
      <w:rFonts w:asciiTheme="minorHAnsi" w:hAnsiTheme="minorHAnsi" w:eastAsiaTheme="minorEastAsia" w:cstheme="minorBidi"/>
      <w:sz w:val="21"/>
      <w:szCs w:val="24"/>
    </w:rPr>
  </w:style>
  <w:style w:type="paragraph" w:styleId="201">
    <w:name w:val="List Paragraph"/>
    <w:basedOn w:val="1"/>
    <w:unhideWhenUsed/>
    <w:qFormat/>
    <w:uiPriority w:val="99"/>
    <w:pPr>
      <w:ind w:firstLine="420"/>
    </w:pPr>
  </w:style>
  <w:style w:type="character" w:customStyle="1" w:styleId="202">
    <w:name w:val="批注文字 字符"/>
    <w:basedOn w:val="38"/>
    <w:link w:val="13"/>
    <w:qFormat/>
    <w:uiPriority w:val="0"/>
    <w:rPr>
      <w:rFonts w:asciiTheme="minorHAnsi" w:hAnsiTheme="minorHAnsi" w:eastAsiaTheme="minorEastAsia" w:cstheme="minorBidi"/>
      <w:sz w:val="21"/>
      <w:szCs w:val="24"/>
    </w:rPr>
  </w:style>
  <w:style w:type="character" w:customStyle="1" w:styleId="203">
    <w:name w:val="批注主题 字符"/>
    <w:basedOn w:val="202"/>
    <w:link w:val="34"/>
    <w:qFormat/>
    <w:uiPriority w:val="0"/>
    <w:rPr>
      <w:rFonts w:asciiTheme="minorHAnsi" w:hAnsiTheme="minorHAnsi" w:eastAsiaTheme="minorEastAsia" w:cstheme="minorBidi"/>
      <w:b/>
      <w:bCs/>
      <w:sz w:val="21"/>
      <w:szCs w:val="24"/>
    </w:rPr>
  </w:style>
  <w:style w:type="paragraph" w:customStyle="1" w:styleId="204">
    <w:name w:val="paragraph"/>
    <w:basedOn w:val="1"/>
    <w:semiHidden/>
    <w:qFormat/>
    <w:uiPriority w:val="0"/>
    <w:pPr>
      <w:widowControl/>
      <w:spacing w:before="100" w:beforeAutospacing="1" w:after="100" w:afterAutospacing="1"/>
      <w:jc w:val="left"/>
    </w:pPr>
    <w:rPr>
      <w:rFonts w:ascii="等线" w:hAnsi="等线" w:eastAsia="等线" w:cs="Times New Roman"/>
      <w:sz w:val="24"/>
    </w:rPr>
  </w:style>
  <w:style w:type="character" w:customStyle="1" w:styleId="205">
    <w:name w:val="标题 1 字符"/>
    <w:basedOn w:val="38"/>
    <w:link w:val="2"/>
    <w:qFormat/>
    <w:uiPriority w:val="0"/>
    <w:rPr>
      <w:rFonts w:asciiTheme="minorHAnsi" w:hAnsiTheme="minorHAnsi" w:eastAsiaTheme="minorEastAsia" w:cstheme="minorBidi"/>
      <w:b/>
      <w:bCs/>
      <w:sz w:val="44"/>
      <w:szCs w:val="44"/>
    </w:rPr>
  </w:style>
  <w:style w:type="character" w:customStyle="1" w:styleId="206">
    <w:name w:val="纯文本 字符"/>
    <w:basedOn w:val="38"/>
    <w:link w:val="18"/>
    <w:qFormat/>
    <w:uiPriority w:val="0"/>
    <w:rPr>
      <w:rFonts w:ascii="宋体" w:hAnsi="Courier New" w:cs="Courier New" w:eastAsiaTheme="minorEastAsia"/>
      <w:sz w:val="21"/>
      <w:szCs w:val="21"/>
    </w:rPr>
  </w:style>
  <w:style w:type="character" w:customStyle="1" w:styleId="207">
    <w:name w:val="标题 4 字符"/>
    <w:basedOn w:val="38"/>
    <w:link w:val="5"/>
    <w:qFormat/>
    <w:uiPriority w:val="0"/>
    <w:rPr>
      <w:rFonts w:asciiTheme="majorHAnsi" w:hAnsiTheme="majorHAnsi" w:eastAsiaTheme="majorEastAsia" w:cstheme="majorBidi"/>
      <w:b/>
      <w:bCs/>
      <w:sz w:val="28"/>
      <w:szCs w:val="28"/>
    </w:rPr>
  </w:style>
  <w:style w:type="character" w:customStyle="1" w:styleId="208">
    <w:name w:val="日期 字符"/>
    <w:basedOn w:val="38"/>
    <w:link w:val="20"/>
    <w:qFormat/>
    <w:uiPriority w:val="0"/>
    <w:rPr>
      <w:rFonts w:asciiTheme="minorHAnsi" w:hAnsiTheme="minorHAnsi" w:eastAsiaTheme="minorEastAsia" w:cstheme="minorBidi"/>
      <w:sz w:val="21"/>
      <w:szCs w:val="24"/>
    </w:rPr>
  </w:style>
  <w:style w:type="character" w:customStyle="1" w:styleId="209">
    <w:name w:val="标题 2 Char"/>
    <w:link w:val="3"/>
    <w:qFormat/>
    <w:uiPriority w:val="0"/>
    <w:rPr>
      <w:rFonts w:ascii="宋体" w:hAnsi="宋体" w:eastAsia="宋体" w:cs="宋体"/>
      <w:b/>
      <w:bCs/>
      <w:color w:val="333333"/>
      <w:sz w:val="24"/>
      <w:shd w:val="clear" w:color="auto" w:fill="FFFFFF"/>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88</Pages>
  <TotalTime>40</TotalTime>
  <ScaleCrop>false</ScaleCrop>
  <LinksUpToDate>false</LinksUpToDate>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Z</cp:lastModifiedBy>
  <dcterms:modified xsi:type="dcterms:W3CDTF">2026-11-03T06:47:07Z</dcterms:modified>
  <cp:revision>290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5EA6FEA8CE784BD0AAFFFB6BDD86D898_13</vt:lpwstr>
  </property>
  <property fmtid="{D5CDD505-2E9C-101B-9397-08002B2CF9AE}" pid="4" name="KSOTemplateDocerSaveRecord">
    <vt:lpwstr>eyJoZGlkIjoiZTM5NjQ4MDViNzI1OGY2YzE4MzhiZmY5ZTY1YTkxNGYiLCJ1c2VySWQiOiIxNjcxMTcxMDA3In0=</vt:lpwstr>
  </property>
</Properties>
</file>