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10.23 定稿</w:t>
      </w:r>
      <w:r>
        <w:rPr>
          <w:rFonts w:hint="eastAsia" w:ascii="黑体" w:hAnsi="黑体" w:eastAsia="黑体" w:cs="黑体"/>
          <w:b w:val="0"/>
          <w:bCs w:val="0"/>
          <w:sz w:val="32"/>
          <w:szCs w:val="32"/>
          <w:highlight w:val="yellow"/>
          <w:lang w:eastAsia="zh-CN"/>
        </w:rPr>
        <w:t xml:space="preserve">】</w:t>
      </w:r>
      <w:r/>
    </w:p>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rPr>
          <w:rFonts w:hint="eastAsia" w:ascii="方正小标宋_GBK" w:hAnsi="方正小标宋_GBK" w:eastAsia="方正小标宋_GBK" w:cs="方正小标宋_GBK"/>
          <w:bCs/>
          <w:color w:val="000000"/>
          <w:spacing w:val="20"/>
          <w:sz w:val="72"/>
          <w:szCs w:val="72"/>
        </w:rPr>
      </w:pPr>
      <w:r>
        <w:rPr>
          <w:rFonts w:hint="eastAsia" w:ascii="方正小标宋_GBK" w:hAnsi="方正小标宋_GBK" w:eastAsia="方正小标宋_GBK" w:cs="方正小标宋_GBK"/>
          <w:bCs/>
          <w:color w:val="000000"/>
          <w:spacing w:val="20"/>
          <w:sz w:val="72"/>
          <w:szCs w:val="72"/>
        </w:rPr>
        <w:t xml:space="preserve">单一来源采购文件</w:t>
      </w:r>
      <w:r/>
    </w:p>
    <w:p>
      <w:pPr>
        <w:jc w:val="left"/>
        <w:spacing w:before="120" w:after="120" w:line="360" w:lineRule="auto"/>
        <w:rPr>
          <w:rFonts w:hint="eastAsia" w:ascii="Arial" w:hAnsi="Arial"/>
          <w:b/>
          <w:bCs/>
          <w:sz w:val="32"/>
          <w:szCs w:val="24"/>
        </w:rPr>
      </w:pPr>
      <w:r>
        <w:rPr>
          <w:rFonts w:hint="eastAsia" w:ascii="Arial" w:hAnsi="Arial"/>
          <w:b/>
          <w:bCs/>
          <w:sz w:val="32"/>
          <w:szCs w:val="24"/>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7" w:hanging="1807"/>
        <w:jc w:val="left"/>
        <w:keepLines w:val="0"/>
        <w:keepNext w:val="0"/>
        <w:pageBreakBefore w:val="0"/>
        <w:spacing w:after="240"/>
        <w:widowControl w:val="off"/>
        <w:rPr>
          <w:rFonts w:hint="default" w:ascii="楷体" w:hAnsi="楷体" w:eastAsia="楷体"/>
          <w:b/>
          <w:bCs/>
          <w:color w:val="auto"/>
          <w:sz w:val="36"/>
          <w:u w:val="single"/>
          <w:lang w:val="en-US" w:eastAsia="zh-CN"/>
        </w:rPr>
      </w:pPr>
      <w:r>
        <w:rPr>
          <w:rFonts w:hint="eastAsia" w:ascii="楷体" w:hAnsi="楷体" w:eastAsia="楷体"/>
          <w:b/>
          <w:bCs/>
          <w:color w:val="auto"/>
          <w:sz w:val="36"/>
        </w:rPr>
        <w:t xml:space="preserve">项目名称：</w:t>
      </w:r>
      <w:r>
        <w:rPr>
          <w:rFonts w:hint="eastAsia" w:ascii="楷体" w:hAnsi="楷体" w:eastAsia="楷体"/>
          <w:b/>
          <w:bCs/>
          <w:color w:val="auto"/>
          <w:sz w:val="36"/>
          <w:u w:val="single"/>
          <w:lang w:val="en-US" w:eastAsia="zh-CN"/>
        </w:rPr>
        <w:t xml:space="preserve"> </w:t>
      </w:r>
      <w:r>
        <w:rPr>
          <w:rFonts w:hint="eastAsia" w:ascii="楷体" w:hAnsi="楷体" w:eastAsia="楷体"/>
          <w:b/>
          <w:bCs/>
          <w:color w:val="000000"/>
          <w:sz w:val="36"/>
          <w:u w:val="single"/>
          <w:lang w:val="en-US" w:eastAsia="zh-CN"/>
        </w:rPr>
        <w:t xml:space="preserve">兴化市人民医院</w:t>
      </w:r>
      <w:r>
        <w:rPr>
          <w:rFonts w:hint="eastAsia" w:ascii="楷体" w:hAnsi="楷体" w:eastAsia="楷体"/>
          <w:b/>
          <w:bCs/>
          <w:color w:val="000000"/>
          <w:sz w:val="36"/>
          <w:u w:val="single"/>
          <w:lang w:eastAsia="zh-CN"/>
        </w:rPr>
        <w:t xml:space="preserve">颅脑CTP AI软件服务</w:t>
      </w:r>
      <w:r>
        <w:rPr>
          <w:rFonts w:hint="eastAsia" w:ascii="楷体" w:hAnsi="楷体" w:eastAsia="楷体"/>
          <w:b/>
          <w:bCs/>
          <w:color w:val="auto"/>
          <w:sz w:val="36"/>
          <w:u w:val="single"/>
          <w:lang w:val="en-US" w:eastAsia="zh-CN"/>
        </w:rPr>
        <w:t xml:space="preserve"> </w:t>
      </w:r>
      <w:r/>
    </w:p>
    <w:p>
      <w:pPr>
        <w:ind w:left="420"/>
        <w:jc w:val="left"/>
        <w:keepLines w:val="0"/>
        <w:keepNext w:val="0"/>
        <w:pageBreakBefore w:val="0"/>
        <w:spacing w:after="240"/>
        <w:widowControl w:val="off"/>
        <w:rPr>
          <w:rFonts w:hint="default" w:ascii="楷体" w:hAnsi="楷体" w:eastAsia="楷体"/>
          <w:b/>
          <w:bCs/>
          <w:color w:val="auto"/>
          <w:sz w:val="36"/>
          <w:lang w:val="en-US" w:eastAsia="zh-CN"/>
        </w:rPr>
      </w:pPr>
      <w:r>
        <w:rPr>
          <w:rFonts w:hint="eastAsia" w:ascii="楷体" w:hAnsi="楷体" w:eastAsia="楷体"/>
          <w:b/>
          <w:bCs/>
          <w:color w:val="auto"/>
          <w:sz w:val="36"/>
        </w:rPr>
        <w:t xml:space="preserve">项目编号：</w:t>
      </w:r>
      <w:r>
        <w:rPr>
          <w:rFonts w:hint="eastAsia" w:ascii="楷体" w:hAnsi="楷体" w:eastAsia="楷体"/>
          <w:b/>
          <w:bCs/>
          <w:color w:val="auto"/>
          <w:sz w:val="36"/>
          <w:u w:val="single"/>
          <w:lang w:val="en-US" w:eastAsia="zh-CN"/>
        </w:rPr>
        <w:t xml:space="preserve">    JSZC-321281-JZCG-D2026-0018</w:t>
      </w:r>
      <w:r>
        <w:rPr>
          <w:rFonts w:hint="eastAsia" w:ascii="楷体" w:hAnsi="楷体" w:eastAsia="楷体"/>
          <w:b/>
          <w:bCs/>
          <w:color w:val="auto"/>
          <w:sz w:val="36"/>
          <w:highlight w:val="none"/>
          <w:u w:val="single"/>
        </w:rPr>
        <w:t xml:space="preserve"> </w:t>
      </w:r>
      <w:r>
        <w:rPr>
          <w:rFonts w:hint="eastAsia" w:ascii="楷体" w:hAnsi="楷体" w:eastAsia="楷体"/>
          <w:b/>
          <w:bCs/>
          <w:color w:val="auto"/>
          <w:sz w:val="36"/>
          <w:highlight w:val="none"/>
          <w:u w:val="single"/>
          <w:lang w:val="en-US" w:eastAsia="zh-CN"/>
        </w:rPr>
        <w:t xml:space="preserve">   </w:t>
      </w:r>
      <w:r/>
    </w:p>
    <w:p>
      <w:pPr>
        <w:ind w:left="420"/>
        <w:jc w:val="left"/>
        <w:keepLines w:val="0"/>
        <w:keepNext w:val="0"/>
        <w:pageBreakBefore w:val="0"/>
        <w:widowControl w:val="off"/>
        <w:rPr>
          <w:rFonts w:ascii="楷体" w:hAnsi="楷体" w:eastAsia="楷体"/>
          <w:b/>
          <w:bCs/>
          <w:color w:val="auto"/>
          <w:sz w:val="36"/>
        </w:rPr>
      </w:pPr>
      <w:r>
        <w:rPr>
          <w:rFonts w:hint="eastAsia" w:ascii="楷体" w:hAnsi="楷体" w:eastAsia="楷体"/>
          <w:b/>
          <w:bCs/>
          <w:color w:val="auto"/>
          <w:sz w:val="36"/>
        </w:rPr>
        <w:t xml:space="preserve">采</w:t>
      </w:r>
      <w:r>
        <w:rPr>
          <w:rFonts w:ascii="楷体" w:hAnsi="楷体" w:eastAsia="楷体"/>
          <w:b/>
          <w:bCs/>
          <w:color w:val="auto"/>
          <w:sz w:val="36"/>
        </w:rPr>
        <w:t xml:space="preserve"> </w:t>
      </w:r>
      <w:r>
        <w:rPr>
          <w:rFonts w:hint="eastAsia" w:ascii="楷体" w:hAnsi="楷体" w:eastAsia="楷体"/>
          <w:b/>
          <w:bCs/>
          <w:color w:val="auto"/>
          <w:sz w:val="36"/>
        </w:rPr>
        <w:t xml:space="preserve">购</w:t>
      </w:r>
      <w:r>
        <w:rPr>
          <w:rFonts w:ascii="楷体" w:hAnsi="楷体" w:eastAsia="楷体"/>
          <w:b/>
          <w:bCs/>
          <w:color w:val="auto"/>
          <w:sz w:val="36"/>
        </w:rPr>
        <w:t xml:space="preserve"> </w:t>
      </w:r>
      <w:r>
        <w:rPr>
          <w:rFonts w:hint="eastAsia" w:ascii="楷体" w:hAnsi="楷体" w:eastAsia="楷体"/>
          <w:b/>
          <w:bCs/>
          <w:color w:val="auto"/>
          <w:sz w:val="36"/>
        </w:rPr>
        <w:t xml:space="preserve">人：</w:t>
      </w:r>
      <w:r>
        <w:rPr>
          <w:rFonts w:hint="eastAsia" w:ascii="楷体" w:hAnsi="楷体" w:eastAsia="楷体"/>
          <w:b/>
          <w:bCs/>
          <w:color w:val="auto"/>
          <w:sz w:val="36"/>
          <w:u w:val="single"/>
        </w:rPr>
        <w:t xml:space="preserve"> </w:t>
      </w:r>
      <w:r>
        <w:rPr>
          <w:rFonts w:hint="eastAsia" w:ascii="楷体" w:hAnsi="楷体" w:eastAsia="楷体"/>
          <w:b/>
          <w:bCs/>
          <w:color w:val="auto"/>
          <w:sz w:val="36"/>
          <w:u w:val="single"/>
          <w:lang w:val="en-US" w:eastAsia="zh-CN"/>
        </w:rPr>
        <w:t xml:space="preserve">         </w:t>
      </w:r>
      <w:r>
        <w:rPr>
          <w:rFonts w:hint="eastAsia" w:ascii="楷体" w:hAnsi="楷体" w:eastAsia="楷体"/>
          <w:b/>
          <w:bCs/>
          <w:color w:val="000000"/>
          <w:sz w:val="36"/>
          <w:u w:val="single"/>
        </w:rPr>
        <w:t xml:space="preserve">兴化市</w:t>
      </w:r>
      <w:r>
        <w:rPr>
          <w:rFonts w:hint="eastAsia" w:ascii="楷体" w:hAnsi="楷体" w:eastAsia="楷体"/>
          <w:b/>
          <w:bCs/>
          <w:color w:val="000000"/>
          <w:sz w:val="36"/>
          <w:u w:val="single"/>
          <w:lang w:eastAsia="zh-CN"/>
        </w:rPr>
        <w:t xml:space="preserve">人民医院</w:t>
      </w:r>
      <w:r>
        <w:rPr>
          <w:rFonts w:hint="eastAsia" w:ascii="楷体" w:hAnsi="楷体" w:eastAsia="楷体"/>
          <w:b/>
          <w:bCs/>
          <w:color w:val="auto"/>
          <w:sz w:val="36"/>
          <w:u w:val="single"/>
          <w:lang w:val="en-US" w:eastAsia="zh-CN"/>
        </w:rPr>
        <w:t xml:space="preserve">         </w:t>
      </w:r>
      <w:r>
        <w:rPr>
          <w:rFonts w:hint="eastAsia" w:ascii="楷体" w:hAnsi="楷体" w:eastAsia="楷体"/>
          <w:b/>
          <w:bCs/>
          <w:color w:val="auto"/>
          <w:sz w:val="36"/>
          <w:u w:val="single"/>
        </w:rPr>
        <w:t xml:space="preserve">  </w:t>
      </w:r>
      <w:r/>
    </w:p>
    <w:p>
      <w:pPr>
        <w:ind w:firstLine="2530"/>
        <w:spacing w:after="240"/>
        <w:rPr>
          <w:rFonts w:hint="eastAsia" w:ascii="楷体" w:hAnsi="楷体" w:eastAsia="楷体"/>
          <w:b/>
          <w:bCs/>
          <w:color w:val="auto"/>
          <w:sz w:val="36"/>
          <w:lang w:val="en-US" w:eastAsia="zh-CN"/>
        </w:rPr>
      </w:pPr>
      <w:r>
        <w:rPr>
          <w:rFonts w:hint="eastAsia" w:ascii="楷体" w:hAnsi="楷体" w:eastAsia="楷体"/>
          <w:b/>
          <w:bCs/>
          <w:color w:val="auto"/>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1024"/>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1024"/>
        <w:ind w:left="0"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before="120" w:after="120" w:line="360" w:lineRule="auto"/>
        <w:rPr>
          <w:rFonts w:hint="eastAsia" w:ascii="Arial" w:hAnsi="Arial"/>
          <w:sz w:val="24"/>
          <w:szCs w:val="24"/>
          <w:u w:val="single"/>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10</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r/>
    </w:p>
    <w:p>
      <w:pPr>
        <w:jc w:val="center"/>
        <w:spacing w:line="480" w:lineRule="auto"/>
        <w:rPr>
          <w:rFonts w:hint="eastAsia" w:ascii="黑体" w:hAnsi="Arial" w:eastAsia="黑体"/>
          <w:b/>
          <w:sz w:val="44"/>
          <w:szCs w:val="21"/>
        </w:rPr>
        <w:sectPr>
          <w:footnotePr/>
          <w:endnotePr/>
          <w:type w:val="nextPage"/>
          <w:pgSz w:w="11906" w:h="16838" w:orient="portrait"/>
          <w:pgMar w:top="1440" w:right="1474" w:bottom="1440" w:left="1474" w:header="851" w:footer="992" w:gutter="0"/>
          <w:pgNumType w:start="1"/>
          <w:cols w:num="1" w:sep="0" w:space="0" w:equalWidth="1"/>
          <w:docGrid w:linePitch="360"/>
        </w:sectPr>
        <w:outlineLvl w:val="0"/>
      </w:pPr>
      <w:r>
        <w:rPr>
          <w:rFonts w:hint="eastAsia" w:ascii="黑体" w:hAnsi="Arial" w:eastAsia="黑体"/>
          <w:b/>
          <w:sz w:val="44"/>
          <w:szCs w:val="21"/>
        </w:rPr>
      </w:r>
      <w:r/>
    </w:p>
    <w:p>
      <w:pPr>
        <w:jc w:val="center"/>
        <w:rPr>
          <w:rFonts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t xml:space="preserve">兴化市</w:t>
      </w:r>
      <w:r>
        <w:rPr>
          <w:rFonts w:ascii="方正小标宋简体" w:hAnsi="方正小标宋_GBK" w:eastAsia="方正小标宋简体" w:cs="Times New Roman"/>
          <w:sz w:val="36"/>
          <w:szCs w:val="36"/>
        </w:rPr>
        <w:t xml:space="preserve">政府采购</w:t>
      </w:r>
      <w:r>
        <w:rPr>
          <w:rFonts w:hint="eastAsia" w:ascii="方正小标宋简体" w:hAnsi="方正小标宋_GBK" w:eastAsia="方正小标宋简体"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24"/>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24"/>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8"/>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8" o:title=""/>
              </v:shape>
            </w:pict>
          </mc:Fallback>
        </mc:AlternateContent>
      </w:r>
      <w:r/>
    </w:p>
    <w:p>
      <w:pPr>
        <w:pStyle w:val="1024"/>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24"/>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w:t>
      </w:r>
      <w:bookmarkStart w:id="179" w:name="_GoBack"/>
      <w:r/>
      <w:bookmarkEnd w:id="179"/>
      <w:r>
        <w:rPr>
          <w:rFonts w:hint="eastAsia" w:ascii="仿宋" w:hAnsi="仿宋" w:eastAsia="仿宋" w:cs="仿宋"/>
          <w:sz w:val="28"/>
          <w:szCs w:val="28"/>
        </w:rPr>
        <w:t xml:space="preserve">的中标供应商，可凭政府采购合同申请"政采贷"。</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24"/>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24"/>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1029"/>
          <w:rFonts w:hint="eastAsia" w:ascii="仿宋" w:hAnsi="仿宋" w:eastAsia="仿宋" w:cs="仿宋"/>
          <w:color w:val="auto"/>
          <w:spacing w:val="1"/>
          <w:sz w:val="28"/>
          <w:szCs w:val="28"/>
        </w:rPr>
        <w:t xml:space="preserve">http://www.ccgp-jiangsu.gov.cn/jiangsu/paying.html</w:t>
      </w:r>
      <w:r>
        <w:rPr>
          <w:rStyle w:val="102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1029"/>
          <w:rFonts w:hint="eastAsia" w:ascii="仿宋" w:hAnsi="仿宋" w:eastAsia="仿宋" w:cs="仿宋"/>
          <w:color w:val="auto"/>
          <w:spacing w:val="1"/>
          <w:sz w:val="28"/>
          <w:szCs w:val="28"/>
        </w:rPr>
        <w:t xml:space="preserve">https://www.crcrfsp.com/</w:t>
      </w:r>
      <w:r>
        <w:rPr>
          <w:rStyle w:val="102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财政局政府采购管理科</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3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33"/>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1024"/>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1024"/>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1024"/>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24"/>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0" w:name="sendNo"/>
      <w:r>
        <w:rPr>
          <w:rFonts w:hint="eastAsia" w:ascii="仿宋" w:hAnsi="仿宋" w:eastAsia="仿宋" w:cs="仿宋"/>
          <w:sz w:val="28"/>
          <w:szCs w:val="28"/>
          <w:lang w:val="en-US" w:eastAsia="zh-CN"/>
        </w:rPr>
        <w:t xml:space="preserve">财库〔2023〕7号</w:t>
      </w:r>
      <w:bookmarkEnd w:id="0"/>
      <w:r>
        <w:rPr>
          <w:rFonts w:hint="eastAsia" w:ascii="仿宋" w:hAnsi="仿宋" w:eastAsia="仿宋" w:cs="仿宋"/>
          <w:sz w:val="28"/>
          <w:szCs w:val="28"/>
          <w:lang w:val="en-US" w:eastAsia="zh-CN"/>
        </w:rPr>
        <w:t xml:space="preserve">）要求，</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4"/>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1024"/>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1024"/>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1024"/>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24"/>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1025"/>
      </w:pPr>
      <w:r/>
      <w:r/>
    </w:p>
    <w:p>
      <w:pPr>
        <w:pStyle w:val="1025"/>
      </w:pPr>
      <w:r/>
      <w:r/>
    </w:p>
    <w:p>
      <w:r/>
      <w:r/>
    </w:p>
    <w:p>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近期发现有仿冒江苏省政府采购网、江苏政府采购管理交易系统（“苏采云”平台）等虚假网站，请供应商注意甄别官方渠道。</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1.</w:t>
      </w:r>
      <w:r>
        <w:rPr>
          <w:rFonts w:hint="eastAsia" w:ascii="黑体" w:hAnsi="黑体" w:eastAsia="黑体" w:cs="黑体"/>
          <w:spacing w:val="0"/>
          <w:sz w:val="32"/>
          <w:szCs w:val="36"/>
          <w:lang w:val="en-US" w:eastAsia="zh-CN"/>
        </w:rPr>
        <w:t xml:space="preserve">江苏省政府采购网网址：</w:t>
      </w:r>
      <w:r>
        <w:rPr>
          <w:rFonts w:hint="eastAsia" w:ascii="黑体" w:hAnsi="黑体" w:eastAsia="黑体" w:cs="黑体"/>
          <w:spacing w:val="0"/>
          <w:sz w:val="32"/>
          <w:szCs w:val="36"/>
          <w:lang w:val="en-US" w:eastAsia="zh-CN"/>
        </w:rPr>
        <w:fldChar w:fldCharType="begin"/>
      </w:r>
      <w:r>
        <w:rPr>
          <w:rFonts w:hint="eastAsia" w:ascii="黑体" w:hAnsi="黑体" w:eastAsia="黑体" w:cs="黑体"/>
          <w:spacing w:val="0"/>
          <w:sz w:val="32"/>
          <w:szCs w:val="36"/>
          <w:lang w:val="en-US" w:eastAsia="zh-CN"/>
        </w:rPr>
        <w:instrText xml:space="preserve"> HYPERLINK "http://www.ccgp-jiangsu.gov.cn/" \t "http://jszfcg.jsczt.cn/jszc/_blank" </w:instrText>
      </w:r>
      <w:r>
        <w:rPr>
          <w:rFonts w:hint="eastAsia" w:ascii="黑体" w:hAnsi="黑体" w:eastAsia="黑体" w:cs="黑体"/>
          <w:spacing w:val="0"/>
          <w:sz w:val="32"/>
          <w:szCs w:val="36"/>
          <w:lang w:val="en-US" w:eastAsia="zh-CN"/>
        </w:rPr>
        <w:fldChar w:fldCharType="separate"/>
      </w:r>
      <w:r>
        <w:rPr>
          <w:rFonts w:hint="eastAsia" w:ascii="黑体" w:hAnsi="黑体" w:eastAsia="黑体" w:cs="黑体"/>
          <w:spacing w:val="0"/>
          <w:sz w:val="32"/>
          <w:szCs w:val="36"/>
        </w:rPr>
        <w:t xml:space="preserve">http://www.ccgp-jiangsu.gov.cn</w:t>
      </w:r>
      <w:r>
        <w:rPr>
          <w:rFonts w:hint="eastAsia" w:ascii="黑体" w:hAnsi="黑体" w:eastAsia="黑体" w:cs="黑体"/>
          <w:spacing w:val="0"/>
          <w:sz w:val="32"/>
          <w:szCs w:val="36"/>
          <w:lang w:val="en-US" w:eastAsia="zh-CN"/>
        </w:rPr>
        <w:fldChar w:fldCharType="end"/>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z w:val="32"/>
          <w:szCs w:val="36"/>
          <w:lang w:val="en-US" w:eastAsia="zh-CN"/>
        </w:rPr>
        <w:t xml:space="preserve">2.“苏采云” 平台网址：</w:t>
      </w:r>
      <w:r>
        <w:rPr>
          <w:rFonts w:hint="eastAsia" w:ascii="黑体" w:hAnsi="黑体" w:eastAsia="黑体" w:cs="黑体"/>
          <w:sz w:val="32"/>
          <w:szCs w:val="36"/>
          <w:lang w:val="en-US" w:eastAsia="zh-CN"/>
        </w:rPr>
        <w:fldChar w:fldCharType="begin"/>
      </w:r>
      <w:r>
        <w:rPr>
          <w:rFonts w:hint="eastAsia" w:ascii="黑体" w:hAnsi="黑体" w:eastAsia="黑体" w:cs="黑体"/>
          <w:sz w:val="32"/>
          <w:szCs w:val="36"/>
          <w:lang w:val="en-US" w:eastAsia="zh-CN"/>
        </w:rPr>
        <w:instrText xml:space="preserve"> HYPERLINK "http://jszfcg.jsczt.cn/" \t "http://jszfcg.jsczt.cn/jszc/_blank" </w:instrText>
      </w:r>
      <w:r>
        <w:rPr>
          <w:rFonts w:hint="eastAsia" w:ascii="黑体" w:hAnsi="黑体" w:eastAsia="黑体" w:cs="黑体"/>
          <w:sz w:val="32"/>
          <w:szCs w:val="36"/>
          <w:lang w:val="en-US" w:eastAsia="zh-CN"/>
        </w:rPr>
        <w:fldChar w:fldCharType="separate"/>
      </w:r>
      <w:r>
        <w:rPr>
          <w:rFonts w:hint="eastAsia" w:ascii="黑体" w:hAnsi="黑体" w:eastAsia="黑体" w:cs="黑体"/>
          <w:sz w:val="32"/>
          <w:szCs w:val="36"/>
        </w:rPr>
        <w:t xml:space="preserve">http://jszfcg.jsczt.cn</w:t>
      </w:r>
      <w:r>
        <w:rPr>
          <w:rFonts w:hint="eastAsia" w:ascii="黑体" w:hAnsi="黑体" w:eastAsia="黑体" w:cs="黑体"/>
          <w:sz w:val="32"/>
          <w:szCs w:val="36"/>
          <w:lang w:val="en-US" w:eastAsia="zh-CN"/>
        </w:rPr>
        <w:fldChar w:fldCharType="end"/>
      </w:r>
      <w:r/>
    </w:p>
    <w:p>
      <w:pPr>
        <w:sectPr>
          <w:footerReference w:type="default"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1"/>
        </w:numPr>
        <w:keepLines w:val="0"/>
        <w:keepNext w:val="0"/>
        <w:pageBreakBefore w:val="0"/>
        <w:spacing w:line="1120" w:lineRule="exact"/>
        <w:widowControl w:val="off"/>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w:t>
      </w:r>
      <w:r/>
    </w:p>
    <w:p>
      <w:pPr>
        <w:numPr>
          <w:ilvl w:val="0"/>
          <w:numId w:val="1"/>
        </w:numPr>
        <w:keepLines w:val="0"/>
        <w:keepNext w:val="0"/>
        <w:pageBreakBefore w:val="0"/>
        <w:spacing w:line="1120" w:lineRule="exact"/>
        <w:widowControl w:val="off"/>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w:t>
      </w:r>
      <w:r>
        <w:rPr>
          <w:rFonts w:hint="eastAsia" w:ascii="黑体" w:hAnsi="Showcard Gothic" w:eastAsia="黑体"/>
          <w:sz w:val="36"/>
          <w:szCs w:val="21"/>
        </w:rPr>
        <w:t xml:space="preserve">  </w:t>
      </w:r>
      <w:r/>
    </w:p>
    <w:p>
      <w:pPr>
        <w:numPr>
          <w:ilvl w:val="0"/>
          <w:numId w:val="1"/>
        </w:numPr>
        <w:keepLines w:val="0"/>
        <w:keepNext w:val="0"/>
        <w:pageBreakBefore w:val="0"/>
        <w:spacing w:line="1120" w:lineRule="exact"/>
        <w:widowControl w:val="off"/>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15</w:t>
      </w:r>
      <w:r/>
    </w:p>
    <w:p>
      <w:pPr>
        <w:numPr>
          <w:ilvl w:val="0"/>
          <w:numId w:val="1"/>
        </w:numPr>
        <w:keepLines w:val="0"/>
        <w:keepNext w:val="0"/>
        <w:pageBreakBefore w:val="0"/>
        <w:spacing w:line="1120" w:lineRule="exact"/>
        <w:widowControl w:val="off"/>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35</w:t>
      </w:r>
      <w:r/>
    </w:p>
    <w:p>
      <w:pPr>
        <w:numPr>
          <w:ilvl w:val="0"/>
          <w:numId w:val="1"/>
        </w:numPr>
        <w:keepLines w:val="0"/>
        <w:keepNext w:val="0"/>
        <w:pageBreakBefore w:val="0"/>
        <w:spacing w:line="1120" w:lineRule="exact"/>
        <w:widowControl w:val="off"/>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37</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rPr>
          <w:rFonts w:hint="eastAsia" w:ascii="黑体" w:hAnsi="Times New Roman" w:eastAsia="黑体"/>
          <w:sz w:val="44"/>
          <w:szCs w:val="44"/>
        </w:rPr>
      </w:pPr>
      <w:r>
        <w:rPr>
          <w:rFonts w:hint="eastAsia" w:ascii="黑体" w:hAnsi="Times New Roman" w:eastAsia="黑体"/>
          <w:sz w:val="44"/>
          <w:szCs w:val="44"/>
        </w:rPr>
        <w:br w:type="page" w:clear="all"/>
      </w:r>
      <w:r/>
    </w:p>
    <w:p>
      <w:pPr>
        <w:jc w:val="center"/>
        <w:rPr>
          <w:rFonts w:hint="eastAsia" w:ascii="黑体" w:hAnsi="Times New Roman" w:eastAsia="黑体"/>
          <w:b w:val="0"/>
          <w:bCs w:val="0"/>
          <w:sz w:val="40"/>
          <w:szCs w:val="40"/>
        </w:rPr>
      </w:pPr>
      <w:r>
        <w:rPr>
          <w:rFonts w:hint="eastAsia" w:ascii="黑体" w:hAnsi="Times New Roman" w:eastAsia="黑体"/>
          <w:b w:val="0"/>
          <w:bCs w:val="0"/>
          <w:sz w:val="40"/>
          <w:szCs w:val="40"/>
        </w:rPr>
        <w:t xml:space="preserve">第一章  单一来源采购邀请</w:t>
      </w:r>
      <w:r/>
    </w:p>
    <w:p>
      <w:pPr>
        <w:jc w:val="center"/>
        <w:rPr>
          <w:rFonts w:hint="eastAsia" w:ascii="黑体" w:hAnsi="Times New Roman" w:eastAsia="黑体"/>
          <w:sz w:val="44"/>
          <w:szCs w:val="44"/>
        </w:rPr>
      </w:pPr>
      <w:r>
        <w:rPr>
          <w:rFonts w:hint="eastAsia" w:ascii="黑体" w:hAnsi="Times New Roman" w:eastAsia="黑体"/>
          <w:sz w:val="44"/>
          <w:szCs w:val="44"/>
        </w:rPr>
      </w:r>
      <w:r/>
    </w:p>
    <w:p>
      <w:pPr>
        <w:ind w:firstLine="560"/>
        <w:pageBreakBefore w:val="0"/>
        <w:spacing w:line="50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兴化市人民医院 </w:t>
      </w:r>
      <w:r>
        <w:rPr>
          <w:rFonts w:hint="eastAsia" w:ascii="仿宋_GB2312" w:hAnsi="仿宋_GB2312" w:eastAsia="仿宋_GB2312" w:cs="仿宋_GB2312"/>
          <w:sz w:val="28"/>
          <w:szCs w:val="28"/>
        </w:rPr>
        <w:t xml:space="preserve">的委托，</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就</w:t>
      </w:r>
      <w:r>
        <w:rPr>
          <w:rFonts w:hint="eastAsia" w:ascii="仿宋_GB2312" w:hAnsi="仿宋_GB2312" w:eastAsia="仿宋_GB2312" w:cs="仿宋_GB2312"/>
          <w:sz w:val="28"/>
          <w:szCs w:val="28"/>
          <w:u w:val="single"/>
        </w:rPr>
        <w:t xml:space="preserve">兴化市人民医院颅脑CTP AI软件</w:t>
      </w:r>
      <w:r>
        <w:rPr>
          <w:rFonts w:hint="eastAsia" w:ascii="仿宋_GB2312" w:hAnsi="仿宋_GB2312" w:eastAsia="仿宋_GB2312" w:cs="仿宋_GB2312"/>
          <w:sz w:val="28"/>
          <w:szCs w:val="28"/>
          <w:highlight w:val="none"/>
          <w:u w:val="single"/>
        </w:rPr>
        <w:t xml:space="preserve">服务</w:t>
      </w:r>
      <w:r>
        <w:rPr>
          <w:rFonts w:hint="eastAsia" w:ascii="仿宋_GB2312" w:hAnsi="仿宋_GB2312" w:eastAsia="仿宋_GB2312" w:cs="仿宋_GB2312"/>
          <w:sz w:val="28"/>
          <w:szCs w:val="28"/>
          <w:highlight w:val="none"/>
        </w:rPr>
        <w:t xml:space="preserve">(JSZC-321281-JZCG-D2026-0018)项目</w:t>
      </w:r>
      <w:r>
        <w:rPr>
          <w:rFonts w:hint="eastAsia" w:ascii="仿宋_GB2312" w:hAnsi="仿宋_GB2312" w:eastAsia="仿宋_GB2312" w:cs="仿宋_GB2312"/>
          <w:sz w:val="28"/>
          <w:szCs w:val="28"/>
        </w:rPr>
        <w:t xml:space="preserve">进行单一来源采购，</w:t>
      </w:r>
      <w:r>
        <w:rPr>
          <w:rFonts w:hint="eastAsia" w:ascii="仿宋_GB2312" w:hAnsi="仿宋_GB2312" w:eastAsia="仿宋_GB2312" w:cs="仿宋_GB2312"/>
          <w:bCs/>
          <w:sz w:val="28"/>
          <w:szCs w:val="28"/>
        </w:rPr>
        <w:t xml:space="preserve">欢迎符合相关条件的合格供应商参加采购活动。</w:t>
      </w:r>
      <w:r/>
    </w:p>
    <w:p>
      <w:pPr>
        <w:ind w:firstLine="560"/>
        <w:pageBreakBefore w:val="0"/>
        <w:spacing w:line="50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firstLine="560"/>
        <w:keepLines/>
        <w:keepNext/>
        <w:pageBreakBefore w:val="0"/>
        <w:spacing w:line="500" w:lineRule="exact"/>
        <w:rPr>
          <w:rFonts w:hint="eastAsia" w:ascii="黑体" w:hAnsi="黑体" w:eastAsia="黑体" w:cs="黑体"/>
          <w:b w:val="0"/>
          <w:bCs w:val="0"/>
          <w:sz w:val="28"/>
          <w:szCs w:val="28"/>
        </w:rPr>
        <w:outlineLvl w:val="2"/>
      </w:pPr>
      <w:r/>
      <w:bookmarkStart w:id="1" w:name="_Toc28359002"/>
      <w:r/>
      <w:bookmarkStart w:id="2" w:name="_Toc38985263"/>
      <w:r/>
      <w:bookmarkStart w:id="3" w:name="_Toc28359079"/>
      <w:r/>
      <w:bookmarkStart w:id="4" w:name="_Toc35393790"/>
      <w:r/>
      <w:bookmarkStart w:id="5" w:name="_Toc35393621"/>
      <w:r/>
      <w:bookmarkStart w:id="6" w:name="_Hlk24379207"/>
      <w:r>
        <w:rPr>
          <w:rFonts w:hint="eastAsia" w:ascii="黑体" w:hAnsi="黑体" w:eastAsia="黑体" w:cs="黑体"/>
          <w:b w:val="0"/>
          <w:bCs w:val="0"/>
          <w:sz w:val="28"/>
          <w:szCs w:val="28"/>
        </w:rPr>
        <w:t xml:space="preserve">一、项目基本情况</w:t>
      </w:r>
      <w:bookmarkEnd w:id="1"/>
      <w:r/>
      <w:bookmarkEnd w:id="2"/>
      <w:r/>
      <w:bookmarkEnd w:id="3"/>
      <w:r/>
      <w:bookmarkEnd w:id="4"/>
      <w:r/>
      <w:bookmarkEnd w:id="5"/>
      <w:r/>
      <w:r/>
    </w:p>
    <w:p>
      <w:pPr>
        <w:ind w:firstLine="560"/>
        <w:pageBreakBefore w:val="0"/>
        <w:spacing w:line="500" w:lineRule="exact"/>
        <w:rPr>
          <w:rFonts w:hint="eastAsia" w:ascii="仿宋_GB2312" w:hAnsi="仿宋_GB2312" w:eastAsia="仿宋_GB2312" w:cs="仿宋_GB2312"/>
          <w:sz w:val="28"/>
          <w:szCs w:val="28"/>
          <w:highlight w:val="yellow"/>
        </w:rPr>
      </w:pPr>
      <w:r>
        <w:rPr>
          <w:rFonts w:hint="eastAsia" w:ascii="仿宋_GB2312" w:hAnsi="仿宋_GB2312" w:eastAsia="仿宋_GB2312" w:cs="仿宋_GB2312"/>
          <w:sz w:val="28"/>
          <w:szCs w:val="28"/>
        </w:rPr>
        <w:t xml:space="preserve">1.项目编号：JSZC-321281-JZCG-D2026-0018</w:t>
      </w:r>
      <w:r/>
    </w:p>
    <w:p>
      <w:pPr>
        <w:numPr>
          <w:ilvl w:val="-1"/>
          <w:numId w:val="0"/>
        </w:numPr>
        <w:ind w:firstLine="560"/>
        <w:spacing w:line="48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2.项目名称：兴化市人民医院</w:t>
      </w:r>
      <w:r>
        <w:rPr>
          <w:rFonts w:hint="eastAsia" w:ascii="仿宋_GB2312" w:hAnsi="仿宋_GB2312" w:eastAsia="仿宋_GB2312" w:cs="仿宋_GB2312"/>
          <w:color w:val="000000"/>
          <w:sz w:val="28"/>
          <w:szCs w:val="28"/>
        </w:rPr>
        <w:t xml:space="preserve">颅脑CTP AI软件服务</w:t>
      </w:r>
      <w:bookmarkEnd w:id="6"/>
      <w:r/>
      <w:r/>
    </w:p>
    <w:p>
      <w:pPr>
        <w:ind w:firstLine="560"/>
        <w:pageBreakBefore w:val="0"/>
        <w:spacing w:line="500" w:lineRule="exact"/>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3.预算金额</w:t>
      </w:r>
      <w:r>
        <w:rPr>
          <w:rFonts w:hint="eastAsia" w:ascii="仿宋_GB2312" w:hAnsi="仿宋_GB2312" w:eastAsia="仿宋_GB2312" w:cs="仿宋_GB2312"/>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60.00万元</w:t>
      </w:r>
      <w:r/>
    </w:p>
    <w:p>
      <w:pPr>
        <w:ind w:firstLine="560"/>
        <w:pageBreakBefore w:val="0"/>
        <w:spacing w:line="50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4.采购需求（简介）：</w:t>
      </w:r>
      <w:r>
        <w:rPr>
          <w:rFonts w:hint="eastAsia" w:ascii="仿宋_GB2312" w:hAnsi="仿宋_GB2312" w:eastAsia="仿宋_GB2312" w:cs="仿宋_GB2312"/>
          <w:sz w:val="28"/>
          <w:szCs w:val="28"/>
          <w:lang w:val="en-US" w:eastAsia="zh-CN"/>
        </w:rPr>
        <w:t xml:space="preserve">本次采购范围包括</w:t>
      </w:r>
      <w:r>
        <w:rPr>
          <w:rFonts w:hint="eastAsia" w:ascii="仿宋_GB2312" w:hAnsi="仿宋_GB2312" w:eastAsia="仿宋_GB2312" w:cs="仿宋_GB2312"/>
          <w:sz w:val="28"/>
          <w:szCs w:val="28"/>
          <w:lang w:eastAsia="zh-CN"/>
        </w:rPr>
        <w:t xml:space="preserve">颅脑CTP AI</w:t>
      </w:r>
      <w:r>
        <w:rPr>
          <w:rFonts w:hint="eastAsia" w:ascii="仿宋_GB2312" w:hAnsi="仿宋_GB2312" w:eastAsia="仿宋_GB2312" w:cs="仿宋_GB2312"/>
          <w:sz w:val="28"/>
          <w:szCs w:val="28"/>
          <w:lang w:val="en-US" w:eastAsia="zh-CN"/>
        </w:rPr>
        <w:t xml:space="preserve">软件服务以及相关货物的供应、运输、安装、调试、人员培训及售后服务等。</w:t>
      </w:r>
      <w:r>
        <w:rPr>
          <w:rFonts w:hint="eastAsia" w:ascii="仿宋_GB2312" w:hAnsi="仿宋_GB2312" w:eastAsia="仿宋_GB2312" w:cs="仿宋_GB2312"/>
          <w:sz w:val="28"/>
          <w:szCs w:val="28"/>
        </w:rPr>
        <w:t xml:space="preserve">（详细内容见本采购文件第四章）</w:t>
      </w:r>
      <w:r/>
    </w:p>
    <w:p>
      <w:pPr>
        <w:ind w:firstLine="560"/>
        <w:pageBreakBefore w:val="0"/>
        <w:spacing w:line="50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5.合同履行期限：</w:t>
      </w:r>
      <w:r>
        <w:rPr>
          <w:rFonts w:hint="eastAsia" w:ascii="仿宋_GB2312" w:hAnsi="仿宋_GB2312" w:eastAsia="仿宋_GB2312" w:cs="仿宋_GB2312"/>
          <w:color w:val="auto"/>
          <w:sz w:val="28"/>
          <w:szCs w:val="28"/>
          <w:highlight w:val="none"/>
          <w:lang w:val="en-US" w:eastAsia="zh-CN"/>
        </w:rPr>
        <w:t xml:space="preserve">2个月</w:t>
      </w:r>
      <w:r>
        <w:rPr>
          <w:rFonts w:hint="eastAsia" w:ascii="仿宋_GB2312" w:hAnsi="仿宋_GB2312" w:eastAsia="仿宋_GB2312" w:cs="仿宋_GB2312"/>
          <w:sz w:val="28"/>
          <w:szCs w:val="28"/>
          <w:lang w:val="en-US" w:eastAsia="zh-CN"/>
        </w:rPr>
        <w:t xml:space="preserve">。</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lang w:val="zh-CN"/>
        </w:rPr>
        <w:t xml:space="preserve">.本次采购</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投标保证金。</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firstLine="560"/>
        <w:keepLines/>
        <w:keepNext/>
        <w:pageBreakBefore w:val="0"/>
        <w:spacing w:line="500" w:lineRule="exact"/>
        <w:rPr>
          <w:rFonts w:hint="eastAsia" w:ascii="黑体" w:hAnsi="黑体" w:eastAsia="黑体" w:cs="黑体"/>
          <w:b w:val="0"/>
          <w:bCs w:val="0"/>
          <w:sz w:val="28"/>
          <w:szCs w:val="28"/>
        </w:rPr>
        <w:outlineLvl w:val="2"/>
      </w:pPr>
      <w:r/>
      <w:bookmarkStart w:id="7" w:name="_Toc28359003"/>
      <w:r/>
      <w:bookmarkStart w:id="8" w:name="_Toc35393791"/>
      <w:r/>
      <w:bookmarkStart w:id="9" w:name="_Toc28359080"/>
      <w:r/>
      <w:bookmarkStart w:id="10" w:name="_Toc35393622"/>
      <w:r/>
      <w:bookmarkStart w:id="11" w:name="_Toc38985264"/>
      <w:r>
        <w:rPr>
          <w:rFonts w:hint="eastAsia" w:ascii="黑体" w:hAnsi="黑体" w:eastAsia="黑体" w:cs="黑体"/>
          <w:b w:val="0"/>
          <w:bCs w:val="0"/>
          <w:sz w:val="28"/>
          <w:szCs w:val="28"/>
        </w:rPr>
        <w:t xml:space="preserve">二、</w:t>
      </w:r>
      <w:bookmarkEnd w:id="7"/>
      <w:r/>
      <w:bookmarkEnd w:id="8"/>
      <w:r/>
      <w:bookmarkEnd w:id="9"/>
      <w:r/>
      <w:bookmarkEnd w:id="10"/>
      <w:r/>
      <w:bookmarkEnd w:id="11"/>
      <w:r>
        <w:rPr>
          <w:rFonts w:hint="eastAsia" w:ascii="黑体" w:hAnsi="黑体" w:eastAsia="黑体" w:cs="黑体"/>
          <w:b w:val="0"/>
          <w:bCs w:val="0"/>
          <w:sz w:val="28"/>
          <w:szCs w:val="28"/>
        </w:rPr>
        <w:t xml:space="preserve">合格单一来源供应商资格要求</w:t>
      </w:r>
      <w:r/>
    </w:p>
    <w:p>
      <w:pPr>
        <w:ind w:firstLine="562"/>
        <w:pageBreakBefore w:val="0"/>
        <w:spacing w:line="500" w:lineRule="exact"/>
        <w:rPr>
          <w:rFonts w:hint="eastAsia" w:ascii="仿宋_GB2312" w:hAnsi="仿宋_GB2312" w:eastAsia="仿宋_GB2312" w:cs="仿宋_GB2312"/>
          <w:b/>
          <w:bCs/>
          <w:sz w:val="28"/>
          <w:szCs w:val="28"/>
        </w:rPr>
      </w:pPr>
      <w:r/>
      <w:bookmarkStart w:id="12" w:name="_Toc28359004"/>
      <w:r/>
      <w:bookmarkStart w:id="13" w:name="_Toc35393623"/>
      <w:r/>
      <w:bookmarkStart w:id="14" w:name="_Toc35393792"/>
      <w:r/>
      <w:bookmarkStart w:id="15" w:name="_Toc28359081"/>
      <w:r/>
      <w:bookmarkStart w:id="16" w:name="_Toc38985265"/>
      <w:r>
        <w:rPr>
          <w:rFonts w:hint="eastAsia" w:ascii="仿宋_GB2312" w:hAnsi="仿宋_GB2312" w:eastAsia="仿宋_GB2312" w:cs="仿宋_GB2312"/>
          <w:b/>
          <w:bCs/>
          <w:sz w:val="28"/>
          <w:szCs w:val="28"/>
        </w:rPr>
        <w:t xml:space="preserve">（一）通用资格要求</w:t>
      </w:r>
      <w:r/>
    </w:p>
    <w:p>
      <w:pPr>
        <w:ind w:firstLine="560"/>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1.满足《中华人民共和国政府采购法》第二十二条规定，并提供下列材料：</w:t>
      </w:r>
      <w:r/>
    </w:p>
    <w:p>
      <w:pPr>
        <w:ind w:firstLine="560"/>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法人或者其他组织的营业执照等证明文件；</w:t>
      </w:r>
      <w:r/>
    </w:p>
    <w:p>
      <w:pPr>
        <w:ind w:firstLine="560"/>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1.2财务状况报告（成立不满一年无需提供）；</w:t>
      </w:r>
      <w:r/>
    </w:p>
    <w:p>
      <w:pPr>
        <w:ind w:firstLine="560"/>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1.3依法缴纳税收和社会保障资金的相关材料；</w:t>
      </w:r>
      <w:r/>
    </w:p>
    <w:p>
      <w:pPr>
        <w:ind w:firstLine="560"/>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1.4具备履行合同所必需的设备和专业技术能力的书面声明；</w:t>
      </w:r>
      <w:r/>
    </w:p>
    <w:p>
      <w:pPr>
        <w:ind w:firstLine="560"/>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1.5参加政府采购活动前3年内在经营活动中没有重大违法记录的书面声明。</w:t>
      </w:r>
      <w:r/>
    </w:p>
    <w:p>
      <w:pPr>
        <w:ind w:firstLine="560"/>
        <w:pageBreakBefore w:val="0"/>
        <w:spacing w:line="5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 在“信用中国”网站（www.creditchina.gov.cn）查询，不存在被列入失信被执行人、重大税收违法案件当事人名单、政府采购严重失信行为记录名单及其他不符合《中华人民共和国政府采购法》第二十二条规定条件的信用记录情形。</w:t>
      </w:r>
      <w:r/>
    </w:p>
    <w:p>
      <w:pPr>
        <w:ind w:firstLine="562"/>
        <w:pageBreakBefore w:val="0"/>
        <w:spacing w:line="50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（二）落实政府采购政策需满足的资格要求：</w:t>
      </w:r>
      <w:r/>
    </w:p>
    <w:p>
      <w:pPr>
        <w:ind w:firstLine="560"/>
        <w:pageBreakBefore w:val="0"/>
        <w:spacing w:line="50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val="0"/>
          <w:bCs w:val="0"/>
          <w:sz w:val="28"/>
          <w:szCs w:val="28"/>
        </w:rPr>
        <w:t xml:space="preserve">无。</w:t>
      </w:r>
      <w:r>
        <w:rPr>
          <w:rFonts w:hint="eastAsia" w:ascii="仿宋_GB2312" w:hAnsi="仿宋_GB2312" w:eastAsia="仿宋_GB2312" w:cs="仿宋_GB2312"/>
          <w:b/>
          <w:bCs/>
          <w:sz w:val="28"/>
          <w:szCs w:val="28"/>
        </w:rPr>
        <w:t xml:space="preserve"> </w:t>
      </w:r>
      <w:r/>
    </w:p>
    <w:p>
      <w:pPr>
        <w:ind w:firstLine="562"/>
        <w:keepLines/>
        <w:keepNext/>
        <w:pageBreakBefore w:val="0"/>
        <w:spacing w:line="500" w:lineRule="exact"/>
        <w:rPr>
          <w:rFonts w:hint="eastAsia" w:ascii="仿宋_GB2312" w:hAnsi="仿宋_GB2312" w:eastAsia="仿宋_GB2312" w:cs="仿宋_GB2312"/>
          <w:b/>
          <w:bCs/>
          <w:sz w:val="28"/>
          <w:szCs w:val="28"/>
          <w:lang w:eastAsia="zh-CN"/>
        </w:rPr>
        <w:outlineLvl w:val="2"/>
      </w:pP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lang w:eastAsia="zh-CN"/>
        </w:rPr>
        <w:t xml:space="preserve">三</w:t>
      </w:r>
      <w:r>
        <w:rPr>
          <w:rFonts w:hint="eastAsia" w:ascii="仿宋_GB2312" w:hAnsi="仿宋_GB2312" w:eastAsia="仿宋_GB2312" w:cs="仿宋_GB2312"/>
          <w:b/>
          <w:bCs/>
          <w:sz w:val="28"/>
          <w:szCs w:val="28"/>
        </w:rPr>
        <w:t xml:space="preserve">）本项目的特定资格要求</w:t>
      </w:r>
      <w:bookmarkEnd w:id="12"/>
      <w:r/>
      <w:bookmarkEnd w:id="13"/>
      <w:r/>
      <w:bookmarkEnd w:id="14"/>
      <w:r/>
      <w:bookmarkEnd w:id="15"/>
      <w:r/>
      <w:bookmarkEnd w:id="16"/>
      <w:r/>
      <w:bookmarkStart w:id="17" w:name="_Toc28359005"/>
      <w:r/>
      <w:bookmarkStart w:id="18" w:name="_Toc28359082"/>
      <w:r/>
      <w:bookmarkStart w:id="19" w:name="_Toc35393793"/>
      <w:r/>
      <w:bookmarkStart w:id="20" w:name="_Toc38985266"/>
      <w:r/>
      <w:bookmarkStart w:id="21" w:name="_Toc35393624"/>
      <w:r>
        <w:rPr>
          <w:rFonts w:hint="eastAsia" w:ascii="仿宋_GB2312" w:hAnsi="仿宋_GB2312" w:eastAsia="仿宋_GB2312" w:cs="仿宋_GB2312"/>
          <w:b/>
          <w:bCs/>
          <w:sz w:val="28"/>
          <w:szCs w:val="28"/>
          <w:lang w:eastAsia="zh-CN"/>
        </w:rPr>
        <w:t xml:space="preserve">：</w:t>
      </w:r>
      <w:r/>
    </w:p>
    <w:p>
      <w:pPr>
        <w:ind w:firstLine="560"/>
        <w:keepLines/>
        <w:keepNext/>
        <w:pageBreakBefore w:val="0"/>
        <w:spacing w:line="500" w:lineRule="exact"/>
        <w:rPr>
          <w:rFonts w:hint="eastAsia" w:ascii="仿宋_GB2312" w:hAnsi="仿宋_GB2312" w:eastAsia="仿宋_GB2312" w:cs="仿宋_GB2312"/>
          <w:b w:val="0"/>
          <w:bCs w:val="0"/>
          <w:sz w:val="28"/>
          <w:szCs w:val="28"/>
        </w:rPr>
        <w:outlineLvl w:val="2"/>
      </w:pPr>
      <w:r>
        <w:rPr>
          <w:rFonts w:hint="eastAsia" w:ascii="仿宋_GB2312" w:hAnsi="仿宋_GB2312" w:eastAsia="仿宋_GB2312" w:cs="仿宋_GB2312"/>
          <w:b w:val="0"/>
          <w:bCs w:val="0"/>
          <w:sz w:val="28"/>
          <w:szCs w:val="28"/>
        </w:rPr>
        <w:t xml:space="preserve">无。</w:t>
      </w:r>
      <w:r/>
    </w:p>
    <w:p>
      <w:pPr>
        <w:ind w:firstLine="560"/>
        <w:keepLines/>
        <w:keepNext/>
        <w:pageBreakBefore w:val="0"/>
        <w:spacing w:line="500" w:lineRule="exact"/>
        <w:rPr>
          <w:rFonts w:hint="eastAsia" w:ascii="黑体" w:hAnsi="黑体" w:eastAsia="黑体" w:cs="黑体"/>
          <w:b w:val="0"/>
          <w:bCs w:val="0"/>
          <w:sz w:val="28"/>
          <w:szCs w:val="28"/>
        </w:rPr>
        <w:outlineLvl w:val="2"/>
      </w:pPr>
      <w:r>
        <w:rPr>
          <w:rFonts w:hint="eastAsia" w:ascii="黑体" w:hAnsi="黑体" w:eastAsia="黑体" w:cs="黑体"/>
          <w:b w:val="0"/>
          <w:bCs w:val="0"/>
          <w:sz w:val="28"/>
          <w:szCs w:val="28"/>
        </w:rPr>
        <w:t xml:space="preserve">三、提交</w:t>
      </w:r>
      <w:bookmarkEnd w:id="17"/>
      <w:r/>
      <w:bookmarkEnd w:id="18"/>
      <w:r>
        <w:rPr>
          <w:rFonts w:hint="eastAsia" w:ascii="黑体" w:hAnsi="黑体" w:eastAsia="黑体" w:cs="黑体"/>
          <w:b w:val="0"/>
          <w:bCs w:val="0"/>
          <w:sz w:val="28"/>
          <w:szCs w:val="28"/>
        </w:rPr>
        <w:t xml:space="preserve">响应文件截止时间</w:t>
      </w:r>
      <w:bookmarkEnd w:id="19"/>
      <w:r/>
      <w:bookmarkEnd w:id="20"/>
      <w:r/>
      <w:bookmarkEnd w:id="21"/>
      <w:r/>
      <w:r/>
    </w:p>
    <w:p>
      <w:pPr>
        <w:ind w:firstLine="562"/>
        <w:pageBreakBefore w:val="0"/>
        <w:spacing w:line="500" w:lineRule="exact"/>
        <w:rPr>
          <w:rFonts w:hint="eastAsia" w:ascii="仿宋_GB2312" w:hAnsi="仿宋_GB2312" w:eastAsia="仿宋_GB2312" w:cs="仿宋_GB2312"/>
          <w:bCs/>
          <w:color w:val="ff0000"/>
          <w:sz w:val="28"/>
          <w:szCs w:val="28"/>
          <w:highlight w:val="yellow"/>
          <w:u w:val="single"/>
        </w:rPr>
      </w:pPr>
      <w:r>
        <w:rPr>
          <w:rFonts w:hint="eastAsia" w:ascii="仿宋_GB2312" w:hAnsi="仿宋_GB2312" w:eastAsia="仿宋_GB2312" w:cs="仿宋_GB2312"/>
          <w:b/>
          <w:bCs w:val="0"/>
          <w:color w:val="auto"/>
          <w:sz w:val="28"/>
          <w:szCs w:val="28"/>
          <w:highlight w:val="yellow"/>
          <w:u w:val="single"/>
          <w:lang w:val="en-US" w:eastAsia="zh-CN"/>
        </w:rPr>
        <w:t xml:space="preserve">2026</w:t>
      </w:r>
      <w:r>
        <w:rPr>
          <w:rFonts w:hint="eastAsia" w:ascii="仿宋_GB2312" w:hAnsi="仿宋_GB2312" w:eastAsia="仿宋_GB2312" w:cs="仿宋_GB2312"/>
          <w:b/>
          <w:bCs w:val="0"/>
          <w:color w:val="auto"/>
          <w:sz w:val="28"/>
          <w:szCs w:val="28"/>
          <w:highlight w:val="yellow"/>
          <w:u w:val="single"/>
        </w:rPr>
        <w:t xml:space="preserve">年</w:t>
      </w:r>
      <w:r>
        <w:rPr>
          <w:rFonts w:hint="eastAsia" w:ascii="仿宋_GB2312" w:hAnsi="仿宋_GB2312" w:eastAsia="仿宋_GB2312" w:cs="仿宋_GB2312"/>
          <w:b/>
          <w:bCs w:val="0"/>
          <w:color w:val="auto"/>
          <w:sz w:val="28"/>
          <w:szCs w:val="28"/>
          <w:highlight w:val="yellow"/>
          <w:u w:val="single"/>
          <w:lang w:val="en-US" w:eastAsia="zh-CN"/>
        </w:rPr>
        <w:t xml:space="preserve">11</w:t>
      </w:r>
      <w:r>
        <w:rPr>
          <w:rFonts w:hint="eastAsia" w:ascii="仿宋_GB2312" w:hAnsi="仿宋_GB2312" w:eastAsia="仿宋_GB2312" w:cs="仿宋_GB2312"/>
          <w:b/>
          <w:bCs w:val="0"/>
          <w:color w:val="auto"/>
          <w:sz w:val="28"/>
          <w:szCs w:val="28"/>
          <w:highlight w:val="yellow"/>
          <w:u w:val="single"/>
        </w:rPr>
        <w:t xml:space="preserve">月</w:t>
      </w:r>
      <w:r>
        <w:rPr>
          <w:rFonts w:hint="eastAsia" w:ascii="仿宋_GB2312" w:hAnsi="仿宋_GB2312" w:eastAsia="仿宋_GB2312" w:cs="仿宋_GB2312"/>
          <w:b/>
          <w:bCs w:val="0"/>
          <w:color w:val="auto"/>
          <w:sz w:val="28"/>
          <w:szCs w:val="28"/>
          <w:highlight w:val="yellow"/>
          <w:u w:val="single"/>
          <w:lang w:val="en-US" w:eastAsia="zh-CN"/>
        </w:rPr>
        <w:t xml:space="preserve">2</w:t>
      </w:r>
      <w:r>
        <w:rPr>
          <w:rFonts w:hint="eastAsia" w:ascii="仿宋_GB2312" w:hAnsi="仿宋_GB2312" w:eastAsia="仿宋_GB2312" w:cs="仿宋_GB2312"/>
          <w:b/>
          <w:bCs w:val="0"/>
          <w:color w:val="auto"/>
          <w:sz w:val="28"/>
          <w:szCs w:val="28"/>
          <w:highlight w:val="yellow"/>
          <w:u w:val="single"/>
        </w:rPr>
        <w:t xml:space="preserve">日</w:t>
      </w:r>
      <w:r>
        <w:rPr>
          <w:rFonts w:hint="eastAsia" w:ascii="仿宋_GB2312" w:hAnsi="仿宋_GB2312" w:eastAsia="仿宋_GB2312" w:cs="仿宋_GB2312"/>
          <w:b/>
          <w:bCs w:val="0"/>
          <w:color w:val="auto"/>
          <w:sz w:val="28"/>
          <w:szCs w:val="28"/>
          <w:highlight w:val="yellow"/>
          <w:u w:val="single"/>
          <w:lang w:val="en-US" w:eastAsia="zh-CN"/>
        </w:rPr>
        <w:t xml:space="preserve">9</w:t>
      </w:r>
      <w:r>
        <w:rPr>
          <w:rFonts w:hint="eastAsia" w:ascii="仿宋_GB2312" w:hAnsi="仿宋_GB2312" w:eastAsia="仿宋_GB2312" w:cs="仿宋_GB2312"/>
          <w:b/>
          <w:bCs w:val="0"/>
          <w:color w:val="auto"/>
          <w:sz w:val="28"/>
          <w:szCs w:val="28"/>
          <w:highlight w:val="yellow"/>
          <w:u w:val="single"/>
        </w:rPr>
        <w:t xml:space="preserve">点</w:t>
      </w:r>
      <w:r>
        <w:rPr>
          <w:rFonts w:hint="eastAsia" w:ascii="仿宋_GB2312" w:hAnsi="仿宋_GB2312" w:eastAsia="仿宋_GB2312" w:cs="仿宋_GB2312"/>
          <w:b/>
          <w:bCs w:val="0"/>
          <w:color w:val="auto"/>
          <w:sz w:val="28"/>
          <w:szCs w:val="28"/>
          <w:highlight w:val="yellow"/>
          <w:u w:val="single"/>
          <w:lang w:val="en-US" w:eastAsia="zh-CN"/>
        </w:rPr>
        <w:t xml:space="preserve">30</w:t>
      </w:r>
      <w:r>
        <w:rPr>
          <w:rFonts w:hint="eastAsia" w:ascii="仿宋_GB2312" w:hAnsi="仿宋_GB2312" w:eastAsia="仿宋_GB2312" w:cs="仿宋_GB2312"/>
          <w:b/>
          <w:bCs w:val="0"/>
          <w:color w:val="auto"/>
          <w:sz w:val="28"/>
          <w:szCs w:val="28"/>
          <w:highlight w:val="yellow"/>
          <w:u w:val="single"/>
        </w:rPr>
        <w:t xml:space="preserve">分</w:t>
      </w:r>
      <w:r>
        <w:rPr>
          <w:rFonts w:hint="eastAsia" w:ascii="仿宋_GB2312" w:hAnsi="仿宋_GB2312" w:eastAsia="仿宋_GB2312" w:cs="仿宋_GB2312"/>
          <w:bCs/>
          <w:color w:val="auto"/>
          <w:sz w:val="28"/>
          <w:szCs w:val="28"/>
          <w:highlight w:val="none"/>
        </w:rPr>
        <w:t xml:space="preserve">（北京时间）。</w:t>
      </w:r>
      <w:r/>
    </w:p>
    <w:p>
      <w:pPr>
        <w:ind w:firstLine="560"/>
        <w:keepLines/>
        <w:keepNext/>
        <w:pageBreakBefore w:val="0"/>
        <w:spacing w:line="500" w:lineRule="exact"/>
        <w:rPr>
          <w:rFonts w:hint="eastAsia" w:ascii="黑体" w:hAnsi="黑体" w:eastAsia="黑体" w:cs="黑体"/>
          <w:b w:val="0"/>
          <w:bCs w:val="0"/>
          <w:sz w:val="28"/>
          <w:szCs w:val="28"/>
        </w:rPr>
        <w:outlineLvl w:val="2"/>
      </w:pPr>
      <w:r/>
      <w:bookmarkStart w:id="22" w:name="_Toc35393796"/>
      <w:r/>
      <w:bookmarkStart w:id="23" w:name="_Toc28359008"/>
      <w:r/>
      <w:bookmarkStart w:id="24" w:name="_Toc28359085"/>
      <w:r/>
      <w:bookmarkStart w:id="25" w:name="_Toc35393627"/>
      <w:r/>
      <w:bookmarkStart w:id="26" w:name="_Toc38985269"/>
      <w:r>
        <w:rPr>
          <w:rFonts w:hint="eastAsia" w:ascii="黑体" w:hAnsi="黑体" w:eastAsia="黑体" w:cs="黑体"/>
          <w:b w:val="0"/>
          <w:bCs w:val="0"/>
          <w:sz w:val="28"/>
          <w:szCs w:val="28"/>
        </w:rPr>
        <w:t xml:space="preserve">四、本次单一来源采购联系方式</w:t>
      </w:r>
      <w:bookmarkEnd w:id="22"/>
      <w:r/>
      <w:bookmarkEnd w:id="23"/>
      <w:r/>
      <w:bookmarkEnd w:id="24"/>
      <w:r/>
      <w:bookmarkEnd w:id="25"/>
      <w:r/>
      <w:bookmarkEnd w:id="26"/>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bookmarkStart w:id="27" w:name="_Toc28359087"/>
      <w:r/>
      <w:bookmarkStart w:id="28" w:name="OLE_LINK3"/>
      <w:r/>
      <w:bookmarkStart w:id="29" w:name="_Toc28359010"/>
      <w:r/>
      <w:bookmarkStart w:id="30" w:name="OLE_LINK4"/>
      <w:r/>
      <w:bookmarkStart w:id="31" w:name="OLE_LINK22"/>
      <w:r/>
      <w:bookmarkStart w:id="32" w:name="OLE_LINK9"/>
      <w:r>
        <w:rPr>
          <w:rFonts w:hint="eastAsia" w:ascii="仿宋_GB2312" w:hAnsi="仿宋_GB2312" w:eastAsia="仿宋_GB2312" w:cs="仿宋_GB2312"/>
          <w:sz w:val="28"/>
          <w:szCs w:val="28"/>
          <w:highlight w:val="none"/>
        </w:rPr>
        <w:t xml:space="preserve">1.采购人信息</w:t>
      </w:r>
      <w:r/>
    </w:p>
    <w:p>
      <w:pPr>
        <w:ind w:left="0" w:right="0" w:firstLine="560"/>
        <w:pageBreakBefore w:val="0"/>
        <w:spacing w:line="500" w:lineRule="exact"/>
        <w:widowControl w:val="off"/>
        <w:tabs>
          <w:tab w:val="left" w:pos="900" w:leader="none"/>
        </w:tabs>
        <w:rPr>
          <w:rFonts w:hint="default" w:ascii="仿宋_GB2312" w:hAnsi="仿宋_GB2312" w:eastAsia="仿宋_GB2312" w:cs="仿宋_GB2312"/>
          <w:color w:val="auto"/>
          <w:sz w:val="28"/>
          <w:szCs w:val="28"/>
          <w:highlight w:val="none"/>
          <w:lang w:val="en-US" w:eastAsia="zh-CN"/>
        </w:rPr>
      </w:pPr>
      <w:r/>
      <w:bookmarkStart w:id="33" w:name="_Toc28359009"/>
      <w:r/>
      <w:bookmarkStart w:id="34" w:name="_Toc28359086"/>
      <w:r>
        <w:rPr>
          <w:rFonts w:hint="eastAsia" w:ascii="仿宋_GB2312" w:hAnsi="仿宋_GB2312" w:eastAsia="仿宋_GB2312" w:cs="仿宋_GB2312"/>
          <w:color w:val="auto"/>
          <w:sz w:val="28"/>
          <w:szCs w:val="28"/>
          <w:highlight w:val="none"/>
          <w:lang w:val="en-US" w:eastAsia="zh-CN"/>
        </w:rPr>
        <w:t xml:space="preserve">名称：</w:t>
      </w:r>
      <w:r>
        <w:rPr>
          <w:rFonts w:hint="eastAsia" w:ascii="仿宋_GB2312" w:hAnsi="仿宋_GB2312" w:eastAsia="仿宋_GB2312" w:cs="仿宋_GB2312"/>
          <w:b w:val="0"/>
          <w:bCs w:val="0"/>
          <w:color w:val="auto"/>
          <w:sz w:val="28"/>
          <w:szCs w:val="28"/>
        </w:rPr>
        <w:t xml:space="preserve">兴化市人民医院</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地址：</w:t>
      </w:r>
      <w:r>
        <w:rPr>
          <w:rFonts w:hint="eastAsia" w:ascii="仿宋_GB2312" w:hAnsi="仿宋_GB2312" w:eastAsia="仿宋_GB2312" w:cs="仿宋_GB2312"/>
          <w:b w:val="0"/>
          <w:bCs w:val="0"/>
          <w:color w:val="auto"/>
          <w:sz w:val="28"/>
          <w:szCs w:val="28"/>
        </w:rPr>
        <w:t xml:space="preserve">兴化市英武南路419号</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联系方式：</w:t>
      </w:r>
      <w:r>
        <w:rPr>
          <w:rFonts w:hint="eastAsia" w:ascii="仿宋_GB2312" w:hAnsi="仿宋_GB2312" w:eastAsia="仿宋_GB2312" w:cs="仿宋_GB2312"/>
          <w:b w:val="0"/>
          <w:bCs w:val="0"/>
          <w:color w:val="auto"/>
          <w:sz w:val="28"/>
          <w:szCs w:val="28"/>
        </w:rPr>
        <w:t xml:space="preserve">吴女士  0523-80260133</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2.采购代理机构信息</w:t>
      </w:r>
      <w:bookmarkEnd w:id="33"/>
      <w:r/>
      <w:bookmarkEnd w:id="34"/>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27"/>
      <w:r/>
      <w:bookmarkEnd w:id="28"/>
      <w:r/>
      <w:bookmarkEnd w:id="29"/>
      <w:r/>
      <w:bookmarkEnd w:id="30"/>
      <w:r/>
      <w:bookmarkEnd w:id="31"/>
      <w:r/>
      <w:bookmarkEnd w:id="32"/>
      <w:r/>
      <w:r/>
    </w:p>
    <w:p>
      <w:pPr>
        <w:ind w:firstLine="600"/>
        <w:jc w:val="left"/>
        <w:keepLines w:val="0"/>
        <w:keepNext w:val="0"/>
        <w:pageBreakBefore w:val="0"/>
        <w:spacing w:line="500" w:lineRule="exact"/>
        <w:widowControl/>
        <w:rPr>
          <w:rFonts w:hint="eastAsia" w:ascii="仿宋_GB2312" w:hAnsi="仿宋_GB2312" w:eastAsia="仿宋_GB2312" w:cs="仿宋_GB2312"/>
          <w:color w:val="auto"/>
          <w:sz w:val="30"/>
          <w:szCs w:val="30"/>
          <w:highlight w:val="none"/>
          <w:lang w:val="en-US" w:eastAsia="zh-CN"/>
        </w:rPr>
        <w:outlineLvl w:val="1"/>
      </w:pPr>
      <w:r>
        <w:rPr>
          <w:rFonts w:hint="eastAsia" w:ascii="仿宋_GB2312" w:hAnsi="仿宋_GB2312" w:eastAsia="仿宋_GB2312" w:cs="仿宋_GB2312"/>
          <w:color w:val="auto"/>
          <w:sz w:val="30"/>
          <w:szCs w:val="30"/>
          <w:highlight w:val="none"/>
          <w:lang w:val="en-US" w:eastAsia="zh-CN"/>
        </w:rPr>
        <w:t xml:space="preserve">3.项目联系方式</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w:t>
      </w:r>
      <w:r>
        <w:rPr>
          <w:rFonts w:hint="eastAsia" w:ascii="仿宋_GB2312" w:hAnsi="仿宋_GB2312" w:eastAsia="仿宋_GB2312" w:cs="仿宋_GB2312"/>
          <w:b w:val="0"/>
          <w:bCs w:val="0"/>
          <w:color w:val="auto"/>
          <w:sz w:val="28"/>
          <w:szCs w:val="28"/>
        </w:rPr>
        <w:t xml:space="preserve">吴女士 </w:t>
      </w:r>
      <w:r>
        <w:rPr>
          <w:rFonts w:hint="eastAsia" w:ascii="仿宋_GB2312" w:hAnsi="仿宋_GB2312" w:eastAsia="仿宋_GB2312" w:cs="仿宋_GB2312"/>
          <w:b w:val="0"/>
          <w:bCs w:val="0"/>
          <w:color w:val="auto"/>
          <w:sz w:val="28"/>
          <w:szCs w:val="28"/>
          <w:lang w:val="en-US" w:eastAsia="zh-CN"/>
        </w:rPr>
        <w:t xml:space="preserve"> </w:t>
      </w:r>
      <w:r>
        <w:rPr>
          <w:rFonts w:hint="eastAsia" w:ascii="仿宋_GB2312" w:hAnsi="仿宋_GB2312" w:eastAsia="仿宋_GB2312" w:cs="仿宋_GB2312"/>
          <w:b w:val="0"/>
          <w:bCs w:val="0"/>
          <w:color w:val="auto"/>
          <w:sz w:val="28"/>
          <w:szCs w:val="28"/>
        </w:rPr>
        <w:t xml:space="preserve"> 0523-80260133</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firstLine="560"/>
        <w:keepLines/>
        <w:keepNext/>
        <w:pageBreakBefore w:val="0"/>
        <w:spacing w:line="500" w:lineRule="exact"/>
        <w:rPr>
          <w:rFonts w:hint="eastAsia" w:ascii="黑体" w:hAnsi="黑体" w:eastAsia="黑体" w:cs="黑体"/>
          <w:b w:val="0"/>
          <w:bCs w:val="0"/>
          <w:sz w:val="28"/>
          <w:szCs w:val="28"/>
        </w:rPr>
        <w:outlineLvl w:val="2"/>
      </w:pPr>
      <w:r>
        <w:rPr>
          <w:rFonts w:hint="eastAsia" w:ascii="黑体" w:hAnsi="黑体" w:eastAsia="黑体" w:cs="黑体"/>
          <w:b w:val="0"/>
          <w:bCs w:val="0"/>
          <w:sz w:val="28"/>
          <w:szCs w:val="28"/>
        </w:rPr>
        <w:t xml:space="preserve">五、其他</w:t>
      </w:r>
      <w:r/>
    </w:p>
    <w:p>
      <w:pPr>
        <w:ind w:firstLine="560"/>
        <w:pageBreakBefore w:val="0"/>
        <w:spacing w:line="500" w:lineRule="exact"/>
        <w:rPr>
          <w:rFonts w:hint="eastAsia" w:ascii="仿宋_GB2312" w:hAnsi="仿宋_GB2312" w:eastAsia="仿宋_GB2312" w:cs="仿宋_GB2312"/>
          <w:color w:val="auto"/>
          <w:sz w:val="28"/>
          <w:szCs w:val="28"/>
          <w:highlight w:val="none"/>
        </w:rPr>
      </w:pPr>
      <w:r/>
      <w:bookmarkStart w:id="35" w:name="_Toc120614211"/>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50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50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如潜在</w:t>
      </w:r>
      <w:r>
        <w:rPr>
          <w:rFonts w:hint="eastAsia" w:ascii="仿宋_GB2312" w:hAnsi="仿宋_GB2312" w:eastAsia="仿宋_GB2312" w:cs="仿宋_GB2312"/>
          <w:color w:val="auto"/>
          <w:sz w:val="28"/>
          <w:szCs w:val="28"/>
          <w:highlight w:val="none"/>
          <w:lang w:eastAsia="zh-CN"/>
        </w:rPr>
        <w:t xml:space="preserve">投标人</w:t>
      </w:r>
      <w:r>
        <w:rPr>
          <w:rFonts w:hint="eastAsia" w:ascii="仿宋_GB2312" w:hAnsi="仿宋_GB2312" w:eastAsia="仿宋_GB2312" w:cs="仿宋_GB2312"/>
          <w:color w:val="auto"/>
          <w:sz w:val="28"/>
          <w:szCs w:val="28"/>
          <w:highlight w:val="none"/>
        </w:rPr>
        <w:t xml:space="preserve">未按上述要求操作，将自行承担所产生的风险。</w:t>
      </w:r>
      <w:r/>
    </w:p>
    <w:p>
      <w:pPr>
        <w:ind w:firstLine="560"/>
        <w:pageBreakBefore w:val="0"/>
        <w:spacing w:line="50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50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t xml:space="preserve">第二章  </w:t>
      </w:r>
      <w:bookmarkEnd w:id="35"/>
      <w:r>
        <w:rPr>
          <w:rFonts w:hint="eastAsia" w:ascii="黑体" w:hAnsi="黑体" w:eastAsia="黑体" w:cs="黑体"/>
          <w:b w:val="0"/>
          <w:bCs w:val="0"/>
          <w:sz w:val="36"/>
          <w:szCs w:val="36"/>
        </w:rPr>
        <w:t xml:space="preserve">供应商须知</w:t>
      </w:r>
      <w:r/>
    </w:p>
    <w:p>
      <w:pPr>
        <w:pStyle w:val="1016"/>
        <w:rPr>
          <w:rFonts w:hint="eastAsia"/>
        </w:rPr>
      </w:pPr>
      <w:r>
        <w:rPr>
          <w:rFonts w:hint="eastAsia"/>
        </w:rPr>
      </w:r>
      <w:r/>
    </w:p>
    <w:p>
      <w:pPr>
        <w:ind w:left="0" w:firstLine="562"/>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36" w:name="_Toc20823275"/>
      <w:r/>
      <w:bookmarkStart w:id="37" w:name="_Toc120614214"/>
      <w:r/>
      <w:bookmarkStart w:id="38" w:name="_Toc513029203"/>
      <w:r/>
      <w:bookmarkStart w:id="39" w:name="_Toc16938519"/>
      <w:r>
        <w:rPr>
          <w:rFonts w:hint="eastAsia" w:ascii="仿宋_GB2312" w:hAnsi="仿宋_GB2312" w:eastAsia="仿宋_GB2312" w:cs="仿宋_GB2312"/>
          <w:b/>
          <w:bCs/>
          <w:sz w:val="28"/>
          <w:szCs w:val="28"/>
        </w:rPr>
        <w:t xml:space="preserve">一、总则</w:t>
      </w:r>
      <w:bookmarkEnd w:id="36"/>
      <w:r/>
      <w:bookmarkEnd w:id="37"/>
      <w:r/>
      <w:bookmarkEnd w:id="38"/>
      <w:r/>
      <w:bookmarkEnd w:id="39"/>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40" w:name="_Hlt16619475"/>
      <w:r/>
      <w:bookmarkEnd w:id="40"/>
      <w:r/>
      <w:bookmarkStart w:id="41" w:name="_Toc458694821"/>
      <w:r/>
      <w:bookmarkStart w:id="42" w:name="_Toc20823276"/>
      <w:r/>
      <w:bookmarkStart w:id="43" w:name="_Toc513029204"/>
      <w:r/>
      <w:bookmarkStart w:id="44" w:name="_Toc16938520"/>
      <w:r>
        <w:rPr>
          <w:rFonts w:hint="eastAsia" w:ascii="仿宋_GB2312" w:hAnsi="仿宋_GB2312" w:eastAsia="仿宋_GB2312" w:cs="仿宋_GB2312"/>
          <w:sz w:val="28"/>
          <w:szCs w:val="28"/>
        </w:rPr>
        <w:t xml:space="preserve">1</w:t>
      </w:r>
      <w:bookmarkEnd w:id="41"/>
      <w:r>
        <w:rPr>
          <w:rFonts w:hint="eastAsia" w:ascii="仿宋_GB2312" w:hAnsi="仿宋_GB2312" w:eastAsia="仿宋_GB2312" w:cs="仿宋_GB2312"/>
          <w:sz w:val="28"/>
          <w:szCs w:val="28"/>
        </w:rPr>
        <w:t xml:space="preserve">、采购方式</w:t>
      </w:r>
      <w:bookmarkEnd w:id="42"/>
      <w:r/>
      <w:bookmarkEnd w:id="43"/>
      <w:r/>
      <w:bookmarkEnd w:id="44"/>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本次政府采购活动采取单一来源采购方式。</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45" w:name="_Toc20823277"/>
      <w:r/>
      <w:bookmarkStart w:id="46" w:name="_Toc513029205"/>
      <w:r/>
      <w:bookmarkStart w:id="47" w:name="_Toc16938521"/>
      <w:r>
        <w:rPr>
          <w:rFonts w:hint="eastAsia" w:ascii="仿宋_GB2312" w:hAnsi="仿宋_GB2312" w:eastAsia="仿宋_GB2312" w:cs="仿宋_GB2312"/>
          <w:sz w:val="28"/>
          <w:szCs w:val="28"/>
        </w:rPr>
        <w:t xml:space="preserve">2、合格的</w:t>
      </w:r>
      <w:bookmarkEnd w:id="45"/>
      <w:r/>
      <w:bookmarkEnd w:id="46"/>
      <w:r/>
      <w:bookmarkEnd w:id="47"/>
      <w:r>
        <w:rPr>
          <w:rFonts w:hint="eastAsia" w:ascii="仿宋_GB2312" w:hAnsi="仿宋_GB2312" w:eastAsia="仿宋_GB2312" w:cs="仿宋_GB2312"/>
          <w:sz w:val="28"/>
          <w:szCs w:val="28"/>
        </w:rPr>
        <w:t xml:space="preserve">供应商</w:t>
      </w:r>
      <w:r/>
    </w:p>
    <w:p>
      <w:pPr>
        <w:ind w:left="0" w:firstLine="560"/>
        <w:pageBreakBefore w:val="0"/>
        <w:spacing w:line="520" w:lineRule="exact"/>
        <w:widowControl w:val="off"/>
        <w:rPr>
          <w:rFonts w:hint="eastAsia" w:ascii="仿宋_GB2312" w:hAnsi="仿宋_GB2312" w:eastAsia="仿宋_GB2312" w:cs="仿宋_GB2312"/>
          <w:sz w:val="28"/>
          <w:szCs w:val="28"/>
        </w:rPr>
      </w:pPr>
      <w:r/>
      <w:bookmarkStart w:id="48" w:name="_Toc20823278"/>
      <w:r/>
      <w:bookmarkStart w:id="49" w:name="_Toc16938522"/>
      <w:r/>
      <w:bookmarkStart w:id="50" w:name="_Toc513029206"/>
      <w:r>
        <w:rPr>
          <w:rFonts w:hint="eastAsia" w:ascii="仿宋_GB2312" w:hAnsi="仿宋_GB2312" w:eastAsia="仿宋_GB2312" w:cs="仿宋_GB2312"/>
          <w:sz w:val="28"/>
          <w:szCs w:val="28"/>
        </w:rPr>
        <w:t xml:space="preserve">2. 1 满足采购文件中合格单一来源供应商资格要求的规定。</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 2 满足本采购文件实质性要求的规定。</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3、适用法律</w:t>
      </w:r>
      <w:bookmarkEnd w:id="48"/>
      <w:r/>
      <w:bookmarkEnd w:id="49"/>
      <w:r/>
      <w:bookmarkEnd w:id="50"/>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本次采购及由此产生的合同受中华人民共和国有关的法律法规制约和保护。</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51" w:name="_Toc462564067"/>
      <w:r/>
      <w:bookmarkStart w:id="52" w:name="_Toc16938523"/>
      <w:r/>
      <w:bookmarkStart w:id="53" w:name="_Toc513029207"/>
      <w:r/>
      <w:bookmarkStart w:id="54" w:name="_Toc20823279"/>
      <w:r>
        <w:rPr>
          <w:rFonts w:hint="eastAsia" w:ascii="仿宋_GB2312" w:hAnsi="仿宋_GB2312" w:eastAsia="仿宋_GB2312" w:cs="仿宋_GB2312"/>
          <w:sz w:val="28"/>
          <w:szCs w:val="28"/>
        </w:rPr>
        <w:t xml:space="preserve">4、相关费用</w:t>
      </w:r>
      <w:bookmarkEnd w:id="51"/>
      <w:r/>
      <w:bookmarkEnd w:id="52"/>
      <w:r/>
      <w:bookmarkEnd w:id="53"/>
      <w:r/>
      <w:bookmarkEnd w:id="54"/>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供应商应自行承担所有与参加本次采购有关的费用，无论采购过程中的做法和结果如何，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4.2本次采购</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left="0" w:firstLine="562"/>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采购文件的约束力</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firstLine="562"/>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55" w:name="_Toc16938525"/>
      <w:r/>
      <w:bookmarkStart w:id="56" w:name="_Toc20823281"/>
      <w:r/>
      <w:bookmarkStart w:id="57" w:name="_Toc513029209"/>
      <w:r/>
      <w:bookmarkStart w:id="58" w:name="_Toc120614215"/>
      <w:r>
        <w:rPr>
          <w:rFonts w:hint="eastAsia" w:ascii="仿宋_GB2312" w:hAnsi="仿宋_GB2312" w:eastAsia="仿宋_GB2312" w:cs="仿宋_GB2312"/>
          <w:b/>
          <w:bCs/>
          <w:sz w:val="28"/>
          <w:szCs w:val="28"/>
        </w:rPr>
        <w:t xml:space="preserve">二、</w:t>
      </w:r>
      <w:bookmarkEnd w:id="55"/>
      <w:r/>
      <w:bookmarkEnd w:id="56"/>
      <w:r/>
      <w:bookmarkEnd w:id="57"/>
      <w:r/>
      <w:bookmarkEnd w:id="58"/>
      <w:r>
        <w:rPr>
          <w:rFonts w:hint="eastAsia" w:ascii="仿宋_GB2312" w:hAnsi="仿宋_GB2312" w:eastAsia="仿宋_GB2312" w:cs="仿宋_GB2312"/>
          <w:b/>
          <w:bCs/>
          <w:sz w:val="28"/>
          <w:szCs w:val="28"/>
        </w:rPr>
        <w:t xml:space="preserve">采购文件</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59" w:name="_Toc16938526"/>
      <w:r/>
      <w:bookmarkStart w:id="60" w:name="_Toc20823282"/>
      <w:r/>
      <w:bookmarkStart w:id="61" w:name="_Toc513029210"/>
      <w:r>
        <w:rPr>
          <w:rFonts w:hint="eastAsia" w:ascii="仿宋_GB2312" w:hAnsi="仿宋_GB2312" w:eastAsia="仿宋_GB2312" w:cs="仿宋_GB2312"/>
          <w:sz w:val="28"/>
          <w:szCs w:val="28"/>
        </w:rPr>
        <w:t xml:space="preserve">6、采购文件构成</w:t>
      </w:r>
      <w:bookmarkEnd w:id="59"/>
      <w:r/>
      <w:bookmarkEnd w:id="60"/>
      <w:r/>
      <w:bookmarkEnd w:id="61"/>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采购文件由以下部分组成：</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（1）单一来源采购邀请</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请仔细检查采购文件是否齐全，如有缺漏请立即与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 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62" w:name="_Toc462564072"/>
      <w:r/>
      <w:bookmarkStart w:id="63" w:name="_Toc513029213"/>
      <w:r/>
      <w:bookmarkStart w:id="64" w:name="_Toc16938529"/>
      <w:r/>
      <w:bookmarkStart w:id="65" w:name="_Toc120614216"/>
      <w:r/>
      <w:bookmarkStart w:id="66" w:name="_Toc20823285"/>
      <w:r>
        <w:rPr>
          <w:rFonts w:hint="eastAsia" w:ascii="仿宋_GB2312" w:hAnsi="仿宋_GB2312" w:eastAsia="仿宋_GB2312" w:cs="仿宋_GB2312"/>
          <w:sz w:val="28"/>
          <w:szCs w:val="28"/>
        </w:rPr>
        <w:t xml:space="preserve">7、采购文件的修改</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在</w:t>
      </w:r>
      <w:r>
        <w:rPr>
          <w:rFonts w:hint="eastAsia" w:ascii="仿宋_GB2312" w:hAnsi="仿宋_GB2312" w:eastAsia="仿宋_GB2312" w:cs="仿宋_GB2312"/>
          <w:bCs/>
          <w:sz w:val="28"/>
          <w:szCs w:val="28"/>
        </w:rPr>
        <w:t xml:space="preserve">截止时间</w:t>
      </w:r>
      <w:r>
        <w:rPr>
          <w:rFonts w:hint="eastAsia" w:ascii="仿宋_GB2312" w:hAnsi="仿宋_GB2312" w:eastAsia="仿宋_GB2312" w:cs="仿宋_GB2312"/>
          <w:sz w:val="28"/>
          <w:szCs w:val="28"/>
        </w:rPr>
        <w:t xml:space="preserve">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可以以补充文件的方式对采购文件进行修改。</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有权按照政府采购的有关要求推迟</w:t>
      </w:r>
      <w:r>
        <w:rPr>
          <w:rFonts w:hint="eastAsia" w:ascii="仿宋_GB2312" w:hAnsi="仿宋_GB2312" w:eastAsia="仿宋_GB2312" w:cs="仿宋_GB2312"/>
          <w:bCs/>
          <w:sz w:val="28"/>
          <w:szCs w:val="28"/>
        </w:rPr>
        <w:t xml:space="preserve">截止时间</w:t>
      </w:r>
      <w:r>
        <w:rPr>
          <w:rFonts w:hint="eastAsia" w:ascii="仿宋_GB2312" w:hAnsi="仿宋_GB2312" w:eastAsia="仿宋_GB2312" w:cs="仿宋_GB2312"/>
          <w:sz w:val="28"/>
          <w:szCs w:val="28"/>
        </w:rPr>
        <w:t xml:space="preserve">。</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7.3</w:t>
      </w:r>
      <w:r>
        <w:rPr>
          <w:rFonts w:hint="eastAsia" w:ascii="仿宋_GB2312" w:hAnsi="仿宋_GB2312" w:eastAsia="仿宋_GB2312" w:cs="仿宋_GB2312"/>
          <w:sz w:val="28"/>
          <w:szCs w:val="28"/>
        </w:rPr>
        <w:t xml:space="preserve">采购文件的补充文件将作为采购文件的组成部分，并对供应商具有约束力。</w:t>
      </w:r>
      <w:r/>
    </w:p>
    <w:p>
      <w:pPr>
        <w:ind w:left="0" w:firstLine="562"/>
        <w:keepLines/>
        <w:keepNext/>
        <w:pageBreakBefore w:val="0"/>
        <w:spacing w:line="520" w:lineRule="exact"/>
        <w:widowControl w:val="off"/>
        <w:rPr>
          <w:rFonts w:hint="eastAsia" w:ascii="仿宋_GB2312" w:hAnsi="仿宋_GB2312" w:eastAsia="仿宋_GB2312" w:cs="仿宋_GB2312"/>
          <w:b/>
          <w:bCs/>
          <w:sz w:val="28"/>
          <w:szCs w:val="28"/>
        </w:rPr>
        <w:outlineLvl w:val="2"/>
      </w:pPr>
      <w:r>
        <w:rPr>
          <w:rFonts w:hint="eastAsia" w:ascii="仿宋_GB2312" w:hAnsi="仿宋_GB2312" w:eastAsia="仿宋_GB2312" w:cs="仿宋_GB2312"/>
          <w:b/>
          <w:bCs/>
          <w:sz w:val="28"/>
          <w:szCs w:val="28"/>
        </w:rPr>
        <w:t xml:space="preserve">三、响应文件的编制</w:t>
      </w:r>
      <w:bookmarkEnd w:id="62"/>
      <w:r/>
      <w:bookmarkEnd w:id="63"/>
      <w:r/>
      <w:bookmarkEnd w:id="64"/>
      <w:r/>
      <w:bookmarkEnd w:id="65"/>
      <w:r/>
      <w:bookmarkEnd w:id="66"/>
      <w:r/>
      <w:r/>
    </w:p>
    <w:p>
      <w:pPr>
        <w:ind w:left="0" w:firstLine="560"/>
        <w:keepLines/>
        <w:keepNext/>
        <w:pageBreakBefore w:val="0"/>
        <w:spacing w:line="520" w:lineRule="exact"/>
        <w:widowControl w:val="off"/>
        <w:rPr>
          <w:rFonts w:hint="eastAsia" w:ascii="仿宋_GB2312" w:hAnsi="仿宋_GB2312" w:eastAsia="仿宋_GB2312" w:cs="仿宋_GB2312"/>
          <w:b/>
          <w:sz w:val="28"/>
          <w:szCs w:val="28"/>
        </w:rPr>
        <w:outlineLvl w:val="3"/>
      </w:pPr>
      <w:r/>
      <w:bookmarkStart w:id="67" w:name="_Toc20823286"/>
      <w:r/>
      <w:bookmarkStart w:id="68" w:name="_Toc16938530"/>
      <w:r/>
      <w:bookmarkStart w:id="69" w:name="_Toc462564073"/>
      <w:r/>
      <w:bookmarkStart w:id="70" w:name="_Toc513029214"/>
      <w:r>
        <w:rPr>
          <w:rFonts w:hint="eastAsia" w:ascii="仿宋_GB2312" w:hAnsi="仿宋_GB2312" w:eastAsia="仿宋_GB2312" w:cs="仿宋_GB2312"/>
          <w:sz w:val="28"/>
          <w:szCs w:val="28"/>
        </w:rPr>
        <w:t xml:space="preserve">8、响应文件的语言及度量衡单位</w:t>
      </w:r>
      <w:bookmarkEnd w:id="67"/>
      <w:r/>
      <w:bookmarkEnd w:id="68"/>
      <w:r/>
      <w:bookmarkEnd w:id="69"/>
      <w:r/>
      <w:bookmarkEnd w:id="70"/>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就有关采购活动的所有来往通知、函件和文件均应使用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71" w:name="_Toc513029215"/>
      <w:r/>
      <w:bookmarkStart w:id="72" w:name="_Toc20823287"/>
      <w:r/>
      <w:bookmarkStart w:id="73" w:name="_Toc462564074"/>
      <w:r/>
      <w:bookmarkStart w:id="74" w:name="_Toc16938531"/>
      <w:r>
        <w:rPr>
          <w:rFonts w:hint="eastAsia" w:ascii="仿宋_GB2312" w:hAnsi="仿宋_GB2312" w:eastAsia="仿宋_GB2312" w:cs="仿宋_GB2312"/>
          <w:sz w:val="28"/>
          <w:szCs w:val="28"/>
        </w:rPr>
        <w:t xml:space="preserve">9、响应文件构成</w:t>
      </w:r>
      <w:bookmarkEnd w:id="71"/>
      <w:r/>
      <w:bookmarkEnd w:id="72"/>
      <w:r/>
      <w:bookmarkEnd w:id="73"/>
      <w:r/>
      <w:bookmarkEnd w:id="74"/>
      <w:r/>
      <w:r/>
    </w:p>
    <w:p>
      <w:pPr>
        <w:ind w:left="0" w:firstLine="560"/>
        <w:pageBreakBefore w:val="0"/>
        <w:spacing w:line="520" w:lineRule="exact"/>
        <w:widowControl w:val="off"/>
        <w:rPr>
          <w:rFonts w:hint="eastAsia" w:ascii="仿宋_GB2312" w:hAnsi="仿宋_GB2312" w:eastAsia="仿宋_GB2312" w:cs="仿宋_GB2312"/>
          <w:sz w:val="28"/>
          <w:szCs w:val="28"/>
        </w:rPr>
      </w:pPr>
      <w:r/>
      <w:bookmarkStart w:id="75" w:name="_Hlt26954838"/>
      <w:r/>
      <w:bookmarkEnd w:id="75"/>
      <w:r/>
      <w:bookmarkStart w:id="76" w:name="_Hlt26668975"/>
      <w:r/>
      <w:bookmarkEnd w:id="76"/>
      <w:r/>
      <w:bookmarkStart w:id="77" w:name="_Hlt26670360"/>
      <w:r/>
      <w:bookmarkEnd w:id="77"/>
      <w:r/>
      <w:bookmarkStart w:id="78" w:name="_Toc513029219"/>
      <w:r/>
      <w:bookmarkStart w:id="79" w:name="_Toc14577355"/>
      <w:r/>
      <w:bookmarkStart w:id="80" w:name="_Toc49090508"/>
      <w:r/>
      <w:bookmarkStart w:id="81" w:name="_Toc49090507"/>
      <w:r/>
      <w:bookmarkStart w:id="82" w:name="_Toc14577357"/>
      <w:r/>
      <w:bookmarkStart w:id="83" w:name="_Toc513029216"/>
      <w:r/>
      <w:bookmarkStart w:id="84" w:name="_Toc49090509"/>
      <w:r/>
      <w:bookmarkStart w:id="85" w:name="_Toc14577354"/>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 供应商编写的响应文件应包括资格证明文件、</w:t>
      </w:r>
      <w:r>
        <w:rPr>
          <w:rFonts w:hint="eastAsia" w:ascii="仿宋_GB2312" w:hAnsi="仿宋_GB2312" w:eastAsia="仿宋_GB2312" w:cs="仿宋_GB2312"/>
          <w:sz w:val="28"/>
          <w:szCs w:val="28"/>
          <w:lang w:eastAsia="zh-CN"/>
        </w:rPr>
        <w:t xml:space="preserve">服务</w:t>
      </w:r>
      <w:r>
        <w:rPr>
          <w:rFonts w:hint="eastAsia" w:ascii="仿宋_GB2312" w:hAnsi="仿宋_GB2312" w:eastAsia="仿宋_GB2312" w:cs="仿宋_GB2312"/>
          <w:sz w:val="28"/>
          <w:szCs w:val="28"/>
        </w:rPr>
        <w:t xml:space="preserve">要求响应及偏离表、分项报价表、其他证明文件、单一来源响应函等部分。</w:t>
      </w:r>
      <w:bookmarkEnd w:id="78"/>
      <w:r/>
      <w:bookmarkEnd w:id="79"/>
      <w:r/>
      <w:bookmarkEnd w:id="80"/>
      <w:r/>
      <w:bookmarkEnd w:id="81"/>
      <w:r/>
      <w:bookmarkEnd w:id="82"/>
      <w:r/>
      <w:bookmarkEnd w:id="83"/>
      <w:r/>
      <w:bookmarkEnd w:id="84"/>
      <w:r/>
      <w:bookmarkEnd w:id="85"/>
      <w:r/>
      <w:r/>
    </w:p>
    <w:p>
      <w:pPr>
        <w:pStyle w:val="1013"/>
        <w:ind w:left="0" w:firstLine="560"/>
        <w:pageBreakBefore w:val="0"/>
        <w:spacing w:before="0" w:after="0" w:line="520" w:lineRule="exact"/>
        <w:widowControl w:val="off"/>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 xml:space="preserve">10、证明供应商及响应标的符合采购文件规定的文件</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10.1 供应商应按照法律、法规、规章和规范性文件以及采购文件要求提交证明文件，证明其及响应标的符合采购文件规定。</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10.2采购文件对证明文件无明确形式要求的，证明文件可以以文字资料、图纸和数据等形式提交。</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11、分项报价表</w:t>
      </w:r>
      <w:r/>
    </w:p>
    <w:p>
      <w:pPr>
        <w:ind w:left="0" w:firstLine="560"/>
        <w:pageBreakBefore w:val="0"/>
        <w:spacing w:line="520" w:lineRule="exact"/>
        <w:widowControl w:val="off"/>
        <w:rPr>
          <w:rFonts w:hint="eastAsia" w:ascii="仿宋_GB2312" w:hAnsi="仿宋_GB2312" w:eastAsia="仿宋_GB2312" w:cs="仿宋_GB2312"/>
          <w:bCs/>
          <w:sz w:val="28"/>
          <w:szCs w:val="28"/>
        </w:rPr>
      </w:pPr>
      <w:r/>
      <w:bookmarkStart w:id="86" w:name="_Hlt26670486"/>
      <w:r/>
      <w:bookmarkEnd w:id="86"/>
      <w:r/>
      <w:bookmarkStart w:id="87" w:name="_Hlt26670482"/>
      <w:r/>
      <w:bookmarkEnd w:id="87"/>
      <w:r/>
      <w:bookmarkStart w:id="88" w:name="_Hlt26954731"/>
      <w:r/>
      <w:bookmarkEnd w:id="88"/>
      <w:r/>
      <w:bookmarkStart w:id="89" w:name="_Hlt26954848"/>
      <w:r/>
      <w:bookmarkEnd w:id="89"/>
      <w:r/>
      <w:bookmarkStart w:id="90" w:name="_Hlt26954846"/>
      <w:r/>
      <w:bookmarkEnd w:id="90"/>
      <w:r>
        <w:rPr>
          <w:rFonts w:hint="eastAsia" w:ascii="仿宋_GB2312" w:hAnsi="仿宋_GB2312" w:eastAsia="仿宋_GB2312" w:cs="仿宋_GB2312"/>
          <w:bCs/>
          <w:sz w:val="28"/>
          <w:szCs w:val="28"/>
        </w:rPr>
        <w:t xml:space="preserve">11.1</w:t>
      </w:r>
      <w:r>
        <w:rPr>
          <w:rFonts w:hint="eastAsia" w:ascii="仿宋_GB2312" w:hAnsi="仿宋_GB2312" w:eastAsia="仿宋_GB2312" w:cs="仿宋_GB2312"/>
          <w:sz w:val="28"/>
          <w:szCs w:val="28"/>
        </w:rPr>
        <w:t xml:space="preserve"> 供应商应按照采购文件规定格式填报分项报价表。</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11.2</w:t>
      </w:r>
      <w:r>
        <w:rPr>
          <w:rFonts w:hint="eastAsia" w:ascii="仿宋_GB2312" w:hAnsi="仿宋_GB2312" w:eastAsia="仿宋_GB2312" w:cs="仿宋_GB2312"/>
          <w:bCs/>
          <w:sz w:val="28"/>
          <w:szCs w:val="28"/>
        </w:rPr>
        <w:t xml:space="preserve">报价货币。响应文件中的单价和总价无特殊规定的采用人民币报价，以元为单位标注。</w:t>
      </w:r>
      <w:r>
        <w:rPr>
          <w:rFonts w:hint="eastAsia" w:ascii="仿宋_GB2312" w:hAnsi="仿宋_GB2312" w:eastAsia="仿宋_GB2312" w:cs="仿宋_GB2312"/>
          <w:sz w:val="28"/>
          <w:szCs w:val="28"/>
        </w:rPr>
        <w:t xml:space="preserve">采购文件中另有规定的按规定执行。</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12、技术要求响应及偏离表、商务要求响应及偏离表</w:t>
      </w:r>
      <w:r/>
    </w:p>
    <w:p>
      <w:pPr>
        <w:ind w:left="0" w:firstLine="560"/>
        <w:pageBreakBefore w:val="0"/>
        <w:spacing w:line="52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12.1</w:t>
      </w:r>
      <w:r>
        <w:rPr>
          <w:rFonts w:hint="eastAsia" w:ascii="仿宋_GB2312" w:hAnsi="仿宋_GB2312" w:eastAsia="仿宋_GB2312" w:cs="仿宋_GB2312"/>
          <w:sz w:val="28"/>
          <w:szCs w:val="28"/>
          <w:lang w:val="zh-CN"/>
        </w:rPr>
        <w:t xml:space="preserve">供应商需对采购文件中的技术要求与商务要求逐项作出响应或偏离，并说明原因。</w:t>
      </w:r>
      <w:r/>
    </w:p>
    <w:p>
      <w:pPr>
        <w:ind w:left="0" w:firstLine="560"/>
        <w:pageBreakBefore w:val="0"/>
        <w:spacing w:line="52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12.2供应商需按照采购文件要求，在响应文件中提供与技术要求和商务要求相关的证明材料。</w:t>
      </w:r>
      <w:r/>
    </w:p>
    <w:p>
      <w:pPr>
        <w:pStyle w:val="1013"/>
        <w:ind w:left="0" w:firstLine="560"/>
        <w:pageBreakBefore w:val="0"/>
        <w:spacing w:before="0" w:after="0" w:line="520" w:lineRule="exact"/>
        <w:widowControl w:val="off"/>
        <w:rPr>
          <w:rFonts w:hint="eastAsia" w:ascii="仿宋_GB2312" w:hAnsi="仿宋_GB2312" w:eastAsia="仿宋_GB2312" w:cs="仿宋_GB2312"/>
          <w:b w:val="0"/>
          <w:bCs w:val="0"/>
          <w:sz w:val="28"/>
          <w:szCs w:val="28"/>
        </w:rPr>
      </w:pPr>
      <w:r/>
      <w:bookmarkStart w:id="91" w:name="_Toc49090510"/>
      <w:r/>
      <w:bookmarkStart w:id="92" w:name="_Toc14577359"/>
      <w:r>
        <w:rPr>
          <w:rFonts w:hint="eastAsia" w:ascii="仿宋_GB2312" w:hAnsi="仿宋_GB2312" w:eastAsia="仿宋_GB2312" w:cs="仿宋_GB2312"/>
          <w:b w:val="0"/>
          <w:bCs w:val="0"/>
          <w:sz w:val="28"/>
          <w:szCs w:val="28"/>
        </w:rPr>
        <w:t xml:space="preserve">13、服务承诺、培训计划、人员安排及其他</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13.1 </w:t>
      </w:r>
      <w:r>
        <w:rPr>
          <w:rFonts w:hint="eastAsia" w:ascii="仿宋_GB2312" w:hAnsi="仿宋_GB2312" w:eastAsia="仿宋_GB2312" w:cs="仿宋_GB2312"/>
          <w:sz w:val="28"/>
          <w:szCs w:val="28"/>
          <w:lang w:val="zh-CN"/>
        </w:rPr>
        <w:t xml:space="preserve">供应商</w:t>
      </w:r>
      <w:r>
        <w:rPr>
          <w:rFonts w:hint="eastAsia" w:ascii="仿宋_GB2312" w:hAnsi="仿宋_GB2312" w:eastAsia="仿宋_GB2312" w:cs="仿宋_GB2312"/>
          <w:sz w:val="28"/>
          <w:szCs w:val="28"/>
        </w:rPr>
        <w:t xml:space="preserve">需根据采购文件要求提供有关售后服务的管理制度，售后服务机构的分布情况，售后服务人员的数量、素质、技术水平及售后服务的反应能力等。</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13.2 </w:t>
      </w:r>
      <w:r>
        <w:rPr>
          <w:rFonts w:hint="eastAsia" w:ascii="仿宋_GB2312" w:hAnsi="仿宋_GB2312" w:eastAsia="仿宋_GB2312" w:cs="仿宋_GB2312"/>
          <w:sz w:val="28"/>
          <w:szCs w:val="28"/>
          <w:lang w:val="zh-CN"/>
        </w:rPr>
        <w:t xml:space="preserve">供应商</w:t>
      </w:r>
      <w:r>
        <w:rPr>
          <w:rFonts w:hint="eastAsia" w:ascii="仿宋_GB2312" w:hAnsi="仿宋_GB2312" w:eastAsia="仿宋_GB2312" w:cs="仿宋_GB2312"/>
          <w:sz w:val="28"/>
          <w:szCs w:val="28"/>
        </w:rPr>
        <w:t xml:space="preserve">需根据采购文件要求提供培训计划。</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13.3 </w:t>
      </w:r>
      <w:r>
        <w:rPr>
          <w:rFonts w:hint="eastAsia" w:ascii="仿宋_GB2312" w:hAnsi="仿宋_GB2312" w:eastAsia="仿宋_GB2312" w:cs="仿宋_GB2312"/>
          <w:sz w:val="28"/>
          <w:szCs w:val="28"/>
          <w:lang w:val="zh-CN"/>
        </w:rPr>
        <w:t xml:space="preserve">供应商</w:t>
      </w:r>
      <w:r>
        <w:rPr>
          <w:rFonts w:hint="eastAsia" w:ascii="仿宋_GB2312" w:hAnsi="仿宋_GB2312" w:eastAsia="仿宋_GB2312" w:cs="仿宋_GB2312"/>
          <w:sz w:val="28"/>
          <w:szCs w:val="28"/>
        </w:rPr>
        <w:t xml:space="preserve">需根据采购文件要求提供</w:t>
      </w:r>
      <w:r>
        <w:rPr>
          <w:rFonts w:hint="eastAsia" w:ascii="仿宋_GB2312" w:hAnsi="仿宋_GB2312" w:eastAsia="仿宋_GB2312" w:cs="仿宋_GB2312"/>
          <w:sz w:val="28"/>
          <w:szCs w:val="28"/>
          <w:lang w:val="zh-CN"/>
        </w:rPr>
        <w:t xml:space="preserve">所投标的的主要组成部分、功能设计、实现思路及关键技术等。</w:t>
      </w:r>
      <w:bookmarkEnd w:id="91"/>
      <w:r/>
      <w:bookmarkEnd w:id="92"/>
      <w:r/>
      <w:r/>
    </w:p>
    <w:p>
      <w:pPr>
        <w:pStyle w:val="1013"/>
        <w:ind w:left="0" w:firstLine="560"/>
        <w:pageBreakBefore w:val="0"/>
        <w:spacing w:before="0" w:after="0" w:line="520" w:lineRule="exact"/>
        <w:widowControl w:val="off"/>
        <w:rPr>
          <w:rFonts w:hint="eastAsia" w:ascii="仿宋_GB2312" w:hAnsi="仿宋_GB2312" w:eastAsia="仿宋_GB2312" w:cs="仿宋_GB2312"/>
          <w:b w:val="0"/>
          <w:bCs w:val="0"/>
          <w:sz w:val="28"/>
          <w:szCs w:val="28"/>
        </w:rPr>
      </w:pPr>
      <w:r/>
      <w:bookmarkStart w:id="93" w:name="_Toc14577360"/>
      <w:r/>
      <w:bookmarkStart w:id="94" w:name="_Toc49090511"/>
      <w:r>
        <w:rPr>
          <w:rFonts w:hint="eastAsia" w:ascii="仿宋_GB2312" w:hAnsi="仿宋_GB2312" w:eastAsia="仿宋_GB2312" w:cs="仿宋_GB2312"/>
          <w:b w:val="0"/>
          <w:bCs w:val="0"/>
          <w:sz w:val="28"/>
          <w:szCs w:val="28"/>
        </w:rPr>
        <w:t xml:space="preserve">14、单一来源响应函</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 供应商应按照采购文件中提供的格式完整、正确填写单一来源响应函。</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15、单一来源采购有效期</w:t>
      </w:r>
      <w:bookmarkEnd w:id="93"/>
      <w:r/>
      <w:bookmarkEnd w:id="94"/>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15.1</w:t>
      </w:r>
      <w:r>
        <w:rPr>
          <w:rFonts w:hint="eastAsia" w:ascii="仿宋_GB2312" w:hAnsi="仿宋_GB2312" w:eastAsia="仿宋_GB2312" w:cs="仿宋_GB2312"/>
          <w:bCs/>
          <w:sz w:val="28"/>
          <w:szCs w:val="28"/>
        </w:rPr>
        <w:t xml:space="preserve"> 单一来源采购有效期（以下简称“有效期”）为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规定的响应文件接收截止之日后</w:t>
      </w:r>
      <w:r>
        <w:rPr>
          <w:rFonts w:hint="eastAsia" w:ascii="仿宋_GB2312" w:hAnsi="仿宋_GB2312" w:eastAsia="仿宋_GB2312" w:cs="仿宋_GB2312"/>
          <w:b/>
          <w:sz w:val="28"/>
          <w:szCs w:val="28"/>
          <w:u w:val="single"/>
        </w:rPr>
        <w:t xml:space="preserve">三十（30）天</w:t>
      </w:r>
      <w:r>
        <w:rPr>
          <w:rFonts w:hint="eastAsia" w:ascii="仿宋_GB2312" w:hAnsi="仿宋_GB2312" w:eastAsia="仿宋_GB2312" w:cs="仿宋_GB2312"/>
          <w:bCs/>
          <w:sz w:val="28"/>
          <w:szCs w:val="28"/>
        </w:rPr>
        <w:t xml:space="preserve">。有效期比规定期限短的将被视为未响应采购文件要求而予以拒绝。</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16、有效期的延长</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于原有效期满之前，可向供应商提出延长有效期的要求。这种要求与答复均应采用书面形式。供应商可以拒绝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的这一要求而放弃单一来源采购活动，同意延长有效期的供应商既不能要求也不允许修改其响应文件。</w:t>
      </w:r>
      <w:r>
        <w:rPr>
          <w:rFonts w:hint="eastAsia" w:ascii="仿宋_GB2312" w:hAnsi="仿宋_GB2312" w:eastAsia="仿宋_GB2312" w:cs="仿宋_GB2312"/>
          <w:sz w:val="28"/>
          <w:szCs w:val="28"/>
        </w:rPr>
        <w:t xml:space="preserve">受有效期约束的所有权利与义务均延长至新的有效期</w:t>
      </w:r>
      <w:r>
        <w:rPr>
          <w:rFonts w:hint="eastAsia" w:ascii="仿宋_GB2312" w:hAnsi="仿宋_GB2312" w:eastAsia="仿宋_GB2312" w:cs="仿宋_GB2312"/>
          <w:bCs/>
          <w:sz w:val="28"/>
          <w:szCs w:val="28"/>
        </w:rPr>
        <w:t xml:space="preserve">。</w:t>
      </w:r>
      <w:r/>
    </w:p>
    <w:p>
      <w:pPr>
        <w:ind w:left="0" w:firstLine="562"/>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95" w:name="_Hlt26954852"/>
      <w:r/>
      <w:bookmarkEnd w:id="95"/>
      <w:r/>
      <w:bookmarkStart w:id="96" w:name="_Hlt26954739"/>
      <w:r/>
      <w:bookmarkEnd w:id="96"/>
      <w:r/>
      <w:bookmarkStart w:id="97" w:name="_Toc120614217"/>
      <w:r/>
      <w:bookmarkStart w:id="98" w:name="_Toc16938540"/>
      <w:r/>
      <w:bookmarkStart w:id="99" w:name="_Toc20823296"/>
      <w:r/>
      <w:bookmarkStart w:id="100" w:name="_Toc513029224"/>
      <w:r>
        <w:rPr>
          <w:rFonts w:hint="eastAsia" w:ascii="仿宋_GB2312" w:hAnsi="仿宋_GB2312" w:eastAsia="仿宋_GB2312" w:cs="仿宋_GB2312"/>
          <w:b/>
          <w:bCs/>
          <w:sz w:val="28"/>
          <w:szCs w:val="28"/>
        </w:rPr>
        <w:t xml:space="preserve">四、响应文件的递交</w:t>
      </w:r>
      <w:bookmarkEnd w:id="97"/>
      <w:r/>
      <w:bookmarkEnd w:id="98"/>
      <w:r/>
      <w:bookmarkEnd w:id="99"/>
      <w:r/>
      <w:bookmarkEnd w:id="100"/>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01" w:name="_Toc462564084"/>
      <w:r/>
      <w:bookmarkStart w:id="102" w:name="_Toc513029225"/>
      <w:r/>
      <w:bookmarkStart w:id="103" w:name="_Toc16938541"/>
      <w:r/>
      <w:bookmarkStart w:id="104" w:name="_Toc20823297"/>
      <w:r>
        <w:rPr>
          <w:rFonts w:hint="eastAsia" w:ascii="仿宋_GB2312" w:hAnsi="仿宋_GB2312" w:eastAsia="仿宋_GB2312" w:cs="仿宋_GB2312"/>
          <w:sz w:val="28"/>
          <w:szCs w:val="28"/>
        </w:rPr>
        <w:t xml:space="preserve">17、电子</w:t>
      </w:r>
      <w:bookmarkEnd w:id="101"/>
      <w:r/>
      <w:bookmarkEnd w:id="102"/>
      <w:r/>
      <w:bookmarkEnd w:id="103"/>
      <w:r/>
      <w:bookmarkEnd w:id="104"/>
      <w:r>
        <w:rPr>
          <w:rFonts w:hint="eastAsia" w:ascii="仿宋_GB2312" w:hAnsi="仿宋_GB2312" w:eastAsia="仿宋_GB2312" w:cs="仿宋_GB2312"/>
          <w:sz w:val="28"/>
          <w:szCs w:val="28"/>
        </w:rPr>
        <w:t xml:space="preserve">响应文件的递交</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17.1供应商应当按照《操作手册》规定，在截止时间前制作并上传电子响应文件。</w:t>
      </w:r>
      <w:bookmarkStart w:id="105" w:name="_Toc513029226"/>
      <w:r/>
      <w:bookmarkStart w:id="106" w:name="_Toc16938542"/>
      <w:r/>
      <w:bookmarkStart w:id="107" w:name="_Toc20823298"/>
      <w:r/>
      <w:r/>
    </w:p>
    <w:p>
      <w:pPr>
        <w:ind w:left="0"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18、提交响应文件截止时间</w:t>
      </w:r>
      <w:bookmarkEnd w:id="105"/>
      <w:r/>
      <w:bookmarkEnd w:id="106"/>
      <w:r/>
      <w:bookmarkEnd w:id="107"/>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18.1</w:t>
      </w:r>
      <w:r>
        <w:rPr>
          <w:rFonts w:hint="eastAsia" w:ascii="仿宋_GB2312" w:hAnsi="仿宋_GB2312" w:eastAsia="仿宋_GB2312" w:cs="仿宋_GB2312"/>
          <w:bCs/>
          <w:sz w:val="28"/>
          <w:szCs w:val="28"/>
        </w:rPr>
        <w:t xml:space="preserve">供应商上传电子响应文件的时间不得迟于单一来源采购邀请中规定的截止时间。</w:t>
      </w:r>
      <w:r/>
    </w:p>
    <w:p>
      <w:pPr>
        <w:ind w:left="0" w:firstLine="560"/>
        <w:pageBreakBefore w:val="0"/>
        <w:spacing w:line="520" w:lineRule="exact"/>
        <w:widowControl w:val="off"/>
        <w:rPr>
          <w:rFonts w:hint="eastAsia" w:ascii="仿宋_GB2312" w:hAnsi="仿宋_GB2312" w:eastAsia="仿宋_GB2312" w:cs="仿宋_GB2312"/>
          <w:bCs/>
          <w:sz w:val="28"/>
          <w:szCs w:val="28"/>
        </w:rPr>
      </w:pPr>
      <w:r/>
      <w:bookmarkStart w:id="108" w:name="_Toc16938543"/>
      <w:r/>
      <w:bookmarkStart w:id="109" w:name="_Toc20823299"/>
      <w:r/>
      <w:bookmarkStart w:id="110" w:name="_Toc513029227"/>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供应商应充分考虑到网络环境、网络带宽等风险因素，如因供应商自身原因造成的电子响应文件上传不成功由供应商自行承担全部责任。</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18.2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可以按照规定，通过修改采购文件酌情延长截止时间，在此情况下，供应商的所有权利和义务以及供应商受制的截止时间以延长后新的截止时间为准。</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19、响应文件</w:t>
      </w:r>
      <w:bookmarkEnd w:id="108"/>
      <w:r/>
      <w:bookmarkEnd w:id="109"/>
      <w:r/>
      <w:bookmarkEnd w:id="110"/>
      <w:r>
        <w:rPr>
          <w:rFonts w:hint="eastAsia" w:ascii="仿宋_GB2312" w:hAnsi="仿宋_GB2312" w:eastAsia="仿宋_GB2312" w:cs="仿宋_GB2312"/>
          <w:sz w:val="28"/>
          <w:szCs w:val="28"/>
        </w:rPr>
        <w:t xml:space="preserve">的拒收</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19.1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拒绝接收在其规定的截止时间后上传的任何电子响应文件。</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1" w:name="_Toc513029228"/>
      <w:r/>
      <w:bookmarkStart w:id="112" w:name="_Toc16938544"/>
      <w:r/>
      <w:bookmarkStart w:id="113" w:name="_Toc20823300"/>
      <w:r>
        <w:rPr>
          <w:rFonts w:hint="eastAsia" w:ascii="仿宋_GB2312" w:hAnsi="仿宋_GB2312" w:eastAsia="仿宋_GB2312" w:cs="仿宋_GB2312"/>
          <w:sz w:val="28"/>
          <w:szCs w:val="28"/>
        </w:rPr>
        <w:t xml:space="preserve">20、响应文件的撤回和修改</w:t>
      </w:r>
      <w:bookmarkEnd w:id="111"/>
      <w:r/>
      <w:bookmarkEnd w:id="112"/>
      <w:r/>
      <w:bookmarkEnd w:id="113"/>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20.1响应文件的撤回</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20.1.1 电子响应文件的撤回</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供应商可在截止时间前，撤回其电子响应文件，具体操作方法见《操作手册》。</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20.1.2供应商撤回电子响应文件，则认为其不再参与本项目采购活动。</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20.2响应文件的修改</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供应商可在截止时间前，对其电子响应文件进行修改，具体操作方法见《操作手册》。</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20.3</w:t>
      </w:r>
      <w:r>
        <w:rPr>
          <w:rFonts w:hint="eastAsia" w:ascii="仿宋_GB2312" w:hAnsi="仿宋_GB2312" w:eastAsia="仿宋_GB2312" w:cs="仿宋_GB2312"/>
          <w:bCs/>
          <w:sz w:val="28"/>
          <w:szCs w:val="28"/>
        </w:rPr>
        <w:t xml:space="preserve"> 在截止时间之后，供应商不得对其电子响应文件作任何修改。</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20.4</w:t>
      </w:r>
      <w:r>
        <w:rPr>
          <w:rFonts w:hint="eastAsia" w:ascii="仿宋_GB2312" w:hAnsi="仿宋_GB2312" w:eastAsia="仿宋_GB2312" w:cs="仿宋_GB2312"/>
          <w:bCs/>
          <w:sz w:val="28"/>
          <w:szCs w:val="28"/>
        </w:rPr>
        <w:t xml:space="preserve"> 在截止时间至有效期满之间的这段时间内，供应商不得撤回其响应文件。</w:t>
      </w:r>
      <w:r/>
    </w:p>
    <w:p>
      <w:pPr>
        <w:ind w:left="0" w:firstLine="562"/>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114" w:name="_Toc16938545"/>
      <w:r/>
      <w:bookmarkStart w:id="115" w:name="_Toc513029229"/>
      <w:r/>
      <w:bookmarkStart w:id="116" w:name="_Toc20823301"/>
      <w:r/>
      <w:bookmarkStart w:id="117" w:name="_Toc120614218"/>
      <w:r>
        <w:rPr>
          <w:rFonts w:hint="eastAsia" w:ascii="仿宋_GB2312" w:hAnsi="仿宋_GB2312" w:eastAsia="仿宋_GB2312" w:cs="仿宋_GB2312"/>
          <w:b/>
          <w:bCs/>
          <w:sz w:val="28"/>
          <w:szCs w:val="28"/>
        </w:rPr>
        <w:t xml:space="preserve">五、响应文件的解密与评审</w:t>
      </w:r>
      <w:bookmarkEnd w:id="114"/>
      <w:r/>
      <w:bookmarkEnd w:id="115"/>
      <w:r/>
      <w:bookmarkEnd w:id="116"/>
      <w:r/>
      <w:bookmarkEnd w:id="117"/>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18" w:name="_Toc20823302"/>
      <w:r/>
      <w:bookmarkStart w:id="119" w:name="_Toc513029230"/>
      <w:r/>
      <w:bookmarkStart w:id="120" w:name="_Toc16938546"/>
      <w:r>
        <w:rPr>
          <w:rFonts w:hint="eastAsia" w:ascii="仿宋_GB2312" w:hAnsi="仿宋_GB2312" w:eastAsia="仿宋_GB2312" w:cs="仿宋_GB2312"/>
          <w:sz w:val="28"/>
          <w:szCs w:val="28"/>
        </w:rPr>
        <w:t xml:space="preserve">21、</w:t>
      </w:r>
      <w:bookmarkEnd w:id="118"/>
      <w:r/>
      <w:bookmarkEnd w:id="119"/>
      <w:r/>
      <w:bookmarkEnd w:id="120"/>
      <w:r>
        <w:rPr>
          <w:rFonts w:hint="eastAsia" w:ascii="仿宋_GB2312" w:hAnsi="仿宋_GB2312" w:eastAsia="仿宋_GB2312" w:cs="仿宋_GB2312"/>
          <w:sz w:val="28"/>
          <w:szCs w:val="28"/>
        </w:rPr>
        <w:t xml:space="preserve">响应文件解密</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21.1供应商应当按照《操作手册》规定，在苏采云系统规定的时间内对响应文件进行解密。</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21" w:name="_Toc513029231"/>
      <w:r/>
      <w:bookmarkStart w:id="122" w:name="_Toc20823303"/>
      <w:r/>
      <w:bookmarkStart w:id="123" w:name="_Toc16938547"/>
      <w:r>
        <w:rPr>
          <w:rFonts w:hint="eastAsia" w:ascii="仿宋_GB2312" w:hAnsi="仿宋_GB2312" w:eastAsia="仿宋_GB2312" w:cs="仿宋_GB2312"/>
          <w:sz w:val="28"/>
          <w:szCs w:val="28"/>
        </w:rPr>
        <w:t xml:space="preserve">22、单一来源采购小组</w:t>
      </w:r>
      <w:r/>
    </w:p>
    <w:p>
      <w:pPr>
        <w:ind w:left="0" w:firstLine="562"/>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22.1单一来源采购小组（以下简称“采购小组”）由政府采购评审专家、采购人代表组成，且人员构成符合政府采购有关规定。</w:t>
      </w:r>
      <w:r/>
    </w:p>
    <w:p>
      <w:pPr>
        <w:ind w:left="0" w:firstLine="562"/>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22.2采购小组应当按照客观、公正、审慎的原则评审供应商的响应文件，并与</w:t>
      </w:r>
      <w:r>
        <w:rPr>
          <w:rFonts w:hint="eastAsia" w:ascii="仿宋_GB2312" w:hAnsi="仿宋_GB2312" w:eastAsia="仿宋_GB2312" w:cs="仿宋_GB2312"/>
          <w:bCs/>
          <w:sz w:val="28"/>
          <w:szCs w:val="28"/>
        </w:rPr>
        <w:t xml:space="preserve">供应商协商采购标的的价格</w:t>
      </w:r>
      <w:r>
        <w:rPr>
          <w:rFonts w:hint="eastAsia" w:ascii="仿宋_GB2312" w:hAnsi="仿宋_GB2312" w:eastAsia="仿宋_GB2312" w:cs="仿宋_GB2312"/>
          <w:sz w:val="28"/>
          <w:szCs w:val="28"/>
        </w:rPr>
        <w:t xml:space="preserve">。</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23、单一来源采购过程的保密与公正</w:t>
      </w:r>
      <w:bookmarkEnd w:id="121"/>
      <w:r/>
      <w:bookmarkEnd w:id="122"/>
      <w:r/>
      <w:bookmarkEnd w:id="123"/>
      <w:r/>
      <w:r/>
    </w:p>
    <w:p>
      <w:pPr>
        <w:ind w:left="0" w:firstLine="560"/>
        <w:pageBreakBefore w:val="0"/>
        <w:spacing w:line="520" w:lineRule="exact"/>
        <w:widowControl w:val="off"/>
        <w:rPr>
          <w:rFonts w:hint="eastAsia" w:ascii="仿宋_GB2312" w:hAnsi="仿宋_GB2312" w:eastAsia="仿宋_GB2312" w:cs="仿宋_GB2312"/>
          <w:bCs/>
          <w:sz w:val="28"/>
          <w:szCs w:val="28"/>
        </w:rPr>
      </w:pPr>
      <w:r/>
      <w:bookmarkStart w:id="124" w:name="_Toc513029232"/>
      <w:r/>
      <w:bookmarkStart w:id="125" w:name="_Toc20823304"/>
      <w:r/>
      <w:bookmarkStart w:id="126" w:name="_Toc16938548"/>
      <w:r>
        <w:rPr>
          <w:rFonts w:hint="eastAsia" w:ascii="仿宋_GB2312" w:hAnsi="仿宋_GB2312" w:eastAsia="仿宋_GB2312" w:cs="仿宋_GB2312"/>
          <w:bCs/>
          <w:sz w:val="28"/>
          <w:szCs w:val="28"/>
        </w:rPr>
        <w:t xml:space="preserve">23.1采购小组、采购人和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工作人员、相关监督人员等与评审工作有关的人员，对评审、单一来源采购情况以及在评审、单一来源采购过程（以下简称“采购过程”）中获悉的国家秘密、商业秘密负有保密责任。</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23.2在采购过程中，供应商不得以任何行为影响评审及采购过程，否则将会导致其响应文件被拒绝。</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24、评审及采购过程中的澄清</w:t>
      </w:r>
      <w:bookmarkEnd w:id="124"/>
      <w:r/>
      <w:bookmarkEnd w:id="125"/>
      <w:r/>
      <w:bookmarkEnd w:id="126"/>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24.1项目评审及采购过程中，采购小组有权要求供应商对响应文件中含义不明确、同类问题表述不一致或者有明显文字和计算错误的内容等作出必要的澄清、说明或者更正。</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24.2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24.3 接到采购小组澄清、说明和更正要求的供应商如未按规定做出澄清、说明和 更正，其风险由供应商自行承担。</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bookmarkStart w:id="127" w:name="_Toc16938549"/>
      <w:r/>
      <w:bookmarkStart w:id="128" w:name="_Toc20823305"/>
      <w:r/>
      <w:bookmarkStart w:id="129" w:name="_Toc513029233"/>
      <w:r>
        <w:rPr>
          <w:rFonts w:hint="eastAsia" w:ascii="仿宋_GB2312" w:hAnsi="仿宋_GB2312" w:eastAsia="仿宋_GB2312" w:cs="仿宋_GB2312"/>
          <w:sz w:val="28"/>
          <w:szCs w:val="28"/>
        </w:rPr>
        <w:t xml:space="preserve">25、对响应文件的审</w:t>
      </w:r>
      <w:bookmarkEnd w:id="127"/>
      <w:r/>
      <w:bookmarkEnd w:id="128"/>
      <w:r/>
      <w:bookmarkEnd w:id="129"/>
      <w:r>
        <w:rPr>
          <w:rFonts w:hint="eastAsia" w:ascii="仿宋_GB2312" w:hAnsi="仿宋_GB2312" w:eastAsia="仿宋_GB2312" w:cs="仿宋_GB2312"/>
          <w:sz w:val="28"/>
          <w:szCs w:val="28"/>
        </w:rPr>
        <w:t xml:space="preserve">查</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25.1</w:t>
      </w:r>
      <w:r>
        <w:rPr>
          <w:rFonts w:hint="eastAsia" w:ascii="仿宋_GB2312" w:hAnsi="仿宋_GB2312" w:eastAsia="仿宋_GB2312" w:cs="仿宋_GB2312"/>
          <w:bCs/>
          <w:sz w:val="28"/>
          <w:szCs w:val="28"/>
        </w:rPr>
        <w:t xml:space="preserve">响应文件审查分为资格审查和符合性审查。</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25.1.1 资格审查：由采购小组依据法律法规和单一来源文件的规定，对响应文件中的资格证明文件进行审查，以确定供应商是否具备参加单一来源的资格。</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采购小组在进行资格审查的同时，将在“信用中国”网站（www.creditchina.gov.cn）查询供应商的信用记录，以确定供应商是否具备参加单一来源采购活动的资格,查询结果留存并归档。</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25.1.2 符合性审查：依据采购文件的规定，由采购小组从响应文件的有效性、完整性和对采购文件的响应程度进行审查，以确定是否对单一来源文件的实质性要求作出响应。</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25.1.3 未通过资格审查或符合性审查的供应商，采购小组将在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中告知未通过资格审查或符合性审查的原因，评审结束后，采购小组将不再告知未通过资格审查或符合性审查的原因。</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25.2在正式进行评审之前，采购小组将首先审查每份响应文件是否实质性响应了采购文件的要求。实质性响应的响应文件应该是与采购文件要求的条款、条件和规格相符，没有重大偏离或保留。</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所谓重大偏离或保留是指与采购文件规定的实质性要求存在负偏离，或者在实质上与采购文件不一致，而且限制了合同中买方和</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的权利或供应商的义务。重大偏离由采购小组按照少数服从多数的原则认定。采购小组决定响应文件的响应性只根据响应文件本身的内容，而不寻求外部的证据。</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25.3未实质性响应采购文件的情形</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25.3.1供应商在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规定的时间内未成功解密电子响应文件的。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25.3.2供应商未按照采购文件要求上传电子响应文件的。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25.3.3供应商同一采购包提交两个（含两个）以上不同的响应文件或者最后报价的。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25.3.4供应商不具备采购文件中规定资格要求的。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25.3.5供应商的最后报价超过了采购预算。</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25.3.6不符合采购文件中规定的实质性要求的</w:t>
      </w:r>
      <w:r>
        <w:rPr>
          <w:rFonts w:hint="eastAsia" w:ascii="仿宋_GB2312" w:hAnsi="仿宋_GB2312" w:eastAsia="仿宋_GB2312" w:cs="仿宋_GB2312"/>
          <w:b/>
          <w:bCs/>
          <w:sz w:val="28"/>
          <w:szCs w:val="28"/>
        </w:rPr>
        <w:t xml:space="preserve">（本单一来源文件中</w:t>
      </w:r>
      <w:r>
        <w:rPr>
          <w:rFonts w:hint="eastAsia" w:ascii="仿宋_GB2312" w:hAnsi="仿宋_GB2312" w:eastAsia="仿宋_GB2312" w:cs="仿宋_GB2312"/>
          <w:b/>
          <w:bCs/>
          <w:i/>
          <w:sz w:val="28"/>
          <w:szCs w:val="28"/>
          <w:u w:val="single"/>
        </w:rPr>
        <w:t xml:space="preserve">斜体且有下划线部分</w:t>
      </w:r>
      <w:r>
        <w:rPr>
          <w:rFonts w:hint="eastAsia" w:ascii="仿宋_GB2312" w:hAnsi="仿宋_GB2312" w:eastAsia="仿宋_GB2312" w:cs="仿宋_GB2312"/>
          <w:b/>
          <w:bCs/>
          <w:sz w:val="28"/>
          <w:szCs w:val="28"/>
        </w:rPr>
        <w:t xml:space="preserve">或加*号条款为实质性要求）</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25.3.8 响应文件含有采购人不能接受的附加条件的。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25.3.9 如本项目采购产品被财政部、国家发改委、生态环境部等列入“节能产品品目清单”、“环境标志产品品目清单”强制采购范围，而单一来源供应商所响应产品不在强制采购范围内的。（采购的产品如属于政府强制采购节能产品品目清单范围内，响应文件中必须提供国家确定的认证机构出具的、处于有效期之内的该节能产品认证证书图片）</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25.3.10响应文件未按照单一来源文件要求加盖CA电子公章的。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25.4未实质性响应采购文件的响应文件按无效响应处理。</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25.5</w:t>
      </w:r>
      <w:r>
        <w:rPr>
          <w:rFonts w:hint="eastAsia" w:ascii="仿宋_GB2312" w:hAnsi="仿宋_GB2312" w:eastAsia="仿宋_GB2312" w:cs="仿宋_GB2312"/>
          <w:bCs/>
          <w:sz w:val="28"/>
          <w:szCs w:val="28"/>
        </w:rPr>
        <w:t xml:space="preserve">如果响应文件实质上没有响应采购文件的要求，采购小组将予以拒绝。</w:t>
      </w:r>
      <w:r/>
    </w:p>
    <w:p>
      <w:pPr>
        <w:ind w:left="0" w:firstLine="560"/>
        <w:pageBreakBefore w:val="0"/>
        <w:spacing w:line="520" w:lineRule="exact"/>
        <w:widowControl w:val="off"/>
        <w:rPr>
          <w:rFonts w:hint="eastAsia" w:ascii="仿宋_GB2312" w:hAnsi="仿宋_GB2312" w:eastAsia="仿宋_GB2312" w:cs="仿宋_GB2312"/>
          <w:sz w:val="28"/>
          <w:szCs w:val="28"/>
        </w:rPr>
      </w:pPr>
      <w:r/>
      <w:bookmarkStart w:id="130" w:name="_Toc16938550"/>
      <w:r/>
      <w:bookmarkStart w:id="131" w:name="_Toc513029234"/>
      <w:r/>
      <w:bookmarkStart w:id="132" w:name="_Toc20823306"/>
      <w:r>
        <w:rPr>
          <w:rFonts w:hint="eastAsia" w:ascii="仿宋_GB2312" w:hAnsi="仿宋_GB2312" w:eastAsia="仿宋_GB2312" w:cs="仿宋_GB2312"/>
          <w:sz w:val="28"/>
          <w:szCs w:val="28"/>
        </w:rPr>
        <w:t xml:space="preserve">25.6供应商在项目评审及单一来源采购活动全过程中应保持通讯畅通，并安排专人与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及采购小组联系。</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26、</w:t>
      </w:r>
      <w:bookmarkEnd w:id="130"/>
      <w:r/>
      <w:bookmarkEnd w:id="131"/>
      <w:r/>
      <w:bookmarkEnd w:id="132"/>
      <w:r>
        <w:rPr>
          <w:rFonts w:hint="eastAsia" w:ascii="仿宋_GB2312" w:hAnsi="仿宋_GB2312" w:eastAsia="仿宋_GB2312" w:cs="仿宋_GB2312"/>
          <w:sz w:val="28"/>
          <w:szCs w:val="28"/>
        </w:rPr>
        <w:t xml:space="preserve">单一来源谈判及成交原则</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26.1单一来源谈判</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26.1.1 对于通过资格审查和符合性审查的供应商，采购小组将通过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与其就采购标的的价格、服务等内容进行单一来源谈判。</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26.1.2</w:t>
      </w:r>
      <w:r>
        <w:rPr>
          <w:rFonts w:hint="eastAsia" w:ascii="仿宋_GB2312" w:hAnsi="仿宋_GB2312" w:eastAsia="仿宋_GB2312" w:cs="仿宋_GB2312"/>
          <w:sz w:val="28"/>
          <w:szCs w:val="28"/>
        </w:rPr>
        <w:t xml:space="preserve">供应商应当在苏采云系统中以书面形式对采购过程中做出的承诺与澄清进行确认，并在采购小组规定的时间内完成最后报价。</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26.1.3 </w:t>
      </w:r>
      <w:r>
        <w:rPr>
          <w:rFonts w:hint="eastAsia" w:ascii="仿宋_GB2312" w:hAnsi="仿宋_GB2312" w:eastAsia="仿宋_GB2312" w:cs="仿宋_GB2312"/>
          <w:sz w:val="28"/>
          <w:szCs w:val="28"/>
        </w:rPr>
        <w:t xml:space="preserve">供应商的最后报价在响应产品数量没有增加，配置、服务没有重大提高的情况下，一般不允许高于第一次报价（即单一来源谈判分项报价表</w:t>
      </w:r>
      <w:r>
        <w:rPr>
          <w:rFonts w:hint="eastAsia" w:ascii="仿宋_GB2312" w:hAnsi="仿宋_GB2312" w:eastAsia="仿宋_GB2312" w:cs="仿宋_GB2312"/>
          <w:bCs/>
          <w:sz w:val="28"/>
          <w:szCs w:val="28"/>
        </w:rPr>
        <w:t xml:space="preserve">中的</w:t>
      </w:r>
      <w:r>
        <w:rPr>
          <w:rFonts w:hint="eastAsia" w:ascii="仿宋_GB2312" w:hAnsi="仿宋_GB2312" w:eastAsia="仿宋_GB2312" w:cs="仿宋_GB2312"/>
          <w:sz w:val="28"/>
          <w:szCs w:val="28"/>
        </w:rPr>
        <w:t xml:space="preserve">报价）。否则，采购小组有权拒绝该最后报价并不再给予报价补救机会。</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 26.2成交原则</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采购小组根据政府采购相关法律、规章的规定，在供应商的响应情况能保证采购项目质量且最后报价合理的基础上确定其为成交供应商。</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26.3单一来源谈判终止情形处理</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出现下列情形之一的，</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将终止采购活动，发布项目终止公告并说明原因，重新开展采购活动：</w:t>
      </w:r>
      <w:r>
        <w:rPr>
          <w:rFonts w:hint="eastAsia" w:ascii="仿宋_GB2312" w:hAnsi="仿宋_GB2312" w:eastAsia="仿宋_GB2312" w:cs="仿宋_GB2312"/>
          <w:bCs/>
          <w:sz w:val="28"/>
          <w:szCs w:val="28"/>
        </w:rPr>
        <w:br/>
      </w:r>
      <w:r>
        <w:rPr>
          <w:rFonts w:hint="eastAsia" w:ascii="仿宋_GB2312" w:hAnsi="仿宋_GB2312" w:eastAsia="仿宋_GB2312" w:cs="仿宋_GB2312"/>
          <w:bCs/>
          <w:sz w:val="28"/>
          <w:szCs w:val="28"/>
        </w:rPr>
        <w:t xml:space="preserve">　　26.3.1 因情况变化，不再符合规定的单一来源采购方式适用情形的；</w:t>
      </w:r>
      <w:r>
        <w:rPr>
          <w:rFonts w:hint="eastAsia" w:ascii="仿宋_GB2312" w:hAnsi="仿宋_GB2312" w:eastAsia="仿宋_GB2312" w:cs="仿宋_GB2312"/>
          <w:bCs/>
          <w:sz w:val="28"/>
          <w:szCs w:val="28"/>
        </w:rPr>
        <w:br/>
      </w:r>
      <w:r>
        <w:rPr>
          <w:rFonts w:hint="eastAsia" w:ascii="仿宋_GB2312" w:hAnsi="仿宋_GB2312" w:eastAsia="仿宋_GB2312" w:cs="仿宋_GB2312"/>
          <w:bCs/>
          <w:sz w:val="28"/>
          <w:szCs w:val="28"/>
        </w:rPr>
        <w:t xml:space="preserve">　　26.3.2 出现影响采购公正的违法、违规行为的；</w:t>
      </w:r>
      <w:r>
        <w:rPr>
          <w:rFonts w:hint="eastAsia" w:ascii="仿宋_GB2312" w:hAnsi="仿宋_GB2312" w:eastAsia="仿宋_GB2312" w:cs="仿宋_GB2312"/>
          <w:bCs/>
          <w:sz w:val="28"/>
          <w:szCs w:val="28"/>
        </w:rPr>
        <w:br/>
      </w:r>
      <w:r>
        <w:rPr>
          <w:rFonts w:hint="eastAsia" w:ascii="仿宋_GB2312" w:hAnsi="仿宋_GB2312" w:eastAsia="仿宋_GB2312" w:cs="仿宋_GB2312"/>
          <w:bCs/>
          <w:sz w:val="28"/>
          <w:szCs w:val="28"/>
        </w:rPr>
        <w:t xml:space="preserve">　　26.3.3供应商最后报价超过采购预算的；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26.3.4供应商的技术方案、服务承诺、商务条款等不能满足采购人或采购小组的要求；</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 </w:t>
      </w:r>
      <w:r>
        <w:rPr>
          <w:rFonts w:hint="eastAsia" w:ascii="仿宋_GB2312" w:hAnsi="仿宋_GB2312" w:eastAsia="仿宋_GB2312" w:cs="仿宋_GB2312"/>
          <w:sz w:val="28"/>
          <w:szCs w:val="28"/>
        </w:rPr>
        <w:t xml:space="preserve">法律、法规、规章规定的其他应当终止的情形。</w:t>
      </w:r>
      <w:r/>
    </w:p>
    <w:p>
      <w:pPr>
        <w:ind w:left="0" w:firstLine="562"/>
        <w:keepLines/>
        <w:keepNext/>
        <w:pageBreakBefore w:val="0"/>
        <w:spacing w:line="520" w:lineRule="exact"/>
        <w:widowControl w:val="off"/>
        <w:rPr>
          <w:rFonts w:hint="eastAsia" w:ascii="仿宋_GB2312" w:hAnsi="仿宋_GB2312" w:eastAsia="仿宋_GB2312" w:cs="仿宋_GB2312"/>
          <w:b/>
          <w:bCs/>
          <w:sz w:val="28"/>
          <w:szCs w:val="28"/>
        </w:rPr>
        <w:outlineLvl w:val="2"/>
      </w:pPr>
      <w:r>
        <w:rPr>
          <w:rFonts w:hint="eastAsia" w:ascii="仿宋_GB2312" w:hAnsi="仿宋_GB2312" w:eastAsia="仿宋_GB2312" w:cs="仿宋_GB2312"/>
          <w:b/>
          <w:bCs/>
          <w:sz w:val="28"/>
          <w:szCs w:val="28"/>
        </w:rPr>
        <w:t xml:space="preserve">六、成交</w:t>
      </w:r>
      <w:r/>
    </w:p>
    <w:p>
      <w:pPr>
        <w:ind w:left="0" w:firstLine="560"/>
        <w:keepLines/>
        <w:keepNext/>
        <w:pageBreakBefore w:val="0"/>
        <w:spacing w:line="52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27、确定成交供应商</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27.1采购小组根据单一来源谈判情况编写单一来源评审报告，推荐成交候选供应商。</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27.2 采购人根据采购小组推荐的成交候选供应商确定成交供应商。</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 若有充分证据证明，成交供应商出现下列情况之一的，一经查实，将被取消成交资格：</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27.3.1提供虚假材料谋取成交的。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27.3.4恶意竞争，最后报价明显低于其自身合理成本且又无法提供证明的。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27.3.5不满足本采购文件规定的实质性要求，但在评审过程中又未被采购小组发现的。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27.3.6成交后无正当理由拒不与采购人签订政府采购合同或者未按照采购文件确定的事项签订政府采购合同的。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27.3.7将政府采购合同转包的。</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成交供应商被取消成交资格后，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有权重新组织采购。</w:t>
      </w:r>
      <w:r/>
    </w:p>
    <w:p>
      <w:pPr>
        <w:ind w:left="0"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33" w:name="_Toc200451960"/>
      <w:r>
        <w:rPr>
          <w:rFonts w:hint="eastAsia" w:ascii="仿宋_GB2312" w:hAnsi="仿宋_GB2312" w:eastAsia="仿宋_GB2312" w:cs="仿宋_GB2312"/>
          <w:bCs/>
          <w:sz w:val="28"/>
          <w:szCs w:val="28"/>
        </w:rPr>
        <w:t xml:space="preserve">28、质疑处理</w:t>
      </w:r>
      <w:bookmarkEnd w:id="133"/>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28.1供应商认为采购过程和采购结果使自己的权益受到损害的，可以从采购结果公布之日起七个工作日内，以书面形式向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提出质疑。</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28.2</w:t>
      </w:r>
      <w:r>
        <w:rPr>
          <w:rFonts w:hint="eastAsia" w:ascii="仿宋_GB2312" w:hAnsi="仿宋_GB2312" w:eastAsia="仿宋_GB2312" w:cs="仿宋_GB2312"/>
          <w:sz w:val="28"/>
          <w:szCs w:val="28"/>
        </w:rPr>
        <w:t xml:space="preserve"> 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28.3质疑函必须按照本采购文件中《质疑函范本》要求的格式和内容进行填写。供应商如组成联合体参加单一来源谈判，则《质疑函范本》中要求签字、盖章、加盖公章之处，联合体各方均须按要求签字、盖章、加盖公章。</w:t>
      </w:r>
      <w:r/>
    </w:p>
    <w:p>
      <w:pPr>
        <w:ind w:left="0" w:firstLine="56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28.4 采购人和</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只接收以纸质原件形式送达的质疑,建议供应商尽量通过邮寄方式提交质疑（不接受无快递运单号的快递）。</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采购人及政务中心的邮寄地址、联系人详见采购文件第一章</w:t>
      </w:r>
      <w:r>
        <w:rPr>
          <w:rFonts w:hint="eastAsia" w:ascii="仿宋_GB2312" w:hAnsi="仿宋_GB2312" w:eastAsia="仿宋_GB2312" w:cs="仿宋_GB2312"/>
          <w:sz w:val="28"/>
          <w:szCs w:val="28"/>
        </w:rPr>
        <w:t xml:space="preserve">。</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 以下情形的质疑不予受理</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28.5.1 内容不符合《政府采购质疑和投诉办法》第十二条规定的质疑。</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28.5.2 超出政府采购法定期限的质疑。</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28.5.3 以传真、电子邮件等方式递交的非原件形式的质疑。</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28.5.4未参加单一来源采购活动的供应商所提出的质疑。</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28.5.5供应商组成联合体参加单一来源谈判，联合体中任何一方或多方未按要求签字、盖章、加盖公章的质疑。</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left="0"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29、成交通知书</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firstLine="562"/>
        <w:keepLines/>
        <w:keepNext/>
        <w:pageBreakBefore w:val="0"/>
        <w:spacing w:line="520" w:lineRule="exact"/>
        <w:widowControl w:val="off"/>
        <w:rPr>
          <w:rFonts w:hint="eastAsia" w:ascii="仿宋_GB2312" w:hAnsi="仿宋_GB2312" w:eastAsia="仿宋_GB2312" w:cs="仿宋_GB2312"/>
          <w:b/>
          <w:bCs/>
          <w:sz w:val="28"/>
          <w:szCs w:val="28"/>
        </w:rPr>
        <w:outlineLvl w:val="2"/>
      </w:pPr>
      <w:r/>
      <w:bookmarkStart w:id="134" w:name="_Toc120614220"/>
      <w:r/>
      <w:bookmarkStart w:id="135" w:name="_Toc16938552"/>
      <w:r/>
      <w:bookmarkStart w:id="136" w:name="_Toc513029236"/>
      <w:r/>
      <w:bookmarkStart w:id="137" w:name="_Toc20823308"/>
      <w:r>
        <w:rPr>
          <w:rFonts w:hint="eastAsia" w:ascii="仿宋_GB2312" w:hAnsi="仿宋_GB2312" w:eastAsia="仿宋_GB2312" w:cs="仿宋_GB2312"/>
          <w:b/>
          <w:bCs/>
          <w:sz w:val="28"/>
          <w:szCs w:val="28"/>
        </w:rPr>
        <w:t xml:space="preserve">七、授予合同</w:t>
      </w:r>
      <w:bookmarkEnd w:id="134"/>
      <w:r/>
      <w:bookmarkEnd w:id="135"/>
      <w:r/>
      <w:bookmarkEnd w:id="136"/>
      <w:r/>
      <w:bookmarkEnd w:id="137"/>
      <w:r/>
      <w:r/>
    </w:p>
    <w:p>
      <w:pPr>
        <w:ind w:left="0"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38" w:name="_Toc20823309"/>
      <w:r/>
      <w:bookmarkStart w:id="139" w:name="_Toc16938553"/>
      <w:r/>
      <w:bookmarkStart w:id="140" w:name="_Toc513029237"/>
      <w:r>
        <w:rPr>
          <w:rFonts w:hint="eastAsia" w:ascii="仿宋_GB2312" w:hAnsi="仿宋_GB2312" w:eastAsia="仿宋_GB2312" w:cs="仿宋_GB2312"/>
          <w:bCs/>
          <w:sz w:val="28"/>
          <w:szCs w:val="28"/>
        </w:rPr>
        <w:t xml:space="preserve">30. 签订合同</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30.</w:t>
      </w:r>
      <w:r>
        <w:rPr>
          <w:rFonts w:hint="eastAsia" w:ascii="仿宋_GB2312" w:hAnsi="仿宋_GB2312" w:eastAsia="仿宋_GB2312" w:cs="仿宋_GB2312"/>
          <w:sz w:val="28"/>
          <w:szCs w:val="28"/>
        </w:rPr>
        <w:t xml:space="preserve">l成交供应商应当在成交通知书发出之日起三十日内，按照采购文件确定的事项与采购人签订政府采购合同。</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30.2采购文件、成交供应商的响应文件及采购过程中有关澄清、承诺文件均应作为合同附件。</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30.3 签订合同后，成交供应商不得将合同标的进行转包。未经采购人同意，成交供应商也不得采用采购包形式履行合同,否则采购人有权终止合同。转包或采购包造成采购人损失的，成交供应商应承担相应赔偿责任。</w:t>
      </w:r>
      <w:r/>
    </w:p>
    <w:p>
      <w:pPr>
        <w:ind w:left="0"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31、标的物的追加</w:t>
      </w:r>
      <w:r/>
    </w:p>
    <w:p>
      <w:pPr>
        <w:ind w:left="0" w:firstLine="56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8"/>
      <w:r/>
      <w:bookmarkEnd w:id="139"/>
      <w:r/>
      <w:bookmarkEnd w:id="140"/>
      <w:r/>
      <w:r/>
    </w:p>
    <w:p>
      <w:pPr>
        <w:ind w:left="0" w:firstLine="560"/>
        <w:keepLines/>
        <w:keepNext/>
        <w:pageBreakBefore w:val="0"/>
        <w:spacing w:line="520" w:lineRule="exact"/>
        <w:widowControl w:val="off"/>
        <w:rPr>
          <w:rFonts w:hint="eastAsia" w:ascii="仿宋_GB2312" w:hAnsi="仿宋_GB2312" w:eastAsia="仿宋_GB2312" w:cs="仿宋_GB2312"/>
          <w:bCs/>
          <w:sz w:val="28"/>
          <w:szCs w:val="28"/>
        </w:rPr>
        <w:outlineLvl w:val="3"/>
      </w:pPr>
      <w:r/>
      <w:bookmarkStart w:id="141" w:name="_Toc479757207"/>
      <w:r/>
      <w:bookmarkStart w:id="142" w:name="_Toc120614221"/>
      <w:r/>
      <w:bookmarkStart w:id="143" w:name="_Toc513029242"/>
      <w:r/>
      <w:bookmarkStart w:id="144" w:name="_Toc16938558"/>
      <w:r/>
      <w:bookmarkStart w:id="145" w:name="_Toc20823314"/>
      <w:r>
        <w:rPr>
          <w:rFonts w:hint="eastAsia" w:ascii="仿宋_GB2312" w:hAnsi="仿宋_GB2312" w:eastAsia="仿宋_GB2312" w:cs="仿宋_GB2312"/>
          <w:bCs/>
          <w:sz w:val="28"/>
          <w:szCs w:val="28"/>
        </w:rPr>
        <w:t xml:space="preserve">32、政府采购履约资金扶持政策</w:t>
      </w:r>
      <w:r/>
    </w:p>
    <w:p>
      <w:pPr>
        <w:ind w:left="0" w:firstLine="56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br w:type="page" w:clear="all"/>
      </w:r>
      <w:bookmarkEnd w:id="141"/>
      <w:r/>
      <w:bookmarkEnd w:id="142"/>
      <w:r/>
      <w:bookmarkEnd w:id="143"/>
      <w:r/>
      <w:bookmarkEnd w:id="144"/>
      <w:r/>
      <w:bookmarkEnd w:id="145"/>
      <w:r/>
      <w:r/>
    </w:p>
    <w:p>
      <w:pPr>
        <w:ind w:right="0"/>
        <w:jc w:val="center"/>
        <w:pageBreakBefore w:val="0"/>
        <w:spacing w:line="520" w:lineRule="exact"/>
        <w:widowControl w:val="off"/>
        <w:rPr>
          <w:rFonts w:hint="eastAsia" w:ascii="黑体" w:hAnsi="黑体" w:eastAsia="黑体" w:cs="黑体"/>
          <w:b w:val="0"/>
          <w:bCs w:val="0"/>
          <w:sz w:val="40"/>
          <w:szCs w:val="40"/>
        </w:rPr>
      </w:pPr>
      <w:r/>
      <w:bookmarkStart w:id="146" w:name="_Toc20823315"/>
      <w:r/>
      <w:bookmarkStart w:id="147" w:name="_Toc513029243"/>
      <w:r/>
      <w:bookmarkStart w:id="148" w:name="_Toc16938559"/>
      <w:r>
        <w:rPr>
          <w:rFonts w:hint="eastAsia" w:ascii="黑体" w:hAnsi="黑体" w:eastAsia="黑体" w:cs="黑体"/>
          <w:b w:val="0"/>
          <w:bCs w:val="0"/>
          <w:sz w:val="40"/>
          <w:szCs w:val="40"/>
        </w:rPr>
        <w:t xml:space="preserve">第三章  合同文本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r/>
    </w:p>
    <w:p>
      <w:pPr>
        <w:ind w:firstLine="800"/>
        <w:jc w:val="center"/>
        <w:spacing w:line="520" w:lineRule="exact"/>
        <w:rPr>
          <w:rFonts w:ascii="方正小标宋_GBK" w:hAnsi="方正小标宋_GBK" w:eastAsia="方正小标宋_GBK" w:cs="方正小标宋_GBK"/>
          <w:bCs/>
          <w:sz w:val="40"/>
          <w:szCs w:val="40"/>
        </w:rPr>
        <w:outlineLvl w:val="0"/>
      </w:pPr>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3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3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36"/>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甲、乙双方根据</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项目单一来源采购的结果，签署本合同。</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1.2标的质量：</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标的数量（规模）：</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1.6履行方式：</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3.1乙方应按采购文件规定的时间向甲方提供与合同标的有关的技术资料。</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562"/>
        <w:keepLines w:val="0"/>
        <w:keepNext w:val="0"/>
        <w:pageBreakBefore w:val="0"/>
        <w:spacing w:line="46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乙方保证所交付的合同标的的所有权完全属于乙方且无任何抵押、查封等产权瑕疵。</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6.1 乙方交纳人民币_________元作为本合同的履约保证金。（不得超过合同金额的10%）</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6.2合同履行结束后，甲方应及时退还交纳的履约保证金。</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6.2.1履约保证金退还方式：***</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6.2.2履约保证金退还时间：***</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6.2.3履约保证金退还条件：***</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6.2.4履约保证金不予退还的情形：***</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七、合同转包或分包</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7.1乙方不得将合同标的转包给他人履行。</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7.3乙方如有转包或未经甲方同意的分包行为，甲方有权解除合同。</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ind w:left="0" w:firstLine="560"/>
        <w:keepLines w:val="0"/>
        <w:keepNext w:val="0"/>
        <w:pageBreakBefore w:val="0"/>
        <w:spacing w:line="460" w:lineRule="exact"/>
        <w:widowControl w:val="off"/>
        <w:rPr>
          <w:rFonts w:hint="eastAsia" w:ascii="仿宋_GB2312" w:hAnsi="仿宋_GB2312" w:eastAsia="仿宋_GB2312" w:cs="仿宋_GB2312"/>
          <w:bCs/>
          <w:sz w:val="28"/>
          <w:szCs w:val="28"/>
        </w:rPr>
      </w:pPr>
      <w:r/>
      <w:bookmarkStart w:id="149" w:name="OLE_LINK2"/>
      <w:r>
        <w:rPr>
          <w:rFonts w:hint="eastAsia" w:ascii="仿宋_GB2312" w:hAnsi="仿宋_GB2312" w:eastAsia="仿宋_GB2312" w:cs="仿宋_GB2312"/>
          <w:bCs/>
          <w:sz w:val="28"/>
          <w:szCs w:val="28"/>
        </w:rPr>
        <w:t xml:space="preserve">8.1合同款项的支付方式及进度安排</w:t>
      </w:r>
      <w:r/>
    </w:p>
    <w:p>
      <w:pPr>
        <w:ind w:left="0" w:firstLine="560"/>
        <w:keepLines w:val="0"/>
        <w:keepNext w:val="0"/>
        <w:pageBreakBefore w:val="0"/>
        <w:spacing w:line="46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8.1.1 预付款  支付时间：</w:t>
      </w:r>
      <w:r>
        <w:rPr>
          <w:rFonts w:hint="eastAsia" w:ascii="仿宋_GB2312" w:hAnsi="仿宋_GB2312" w:eastAsia="仿宋_GB2312" w:cs="仿宋_GB2312"/>
          <w:bCs/>
          <w:sz w:val="28"/>
          <w:szCs w:val="28"/>
          <w:u w:val="single"/>
        </w:rPr>
        <w:t xml:space="preserve">合同签订后***工作日内</w:t>
      </w:r>
      <w:r>
        <w:rPr>
          <w:rFonts w:hint="eastAsia" w:ascii="仿宋_GB2312" w:hAnsi="仿宋_GB2312" w:eastAsia="仿宋_GB2312" w:cs="仿宋_GB2312"/>
          <w:bCs/>
          <w:sz w:val="28"/>
          <w:szCs w:val="28"/>
        </w:rPr>
        <w:t xml:space="preserve">，预付款支付比例：</w:t>
      </w:r>
      <w:r>
        <w:rPr>
          <w:rFonts w:hint="eastAsia" w:ascii="仿宋_GB2312" w:hAnsi="仿宋_GB2312" w:eastAsia="仿宋_GB2312" w:cs="仿宋_GB2312"/>
          <w:sz w:val="28"/>
          <w:szCs w:val="28"/>
          <w:u w:val="single"/>
        </w:rPr>
        <w:t xml:space="preserve">合同金额的**%</w:t>
      </w:r>
      <w:r>
        <w:rPr>
          <w:rFonts w:hint="eastAsia" w:ascii="仿宋_GB2312" w:hAnsi="仿宋_GB2312" w:eastAsia="仿宋_GB2312" w:cs="仿宋_GB2312"/>
          <w:bCs/>
          <w:sz w:val="28"/>
          <w:szCs w:val="28"/>
        </w:rPr>
        <w:t xml:space="preserve">。</w:t>
      </w:r>
      <w:r/>
    </w:p>
    <w:p>
      <w:pPr>
        <w:ind w:left="0" w:firstLine="560"/>
        <w:keepLines w:val="0"/>
        <w:keepNext w:val="0"/>
        <w:pageBreakBefore w:val="0"/>
        <w:spacing w:line="46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8.1.2 尾款  支付时间：</w:t>
      </w:r>
      <w:r>
        <w:rPr>
          <w:rFonts w:hint="eastAsia" w:ascii="仿宋_GB2312" w:hAnsi="仿宋_GB2312" w:eastAsia="仿宋_GB2312" w:cs="仿宋_GB2312"/>
          <w:bCs/>
          <w:sz w:val="28"/>
          <w:szCs w:val="28"/>
          <w:u w:val="single"/>
        </w:rPr>
        <w:t xml:space="preserve">采购人收到发票后10个工作日内</w:t>
      </w:r>
      <w:r>
        <w:rPr>
          <w:rFonts w:hint="eastAsia" w:ascii="仿宋_GB2312" w:hAnsi="仿宋_GB2312" w:eastAsia="仿宋_GB2312" w:cs="仿宋_GB2312"/>
          <w:bCs/>
          <w:sz w:val="28"/>
          <w:szCs w:val="28"/>
        </w:rPr>
        <w:t xml:space="preserve">，尾款支付比例：</w:t>
      </w:r>
      <w:r>
        <w:rPr>
          <w:rFonts w:hint="eastAsia" w:ascii="仿宋_GB2312" w:hAnsi="仿宋_GB2312" w:eastAsia="仿宋_GB2312" w:cs="仿宋_GB2312"/>
          <w:sz w:val="28"/>
          <w:szCs w:val="28"/>
          <w:u w:val="single"/>
        </w:rPr>
        <w:t xml:space="preserve">合同金额的**%</w:t>
      </w:r>
      <w:r>
        <w:rPr>
          <w:rFonts w:hint="eastAsia" w:ascii="仿宋_GB2312" w:hAnsi="仿宋_GB2312" w:eastAsia="仿宋_GB2312" w:cs="仿宋_GB2312"/>
          <w:bCs/>
          <w:sz w:val="28"/>
          <w:szCs w:val="28"/>
        </w:rPr>
        <w:t xml:space="preserve">。</w:t>
      </w:r>
      <w:r/>
    </w:p>
    <w:p>
      <w:pPr>
        <w:pStyle w:val="1036"/>
        <w:ind w:left="0" w:firstLine="560"/>
        <w:keepLines w:val="0"/>
        <w:keepNext w:val="0"/>
        <w:pageBreakBefore w:val="0"/>
        <w:spacing w:line="46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36"/>
        <w:ind w:left="0" w:firstLine="560"/>
        <w:keepLines w:val="0"/>
        <w:keepNext w:val="0"/>
        <w:pageBreakBefore w:val="0"/>
        <w:spacing w:line="46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36"/>
        <w:ind w:left="0" w:firstLine="560"/>
        <w:keepLines w:val="0"/>
        <w:keepNext w:val="0"/>
        <w:pageBreakBefore w:val="0"/>
        <w:spacing w:line="46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36"/>
        <w:ind w:left="0" w:firstLine="560"/>
        <w:keepLines w:val="0"/>
        <w:keepNext w:val="0"/>
        <w:pageBreakBefore w:val="0"/>
        <w:spacing w:line="46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36"/>
        <w:ind w:left="0" w:firstLine="560"/>
        <w:keepLines w:val="0"/>
        <w:keepNext w:val="0"/>
        <w:pageBreakBefore w:val="0"/>
        <w:spacing w:line="46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bookmarkEnd w:id="149"/>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甲方无正当理由拒绝接受乙方提供合同标的的，甲方向乙方偿付拒绝接受合同价款总值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乙方交付合同标的的标准不符合合同规定及谈判文件规定标准的，甲方有权拒绝接受合同标的，并可单方面解除合同。</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 期相同。</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十三、解决争议的方法</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ind w:left="0" w:firstLine="562"/>
        <w:keepLines w:val="0"/>
        <w:keepNext w:val="0"/>
        <w:pageBreakBefore w:val="0"/>
        <w:spacing w:line="4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14.2本合同未尽事宜，遵照中华人民共和国现行法律法规有关条文执行。</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本合同正本一式两份，具有同等法律效力，甲方、乙方各执一份。</w:t>
      </w:r>
      <w:r/>
    </w:p>
    <w:p>
      <w:pPr>
        <w:ind w:lef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480" w:hanging="560"/>
        <w:keepLines w:val="0"/>
        <w:keepNext w:val="0"/>
        <w:pageBreakBefore w:val="0"/>
        <w:spacing w:before="120" w:after="120"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keepLines w:val="0"/>
        <w:keepNext w:val="0"/>
        <w:pageBreakBefore w:val="0"/>
        <w:spacing w:before="120" w:after="120"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keepLines w:val="0"/>
        <w:keepNext w:val="0"/>
        <w:pageBreakBefore w:val="0"/>
        <w:spacing w:before="120" w:after="120"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ind w:firstLine="280"/>
        <w:keepLines w:val="0"/>
        <w:keepNext w:val="0"/>
        <w:pageBreakBefore w:val="0"/>
        <w:spacing w:before="120" w:after="120"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ind w:firstLine="280"/>
        <w:keepLines w:val="0"/>
        <w:keepNext w:val="0"/>
        <w:pageBreakBefore w:val="0"/>
        <w:spacing w:before="120" w:after="120"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560"/>
        <w:keepLines w:val="0"/>
        <w:keepNext w:val="0"/>
        <w:pageBreakBefore w:val="0"/>
        <w:spacing w:line="46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                            签订日期：      年    月   日</w:t>
      </w:r>
      <w:bookmarkEnd w:id="146"/>
      <w:r/>
      <w:bookmarkEnd w:id="147"/>
      <w:r/>
      <w:bookmarkEnd w:id="148"/>
      <w:r/>
      <w:r/>
    </w:p>
    <w:p>
      <w:pPr>
        <w:spacing w:line="400" w:lineRule="exact"/>
        <w:rPr>
          <w:rFonts w:hint="eastAsia" w:ascii="仿宋_GB2312" w:hAnsi="仿宋_GB2312" w:eastAsia="仿宋_GB2312" w:cs="仿宋_GB2312"/>
          <w:bCs/>
          <w:sz w:val="28"/>
          <w:szCs w:val="28"/>
        </w:rPr>
      </w:pPr>
      <w:r/>
      <w:bookmarkStart w:id="150" w:name="_Hlt16619369"/>
      <w:r/>
      <w:bookmarkEnd w:id="150"/>
      <w:r/>
      <w:bookmarkStart w:id="151" w:name="_Hlt16619350"/>
      <w:r/>
      <w:bookmarkStart w:id="152" w:name="_Toc20823346"/>
      <w:r/>
      <w:bookmarkStart w:id="153" w:name="_Toc120614244"/>
      <w:r/>
      <w:bookmarkStart w:id="154" w:name="_Toc16938590"/>
      <w:r/>
      <w:bookmarkStart w:id="155" w:name="_Toc479757211"/>
      <w:r/>
      <w:bookmarkStart w:id="156" w:name="_Toc462564139"/>
      <w:r>
        <w:rPr>
          <w:rFonts w:hint="eastAsia" w:ascii="仿宋_GB2312" w:hAnsi="仿宋_GB2312" w:eastAsia="仿宋_GB2312" w:cs="仿宋_GB2312"/>
          <w:bCs/>
          <w:sz w:val="28"/>
          <w:szCs w:val="28"/>
        </w:rPr>
        <w:br w:type="page" w:clear="all"/>
      </w:r>
      <w:r/>
    </w:p>
    <w:p>
      <w:pPr>
        <w:spacing w:line="50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r>
      <w:r/>
    </w:p>
    <w:p>
      <w:pPr>
        <w:jc w:val="center"/>
        <w:rPr>
          <w:rFonts w:hint="eastAsia" w:ascii="黑体" w:hAnsi="黑体" w:eastAsia="黑体" w:cs="黑体"/>
          <w:bCs/>
          <w:sz w:val="36"/>
          <w:szCs w:val="36"/>
        </w:rPr>
      </w:pPr>
      <w:r>
        <w:rPr>
          <w:rFonts w:hint="eastAsia" w:ascii="黑体" w:hAnsi="黑体" w:eastAsia="黑体" w:cs="黑体"/>
          <w:bCs/>
          <w:sz w:val="36"/>
          <w:szCs w:val="36"/>
        </w:rPr>
        <w:t xml:space="preserve">第</w:t>
      </w:r>
      <w:bookmarkEnd w:id="151"/>
      <w:r>
        <w:rPr>
          <w:rFonts w:hint="eastAsia" w:ascii="黑体" w:hAnsi="黑体" w:eastAsia="黑体" w:cs="黑体"/>
          <w:bCs/>
          <w:sz w:val="36"/>
          <w:szCs w:val="36"/>
        </w:rPr>
        <w:t xml:space="preserve">四章 采购需求</w:t>
      </w:r>
      <w:bookmarkEnd w:id="152"/>
      <w:r/>
      <w:bookmarkEnd w:id="153"/>
      <w:r/>
      <w:bookmarkEnd w:id="154"/>
      <w:r/>
      <w:bookmarkStart w:id="157" w:name="_Toc49090575"/>
      <w:r/>
      <w:bookmarkStart w:id="158" w:name="_Toc26554093"/>
      <w:r/>
      <w:r/>
    </w:p>
    <w:p>
      <w:pPr>
        <w:ind w:firstLine="562"/>
        <w:spacing w:line="0" w:lineRule="atLeas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①项目属性:服务类项目。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1015"/>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612"/>
        <w:gridCol w:w="3794"/>
      </w:tblGrid>
      <w:tr>
        <w:trPr>
          <w:cantSplit/>
          <w:jc w:val="center"/>
          <w:trHeight w:val="835"/>
        </w:trPr>
        <w:tc>
          <w:tcPr>
            <w:tcW w:w="1393"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3612"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3794"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89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612" w:type="dxa"/>
            <w:vAlign w:val="center"/>
            <w:textDirection w:val="lrTb"/>
            <w:noWrap w:val="false"/>
          </w:tcPr>
          <w:p>
            <w:pPr>
              <w:jc w:val="center"/>
              <w:spacing w:line="0" w:lineRule="atLeast"/>
              <w:tabs>
                <w:tab w:val="left" w:pos="2020" w:leader="none"/>
              </w:tabs>
              <w:rPr>
                <w:rFonts w:hint="default" w:ascii="仿宋_GB2312" w:hAnsi="仿宋_GB2312" w:eastAsia="仿宋_GB2312" w:cs="仿宋_GB2312"/>
                <w:color w:val="ff0000"/>
                <w:sz w:val="28"/>
                <w:szCs w:val="28"/>
                <w:lang w:val="en-US"/>
              </w:rPr>
            </w:pPr>
            <w:r>
              <w:rPr>
                <w:rFonts w:hint="eastAsia" w:ascii="仿宋_GB2312" w:hAnsi="仿宋_GB2312" w:eastAsia="仿宋_GB2312" w:cs="仿宋_GB2312"/>
                <w:sz w:val="28"/>
                <w:szCs w:val="28"/>
                <w:lang w:eastAsia="zh-CN"/>
              </w:rPr>
              <w:t xml:space="preserve">颅脑CTP AI软件服务</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color w:val="ff0000"/>
                <w:sz w:val="28"/>
                <w:szCs w:val="28"/>
                <w:lang w:val="en-US" w:eastAsia="zh-CN"/>
              </w:rPr>
            </w:pPr>
            <w:r>
              <w:rPr>
                <w:rFonts w:ascii="仿宋_GB2312" w:hAnsi="仿宋_GB2312" w:eastAsia="仿宋_GB2312" w:cs="仿宋_GB2312"/>
                <w:bCs/>
                <w:sz w:val="28"/>
                <w:szCs w:val="28"/>
              </w:rPr>
              <w:t xml:space="preserve">软件和信息技术服务业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1015"/>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372"/>
      </w:tblGrid>
      <w:tr>
        <w:trPr>
          <w:jc w:val="center"/>
          <w:trHeight w:val="623"/>
        </w:trPr>
        <w:tc>
          <w:tcPr>
            <w:tcW w:w="1487"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7372"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是否接受进口产品投标（是/否）</w:t>
            </w:r>
            <w:r/>
          </w:p>
        </w:tc>
      </w:tr>
      <w:tr>
        <w:trPr>
          <w:jc w:val="center"/>
          <w:trHeight w:val="686"/>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ind w:firstLine="562"/>
        <w:spacing w:line="0" w:lineRule="atLeas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numPr>
          <w:ilvl w:val="0"/>
          <w:numId w:val="0"/>
        </w:numPr>
        <w:ind w:firstLine="560"/>
        <w:keepLines w:val="0"/>
        <w:keepNext w:val="0"/>
        <w:pageBreakBefore w:val="0"/>
        <w:spacing w:line="0" w:lineRule="atLeast"/>
        <w:widowControl w:val="off"/>
        <w:rPr>
          <w:rFonts w:hint="eastAsia" w:ascii="黑体" w:hAnsi="黑体" w:eastAsia="黑体" w:cs="方正黑体_GBK"/>
          <w:bCs/>
          <w:color w:val="000000"/>
          <w:sz w:val="28"/>
          <w:szCs w:val="28"/>
        </w:rPr>
      </w:pPr>
      <w:r>
        <w:rPr>
          <w:rFonts w:hint="eastAsia" w:ascii="黑体" w:hAnsi="黑体" w:eastAsia="黑体" w:cs="方正黑体_GBK"/>
          <w:bCs/>
          <w:color w:val="000000"/>
          <w:sz w:val="28"/>
          <w:szCs w:val="28"/>
        </w:rPr>
        <w:t xml:space="preserve">项目概况</w:t>
      </w:r>
      <w:r/>
    </w:p>
    <w:p>
      <w:pPr>
        <w:pStyle w:val="1016"/>
        <w:numPr>
          <w:ilvl w:val="0"/>
          <w:numId w:val="0"/>
        </w:numPr>
      </w:pPr>
      <w:r/>
      <w:r/>
    </w:p>
    <w:p>
      <w:pPr>
        <w:pStyle w:val="1037"/>
        <w:ind w:firstLine="560"/>
        <w:keepLines w:val="0"/>
        <w:keepNext w:val="0"/>
        <w:pageBreakBefore w:val="0"/>
        <w:spacing w:before="0" w:beforeAutospacing="0" w:after="0" w:afterAutospacing="0" w:line="360" w:lineRule="auto"/>
        <w:widowControl/>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1.项目名称：兴化市人民医院颅脑CTP AI软件服务，本次采购范围包括软件服务以及相关货物的供应、运输、安装、调试、人员培训及售后服务等。</w:t>
      </w:r>
      <w:r/>
    </w:p>
    <w:p>
      <w:pPr>
        <w:pStyle w:val="1037"/>
        <w:ind w:firstLine="686"/>
        <w:keepLines w:val="0"/>
        <w:keepNext w:val="0"/>
        <w:pageBreakBefore w:val="0"/>
        <w:spacing w:before="0" w:beforeAutospacing="0" w:after="0" w:afterAutospacing="0" w:line="520" w:lineRule="exact"/>
        <w:widowControl/>
        <w:rPr>
          <w:rFonts w:hint="eastAsia" w:ascii="黑体" w:hAnsi="黑体" w:eastAsia="黑体" w:cs="仿宋"/>
          <w:i/>
          <w:sz w:val="28"/>
          <w:szCs w:val="28"/>
          <w:highlight w:val="none"/>
          <w:u w:val="single"/>
          <w:lang w:val="en-US" w:eastAsia="zh-CN" w:bidi="ar-SA"/>
        </w:rPr>
      </w:pPr>
      <w:r>
        <w:rPr>
          <w:rFonts w:hint="eastAsia" w:ascii="黑体" w:hAnsi="黑体" w:eastAsia="黑体" w:cs="仿宋"/>
          <w:i/>
          <w:color w:val="auto"/>
          <w:sz w:val="28"/>
          <w:szCs w:val="28"/>
          <w:highlight w:val="none"/>
          <w:u w:val="single"/>
          <w:lang w:val="en-US" w:eastAsia="zh-CN" w:bidi="ar-SA"/>
        </w:rPr>
        <w:t xml:space="preserve">2.本项目采购预算金额：人民币陆拾万元整（￥：600000.00元），最后响应报价高于采购预算价的，将被判定为无效响应文件。  </w:t>
      </w:r>
      <w:r/>
    </w:p>
    <w:p>
      <w:pPr>
        <w:pStyle w:val="1037"/>
        <w:ind w:firstLine="686"/>
        <w:keepLines w:val="0"/>
        <w:keepNext w:val="0"/>
        <w:pageBreakBefore w:val="0"/>
        <w:spacing w:before="0" w:beforeAutospacing="0" w:after="0" w:afterAutospacing="0" w:line="520" w:lineRule="exact"/>
        <w:widowControl/>
        <w:rPr>
          <w:rFonts w:hint="eastAsia" w:ascii="黑体" w:hAnsi="黑体" w:eastAsia="黑体" w:cs="仿宋"/>
          <w:i/>
          <w:color w:val="auto"/>
          <w:sz w:val="28"/>
          <w:szCs w:val="28"/>
          <w:highlight w:val="none"/>
          <w:u w:val="single"/>
          <w:lang w:val="en-US" w:eastAsia="zh-CN" w:bidi="ar-SA"/>
        </w:rPr>
      </w:pPr>
      <w:r>
        <w:rPr>
          <w:rFonts w:hint="eastAsia" w:ascii="黑体" w:hAnsi="黑体" w:eastAsia="黑体" w:cs="仿宋"/>
          <w:i/>
          <w:color w:val="auto"/>
          <w:sz w:val="28"/>
          <w:szCs w:val="28"/>
          <w:highlight w:val="none"/>
          <w:u w:val="single"/>
          <w:lang w:val="en-US" w:eastAsia="zh-CN" w:bidi="ar-SA"/>
        </w:rPr>
      </w:r>
      <w:r/>
    </w:p>
    <w:p>
      <w:pPr>
        <w:pStyle w:val="1037"/>
        <w:ind w:firstLine="560"/>
        <w:keepLines w:val="0"/>
        <w:keepNext w:val="0"/>
        <w:pageBreakBefore w:val="0"/>
        <w:spacing w:before="0" w:beforeAutospacing="0" w:after="0" w:afterAutospacing="0" w:line="360" w:lineRule="auto"/>
        <w:widowControl/>
        <w:rPr>
          <w:rFonts w:hint="eastAsia" w:ascii="黑体" w:hAnsi="黑体" w:eastAsia="黑体" w:cs="黑体"/>
          <w:b w:val="0"/>
          <w:bCs w:val="0"/>
          <w:color w:val="000000"/>
          <w:sz w:val="28"/>
          <w:szCs w:val="28"/>
          <w:lang w:val="en-US" w:eastAsia="zh-CN" w:bidi="ar-SA"/>
        </w:rPr>
      </w:pPr>
      <w:r>
        <w:rPr>
          <w:rFonts w:hint="eastAsia" w:ascii="黑体" w:hAnsi="黑体" w:eastAsia="黑体" w:cs="黑体"/>
          <w:b w:val="0"/>
          <w:bCs w:val="0"/>
          <w:color w:val="000000"/>
          <w:sz w:val="28"/>
          <w:szCs w:val="28"/>
          <w:lang w:val="en-US" w:eastAsia="zh-CN" w:bidi="ar-SA"/>
        </w:rPr>
        <w:t xml:space="preserve">一、服务清单</w:t>
      </w:r>
      <w:r/>
    </w:p>
    <w:tbl>
      <w:tblPr>
        <w:tblStyle w:val="1026"/>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542"/>
        <w:gridCol w:w="1234"/>
        <w:gridCol w:w="3380"/>
      </w:tblGrid>
      <w:tr>
        <w:trPr>
          <w:jc w:val="center"/>
          <w:trHeight w:val="458"/>
        </w:trPr>
        <w:tc>
          <w:tcPr>
            <w:tcW w:w="478" w:type="pct"/>
            <w:vAlign w:val="center"/>
            <w:textDirection w:val="lrTb"/>
            <w:noWrap w:val="false"/>
          </w:tcPr>
          <w:p>
            <w:pPr>
              <w:pStyle w:val="1037"/>
              <w:jc w:val="center"/>
              <w:spacing w:before="0" w:beforeAutospacing="0" w:after="0" w:afterAutospacing="0"/>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序号</w:t>
            </w:r>
            <w:r/>
          </w:p>
        </w:tc>
        <w:tc>
          <w:tcPr>
            <w:tcW w:w="1963" w:type="pct"/>
            <w:vAlign w:val="center"/>
            <w:textDirection w:val="lrTb"/>
            <w:noWrap w:val="false"/>
          </w:tcPr>
          <w:p>
            <w:pPr>
              <w:pStyle w:val="1037"/>
              <w:jc w:val="center"/>
              <w:spacing w:before="0" w:beforeAutospacing="0" w:after="0" w:afterAutospacing="0"/>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采购产品名称</w:t>
            </w:r>
            <w:r/>
          </w:p>
        </w:tc>
        <w:tc>
          <w:tcPr>
            <w:tcW w:w="684" w:type="pct"/>
            <w:vAlign w:val="center"/>
            <w:textDirection w:val="lrTb"/>
            <w:noWrap w:val="false"/>
          </w:tcPr>
          <w:p>
            <w:pPr>
              <w:pStyle w:val="1037"/>
              <w:jc w:val="center"/>
              <w:spacing w:before="0" w:beforeAutospacing="0" w:after="0" w:afterAutospacing="0"/>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数量</w:t>
            </w:r>
            <w:r/>
          </w:p>
        </w:tc>
        <w:tc>
          <w:tcPr>
            <w:tcW w:w="1873" w:type="pct"/>
            <w:vAlign w:val="center"/>
            <w:textDirection w:val="lrTb"/>
            <w:noWrap w:val="false"/>
          </w:tcPr>
          <w:p>
            <w:pPr>
              <w:pStyle w:val="1037"/>
              <w:jc w:val="center"/>
              <w:spacing w:before="0" w:beforeAutospacing="0" w:after="0" w:afterAutospacing="0"/>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交货地点</w:t>
            </w:r>
            <w:r/>
          </w:p>
        </w:tc>
      </w:tr>
      <w:tr>
        <w:trPr>
          <w:jc w:val="center"/>
          <w:trHeight w:val="583"/>
        </w:trPr>
        <w:tc>
          <w:tcPr>
            <w:tcW w:w="478" w:type="pct"/>
            <w:vAlign w:val="center"/>
            <w:textDirection w:val="lrTb"/>
            <w:noWrap w:val="false"/>
          </w:tcPr>
          <w:p>
            <w:pPr>
              <w:pStyle w:val="1037"/>
              <w:jc w:val="center"/>
              <w:spacing w:before="0" w:beforeAutospacing="0" w:after="0" w:afterAutospacing="0"/>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1</w:t>
            </w:r>
            <w:r/>
          </w:p>
        </w:tc>
        <w:tc>
          <w:tcPr>
            <w:tcW w:w="1963" w:type="pct"/>
            <w:vAlign w:val="center"/>
            <w:textDirection w:val="lrTb"/>
            <w:noWrap w:val="false"/>
          </w:tcPr>
          <w:p>
            <w:pPr>
              <w:pStyle w:val="1037"/>
              <w:jc w:val="center"/>
              <w:spacing w:before="0" w:beforeAutospacing="0" w:after="0" w:afterAutospacing="0"/>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颅脑CTP AI软件服务</w:t>
            </w:r>
            <w:r/>
          </w:p>
        </w:tc>
        <w:tc>
          <w:tcPr>
            <w:tcW w:w="684" w:type="pct"/>
            <w:vAlign w:val="center"/>
            <w:textDirection w:val="lrTb"/>
            <w:noWrap w:val="false"/>
          </w:tcPr>
          <w:p>
            <w:pPr>
              <w:pStyle w:val="1037"/>
              <w:jc w:val="center"/>
              <w:spacing w:before="0" w:beforeAutospacing="0" w:after="0" w:afterAutospacing="0"/>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1</w:t>
            </w:r>
            <w:r/>
          </w:p>
        </w:tc>
        <w:tc>
          <w:tcPr>
            <w:tcW w:w="1873" w:type="pct"/>
            <w:vAlign w:val="center"/>
            <w:textDirection w:val="lrTb"/>
            <w:noWrap w:val="false"/>
          </w:tcPr>
          <w:p>
            <w:pPr>
              <w:pStyle w:val="1037"/>
              <w:jc w:val="center"/>
              <w:spacing w:before="0" w:beforeAutospacing="0" w:after="0" w:afterAutospacing="0"/>
              <w:rPr>
                <w:rFonts w:hint="default"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兴化市人民医院影像科</w:t>
            </w:r>
            <w:r/>
          </w:p>
        </w:tc>
      </w:tr>
    </w:tbl>
    <w:p>
      <w:pPr>
        <w:pStyle w:val="1037"/>
        <w:numPr>
          <w:ilvl w:val="-1"/>
          <w:numId w:val="0"/>
        </w:numPr>
        <w:ind w:firstLine="560"/>
        <w:spacing w:before="0" w:beforeAutospacing="0" w:after="0" w:afterAutospacing="0" w:line="440" w:lineRule="exact"/>
        <w:rPr>
          <w:rFonts w:hint="eastAsia" w:ascii="黑体" w:hAnsi="黑体" w:eastAsia="黑体" w:cs="黑体"/>
          <w:b w:val="0"/>
          <w:bCs w:val="0"/>
          <w:color w:val="000000"/>
          <w:sz w:val="28"/>
          <w:szCs w:val="28"/>
          <w:lang w:val="en-US" w:eastAsia="zh-CN" w:bidi="ar-SA"/>
        </w:rPr>
      </w:pPr>
      <w:r>
        <w:rPr>
          <w:rFonts w:hint="eastAsia" w:ascii="黑体" w:hAnsi="黑体" w:eastAsia="黑体" w:cs="黑体"/>
          <w:b w:val="0"/>
          <w:bCs w:val="0"/>
          <w:color w:val="000000"/>
          <w:sz w:val="28"/>
          <w:szCs w:val="28"/>
          <w:lang w:val="en-US" w:eastAsia="zh-CN" w:bidi="ar-SA"/>
        </w:rPr>
        <w:t xml:space="preserve">二、功能参数</w:t>
      </w:r>
      <w:r/>
    </w:p>
    <w:tbl>
      <w:tblPr>
        <w:tblStyle w:val="1015"/>
        <w:tblW w:w="8960"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8" w:type="dxa"/>
          <w:top w:w="0" w:type="dxa"/>
          <w:right w:w="108" w:type="dxa"/>
          <w:bottom w:w="0" w:type="dxa"/>
        </w:tblCellMar>
        <w:tblLook w:val="04A0" w:firstRow="1" w:lastRow="0" w:firstColumn="1" w:lastColumn="0" w:noHBand="0" w:noVBand="1"/>
      </w:tblPr>
      <w:tblGrid>
        <w:gridCol w:w="1075"/>
        <w:gridCol w:w="7885"/>
      </w:tblGrid>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default" w:ascii="仿宋_GB2312" w:hAnsi="仿宋_GB2312" w:eastAsia="仿宋_GB2312" w:cs="仿宋_GB2312"/>
                <w:color w:val="000000"/>
                <w:sz w:val="24"/>
                <w:szCs w:val="24"/>
                <w:lang w:val="en-US" w:eastAsia="zh-CN" w:bidi="ar-SA"/>
              </w:rPr>
            </w:pPr>
            <w:r>
              <w:rPr>
                <w:rFonts w:hint="default" w:ascii="仿宋_GB2312" w:hAnsi="仿宋_GB2312" w:eastAsia="仿宋_GB2312" w:cs="仿宋_GB2312"/>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CT 脑灌注智能分析系统</w:t>
            </w:r>
            <w:r/>
          </w:p>
        </w:tc>
      </w:tr>
      <w:tr>
        <w:trPr>
          <w:jc w:val="center"/>
          <w:trHeight w:val="412"/>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 xml:space="preserve">产品资质与性能要求</w:t>
            </w:r>
            <w:r/>
          </w:p>
        </w:tc>
      </w:tr>
      <w:tr>
        <w:trPr>
          <w:jc w:val="center"/>
          <w:trHeight w:val="393"/>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产品具备对急性缺血性脑梗死的梗死核心预测的 DICE 相似系数≥0.24，提供已发表文章证明。</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产品支持对于急性缺血性脑梗死患者的 CTP 检查数据，不同采样间隔（＜5.1s）不会影响 Mismatch 判断，包括梗死核心、低灌注区和 Mismatch 比值，提供已发表文章证明。</w:t>
            </w:r>
            <w:r/>
          </w:p>
        </w:tc>
      </w:tr>
      <w:tr>
        <w:trPr>
          <w:jc w:val="center"/>
          <w:trHeight w:val="49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 xml:space="preserve">影像浏览及阅片</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具备左键长按拖拽可便捷播放影像序列方便快速查看影像概况。</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具备头颅最大密度投影图（tMIP），自动生成头颅最大密度投影图，方便医生查看血管的情况。</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具备动静脉标准点，自动筛选灌注扫描范围中中动静脉最亮的点作为动静脉标准点开计算 TDC 曲线。</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具备动静脉自定义选点及中心线调整。</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具备动静脉标准点时间 - 密度曲线图（TDC 曲线图），TDC 曲线为静脉注射造影剂的同时对选定的层面进行多次连续扫描，以获得相应层面内每一象素的时间 - 密度曲线 (TDC)。</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2.6</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 TDC 曲线异常提醒。</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2.7</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具备脑血流流量图（CBF）, 自动生成脑血流流量图，并可配置色值区间，辅助医生查看脑血流量改变区域。</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2.8</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具备脑血流容量图（CBV），自动生成脑血流容量图，并可配置色值区间，辅助医生查看脑血流量改变区域。</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2.9</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具备对比剂平均通过时间图（MTT），自动生成对比剂平均通过时间图，并可配置色值区间，辅助医生判断脑组织对比剂通过时间的改变。</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2.10</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具备对比剂峰值时间图（TTP），自动生成对比剂峰值时间图，并可配置色值区间，辅助医生判断脑组织对比剂峰值时间的改变。</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2.11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具备对比剂达峰时间图（Tmax），自动生成对比剂达峰时间图，并可配置色值区间，帮助医生判断脑组织对比剂达峰时间的改变。</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 xml:space="preserve">病灶检出与分析</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具备自动生成多阈值的脑血流量对比图和体积。</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具备自动生成多阈值的对比剂达峰时间对比图和体积。</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具备自动生成多阈值的脑血容量对比图和体积。</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具备参数图联动功能，多个参数图可进行同步联动。</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3.5</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具备通过对比双侧脑组织发现参数异常区域，自动检出提示 CBF、CBV、TTP、MTT、Tmax 参数图异常区域。</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3.6</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具备计算核心梗死区体积，自动输出全脑及各个脑区 CBF&lt;30% 的核心梗死区体积。</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3.7</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具备计算低灌注区体积，自动输出全脑及各个脑区 Tmax&gt;6s 的所有脑组织的体积。</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3.8</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具备计算核心梗死区及低灌注区不匹配比值，并支持个性化配置标准，自动输出相应量化结果。</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3.9</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具备异常脑区手动修改，用户可根据需求删除异常区域脑区，系统将自动计算删除后的核心梗死区、低灌注区以及不匹配比值结果。</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3.10</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 ROI 测量，用户可自定义勾画病灶区域，并自动输出脑区两侧 ROI 结果。</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3.11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具备CTP重CTA 图像，并支持手动调整 CTP 调整 CTA 的期相。并可在 TDC 曲线定位选取的期相序列。</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▲3.11.1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CTP 重建 CTA 图像和传统头颈 CTA 图像质量无差异，提供已发表文章证明。</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▲3.11.2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CTP 重建 CTA 和传统 CTA 相比，降低有效辐射剂量，提供已发表文章证明。</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3.12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具备自动按脑区勾勒 ROI 测量图形并输出测量结果，支持设置分区结果显隐状态。</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3.13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具备脑区及重要核团分割功能。</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3.14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具备自动测量对比分析不同脑区及核团灌注参数值的功能。</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bidi="ar-SA"/>
              </w:rPr>
              <w:t xml:space="preserve">一键报告与打印</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4.1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具备结构化文本报告，根据诊断结果一键生成文本报告且支持编辑与复制；根据诊断结果一键生成表格报告且支持复制。</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4.2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具备快捷推送，按规则选择目标影像，自动加入待推送影像序列，一键推送影像序列至目标 DICOM 节点</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75" w:type="dxa"/>
            <w:vAlign w:val="center"/>
            <w:textDirection w:val="lrTb"/>
            <w:noWrap w:val="false"/>
          </w:tcPr>
          <w:p>
            <w:pPr>
              <w:jc w:val="center"/>
              <w:keepLines w:val="0"/>
              <w:keepNext w:val="0"/>
              <w:pageBreakBefore w:val="0"/>
              <w:spacing w:before="0" w:after="0" w:line="288" w:lineRule="auto"/>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4.3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885" w:type="dxa"/>
            <w:vAlign w:val="center"/>
            <w:textDirection w:val="lrTb"/>
            <w:noWrap w:val="false"/>
          </w:tcPr>
          <w:p>
            <w:pPr>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 xml:space="preserve">具备快捷打印，按规则选择目标影像，自动加入待打印影像序列；支持预设胶片预设布局、支持预设胶片元信息，支持配置打印胶片模板和自定义选择待打印影像，支持一键根据预设规则完成影像排版，一键完成胶片打印</w:t>
            </w:r>
            <w:r/>
          </w:p>
        </w:tc>
      </w:tr>
    </w:tbl>
    <w:p>
      <w:pPr>
        <w:keepLines w:val="0"/>
        <w:keepNext w:val="0"/>
        <w:pageBreakBefore w:val="0"/>
        <w:spacing w:before="0" w:beforeAutospacing="0" w:after="0" w:afterAutospacing="0"/>
        <w:widowControl/>
        <w:rPr>
          <w:rFonts w:hint="eastAsia" w:ascii="黑体" w:hAnsi="黑体" w:eastAsia="黑体" w:cs="黑体"/>
          <w:b w:val="0"/>
          <w:bCs w:val="0"/>
          <w:color w:val="000000"/>
          <w:sz w:val="28"/>
          <w:szCs w:val="28"/>
          <w:lang w:val="en-US" w:eastAsia="zh-CN" w:bidi="ar-SA"/>
        </w:rPr>
      </w:pPr>
      <w:r>
        <w:rPr>
          <w:rFonts w:hint="eastAsia" w:ascii="黑体" w:hAnsi="黑体" w:eastAsia="黑体" w:cs="黑体"/>
          <w:b w:val="0"/>
          <w:bCs w:val="0"/>
          <w:color w:val="000000"/>
          <w:sz w:val="28"/>
          <w:szCs w:val="28"/>
          <w:lang w:val="en-US" w:eastAsia="zh-CN" w:bidi="ar-SA"/>
        </w:rPr>
      </w:r>
      <w:r/>
    </w:p>
    <w:p>
      <w:pPr>
        <w:pStyle w:val="1037"/>
        <w:ind w:firstLine="560"/>
        <w:keepLines w:val="0"/>
        <w:keepNext w:val="0"/>
        <w:pageBreakBefore w:val="0"/>
        <w:spacing w:before="0" w:beforeAutospacing="0" w:after="0" w:afterAutospacing="0" w:line="520" w:lineRule="exact"/>
        <w:widowControl/>
        <w:rPr>
          <w:rFonts w:hint="eastAsia" w:ascii="黑体" w:hAnsi="黑体" w:eastAsia="黑体" w:cs="黑体"/>
          <w:b w:val="0"/>
          <w:bCs w:val="0"/>
          <w:color w:val="000000"/>
          <w:sz w:val="28"/>
          <w:szCs w:val="28"/>
          <w:lang w:val="en-US" w:eastAsia="zh-CN" w:bidi="ar-SA"/>
        </w:rPr>
      </w:pPr>
      <w:r>
        <w:rPr>
          <w:rFonts w:hint="eastAsia" w:ascii="黑体" w:hAnsi="黑体" w:eastAsia="黑体" w:cs="黑体"/>
          <w:b w:val="0"/>
          <w:bCs w:val="0"/>
          <w:color w:val="000000"/>
          <w:sz w:val="28"/>
          <w:szCs w:val="28"/>
          <w:lang w:val="en-US" w:eastAsia="zh-CN" w:bidi="ar-SA"/>
        </w:rPr>
        <w:t xml:space="preserve">三、商务要求</w:t>
      </w:r>
      <w:r/>
    </w:p>
    <w:p>
      <w:pPr>
        <w:ind w:firstLine="562"/>
        <w:keepLines w:val="0"/>
        <w:keepNext w:val="0"/>
        <w:pageBreakBefore w:val="0"/>
        <w:spacing w:after="0" w:line="520" w:lineRule="exact"/>
        <w:widowControl w:val="off"/>
        <w:rPr>
          <w:rFonts w:hint="eastAsia" w:ascii="仿宋_GB2312" w:hAnsi="仿宋_GB2312" w:eastAsia="仿宋_GB2312" w:cs="仿宋_GB2312"/>
          <w:b/>
          <w:bCs/>
          <w:color w:val="000000"/>
          <w:sz w:val="28"/>
          <w:szCs w:val="28"/>
          <w:lang w:val="en-US" w:eastAsia="zh-CN" w:bidi="ar-SA"/>
        </w:rPr>
      </w:pPr>
      <w:r>
        <w:rPr>
          <w:rFonts w:hint="eastAsia" w:ascii="仿宋_GB2312" w:hAnsi="仿宋_GB2312" w:eastAsia="仿宋_GB2312" w:cs="仿宋_GB2312"/>
          <w:b/>
          <w:bCs/>
          <w:color w:val="000000"/>
          <w:sz w:val="28"/>
          <w:szCs w:val="28"/>
          <w:lang w:val="en-US" w:eastAsia="zh-CN" w:bidi="ar-SA"/>
        </w:rPr>
        <w:t xml:space="preserve">1.交货时间、地点 </w:t>
      </w:r>
      <w:r/>
    </w:p>
    <w:p>
      <w:pPr>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（1）采购合同签订后，2个月内完成技术开发、部署、调试、试运行、验收等；</w:t>
      </w:r>
      <w:r/>
    </w:p>
    <w:p>
      <w:pPr>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（2）交货地点：兴化市人民医院影像科。        </w:t>
      </w:r>
      <w:r/>
    </w:p>
    <w:p>
      <w:pPr>
        <w:ind w:firstLine="562"/>
        <w:keepLines w:val="0"/>
        <w:keepNext w:val="0"/>
        <w:pageBreakBefore w:val="0"/>
        <w:spacing w:after="0" w:line="520" w:lineRule="exact"/>
        <w:widowControl w:val="off"/>
        <w:rPr>
          <w:rFonts w:hint="eastAsia" w:ascii="仿宋_GB2312" w:hAnsi="仿宋_GB2312" w:eastAsia="仿宋_GB2312" w:cs="仿宋_GB2312"/>
          <w:b/>
          <w:bCs/>
          <w:color w:val="000000"/>
          <w:sz w:val="28"/>
          <w:szCs w:val="28"/>
          <w:highlight w:val="none"/>
          <w:lang w:val="en-US" w:eastAsia="zh-CN" w:bidi="ar-SA"/>
        </w:rPr>
      </w:pPr>
      <w:r>
        <w:rPr>
          <w:rFonts w:hint="eastAsia" w:ascii="仿宋_GB2312" w:hAnsi="仿宋_GB2312" w:eastAsia="仿宋_GB2312" w:cs="仿宋_GB2312"/>
          <w:b/>
          <w:bCs/>
          <w:color w:val="000000"/>
          <w:sz w:val="28"/>
          <w:szCs w:val="28"/>
          <w:highlight w:val="none"/>
          <w:lang w:val="en-US" w:eastAsia="zh-CN" w:bidi="ar-SA"/>
        </w:rPr>
        <w:t xml:space="preserve">2.付款方式：分期付款</w:t>
      </w:r>
      <w:r/>
    </w:p>
    <w:p>
      <w:pPr>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（1）本合同签订后，采购人支付合同总金额的30%预付款；</w:t>
      </w:r>
      <w:r/>
    </w:p>
    <w:p>
      <w:pPr>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（2）成交供应商完成产品的到货安装，采购方组织初步验收。初验通过后，成交供应商向采购方开具发票及付款申请，采购方收到成交供应商开具的发票，达到付款条件起30日内，无息支付合同金额的60%。</w:t>
      </w:r>
      <w:r/>
    </w:p>
    <w:p>
      <w:pPr>
        <w:ind w:firstLine="560"/>
        <w:keepLines w:val="0"/>
        <w:keepNext w:val="0"/>
        <w:pageBreakBefore w:val="0"/>
        <w:spacing w:after="0" w:line="520" w:lineRule="exact"/>
        <w:widowControl w:val="off"/>
        <w:rPr>
          <w:rFonts w:hint="default"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（3）产品终验完成后，自验收合格之日起成交供应商提供为期1年的质保服务，无重大问题，无息支付合同金额的10%。</w:t>
      </w:r>
      <w:r/>
    </w:p>
    <w:p>
      <w:pPr>
        <w:ind w:firstLine="562"/>
        <w:keepLines w:val="0"/>
        <w:keepNext w:val="0"/>
        <w:pageBreakBefore w:val="0"/>
        <w:spacing w:after="0" w:line="520" w:lineRule="exact"/>
        <w:widowControl w:val="off"/>
        <w:rPr>
          <w:rFonts w:hint="eastAsia" w:ascii="仿宋_GB2312" w:hAnsi="仿宋_GB2312" w:eastAsia="仿宋_GB2312" w:cs="仿宋_GB2312"/>
          <w:b/>
          <w:bCs/>
          <w:color w:val="000000"/>
          <w:sz w:val="28"/>
          <w:szCs w:val="28"/>
          <w:highlight w:val="none"/>
          <w:lang w:val="en-US" w:eastAsia="zh-CN" w:bidi="ar-SA"/>
        </w:rPr>
      </w:pPr>
      <w:r>
        <w:rPr>
          <w:rFonts w:hint="eastAsia" w:ascii="仿宋_GB2312" w:hAnsi="仿宋_GB2312" w:eastAsia="仿宋_GB2312" w:cs="仿宋_GB2312"/>
          <w:b/>
          <w:bCs/>
          <w:color w:val="000000"/>
          <w:sz w:val="28"/>
          <w:szCs w:val="28"/>
          <w:highlight w:val="none"/>
          <w:lang w:val="en-US" w:eastAsia="zh-CN" w:bidi="ar-SA"/>
        </w:rPr>
        <w:t xml:space="preserve">3.验收要求</w:t>
      </w:r>
      <w:r/>
    </w:p>
    <w:p>
      <w:pPr>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（1）成交供应商应提供硬件设备型号和软件的版本号。 </w:t>
      </w:r>
      <w:r/>
    </w:p>
    <w:p>
      <w:pPr>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（2）成交供应商须在合同规定的时间内，以完工验收申请报告形式书面通知采购人以声明整个系统完毕，成交供应商申请验收，采购人审核通过后</w:t>
      </w:r>
      <w:r>
        <w:rPr>
          <w:rFonts w:hint="default" w:ascii="仿宋_GB2312" w:hAnsi="仿宋_GB2312" w:eastAsia="仿宋_GB2312" w:cs="仿宋_GB2312"/>
          <w:color w:val="000000"/>
          <w:sz w:val="28"/>
          <w:szCs w:val="28"/>
          <w:highlight w:val="none"/>
          <w:lang w:val="en-US" w:eastAsia="zh-CN" w:bidi="ar-SA"/>
        </w:rPr>
        <w:t xml:space="preserve">15</w:t>
      </w:r>
      <w:r>
        <w:rPr>
          <w:rFonts w:hint="eastAsia" w:ascii="仿宋_GB2312" w:hAnsi="仿宋_GB2312" w:eastAsia="仿宋_GB2312" w:cs="仿宋_GB2312"/>
          <w:color w:val="000000"/>
          <w:sz w:val="28"/>
          <w:szCs w:val="28"/>
          <w:highlight w:val="none"/>
          <w:lang w:val="en-US" w:eastAsia="zh-CN" w:bidi="ar-SA"/>
        </w:rPr>
        <w:t xml:space="preserve">日内组织验收。 </w:t>
      </w:r>
      <w:r/>
    </w:p>
    <w:p>
      <w:pPr>
        <w:ind w:firstLine="560"/>
        <w:spacing w:line="520" w:lineRule="exac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bidi="ar-SA"/>
        </w:rPr>
        <w:t xml:space="preserve">（3）系统验收前成交供应商需提供相关验收材料，包括但不限于相关管理、设计、维护、培训等材料。 </w:t>
      </w:r>
      <w:r/>
    </w:p>
    <w:p>
      <w:pPr>
        <w:ind w:firstLine="560"/>
        <w:keepLines w:val="0"/>
        <w:keepNext w:val="0"/>
        <w:pageBreakBefore w:val="0"/>
        <w:spacing w:after="0" w:line="520" w:lineRule="exact"/>
        <w:widowControl w:val="off"/>
        <w:rPr>
          <w:rFonts w:hint="eastAsia" w:ascii="黑体" w:hAnsi="黑体" w:eastAsia="黑体" w:cs="黑体"/>
          <w:b w:val="0"/>
          <w:bCs w:val="0"/>
          <w:color w:val="000000"/>
          <w:sz w:val="28"/>
          <w:szCs w:val="28"/>
          <w:lang w:val="en-US" w:eastAsia="zh-CN" w:bidi="ar-SA"/>
        </w:rPr>
      </w:pPr>
      <w:r>
        <w:rPr>
          <w:rFonts w:hint="eastAsia" w:ascii="黑体" w:hAnsi="黑体" w:eastAsia="黑体" w:cs="黑体"/>
          <w:b w:val="0"/>
          <w:bCs w:val="0"/>
          <w:color w:val="000000"/>
          <w:sz w:val="28"/>
          <w:szCs w:val="28"/>
          <w:lang w:val="en-US" w:eastAsia="zh-CN" w:bidi="ar-SA"/>
        </w:rPr>
        <w:t xml:space="preserve">四、售后服务要求</w:t>
      </w:r>
      <w:r/>
    </w:p>
    <w:p>
      <w:pPr>
        <w:ind w:firstLine="562"/>
        <w:keepLines w:val="0"/>
        <w:keepNext w:val="0"/>
        <w:pageBreakBefore w:val="0"/>
        <w:spacing w:after="0" w:line="520" w:lineRule="exact"/>
        <w:widowControl w:val="off"/>
        <w:rPr>
          <w:rFonts w:hint="eastAsia" w:ascii="仿宋_GB2312" w:hAnsi="仿宋_GB2312" w:eastAsia="仿宋_GB2312" w:cs="仿宋_GB2312"/>
          <w:b/>
          <w:bCs/>
          <w:color w:val="000000"/>
          <w:sz w:val="28"/>
          <w:szCs w:val="28"/>
          <w:lang w:val="en-US" w:eastAsia="zh-CN" w:bidi="ar-SA"/>
        </w:rPr>
      </w:pPr>
      <w:r>
        <w:rPr>
          <w:rFonts w:hint="eastAsia" w:ascii="仿宋_GB2312" w:hAnsi="仿宋_GB2312" w:eastAsia="仿宋_GB2312" w:cs="仿宋_GB2312"/>
          <w:b/>
          <w:bCs/>
          <w:color w:val="000000"/>
          <w:sz w:val="28"/>
          <w:szCs w:val="28"/>
          <w:lang w:val="en-US" w:eastAsia="zh-CN" w:bidi="ar-SA"/>
        </w:rPr>
        <w:t xml:space="preserve">（一）项目实施方案总体评价</w:t>
      </w:r>
      <w:r/>
    </w:p>
    <w:p>
      <w:pPr>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1.实施方案应结合医院实际情况制定</w:t>
      </w:r>
      <w:r/>
    </w:p>
    <w:p>
      <w:pPr>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成交供应商</w:t>
      </w:r>
      <w:r>
        <w:rPr>
          <w:rFonts w:hint="eastAsia" w:ascii="仿宋_GB2312" w:hAnsi="仿宋_GB2312" w:eastAsia="仿宋_GB2312" w:cs="仿宋_GB2312"/>
          <w:color w:val="000000"/>
          <w:sz w:val="28"/>
          <w:szCs w:val="28"/>
          <w:lang w:val="en-US" w:eastAsia="zh-CN" w:bidi="ar-SA"/>
        </w:rPr>
        <w:t xml:space="preserve">须充分调研兴化市人民医院现有信息化系统环境、影像科业务流程及管理需求，提出符合医院业务特点的系统实施方案，内容包括但不限于系统实施方案、组织机构、工作时间进度表、工作程序和步骤、管理和协调方法、关键步骤的思路和要点等等。</w:t>
      </w:r>
      <w:r/>
    </w:p>
    <w:p>
      <w:pPr>
        <w:numPr>
          <w:ilvl w:val="0"/>
          <w:numId w:val="2"/>
        </w:numPr>
        <w:ind w:firstLine="560"/>
        <w:keepLines w:val="0"/>
        <w:keepNext w:val="0"/>
        <w:pageBreakBefore w:val="0"/>
        <w:spacing w:after="0" w:line="520" w:lineRule="exact"/>
        <w:widowControl w:val="off"/>
        <w:tabs>
          <w:tab w:val="left" w:pos="103" w:leader="none"/>
        </w:tabs>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实施方案应科学可行、具体合理</w:t>
      </w:r>
      <w:r/>
    </w:p>
    <w:p>
      <w:pPr>
        <w:numPr>
          <w:ilvl w:val="0"/>
          <w:numId w:val="0"/>
        </w:numPr>
        <w:ind w:firstLine="560"/>
        <w:keepLines w:val="0"/>
        <w:keepNext w:val="0"/>
        <w:pageBreakBefore w:val="0"/>
        <w:spacing w:after="0" w:line="520" w:lineRule="exact"/>
        <w:widowControl w:val="off"/>
        <w:tabs>
          <w:tab w:val="left" w:pos="103" w:leader="none"/>
        </w:tabs>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成交供应商</w:t>
      </w:r>
      <w:r>
        <w:rPr>
          <w:rFonts w:hint="eastAsia" w:ascii="仿宋_GB2312" w:hAnsi="仿宋_GB2312" w:eastAsia="仿宋_GB2312" w:cs="仿宋_GB2312"/>
          <w:color w:val="000000"/>
          <w:sz w:val="28"/>
          <w:szCs w:val="28"/>
          <w:lang w:val="en-US" w:eastAsia="zh-CN" w:bidi="ar-SA"/>
        </w:rPr>
        <w:t xml:space="preserve">需提供详细的项目实施组织架构、项目负责人及技术团队成员构成，明确各阶段工作内容和完成节点，确保项目在合同签订后90日内完成系统上线并通过验收。</w:t>
      </w:r>
      <w:r/>
    </w:p>
    <w:p>
      <w:pPr>
        <w:numPr>
          <w:ilvl w:val="0"/>
          <w:numId w:val="2"/>
        </w:numPr>
        <w:ind w:left="0" w:firstLine="560"/>
        <w:keepLines w:val="0"/>
        <w:keepNext w:val="0"/>
        <w:pageBreakBefore w:val="0"/>
        <w:spacing w:after="0" w:line="520" w:lineRule="exact"/>
        <w:widowControl w:val="off"/>
        <w:tabs>
          <w:tab w:val="left" w:pos="103" w:leader="none"/>
        </w:tabs>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项目实施应重视协同与安全</w:t>
      </w:r>
      <w:r/>
    </w:p>
    <w:p>
      <w:pPr>
        <w:numPr>
          <w:ilvl w:val="0"/>
          <w:numId w:val="0"/>
        </w:numPr>
        <w:ind w:firstLine="560"/>
        <w:keepLines w:val="0"/>
        <w:keepNext w:val="0"/>
        <w:pageBreakBefore w:val="0"/>
        <w:spacing w:after="0" w:line="520" w:lineRule="exact"/>
        <w:widowControl w:val="off"/>
        <w:tabs>
          <w:tab w:val="left" w:pos="103" w:leader="none"/>
        </w:tabs>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系统建设过程中须符合国家及行业信息安全规范，保证数据安全、隐私保护及业务连续性。投标人应提供数据迁移、测试及上线切换的技术保障措施。</w:t>
      </w:r>
      <w:r/>
    </w:p>
    <w:p>
      <w:pPr>
        <w:pStyle w:val="1016"/>
        <w:ind w:firstLine="562"/>
        <w:keepLines w:val="0"/>
        <w:keepNext w:val="0"/>
        <w:pageBreakBefore w:val="0"/>
        <w:spacing w:line="520" w:lineRule="exact"/>
        <w:widowControl w:val="off"/>
        <w:rPr>
          <w:rFonts w:hint="eastAsia" w:ascii="仿宋_GB2312" w:hAnsi="仿宋_GB2312" w:eastAsia="仿宋_GB2312" w:cs="仿宋_GB2312"/>
          <w:b/>
          <w:bCs/>
          <w:color w:val="000000"/>
          <w:sz w:val="28"/>
          <w:szCs w:val="28"/>
          <w:lang w:val="en-US" w:eastAsia="zh-CN" w:bidi="ar-SA"/>
        </w:rPr>
      </w:pPr>
      <w:r>
        <w:rPr>
          <w:rFonts w:hint="eastAsia" w:ascii="仿宋_GB2312" w:hAnsi="仿宋_GB2312" w:eastAsia="仿宋_GB2312" w:cs="仿宋_GB2312"/>
          <w:b/>
          <w:bCs/>
          <w:color w:val="000000"/>
          <w:sz w:val="28"/>
          <w:szCs w:val="28"/>
          <w:lang w:val="en-US" w:eastAsia="zh-CN" w:bidi="ar-SA"/>
        </w:rPr>
        <w:t xml:space="preserve">（二）售后服务能力</w:t>
      </w:r>
      <w:r/>
    </w:p>
    <w:p>
      <w:pPr>
        <w:pStyle w:val="1016"/>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1.服务体系与响应机制</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（1）</w:t>
      </w:r>
      <w:r>
        <w:rPr>
          <w:rFonts w:hint="eastAsia" w:ascii="仿宋_GB2312" w:hAnsi="仿宋_GB2312" w:eastAsia="仿宋_GB2312" w:cs="仿宋_GB2312"/>
          <w:color w:val="000000"/>
          <w:sz w:val="28"/>
          <w:szCs w:val="28"/>
          <w:highlight w:val="none"/>
          <w:lang w:val="en-US" w:eastAsia="zh-CN" w:bidi="ar-SA"/>
        </w:rPr>
        <w:t xml:space="preserve">成交供应商</w:t>
      </w:r>
      <w:r>
        <w:rPr>
          <w:rFonts w:hint="eastAsia" w:ascii="仿宋_GB2312" w:hAnsi="仿宋_GB2312" w:eastAsia="仿宋_GB2312" w:cs="仿宋_GB2312"/>
          <w:color w:val="000000"/>
          <w:sz w:val="28"/>
          <w:szCs w:val="28"/>
          <w:lang w:val="en-US" w:eastAsia="zh-CN" w:bidi="ar-SA"/>
        </w:rPr>
        <w:t xml:space="preserve">须建立完善的售后服务体系，配备专职服务人员及远程技术支持团队，提供7×24小时技术支持；</w:t>
      </w:r>
      <w:r/>
    </w:p>
    <w:p>
      <w:pPr>
        <w:numPr>
          <w:ilvl w:val="0"/>
          <w:numId w:val="0"/>
        </w:numPr>
        <w:ind w:firstLine="560"/>
        <w:jc w:val="left"/>
        <w:keepLines w:val="0"/>
        <w:keepNext w:val="0"/>
        <w:pageBreakBefore w:val="0"/>
        <w:spacing w:before="0" w:after="0" w:line="520" w:lineRule="exact"/>
        <w:widowControl/>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（2）故障响应时间：30分钟内响应，</w:t>
      </w:r>
      <w:r>
        <w:rPr>
          <w:rFonts w:hint="eastAsia" w:ascii="仿宋_GB2312" w:hAnsi="仿宋_GB2312" w:eastAsia="仿宋_GB2312" w:cs="仿宋_GB2312"/>
          <w:color w:val="000000"/>
          <w:sz w:val="28"/>
          <w:szCs w:val="28"/>
        </w:rPr>
        <w:t xml:space="preserve">4 小时出具解决方案</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6 小时完成远程处理</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远程无法解决时提供上门排障服务</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紧急/复杂故障 24 小时内到场；简单 /中等故障 48 小时内到场</w:t>
      </w:r>
      <w:r>
        <w:rPr>
          <w:rFonts w:hint="eastAsia" w:ascii="仿宋_GB2312" w:hAnsi="仿宋_GB2312" w:eastAsia="仿宋_GB2312" w:cs="仿宋_GB2312"/>
          <w:color w:val="000000"/>
          <w:sz w:val="28"/>
          <w:szCs w:val="28"/>
          <w:lang w:val="en-US" w:eastAsia="zh-CN" w:bidi="ar-SA"/>
        </w:rPr>
        <w:t xml:space="preserve">。</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（3）提供明确的服务流程，包括问题受理、响应、处理、回访及闭环记录等全过程管理机制。</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2.质保与维护</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（1）系统免费质保期≥1年，质保期内提供不限次数的系统维护、升级与优化服务；一年质保期满后，每年续购维保不得超过项目合同总金额的</w:t>
      </w:r>
      <w:r>
        <w:rPr>
          <w:rFonts w:hint="eastAsia" w:ascii="仿宋_GB2312" w:hAnsi="仿宋_GB2312" w:eastAsia="仿宋_GB2312" w:cs="仿宋_GB2312"/>
          <w:color w:val="000000"/>
          <w:sz w:val="28"/>
          <w:szCs w:val="28"/>
          <w:highlight w:val="none"/>
          <w:u w:val="single"/>
          <w:lang w:val="en-US" w:eastAsia="zh-CN" w:bidi="ar-SA"/>
        </w:rPr>
        <w:t xml:space="preserve">8%</w:t>
      </w:r>
      <w:r>
        <w:rPr>
          <w:rFonts w:hint="eastAsia" w:ascii="仿宋_GB2312" w:hAnsi="仿宋_GB2312" w:eastAsia="仿宋_GB2312" w:cs="仿宋_GB2312"/>
          <w:color w:val="000000"/>
          <w:sz w:val="28"/>
          <w:szCs w:val="28"/>
          <w:highlight w:val="none"/>
          <w:lang w:val="en-US" w:eastAsia="zh-CN" w:bidi="ar-SA"/>
        </w:rPr>
        <w:t xml:space="preserve">。</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highlight w:val="none"/>
          <w:lang w:val="en-US" w:eastAsia="zh-CN" w:bidi="ar-SA"/>
        </w:rPr>
        <w:t xml:space="preserve">（2）质保期内，提供基本（每季度1次）定期巡查维护服务，定期维护服务内容包括：检查系统软件、后台服务、数据库运行状况等。保证系统运行稳定性，定期开展系统健康检查和数据备</w:t>
      </w:r>
      <w:r>
        <w:rPr>
          <w:rFonts w:hint="eastAsia" w:ascii="仿宋_GB2312" w:hAnsi="仿宋_GB2312" w:eastAsia="仿宋_GB2312" w:cs="仿宋_GB2312"/>
          <w:color w:val="000000"/>
          <w:sz w:val="28"/>
          <w:szCs w:val="28"/>
          <w:lang w:val="en-US" w:eastAsia="zh-CN" w:bidi="ar-SA"/>
        </w:rPr>
        <w:t xml:space="preserve">份。</w:t>
      </w:r>
      <w:r/>
    </w:p>
    <w:p>
      <w:pPr>
        <w:ind w:firstLine="560"/>
        <w:keepLines w:val="0"/>
        <w:keepNext w:val="0"/>
        <w:pageBreakBefore w:val="0"/>
        <w:spacing w:line="520" w:lineRule="exact"/>
        <w:widowControl w:val="off"/>
        <w:rPr>
          <w:rFonts w:hint="default"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（3）质保期内，如遇软件产品升级、改版，投标人负责提供更新、升级。</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（4）质保期满后，应提供延保及年度维保服务方案（包括价格、内容、响应标准）</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3.备件与升级支持</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（1）</w:t>
      </w:r>
      <w:r>
        <w:rPr>
          <w:rFonts w:hint="eastAsia" w:ascii="仿宋_GB2312" w:hAnsi="仿宋_GB2312" w:eastAsia="仿宋_GB2312" w:cs="仿宋_GB2312"/>
          <w:color w:val="000000"/>
          <w:sz w:val="28"/>
          <w:szCs w:val="28"/>
          <w:highlight w:val="none"/>
          <w:lang w:val="en-US" w:eastAsia="zh-CN" w:bidi="ar-SA"/>
        </w:rPr>
        <w:t xml:space="preserve">成交供应商</w:t>
      </w:r>
      <w:r>
        <w:rPr>
          <w:rFonts w:hint="eastAsia" w:ascii="仿宋_GB2312" w:hAnsi="仿宋_GB2312" w:eastAsia="仿宋_GB2312" w:cs="仿宋_GB2312"/>
          <w:color w:val="000000"/>
          <w:sz w:val="28"/>
          <w:szCs w:val="28"/>
          <w:lang w:val="en-US" w:eastAsia="zh-CN" w:bidi="ar-SA"/>
        </w:rPr>
        <w:t xml:space="preserve">应提供系统相关软件、数据库、接口等的版本升级与兼容性保障；</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（2）确保后续功能扩展可与医院现有HIS、PACS、电子病历等系统顺畅对接；</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（3）对关键组件须提供持续更新与维护服务。</w:t>
      </w:r>
      <w:r/>
    </w:p>
    <w:p>
      <w:pPr>
        <w:pStyle w:val="1016"/>
        <w:ind w:firstLine="562"/>
        <w:keepLines w:val="0"/>
        <w:keepNext w:val="0"/>
        <w:pageBreakBefore w:val="0"/>
        <w:spacing w:line="520" w:lineRule="exact"/>
        <w:widowControl w:val="off"/>
        <w:rPr>
          <w:rFonts w:hint="eastAsia" w:ascii="仿宋_GB2312" w:hAnsi="仿宋_GB2312" w:eastAsia="仿宋_GB2312" w:cs="仿宋_GB2312"/>
          <w:b/>
          <w:bCs/>
          <w:color w:val="000000"/>
          <w:sz w:val="28"/>
          <w:szCs w:val="28"/>
          <w:lang w:val="en-US" w:eastAsia="zh-CN" w:bidi="ar-SA"/>
        </w:rPr>
      </w:pPr>
      <w:r>
        <w:rPr>
          <w:rFonts w:hint="eastAsia" w:ascii="仿宋_GB2312" w:hAnsi="仿宋_GB2312" w:eastAsia="仿宋_GB2312" w:cs="仿宋_GB2312"/>
          <w:b/>
          <w:bCs/>
          <w:color w:val="000000"/>
          <w:sz w:val="28"/>
          <w:szCs w:val="28"/>
          <w:lang w:val="en-US" w:eastAsia="zh-CN" w:bidi="ar-SA"/>
        </w:rPr>
        <w:t xml:space="preserve">（三）培训服务能力</w:t>
      </w:r>
      <w:r/>
    </w:p>
    <w:p>
      <w:pPr>
        <w:ind w:firstLine="560"/>
        <w:jc w:val="left"/>
        <w:keepNext/>
        <w:spacing w:line="520" w:lineRule="exact"/>
        <w:rPr>
          <w:rFonts w:hint="eastAsia" w:ascii="仿宋_GB2312" w:hAnsi="仿宋_GB2312" w:eastAsia="仿宋_GB2312" w:cs="仿宋_GB2312"/>
          <w:color w:val="000000"/>
          <w:sz w:val="28"/>
          <w:szCs w:val="28"/>
          <w:lang w:val="en-US" w:eastAsia="zh-CN" w:bidi="ar-SA"/>
        </w:rPr>
        <w:outlineLvl w:val="0"/>
      </w:pPr>
      <w:r>
        <w:rPr>
          <w:rFonts w:hint="eastAsia" w:ascii="仿宋_GB2312" w:hAnsi="仿宋_GB2312" w:eastAsia="仿宋_GB2312" w:cs="仿宋_GB2312"/>
          <w:color w:val="000000"/>
          <w:sz w:val="28"/>
          <w:szCs w:val="28"/>
          <w:lang w:val="en-US" w:eastAsia="zh-CN" w:bidi="ar-SA"/>
        </w:rPr>
        <w:t xml:space="preserve">1.</w:t>
      </w:r>
      <w:r>
        <w:rPr>
          <w:rFonts w:hint="eastAsia" w:ascii="仿宋_GB2312" w:hAnsi="仿宋_GB2312" w:eastAsia="仿宋_GB2312" w:cs="仿宋_GB2312"/>
          <w:color w:val="000000"/>
          <w:sz w:val="28"/>
          <w:szCs w:val="28"/>
          <w:highlight w:val="none"/>
          <w:lang w:val="en-US" w:eastAsia="zh-CN" w:bidi="ar-SA"/>
        </w:rPr>
        <w:t xml:space="preserve">成交供应商</w:t>
      </w:r>
      <w:r>
        <w:rPr>
          <w:rFonts w:hint="eastAsia" w:ascii="仿宋_GB2312" w:hAnsi="仿宋_GB2312" w:eastAsia="仿宋_GB2312" w:cs="仿宋_GB2312"/>
          <w:color w:val="000000"/>
          <w:sz w:val="28"/>
          <w:szCs w:val="28"/>
          <w:lang w:val="en-US" w:eastAsia="zh-CN" w:bidi="ar-SA"/>
        </w:rPr>
        <w:t xml:space="preserve">提供详细技术资料对采购人相关人员进行操作、系统培训，确保使用人员熟练掌握各种软件的使用方法、操作要领以及小故障排除办法。培训的内容、地点及频次应由双方协商制定，培训的相关费用均包含在本次投标报价中。</w:t>
      </w:r>
      <w:r/>
    </w:p>
    <w:p>
      <w:pPr>
        <w:ind w:firstLine="560"/>
        <w:jc w:val="left"/>
        <w:keepNext/>
        <w:spacing w:line="520" w:lineRule="exact"/>
        <w:rPr>
          <w:rFonts w:hint="eastAsia" w:ascii="仿宋_GB2312" w:hAnsi="仿宋_GB2312" w:eastAsia="仿宋_GB2312" w:cs="仿宋_GB2312"/>
          <w:sz w:val="28"/>
          <w:szCs w:val="28"/>
        </w:rPr>
        <w:outlineLvl w:val="0"/>
      </w:pPr>
      <w:r>
        <w:rPr>
          <w:rFonts w:hint="eastAsia" w:ascii="仿宋_GB2312" w:hAnsi="仿宋_GB2312" w:eastAsia="仿宋_GB2312" w:cs="仿宋_GB2312"/>
          <w:color w:val="000000"/>
          <w:sz w:val="28"/>
          <w:szCs w:val="28"/>
          <w:lang w:val="en-US" w:eastAsia="zh-CN" w:bidi="ar-SA"/>
        </w:rPr>
        <w:t xml:space="preserve">2.</w:t>
      </w:r>
      <w:r>
        <w:rPr>
          <w:rFonts w:hint="eastAsia" w:ascii="仿宋_GB2312" w:hAnsi="仿宋_GB2312" w:eastAsia="仿宋_GB2312" w:cs="仿宋_GB2312"/>
          <w:color w:val="000000"/>
          <w:sz w:val="28"/>
          <w:szCs w:val="28"/>
          <w:highlight w:val="none"/>
          <w:lang w:val="en-US" w:eastAsia="zh-CN" w:bidi="ar-SA"/>
        </w:rPr>
        <w:t xml:space="preserve">成交供应商</w:t>
      </w:r>
      <w:r>
        <w:rPr>
          <w:rFonts w:hint="eastAsia" w:ascii="仿宋_GB2312" w:hAnsi="仿宋_GB2312" w:eastAsia="仿宋_GB2312" w:cs="仿宋_GB2312"/>
          <w:color w:val="000000"/>
          <w:sz w:val="28"/>
          <w:szCs w:val="28"/>
          <w:lang w:val="en-US" w:eastAsia="zh-CN" w:bidi="ar-SA"/>
        </w:rPr>
        <w:t xml:space="preserve">需向采购人提供院内现有科室入科培训，针对后续升级改造功能需提供最新功能操作手册，必要时提供操作视频。</w:t>
      </w:r>
      <w:r/>
    </w:p>
    <w:p>
      <w:pPr>
        <w:ind w:firstLine="560"/>
        <w:jc w:val="both"/>
        <w:keepNext/>
        <w:spacing w:line="520" w:lineRule="exact"/>
        <w:rPr>
          <w:rFonts w:hint="eastAsia" w:ascii="黑体" w:hAnsi="黑体" w:eastAsia="黑体" w:cs="黑体"/>
          <w:sz w:val="28"/>
          <w:szCs w:val="28"/>
          <w:lang w:eastAsia="zh-CN"/>
        </w:rPr>
        <w:outlineLvl w:val="0"/>
      </w:pPr>
      <w:r>
        <w:rPr>
          <w:rFonts w:hint="eastAsia" w:ascii="黑体" w:hAnsi="黑体" w:eastAsia="黑体" w:cs="黑体"/>
          <w:sz w:val="28"/>
          <w:szCs w:val="28"/>
          <w:lang w:eastAsia="zh-CN"/>
        </w:rPr>
        <w:t xml:space="preserve">五、相关承诺</w:t>
      </w:r>
      <w:r/>
    </w:p>
    <w:p>
      <w:pPr>
        <w:ind w:firstLine="560"/>
        <w:keepLines w:val="0"/>
        <w:keepNext w:val="0"/>
        <w:pageBreakBefore w:val="0"/>
        <w:widowControl w:val="off"/>
        <w:rPr>
          <w:rFonts w:hint="eastAsia" w:ascii="黑体" w:hAnsi="黑体" w:eastAsia="黑体" w:cs="黑体"/>
          <w:bCs/>
          <w:sz w:val="40"/>
          <w:szCs w:val="40"/>
        </w:rPr>
      </w:pPr>
      <w:r>
        <w:rPr>
          <w:rFonts w:hint="eastAsia" w:ascii="黑体" w:hAnsi="黑体" w:eastAsia="黑体" w:cs="黑体"/>
          <w:i/>
          <w:iCs/>
          <w:color w:val="auto"/>
          <w:sz w:val="28"/>
          <w:szCs w:val="28"/>
          <w:highlight w:val="yellow"/>
          <w:u w:val="single"/>
        </w:rPr>
        <w:t xml:space="preserve">具备第三类管理类别中华人民共和国医疗器械注册证，需包含“脑缺血 CT 灌注图像辅助评估软件”字样。</w:t>
      </w:r>
      <w:bookmarkEnd w:id="157"/>
      <w:r/>
      <w:bookmarkEnd w:id="158"/>
      <w:r/>
      <w:bookmarkStart w:id="159" w:name="_Toc120614282"/>
      <w:r/>
      <w:bookmarkStart w:id="160" w:name="_Toc26554094"/>
      <w:r/>
      <w:bookmarkStart w:id="161" w:name="_Toc49090576"/>
      <w:r/>
      <w:r/>
    </w:p>
    <w:p>
      <w:pPr>
        <w:ind w:firstLine="560"/>
        <w:keepLines w:val="0"/>
        <w:keepNext w:val="0"/>
        <w:pageBreakBefore w:val="0"/>
        <w:spacing w:line="520" w:lineRule="exact"/>
        <w:widowControl w:val="off"/>
        <w:rPr>
          <w:rFonts w:hint="eastAsia" w:ascii="黑体" w:hAnsi="黑体" w:eastAsia="黑体" w:cs="黑体"/>
          <w:color w:val="000000"/>
          <w:sz w:val="28"/>
          <w:szCs w:val="28"/>
          <w:lang w:val="en-US" w:eastAsia="zh-CN" w:bidi="ar-SA"/>
        </w:rPr>
      </w:pPr>
      <w:r>
        <w:rPr>
          <w:rFonts w:hint="eastAsia" w:ascii="黑体" w:hAnsi="黑体" w:eastAsia="黑体" w:cs="黑体"/>
          <w:color w:val="000000"/>
          <w:sz w:val="28"/>
          <w:szCs w:val="28"/>
          <w:lang w:val="en-US" w:eastAsia="zh-CN" w:bidi="ar-SA"/>
        </w:rPr>
        <w:t xml:space="preserve">六、情况说明及证明材料</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bidi="ar-SA"/>
        </w:rPr>
      </w:pPr>
      <w:r>
        <w:rPr>
          <w:rFonts w:hint="eastAsia" w:ascii="仿宋_GB2312" w:hAnsi="仿宋_GB2312" w:eastAsia="仿宋_GB2312" w:cs="仿宋_GB2312"/>
          <w:color w:val="000000"/>
          <w:sz w:val="28"/>
          <w:szCs w:val="28"/>
          <w:lang w:val="en-US" w:eastAsia="zh-CN" w:bidi="ar-SA"/>
        </w:rPr>
        <w:t xml:space="preserve">根据《政府采购非招标采购方式管理办法》（财政部令第74号）第四十二条第（三）项规定，单一来源采购协商情况记录应当载明“供应商提供的采购标的成本、同类项目合同价格以及相关专利、专有技术等情况说明”。</w:t>
      </w:r>
      <w:r/>
    </w:p>
    <w:p>
      <w:pPr>
        <w:ind w:firstLine="560"/>
        <w:keepLines w:val="0"/>
        <w:keepNext w:val="0"/>
        <w:pageBreakBefore w:val="0"/>
        <w:spacing w:line="520" w:lineRule="exact"/>
        <w:widowControl w:val="off"/>
        <w:rPr>
          <w:rFonts w:hint="default" w:ascii="仿宋_GB2312" w:hAnsi="仿宋_GB2312" w:eastAsia="仿宋_GB2312" w:cs="仿宋_GB2312"/>
          <w:color w:val="000000"/>
          <w:sz w:val="28"/>
          <w:szCs w:val="28"/>
          <w:lang w:val="en-US" w:eastAsia="zh-CN" w:bidi="ar-SA"/>
        </w:rPr>
      </w:pPr>
      <w:r>
        <w:rPr>
          <w:rFonts w:hint="eastAsia" w:ascii="黑体" w:hAnsi="黑体" w:eastAsia="黑体" w:cs="黑体"/>
          <w:i/>
          <w:iCs/>
          <w:color w:val="000000"/>
          <w:sz w:val="28"/>
          <w:szCs w:val="28"/>
          <w:u w:val="single"/>
          <w:lang w:val="en-US" w:eastAsia="zh-CN" w:bidi="ar-SA"/>
        </w:rPr>
        <w:t xml:space="preserve">请供应商在响应文件中按实提供采购标的成本构成说明、同类项目合同价格（附合同或成交证明材料）以及相关专利、专有技术的权利归属、有效状态及其与采购标的关联关系的说明及证明材料。</w:t>
      </w:r>
      <w:r>
        <w:rPr>
          <w:rFonts w:hint="default" w:ascii="仿宋_GB2312" w:hAnsi="仿宋_GB2312" w:eastAsia="仿宋_GB2312" w:cs="仿宋_GB2312"/>
          <w:color w:val="000000"/>
          <w:sz w:val="28"/>
          <w:szCs w:val="28"/>
          <w:lang w:val="en-US" w:eastAsia="zh-CN" w:bidi="ar-SA"/>
        </w:rPr>
        <w:t xml:space="preserve">上述说明将作为单一来源采购协商情况记录的</w:t>
      </w:r>
      <w:r>
        <w:rPr>
          <w:rFonts w:hint="eastAsia" w:ascii="仿宋_GB2312" w:hAnsi="仿宋_GB2312" w:eastAsia="仿宋_GB2312" w:cs="仿宋_GB2312"/>
          <w:color w:val="000000"/>
          <w:sz w:val="28"/>
          <w:szCs w:val="28"/>
          <w:lang w:val="en-US" w:eastAsia="zh-CN" w:bidi="ar-SA"/>
        </w:rPr>
        <w:t xml:space="preserve">重要</w:t>
      </w:r>
      <w:r>
        <w:rPr>
          <w:rFonts w:hint="default" w:ascii="仿宋_GB2312" w:hAnsi="仿宋_GB2312" w:eastAsia="仿宋_GB2312" w:cs="仿宋_GB2312"/>
          <w:color w:val="000000"/>
          <w:sz w:val="28"/>
          <w:szCs w:val="28"/>
          <w:lang w:val="en-US" w:eastAsia="zh-CN" w:bidi="ar-SA"/>
        </w:rPr>
        <w:t xml:space="preserve">内容。供应商须对说明及所附材料的真实性、准确性、完整性负责，不得虚报、瞒报或提供虚假材料；如经查实存在提供虚假材料谋取成交情形的，将依照《</w:t>
      </w:r>
      <w:r>
        <w:rPr>
          <w:rFonts w:hint="eastAsia" w:ascii="仿宋_GB2312" w:hAnsi="仿宋_GB2312" w:eastAsia="仿宋_GB2312" w:cs="仿宋_GB2312"/>
          <w:color w:val="000000"/>
          <w:sz w:val="28"/>
          <w:szCs w:val="28"/>
          <w:lang w:val="en-US" w:eastAsia="zh-CN" w:bidi="ar-SA"/>
        </w:rPr>
        <w:t xml:space="preserve">中华人民共和国</w:t>
      </w:r>
      <w:r>
        <w:rPr>
          <w:rFonts w:hint="default" w:ascii="仿宋_GB2312" w:hAnsi="仿宋_GB2312" w:eastAsia="仿宋_GB2312" w:cs="仿宋_GB2312"/>
          <w:color w:val="000000"/>
          <w:sz w:val="28"/>
          <w:szCs w:val="28"/>
          <w:lang w:val="en-US" w:eastAsia="zh-CN" w:bidi="ar-SA"/>
        </w:rPr>
        <w:t xml:space="preserve">政府采购法》等规定承担相应法律责任。</w:t>
      </w:r>
      <w:r/>
    </w:p>
    <w:p>
      <w:pPr>
        <w:pStyle w:val="1016"/>
        <w:rPr>
          <w:rFonts w:hint="eastAsia"/>
          <w:lang w:val="en-US" w:eastAsia="zh-CN"/>
        </w:rPr>
      </w:pPr>
      <w:r>
        <w:rPr>
          <w:rFonts w:hint="eastAsia"/>
          <w:lang w:val="en-US" w:eastAsia="zh-CN"/>
        </w:rPr>
      </w:r>
      <w:r/>
    </w:p>
    <w:p>
      <w:pPr>
        <w:ind w:firstLine="562"/>
        <w:spacing w:line="480" w:lineRule="exact"/>
        <w:rPr>
          <w:rFonts w:hint="eastAsia" w:ascii="仿宋_GB2312" w:hAnsi="仿宋_GB2312" w:eastAsia="仿宋_GB2312" w:cs="仿宋_GB2312"/>
          <w:b/>
          <w:bCs w:val="0"/>
          <w:color w:val="000000"/>
          <w:sz w:val="28"/>
          <w:szCs w:val="28"/>
          <w:lang w:eastAsia="zh-CN"/>
        </w:rPr>
      </w:pPr>
      <w:r>
        <w:rPr>
          <w:rFonts w:hint="eastAsia" w:ascii="仿宋_GB2312" w:hAnsi="仿宋_GB2312" w:eastAsia="仿宋_GB2312" w:cs="仿宋_GB2312"/>
          <w:b/>
          <w:bCs w:val="0"/>
          <w:color w:val="000000"/>
          <w:sz w:val="28"/>
          <w:szCs w:val="28"/>
          <w:lang w:eastAsia="zh-CN"/>
        </w:rPr>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lang w:eastAsia="zh-CN"/>
        </w:rPr>
        <w:t xml:space="preserve">注：</w:t>
      </w:r>
      <w:r>
        <w:rPr>
          <w:rFonts w:hint="eastAsia" w:ascii="仿宋_GB2312" w:hAnsi="仿宋_GB2312" w:eastAsia="仿宋_GB2312" w:cs="仿宋_GB2312"/>
          <w:b/>
          <w:bCs w:val="0"/>
          <w:color w:val="000000"/>
          <w:sz w:val="28"/>
          <w:szCs w:val="28"/>
        </w:rPr>
        <w:t xml:space="preserve">成交供应商领取成交通知书同时提供纸质版响应文件一正三副及电子响应文件（U盘）。</w:t>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rPr>
          <w:rFonts w:hint="eastAsia" w:ascii="黑体" w:hAnsi="黑体" w:eastAsia="黑体" w:cs="黑体"/>
          <w:bCs/>
          <w:sz w:val="40"/>
          <w:szCs w:val="40"/>
        </w:rPr>
      </w:pPr>
      <w:r>
        <w:rPr>
          <w:rFonts w:hint="eastAsia" w:ascii="黑体" w:hAnsi="黑体" w:eastAsia="黑体" w:cs="黑体"/>
          <w:bCs/>
          <w:sz w:val="40"/>
          <w:szCs w:val="40"/>
        </w:rPr>
        <w:br w:type="page" w:clear="all"/>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pStyle w:val="1016"/>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w:t>
      </w:r>
      <w:r>
        <w:rPr>
          <w:rFonts w:hint="eastAsia" w:ascii="黑体" w:hAnsi="黑体" w:eastAsia="黑体" w:cs="黑体"/>
          <w:bCs/>
          <w:sz w:val="40"/>
          <w:szCs w:val="40"/>
          <w:lang w:eastAsia="zh-CN"/>
        </w:rPr>
        <w:t xml:space="preserve">五</w:t>
      </w:r>
      <w:r>
        <w:rPr>
          <w:rFonts w:hint="eastAsia" w:ascii="黑体" w:hAnsi="黑体" w:eastAsia="黑体" w:cs="黑体"/>
          <w:bCs/>
          <w:sz w:val="40"/>
          <w:szCs w:val="40"/>
        </w:rPr>
        <w:t xml:space="preserve">章  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162" w:name="_Hlt26671244"/>
      <w:r/>
      <w:bookmarkEnd w:id="162"/>
      <w:r/>
      <w:bookmarkStart w:id="163" w:name="_Hlt26955039"/>
      <w:r/>
      <w:bookmarkEnd w:id="163"/>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bookmarkEnd w:id="155"/>
      <w:r/>
      <w:bookmarkEnd w:id="156"/>
      <w:r/>
      <w:bookmarkEnd w:id="159"/>
      <w:r/>
      <w:bookmarkEnd w:id="160"/>
      <w:r/>
      <w:bookmarkEnd w:id="161"/>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响应</w:t>
      </w:r>
      <w:r>
        <w:rPr>
          <w:rFonts w:hint="eastAsia" w:ascii="黑体" w:hAnsi="黑体" w:eastAsia="黑体" w:cs="黑体"/>
          <w:b w:val="0"/>
          <w:bCs w:val="0"/>
          <w:sz w:val="36"/>
          <w:szCs w:val="36"/>
          <w:lang w:eastAsia="zh-CN"/>
        </w:rPr>
        <w:t xml:space="preserve">主要</w:t>
      </w:r>
      <w:r>
        <w:rPr>
          <w:rFonts w:hint="eastAsia" w:ascii="黑体" w:hAnsi="黑体" w:eastAsia="黑体" w:cs="黑体"/>
          <w:b w:val="0"/>
          <w:bCs w:val="0"/>
          <w:sz w:val="36"/>
          <w:szCs w:val="36"/>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一、法人或者其他组织的营业执照等证明文件</w:t>
      </w:r>
      <w:r/>
    </w:p>
    <w:p>
      <w:pPr>
        <w:ind w:left="0" w:right="0" w:firstLine="560"/>
        <w:pageBreakBefore w:val="0"/>
        <w:spacing w:line="520" w:lineRule="exact"/>
        <w:rPr>
          <w:rFonts w:hint="eastAsia" w:ascii="黑体" w:hAnsi="黑体" w:eastAsia="黑体" w:cs="黑体"/>
          <w:b w:val="0"/>
          <w:bCs w:val="0"/>
          <w:i w:val="0"/>
          <w:iCs/>
          <w:sz w:val="28"/>
          <w:szCs w:val="28"/>
          <w:u w:val="none"/>
          <w:lang w:eastAsia="zh-CN"/>
        </w:rPr>
      </w:pPr>
      <w:r>
        <w:rPr>
          <w:rFonts w:hint="eastAsia" w:ascii="黑体" w:hAnsi="黑体" w:eastAsia="黑体" w:cs="黑体"/>
          <w:b w:val="0"/>
          <w:bCs w:val="0"/>
          <w:i w:val="0"/>
          <w:iCs/>
          <w:sz w:val="28"/>
          <w:szCs w:val="28"/>
          <w:u w:val="none"/>
        </w:rPr>
        <w:t xml:space="preserve">二、财务状况报告</w:t>
      </w:r>
      <w:r>
        <w:rPr>
          <w:rFonts w:hint="eastAsia" w:ascii="黑体" w:hAnsi="黑体" w:eastAsia="黑体" w:cs="黑体"/>
          <w:b w:val="0"/>
          <w:bCs w:val="0"/>
          <w:i w:val="0"/>
          <w:iCs/>
          <w:sz w:val="28"/>
          <w:szCs w:val="28"/>
          <w:u w:val="none"/>
          <w:lang w:eastAsia="zh-CN"/>
        </w:rPr>
        <w:t xml:space="preserve">（供应商成立不满一年无需提供）</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三、依法缴纳税收和社会保障资金的相关材料</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五、参加政府采购活动前 3 年内在经营活动中没有重大违法记录的书面声明</w:t>
      </w:r>
      <w:r/>
    </w:p>
    <w:p>
      <w:pPr>
        <w:ind w:left="0" w:right="0" w:firstLine="560"/>
        <w:pageBreakBefore w:val="0"/>
        <w:spacing w:line="520" w:lineRule="exact"/>
        <w:rPr>
          <w:rFonts w:hint="eastAsia" w:ascii="黑体" w:hAnsi="黑体" w:eastAsia="黑体" w:cs="黑体"/>
          <w:b w:val="0"/>
          <w:bCs w:val="0"/>
          <w:i w:val="0"/>
          <w:iCs/>
          <w:sz w:val="24"/>
          <w:szCs w:val="24"/>
          <w:u w:val="none"/>
          <w:lang w:eastAsia="zh-CN"/>
        </w:rPr>
      </w:pPr>
      <w:r>
        <w:rPr>
          <w:rFonts w:hint="eastAsia" w:ascii="黑体" w:hAnsi="黑体" w:eastAsia="黑体" w:cs="黑体"/>
          <w:b w:val="0"/>
          <w:bCs w:val="0"/>
          <w:i w:val="0"/>
          <w:iCs/>
          <w:sz w:val="28"/>
          <w:szCs w:val="28"/>
          <w:u w:val="none"/>
        </w:rPr>
        <w:t xml:space="preserve">六、特定资格要求的证明文件</w:t>
      </w:r>
      <w:r>
        <w:rPr>
          <w:rFonts w:hint="eastAsia" w:ascii="黑体" w:hAnsi="黑体" w:eastAsia="黑体" w:cs="黑体"/>
          <w:b w:val="0"/>
          <w:bCs w:val="0"/>
          <w:i w:val="0"/>
          <w:iCs/>
          <w:sz w:val="24"/>
          <w:szCs w:val="24"/>
          <w:u w:val="none"/>
          <w:lang w:eastAsia="zh-CN"/>
        </w:rPr>
        <w:t xml:space="preserve">（</w:t>
      </w:r>
      <w:r>
        <w:rPr>
          <w:rFonts w:hint="eastAsia" w:ascii="黑体" w:hAnsi="黑体" w:eastAsia="黑体" w:cs="黑体"/>
          <w:color w:val="ff0000"/>
          <w:sz w:val="24"/>
          <w:szCs w:val="24"/>
        </w:rPr>
        <w:t xml:space="preserve">如本项目</w:t>
      </w:r>
      <w:r>
        <w:rPr>
          <w:rFonts w:hint="eastAsia" w:ascii="黑体" w:hAnsi="黑体" w:eastAsia="黑体" w:cs="黑体"/>
          <w:color w:val="ff0000"/>
          <w:sz w:val="24"/>
          <w:szCs w:val="24"/>
          <w:lang w:eastAsia="zh-CN"/>
        </w:rPr>
        <w:t xml:space="preserve">未</w:t>
      </w:r>
      <w:r>
        <w:rPr>
          <w:rFonts w:hint="eastAsia" w:ascii="黑体" w:hAnsi="黑体" w:eastAsia="黑体" w:cs="黑体"/>
          <w:color w:val="ff0000"/>
          <w:sz w:val="24"/>
          <w:szCs w:val="24"/>
        </w:rPr>
        <w:t xml:space="preserve">设置特定资格要求，则</w:t>
      </w:r>
      <w:r>
        <w:rPr>
          <w:rFonts w:hint="eastAsia" w:ascii="黑体" w:hAnsi="黑体" w:eastAsia="黑体" w:cs="黑体"/>
          <w:color w:val="ff0000"/>
          <w:sz w:val="24"/>
          <w:szCs w:val="24"/>
          <w:lang w:eastAsia="zh-CN"/>
        </w:rPr>
        <w:t xml:space="preserve">无</w:t>
      </w:r>
      <w:r>
        <w:rPr>
          <w:rFonts w:hint="eastAsia" w:ascii="黑体" w:hAnsi="黑体" w:eastAsia="黑体" w:cs="黑体"/>
          <w:color w:val="ff0000"/>
          <w:sz w:val="24"/>
          <w:szCs w:val="24"/>
        </w:rPr>
        <w:t xml:space="preserve">需提供。</w:t>
      </w:r>
      <w:r>
        <w:rPr>
          <w:rFonts w:hint="eastAsia" w:ascii="黑体" w:hAnsi="黑体" w:eastAsia="黑体" w:cs="黑体"/>
          <w:b w:val="0"/>
          <w:bCs w:val="0"/>
          <w:i w:val="0"/>
          <w:iCs/>
          <w:sz w:val="24"/>
          <w:szCs w:val="24"/>
          <w:u w:val="none"/>
          <w:lang w:eastAsia="zh-CN"/>
        </w:rPr>
        <w:t xml:space="preserve">）</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七、法人授权书</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八、单一来源响应函</w:t>
      </w:r>
      <w:r/>
    </w:p>
    <w:p>
      <w:pPr>
        <w:ind w:left="0" w:right="0" w:firstLine="560"/>
        <w:pageBreakBefore w:val="0"/>
        <w:spacing w:line="520" w:lineRule="exact"/>
        <w:rPr>
          <w:rFonts w:hint="eastAsia" w:ascii="黑体" w:hAnsi="黑体" w:eastAsia="黑体" w:cs="黑体"/>
          <w:b w:val="0"/>
          <w:bCs w:val="0"/>
          <w:i w:val="0"/>
          <w:iCs/>
          <w:sz w:val="28"/>
          <w:szCs w:val="28"/>
          <w:u w:val="none"/>
          <w:lang w:eastAsia="zh-CN"/>
        </w:rPr>
      </w:pPr>
      <w:r>
        <w:rPr>
          <w:rFonts w:hint="eastAsia" w:ascii="黑体" w:hAnsi="黑体" w:eastAsia="黑体" w:cs="黑体"/>
          <w:b w:val="0"/>
          <w:bCs w:val="0"/>
          <w:i w:val="0"/>
          <w:iCs/>
          <w:sz w:val="28"/>
          <w:szCs w:val="28"/>
          <w:u w:val="none"/>
          <w:lang w:eastAsia="zh-CN"/>
        </w:rPr>
        <w:t xml:space="preserve">九、开标一览表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lang w:eastAsia="zh-CN"/>
        </w:rPr>
        <w:t xml:space="preserve">十、中小企业声明函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一</w:t>
      </w:r>
      <w:r>
        <w:rPr>
          <w:rFonts w:hint="eastAsia" w:ascii="黑体" w:hAnsi="黑体" w:eastAsia="黑体" w:cs="黑体"/>
          <w:b w:val="0"/>
          <w:bCs w:val="0"/>
          <w:i w:val="0"/>
          <w:iCs/>
          <w:color w:val="auto"/>
          <w:sz w:val="28"/>
          <w:szCs w:val="28"/>
          <w:u w:val="none"/>
        </w:rPr>
        <w:t xml:space="preserve">、残疾人福利性单位声明函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二</w:t>
      </w:r>
      <w:r>
        <w:rPr>
          <w:rFonts w:hint="eastAsia" w:ascii="黑体" w:hAnsi="黑体" w:eastAsia="黑体" w:cs="黑体"/>
          <w:b w:val="0"/>
          <w:bCs w:val="0"/>
          <w:i w:val="0"/>
          <w:iCs/>
          <w:color w:val="auto"/>
          <w:sz w:val="28"/>
          <w:szCs w:val="28"/>
          <w:u w:val="none"/>
        </w:rPr>
        <w:t xml:space="preserve">、分项报价表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三</w:t>
      </w:r>
      <w:r>
        <w:rPr>
          <w:rFonts w:hint="eastAsia" w:ascii="黑体" w:hAnsi="黑体" w:eastAsia="黑体" w:cs="黑体"/>
          <w:b w:val="0"/>
          <w:bCs w:val="0"/>
          <w:i w:val="0"/>
          <w:iCs/>
          <w:color w:val="auto"/>
          <w:sz w:val="28"/>
          <w:szCs w:val="28"/>
          <w:u w:val="none"/>
        </w:rPr>
        <w:t xml:space="preserve">、</w:t>
      </w:r>
      <w:r>
        <w:rPr>
          <w:rFonts w:hint="eastAsia" w:ascii="黑体" w:hAnsi="黑体" w:eastAsia="黑体" w:cs="黑体"/>
          <w:b w:val="0"/>
          <w:bCs w:val="0"/>
          <w:i w:val="0"/>
          <w:iCs/>
          <w:color w:val="auto"/>
          <w:sz w:val="28"/>
          <w:szCs w:val="28"/>
          <w:u w:val="none"/>
          <w:lang w:eastAsia="zh-CN"/>
        </w:rPr>
        <w:t xml:space="preserve">技术及商务</w:t>
      </w:r>
      <w:r>
        <w:rPr>
          <w:rFonts w:hint="eastAsia" w:ascii="黑体" w:hAnsi="黑体" w:eastAsia="黑体" w:cs="黑体"/>
          <w:b w:val="0"/>
          <w:bCs w:val="0"/>
          <w:i w:val="0"/>
          <w:iCs/>
          <w:color w:val="auto"/>
          <w:sz w:val="28"/>
          <w:szCs w:val="28"/>
          <w:u w:val="none"/>
        </w:rPr>
        <w:t xml:space="preserve">要求响应及偏离表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lang w:eastAsia="zh-CN"/>
        </w:rPr>
        <w:t xml:space="preserve">十四、</w:t>
      </w:r>
      <w:r>
        <w:rPr>
          <w:rFonts w:hint="eastAsia" w:ascii="黑体" w:hAnsi="黑体" w:eastAsia="黑体" w:cs="黑体"/>
          <w:b w:val="0"/>
          <w:bCs w:val="0"/>
          <w:i w:val="0"/>
          <w:iCs/>
          <w:color w:val="auto"/>
          <w:sz w:val="28"/>
          <w:szCs w:val="28"/>
          <w:u w:val="none"/>
        </w:rPr>
        <w:t xml:space="preserve">关于符合本国产品标准的声明函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五</w:t>
      </w:r>
      <w:r>
        <w:rPr>
          <w:rFonts w:hint="eastAsia" w:ascii="黑体" w:hAnsi="黑体" w:eastAsia="黑体" w:cs="黑体"/>
          <w:b w:val="0"/>
          <w:bCs w:val="0"/>
          <w:i w:val="0"/>
          <w:iCs/>
          <w:color w:val="auto"/>
          <w:sz w:val="28"/>
          <w:szCs w:val="28"/>
          <w:u w:val="none"/>
        </w:rPr>
        <w:t xml:space="preserve">、</w:t>
      </w:r>
      <w:r>
        <w:rPr>
          <w:rFonts w:hint="eastAsia" w:ascii="黑体" w:hAnsi="黑体" w:eastAsia="黑体" w:cs="黑体"/>
          <w:b w:val="0"/>
          <w:bCs w:val="0"/>
          <w:i w:val="0"/>
          <w:iCs/>
          <w:color w:val="auto"/>
          <w:sz w:val="28"/>
          <w:szCs w:val="28"/>
          <w:u w:val="none"/>
          <w:lang w:eastAsia="zh-CN"/>
        </w:rPr>
        <w:t xml:space="preserve">采购</w:t>
      </w:r>
      <w:r>
        <w:rPr>
          <w:rFonts w:hint="eastAsia" w:ascii="黑体" w:hAnsi="黑体" w:eastAsia="黑体" w:cs="黑体"/>
          <w:b w:val="0"/>
          <w:bCs w:val="0"/>
          <w:i w:val="0"/>
          <w:iCs/>
          <w:color w:val="auto"/>
          <w:sz w:val="28"/>
          <w:szCs w:val="28"/>
          <w:u w:val="none"/>
        </w:rPr>
        <w:t xml:space="preserve">文件中要求提供的承诺、声明等材料或供应商认为需要提供的其他资料</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b w:val="0"/>
          <w:bCs w:val="0"/>
          <w:i w:val="0"/>
          <w:iCs/>
          <w:sz w:val="28"/>
          <w:szCs w:val="28"/>
          <w:u w:val="none"/>
        </w:rPr>
      </w:pPr>
      <w:r>
        <w:rPr>
          <w:rFonts w:hint="eastAsia" w:ascii="仿宋_GB2312" w:hAnsi="仿宋_GB2312" w:eastAsia="仿宋_GB2312" w:cs="仿宋_GB2312"/>
          <w:b w:val="0"/>
          <w:bCs w:val="0"/>
          <w:i w:val="0"/>
          <w:iCs/>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w:t>
      </w:r>
      <w:r>
        <w:rPr>
          <w:rFonts w:hint="eastAsia" w:ascii="仿宋_GB2312" w:hAnsi="仿宋_GB2312" w:eastAsia="仿宋_GB2312" w:cs="仿宋_GB2312"/>
          <w:bCs/>
          <w:sz w:val="28"/>
          <w:szCs w:val="28"/>
        </w:rPr>
        <w:t xml:space="preserve">提交响应文件截止时间</w:t>
      </w:r>
      <w:r>
        <w:rPr>
          <w:rFonts w:hint="eastAsia" w:ascii="仿宋_GB2312" w:hAnsi="仿宋_GB2312" w:eastAsia="仿宋_GB2312" w:cs="仿宋_GB2312"/>
          <w:bCs/>
          <w:sz w:val="28"/>
          <w:szCs w:val="28"/>
          <w:lang w:eastAsia="zh-CN"/>
        </w:rPr>
        <w:t xml:space="preserve">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注：</w:t>
      </w: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right="0"/>
        <w:jc w:val="center"/>
        <w:pageBreakBefore w:val="0"/>
        <w:spacing w:line="520" w:lineRule="exact"/>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声  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pStyle w:val="1016"/>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pStyle w:val="1016"/>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pStyle w:val="1016"/>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b w:val="0"/>
          <w:bCs w:val="0"/>
          <w:i w:val="0"/>
          <w:iCs/>
          <w:sz w:val="28"/>
          <w:szCs w:val="28"/>
          <w:u w:val="none"/>
          <w:lang w:eastAsia="zh-CN"/>
        </w:rPr>
        <w:t xml:space="preserve">（</w:t>
      </w:r>
      <w:r>
        <w:rPr>
          <w:rFonts w:hint="eastAsia" w:ascii="仿宋_GB2312" w:hAnsi="仿宋_GB2312" w:eastAsia="仿宋_GB2312" w:cs="仿宋_GB2312"/>
          <w:color w:val="ff0000"/>
          <w:sz w:val="28"/>
          <w:szCs w:val="28"/>
        </w:rPr>
        <w:t xml:space="preserve">如本项目</w:t>
      </w:r>
      <w:r>
        <w:rPr>
          <w:rFonts w:hint="eastAsia" w:ascii="仿宋_GB2312" w:hAnsi="仿宋_GB2312" w:eastAsia="仿宋_GB2312" w:cs="仿宋_GB2312"/>
          <w:color w:val="ff0000"/>
          <w:sz w:val="28"/>
          <w:szCs w:val="28"/>
          <w:lang w:eastAsia="zh-CN"/>
        </w:rPr>
        <w:t xml:space="preserve">未</w:t>
      </w:r>
      <w:r>
        <w:rPr>
          <w:rFonts w:hint="eastAsia" w:ascii="仿宋_GB2312" w:hAnsi="仿宋_GB2312" w:eastAsia="仿宋_GB2312" w:cs="仿宋_GB2312"/>
          <w:color w:val="ff0000"/>
          <w:sz w:val="28"/>
          <w:szCs w:val="28"/>
        </w:rPr>
        <w:t xml:space="preserve">设置特定资格要求，则</w:t>
      </w:r>
      <w:r>
        <w:rPr>
          <w:rFonts w:hint="eastAsia" w:ascii="仿宋_GB2312" w:hAnsi="仿宋_GB2312" w:eastAsia="仿宋_GB2312" w:cs="仿宋_GB2312"/>
          <w:color w:val="ff0000"/>
          <w:sz w:val="28"/>
          <w:szCs w:val="28"/>
          <w:lang w:eastAsia="zh-CN"/>
        </w:rPr>
        <w:t xml:space="preserve">无</w:t>
      </w:r>
      <w:r>
        <w:rPr>
          <w:rFonts w:hint="eastAsia" w:ascii="仿宋_GB2312" w:hAnsi="仿宋_GB2312" w:eastAsia="仿宋_GB2312" w:cs="仿宋_GB2312"/>
          <w:color w:val="ff0000"/>
          <w:sz w:val="28"/>
          <w:szCs w:val="28"/>
        </w:rPr>
        <w:t xml:space="preserve">需提供。</w:t>
      </w:r>
      <w:r>
        <w:rPr>
          <w:rFonts w:hint="eastAsia" w:ascii="黑体" w:hAnsi="黑体" w:eastAsia="黑体" w:cs="黑体"/>
          <w:b w:val="0"/>
          <w:bCs w:val="0"/>
          <w:i w:val="0"/>
          <w:iCs/>
          <w:sz w:val="28"/>
          <w:szCs w:val="28"/>
          <w:u w:val="none"/>
          <w:lang w:eastAsia="zh-CN"/>
        </w:rPr>
        <w:t xml:space="preserve">）</w:t>
      </w:r>
      <w:r/>
    </w:p>
    <w:p>
      <w:pPr>
        <w:ind w:firstLine="560"/>
        <w:keepLines w:val="0"/>
        <w:keepNext w:val="0"/>
        <w:pageBreakBefore w:val="0"/>
        <w:spacing w:line="500" w:lineRule="exact"/>
        <w:widowControl w:val="off"/>
        <w:rPr>
          <w:rFonts w:hint="eastAsia" w:ascii="仿宋_GB2312" w:hAnsi="仿宋_GB2312" w:eastAsia="仿宋_GB2312" w:cs="仿宋_GB2312"/>
          <w:i w:val="0"/>
          <w:iCs w:val="0"/>
          <w:color w:val="auto"/>
          <w:sz w:val="28"/>
          <w:szCs w:val="28"/>
          <w:highlight w:val="yellow"/>
          <w:u w:val="none"/>
          <w:lang w:val="en-US" w:eastAsia="zh-CN"/>
        </w:rPr>
      </w:pPr>
      <w:r>
        <w:rPr>
          <w:rFonts w:hint="eastAsia" w:ascii="仿宋_GB2312" w:hAnsi="仿宋_GB2312" w:eastAsia="仿宋_GB2312" w:cs="仿宋_GB2312"/>
          <w:i w:val="0"/>
          <w:iCs w:val="0"/>
          <w:color w:val="auto"/>
          <w:sz w:val="28"/>
          <w:szCs w:val="28"/>
          <w:highlight w:val="yellow"/>
          <w:u w:val="none"/>
          <w:lang w:val="en-US" w:eastAsia="zh-CN"/>
        </w:rPr>
      </w:r>
      <w:r/>
    </w:p>
    <w:p>
      <w:pPr>
        <w:ind w:left="0" w:right="0" w:firstLine="560"/>
        <w:pageBreakBefore w:val="0"/>
        <w:spacing w:line="520" w:lineRule="exact"/>
        <w:rPr>
          <w:rFonts w:hint="eastAsia" w:ascii="仿宋_GB2312" w:hAnsi="仿宋_GB2312" w:eastAsia="仿宋_GB2312" w:cs="仿宋_GB2312"/>
          <w:bCs/>
          <w:i w:val="0"/>
          <w:iCs w:val="0"/>
          <w:sz w:val="28"/>
          <w:szCs w:val="28"/>
          <w:highlight w:val="yellow"/>
          <w:u w:val="none"/>
        </w:rPr>
      </w:pPr>
      <w:r/>
      <w:bookmarkStart w:id="164" w:name="_Toc120614284"/>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left="0" w:right="0" w:firstLine="56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65" w:name="_Hlt26671380"/>
      <w:r/>
      <w:bookmarkEnd w:id="165"/>
      <w:r/>
      <w:bookmarkStart w:id="166" w:name="_格式3__银行出具的资信证明"/>
      <w:r/>
      <w:bookmarkEnd w:id="166"/>
      <w:r/>
      <w:bookmarkStart w:id="167" w:name="_Hlt26955070"/>
      <w:r/>
      <w:bookmarkEnd w:id="167"/>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right="0"/>
        <w:jc w:val="both"/>
        <w:keepLines/>
        <w:keepNext/>
        <w:pageBreakBefore w:val="0"/>
        <w:spacing w:line="520" w:lineRule="exact"/>
        <w:rPr>
          <w:rFonts w:hint="eastAsia" w:ascii="黑体" w:hAnsi="黑体" w:eastAsia="黑体" w:cs="黑体"/>
          <w:b w:val="0"/>
          <w:bCs/>
          <w:i/>
          <w:iCs/>
          <w:color w:val="000000"/>
          <w:sz w:val="28"/>
          <w:szCs w:val="48"/>
          <w:highlight w:val="yellow"/>
          <w:u w:val="single"/>
          <w:lang w:eastAsia="zh-CN"/>
        </w:rPr>
        <w:outlineLvl w:val="1"/>
      </w:pPr>
      <w:r>
        <w:rPr>
          <w:rFonts w:hint="eastAsia" w:ascii="黑体" w:hAnsi="黑体" w:eastAsia="黑体" w:cs="黑体"/>
          <w:b w:val="0"/>
          <w:bCs/>
          <w:i/>
          <w:iCs/>
          <w:color w:val="000000"/>
          <w:sz w:val="28"/>
          <w:szCs w:val="48"/>
          <w:highlight w:val="yellow"/>
          <w:u w:val="single"/>
          <w:lang w:eastAsia="zh-CN"/>
        </w:rPr>
      </w:r>
      <w:r/>
    </w:p>
    <w:p>
      <w:pPr>
        <w:ind w:right="0"/>
        <w:jc w:val="center"/>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八、单一来源响应函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jc w:val="left"/>
        <w:keepLines w:val="0"/>
        <w:keepNext w:val="0"/>
        <w:pageBreakBefore w:val="0"/>
        <w:spacing w:line="50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兴化市人民医院</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根据贵方的JSZC-</w:t>
      </w:r>
      <w:r>
        <w:rPr>
          <w:rFonts w:hint="eastAsia" w:ascii="仿宋_GB2312" w:hAnsi="仿宋_GB2312" w:eastAsia="仿宋_GB2312" w:cs="仿宋_GB2312"/>
          <w:sz w:val="28"/>
          <w:szCs w:val="28"/>
          <w:lang w:val="en-US" w:eastAsia="zh-CN"/>
        </w:rPr>
        <w:t xml:space="preserve">321281</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sz w:val="28"/>
          <w:szCs w:val="28"/>
        </w:rPr>
        <w:t xml:space="preserve">号采购文件，正式授权______(姓名)代表我方______________（供应商的名称），全权处理本次项目单一来源采购的有关事宜。</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据此函，__________（供应商的名称）兹宣布同意如下：</w:t>
      </w:r>
      <w:r/>
    </w:p>
    <w:p>
      <w:pPr>
        <w:ind w:firstLine="48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1.按采购文件规定的各项要求，向买方提供所需货物、服务（包含与货物相关的服务及与服务相关的货物）。</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2.我们已详细审核全部采购文件及其有效补充文件，我们知道必须放弃提出含糊不清或误解问题的权利。</w:t>
      </w:r>
      <w:r/>
    </w:p>
    <w:p>
      <w:pPr>
        <w:ind w:firstLine="48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3.我们同意从规定的单一来源谈判时间起遵循本响应文件，并在规定的单一来源谈判有效期期满之前均具有约束力。</w:t>
      </w:r>
      <w:r/>
    </w:p>
    <w:p>
      <w:pPr>
        <w:ind w:firstLine="48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4.同意向贵方提供贵方可能另外要求的与单一来源采购有关的任何证据或资料，并保证我方已提供和将要提供的文件是真实的、准确的。</w:t>
      </w:r>
      <w:r/>
    </w:p>
    <w:p>
      <w:pPr>
        <w:ind w:firstLine="48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5.一旦我方成交,我方将根据采购文件的规定，严格履行合同的责任和义务,并保证在采购文件规定的时间完成项目，交付买方验收、使用。</w:t>
      </w:r>
      <w:r/>
    </w:p>
    <w:p>
      <w:pPr>
        <w:ind w:left="425"/>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6.我方与本次单一来源采购有关的正式通讯地址为：</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号： </w:t>
      </w:r>
      <w:r/>
    </w:p>
    <w:p>
      <w:pPr>
        <w:ind w:firstLine="560"/>
        <w:jc w:val="left"/>
        <w:keepLines w:val="0"/>
        <w:keepNext w:val="0"/>
        <w:pageBreakBefore w:val="0"/>
        <w:spacing w:line="500" w:lineRule="exact"/>
        <w:widowControl w:val="off"/>
        <w:rPr>
          <w:rFonts w:hint="eastAsia" w:ascii="宋体" w:hAnsi="宋体"/>
          <w:bCs/>
          <w:sz w:val="24"/>
          <w:szCs w:val="21"/>
        </w:rPr>
      </w:pPr>
      <w:r>
        <w:rPr>
          <w:rFonts w:hint="eastAsia" w:ascii="仿宋_GB2312" w:hAnsi="仿宋_GB2312" w:eastAsia="仿宋_GB2312" w:cs="仿宋_GB2312"/>
          <w:sz w:val="28"/>
          <w:szCs w:val="28"/>
        </w:rPr>
        <w:t xml:space="preserve">日 期：________年____月____日</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九、开标一览表</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168" w:name="TBR"/>
      <w:r/>
      <w:bookmarkEnd w:id="168"/>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169" w:name="XMMC"/>
      <w:r/>
      <w:bookmarkEnd w:id="169"/>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170" w:name="XMBH"/>
      <w:r/>
      <w:bookmarkEnd w:id="170"/>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171" w:name="FBH"/>
      <w:r/>
      <w:bookmarkEnd w:id="17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1015"/>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0"/>
      </w:tblGrid>
      <w:tr>
        <w:trPr>
          <w:cantSplit/>
          <w:jc w:val="center"/>
          <w:trHeight w:val="1014"/>
        </w:trPr>
        <w:tc>
          <w:tcPr>
            <w:tcW w:w="848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jc w:val="center"/>
          <w:trHeight w:val="1575"/>
        </w:trPr>
        <w:tc>
          <w:tcPr>
            <w:tcW w:w="848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172" w:name="JEDX"/>
            <w:r/>
            <w:bookmarkEnd w:id="172"/>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173" w:name="JEXX"/>
            <w:r/>
            <w:bookmarkEnd w:id="173"/>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174" w:name="NF"/>
      <w:r/>
      <w:bookmarkEnd w:id="174"/>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175" w:name="YF"/>
      <w:r/>
      <w:bookmarkEnd w:id="175"/>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176" w:name="RI"/>
      <w:r/>
      <w:bookmarkEnd w:id="176"/>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 xml:space="preserve">十、中小企业声明函（服务）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color w:val="ff0000"/>
          <w:sz w:val="28"/>
          <w:szCs w:val="28"/>
          <w:highlight w:val="none"/>
          <w:u w:val="single"/>
        </w:rPr>
        <w:t xml:space="preserve">（填写</w:t>
      </w:r>
      <w:r>
        <w:rPr>
          <w:rFonts w:hint="eastAsia" w:ascii="仿宋_GB2312" w:hAnsi="仿宋_GB2312" w:eastAsia="仿宋_GB2312" w:cs="仿宋_GB2312"/>
          <w:color w:val="ff0000"/>
          <w:sz w:val="28"/>
          <w:szCs w:val="28"/>
          <w:highlight w:val="none"/>
          <w:u w:val="single"/>
          <w:lang w:eastAsia="zh-CN"/>
        </w:rPr>
        <w:t xml:space="preserve">招标</w:t>
      </w:r>
      <w:r>
        <w:rPr>
          <w:rFonts w:hint="eastAsia" w:ascii="仿宋_GB2312" w:hAnsi="仿宋_GB2312" w:eastAsia="仿宋_GB2312" w:cs="仿宋_GB2312"/>
          <w:color w:val="ff0000"/>
          <w:sz w:val="28"/>
          <w:szCs w:val="28"/>
          <w:highlight w:val="none"/>
          <w:u w:val="single"/>
        </w:rPr>
        <w:t xml:space="preserve">文件中明确的所属行业）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color w:val="ff0000"/>
          <w:sz w:val="28"/>
          <w:szCs w:val="28"/>
          <w:highlight w:val="none"/>
          <w:u w:val="single"/>
        </w:rPr>
        <w:t xml:space="preserve">（填写</w:t>
      </w:r>
      <w:r>
        <w:rPr>
          <w:rFonts w:hint="eastAsia" w:ascii="仿宋_GB2312" w:hAnsi="仿宋_GB2312" w:eastAsia="仿宋_GB2312" w:cs="仿宋_GB2312"/>
          <w:color w:val="ff0000"/>
          <w:sz w:val="28"/>
          <w:szCs w:val="28"/>
          <w:highlight w:val="none"/>
          <w:u w:val="single"/>
          <w:lang w:eastAsia="zh-CN"/>
        </w:rPr>
        <w:t xml:space="preserve">招标</w:t>
      </w:r>
      <w:r>
        <w:rPr>
          <w:rFonts w:hint="eastAsia" w:ascii="仿宋_GB2312" w:hAnsi="仿宋_GB2312" w:eastAsia="仿宋_GB2312" w:cs="仿宋_GB2312"/>
          <w:color w:val="ff0000"/>
          <w:sz w:val="28"/>
          <w:szCs w:val="28"/>
          <w:highlight w:val="none"/>
          <w:u w:val="single"/>
        </w:rPr>
        <w:t xml:space="preserve">文件中明确的所属行业）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r>
        <w:rPr>
          <w:rFonts w:hint="eastAsia" w:ascii="仿宋_GB2312" w:hAnsi="仿宋_GB2312" w:eastAsia="仿宋_GB2312" w:cs="仿宋_GB2312"/>
          <w:b/>
          <w:sz w:val="28"/>
          <w:szCs w:val="28"/>
        </w:rPr>
        <w:br w:type="page" w:clear="all"/>
      </w:r>
      <w:r/>
      <w:r>
        <w:rPr>
          <w:rFonts w:hint="eastAsia" w:ascii="仿宋_GB2312" w:hAnsi="仿宋_GB2312" w:eastAsia="仿宋_GB2312" w:cs="仿宋_GB2312"/>
          <w:sz w:val="28"/>
          <w:szCs w:val="28"/>
        </w:rP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right="0"/>
        <w:jc w:val="both"/>
        <w:pageBreakBefore w:val="0"/>
        <w:spacing w:line="520" w:lineRule="exact"/>
        <w:rPr>
          <w:rFonts w:hint="eastAsia" w:ascii="仿宋_GB2312" w:hAnsi="仿宋_GB2312" w:eastAsia="仿宋_GB2312" w:cs="仿宋_GB2312"/>
          <w:b/>
          <w:sz w:val="30"/>
          <w:szCs w:val="30"/>
          <w:highlight w:val="none"/>
          <w:u w:val="single"/>
          <w:lang w:eastAsia="zh-CN"/>
        </w:rPr>
      </w:pPr>
      <w:r>
        <w:rPr>
          <w:rFonts w:hint="eastAsia" w:ascii="仿宋_GB2312" w:hAnsi="仿宋_GB2312" w:eastAsia="仿宋_GB2312" w:cs="仿宋_GB2312"/>
          <w:b/>
          <w:sz w:val="30"/>
          <w:szCs w:val="30"/>
          <w:highlight w:val="none"/>
          <w:u w:val="single"/>
          <w:lang w:eastAsia="zh-CN"/>
        </w:rPr>
        <w:t xml:space="preserve">【如供应商非</w:t>
      </w:r>
      <w:r>
        <w:rPr>
          <w:rFonts w:hint="eastAsia" w:ascii="仿宋_GB2312" w:hAnsi="仿宋_GB2312" w:eastAsia="仿宋_GB2312" w:cs="仿宋_GB2312"/>
          <w:b/>
          <w:sz w:val="30"/>
          <w:szCs w:val="30"/>
          <w:highlight w:val="none"/>
          <w:u w:val="single"/>
        </w:rPr>
        <w:t xml:space="preserve">残疾人福利性单位</w:t>
      </w:r>
      <w:r>
        <w:rPr>
          <w:rFonts w:hint="eastAsia" w:ascii="仿宋_GB2312" w:hAnsi="仿宋_GB2312" w:eastAsia="仿宋_GB2312" w:cs="仿宋_GB2312"/>
          <w:b/>
          <w:sz w:val="30"/>
          <w:szCs w:val="30"/>
          <w:highlight w:val="none"/>
          <w:u w:val="single"/>
          <w:lang w:eastAsia="zh-CN"/>
        </w:rPr>
        <w:t xml:space="preserve">，请删除本声明函模板后，填写“无”。】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highlight w:val="none"/>
          <w:u w:val="single"/>
        </w:rPr>
        <w:t xml:space="preserve">、</w:t>
      </w:r>
      <w:bookmarkStart w:id="177" w:name="_Hlk76057113"/>
      <w:r>
        <w:rPr>
          <w:rFonts w:hint="eastAsia" w:ascii="黑体" w:hAnsi="黑体" w:eastAsia="黑体" w:cs="黑体"/>
          <w:b w:val="0"/>
          <w:bCs/>
          <w:i/>
          <w:iCs/>
          <w:sz w:val="28"/>
          <w:szCs w:val="28"/>
          <w:highlight w:val="none"/>
          <w:u w:val="single"/>
        </w:rPr>
        <w:t xml:space="preserve">分项报价表（服务类）</w:t>
      </w:r>
      <w:bookmarkEnd w:id="177"/>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tbl>
      <w:tblPr>
        <w:tblStyle w:val="101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12"/>
        <w:gridCol w:w="1288"/>
        <w:gridCol w:w="924"/>
        <w:gridCol w:w="1203"/>
        <w:gridCol w:w="1618"/>
        <w:gridCol w:w="1798"/>
      </w:tblGrid>
      <w:tr>
        <w:trPr>
          <w:cantSplit/>
          <w:trHeight w:val="544"/>
        </w:trPr>
        <w:tc>
          <w:tcPr>
            <w:tcW w:w="810" w:type="dxa"/>
            <w:vAlign w:val="center"/>
            <w:vMerge w:val="restart"/>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序号</w:t>
            </w:r>
            <w:r/>
          </w:p>
        </w:tc>
        <w:tc>
          <w:tcPr>
            <w:tcW w:w="1412"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1</w:t>
            </w:r>
            <w:r/>
          </w:p>
        </w:tc>
        <w:tc>
          <w:tcPr>
            <w:tcW w:w="128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2</w:t>
            </w:r>
            <w:r/>
          </w:p>
        </w:tc>
        <w:tc>
          <w:tcPr>
            <w:tcW w:w="924"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3</w:t>
            </w:r>
            <w:r/>
          </w:p>
        </w:tc>
        <w:tc>
          <w:tcPr>
            <w:tcW w:w="1203"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4</w:t>
            </w:r>
            <w:r/>
          </w:p>
        </w:tc>
        <w:tc>
          <w:tcPr>
            <w:tcW w:w="161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5</w:t>
            </w:r>
            <w:r/>
          </w:p>
        </w:tc>
        <w:tc>
          <w:tcPr>
            <w:tcW w:w="179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6</w:t>
            </w:r>
            <w:r/>
          </w:p>
        </w:tc>
      </w:tr>
      <w:tr>
        <w:trPr>
          <w:cantSplit/>
          <w:trHeight w:val="957"/>
        </w:trPr>
        <w:tc>
          <w:tcPr>
            <w:tcW w:w="810" w:type="dxa"/>
            <w:vAlign w:val="center"/>
            <w:vMerge w:val="continue"/>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412"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分项服务名称</w:t>
            </w:r>
            <w:r/>
          </w:p>
        </w:tc>
        <w:tc>
          <w:tcPr>
            <w:tcW w:w="128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交付期</w:t>
            </w:r>
            <w:r/>
          </w:p>
        </w:tc>
        <w:tc>
          <w:tcPr>
            <w:tcW w:w="924"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分项单位</w:t>
            </w:r>
            <w:r/>
          </w:p>
        </w:tc>
        <w:tc>
          <w:tcPr>
            <w:tcW w:w="1203"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数量</w:t>
            </w:r>
            <w:r/>
          </w:p>
        </w:tc>
        <w:tc>
          <w:tcPr>
            <w:tcW w:w="161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w:t>
            </w:r>
            <w:r/>
          </w:p>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单价</w:t>
            </w:r>
            <w:r/>
          </w:p>
        </w:tc>
        <w:tc>
          <w:tcPr>
            <w:tcW w:w="179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分项</w:t>
            </w:r>
            <w:r/>
          </w:p>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总价</w:t>
            </w:r>
            <w:r/>
          </w:p>
        </w:tc>
      </w:tr>
      <w:tr>
        <w:trPr>
          <w:cantSplit/>
          <w:trHeight w:val="654"/>
        </w:trPr>
        <w:tc>
          <w:tcPr>
            <w:tcW w:w="810"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1</w:t>
            </w:r>
            <w:r/>
          </w:p>
        </w:tc>
        <w:tc>
          <w:tcPr>
            <w:tcW w:w="1412"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28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924"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203"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61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79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2</w:t>
            </w:r>
            <w:r/>
          </w:p>
        </w:tc>
        <w:tc>
          <w:tcPr>
            <w:tcW w:w="1412"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28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924"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203"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61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79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3</w:t>
            </w:r>
            <w:r/>
          </w:p>
        </w:tc>
        <w:tc>
          <w:tcPr>
            <w:tcW w:w="1412"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28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924"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203"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61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79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w:t>
            </w:r>
            <w:r/>
          </w:p>
        </w:tc>
        <w:tc>
          <w:tcPr>
            <w:tcW w:w="1412"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t xml:space="preserve">……</w:t>
            </w:r>
            <w:r/>
          </w:p>
        </w:tc>
        <w:tc>
          <w:tcPr>
            <w:tcW w:w="128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924"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203"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61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c>
          <w:tcPr>
            <w:tcW w:w="1798" w:type="dxa"/>
            <w:vAlign w:val="center"/>
            <w:textDirection w:val="lrTb"/>
            <w:noWrap w:val="false"/>
          </w:tcPr>
          <w:p>
            <w:pPr>
              <w:jc w:val="center"/>
              <w:spacing w:line="0" w:lineRule="atLeast"/>
              <w:rPr>
                <w:rFonts w:hint="eastAsia" w:ascii="黑体" w:hAnsi="黑体" w:eastAsia="黑体" w:cs="黑体"/>
                <w:sz w:val="24"/>
                <w:szCs w:val="24"/>
              </w:rPr>
            </w:pPr>
            <w:r>
              <w:rPr>
                <w:rFonts w:hint="eastAsia" w:ascii="黑体" w:hAnsi="黑体" w:eastAsia="黑体" w:cs="黑体"/>
                <w:sz w:val="24"/>
                <w:szCs w:val="24"/>
              </w:rPr>
            </w:r>
            <w:r/>
          </w:p>
        </w:tc>
      </w:tr>
      <w:tr>
        <w:trPr>
          <w:cantSplit/>
          <w:trHeight w:val="1124"/>
        </w:trPr>
        <w:tc>
          <w:tcPr>
            <w:gridSpan w:val="7"/>
            <w:tcW w:w="9053" w:type="dxa"/>
            <w:vAlign w:val="center"/>
            <w:textDirection w:val="lrTb"/>
            <w:noWrap w:val="false"/>
          </w:tcPr>
          <w:p>
            <w:pPr>
              <w:ind w:firstLine="1440"/>
              <w:spacing w:line="0" w:lineRule="atLeast"/>
              <w:rPr>
                <w:rFonts w:hint="eastAsia" w:ascii="黑体" w:hAnsi="黑体" w:eastAsia="黑体" w:cs="黑体"/>
                <w:sz w:val="24"/>
                <w:szCs w:val="24"/>
                <w:u w:val="single"/>
                <w:lang w:eastAsia="zh-CN"/>
              </w:rPr>
            </w:pPr>
            <w:r>
              <w:rPr>
                <w:rFonts w:hint="eastAsia" w:ascii="黑体" w:hAnsi="黑体" w:eastAsia="黑体" w:cs="黑体"/>
                <w:sz w:val="24"/>
                <w:szCs w:val="24"/>
              </w:rPr>
              <w:t xml:space="preserve">投标总报价（人民币：元）</w:t>
            </w:r>
            <w:r>
              <w:rPr>
                <w:rFonts w:hint="eastAsia" w:ascii="黑体" w:hAnsi="黑体" w:eastAsia="黑体" w:cs="黑体"/>
                <w:sz w:val="24"/>
                <w:szCs w:val="24"/>
                <w:lang w:eastAsia="zh-CN"/>
              </w:rPr>
              <w:t xml:space="preserve">：</w:t>
            </w:r>
            <w:r>
              <w:rPr>
                <w:rFonts w:hint="eastAsia" w:ascii="黑体" w:hAnsi="黑体" w:eastAsia="黑体" w:cs="黑体"/>
                <w:sz w:val="24"/>
                <w:szCs w:val="24"/>
                <w:u w:val="single"/>
                <w:lang w:val="en-US" w:eastAsia="zh-CN"/>
              </w:rPr>
              <w:t xml:space="preserve">             </w:t>
            </w:r>
            <w:r/>
          </w:p>
        </w:tc>
      </w:tr>
    </w:tbl>
    <w:p>
      <w:pPr>
        <w:ind w:firstLine="480"/>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2.“分项报价表”中“投标总报价”数额应当与“开标一览表”中“投标总报价”数额一致。</w:t>
      </w:r>
      <w:r/>
    </w:p>
    <w:p>
      <w:pPr>
        <w:pStyle w:val="1018"/>
        <w:keepLines w:val="0"/>
        <w:keepNext w:val="0"/>
        <w:pageBreakBefore w:val="0"/>
        <w:spacing w:line="500" w:lineRule="exact"/>
        <w:widowControl w:val="off"/>
        <w:rPr>
          <w:rFonts w:hint="eastAsia"/>
          <w:sz w:val="28"/>
          <w:szCs w:val="28"/>
        </w:rPr>
      </w:pPr>
      <w:r>
        <w:rPr>
          <w:rFonts w:hint="eastAsia"/>
          <w:sz w:val="28"/>
          <w:szCs w:val="28"/>
        </w:rPr>
      </w:r>
      <w:r/>
    </w:p>
    <w:p>
      <w:pPr>
        <w:rPr>
          <w:rFonts w:hint="eastAsia" w:ascii="黑体" w:hAnsi="黑体" w:eastAsia="黑体" w:cs="黑体"/>
          <w:b w:val="0"/>
          <w:bCs/>
          <w:i/>
          <w:iCs/>
          <w:color w:val="auto"/>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技术及商务</w:t>
      </w:r>
      <w:r>
        <w:rPr>
          <w:rFonts w:hint="eastAsia" w:ascii="黑体" w:hAnsi="黑体" w:eastAsia="黑体" w:cs="黑体"/>
          <w:b w:val="0"/>
          <w:bCs/>
          <w:i/>
          <w:iCs/>
          <w:sz w:val="28"/>
          <w:szCs w:val="28"/>
          <w:u w:val="single"/>
        </w:rPr>
        <w:t xml:space="preserve">要求响应及偏离表</w:t>
      </w:r>
      <w:r/>
    </w:p>
    <w:p>
      <w:pPr>
        <w:pStyle w:val="1025"/>
      </w:pPr>
      <w:r/>
      <w:r/>
    </w:p>
    <w:tbl>
      <w:tblPr>
        <w:tblStyle w:val="1015"/>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采购</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p>
      <w:pPr>
        <w:ind w:firstLine="560"/>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w:t>
      </w:r>
      <w:r>
        <w:rPr>
          <w:rFonts w:hint="eastAsia" w:ascii="仿宋_GB2312" w:hAnsi="仿宋_GB2312" w:eastAsia="仿宋_GB2312" w:cs="仿宋_GB2312"/>
          <w:sz w:val="28"/>
          <w:szCs w:val="28"/>
          <w:lang w:eastAsia="zh-CN"/>
        </w:rPr>
        <w:t xml:space="preserve">技术及商务</w:t>
      </w:r>
      <w:r>
        <w:rPr>
          <w:rFonts w:hint="eastAsia" w:ascii="仿宋_GB2312" w:hAnsi="仿宋_GB2312" w:eastAsia="仿宋_GB2312" w:cs="仿宋_GB2312"/>
          <w:sz w:val="28"/>
          <w:szCs w:val="28"/>
        </w:rPr>
        <w:t xml:space="preserve">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164"/>
      <w:r/>
      <w:r/>
    </w:p>
    <w:p>
      <w:pPr>
        <w:rPr>
          <w:rFonts w:hint="eastAsia" w:ascii="仿宋_GB2312" w:hAnsi="仿宋_GB2312" w:eastAsia="仿宋_GB2312" w:cs="仿宋_GB2312"/>
          <w:b/>
          <w:sz w:val="28"/>
          <w:szCs w:val="28"/>
        </w:rPr>
      </w:pPr>
      <w:r/>
      <w:bookmarkStart w:id="178" w:name="_Hlt26955054"/>
      <w:r/>
      <w:bookmarkEnd w:id="178"/>
      <w:r>
        <w:rPr>
          <w:rFonts w:hint="eastAsia" w:ascii="仿宋_GB2312" w:hAnsi="仿宋_GB2312" w:eastAsia="仿宋_GB2312" w:cs="仿宋_GB2312"/>
          <w:b/>
          <w:sz w:val="28"/>
          <w:szCs w:val="28"/>
        </w:rPr>
        <w:br w:type="page" w:clear="all"/>
      </w:r>
      <w:r/>
    </w:p>
    <w:p>
      <w:pPr>
        <w:ind w:left="0" w:right="0" w:firstLine="720"/>
        <w:jc w:val="center"/>
        <w:pageBreakBefore w:val="0"/>
        <w:spacing w:line="520" w:lineRule="exact"/>
        <w:rPr>
          <w:rFonts w:hint="eastAsia" w:ascii="黑体" w:hAnsi="黑体" w:eastAsia="黑体" w:cs="黑体"/>
          <w:b w:val="0"/>
          <w:bCs w:val="0"/>
          <w:sz w:val="36"/>
          <w:szCs w:val="36"/>
        </w:rPr>
        <w:sectPr>
          <w:headerReference w:type="default" r:id="rId9"/>
          <w:footerReference w:type="default" r:id="rId13"/>
          <w:footerReference w:type="first" r:id="rId14"/>
          <w:footnotePr/>
          <w:endnotePr/>
          <w:type w:val="nextPage"/>
          <w:pgSz w:w="11906" w:h="16838" w:orient="portrait"/>
          <w:pgMar w:top="1417" w:right="1417" w:bottom="1134" w:left="1417" w:header="851" w:footer="907" w:gutter="0"/>
          <w:pgNumType w:start="1"/>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十四、</w:t>
      </w:r>
      <w:r>
        <w:rPr>
          <w:rFonts w:hint="eastAsia" w:ascii="黑体" w:hAnsi="黑体" w:eastAsia="黑体" w:cs="黑体"/>
          <w:b w:val="0"/>
          <w:bCs/>
          <w:i/>
          <w:iCs/>
          <w:sz w:val="28"/>
          <w:szCs w:val="28"/>
          <w:u w:val="single"/>
        </w:rPr>
        <w:t xml:space="preserve">关于符合本国产品标准的声明函</w:t>
      </w:r>
      <w:r/>
    </w:p>
    <w:p>
      <w:pPr>
        <w:pStyle w:val="1024"/>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1024"/>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4"/>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1028"/>
          <w:rFonts w:hint="eastAsia" w:ascii="仿宋_GB2312" w:hAnsi="仿宋_GB2312" w:eastAsia="仿宋_GB2312" w:cs="仿宋_GB2312"/>
          <w:i w:val="0"/>
          <w:color w:val="auto"/>
          <w:sz w:val="28"/>
          <w:szCs w:val="28"/>
          <w:u w:val="single"/>
          <w:shd w:val="clear" w:color="auto" w:fill="ffffff"/>
        </w:rPr>
        <w:t xml:space="preserve">（产品名称1）</w:t>
      </w:r>
      <w:r>
        <w:rPr>
          <w:rStyle w:val="1028"/>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1028"/>
          <w:rFonts w:hint="eastAsia" w:ascii="仿宋_GB2312" w:hAnsi="仿宋_GB2312" w:eastAsia="仿宋_GB2312" w:cs="仿宋_GB2312"/>
          <w:i w:val="0"/>
          <w:color w:val="auto"/>
          <w:sz w:val="28"/>
          <w:szCs w:val="28"/>
          <w:u w:val="single"/>
          <w:shd w:val="clear" w:color="auto" w:fill="ffffff"/>
        </w:rPr>
        <w:t xml:space="preserve">（厂名）</w:t>
      </w:r>
      <w:r>
        <w:rPr>
          <w:rStyle w:val="1028"/>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1028"/>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1028"/>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1028"/>
          <w:rFonts w:hint="eastAsia" w:ascii="仿宋_GB2312" w:hAnsi="仿宋_GB2312" w:eastAsia="仿宋_GB2312" w:cs="仿宋_GB2312"/>
          <w:strike/>
          <w:color w:val="ff0000"/>
          <w:sz w:val="28"/>
          <w:szCs w:val="28"/>
          <w:highlight w:val="none"/>
          <w:u w:val="single"/>
          <w:shd w:val="clear" w:color="auto" w:fill="ffffff"/>
        </w:rPr>
        <w:t xml:space="preserve">。</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1028"/>
          <w:rFonts w:hint="eastAsia" w:ascii="仿宋_GB2312" w:hAnsi="仿宋_GB2312" w:eastAsia="仿宋_GB2312" w:cs="仿宋_GB2312"/>
          <w:strike/>
          <w:color w:val="ff0000"/>
          <w:sz w:val="28"/>
          <w:szCs w:val="28"/>
          <w:highlight w:val="none"/>
          <w:u w:val="single"/>
          <w:shd w:val="clear" w:color="auto" w:fill="ffffff"/>
        </w:rPr>
        <w:t xml:space="preserve">的</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1028"/>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1028"/>
          <w:rFonts w:hint="eastAsia" w:ascii="仿宋_GB2312" w:hAnsi="仿宋_GB2312" w:eastAsia="仿宋_GB2312" w:cs="仿宋_GB2312"/>
          <w:strike/>
          <w:color w:val="ff0000"/>
          <w:sz w:val="28"/>
          <w:szCs w:val="28"/>
          <w:highlight w:val="none"/>
          <w:u w:val="single"/>
          <w:shd w:val="clear" w:color="auto" w:fill="ffffff"/>
        </w:rPr>
        <w:t xml:space="preserve">的</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1028"/>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1024"/>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1028"/>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1028"/>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1028"/>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1028"/>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1028"/>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1024"/>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1024"/>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1024"/>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1024"/>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1024"/>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1024"/>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1024"/>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1024"/>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1024"/>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1024"/>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1024"/>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1024"/>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五</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采购</w:t>
      </w:r>
      <w:r>
        <w:rPr>
          <w:rFonts w:hint="eastAsia" w:ascii="黑体" w:hAnsi="黑体" w:eastAsia="黑体" w:cs="黑体"/>
          <w:b w:val="0"/>
          <w:bCs/>
          <w:i/>
          <w:iCs/>
          <w:sz w:val="28"/>
          <w:szCs w:val="28"/>
          <w:u w:val="single"/>
        </w:rPr>
        <w:t xml:space="preserve">文件中要求提供的承诺、声明等材料或供应商认为需要提供的其他资料</w:t>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headerReference w:type="default" r:id="rId10"/>
      <w:footerReference w:type="default" r:id="rId15"/>
      <w:footerReference w:type="even" r:id="rId16"/>
      <w:footnotePr/>
      <w:endnotePr/>
      <w:type w:val="nextPage"/>
      <w:pgSz w:w="11906" w:h="16838" w:orient="portrait"/>
      <w:pgMar w:top="1440"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Showcard Gothic">
    <w:panose1 w:val="04020904020102020604"/>
  </w:font>
  <w:font w:name="仿宋">
    <w:panose1 w:val="02010609060101010101"/>
  </w:font>
  <w:font w:name="楷体">
    <w:panose1 w:val="02010609060101010101"/>
  </w:font>
  <w:font w:name="Symbol">
    <w:panose1 w:val="05050102010706020507"/>
  </w:font>
  <w:font w:name="华文楷体">
    <w:panose1 w:val="02010600040101010101"/>
  </w:font>
  <w:font w:name="Wingdings">
    <w:panose1 w:val="05000000000000000000"/>
  </w:font>
  <w:font w:name="Century Schoolbook">
    <w:panose1 w:val="02040604050505020304"/>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tabs>
                              <w:tab w:val="clear" w:pos="4153" w:leader="none"/>
                              <w:tab w:val="center" w:pos="7143" w:leader="none"/>
                              <w:tab w:val="clear" w:pos="8306" w:leader="none"/>
                              <w:tab w:val="right" w:pos="14287" w:leader="none"/>
                            </w:tabs>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tabs>
                        <w:tab w:val="clear" w:pos="4153" w:leader="none"/>
                        <w:tab w:val="center" w:pos="7143" w:leader="none"/>
                        <w:tab w:val="clear" w:pos="8306" w:leader="none"/>
                        <w:tab w:val="right" w:pos="14287" w:leader="none"/>
                      </w:tabs>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27"/>
        <w:rFonts w:ascii="宋体" w:hAnsi="宋体"/>
      </w:rPr>
      <w:framePr w:wrap="around" w:vAnchor="text" w:hAnchor="margin" w:xAlign="center" w:y="1"/>
    </w:pPr>
    <w:r>
      <w:rPr>
        <w:rFonts w:ascii="宋体" w:hAnsi="宋体"/>
      </w:rPr>
      <w:fldChar w:fldCharType="begin"/>
    </w:r>
    <w:r>
      <w:rPr>
        <w:rStyle w:val="1027"/>
        <w:rFonts w:ascii="宋体" w:hAnsi="宋体"/>
      </w:rPr>
      <w:instrText xml:space="preserve">PAGE  </w:instrText>
    </w:r>
    <w:r>
      <w:rPr>
        <w:rFonts w:ascii="宋体" w:hAnsi="宋体"/>
      </w:rPr>
      <w:fldChar w:fldCharType="separate"/>
    </w:r>
    <w:r>
      <w:rPr>
        <w:rStyle w:val="1027"/>
        <w:rFonts w:ascii="宋体" w:hAnsi="宋体"/>
      </w:rPr>
      <w:t xml:space="preserve">48</w:t>
    </w:r>
    <w:r>
      <w:rPr>
        <w:rFonts w:ascii="宋体" w:hAnsi="宋体"/>
      </w:rPr>
      <w:fldChar w:fldCharType="end"/>
    </w:r>
    <w:r/>
  </w:p>
  <w:p>
    <w:pPr>
      <w:pStyle w:val="1022"/>
      <w:jc w:val="center"/>
      <w:rPr>
        <w:rFonts w:hint="eastAsia"/>
        <w:b/>
        <w:i/>
      </w:rPr>
    </w:pP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name w:val="Heading 1"/>
    <w:basedOn w:val="1011"/>
    <w:next w:val="1011"/>
    <w:link w:val="840"/>
    <w:uiPriority w:val="9"/>
    <w:qFormat/>
    <w:pPr>
      <w:keepLines/>
      <w:keepNext/>
      <w:spacing w:before="480" w:after="200"/>
      <w:outlineLvl w:val="0"/>
    </w:pPr>
    <w:rPr>
      <w:rFonts w:ascii="Arial" w:hAnsi="Arial" w:eastAsia="Arial" w:cs="Arial"/>
      <w:sz w:val="40"/>
      <w:szCs w:val="40"/>
    </w:rPr>
  </w:style>
  <w:style w:type="character" w:styleId="840">
    <w:name w:val="Heading 1 Char"/>
    <w:basedOn w:val="1014"/>
    <w:link w:val="839"/>
    <w:uiPriority w:val="9"/>
    <w:rPr>
      <w:rFonts w:ascii="Arial" w:hAnsi="Arial" w:eastAsia="Arial" w:cs="Arial"/>
      <w:sz w:val="40"/>
      <w:szCs w:val="40"/>
    </w:rPr>
  </w:style>
  <w:style w:type="character" w:styleId="841">
    <w:name w:val="Heading 2 Char"/>
    <w:basedOn w:val="1014"/>
    <w:link w:val="1012"/>
    <w:uiPriority w:val="9"/>
    <w:rPr>
      <w:rFonts w:ascii="Arial" w:hAnsi="Arial" w:eastAsia="Arial" w:cs="Arial"/>
      <w:sz w:val="34"/>
    </w:rPr>
  </w:style>
  <w:style w:type="paragraph" w:styleId="842">
    <w:name w:val="Heading 3"/>
    <w:basedOn w:val="1011"/>
    <w:next w:val="1011"/>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basedOn w:val="1014"/>
    <w:link w:val="842"/>
    <w:uiPriority w:val="9"/>
    <w:rPr>
      <w:rFonts w:ascii="Arial" w:hAnsi="Arial" w:eastAsia="Arial" w:cs="Arial"/>
      <w:sz w:val="30"/>
      <w:szCs w:val="30"/>
    </w:rPr>
  </w:style>
  <w:style w:type="character" w:styleId="844">
    <w:name w:val="Heading 4 Char"/>
    <w:basedOn w:val="1014"/>
    <w:link w:val="1013"/>
    <w:uiPriority w:val="9"/>
    <w:rPr>
      <w:rFonts w:ascii="Arial" w:hAnsi="Arial" w:eastAsia="Arial" w:cs="Arial"/>
      <w:b/>
      <w:bCs/>
      <w:sz w:val="26"/>
      <w:szCs w:val="26"/>
    </w:rPr>
  </w:style>
  <w:style w:type="paragraph" w:styleId="845">
    <w:name w:val="Heading 5"/>
    <w:basedOn w:val="1011"/>
    <w:next w:val="1011"/>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basedOn w:val="1014"/>
    <w:link w:val="845"/>
    <w:uiPriority w:val="9"/>
    <w:rPr>
      <w:rFonts w:ascii="Arial" w:hAnsi="Arial" w:eastAsia="Arial" w:cs="Arial"/>
      <w:b/>
      <w:bCs/>
      <w:sz w:val="24"/>
      <w:szCs w:val="24"/>
    </w:rPr>
  </w:style>
  <w:style w:type="paragraph" w:styleId="847">
    <w:name w:val="Heading 6"/>
    <w:basedOn w:val="1011"/>
    <w:next w:val="1011"/>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basedOn w:val="1014"/>
    <w:link w:val="847"/>
    <w:uiPriority w:val="9"/>
    <w:rPr>
      <w:rFonts w:ascii="Arial" w:hAnsi="Arial" w:eastAsia="Arial" w:cs="Arial"/>
      <w:b/>
      <w:bCs/>
      <w:sz w:val="22"/>
      <w:szCs w:val="22"/>
    </w:rPr>
  </w:style>
  <w:style w:type="paragraph" w:styleId="849">
    <w:name w:val="Heading 7"/>
    <w:basedOn w:val="1011"/>
    <w:next w:val="1011"/>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basedOn w:val="1014"/>
    <w:link w:val="849"/>
    <w:uiPriority w:val="9"/>
    <w:rPr>
      <w:rFonts w:ascii="Arial" w:hAnsi="Arial" w:eastAsia="Arial" w:cs="Arial"/>
      <w:b/>
      <w:bCs/>
      <w:i/>
      <w:iCs/>
      <w:sz w:val="22"/>
      <w:szCs w:val="22"/>
    </w:rPr>
  </w:style>
  <w:style w:type="paragraph" w:styleId="851">
    <w:name w:val="Heading 8"/>
    <w:basedOn w:val="1011"/>
    <w:next w:val="1011"/>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basedOn w:val="1014"/>
    <w:link w:val="851"/>
    <w:uiPriority w:val="9"/>
    <w:rPr>
      <w:rFonts w:ascii="Arial" w:hAnsi="Arial" w:eastAsia="Arial" w:cs="Arial"/>
      <w:i/>
      <w:iCs/>
      <w:sz w:val="22"/>
      <w:szCs w:val="22"/>
    </w:rPr>
  </w:style>
  <w:style w:type="paragraph" w:styleId="853">
    <w:name w:val="Heading 9"/>
    <w:basedOn w:val="1011"/>
    <w:next w:val="1011"/>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basedOn w:val="1014"/>
    <w:link w:val="853"/>
    <w:uiPriority w:val="9"/>
    <w:rPr>
      <w:rFonts w:ascii="Arial" w:hAnsi="Arial" w:eastAsia="Arial" w:cs="Arial"/>
      <w:i/>
      <w:iCs/>
      <w:sz w:val="21"/>
      <w:szCs w:val="21"/>
    </w:rPr>
  </w:style>
  <w:style w:type="paragraph" w:styleId="855">
    <w:name w:val="List Paragraph"/>
    <w:basedOn w:val="1011"/>
    <w:uiPriority w:val="34"/>
    <w:qFormat/>
    <w:pPr>
      <w:contextualSpacing/>
      <w:ind w:left="720"/>
    </w:pPr>
  </w:style>
  <w:style w:type="paragraph" w:styleId="856">
    <w:name w:val="No Spacing"/>
    <w:uiPriority w:val="1"/>
    <w:qFormat/>
    <w:pPr>
      <w:spacing w:before="0" w:after="0" w:line="240" w:lineRule="auto"/>
    </w:pPr>
  </w:style>
  <w:style w:type="paragraph" w:styleId="857">
    <w:name w:val="Title"/>
    <w:basedOn w:val="1011"/>
    <w:next w:val="1011"/>
    <w:link w:val="858"/>
    <w:uiPriority w:val="10"/>
    <w:qFormat/>
    <w:pPr>
      <w:contextualSpacing/>
      <w:spacing w:before="300" w:after="200"/>
    </w:pPr>
    <w:rPr>
      <w:sz w:val="48"/>
      <w:szCs w:val="48"/>
    </w:rPr>
  </w:style>
  <w:style w:type="character" w:styleId="858">
    <w:name w:val="Title Char"/>
    <w:basedOn w:val="1014"/>
    <w:link w:val="857"/>
    <w:uiPriority w:val="10"/>
    <w:rPr>
      <w:sz w:val="48"/>
      <w:szCs w:val="48"/>
    </w:rPr>
  </w:style>
  <w:style w:type="paragraph" w:styleId="859">
    <w:name w:val="Subtitle"/>
    <w:basedOn w:val="1011"/>
    <w:next w:val="1011"/>
    <w:link w:val="860"/>
    <w:uiPriority w:val="11"/>
    <w:qFormat/>
    <w:pPr>
      <w:spacing w:before="200" w:after="200"/>
    </w:pPr>
    <w:rPr>
      <w:sz w:val="24"/>
      <w:szCs w:val="24"/>
    </w:rPr>
  </w:style>
  <w:style w:type="character" w:styleId="860">
    <w:name w:val="Subtitle Char"/>
    <w:basedOn w:val="1014"/>
    <w:link w:val="859"/>
    <w:uiPriority w:val="11"/>
    <w:rPr>
      <w:sz w:val="24"/>
      <w:szCs w:val="24"/>
    </w:rPr>
  </w:style>
  <w:style w:type="paragraph" w:styleId="861">
    <w:name w:val="Quote"/>
    <w:basedOn w:val="1011"/>
    <w:next w:val="1011"/>
    <w:link w:val="862"/>
    <w:uiPriority w:val="29"/>
    <w:qFormat/>
    <w:pPr>
      <w:ind w:left="720" w:right="720"/>
    </w:pPr>
    <w:rPr>
      <w:i/>
    </w:rPr>
  </w:style>
  <w:style w:type="character" w:styleId="862">
    <w:name w:val="Quote Char"/>
    <w:link w:val="861"/>
    <w:uiPriority w:val="29"/>
    <w:rPr>
      <w:i/>
    </w:rPr>
  </w:style>
  <w:style w:type="paragraph" w:styleId="863">
    <w:name w:val="Intense Quote"/>
    <w:basedOn w:val="1011"/>
    <w:next w:val="1011"/>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character" w:styleId="865">
    <w:name w:val="Header Char"/>
    <w:basedOn w:val="1014"/>
    <w:link w:val="1023"/>
    <w:uiPriority w:val="99"/>
  </w:style>
  <w:style w:type="character" w:styleId="866">
    <w:name w:val="Footer Char"/>
    <w:basedOn w:val="1014"/>
    <w:link w:val="1022"/>
    <w:uiPriority w:val="99"/>
  </w:style>
  <w:style w:type="paragraph" w:styleId="867">
    <w:name w:val="Caption"/>
    <w:basedOn w:val="1011"/>
    <w:next w:val="1011"/>
    <w:uiPriority w:val="35"/>
    <w:semiHidden/>
    <w:unhideWhenUsed/>
    <w:qFormat/>
    <w:pPr>
      <w:spacing w:line="276" w:lineRule="auto"/>
    </w:pPr>
    <w:rPr>
      <w:b/>
      <w:bCs/>
      <w:color w:val="4f81bd" w:themeColor="accent1"/>
      <w:sz w:val="18"/>
      <w:szCs w:val="18"/>
    </w:rPr>
  </w:style>
  <w:style w:type="character" w:styleId="868">
    <w:name w:val="Caption Char"/>
    <w:basedOn w:val="867"/>
    <w:link w:val="1022"/>
    <w:uiPriority w:val="99"/>
  </w:style>
  <w:style w:type="table" w:styleId="869">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5">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6">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7">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8">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9">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0">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0">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1">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2">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3">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4">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5">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7">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8">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9">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0">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1">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2">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1">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2">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3">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4">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5">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6">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8">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9">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0">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1">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2">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3">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5">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6">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7">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8">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9">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0">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2">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3">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4">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5">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6">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7">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11"/>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14"/>
    <w:uiPriority w:val="99"/>
    <w:unhideWhenUsed/>
    <w:rPr>
      <w:vertAlign w:val="superscript"/>
    </w:rPr>
  </w:style>
  <w:style w:type="paragraph" w:styleId="997">
    <w:name w:val="endnote text"/>
    <w:basedOn w:val="1011"/>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14"/>
    <w:uiPriority w:val="99"/>
    <w:semiHidden/>
    <w:unhideWhenUsed/>
    <w:rPr>
      <w:vertAlign w:val="superscript"/>
    </w:rPr>
  </w:style>
  <w:style w:type="paragraph" w:styleId="1000">
    <w:name w:val="toc 1"/>
    <w:basedOn w:val="1011"/>
    <w:next w:val="1011"/>
    <w:uiPriority w:val="39"/>
    <w:unhideWhenUsed/>
    <w:pPr>
      <w:ind w:left="0" w:right="0" w:firstLine="0"/>
      <w:spacing w:after="57"/>
    </w:p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next w:val="1016"/>
    <w:link w:val="1033"/>
    <w:uiPriority w:val="0"/>
    <w:qFormat/>
    <w:pPr>
      <w:jc w:val="both"/>
      <w:widowControl w:val="off"/>
    </w:pPr>
    <w:rPr>
      <w:rFonts w:ascii="Calibri" w:hAnsi="Calibri" w:eastAsia="宋体" w:cs="Times New Roman"/>
      <w:sz w:val="21"/>
      <w:szCs w:val="22"/>
      <w:lang w:val="en-US" w:eastAsia="zh-CN" w:bidi="ar-SA"/>
    </w:rPr>
  </w:style>
  <w:style w:type="paragraph" w:styleId="1012">
    <w:name w:val="Heading 2"/>
    <w:basedOn w:val="1011"/>
    <w:next w:val="10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3">
    <w:name w:val="Heading 4"/>
    <w:basedOn w:val="1011"/>
    <w:next w:val="1017"/>
    <w:uiPriority w:val="0"/>
    <w:qFormat/>
    <w:pPr>
      <w:keepLines/>
      <w:keepNext/>
      <w:spacing w:before="280" w:after="290" w:line="376" w:lineRule="auto"/>
      <w:outlineLvl w:val="3"/>
    </w:pPr>
    <w:rPr>
      <w:rFonts w:ascii="Arial" w:hAnsi="Arial" w:eastAsia="黑体" w:cs="Arial"/>
      <w:b/>
      <w:bCs/>
      <w:sz w:val="28"/>
      <w:szCs w:val="28"/>
    </w:rPr>
  </w:style>
  <w:style w:type="character" w:styleId="1014" w:default="1">
    <w:name w:val="Default Paragraph Font"/>
    <w:uiPriority w:val="0"/>
    <w:semiHidden/>
    <w:qFormat/>
  </w:style>
  <w:style w:type="table" w:styleId="1015" w:default="1">
    <w:name w:val="Normal Table"/>
    <w:uiPriority w:val="0"/>
    <w:semiHidden/>
    <w:qFormat/>
    <w:tblPr>
      <w:tblCellMar>
        <w:left w:w="108" w:type="dxa"/>
        <w:top w:w="0" w:type="dxa"/>
        <w:right w:w="108" w:type="dxa"/>
        <w:bottom w:w="0" w:type="dxa"/>
      </w:tblCellMar>
    </w:tblPr>
  </w:style>
  <w:style w:type="paragraph" w:styleId="1016">
    <w:name w:val="HTML Preformatted"/>
    <w:basedOn w:val="1011"/>
    <w:uiPriority w:val="99"/>
    <w:unhideWhenUsed/>
    <w:qFormat/>
    <w:rPr>
      <w:rFonts w:ascii="Courier New" w:hAnsi="Courier New" w:cs="Courier New"/>
      <w:sz w:val="20"/>
      <w:szCs w:val="20"/>
    </w:rPr>
  </w:style>
  <w:style w:type="paragraph" w:styleId="1017">
    <w:name w:val="Normal Indent"/>
    <w:basedOn w:val="1011"/>
    <w:uiPriority w:val="0"/>
    <w:qFormat/>
    <w:pPr>
      <w:ind w:firstLine="420"/>
    </w:pPr>
    <w:rPr>
      <w:szCs w:val="21"/>
    </w:rPr>
  </w:style>
  <w:style w:type="paragraph" w:styleId="1018">
    <w:name w:val="table of authorities"/>
    <w:basedOn w:val="1011"/>
    <w:next w:val="1011"/>
    <w:uiPriority w:val="99"/>
    <w:qFormat/>
    <w:pPr>
      <w:ind w:left="420"/>
    </w:pPr>
  </w:style>
  <w:style w:type="paragraph" w:styleId="1019">
    <w:name w:val="Body Text"/>
    <w:basedOn w:val="1011"/>
    <w:next w:val="1011"/>
    <w:uiPriority w:val="0"/>
    <w:qFormat/>
    <w:rPr>
      <w:rFonts w:ascii="楷体_GB2312" w:hAnsi="Arial" w:eastAsia="楷体_GB2312" w:cs="Times New Roman"/>
      <w:sz w:val="28"/>
      <w:szCs w:val="28"/>
    </w:rPr>
  </w:style>
  <w:style w:type="paragraph" w:styleId="1020">
    <w:name w:val="Body Text Indent"/>
    <w:basedOn w:val="1011"/>
    <w:uiPriority w:val="0"/>
    <w:unhideWhenUsed/>
    <w:qFormat/>
    <w:pPr>
      <w:ind w:left="420"/>
      <w:spacing w:after="120"/>
    </w:pPr>
  </w:style>
  <w:style w:type="paragraph" w:styleId="1021">
    <w:name w:val="Plain Text"/>
    <w:basedOn w:val="1011"/>
    <w:uiPriority w:val="0"/>
    <w:qFormat/>
    <w:rPr>
      <w:rFonts w:ascii="宋体" w:hAnsi="Courier New" w:eastAsia="宋体" w:cs="Courier New"/>
      <w:szCs w:val="21"/>
    </w:rPr>
  </w:style>
  <w:style w:type="paragraph" w:styleId="1022">
    <w:name w:val="Footer"/>
    <w:basedOn w:val="1011"/>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023">
    <w:name w:val="Header"/>
    <w:basedOn w:val="1011"/>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1024">
    <w:name w:val="Normal (Web)"/>
    <w:basedOn w:val="1011"/>
    <w:uiPriority w:val="99"/>
    <w:qFormat/>
    <w:pPr>
      <w:ind w:firstLine="420"/>
    </w:pPr>
    <w:rPr>
      <w:rFonts w:ascii="Calibri" w:hAnsi="Calibri"/>
      <w:szCs w:val="22"/>
    </w:rPr>
  </w:style>
  <w:style w:type="paragraph" w:styleId="1025">
    <w:name w:val="Body Text First Indent"/>
    <w:basedOn w:val="1019"/>
    <w:uiPriority w:val="0"/>
    <w:qFormat/>
    <w:pPr>
      <w:ind w:firstLine="200"/>
      <w:jc w:val="left"/>
      <w:spacing w:line="360" w:lineRule="auto"/>
    </w:pPr>
    <w:rPr>
      <w:bCs/>
      <w:sz w:val="24"/>
    </w:rPr>
  </w:style>
  <w:style w:type="table" w:styleId="1026">
    <w:name w:val="Table Grid"/>
    <w:basedOn w:val="10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page number"/>
    <w:uiPriority w:val="0"/>
    <w:qFormat/>
  </w:style>
  <w:style w:type="character" w:styleId="1028">
    <w:name w:val="Emphasis"/>
    <w:basedOn w:val="1014"/>
    <w:uiPriority w:val="0"/>
    <w:qFormat/>
    <w:rPr>
      <w:i/>
    </w:rPr>
  </w:style>
  <w:style w:type="character" w:styleId="1029">
    <w:name w:val="Hyperlink"/>
    <w:basedOn w:val="1014"/>
    <w:uiPriority w:val="99"/>
    <w:unhideWhenUsed/>
    <w:qFormat/>
    <w:rPr>
      <w:color w:val="0026e5" w:themeColor="hyperlink"/>
      <w:u w:val="single"/>
      <w14:textFill>
        <w14:solidFill>
          <w14:schemeClr w14:val="hlink"/>
        </w14:solidFill>
      </w14:textFill>
    </w:rPr>
  </w:style>
  <w:style w:type="paragraph" w:styleId="103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1" w:customStyle="1">
    <w:name w:val="列出段落1"/>
    <w:basedOn w:val="1011"/>
    <w:uiPriority w:val="0"/>
    <w:qFormat/>
    <w:pPr>
      <w:contextualSpacing/>
      <w:ind w:left="720"/>
      <w:jc w:val="left"/>
      <w:widowControl/>
    </w:pPr>
    <w:rPr>
      <w:rFonts w:ascii="Calibri" w:hAnsi="Calibri"/>
      <w:sz w:val="24"/>
      <w:szCs w:val="24"/>
      <w:lang w:eastAsia="en-US" w:bidi="en-US"/>
    </w:rPr>
  </w:style>
  <w:style w:type="table" w:styleId="1032" w:customStyle="1">
    <w:name w:val="Table"/>
    <w:uiPriority w:val="0"/>
    <w:unhideWhenUsed/>
    <w:qFormat/>
    <w:tblPr>
      <w:tblCellMar>
        <w:left w:w="108" w:type="dxa"/>
        <w:top w:w="0" w:type="dxa"/>
        <w:right w:w="108" w:type="dxa"/>
        <w:bottom w:w="0" w:type="dxa"/>
      </w:tblCellMar>
    </w:tblPr>
    <w:tblStylePr w:type="firstRow">
      <w:tcPr>
        <w:tcBorders>
          <w:top w:val="none" w:color="000000" w:sz="4" w:space="0"/>
          <w:left w:val="none" w:color="000000" w:sz="4" w:space="0"/>
          <w:bottom w:val="single" w:color="auto" w:sz="0" w:space="0"/>
          <w:right w:val="none" w:color="000000" w:sz="4" w:space="0"/>
          <w:insideH w:val="none" w:color="000000" w:sz="4" w:space="0"/>
          <w:insideV w:val="none" w:color="000000" w:sz="4" w:space="0"/>
        </w:tcBorders>
        <w:vAlign w:val="bottom"/>
      </w:tcPr>
    </w:tblStylePr>
  </w:style>
  <w:style w:type="character" w:styleId="1033" w:customStyle="1">
    <w:name w:val="超链接11"/>
    <w:link w:val="1011"/>
    <w:uiPriority w:val="0"/>
    <w:qFormat/>
    <w:rPr>
      <w:rFonts w:ascii="Calibri" w:hAnsi="Calibri" w:eastAsia="宋体" w:cs="Times New Roman"/>
      <w:sz w:val="21"/>
      <w:szCs w:val="22"/>
      <w:lang w:val="en-US" w:eastAsia="zh-CN" w:bidi="ar-SA"/>
    </w:rPr>
  </w:style>
  <w:style w:type="paragraph" w:styleId="1034" w:customStyle="1">
    <w:name w:val="页眉1"/>
    <w:basedOn w:val="101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35" w:customStyle="1">
    <w:name w:val="页脚1"/>
    <w:basedOn w:val="1011"/>
    <w:uiPriority w:val="0"/>
    <w:qFormat/>
    <w:pPr>
      <w:jc w:val="left"/>
      <w:tabs>
        <w:tab w:val="center" w:pos="4153" w:leader="none"/>
        <w:tab w:val="right" w:pos="8306" w:leader="none"/>
      </w:tabs>
    </w:pPr>
    <w:rPr>
      <w:rFonts w:ascii="Times New Roman" w:hAnsi="Times New Roman"/>
      <w:sz w:val="18"/>
      <w:szCs w:val="18"/>
    </w:rPr>
  </w:style>
  <w:style w:type="paragraph" w:styleId="1036" w:customStyle="1">
    <w:name w:val="纯文本1"/>
    <w:basedOn w:val="1011"/>
    <w:uiPriority w:val="0"/>
    <w:qFormat/>
    <w:rPr>
      <w:rFonts w:ascii="宋体" w:hAnsi="Courier New" w:cs="Courier New"/>
      <w:szCs w:val="21"/>
    </w:rPr>
  </w:style>
  <w:style w:type="paragraph" w:styleId="1037" w:customStyle="1">
    <w:name w:val="black1"/>
    <w:basedOn w:val="1011"/>
    <w:uiPriority w:val="99"/>
    <w:qFormat/>
    <w:pPr>
      <w:jc w:val="left"/>
      <w:spacing w:before="100" w:beforeAutospacing="1" w:after="100" w:afterAutospacing="1"/>
      <w:widowControl/>
    </w:pPr>
    <w:rPr>
      <w:rFonts w:ascii="宋体" w:hAnsi="宋体"/>
      <w:sz w:val="24"/>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非也</dc:creator>
  <cp:lastModifiedBy>刘关宝</cp:lastModifiedBy>
  <cp:revision>4</cp:revision>
  <dcterms:created xsi:type="dcterms:W3CDTF">2026-08-24T01:47:00Z</dcterms:created>
  <dcterms:modified xsi:type="dcterms:W3CDTF">2026-10-23T03:34:22Z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7B35FC9DBE03494A886006B093BBA6E2_13</vt:lpwstr>
  </property>
  <property fmtid="{D5CDD505-2E9C-101B-9397-08002B2CF9AE}" pid="4" name="KSOTemplateDocerSaveRecord">
    <vt:lpwstr>eyJoZGlkIjoiZTk2ZjNlOWQ0YzQzOTA1OWUyYWFlMTIwYzNjYjFkZjYiLCJ1c2VySWQiOiIxMTQ1Mjk0NDgzIn0=</vt:lpwstr>
  </property>
</Properties>
</file>