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48"/>
          <w:szCs w:val="48"/>
          <w:highlight w:val="none"/>
        </w:rPr>
      </w:pPr>
      <w:r>
        <w:rPr>
          <w:rFonts w:ascii="Arial" w:hAnsi="Arial" w:eastAsia="黑体"/>
          <w:b/>
          <w:bCs/>
          <w:color w:val="auto"/>
          <w:sz w:val="48"/>
          <w:szCs w:val="48"/>
          <w:highlight w:val="none"/>
        </w:rPr>
      </w:r>
      <w:r/>
    </w:p>
    <w:p>
      <w:pPr>
        <w:jc w:val="center"/>
        <w:spacing w:before="120" w:after="120" w:line="360" w:lineRule="auto"/>
        <w:rPr>
          <w:rFonts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招　标　文　件</w:t>
      </w:r>
      <w:r/>
    </w:p>
    <w:p>
      <w:pPr>
        <w:jc w:val="center"/>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项目名称：海安市实验中学外迁工程家具采购项目</w:t>
      </w:r>
      <w:r/>
    </w:p>
    <w:p>
      <w:pPr>
        <w:ind w:firstLine="640"/>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项目编号：JSZC-320685-NTHL-G2026-0008</w:t>
      </w:r>
      <w:r/>
    </w:p>
    <w:p>
      <w:pPr>
        <w:rPr>
          <w:b/>
          <w:color w:val="auto"/>
          <w:sz w:val="24"/>
          <w:szCs w:val="24"/>
          <w:highlight w:val="none"/>
        </w:rPr>
      </w:pPr>
      <w:r>
        <w:rPr>
          <w:b/>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center"/>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海安市实验中学</w:t>
      </w:r>
      <w:r/>
    </w:p>
    <w:p>
      <w:pPr>
        <w:jc w:val="center"/>
        <w:spacing w:before="120" w:after="120" w:line="360" w:lineRule="auto"/>
        <w:rPr>
          <w:rFonts w:ascii="Arial" w:hAnsi="Arial"/>
          <w:color w:val="auto"/>
          <w:sz w:val="24"/>
          <w:szCs w:val="24"/>
          <w:highlight w:val="none"/>
          <w:u w:val="single"/>
        </w:rPr>
      </w:pPr>
      <w:r>
        <w:rPr>
          <w:rFonts w:hint="eastAsia" w:ascii="Arial" w:hAnsi="Arial"/>
          <w:b/>
          <w:bCs/>
          <w:color w:val="auto"/>
          <w:sz w:val="32"/>
          <w:szCs w:val="24"/>
          <w:highlight w:val="none"/>
        </w:rPr>
        <w:t xml:space="preserve">2026年9月24日</w:t>
      </w:r>
      <w:r/>
    </w:p>
    <w:p>
      <w:pPr>
        <w:jc w:val="center"/>
        <w:spacing w:line="480" w:lineRule="auto"/>
        <w:rPr>
          <w:color w:val="auto"/>
          <w:szCs w:val="21"/>
          <w:highlight w:val="none"/>
        </w:rPr>
        <w:outlineLvl w:val="0"/>
      </w:pPr>
      <w:r>
        <w:rPr>
          <w:color w:val="auto"/>
          <w:szCs w:val="21"/>
          <w:highlight w:val="none"/>
        </w:rPr>
        <w:br w:type="page" w:clear="all"/>
      </w:r>
      <w:bookmarkStart w:id="0" w:name="_Toc120614210"/>
      <w:r/>
      <w:bookmarkStart w:id="1" w:name="_Toc20823272"/>
      <w:r/>
      <w:bookmarkStart w:id="2" w:name="_Toc16938516"/>
      <w:r/>
      <w:bookmarkStart w:id="3" w:name="_Toc479757206"/>
      <w:r/>
      <w:bookmarkStart w:id="4" w:name="_Toc523127445"/>
      <w:r/>
      <w:bookmarkStart w:id="5" w:name="_Toc513029200"/>
      <w:r/>
      <w:r/>
    </w:p>
    <w:p>
      <w:pPr>
        <w:jc w:val="center"/>
        <w:spacing w:line="480" w:lineRule="auto"/>
        <w:rPr>
          <w:rFonts w:ascii="黑体" w:hAnsi="Arial" w:eastAsia="黑体"/>
          <w:b/>
          <w:color w:val="auto"/>
          <w:sz w:val="44"/>
          <w:szCs w:val="21"/>
          <w:highlight w:val="none"/>
        </w:rPr>
        <w:outlineLvl w:val="0"/>
      </w:pPr>
      <w:r>
        <w:rPr>
          <w:rFonts w:hint="eastAsia" w:ascii="黑体" w:hAnsi="Arial" w:eastAsia="黑体"/>
          <w:b/>
          <w:color w:val="auto"/>
          <w:sz w:val="44"/>
          <w:szCs w:val="21"/>
          <w:highlight w:val="none"/>
        </w:rPr>
        <w:t xml:space="preserve">总  目  录</w:t>
      </w:r>
      <w:r/>
    </w:p>
    <w:p>
      <w:pPr>
        <w:spacing w:line="480" w:lineRule="auto"/>
        <w:rPr>
          <w:rFonts w:ascii="仿宋_GB2312" w:hAnsi="Arial" w:eastAsia="仿宋_GB2312"/>
          <w:b/>
          <w:color w:val="auto"/>
          <w:sz w:val="28"/>
          <w:szCs w:val="21"/>
          <w:highlight w:val="none"/>
        </w:rPr>
      </w:pPr>
      <w:r>
        <w:rPr>
          <w:rFonts w:ascii="仿宋_GB2312" w:hAnsi="Arial" w:eastAsia="仿宋_GB2312"/>
          <w:b/>
          <w:color w:val="auto"/>
          <w:sz w:val="28"/>
          <w:szCs w:val="21"/>
          <w:highlight w:val="none"/>
        </w:rPr>
      </w:r>
      <w:r/>
    </w:p>
    <w:p>
      <w:pPr>
        <w:numPr>
          <w:ilvl w:val="0"/>
          <w:numId w:val="4"/>
        </w:numPr>
        <w:spacing w:line="480" w:lineRule="auto"/>
        <w:rPr>
          <w:rFonts w:ascii="黑体" w:hAnsi="Showcard Gothic" w:eastAsia="黑体"/>
          <w:color w:val="auto"/>
          <w:sz w:val="32"/>
          <w:szCs w:val="21"/>
          <w:highlight w:val="none"/>
        </w:rPr>
        <w:outlineLvl w:val="0"/>
      </w:pPr>
      <w:r>
        <w:rPr>
          <w:rFonts w:hint="eastAsia" w:ascii="黑体" w:hAnsi="宋体" w:eastAsia="黑体"/>
          <w:color w:val="auto"/>
          <w:sz w:val="36"/>
          <w:szCs w:val="21"/>
          <w:highlight w:val="none"/>
        </w:rPr>
        <w:t xml:space="preserve">投标邀请</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投标人须知</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采购需求</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评标方法与评标标准</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投标文件格式</w:t>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jc w:val="center"/>
        <w:keepNext/>
        <w:rPr>
          <w:rFonts w:ascii="黑体" w:eastAsia="黑体"/>
          <w:color w:val="auto"/>
          <w:sz w:val="32"/>
          <w:szCs w:val="32"/>
          <w:highlight w:val="none"/>
        </w:rPr>
        <w:outlineLvl w:val="0"/>
      </w:pPr>
      <w:r>
        <w:rPr>
          <w:rFonts w:ascii="黑体" w:eastAsia="黑体"/>
          <w:color w:val="auto"/>
          <w:sz w:val="32"/>
          <w:szCs w:val="32"/>
          <w:highlight w:val="none"/>
        </w:rPr>
      </w:r>
      <w:r/>
    </w:p>
    <w:p>
      <w:pPr>
        <w:jc w:val="center"/>
        <w:keepNext/>
        <w:rPr>
          <w:rFonts w:ascii="黑体" w:eastAsia="黑体"/>
          <w:color w:val="auto"/>
          <w:sz w:val="32"/>
          <w:szCs w:val="32"/>
          <w:highlight w:val="none"/>
        </w:rPr>
        <w:outlineLvl w:val="0"/>
      </w:pPr>
      <w:r>
        <w:rPr>
          <w:rFonts w:hint="eastAsia" w:ascii="黑体" w:eastAsia="黑体"/>
          <w:color w:val="auto"/>
          <w:sz w:val="32"/>
          <w:szCs w:val="32"/>
          <w:highlight w:val="none"/>
        </w:rPr>
        <w:t xml:space="preserve">第一章  </w:t>
      </w:r>
      <w:bookmarkEnd w:id="0"/>
      <w:r>
        <w:rPr>
          <w:rFonts w:hint="eastAsia" w:ascii="黑体" w:eastAsia="黑体"/>
          <w:color w:val="auto"/>
          <w:sz w:val="32"/>
          <w:szCs w:val="32"/>
          <w:highlight w:val="none"/>
        </w:rPr>
        <w:t xml:space="preserve">投标邀请</w:t>
      </w:r>
      <w:r/>
    </w:p>
    <w:p>
      <w:pPr>
        <w:ind w:firstLine="480"/>
        <w:keepNext/>
        <w:spacing w:line="440" w:lineRule="exact"/>
        <w:rPr>
          <w:rFonts w:ascii="宋体" w:hAnsi="宋体"/>
          <w:color w:val="auto"/>
          <w:sz w:val="24"/>
          <w:szCs w:val="24"/>
          <w:highlight w:val="none"/>
        </w:rPr>
        <w:outlineLvl w:val="0"/>
      </w:pPr>
      <w:r>
        <w:rPr>
          <w:rFonts w:hint="eastAsia" w:ascii="宋体" w:hAnsi="宋体"/>
          <w:color w:val="auto"/>
          <w:sz w:val="24"/>
          <w:szCs w:val="24"/>
          <w:highlight w:val="none"/>
        </w:rPr>
        <w:t xml:space="preserve">受海安市实验中学的委托，南通海陵工程项目管理有限公司就海安市实验中学外迁工程家具采购项目（项目编号：JSZC-320685-NTHL-G2026-0008)项目进行公开招标采购，欢迎符合条件的供应商投标。</w:t>
      </w:r>
      <w:r/>
    </w:p>
    <w:p>
      <w:pPr>
        <w:ind w:firstLine="480"/>
        <w:spacing w:line="440" w:lineRule="exact"/>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440" w:lineRule="exact"/>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海安市实验中学外迁工程家具采购项目</w:t>
      </w:r>
      <w:r>
        <w:rPr>
          <w:rFonts w:hint="eastAsia" w:ascii="宋体" w:hAnsi="宋体"/>
          <w:color w:val="auto"/>
          <w:sz w:val="24"/>
          <w:szCs w:val="24"/>
          <w:highlight w:val="none"/>
        </w:rPr>
        <w:t xml:space="preserve">招标项目的潜在投标人可在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rPr>
        <w:t xml:space="preserve">2026</w:t>
      </w:r>
      <w:r>
        <w:rPr>
          <w:rFonts w:hint="eastAsia" w:ascii="宋体" w:hAnsi="宋体"/>
          <w:bCs/>
          <w:color w:val="auto"/>
          <w:sz w:val="24"/>
          <w:szCs w:val="24"/>
          <w:highlight w:val="none"/>
          <w:u w:val="single"/>
        </w:rPr>
        <w:t xml:space="preserve">年1</w:t>
      </w:r>
      <w:r>
        <w:rPr>
          <w:rFonts w:hint="eastAsia" w:ascii="宋体" w:hAnsi="宋体"/>
          <w:bCs/>
          <w:color w:val="auto"/>
          <w:sz w:val="24"/>
          <w:szCs w:val="24"/>
          <w:highlight w:val="none"/>
          <w:u w:val="single"/>
          <w:lang w:val="en-US" w:eastAsia="zh-CN"/>
        </w:rPr>
        <w:t xml:space="preserve">1</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05</w:t>
      </w:r>
      <w:r>
        <w:rPr>
          <w:rFonts w:hint="eastAsia" w:ascii="宋体" w:hAnsi="宋体"/>
          <w:bCs/>
          <w:color w:val="auto"/>
          <w:sz w:val="24"/>
          <w:szCs w:val="24"/>
          <w:highlight w:val="none"/>
          <w:u w:val="single"/>
        </w:rPr>
        <w:t xml:space="preserve">日09点00分（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496"/>
        <w:keepLines/>
        <w:keepNext/>
        <w:spacing w:before="156" w:after="156" w:line="440" w:lineRule="exact"/>
        <w:rPr>
          <w:rFonts w:ascii="宋体" w:hAnsi="宋体"/>
          <w:b/>
          <w:bCs/>
          <w:color w:val="auto"/>
          <w:sz w:val="24"/>
          <w:szCs w:val="24"/>
          <w:highlight w:val="none"/>
        </w:rPr>
        <w:outlineLvl w:val="2"/>
      </w:pPr>
      <w:r/>
      <w:bookmarkStart w:id="6" w:name="_Toc35393790"/>
      <w:r/>
      <w:bookmarkStart w:id="7" w:name="_Toc35393621"/>
      <w:r/>
      <w:bookmarkStart w:id="8" w:name="_Toc38985263"/>
      <w:r/>
      <w:bookmarkStart w:id="9" w:name="_Toc28359002"/>
      <w:r/>
      <w:bookmarkStart w:id="10" w:name="_Toc28359079"/>
      <w:r/>
      <w:bookmarkStart w:id="11" w:name="_Hlk24379207"/>
      <w:r>
        <w:rPr>
          <w:rFonts w:hint="eastAsia" w:ascii="宋体" w:hAnsi="宋体"/>
          <w:b/>
          <w:bCs/>
          <w:color w:val="auto"/>
          <w:sz w:val="24"/>
          <w:szCs w:val="24"/>
          <w:highlight w:val="none"/>
        </w:rPr>
        <w:t xml:space="preserve">一、项目基本情况</w:t>
      </w:r>
      <w:bookmarkEnd w:id="6"/>
      <w:r/>
      <w:bookmarkEnd w:id="7"/>
      <w:r/>
      <w:bookmarkEnd w:id="8"/>
      <w:r/>
      <w:bookmarkEnd w:id="9"/>
      <w:r/>
      <w:bookmarkEnd w:id="10"/>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1.项目编号：JSZC-320685-NTHL-G2026-0008</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2.项目名称：海安市实验中学外迁工程家具采购项目</w:t>
      </w:r>
      <w:bookmarkEnd w:id="11"/>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3.项目类型：货物</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4.项目行业：工业</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5.预算金额：419.00万元</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6.最高</w:t>
      </w:r>
      <w:r>
        <w:rPr>
          <w:rFonts w:ascii="宋体" w:hAnsi="宋体"/>
          <w:color w:val="auto"/>
          <w:sz w:val="24"/>
          <w:szCs w:val="24"/>
          <w:highlight w:val="none"/>
        </w:rPr>
        <w:t xml:space="preserve">限价</w:t>
      </w:r>
      <w:r>
        <w:rPr>
          <w:rFonts w:hint="eastAsia" w:ascii="宋体" w:hAnsi="宋体"/>
          <w:color w:val="auto"/>
          <w:sz w:val="24"/>
          <w:szCs w:val="24"/>
          <w:highlight w:val="none"/>
        </w:rPr>
        <w:t xml:space="preserve">：419.00万元，投标报价超过最高限价的投标将作为无效投标处理。</w:t>
      </w:r>
      <w:r/>
    </w:p>
    <w:p>
      <w:pPr>
        <w:ind w:firstLine="480"/>
        <w:spacing w:line="44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7.采购需求：详细内容见本招标文件第三章，请仔细研究。</w:t>
      </w:r>
      <w:r/>
    </w:p>
    <w:p>
      <w:pPr>
        <w:ind w:firstLine="480"/>
        <w:spacing w:line="44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8.合同履行期限：</w:t>
      </w:r>
      <w:r>
        <w:rPr>
          <w:rFonts w:hint="eastAsia" w:ascii="宋体" w:hAnsi="宋体"/>
          <w:bCs/>
          <w:color w:val="auto"/>
          <w:sz w:val="24"/>
          <w:szCs w:val="24"/>
          <w:highlight w:val="none"/>
        </w:rPr>
        <w:t xml:space="preserve">60日历天。</w:t>
      </w:r>
      <w:r/>
    </w:p>
    <w:p>
      <w:pPr>
        <w:ind w:firstLine="496"/>
        <w:keepLines/>
        <w:keepNext/>
        <w:spacing w:before="156" w:after="156" w:line="440" w:lineRule="exact"/>
        <w:rPr>
          <w:rFonts w:ascii="宋体" w:hAnsi="宋体"/>
          <w:b/>
          <w:bCs/>
          <w:color w:val="auto"/>
          <w:sz w:val="24"/>
          <w:szCs w:val="24"/>
          <w:highlight w:val="none"/>
        </w:rPr>
        <w:outlineLvl w:val="2"/>
      </w:pPr>
      <w:r/>
      <w:bookmarkStart w:id="12" w:name="_Toc38985264"/>
      <w:r/>
      <w:bookmarkStart w:id="13" w:name="_Toc35393791"/>
      <w:r/>
      <w:bookmarkStart w:id="14" w:name="_Toc35393622"/>
      <w:r/>
      <w:bookmarkStart w:id="15" w:name="_Toc28359003"/>
      <w:r/>
      <w:bookmarkStart w:id="16" w:name="_Toc28359080"/>
      <w:r>
        <w:rPr>
          <w:rFonts w:hint="eastAsia" w:ascii="宋体" w:hAnsi="宋体"/>
          <w:b/>
          <w:bCs/>
          <w:color w:val="auto"/>
          <w:sz w:val="24"/>
          <w:szCs w:val="24"/>
          <w:highlight w:val="none"/>
        </w:rPr>
        <w:t xml:space="preserve">二、申请人的资格要求</w:t>
      </w:r>
      <w:bookmarkEnd w:id="12"/>
      <w:r/>
      <w:bookmarkEnd w:id="13"/>
      <w:r/>
      <w:bookmarkEnd w:id="14"/>
      <w:r/>
      <w:bookmarkEnd w:id="15"/>
      <w:r/>
      <w:bookmarkEnd w:id="16"/>
      <w:r/>
      <w:r/>
    </w:p>
    <w:p>
      <w:pPr>
        <w:ind w:firstLine="560"/>
        <w:spacing w:line="440" w:lineRule="exact"/>
        <w:rPr>
          <w:rFonts w:ascii="宋体" w:hAnsi="宋体"/>
          <w:color w:val="auto"/>
          <w:sz w:val="24"/>
          <w:szCs w:val="24"/>
          <w:highlight w:val="none"/>
        </w:rPr>
      </w:pPr>
      <w:r/>
      <w:bookmarkStart w:id="17" w:name="_Toc28359004"/>
      <w:r/>
      <w:bookmarkStart w:id="18" w:name="_Toc38985265"/>
      <w:r/>
      <w:bookmarkStart w:id="19" w:name="_Toc35393792"/>
      <w:r/>
      <w:bookmarkStart w:id="20" w:name="_Toc28359081"/>
      <w:r/>
      <w:bookmarkStart w:id="21" w:name="_Toc35393623"/>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1.满足《中华人民共和国政府采购法》第二十二条规定。（按附件1格式进行声明并提供营业执照，投标文件中无需提供其他证明材料）</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按附件1格式进行声明，投标文件中无需提供其他证明材料）</w:t>
      </w:r>
      <w:r/>
    </w:p>
    <w:p>
      <w:pPr>
        <w:ind w:firstLine="480"/>
        <w:spacing w:line="440" w:lineRule="exact"/>
        <w:rPr>
          <w:rFonts w:ascii="宋体" w:hAnsi="宋体" w:cs="宋体"/>
          <w:color w:val="auto"/>
          <w:sz w:val="24"/>
          <w:szCs w:val="24"/>
          <w:highlight w:val="none"/>
          <w:u w:val="single"/>
        </w:rPr>
      </w:pPr>
      <w:r>
        <w:rPr>
          <w:rFonts w:hint="eastAsia" w:ascii="宋体" w:hAnsi="宋体"/>
          <w:color w:val="auto"/>
          <w:sz w:val="24"/>
          <w:szCs w:val="24"/>
          <w:highlight w:val="none"/>
        </w:rPr>
        <w:t xml:space="preserve">3.落实政府采购政策需满足的资格要求：</w:t>
      </w:r>
      <w:r>
        <w:rPr>
          <w:rFonts w:hint="eastAsia" w:ascii="宋体" w:hAnsi="宋体"/>
          <w:color w:val="auto"/>
          <w:sz w:val="24"/>
          <w:szCs w:val="24"/>
          <w:highlight w:val="none"/>
          <w:u w:val="single"/>
        </w:rPr>
        <w:t xml:space="preserve">本项目为专门面向中小微企业采购项目，残疾人福利性单位、监狱和戒毒企业（简称监狱企业）视同小型、微型企业。须按照财库〔2020〕46号文要求提供中小企业声明函，或提供《残疾人福利性单位声明函》，或提供由省级以上监狱管理局、戒毒管理局(含新疆生产建设兵团)出具的属于监狱企业的证明文件。格式见附件9、附件10、附件11。</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4.本项目不接受联合体投标。</w:t>
      </w:r>
      <w:r/>
    </w:p>
    <w:p>
      <w:pPr>
        <w:ind w:firstLine="480"/>
        <w:spacing w:line="440" w:lineRule="exact"/>
        <w:rPr>
          <w:rFonts w:ascii="宋体" w:hAnsi="宋体"/>
          <w:color w:val="auto"/>
          <w:sz w:val="24"/>
          <w:szCs w:val="24"/>
          <w:highlight w:val="none"/>
        </w:rPr>
      </w:pPr>
      <w:r>
        <w:rPr>
          <w:rFonts w:hint="eastAsia" w:ascii="宋体" w:hAnsi="宋体" w:cs="宋体"/>
          <w:color w:val="auto"/>
          <w:sz w:val="24"/>
          <w:szCs w:val="24"/>
          <w:highlight w:val="none"/>
        </w:rPr>
        <w:t xml:space="preserve">5.本项目不</w:t>
      </w:r>
      <w:r>
        <w:rPr>
          <w:rFonts w:hint="eastAsia" w:ascii="宋体" w:hAnsi="宋体"/>
          <w:color w:val="auto"/>
          <w:sz w:val="24"/>
          <w:szCs w:val="24"/>
          <w:highlight w:val="none"/>
        </w:rPr>
        <w:t xml:space="preserve">接受分包。</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（二）本项目的特定资格要求：无</w:t>
      </w:r>
      <w:r/>
    </w:p>
    <w:p>
      <w:pPr>
        <w:ind w:firstLine="496"/>
        <w:keepLines/>
        <w:keepNext/>
        <w:spacing w:before="156" w:after="156" w:line="440" w:lineRule="exact"/>
        <w:rPr>
          <w:rFonts w:ascii="宋体" w:hAnsi="宋体"/>
          <w:b/>
          <w:bCs/>
          <w:color w:val="auto"/>
          <w:sz w:val="24"/>
          <w:szCs w:val="24"/>
          <w:highlight w:val="none"/>
        </w:rPr>
        <w:outlineLvl w:val="2"/>
      </w:pPr>
      <w:r>
        <w:rPr>
          <w:rFonts w:hint="eastAsia" w:ascii="宋体" w:hAnsi="宋体"/>
          <w:b/>
          <w:bCs/>
          <w:color w:val="auto"/>
          <w:sz w:val="24"/>
          <w:szCs w:val="24"/>
          <w:highlight w:val="none"/>
        </w:rPr>
        <w:t xml:space="preserve">三、获取招标文件</w:t>
      </w:r>
      <w:r/>
    </w:p>
    <w:p>
      <w:pPr>
        <w:ind w:firstLine="54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1.时间：2026年09月24日至2026年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日（提供期限自本公告发布之日起不得少于5个工作日）。</w:t>
      </w:r>
      <w:r/>
    </w:p>
    <w:p>
      <w:pPr>
        <w:ind w:firstLine="540"/>
        <w:spacing w:line="44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2.方式：在“江苏政府采购网”自行免费下载招标文件。</w:t>
      </w:r>
      <w:bookmarkEnd w:id="17"/>
      <w:r/>
      <w:bookmarkEnd w:id="18"/>
      <w:r/>
      <w:bookmarkEnd w:id="19"/>
      <w:r/>
      <w:bookmarkEnd w:id="20"/>
      <w:r/>
      <w:bookmarkEnd w:id="21"/>
      <w:r/>
      <w:r/>
    </w:p>
    <w:p>
      <w:pPr>
        <w:ind w:firstLine="496"/>
        <w:keepLines/>
        <w:keepNext/>
        <w:spacing w:before="156" w:after="156" w:line="440" w:lineRule="exact"/>
        <w:rPr>
          <w:rFonts w:ascii="宋体" w:hAnsi="宋体"/>
          <w:b/>
          <w:bCs/>
          <w:color w:val="auto"/>
          <w:sz w:val="24"/>
          <w:szCs w:val="24"/>
          <w:highlight w:val="none"/>
        </w:rPr>
        <w:outlineLvl w:val="2"/>
      </w:pPr>
      <w:r/>
      <w:bookmarkStart w:id="22" w:name="_Toc28359005"/>
      <w:r/>
      <w:bookmarkStart w:id="23" w:name="_Toc28359082"/>
      <w:r/>
      <w:bookmarkStart w:id="24" w:name="_Toc35393624"/>
      <w:r/>
      <w:bookmarkStart w:id="25" w:name="_Toc38985266"/>
      <w:r/>
      <w:bookmarkStart w:id="26" w:name="_Toc35393793"/>
      <w:r>
        <w:rPr>
          <w:rFonts w:hint="eastAsia" w:ascii="宋体" w:hAnsi="宋体"/>
          <w:b/>
          <w:bCs/>
          <w:color w:val="auto"/>
          <w:sz w:val="24"/>
          <w:szCs w:val="24"/>
          <w:highlight w:val="none"/>
        </w:rPr>
        <w:t xml:space="preserve">四、提交投标文件</w:t>
      </w:r>
      <w:bookmarkEnd w:id="22"/>
      <w:r/>
      <w:bookmarkEnd w:id="23"/>
      <w:r>
        <w:rPr>
          <w:rFonts w:hint="eastAsia" w:ascii="宋体" w:hAnsi="宋体"/>
          <w:b/>
          <w:bCs/>
          <w:color w:val="auto"/>
          <w:sz w:val="24"/>
          <w:szCs w:val="24"/>
          <w:highlight w:val="none"/>
        </w:rPr>
        <w:t xml:space="preserve">截止时间、开标时间和地点</w:t>
      </w:r>
      <w:bookmarkEnd w:id="24"/>
      <w:r/>
      <w:bookmarkEnd w:id="25"/>
      <w:r/>
      <w:bookmarkEnd w:id="26"/>
      <w:r/>
      <w:r/>
    </w:p>
    <w:p>
      <w:pPr>
        <w:ind w:firstLine="480"/>
        <w:spacing w:line="44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2026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u w:val="single"/>
        </w:rPr>
        <w:t xml:space="preserve">1</w:t>
      </w:r>
      <w:r>
        <w:rPr>
          <w:rFonts w:hint="eastAsia" w:ascii="宋体" w:hAnsi="宋体"/>
          <w:bCs/>
          <w:color w:val="auto"/>
          <w:sz w:val="24"/>
          <w:szCs w:val="24"/>
          <w:highlight w:val="none"/>
          <w:u w:val="single"/>
          <w:lang w:val="en-US" w:eastAsia="zh-CN"/>
        </w:rPr>
        <w:t xml:space="preserve">1</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u w:val="single"/>
          <w:lang w:val="en-US" w:eastAsia="zh-CN"/>
        </w:rPr>
        <w:t xml:space="preserve">05</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u w:val="single"/>
        </w:rPr>
        <w:t xml:space="preserve">9</w:t>
      </w:r>
      <w:r>
        <w:rPr>
          <w:rFonts w:hint="eastAsia" w:ascii="宋体" w:hAnsi="宋体"/>
          <w:bCs/>
          <w:color w:val="auto"/>
          <w:sz w:val="24"/>
          <w:szCs w:val="24"/>
          <w:highlight w:val="none"/>
        </w:rPr>
        <w:t xml:space="preserve">点</w:t>
      </w:r>
      <w:r>
        <w:rPr>
          <w:rFonts w:hint="eastAsia" w:ascii="宋体" w:hAnsi="宋体"/>
          <w:bCs/>
          <w:color w:val="auto"/>
          <w:sz w:val="24"/>
          <w:szCs w:val="24"/>
          <w:highlight w:val="none"/>
          <w:u w:val="single"/>
        </w:rPr>
        <w:t xml:space="preserve">00</w:t>
      </w:r>
      <w:r>
        <w:rPr>
          <w:rFonts w:hint="eastAsia" w:ascii="宋体" w:hAnsi="宋体"/>
          <w:bCs/>
          <w:color w:val="auto"/>
          <w:sz w:val="24"/>
          <w:szCs w:val="24"/>
          <w:highlight w:val="none"/>
        </w:rPr>
        <w:t xml:space="preserve">分（北京时间）。</w:t>
      </w:r>
      <w:r>
        <w:rPr>
          <w:rFonts w:hint="eastAsia" w:ascii="宋体" w:hAnsi="宋体" w:cs="宋体"/>
          <w:color w:val="auto"/>
          <w:sz w:val="24"/>
          <w:szCs w:val="24"/>
          <w:highlight w:val="none"/>
        </w:rPr>
        <w:t xml:space="preserve">（自招标文件开始发出之日起至投标人提交投标文件截止之日止，不得少于20日）</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2.地点：“苏采云”政府采购交易系统网上开标大厅。</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w:t>
      </w:r>
      <w:r>
        <w:rPr>
          <w:rFonts w:hint="eastAsia" w:ascii="宋体" w:hAnsi="宋体"/>
          <w:b/>
          <w:color w:val="auto"/>
          <w:sz w:val="24"/>
          <w:szCs w:val="24"/>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olor w:val="auto"/>
          <w:sz w:val="24"/>
          <w:szCs w:val="24"/>
          <w:highlight w:val="none"/>
        </w:rPr>
        <w:t xml:space="preserve">因采购人原因或网上招投标平台发生故障，导致无法按时完成响应文件解密或开、评标工作无法进行的，可根据实际情况相应延迟解密时间或调整开、评标时间。</w:t>
      </w:r>
      <w:r/>
    </w:p>
    <w:p>
      <w:pPr>
        <w:ind w:firstLine="496"/>
        <w:keepLines/>
        <w:keepNext/>
        <w:spacing w:before="156" w:after="156" w:line="440" w:lineRule="exact"/>
        <w:rPr>
          <w:rFonts w:ascii="宋体" w:hAnsi="宋体"/>
          <w:b/>
          <w:bCs/>
          <w:color w:val="auto"/>
          <w:sz w:val="24"/>
          <w:szCs w:val="24"/>
          <w:highlight w:val="none"/>
        </w:rPr>
        <w:outlineLvl w:val="2"/>
      </w:pPr>
      <w:r/>
      <w:bookmarkStart w:id="27" w:name="_Toc35393794"/>
      <w:r/>
      <w:bookmarkStart w:id="28" w:name="_Toc35393625"/>
      <w:r/>
      <w:bookmarkStart w:id="29" w:name="_Toc28359084"/>
      <w:r/>
      <w:bookmarkStart w:id="30" w:name="_Toc28359007"/>
      <w:r/>
      <w:bookmarkStart w:id="31" w:name="_Toc38985267"/>
      <w:r>
        <w:rPr>
          <w:rFonts w:hint="eastAsia" w:ascii="宋体" w:hAnsi="宋体"/>
          <w:b/>
          <w:bCs/>
          <w:color w:val="auto"/>
          <w:sz w:val="24"/>
          <w:szCs w:val="24"/>
          <w:highlight w:val="none"/>
        </w:rPr>
        <w:t xml:space="preserve">五、公告期限</w:t>
      </w:r>
      <w:bookmarkEnd w:id="27"/>
      <w:r/>
      <w:bookmarkEnd w:id="28"/>
      <w:r/>
      <w:bookmarkEnd w:id="29"/>
      <w:r/>
      <w:bookmarkEnd w:id="30"/>
      <w:r/>
      <w:bookmarkEnd w:id="31"/>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招标公告及招标文件公告期限为自本公告发布之日起5个工作日。</w:t>
      </w:r>
      <w:r/>
    </w:p>
    <w:p>
      <w:pPr>
        <w:ind w:firstLine="496"/>
        <w:keepLines/>
        <w:keepNext/>
        <w:spacing w:before="156" w:after="156" w:line="440" w:lineRule="exact"/>
        <w:rPr>
          <w:rFonts w:ascii="宋体" w:hAnsi="宋体"/>
          <w:b/>
          <w:bCs/>
          <w:color w:val="auto"/>
          <w:sz w:val="24"/>
          <w:szCs w:val="24"/>
          <w:highlight w:val="none"/>
        </w:rPr>
        <w:outlineLvl w:val="2"/>
      </w:pPr>
      <w:r/>
      <w:bookmarkStart w:id="32" w:name="_Toc35393626"/>
      <w:r/>
      <w:bookmarkStart w:id="33" w:name="_Toc35393795"/>
      <w:r/>
      <w:bookmarkStart w:id="34" w:name="_Toc38985268"/>
      <w:r>
        <w:rPr>
          <w:rFonts w:hint="eastAsia" w:ascii="宋体" w:hAnsi="宋体"/>
          <w:b/>
          <w:bCs/>
          <w:color w:val="auto"/>
          <w:sz w:val="24"/>
          <w:szCs w:val="24"/>
          <w:highlight w:val="none"/>
        </w:rPr>
        <w:t xml:space="preserve">六、其他补充事宜</w:t>
      </w:r>
      <w:bookmarkEnd w:id="32"/>
      <w:r/>
      <w:bookmarkEnd w:id="33"/>
      <w:r/>
      <w:bookmarkEnd w:id="34"/>
      <w:r/>
      <w:r/>
    </w:p>
    <w:p>
      <w:pPr>
        <w:ind w:firstLine="480"/>
        <w:jc w:val="left"/>
        <w:spacing w:line="440" w:lineRule="exact"/>
        <w:rPr>
          <w:rFonts w:ascii="宋体" w:hAnsi="宋体" w:cs="宋体"/>
          <w:color w:val="auto"/>
          <w:sz w:val="24"/>
          <w:szCs w:val="24"/>
          <w:highlight w:val="none"/>
        </w:rPr>
      </w:pPr>
      <w:r/>
      <w:bookmarkStart w:id="35" w:name="_Toc28359008"/>
      <w:r/>
      <w:bookmarkStart w:id="36" w:name="_Toc35393796"/>
      <w:r/>
      <w:bookmarkStart w:id="37" w:name="_Toc28359085"/>
      <w:r/>
      <w:bookmarkStart w:id="38" w:name="_Toc35393627"/>
      <w:r/>
      <w:bookmarkStart w:id="39" w:name="_Toc38985269"/>
      <w:r>
        <w:rPr>
          <w:rFonts w:hint="eastAsia" w:ascii="宋体" w:hAnsi="宋体" w:cs="宋体"/>
          <w:color w:val="auto"/>
          <w:sz w:val="24"/>
          <w:szCs w:val="24"/>
          <w:highlight w:val="none"/>
        </w:rPr>
        <w:t xml:space="preserve">1.投标保证金：免收</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2.项目开标活动模式：不见面远程开标模式，投标人在各自地点通过“苏采云”政府采购交易系统参加开标会。</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3.项目演示、样品、答辩等（如有请描述）：无</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5.根据省财政厅《关</w:t>
      </w:r>
      <w:r>
        <w:rPr>
          <w:rFonts w:hint="eastAsia" w:ascii="宋体" w:hAnsi="宋体" w:cs="宋体"/>
          <w:color w:val="auto"/>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领取CA和办理电子签章：供应商可选择就近地市自行办理，具体联系方式见《苏采云系统供应商操作手册》（以下简称《操作手册》）），进行注册并按《操作手册》要求制作、上传电子投标文件；也可前往“江苏政务服务网”（www.jszwfw.gov.cn），“一企来办”专栏下“政府采购”模块详细了解关于CA办理、标书制作、开标投标指引等事宜。</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如果“江苏政府采购网”（www.ccgp-jiangsu.gov.cn）信息与“江苏政务服务网” （www.jszwfw.gov.cn），“一企来办”专栏下“政府采购”模块中信息不一致，以“江苏政府采购网”信息为准。</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7.有关本次招标的事项若存在变动或修改，敬请及时关注</w:t>
      </w:r>
      <w:r>
        <w:rPr>
          <w:rFonts w:hint="eastAsia" w:ascii="宋体" w:hAnsi="宋体"/>
          <w:bCs/>
          <w:color w:val="auto"/>
          <w:sz w:val="24"/>
          <w:szCs w:val="24"/>
          <w:highlight w:val="none"/>
        </w:rPr>
        <w:t xml:space="preserve">南通海陵工程项目管理有限公司在“江苏政府采购网”发布的更正公告</w:t>
      </w:r>
      <w:r>
        <w:rPr>
          <w:rFonts w:hint="eastAsia" w:ascii="宋体" w:hAnsi="宋体" w:cs="宋体"/>
          <w:color w:val="auto"/>
          <w:sz w:val="24"/>
          <w:szCs w:val="24"/>
          <w:highlight w:val="none"/>
        </w:rPr>
        <w:t xml:space="preserve">。</w:t>
      </w:r>
      <w:r/>
    </w:p>
    <w:p>
      <w:pPr>
        <w:ind w:firstLine="496"/>
        <w:keepLines/>
        <w:keepNext/>
        <w:spacing w:before="156" w:after="156" w:line="440" w:lineRule="exact"/>
        <w:rPr>
          <w:rFonts w:ascii="宋体" w:hAnsi="宋体"/>
          <w:b/>
          <w:bCs/>
          <w:color w:val="auto"/>
          <w:sz w:val="24"/>
          <w:szCs w:val="24"/>
          <w:highlight w:val="none"/>
        </w:rPr>
        <w:outlineLvl w:val="2"/>
      </w:pPr>
      <w:r>
        <w:rPr>
          <w:rFonts w:hint="eastAsia" w:ascii="宋体" w:hAnsi="宋体"/>
          <w:b/>
          <w:bCs/>
          <w:color w:val="auto"/>
          <w:sz w:val="24"/>
          <w:szCs w:val="24"/>
          <w:highlight w:val="none"/>
        </w:rPr>
        <w:t xml:space="preserve">七、本次招标联系方式</w:t>
      </w:r>
      <w:bookmarkEnd w:id="35"/>
      <w:r/>
      <w:bookmarkEnd w:id="36"/>
      <w:r/>
      <w:bookmarkEnd w:id="37"/>
      <w:r/>
      <w:bookmarkEnd w:id="38"/>
      <w:r/>
      <w:bookmarkEnd w:id="39"/>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1.采购人信息</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名 称：海安市实验中学</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地址：海安市草坝支路8号</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联系人：黄跃</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联系方式：13862702290</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2. 采购代理机构信息</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名 称：南通海陵工程项目管理有限公司</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地址：海安市安平中路59号翠竹园26幢301室</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联系人：郁文娟</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联系方式：0513-88962600</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3.项目联系方式</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磋商文件制作人: 0513-88962600</w:t>
      </w:r>
      <w:r/>
    </w:p>
    <w:p>
      <w:pPr>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项目磋商经办人：</w:t>
      </w:r>
      <w:r>
        <w:rPr>
          <w:rFonts w:ascii="宋体" w:hAnsi="宋体" w:cs="宋体"/>
          <w:color w:val="auto"/>
          <w:sz w:val="24"/>
          <w:szCs w:val="24"/>
          <w:highlight w:val="none"/>
        </w:rPr>
        <w:t xml:space="preserve">13862702290</w:t>
      </w:r>
      <w:r/>
    </w:p>
    <w:p>
      <w:pPr>
        <w:jc w:val="left"/>
        <w:spacing w:line="440" w:lineRule="exact"/>
        <w:widowControl/>
        <w:rPr>
          <w:rFonts w:ascii="宋体" w:hAnsi="宋体"/>
          <w:color w:val="auto"/>
          <w:sz w:val="24"/>
          <w:szCs w:val="24"/>
          <w:highlight w:val="none"/>
        </w:rPr>
      </w:pPr>
      <w:r>
        <w:rPr>
          <w:rFonts w:hint="eastAsia" w:ascii="宋体" w:hAnsi="宋体" w:cs="宋体"/>
          <w:color w:val="auto"/>
          <w:sz w:val="24"/>
          <w:szCs w:val="24"/>
          <w:highlight w:val="none"/>
        </w:rPr>
        <w:t xml:space="preserve">     交易系统软件维护人员：0519-86722801、0513-59001950</w:t>
      </w:r>
      <w:r/>
    </w:p>
    <w:p>
      <w:pPr>
        <w:ind w:firstLine="2420"/>
        <w:keepLines/>
        <w:keepNext/>
        <w:spacing w:before="260" w:after="260" w:line="416" w:lineRule="auto"/>
        <w:rPr>
          <w:rFonts w:ascii="黑体" w:hAnsi="Arial" w:eastAsia="黑体" w:cs="Arial"/>
          <w:color w:val="auto"/>
          <w:sz w:val="32"/>
          <w:szCs w:val="32"/>
          <w:highlight w:val="none"/>
        </w:rPr>
        <w:outlineLvl w:val="1"/>
      </w:pPr>
      <w:r/>
      <w:bookmarkStart w:id="40" w:name="_Toc120614211"/>
      <w:r>
        <w:rPr>
          <w:rFonts w:hint="eastAsia" w:ascii="黑体" w:hAnsi="Arial" w:eastAsia="黑体" w:cs="Arial"/>
          <w:b/>
          <w:bCs/>
          <w:color w:val="auto"/>
          <w:sz w:val="44"/>
          <w:szCs w:val="44"/>
          <w:highlight w:val="none"/>
        </w:rPr>
        <w:br w:type="page" w:clear="all"/>
      </w:r>
      <w:r>
        <w:rPr>
          <w:rFonts w:hint="eastAsia" w:ascii="黑体" w:hAnsi="Arial" w:eastAsia="黑体" w:cs="Arial"/>
          <w:b/>
          <w:bCs/>
          <w:color w:val="auto"/>
          <w:sz w:val="32"/>
          <w:szCs w:val="32"/>
          <w:highlight w:val="none"/>
        </w:rPr>
        <w:t xml:space="preserve">第二章  </w:t>
      </w:r>
      <w:bookmarkEnd w:id="1"/>
      <w:r/>
      <w:bookmarkEnd w:id="2"/>
      <w:r/>
      <w:bookmarkEnd w:id="3"/>
      <w:r/>
      <w:bookmarkEnd w:id="4"/>
      <w:r/>
      <w:bookmarkEnd w:id="5"/>
      <w:r/>
      <w:bookmarkEnd w:id="40"/>
      <w:r/>
      <w:bookmarkStart w:id="41" w:name="_Toc120614213"/>
      <w:r/>
      <w:bookmarkStart w:id="42" w:name="_Toc16938518"/>
      <w:r/>
      <w:bookmarkStart w:id="43" w:name="_Toc20823274"/>
      <w:r/>
      <w:bookmarkStart w:id="44" w:name="_Toc513029202"/>
      <w:r>
        <w:rPr>
          <w:rFonts w:hint="eastAsia" w:ascii="黑体" w:hAnsi="Arial" w:eastAsia="黑体" w:cs="Arial"/>
          <w:b/>
          <w:bCs/>
          <w:color w:val="auto"/>
          <w:sz w:val="32"/>
          <w:szCs w:val="32"/>
          <w:highlight w:val="none"/>
        </w:rPr>
        <w:t xml:space="preserve">投标人须知</w:t>
      </w:r>
      <w:bookmarkEnd w:id="41"/>
      <w:r/>
      <w:bookmarkEnd w:id="42"/>
      <w:r/>
      <w:bookmarkEnd w:id="43"/>
      <w:r/>
      <w:bookmarkEnd w:id="44"/>
      <w:r/>
      <w:r/>
    </w:p>
    <w:p>
      <w:pPr>
        <w:ind w:firstLine="482"/>
        <w:keepLines/>
        <w:keepNext/>
        <w:spacing w:line="440" w:lineRule="exact"/>
        <w:rPr>
          <w:rFonts w:ascii="宋体" w:hAnsi="宋体"/>
          <w:b/>
          <w:bCs/>
          <w:color w:val="auto"/>
          <w:sz w:val="24"/>
          <w:szCs w:val="24"/>
          <w:highlight w:val="none"/>
        </w:rPr>
      </w:pPr>
      <w:r/>
      <w:bookmarkStart w:id="45" w:name="_Toc513029203"/>
      <w:r/>
      <w:bookmarkStart w:id="46" w:name="_Toc16938519"/>
      <w:r/>
      <w:bookmarkStart w:id="47" w:name="_Toc120614214"/>
      <w:r/>
      <w:bookmarkStart w:id="48" w:name="_Toc20823275"/>
      <w:r>
        <w:rPr>
          <w:rFonts w:hint="eastAsia" w:ascii="宋体" w:hAnsi="宋体"/>
          <w:b/>
          <w:bCs/>
          <w:color w:val="auto"/>
          <w:sz w:val="24"/>
          <w:szCs w:val="24"/>
          <w:highlight w:val="none"/>
        </w:rPr>
        <w:t xml:space="preserve">一、总则</w:t>
      </w:r>
      <w:bookmarkEnd w:id="45"/>
      <w:r/>
      <w:bookmarkEnd w:id="46"/>
      <w:r/>
      <w:bookmarkEnd w:id="47"/>
      <w:r/>
      <w:bookmarkEnd w:id="48"/>
      <w:r/>
      <w:r/>
    </w:p>
    <w:p>
      <w:pPr>
        <w:ind w:firstLine="482"/>
        <w:keepLines/>
        <w:keepNext/>
        <w:spacing w:line="440" w:lineRule="exact"/>
        <w:rPr>
          <w:rFonts w:ascii="宋体" w:hAnsi="宋体" w:cs="Arial"/>
          <w:b/>
          <w:color w:val="auto"/>
          <w:sz w:val="24"/>
          <w:szCs w:val="24"/>
          <w:highlight w:val="none"/>
        </w:rPr>
      </w:pPr>
      <w:r/>
      <w:bookmarkStart w:id="49" w:name="_Hlt16619475"/>
      <w:r/>
      <w:bookmarkEnd w:id="49"/>
      <w:r/>
      <w:bookmarkStart w:id="50" w:name="_Toc458694821"/>
      <w:r/>
      <w:bookmarkStart w:id="51" w:name="_Toc513029204"/>
      <w:r/>
      <w:bookmarkStart w:id="52" w:name="_Toc20823276"/>
      <w:r/>
      <w:bookmarkStart w:id="53" w:name="_Toc16938520"/>
      <w:r>
        <w:rPr>
          <w:rFonts w:hint="eastAsia" w:ascii="宋体" w:hAnsi="宋体" w:cs="Arial"/>
          <w:b/>
          <w:color w:val="auto"/>
          <w:sz w:val="24"/>
          <w:szCs w:val="24"/>
          <w:highlight w:val="none"/>
        </w:rPr>
        <w:t xml:space="preserve">1</w:t>
      </w:r>
      <w:bookmarkEnd w:id="50"/>
      <w:r>
        <w:rPr>
          <w:rFonts w:hint="eastAsia" w:ascii="宋体" w:hAnsi="宋体" w:cs="Arial"/>
          <w:b/>
          <w:color w:val="auto"/>
          <w:sz w:val="24"/>
          <w:szCs w:val="24"/>
          <w:highlight w:val="none"/>
        </w:rPr>
        <w:t xml:space="preserve">、招标方式</w:t>
      </w:r>
      <w:bookmarkEnd w:id="51"/>
      <w:r/>
      <w:bookmarkEnd w:id="52"/>
      <w:r/>
      <w:bookmarkEnd w:id="53"/>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 本次招标采取公开招标方式，本招标文件仅适用于招标公告中所述项目。</w:t>
      </w:r>
      <w:r/>
    </w:p>
    <w:p>
      <w:pPr>
        <w:ind w:firstLine="482"/>
        <w:keepLines/>
        <w:keepNext/>
        <w:spacing w:line="440" w:lineRule="exact"/>
        <w:rPr>
          <w:rFonts w:ascii="宋体" w:hAnsi="宋体" w:cs="Arial"/>
          <w:b/>
          <w:color w:val="auto"/>
          <w:sz w:val="24"/>
          <w:szCs w:val="24"/>
          <w:highlight w:val="none"/>
        </w:rPr>
      </w:pPr>
      <w:r/>
      <w:bookmarkStart w:id="54" w:name="_Toc513029205"/>
      <w:r/>
      <w:bookmarkStart w:id="55" w:name="_Toc20823277"/>
      <w:r/>
      <w:bookmarkStart w:id="56" w:name="_Toc16938521"/>
      <w:r>
        <w:rPr>
          <w:rFonts w:hint="eastAsia" w:ascii="宋体" w:hAnsi="宋体" w:cs="Arial"/>
          <w:b/>
          <w:color w:val="auto"/>
          <w:sz w:val="24"/>
          <w:szCs w:val="24"/>
          <w:highlight w:val="none"/>
        </w:rPr>
        <w:t xml:space="preserve">2、合格的投标人</w:t>
      </w:r>
      <w:bookmarkEnd w:id="54"/>
      <w:r/>
      <w:bookmarkEnd w:id="55"/>
      <w:r/>
      <w:bookmarkEnd w:id="56"/>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2.1满足招标公告中供应商的资格要求的规定。</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 满足本文件实质性要求的规定。</w:t>
      </w:r>
      <w:r/>
    </w:p>
    <w:p>
      <w:pPr>
        <w:ind w:firstLine="482"/>
        <w:keepLines/>
        <w:keepNext/>
        <w:spacing w:line="440" w:lineRule="exact"/>
        <w:rPr>
          <w:rFonts w:ascii="宋体" w:hAnsi="宋体" w:cs="方正魏碑_GBK"/>
          <w:b/>
          <w:color w:val="auto"/>
          <w:sz w:val="24"/>
          <w:szCs w:val="24"/>
          <w:highlight w:val="none"/>
        </w:rPr>
      </w:pPr>
      <w:r/>
      <w:bookmarkStart w:id="57" w:name="_Toc16938522"/>
      <w:r/>
      <w:bookmarkStart w:id="58" w:name="_Toc513029206"/>
      <w:r/>
      <w:bookmarkStart w:id="59" w:name="_Toc20823278"/>
      <w:r>
        <w:rPr>
          <w:rFonts w:hint="eastAsia" w:ascii="宋体" w:hAnsi="宋体" w:cs="方正魏碑_GBK"/>
          <w:b/>
          <w:color w:val="auto"/>
          <w:sz w:val="24"/>
          <w:szCs w:val="24"/>
          <w:highlight w:val="none"/>
        </w:rPr>
        <w:t xml:space="preserve">3、适用法律</w:t>
      </w:r>
      <w:bookmarkEnd w:id="57"/>
      <w:r/>
      <w:bookmarkEnd w:id="58"/>
      <w:r/>
      <w:bookmarkEnd w:id="59"/>
      <w:r>
        <w:rPr>
          <w:rFonts w:hint="eastAsia" w:ascii="宋体" w:hAnsi="宋体" w:cs="方正魏碑_GBK"/>
          <w:b/>
          <w:color w:val="auto"/>
          <w:sz w:val="24"/>
          <w:szCs w:val="24"/>
          <w:highlight w:val="none"/>
        </w:rPr>
        <w:t xml:space="preserve">和标准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3.1 本次招标及由此产生的合同受中华人民共和国有关的法律法规制约和保护</w:t>
      </w:r>
      <w:r>
        <w:rPr>
          <w:rFonts w:ascii="宋体" w:hAnsi="宋体"/>
          <w:color w:val="auto"/>
          <w:sz w:val="24"/>
          <w:szCs w:val="24"/>
          <w:highlight w:val="none"/>
        </w:rPr>
        <w:t xml:space="preserve">。</w:t>
      </w:r>
      <w:r/>
    </w:p>
    <w:p>
      <w:pPr>
        <w:ind w:firstLine="480"/>
        <w:spacing w:line="440" w:lineRule="exact"/>
        <w:rPr>
          <w:rFonts w:ascii="宋体" w:hAnsi="宋体" w:cs="方正魏碑_GBK"/>
          <w:color w:val="auto"/>
          <w:sz w:val="24"/>
          <w:szCs w:val="24"/>
          <w:highlight w:val="none"/>
        </w:rPr>
      </w:pPr>
      <w:r>
        <w:rPr>
          <w:rFonts w:hint="eastAsia" w:ascii="宋体" w:hAnsi="宋体" w:cs="方正魏碑_GBK"/>
          <w:color w:val="auto"/>
          <w:sz w:val="24"/>
          <w:szCs w:val="24"/>
          <w:highlight w:val="none"/>
        </w:rPr>
        <w:t xml:space="preserve">3.2 在本项目政府采购活动过程中，如果所执行的标准有更新的，按照最新标准执行。</w:t>
      </w:r>
      <w:r/>
    </w:p>
    <w:p>
      <w:pPr>
        <w:ind w:firstLine="482"/>
        <w:keepLines/>
        <w:keepNext/>
        <w:spacing w:line="440" w:lineRule="exact"/>
        <w:rPr>
          <w:rFonts w:ascii="宋体" w:hAnsi="宋体" w:cs="Arial"/>
          <w:b/>
          <w:color w:val="auto"/>
          <w:sz w:val="24"/>
          <w:szCs w:val="24"/>
          <w:highlight w:val="none"/>
        </w:rPr>
      </w:pPr>
      <w:r/>
      <w:bookmarkStart w:id="60" w:name="_Toc513029207"/>
      <w:r/>
      <w:bookmarkStart w:id="61" w:name="_Toc20823279"/>
      <w:r/>
      <w:bookmarkStart w:id="62" w:name="_Toc16938523"/>
      <w:r/>
      <w:bookmarkStart w:id="63" w:name="_Toc462564067"/>
      <w:r>
        <w:rPr>
          <w:rFonts w:hint="eastAsia" w:ascii="宋体" w:hAnsi="宋体" w:cs="Arial"/>
          <w:b/>
          <w:color w:val="auto"/>
          <w:sz w:val="24"/>
          <w:szCs w:val="24"/>
          <w:highlight w:val="none"/>
        </w:rPr>
        <w:t xml:space="preserve">4、投标费用</w:t>
      </w:r>
      <w:bookmarkEnd w:id="60"/>
      <w:r/>
      <w:bookmarkEnd w:id="61"/>
      <w:r/>
      <w:bookmarkEnd w:id="62"/>
      <w:r/>
      <w:bookmarkEnd w:id="63"/>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4.1</w:t>
      </w:r>
      <w:r>
        <w:rPr>
          <w:rFonts w:hint="eastAsia" w:ascii="宋体" w:hAnsi="宋体"/>
          <w:color w:val="auto"/>
          <w:sz w:val="24"/>
          <w:szCs w:val="24"/>
          <w:highlight w:val="none"/>
        </w:rPr>
        <w:t xml:space="preserve"> 投标人应自行承担所有与参加投标有关的费用，无论投标过程中的做法和结果如何，采购人和采购代理机构在任何情况下均无义务和责任承担这些费用。</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4.2本次招标不收取标书工本费。</w:t>
      </w:r>
      <w:r/>
    </w:p>
    <w:p>
      <w:pPr>
        <w:ind w:firstLine="482"/>
        <w:keepLines/>
        <w:keepNext/>
        <w:spacing w:line="440" w:lineRule="exact"/>
        <w:rPr>
          <w:rFonts w:ascii="宋体" w:hAnsi="宋体" w:cs="Arial"/>
          <w:color w:val="auto"/>
          <w:sz w:val="24"/>
          <w:szCs w:val="24"/>
          <w:highlight w:val="none"/>
        </w:rPr>
      </w:pPr>
      <w:r>
        <w:rPr>
          <w:rFonts w:hint="eastAsia" w:ascii="宋体" w:hAnsi="宋体" w:cs="Arial"/>
          <w:b/>
          <w:bCs/>
          <w:color w:val="auto"/>
          <w:sz w:val="24"/>
          <w:szCs w:val="24"/>
          <w:highlight w:val="none"/>
        </w:rPr>
        <w:t xml:space="preserve">5、</w:t>
      </w:r>
      <w:r>
        <w:rPr>
          <w:rFonts w:hint="eastAsia" w:ascii="宋体" w:hAnsi="宋体" w:cs="Arial"/>
          <w:b/>
          <w:color w:val="auto"/>
          <w:sz w:val="24"/>
          <w:szCs w:val="24"/>
          <w:highlight w:val="none"/>
        </w:rPr>
        <w:t xml:space="preserve">招标文件的约束力</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投标人一旦参加本项目采购活动，即被认为接受了本招标文件的规定和约束。</w:t>
      </w:r>
      <w:r/>
    </w:p>
    <w:p>
      <w:pPr>
        <w:ind w:firstLine="482"/>
        <w:keepLines/>
        <w:keepNext/>
        <w:spacing w:line="440" w:lineRule="exact"/>
        <w:rPr>
          <w:rFonts w:ascii="宋体" w:hAnsi="宋体"/>
          <w:b/>
          <w:bCs/>
          <w:color w:val="auto"/>
          <w:sz w:val="24"/>
          <w:szCs w:val="24"/>
          <w:highlight w:val="none"/>
        </w:rPr>
      </w:pPr>
      <w:r/>
      <w:bookmarkStart w:id="64" w:name="_Toc20823281"/>
      <w:r/>
      <w:bookmarkStart w:id="65" w:name="_Toc16938525"/>
      <w:r/>
      <w:bookmarkStart w:id="66" w:name="_Toc513029209"/>
      <w:r/>
      <w:bookmarkStart w:id="67" w:name="_Toc120614215"/>
      <w:r>
        <w:rPr>
          <w:rFonts w:hint="eastAsia" w:ascii="宋体" w:hAnsi="宋体"/>
          <w:b/>
          <w:bCs/>
          <w:color w:val="auto"/>
          <w:sz w:val="24"/>
          <w:szCs w:val="24"/>
          <w:highlight w:val="none"/>
        </w:rPr>
        <w:t xml:space="preserve">二、招标文件</w:t>
      </w:r>
      <w:bookmarkEnd w:id="64"/>
      <w:r/>
      <w:bookmarkEnd w:id="65"/>
      <w:r/>
      <w:bookmarkEnd w:id="66"/>
      <w:r/>
      <w:bookmarkEnd w:id="67"/>
      <w:r/>
      <w:r/>
    </w:p>
    <w:p>
      <w:pPr>
        <w:ind w:firstLine="482"/>
        <w:keepLines/>
        <w:keepNext/>
        <w:spacing w:line="440" w:lineRule="exact"/>
        <w:rPr>
          <w:rFonts w:ascii="宋体" w:hAnsi="宋体" w:cs="Arial"/>
          <w:b/>
          <w:color w:val="auto"/>
          <w:sz w:val="24"/>
          <w:szCs w:val="24"/>
          <w:highlight w:val="none"/>
        </w:rPr>
      </w:pPr>
      <w:r/>
      <w:bookmarkStart w:id="68" w:name="_Toc16938526"/>
      <w:r/>
      <w:bookmarkStart w:id="69" w:name="_Toc513029210"/>
      <w:r/>
      <w:bookmarkStart w:id="70" w:name="_Toc20823282"/>
      <w:r>
        <w:rPr>
          <w:rFonts w:hint="eastAsia" w:ascii="宋体" w:hAnsi="宋体" w:cs="Arial"/>
          <w:b/>
          <w:color w:val="auto"/>
          <w:sz w:val="24"/>
          <w:szCs w:val="24"/>
          <w:highlight w:val="none"/>
        </w:rPr>
        <w:t xml:space="preserve">6、招标文件构成</w:t>
      </w:r>
      <w:bookmarkEnd w:id="68"/>
      <w:r/>
      <w:bookmarkEnd w:id="69"/>
      <w:r/>
      <w:bookmarkEnd w:id="70"/>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6.1</w:t>
      </w:r>
      <w:r>
        <w:rPr>
          <w:rFonts w:hint="eastAsia" w:ascii="宋体" w:hAnsi="宋体"/>
          <w:color w:val="auto"/>
          <w:sz w:val="24"/>
          <w:szCs w:val="24"/>
          <w:highlight w:val="none"/>
        </w:rPr>
        <w:t xml:space="preserve"> 招标文件由以下部分组成：</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（3）采购需求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（4）评标方法与评标标准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（5）投标文件格式</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（6）附件（如有）</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请仔细检查招标文件是否齐全，如有缺漏请立即与采购人或采购代理机构联系解决。</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6.2</w:t>
      </w:r>
      <w:r>
        <w:rPr>
          <w:rFonts w:hint="eastAsia" w:ascii="宋体" w:hAnsi="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ascii="宋体" w:hAnsi="宋体" w:cs="Arial"/>
          <w:b/>
          <w:color w:val="auto"/>
          <w:sz w:val="24"/>
          <w:szCs w:val="24"/>
          <w:highlight w:val="none"/>
        </w:rPr>
      </w:pPr>
      <w:r/>
      <w:bookmarkStart w:id="71" w:name="_Toc513029212"/>
      <w:r/>
      <w:bookmarkStart w:id="72" w:name="_Toc462564071"/>
      <w:r/>
      <w:bookmarkStart w:id="73" w:name="_Toc16938528"/>
      <w:r/>
      <w:bookmarkStart w:id="74" w:name="_Toc20823284"/>
      <w:r>
        <w:rPr>
          <w:rFonts w:ascii="宋体" w:hAnsi="宋体" w:cs="Arial"/>
          <w:b/>
          <w:color w:val="auto"/>
          <w:sz w:val="24"/>
          <w:szCs w:val="24"/>
          <w:highlight w:val="none"/>
        </w:rPr>
        <w:t xml:space="preserve">7</w:t>
      </w:r>
      <w:r>
        <w:rPr>
          <w:rFonts w:hint="eastAsia" w:ascii="宋体" w:hAnsi="宋体" w:cs="Arial"/>
          <w:b/>
          <w:color w:val="auto"/>
          <w:sz w:val="24"/>
          <w:szCs w:val="24"/>
          <w:highlight w:val="none"/>
        </w:rPr>
        <w:t xml:space="preserve">、招标文件的修改</w:t>
      </w:r>
      <w:bookmarkEnd w:id="71"/>
      <w:r/>
      <w:bookmarkEnd w:id="72"/>
      <w:r/>
      <w:bookmarkEnd w:id="73"/>
      <w:r/>
      <w:bookmarkEnd w:id="74"/>
      <w:r/>
      <w:r/>
    </w:p>
    <w:p>
      <w:pPr>
        <w:ind w:firstLine="480"/>
        <w:spacing w:line="440" w:lineRule="exact"/>
        <w:rPr>
          <w:rFonts w:ascii="宋体" w:hAnsi="宋体"/>
          <w:color w:val="auto"/>
          <w:sz w:val="24"/>
          <w:szCs w:val="24"/>
          <w:highlight w:val="none"/>
        </w:rPr>
      </w:pP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.1</w:t>
      </w:r>
      <w:r>
        <w:rPr>
          <w:rFonts w:hint="eastAsia" w:ascii="宋体" w:hAnsi="宋体"/>
          <w:color w:val="auto"/>
          <w:sz w:val="24"/>
          <w:szCs w:val="24"/>
          <w:highlight w:val="none"/>
        </w:rPr>
        <w:t xml:space="preserve"> 在投标截止时间前，采购人或采购代理机构可以对招标文件进行修改。</w:t>
      </w:r>
      <w:r/>
    </w:p>
    <w:p>
      <w:pPr>
        <w:ind w:firstLine="480"/>
        <w:spacing w:line="440" w:lineRule="exact"/>
        <w:rPr>
          <w:rFonts w:ascii="宋体" w:hAnsi="宋体"/>
          <w:color w:val="auto"/>
          <w:sz w:val="24"/>
          <w:szCs w:val="24"/>
          <w:highlight w:val="none"/>
        </w:rPr>
      </w:pP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.2 </w:t>
      </w:r>
      <w:r>
        <w:rPr>
          <w:rFonts w:hint="eastAsia" w:ascii="宋体" w:hAnsi="宋体"/>
          <w:color w:val="auto"/>
          <w:sz w:val="24"/>
          <w:szCs w:val="24"/>
          <w:highlight w:val="none"/>
        </w:rPr>
        <w:t xml:space="preserve">采购人或采购代理机构有权按照法定的要求推迟投标截止日期和开标日期。</w:t>
      </w:r>
      <w:r/>
    </w:p>
    <w:p>
      <w:pPr>
        <w:ind w:firstLine="480"/>
        <w:spacing w:line="440" w:lineRule="exact"/>
        <w:rPr>
          <w:rFonts w:ascii="宋体" w:hAnsi="宋体"/>
          <w:color w:val="auto"/>
          <w:sz w:val="24"/>
          <w:szCs w:val="24"/>
          <w:highlight w:val="none"/>
        </w:rPr>
      </w:pP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.3 </w:t>
      </w:r>
      <w:r>
        <w:rPr>
          <w:rFonts w:hint="eastAsia" w:ascii="宋体" w:hAnsi="宋体"/>
          <w:color w:val="auto"/>
          <w:sz w:val="24"/>
          <w:szCs w:val="24"/>
          <w:highlight w:val="none"/>
        </w:rPr>
        <w:t xml:space="preserve">招标文件的修改将在江苏政府采购网公布，补充文件将作为招标文件的组成部分，并对投标人具有约束力。</w:t>
      </w:r>
      <w:r/>
    </w:p>
    <w:p>
      <w:pPr>
        <w:ind w:firstLine="482"/>
        <w:keepLines/>
        <w:keepNext/>
        <w:spacing w:line="440" w:lineRule="exact"/>
        <w:rPr>
          <w:rFonts w:ascii="宋体" w:hAnsi="宋体"/>
          <w:b/>
          <w:bCs/>
          <w:color w:val="auto"/>
          <w:sz w:val="24"/>
          <w:szCs w:val="24"/>
          <w:highlight w:val="none"/>
        </w:rPr>
      </w:pPr>
      <w:r/>
      <w:bookmarkStart w:id="75" w:name="_Toc120614216"/>
      <w:r/>
      <w:bookmarkStart w:id="76" w:name="_Toc20823285"/>
      <w:r/>
      <w:bookmarkStart w:id="77" w:name="_Toc513029213"/>
      <w:r/>
      <w:bookmarkStart w:id="78" w:name="_Toc16938529"/>
      <w:r/>
      <w:bookmarkStart w:id="79" w:name="_Toc462564072"/>
      <w:r>
        <w:rPr>
          <w:rFonts w:hint="eastAsia" w:ascii="宋体" w:hAnsi="宋体"/>
          <w:b/>
          <w:bCs/>
          <w:color w:val="auto"/>
          <w:sz w:val="24"/>
          <w:szCs w:val="24"/>
          <w:highlight w:val="none"/>
        </w:rPr>
        <w:t xml:space="preserve">三、投标文件的编制</w:t>
      </w:r>
      <w:bookmarkEnd w:id="75"/>
      <w:r/>
      <w:bookmarkEnd w:id="76"/>
      <w:r/>
      <w:bookmarkEnd w:id="77"/>
      <w:r/>
      <w:bookmarkEnd w:id="78"/>
      <w:r/>
      <w:bookmarkEnd w:id="79"/>
      <w:r/>
      <w:r/>
    </w:p>
    <w:p>
      <w:pPr>
        <w:ind w:firstLine="482"/>
        <w:keepLines/>
        <w:keepNext/>
        <w:spacing w:line="440" w:lineRule="exact"/>
        <w:rPr>
          <w:rFonts w:ascii="宋体" w:hAnsi="宋体" w:cs="Arial"/>
          <w:b/>
          <w:color w:val="auto"/>
          <w:sz w:val="24"/>
          <w:szCs w:val="24"/>
          <w:highlight w:val="none"/>
        </w:rPr>
      </w:pPr>
      <w:r/>
      <w:bookmarkStart w:id="80" w:name="_Toc462564073"/>
      <w:r/>
      <w:bookmarkStart w:id="81" w:name="_Toc513029214"/>
      <w:r/>
      <w:bookmarkStart w:id="82" w:name="_Toc20823286"/>
      <w:r/>
      <w:bookmarkStart w:id="83" w:name="_Toc16938530"/>
      <w:r>
        <w:rPr>
          <w:rFonts w:ascii="宋体" w:hAnsi="宋体" w:cs="Arial"/>
          <w:b/>
          <w:color w:val="auto"/>
          <w:sz w:val="24"/>
          <w:szCs w:val="24"/>
          <w:highlight w:val="none"/>
        </w:rPr>
        <w:t xml:space="preserve">8</w:t>
      </w:r>
      <w:r>
        <w:rPr>
          <w:rFonts w:hint="eastAsia" w:ascii="宋体" w:hAnsi="宋体" w:cs="Arial"/>
          <w:b/>
          <w:color w:val="auto"/>
          <w:sz w:val="24"/>
          <w:szCs w:val="24"/>
          <w:highlight w:val="none"/>
        </w:rPr>
        <w:t xml:space="preserve">、投标文件的语言及度量衡单位</w:t>
      </w:r>
      <w:bookmarkEnd w:id="80"/>
      <w:r/>
      <w:bookmarkEnd w:id="81"/>
      <w:r/>
      <w:bookmarkEnd w:id="82"/>
      <w:r/>
      <w:bookmarkEnd w:id="83"/>
      <w:r/>
      <w:r/>
    </w:p>
    <w:p>
      <w:pPr>
        <w:ind w:firstLine="480"/>
        <w:spacing w:line="440" w:lineRule="exact"/>
        <w:rPr>
          <w:rFonts w:ascii="宋体" w:hAnsi="宋体"/>
          <w:color w:val="auto"/>
          <w:sz w:val="24"/>
          <w:szCs w:val="24"/>
          <w:highlight w:val="none"/>
        </w:rPr>
      </w:pP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.1</w:t>
      </w:r>
      <w:r>
        <w:rPr>
          <w:rFonts w:hint="eastAsia" w:ascii="宋体" w:hAnsi="宋体"/>
          <w:color w:val="auto"/>
          <w:sz w:val="24"/>
          <w:szCs w:val="24"/>
          <w:highlight w:val="none"/>
        </w:rPr>
        <w:t xml:space="preserve"> 投标人提交的投标文件以及投标人与采购人就有关投标的所有来往通知、函件和文件均应使用</w:t>
      </w:r>
      <w:r>
        <w:rPr>
          <w:rFonts w:hint="eastAsia" w:ascii="宋体" w:hAnsi="宋体"/>
          <w:b/>
          <w:bCs/>
          <w:color w:val="auto"/>
          <w:sz w:val="24"/>
          <w:szCs w:val="24"/>
          <w:highlight w:val="none"/>
        </w:rPr>
        <w:t xml:space="preserve">简体中文</w:t>
      </w:r>
      <w:r>
        <w:rPr>
          <w:rFonts w:hint="eastAsia" w:ascii="宋体" w:hAnsi="宋体"/>
          <w:color w:val="auto"/>
          <w:sz w:val="24"/>
          <w:szCs w:val="24"/>
          <w:highlight w:val="none"/>
        </w:rPr>
        <w:t xml:space="preserve">。</w:t>
      </w:r>
      <w:r/>
    </w:p>
    <w:p>
      <w:pPr>
        <w:ind w:firstLine="480"/>
        <w:spacing w:line="440" w:lineRule="exact"/>
        <w:rPr>
          <w:rFonts w:ascii="宋体" w:hAnsi="宋体"/>
          <w:color w:val="auto"/>
          <w:sz w:val="24"/>
          <w:szCs w:val="24"/>
          <w:highlight w:val="none"/>
        </w:rPr>
      </w:pP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.2</w:t>
      </w:r>
      <w:r>
        <w:rPr>
          <w:rFonts w:hint="eastAsia" w:ascii="宋体" w:hAnsi="宋体"/>
          <w:color w:val="auto"/>
          <w:sz w:val="24"/>
          <w:szCs w:val="24"/>
          <w:highlight w:val="none"/>
        </w:rPr>
        <w:t xml:space="preserve"> 除技术性能另有规定外，投标文件所使用的度量衡单位，均须采用国家法定计量单位。</w:t>
      </w:r>
      <w:r/>
    </w:p>
    <w:p>
      <w:pPr>
        <w:ind w:firstLine="482"/>
        <w:keepLines/>
        <w:keepNext/>
        <w:spacing w:line="440" w:lineRule="exact"/>
        <w:rPr>
          <w:rFonts w:ascii="宋体" w:hAnsi="宋体" w:cs="Arial"/>
          <w:b/>
          <w:color w:val="auto"/>
          <w:sz w:val="24"/>
          <w:szCs w:val="24"/>
          <w:highlight w:val="none"/>
        </w:rPr>
      </w:pPr>
      <w:r/>
      <w:bookmarkStart w:id="84" w:name="_Toc513029215"/>
      <w:r/>
      <w:bookmarkStart w:id="85" w:name="_Toc462564074"/>
      <w:r/>
      <w:bookmarkStart w:id="86" w:name="_Toc16938531"/>
      <w:r/>
      <w:bookmarkStart w:id="87" w:name="_Toc20823287"/>
      <w:r>
        <w:rPr>
          <w:rFonts w:ascii="宋体" w:hAnsi="宋体" w:cs="Arial"/>
          <w:b/>
          <w:color w:val="auto"/>
          <w:sz w:val="24"/>
          <w:szCs w:val="24"/>
          <w:highlight w:val="none"/>
        </w:rPr>
        <w:t xml:space="preserve">9</w:t>
      </w:r>
      <w:r>
        <w:rPr>
          <w:rFonts w:hint="eastAsia" w:ascii="宋体" w:hAnsi="宋体" w:cs="Arial"/>
          <w:b/>
          <w:color w:val="auto"/>
          <w:sz w:val="24"/>
          <w:szCs w:val="24"/>
          <w:highlight w:val="none"/>
        </w:rPr>
        <w:t xml:space="preserve">、投标文件构成</w:t>
      </w:r>
      <w:bookmarkEnd w:id="84"/>
      <w:r/>
      <w:bookmarkEnd w:id="85"/>
      <w:r/>
      <w:bookmarkEnd w:id="86"/>
      <w:r/>
      <w:bookmarkEnd w:id="87"/>
      <w:r/>
      <w:r/>
    </w:p>
    <w:p>
      <w:pPr>
        <w:ind w:firstLine="480"/>
        <w:spacing w:line="440" w:lineRule="exact"/>
        <w:rPr>
          <w:rFonts w:ascii="宋体" w:hAnsi="宋体"/>
          <w:color w:val="auto"/>
          <w:sz w:val="24"/>
          <w:szCs w:val="24"/>
          <w:highlight w:val="none"/>
        </w:rPr>
      </w:pP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.1</w:t>
      </w:r>
      <w:r>
        <w:rPr>
          <w:rFonts w:hint="eastAsia" w:ascii="宋体" w:hAnsi="宋体"/>
          <w:color w:val="auto"/>
          <w:sz w:val="24"/>
          <w:szCs w:val="24"/>
          <w:highlight w:val="none"/>
        </w:rPr>
        <w:t xml:space="preserve"> 投标人编写的投标文件应包括资格证明文件、符合性证明文件、</w:t>
      </w:r>
      <w:r>
        <w:rPr>
          <w:rFonts w:hint="eastAsia" w:ascii="宋体" w:hAnsi="宋体"/>
          <w:color w:val="auto"/>
          <w:sz w:val="24"/>
          <w:szCs w:val="21"/>
          <w:highlight w:val="none"/>
        </w:rPr>
        <w:t xml:space="preserve">投标分项报价表、技术要求响应及偏离表、商务要求响应及偏离表、其他证明文件、投标函、开标一览表等部分。</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9</w:t>
      </w:r>
      <w:r>
        <w:rPr>
          <w:rFonts w:hint="eastAsia" w:ascii="宋体" w:hAnsi="宋体"/>
          <w:color w:val="auto"/>
          <w:sz w:val="24"/>
          <w:szCs w:val="24"/>
          <w:highlight w:val="none"/>
        </w:rPr>
        <w:t xml:space="preserve">.2 如标书制作工具中格式和内容与“江苏政府采购网”发布的招标文件不一致，请以“江苏政府采购网”发布的招标文件为准。</w:t>
      </w:r>
      <w:r/>
    </w:p>
    <w:p>
      <w:pPr>
        <w:ind w:firstLine="482"/>
        <w:keepLines/>
        <w:keepNext/>
        <w:spacing w:line="440" w:lineRule="exact"/>
        <w:rPr>
          <w:rFonts w:ascii="宋体" w:hAnsi="宋体" w:cs="Arial"/>
          <w:b/>
          <w:color w:val="auto"/>
          <w:sz w:val="24"/>
          <w:szCs w:val="24"/>
          <w:highlight w:val="none"/>
        </w:rPr>
      </w:pPr>
      <w:r/>
      <w:bookmarkStart w:id="88" w:name="_Hlt26954838"/>
      <w:r/>
      <w:bookmarkEnd w:id="88"/>
      <w:r/>
      <w:bookmarkStart w:id="89" w:name="_Hlt26670360"/>
      <w:r/>
      <w:bookmarkEnd w:id="89"/>
      <w:r/>
      <w:bookmarkStart w:id="90" w:name="_Hlt26668975"/>
      <w:r/>
      <w:bookmarkEnd w:id="90"/>
      <w:r/>
      <w:bookmarkStart w:id="91" w:name="_Toc49090509"/>
      <w:r/>
      <w:bookmarkStart w:id="92" w:name="_Toc513029219"/>
      <w:r/>
      <w:bookmarkStart w:id="93" w:name="_Toc49090507"/>
      <w:r/>
      <w:bookmarkStart w:id="94" w:name="_Toc14577357"/>
      <w:r/>
      <w:bookmarkStart w:id="95" w:name="_Toc14577354"/>
      <w:r/>
      <w:bookmarkStart w:id="96" w:name="_Toc513029216"/>
      <w:r/>
      <w:bookmarkStart w:id="97" w:name="_Toc49090508"/>
      <w:r/>
      <w:bookmarkStart w:id="98" w:name="_Toc14577355"/>
      <w:r>
        <w:rPr>
          <w:rFonts w:hint="eastAsia" w:ascii="宋体" w:hAnsi="宋体" w:cs="Arial"/>
          <w:b/>
          <w:color w:val="auto"/>
          <w:sz w:val="24"/>
          <w:szCs w:val="24"/>
          <w:highlight w:val="none"/>
        </w:rPr>
        <w:t xml:space="preserve">1</w:t>
      </w:r>
      <w:r>
        <w:rPr>
          <w:rFonts w:ascii="宋体" w:hAnsi="宋体" w:cs="Arial"/>
          <w:b/>
          <w:color w:val="auto"/>
          <w:sz w:val="24"/>
          <w:szCs w:val="24"/>
          <w:highlight w:val="none"/>
        </w:rPr>
        <w:t xml:space="preserve">0</w:t>
      </w:r>
      <w:r>
        <w:rPr>
          <w:rFonts w:hint="eastAsia" w:ascii="宋体" w:hAnsi="宋体" w:cs="Arial"/>
          <w:b/>
          <w:color w:val="auto"/>
          <w:sz w:val="24"/>
          <w:szCs w:val="24"/>
          <w:highlight w:val="none"/>
        </w:rPr>
        <w:t xml:space="preserve">、证明投标人及投标标的符合招标文件规定的文件</w:t>
      </w:r>
      <w:bookmarkEnd w:id="91"/>
      <w:r/>
      <w:bookmarkEnd w:id="92"/>
      <w:r/>
      <w:bookmarkEnd w:id="93"/>
      <w:r/>
      <w:bookmarkEnd w:id="94"/>
      <w:r/>
      <w:bookmarkEnd w:id="95"/>
      <w:r/>
      <w:bookmarkEnd w:id="96"/>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0</w:t>
      </w:r>
      <w:r>
        <w:rPr>
          <w:rFonts w:hint="eastAsia" w:ascii="宋体" w:hAnsi="宋体"/>
          <w:color w:val="auto"/>
          <w:sz w:val="24"/>
          <w:szCs w:val="24"/>
          <w:highlight w:val="none"/>
        </w:rPr>
        <w:t xml:space="preserve">.1 投标人应按照招标文件要求提交证明文件，证明其及投标标的符合招标文件规定。</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.2招标文件对证明文件无明确形式要求的，证明文件可以以文字资料、图纸和数据等形式提交。</w:t>
      </w:r>
      <w:bookmarkEnd w:id="97"/>
      <w:r/>
      <w:bookmarkEnd w:id="98"/>
      <w:r/>
      <w:r/>
    </w:p>
    <w:p>
      <w:pPr>
        <w:ind w:firstLine="482"/>
        <w:keepLines/>
        <w:keepNext/>
        <w:spacing w:line="440" w:lineRule="exact"/>
        <w:rPr>
          <w:rFonts w:ascii="宋体" w:hAnsi="宋体" w:cs="Arial"/>
          <w:b/>
          <w:color w:val="auto"/>
          <w:sz w:val="24"/>
          <w:szCs w:val="24"/>
          <w:highlight w:val="none"/>
        </w:rPr>
      </w:pPr>
      <w:r>
        <w:rPr>
          <w:rFonts w:hint="eastAsia" w:ascii="宋体" w:hAnsi="宋体" w:cs="Arial"/>
          <w:b/>
          <w:color w:val="auto"/>
          <w:sz w:val="24"/>
          <w:szCs w:val="24"/>
          <w:highlight w:val="none"/>
        </w:rPr>
        <w:t xml:space="preserve">1</w:t>
      </w:r>
      <w:r>
        <w:rPr>
          <w:rFonts w:ascii="宋体" w:hAnsi="宋体" w:cs="Arial"/>
          <w:b/>
          <w:color w:val="auto"/>
          <w:sz w:val="24"/>
          <w:szCs w:val="24"/>
          <w:highlight w:val="none"/>
        </w:rPr>
        <w:t xml:space="preserve">1</w:t>
      </w:r>
      <w:r>
        <w:rPr>
          <w:rFonts w:hint="eastAsia" w:ascii="宋体" w:hAnsi="宋体" w:cs="Arial"/>
          <w:b/>
          <w:color w:val="auto"/>
          <w:sz w:val="24"/>
          <w:szCs w:val="24"/>
          <w:highlight w:val="none"/>
        </w:rPr>
        <w:t xml:space="preserve">、投标分项报价表</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.1</w:t>
      </w:r>
      <w:r>
        <w:rPr>
          <w:rFonts w:hint="eastAsia" w:ascii="宋体" w:hAnsi="宋体"/>
          <w:color w:val="auto"/>
          <w:sz w:val="24"/>
          <w:szCs w:val="24"/>
          <w:highlight w:val="none"/>
        </w:rPr>
        <w:t xml:space="preserve"> 投</w:t>
      </w:r>
      <w:bookmarkStart w:id="99" w:name="_Hlt26954840"/>
      <w:r/>
      <w:bookmarkEnd w:id="99"/>
      <w:r>
        <w:rPr>
          <w:rFonts w:hint="eastAsia" w:ascii="宋体" w:hAnsi="宋体"/>
          <w:color w:val="auto"/>
          <w:sz w:val="24"/>
          <w:szCs w:val="24"/>
          <w:highlight w:val="none"/>
        </w:rPr>
        <w:t xml:space="preserve">标人按照招标文件规定格式填报投标分项报价表</w:t>
      </w:r>
      <w:bookmarkStart w:id="100" w:name="_Hlt26670399"/>
      <w:r/>
      <w:bookmarkEnd w:id="100"/>
      <w:r>
        <w:rPr>
          <w:rFonts w:hint="eastAsia" w:ascii="宋体" w:hAnsi="宋体"/>
          <w:color w:val="auto"/>
          <w:sz w:val="24"/>
          <w:szCs w:val="24"/>
          <w:highlight w:val="none"/>
        </w:rPr>
        <w:t xml:space="preserve">。</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hint="eastAsia" w:ascii="宋体" w:hAnsi="宋体"/>
          <w:bCs/>
          <w:color w:val="auto"/>
          <w:sz w:val="24"/>
          <w:szCs w:val="24"/>
          <w:highlight w:val="none"/>
        </w:rPr>
        <w:t xml:space="preserve">投标货币。投标文件中的单价和总价无特殊规定的采用人民币报价，以元为单位标注。</w:t>
      </w:r>
      <w:r>
        <w:rPr>
          <w:rFonts w:hint="eastAsia" w:ascii="宋体" w:hAnsi="宋体"/>
          <w:color w:val="auto"/>
          <w:sz w:val="24"/>
          <w:szCs w:val="24"/>
          <w:highlight w:val="none"/>
        </w:rPr>
        <w:t xml:space="preserve">招标文件中另有规定的按规定执行。</w:t>
      </w:r>
      <w:r/>
    </w:p>
    <w:p>
      <w:pPr>
        <w:ind w:firstLine="482"/>
        <w:keepLines/>
        <w:keepNext/>
        <w:spacing w:line="440" w:lineRule="exact"/>
        <w:rPr>
          <w:rFonts w:ascii="宋体" w:hAnsi="宋体" w:cs="Arial"/>
          <w:b/>
          <w:color w:val="auto"/>
          <w:sz w:val="24"/>
          <w:szCs w:val="24"/>
          <w:highlight w:val="none"/>
        </w:rPr>
      </w:pPr>
      <w:r/>
      <w:bookmarkStart w:id="101" w:name="_Hlt26954846"/>
      <w:r/>
      <w:bookmarkEnd w:id="101"/>
      <w:r/>
      <w:bookmarkStart w:id="102" w:name="_Hlt26670482"/>
      <w:r/>
      <w:bookmarkEnd w:id="102"/>
      <w:r/>
      <w:bookmarkStart w:id="103" w:name="_Hlt26954848"/>
      <w:r/>
      <w:bookmarkEnd w:id="103"/>
      <w:r/>
      <w:bookmarkStart w:id="104" w:name="_Hlt26954731"/>
      <w:r/>
      <w:bookmarkEnd w:id="104"/>
      <w:r/>
      <w:bookmarkStart w:id="105" w:name="_Hlt26670486"/>
      <w:r/>
      <w:bookmarkEnd w:id="105"/>
      <w:r>
        <w:rPr>
          <w:rFonts w:hint="eastAsia" w:ascii="宋体" w:hAnsi="宋体" w:cs="Arial"/>
          <w:b/>
          <w:color w:val="auto"/>
          <w:sz w:val="24"/>
          <w:szCs w:val="24"/>
          <w:highlight w:val="none"/>
        </w:rPr>
        <w:t xml:space="preserve">1</w:t>
      </w:r>
      <w:r>
        <w:rPr>
          <w:rFonts w:ascii="宋体" w:hAnsi="宋体" w:cs="Arial"/>
          <w:b/>
          <w:color w:val="auto"/>
          <w:sz w:val="24"/>
          <w:szCs w:val="24"/>
          <w:highlight w:val="none"/>
        </w:rPr>
        <w:t xml:space="preserve">2</w:t>
      </w:r>
      <w:r>
        <w:rPr>
          <w:rFonts w:hint="eastAsia" w:ascii="宋体" w:hAnsi="宋体" w:cs="Arial"/>
          <w:b/>
          <w:color w:val="auto"/>
          <w:sz w:val="24"/>
          <w:szCs w:val="24"/>
          <w:highlight w:val="none"/>
        </w:rPr>
        <w:t xml:space="preserve">、技术要求响应及偏离表、商务要求响应及偏离表</w:t>
      </w:r>
      <w:r/>
    </w:p>
    <w:p>
      <w:pPr>
        <w:ind w:firstLine="480"/>
        <w:spacing w:line="440" w:lineRule="exact"/>
        <w:rPr>
          <w:rFonts w:ascii="宋体" w:hAnsi="宋体" w:cs="宋体"/>
          <w:color w:val="auto"/>
          <w:sz w:val="24"/>
          <w:szCs w:val="24"/>
          <w:highlight w:val="none"/>
          <w:lang w:val="zh-CN"/>
        </w:rPr>
      </w:pPr>
      <w:r>
        <w:rPr>
          <w:rFonts w:ascii="宋体" w:hAnsi="宋体" w:cs="宋体"/>
          <w:bCs/>
          <w:color w:val="auto"/>
          <w:sz w:val="24"/>
          <w:szCs w:val="24"/>
          <w:highlight w:val="none"/>
          <w:lang w:val="zh-CN"/>
        </w:rPr>
        <w:t xml:space="preserve">12.1</w:t>
      </w:r>
      <w:r>
        <w:rPr>
          <w:rFonts w:hint="eastAsia" w:ascii="宋体" w:hAnsi="宋体" w:cs="宋体"/>
          <w:color w:val="auto"/>
          <w:sz w:val="24"/>
          <w:szCs w:val="24"/>
          <w:highlight w:val="none"/>
          <w:lang w:val="zh-CN"/>
        </w:rPr>
        <w:t xml:space="preserve">投标人需对招标文件中的技术要求与商务要求逐项作出响应或偏离，并说明原因。</w:t>
      </w:r>
      <w:r/>
    </w:p>
    <w:p>
      <w:pPr>
        <w:ind w:firstLine="480"/>
        <w:spacing w:line="44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ascii="宋体" w:hAnsi="宋体" w:cs="宋体"/>
          <w:color w:val="auto"/>
          <w:sz w:val="24"/>
          <w:szCs w:val="24"/>
          <w:highlight w:val="none"/>
          <w:lang w:val="zh-CN"/>
        </w:rPr>
        <w:t xml:space="preserve">2</w:t>
      </w:r>
      <w:r>
        <w:rPr>
          <w:rFonts w:hint="eastAsia" w:ascii="宋体" w:hAnsi="宋体" w:cs="宋体"/>
          <w:color w:val="auto"/>
          <w:sz w:val="24"/>
          <w:szCs w:val="24"/>
          <w:highlight w:val="none"/>
          <w:lang w:val="zh-CN"/>
        </w:rPr>
        <w:t xml:space="preserve">.2</w:t>
      </w:r>
      <w:r>
        <w:rPr>
          <w:rFonts w:hint="eastAsia" w:ascii="宋体" w:hAnsi="Arial" w:cs="宋体"/>
          <w:color w:val="auto"/>
          <w:sz w:val="24"/>
          <w:szCs w:val="21"/>
          <w:highlight w:val="none"/>
          <w:lang w:val="zh-CN"/>
        </w:rPr>
        <w:t xml:space="preserve">投标人可在投标文件中提供认为需要的其他技术文件或说明。</w:t>
      </w:r>
      <w:r/>
    </w:p>
    <w:p>
      <w:pPr>
        <w:ind w:firstLine="482"/>
        <w:keepLines/>
        <w:keepNext/>
        <w:spacing w:line="440" w:lineRule="exact"/>
        <w:rPr>
          <w:rFonts w:ascii="宋体" w:hAnsi="宋体" w:cs="Arial"/>
          <w:b/>
          <w:color w:val="auto"/>
          <w:sz w:val="24"/>
          <w:szCs w:val="24"/>
          <w:highlight w:val="none"/>
        </w:rPr>
      </w:pPr>
      <w:r>
        <w:rPr>
          <w:rFonts w:hint="eastAsia" w:ascii="宋体" w:hAnsi="宋体" w:cs="Arial"/>
          <w:b/>
          <w:color w:val="auto"/>
          <w:sz w:val="24"/>
          <w:szCs w:val="24"/>
          <w:highlight w:val="none"/>
        </w:rPr>
        <w:t xml:space="preserve">1</w:t>
      </w:r>
      <w:r>
        <w:rPr>
          <w:rFonts w:ascii="宋体" w:hAnsi="宋体" w:cs="Arial"/>
          <w:b/>
          <w:color w:val="auto"/>
          <w:sz w:val="24"/>
          <w:szCs w:val="24"/>
          <w:highlight w:val="none"/>
        </w:rPr>
        <w:t xml:space="preserve">3</w:t>
      </w:r>
      <w:r>
        <w:rPr>
          <w:rFonts w:hint="eastAsia" w:ascii="宋体" w:hAnsi="宋体" w:cs="Arial"/>
          <w:b/>
          <w:color w:val="auto"/>
          <w:sz w:val="24"/>
          <w:szCs w:val="24"/>
          <w:highlight w:val="none"/>
        </w:rPr>
        <w:t xml:space="preserve">、服务承诺、培训计划、人员安排及其他</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.1 </w:t>
      </w:r>
      <w:r>
        <w:rPr>
          <w:rFonts w:hint="eastAsia" w:ascii="宋体" w:hAnsi="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 投标人需根据招标文件要求提供培训计划。</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3</w:t>
      </w:r>
      <w:r>
        <w:rPr>
          <w:rFonts w:hint="eastAsia" w:ascii="宋体" w:hAnsi="宋体"/>
          <w:color w:val="auto"/>
          <w:sz w:val="24"/>
          <w:szCs w:val="24"/>
          <w:highlight w:val="none"/>
        </w:rPr>
        <w:t xml:space="preserve">.3 投标人需根据招标文件要求提供</w:t>
      </w:r>
      <w:r>
        <w:rPr>
          <w:rFonts w:hint="eastAsia" w:ascii="宋体" w:hAnsi="宋体" w:cs="宋体"/>
          <w:color w:val="auto"/>
          <w:sz w:val="24"/>
          <w:szCs w:val="24"/>
          <w:highlight w:val="none"/>
          <w:lang w:val="zh-CN"/>
        </w:rPr>
        <w:t xml:space="preserve">所投标的的主要组成部分、功能设计、实现思路及关键技术等。</w:t>
      </w:r>
      <w:r/>
    </w:p>
    <w:p>
      <w:pPr>
        <w:ind w:firstLine="482"/>
        <w:keepLines/>
        <w:keepNext/>
        <w:spacing w:line="440" w:lineRule="exact"/>
        <w:rPr>
          <w:rFonts w:ascii="宋体" w:hAnsi="宋体" w:cs="Arial"/>
          <w:b/>
          <w:color w:val="auto"/>
          <w:sz w:val="24"/>
          <w:szCs w:val="24"/>
          <w:highlight w:val="none"/>
        </w:rPr>
      </w:pPr>
      <w:r/>
      <w:bookmarkStart w:id="106" w:name="_Toc14577359"/>
      <w:r/>
      <w:bookmarkStart w:id="107" w:name="_Toc49090510"/>
      <w:r>
        <w:rPr>
          <w:rFonts w:hint="eastAsia" w:ascii="宋体" w:hAnsi="宋体" w:cs="Arial"/>
          <w:b/>
          <w:color w:val="auto"/>
          <w:sz w:val="24"/>
          <w:szCs w:val="24"/>
          <w:highlight w:val="none"/>
        </w:rPr>
        <w:t xml:space="preserve">1</w:t>
      </w:r>
      <w:r>
        <w:rPr>
          <w:rFonts w:ascii="宋体" w:hAnsi="宋体" w:cs="Arial"/>
          <w:b/>
          <w:color w:val="auto"/>
          <w:sz w:val="24"/>
          <w:szCs w:val="24"/>
          <w:highlight w:val="none"/>
        </w:rPr>
        <w:t xml:space="preserve">4</w:t>
      </w:r>
      <w:r>
        <w:rPr>
          <w:rFonts w:hint="eastAsia" w:ascii="宋体" w:hAnsi="宋体" w:cs="Arial"/>
          <w:b/>
          <w:color w:val="auto"/>
          <w:sz w:val="24"/>
          <w:szCs w:val="24"/>
          <w:highlight w:val="none"/>
        </w:rPr>
        <w:t xml:space="preserve">、投标函和开标一览表</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.1</w:t>
      </w:r>
      <w:r>
        <w:rPr>
          <w:rFonts w:hint="eastAsia" w:ascii="宋体" w:hAnsi="宋体"/>
          <w:color w:val="auto"/>
          <w:sz w:val="24"/>
          <w:szCs w:val="24"/>
          <w:highlight w:val="none"/>
        </w:rPr>
        <w:t xml:space="preserve"> 投标人应按照招标文件中提供的格式完整、正确填写投标函、开标一览表。</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rPr>
          <w:rFonts w:hint="eastAsia" w:ascii="宋体" w:hAnsi="宋体"/>
          <w:color w:val="auto"/>
          <w:sz w:val="24"/>
          <w:szCs w:val="24"/>
          <w:highlight w:val="none"/>
        </w:rPr>
        <w:t xml:space="preserve">.2 对于采用货币报价的项目，开标一览表中的投标总报价应与投标分项报价表中的投标总报价一致，如不一致，不作为无效投标处理，但评标时按开标一览表中价格为准。</w:t>
      </w:r>
      <w:bookmarkEnd w:id="106"/>
      <w:r/>
      <w:bookmarkEnd w:id="107"/>
      <w:r/>
      <w:r/>
    </w:p>
    <w:p>
      <w:pPr>
        <w:ind w:firstLine="482"/>
        <w:keepLines/>
        <w:keepNext/>
        <w:spacing w:line="440" w:lineRule="exact"/>
        <w:rPr>
          <w:rFonts w:ascii="宋体" w:hAnsi="宋体" w:cs="Arial"/>
          <w:b/>
          <w:color w:val="auto"/>
          <w:sz w:val="24"/>
          <w:szCs w:val="24"/>
          <w:highlight w:val="none"/>
        </w:rPr>
      </w:pPr>
      <w:r/>
      <w:bookmarkStart w:id="108" w:name="_Toc49090511"/>
      <w:r/>
      <w:bookmarkStart w:id="109" w:name="_Toc14577360"/>
      <w:r>
        <w:rPr>
          <w:rFonts w:hint="eastAsia" w:ascii="宋体" w:hAnsi="宋体" w:cs="Arial"/>
          <w:b/>
          <w:color w:val="auto"/>
          <w:sz w:val="24"/>
          <w:szCs w:val="24"/>
          <w:highlight w:val="none"/>
        </w:rPr>
        <w:t xml:space="preserve">1</w:t>
      </w:r>
      <w:r>
        <w:rPr>
          <w:rFonts w:ascii="宋体" w:hAnsi="宋体" w:cs="Arial"/>
          <w:b/>
          <w:color w:val="auto"/>
          <w:sz w:val="24"/>
          <w:szCs w:val="24"/>
          <w:highlight w:val="none"/>
        </w:rPr>
        <w:t xml:space="preserve">5</w:t>
      </w:r>
      <w:r>
        <w:rPr>
          <w:rFonts w:hint="eastAsia" w:ascii="宋体" w:hAnsi="宋体" w:cs="Arial"/>
          <w:b/>
          <w:color w:val="auto"/>
          <w:sz w:val="24"/>
          <w:szCs w:val="24"/>
          <w:highlight w:val="none"/>
        </w:rPr>
        <w:t xml:space="preserve">、投标有效期</w:t>
      </w:r>
      <w:bookmarkEnd w:id="108"/>
      <w:r/>
      <w:bookmarkEnd w:id="109"/>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.1投标有效期为采购人规定的开标之日后</w:t>
      </w:r>
      <w:r>
        <w:rPr>
          <w:rFonts w:hint="eastAsia" w:ascii="宋体" w:hAnsi="宋体"/>
          <w:b/>
          <w:color w:val="auto"/>
          <w:sz w:val="24"/>
          <w:szCs w:val="24"/>
          <w:highlight w:val="none"/>
          <w:u w:val="single"/>
        </w:rPr>
        <w:t xml:space="preserve">六十（60）天</w:t>
      </w:r>
      <w:r>
        <w:rPr>
          <w:rFonts w:hint="eastAsia" w:ascii="宋体" w:hAnsi="宋体"/>
          <w:bCs/>
          <w:color w:val="auto"/>
          <w:sz w:val="24"/>
          <w:szCs w:val="24"/>
          <w:highlight w:val="none"/>
        </w:rPr>
        <w:t xml:space="preserve">。投标有效期比规定短的将被视为未实质性响应招标文件而予以拒绝。</w:t>
      </w:r>
      <w:r/>
    </w:p>
    <w:p>
      <w:pPr>
        <w:ind w:firstLine="482"/>
        <w:keepLines/>
        <w:keepNext/>
        <w:spacing w:line="440" w:lineRule="exact"/>
        <w:rPr>
          <w:rFonts w:ascii="宋体" w:hAnsi="宋体" w:cs="Arial"/>
          <w:b/>
          <w:color w:val="auto"/>
          <w:sz w:val="24"/>
          <w:szCs w:val="24"/>
          <w:highlight w:val="none"/>
        </w:rPr>
      </w:pPr>
      <w:r>
        <w:rPr>
          <w:rFonts w:hint="eastAsia" w:ascii="宋体" w:hAnsi="宋体" w:cs="Arial"/>
          <w:b/>
          <w:color w:val="auto"/>
          <w:sz w:val="24"/>
          <w:szCs w:val="24"/>
          <w:highlight w:val="none"/>
        </w:rPr>
        <w:t xml:space="preserve">1</w:t>
      </w:r>
      <w:r>
        <w:rPr>
          <w:rFonts w:ascii="宋体" w:hAnsi="宋体" w:cs="Arial"/>
          <w:b/>
          <w:color w:val="auto"/>
          <w:sz w:val="24"/>
          <w:szCs w:val="24"/>
          <w:highlight w:val="none"/>
        </w:rPr>
        <w:t xml:space="preserve">6</w:t>
      </w:r>
      <w:r>
        <w:rPr>
          <w:rFonts w:hint="eastAsia" w:ascii="宋体" w:hAnsi="宋体" w:cs="Arial"/>
          <w:b/>
          <w:color w:val="auto"/>
          <w:sz w:val="24"/>
          <w:szCs w:val="24"/>
          <w:highlight w:val="none"/>
        </w:rPr>
        <w:t xml:space="preserve">、投标有效期的延长</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color w:val="auto"/>
          <w:sz w:val="24"/>
          <w:szCs w:val="24"/>
          <w:highlight w:val="none"/>
        </w:rPr>
        <w:t xml:space="preserve">受投标有效期约束的所有权利与义务均延长至新的有效期</w:t>
      </w:r>
      <w:r>
        <w:rPr>
          <w:rFonts w:hint="eastAsia" w:ascii="宋体" w:hAnsi="宋体"/>
          <w:bCs/>
          <w:color w:val="auto"/>
          <w:sz w:val="24"/>
          <w:szCs w:val="24"/>
          <w:highlight w:val="none"/>
        </w:rPr>
        <w:t xml:space="preserve">。</w:t>
      </w:r>
      <w:r/>
    </w:p>
    <w:p>
      <w:pPr>
        <w:ind w:firstLine="482"/>
        <w:keepLines/>
        <w:keepNext/>
        <w:spacing w:line="440" w:lineRule="exact"/>
        <w:rPr>
          <w:rFonts w:ascii="宋体" w:hAnsi="宋体"/>
          <w:b/>
          <w:bCs/>
          <w:color w:val="auto"/>
          <w:sz w:val="24"/>
          <w:szCs w:val="24"/>
          <w:highlight w:val="none"/>
        </w:rPr>
      </w:pPr>
      <w:r/>
      <w:bookmarkStart w:id="110" w:name="_Hlt26954852"/>
      <w:r/>
      <w:bookmarkEnd w:id="110"/>
      <w:r/>
      <w:bookmarkStart w:id="111" w:name="_Hlt26954739"/>
      <w:r/>
      <w:bookmarkEnd w:id="111"/>
      <w:r/>
      <w:bookmarkStart w:id="112" w:name="_Toc16938540"/>
      <w:r/>
      <w:bookmarkStart w:id="113" w:name="_Toc120614217"/>
      <w:r/>
      <w:bookmarkStart w:id="114" w:name="_Toc513029224"/>
      <w:r/>
      <w:bookmarkStart w:id="115" w:name="_Toc20823296"/>
      <w:r>
        <w:rPr>
          <w:rFonts w:hint="eastAsia" w:ascii="宋体" w:hAnsi="宋体"/>
          <w:b/>
          <w:bCs/>
          <w:color w:val="auto"/>
          <w:sz w:val="24"/>
          <w:szCs w:val="24"/>
          <w:highlight w:val="none"/>
        </w:rPr>
        <w:t xml:space="preserve">四、投标文件的递交</w:t>
      </w:r>
      <w:bookmarkEnd w:id="112"/>
      <w:r/>
      <w:bookmarkEnd w:id="113"/>
      <w:r/>
      <w:bookmarkEnd w:id="114"/>
      <w:r/>
      <w:bookmarkEnd w:id="115"/>
      <w:r/>
      <w:r/>
    </w:p>
    <w:p>
      <w:pPr>
        <w:ind w:firstLine="482"/>
        <w:keepLines/>
        <w:keepNext/>
        <w:spacing w:line="440" w:lineRule="exact"/>
        <w:rPr>
          <w:rFonts w:ascii="宋体" w:hAnsi="宋体" w:cs="Arial"/>
          <w:b/>
          <w:color w:val="auto"/>
          <w:sz w:val="24"/>
          <w:szCs w:val="24"/>
          <w:highlight w:val="none"/>
        </w:rPr>
      </w:pPr>
      <w:r/>
      <w:bookmarkStart w:id="116" w:name="_Toc20823297"/>
      <w:r/>
      <w:bookmarkStart w:id="117" w:name="_Toc16938541"/>
      <w:r/>
      <w:bookmarkStart w:id="118" w:name="_Toc513029225"/>
      <w:r/>
      <w:bookmarkStart w:id="119" w:name="_Toc462564084"/>
      <w:r>
        <w:rPr>
          <w:rFonts w:hint="eastAsia" w:ascii="宋体" w:hAnsi="宋体" w:cs="Arial"/>
          <w:b/>
          <w:color w:val="auto"/>
          <w:sz w:val="24"/>
          <w:szCs w:val="24"/>
          <w:highlight w:val="none"/>
        </w:rPr>
        <w:t xml:space="preserve">1</w:t>
      </w:r>
      <w:r>
        <w:rPr>
          <w:rFonts w:ascii="宋体" w:hAnsi="宋体" w:cs="Arial"/>
          <w:b/>
          <w:color w:val="auto"/>
          <w:sz w:val="24"/>
          <w:szCs w:val="24"/>
          <w:highlight w:val="none"/>
        </w:rPr>
        <w:t xml:space="preserve">7</w:t>
      </w:r>
      <w:r>
        <w:rPr>
          <w:rFonts w:hint="eastAsia" w:ascii="宋体" w:hAnsi="宋体" w:cs="Arial"/>
          <w:b/>
          <w:color w:val="auto"/>
          <w:sz w:val="24"/>
          <w:szCs w:val="24"/>
          <w:highlight w:val="none"/>
        </w:rPr>
        <w:t xml:space="preserve">、电子投标文件</w:t>
      </w:r>
      <w:bookmarkEnd w:id="116"/>
      <w:r/>
      <w:bookmarkEnd w:id="117"/>
      <w:r/>
      <w:bookmarkEnd w:id="118"/>
      <w:r/>
      <w:bookmarkEnd w:id="119"/>
      <w:r>
        <w:rPr>
          <w:rFonts w:hint="eastAsia" w:ascii="宋体" w:hAnsi="宋体" w:cs="Arial"/>
          <w:b/>
          <w:color w:val="auto"/>
          <w:sz w:val="24"/>
          <w:szCs w:val="24"/>
          <w:highlight w:val="none"/>
        </w:rPr>
        <w:t xml:space="preserve">的递交</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.1投标人应当按照《操作手册》规定，在投标截止时间前</w:t>
      </w:r>
      <w:r>
        <w:rPr>
          <w:rFonts w:ascii="宋体" w:hAnsi="宋体"/>
          <w:bCs/>
          <w:color w:val="auto"/>
          <w:sz w:val="24"/>
          <w:szCs w:val="24"/>
          <w:highlight w:val="none"/>
        </w:rPr>
        <w:t xml:space="preserve">制作</w:t>
      </w:r>
      <w:r>
        <w:rPr>
          <w:rFonts w:hint="eastAsia" w:ascii="宋体" w:hAnsi="宋体"/>
          <w:bCs/>
          <w:color w:val="auto"/>
          <w:sz w:val="24"/>
          <w:szCs w:val="24"/>
          <w:highlight w:val="none"/>
        </w:rPr>
        <w:t xml:space="preserve">并上传电</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子投标文件。</w:t>
      </w:r>
      <w:bookmarkStart w:id="120" w:name="_Toc513029226"/>
      <w:r/>
      <w:bookmarkStart w:id="121" w:name="_Toc16938542"/>
      <w:r/>
      <w:bookmarkStart w:id="122" w:name="_Toc20823298"/>
      <w:r/>
      <w:r/>
    </w:p>
    <w:p>
      <w:pPr>
        <w:ind w:firstLine="482"/>
        <w:keepLines/>
        <w:keepNext/>
        <w:spacing w:line="440" w:lineRule="exact"/>
        <w:rPr>
          <w:rFonts w:ascii="宋体" w:hAnsi="宋体" w:cs="Arial"/>
          <w:b/>
          <w:bCs/>
          <w:color w:val="auto"/>
          <w:sz w:val="24"/>
          <w:szCs w:val="24"/>
          <w:highlight w:val="none"/>
        </w:rPr>
      </w:pPr>
      <w:r>
        <w:rPr>
          <w:rFonts w:ascii="宋体" w:hAnsi="宋体" w:cs="Arial"/>
          <w:b/>
          <w:bCs/>
          <w:color w:val="auto"/>
          <w:sz w:val="24"/>
          <w:szCs w:val="24"/>
          <w:highlight w:val="none"/>
        </w:rPr>
        <w:t xml:space="preserve">18</w:t>
      </w:r>
      <w:r>
        <w:rPr>
          <w:rFonts w:hint="eastAsia" w:ascii="宋体" w:hAnsi="宋体" w:cs="Arial"/>
          <w:b/>
          <w:bCs/>
          <w:color w:val="auto"/>
          <w:sz w:val="24"/>
          <w:szCs w:val="24"/>
          <w:highlight w:val="none"/>
        </w:rPr>
        <w:t xml:space="preserve">、投标截止日期</w:t>
      </w:r>
      <w:bookmarkEnd w:id="120"/>
      <w:r/>
      <w:bookmarkEnd w:id="121"/>
      <w:r/>
      <w:bookmarkEnd w:id="122"/>
      <w:r/>
      <w:r/>
    </w:p>
    <w:p>
      <w:pPr>
        <w:ind w:firstLine="480"/>
        <w:spacing w:line="440" w:lineRule="exact"/>
        <w:rPr>
          <w:rFonts w:ascii="宋体" w:hAnsi="宋体"/>
          <w:bCs/>
          <w:color w:val="auto"/>
          <w:sz w:val="24"/>
          <w:szCs w:val="24"/>
          <w:highlight w:val="none"/>
        </w:rPr>
      </w:pPr>
      <w:r>
        <w:rPr>
          <w:rFonts w:ascii="宋体" w:hAnsi="宋体"/>
          <w:color w:val="auto"/>
          <w:sz w:val="24"/>
          <w:szCs w:val="24"/>
          <w:highlight w:val="none"/>
        </w:rPr>
        <w:t xml:space="preserve">18</w:t>
      </w:r>
      <w:r>
        <w:rPr>
          <w:rFonts w:hint="eastAsia" w:ascii="宋体" w:hAnsi="宋体"/>
          <w:color w:val="auto"/>
          <w:sz w:val="24"/>
          <w:szCs w:val="24"/>
          <w:highlight w:val="none"/>
        </w:rPr>
        <w:t xml:space="preserve">.1</w:t>
      </w:r>
      <w:r>
        <w:rPr>
          <w:rFonts w:hint="eastAsia" w:ascii="宋体" w:hAnsi="宋体"/>
          <w:bCs/>
          <w:color w:val="auto"/>
          <w:sz w:val="24"/>
          <w:szCs w:val="24"/>
          <w:highlight w:val="none"/>
        </w:rPr>
        <w:t xml:space="preserve"> 投标人上传电子投标文件的时间不得迟于招标公告中规定的投标截止时间。</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投标人应充分考虑到网络环境、网络带宽等风险因素，如因投标人自身原因造成的电子投标文件上传不成功的按照本招标文件第二章第2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.1.2条规定作无效投标处理。</w:t>
      </w:r>
      <w:r/>
    </w:p>
    <w:p>
      <w:pPr>
        <w:ind w:firstLine="480"/>
        <w:spacing w:line="440" w:lineRule="exact"/>
        <w:rPr>
          <w:rFonts w:ascii="宋体" w:hAnsi="宋体"/>
          <w:bCs/>
          <w:color w:val="auto"/>
          <w:sz w:val="24"/>
          <w:szCs w:val="24"/>
          <w:highlight w:val="none"/>
        </w:rPr>
      </w:pPr>
      <w:r>
        <w:rPr>
          <w:rFonts w:ascii="宋体" w:hAnsi="宋体"/>
          <w:color w:val="auto"/>
          <w:sz w:val="24"/>
          <w:szCs w:val="24"/>
          <w:highlight w:val="none"/>
        </w:rPr>
        <w:t xml:space="preserve">18</w:t>
      </w:r>
      <w:r>
        <w:rPr>
          <w:rFonts w:hint="eastAsia" w:ascii="宋体" w:hAnsi="宋体"/>
          <w:color w:val="auto"/>
          <w:sz w:val="24"/>
          <w:szCs w:val="24"/>
          <w:highlight w:val="none"/>
        </w:rPr>
        <w:t xml:space="preserve">.2</w:t>
      </w:r>
      <w:r>
        <w:rPr>
          <w:rFonts w:hint="eastAsia" w:ascii="宋体" w:hAnsi="宋体"/>
          <w:bCs/>
          <w:color w:val="auto"/>
          <w:sz w:val="24"/>
          <w:szCs w:val="24"/>
          <w:highlight w:val="none"/>
        </w:rPr>
        <w:t xml:space="preserve">采购人可以按照规定，通过修改招标文件酌情延长投标截止日期，在此情况下，投标人的所有权利和义务以及投标人受制的截止日期均应以延长后新的截止日期为准。</w:t>
      </w:r>
      <w:r/>
    </w:p>
    <w:p>
      <w:pPr>
        <w:ind w:firstLine="482"/>
        <w:keepLines/>
        <w:keepNext/>
        <w:spacing w:line="440" w:lineRule="exact"/>
        <w:rPr>
          <w:rFonts w:ascii="宋体" w:hAnsi="宋体" w:cs="Arial"/>
          <w:b/>
          <w:color w:val="auto"/>
          <w:sz w:val="24"/>
          <w:szCs w:val="24"/>
          <w:highlight w:val="none"/>
        </w:rPr>
      </w:pPr>
      <w:r/>
      <w:bookmarkStart w:id="123" w:name="_Toc513029227"/>
      <w:r/>
      <w:bookmarkStart w:id="124" w:name="_Toc16938543"/>
      <w:r/>
      <w:bookmarkStart w:id="125" w:name="_Toc20823299"/>
      <w:r>
        <w:rPr>
          <w:rFonts w:ascii="宋体" w:hAnsi="宋体" w:cs="Arial"/>
          <w:b/>
          <w:color w:val="auto"/>
          <w:sz w:val="24"/>
          <w:szCs w:val="24"/>
          <w:highlight w:val="none"/>
        </w:rPr>
        <w:t xml:space="preserve">19</w:t>
      </w:r>
      <w:r>
        <w:rPr>
          <w:rFonts w:hint="eastAsia" w:ascii="宋体" w:hAnsi="宋体" w:cs="Arial"/>
          <w:b/>
          <w:color w:val="auto"/>
          <w:sz w:val="24"/>
          <w:szCs w:val="24"/>
          <w:highlight w:val="none"/>
        </w:rPr>
        <w:t xml:space="preserve">、投标文件</w:t>
      </w:r>
      <w:bookmarkEnd w:id="123"/>
      <w:r/>
      <w:bookmarkEnd w:id="124"/>
      <w:r/>
      <w:bookmarkEnd w:id="125"/>
      <w:r>
        <w:rPr>
          <w:rFonts w:hint="eastAsia" w:ascii="宋体" w:hAnsi="宋体" w:cs="Arial"/>
          <w:b/>
          <w:color w:val="auto"/>
          <w:sz w:val="24"/>
          <w:szCs w:val="24"/>
          <w:highlight w:val="none"/>
        </w:rPr>
        <w:t xml:space="preserve">的拒收</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t xml:space="preserve">19</w:t>
      </w:r>
      <w:r>
        <w:rPr>
          <w:rFonts w:hint="eastAsia" w:ascii="宋体" w:hAnsi="宋体"/>
          <w:bCs/>
          <w:color w:val="auto"/>
          <w:sz w:val="24"/>
          <w:szCs w:val="24"/>
          <w:highlight w:val="none"/>
        </w:rPr>
        <w:t xml:space="preserve">.1 采购人拒绝接收在其规定的投标截止时间后上传的任何投标文件。</w:t>
      </w:r>
      <w:r/>
    </w:p>
    <w:p>
      <w:pPr>
        <w:ind w:firstLine="482"/>
        <w:keepLines/>
        <w:keepNext/>
        <w:spacing w:line="440" w:lineRule="exact"/>
        <w:rPr>
          <w:rFonts w:ascii="宋体" w:hAnsi="宋体" w:cs="Arial"/>
          <w:b/>
          <w:color w:val="auto"/>
          <w:sz w:val="24"/>
          <w:szCs w:val="24"/>
          <w:highlight w:val="none"/>
        </w:rPr>
      </w:pPr>
      <w:r/>
      <w:bookmarkStart w:id="126" w:name="_Toc513029228"/>
      <w:r/>
      <w:bookmarkStart w:id="127" w:name="_Toc20823300"/>
      <w:r/>
      <w:bookmarkStart w:id="128" w:name="_Toc16938544"/>
      <w:r>
        <w:rPr>
          <w:rFonts w:hint="eastAsia" w:ascii="宋体" w:hAnsi="宋体" w:cs="Arial"/>
          <w:b/>
          <w:color w:val="auto"/>
          <w:sz w:val="24"/>
          <w:szCs w:val="24"/>
          <w:highlight w:val="none"/>
        </w:rPr>
        <w:t xml:space="preserve">2</w:t>
      </w:r>
      <w:r>
        <w:rPr>
          <w:rFonts w:ascii="宋体" w:hAnsi="宋体" w:cs="Arial"/>
          <w:b/>
          <w:color w:val="auto"/>
          <w:sz w:val="24"/>
          <w:szCs w:val="24"/>
          <w:highlight w:val="none"/>
        </w:rPr>
        <w:t xml:space="preserve">0</w:t>
      </w:r>
      <w:r>
        <w:rPr>
          <w:rFonts w:hint="eastAsia" w:ascii="宋体" w:hAnsi="宋体" w:cs="Arial"/>
          <w:b/>
          <w:color w:val="auto"/>
          <w:sz w:val="24"/>
          <w:szCs w:val="24"/>
          <w:highlight w:val="none"/>
        </w:rPr>
        <w:t xml:space="preserve">、投标文件的撤回和修改</w:t>
      </w:r>
      <w:bookmarkEnd w:id="126"/>
      <w:r/>
      <w:bookmarkEnd w:id="127"/>
      <w:r/>
      <w:bookmarkEnd w:id="128"/>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.1 投标文件的撤回</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.1.1 电子投标文件的撤回</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投标人可在投标截止时间前，撤回其电子投标文件，具体操作方法见《操作手册》。</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 投标文件的修改</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.2.1投标人可在投标截止时间前，对其电子投标文件进行修改，具体操作方法见《操作手册》。</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w:t>
      </w:r>
      <w:r>
        <w:rPr>
          <w:rFonts w:ascii="宋体" w:hAnsi="宋体"/>
          <w:color w:val="auto"/>
          <w:sz w:val="24"/>
          <w:szCs w:val="24"/>
          <w:highlight w:val="none"/>
        </w:rPr>
        <w:t xml:space="preserve">2.2</w:t>
      </w:r>
      <w:r>
        <w:rPr>
          <w:rFonts w:hint="eastAsia" w:ascii="宋体" w:hAnsi="宋体"/>
          <w:bCs/>
          <w:color w:val="auto"/>
          <w:sz w:val="24"/>
          <w:szCs w:val="24"/>
          <w:highlight w:val="none"/>
        </w:rPr>
        <w:t xml:space="preserve"> 在投标截止时间之后，投标人不得对其电子投标文件作任何修改。</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.3</w:t>
      </w:r>
      <w:r>
        <w:rPr>
          <w:rFonts w:hint="eastAsia" w:ascii="宋体" w:hAnsi="宋体"/>
          <w:bCs/>
          <w:color w:val="auto"/>
          <w:sz w:val="24"/>
          <w:szCs w:val="24"/>
          <w:highlight w:val="none"/>
        </w:rPr>
        <w:t xml:space="preserve"> 在投标截止时间至招标文件中规定的投标有效期满之间的这段时间内，投标人不得撤回其投标。</w:t>
      </w:r>
      <w:r/>
    </w:p>
    <w:p>
      <w:pPr>
        <w:ind w:firstLine="482"/>
        <w:keepLines/>
        <w:keepNext/>
        <w:spacing w:line="440" w:lineRule="exact"/>
        <w:rPr>
          <w:rFonts w:ascii="宋体" w:hAnsi="宋体"/>
          <w:b/>
          <w:bCs/>
          <w:color w:val="auto"/>
          <w:sz w:val="24"/>
          <w:szCs w:val="24"/>
          <w:highlight w:val="none"/>
        </w:rPr>
      </w:pPr>
      <w:r/>
      <w:bookmarkStart w:id="129" w:name="_Toc120614218"/>
      <w:r/>
      <w:bookmarkStart w:id="130" w:name="_Toc20823301"/>
      <w:r/>
      <w:bookmarkStart w:id="131" w:name="_Toc16938545"/>
      <w:r/>
      <w:bookmarkStart w:id="132" w:name="_Toc513029229"/>
      <w:r>
        <w:rPr>
          <w:rFonts w:hint="eastAsia" w:ascii="宋体" w:hAnsi="宋体"/>
          <w:b/>
          <w:bCs/>
          <w:color w:val="auto"/>
          <w:sz w:val="24"/>
          <w:szCs w:val="24"/>
          <w:highlight w:val="none"/>
        </w:rPr>
        <w:t xml:space="preserve">五、开标与评标</w:t>
      </w:r>
      <w:bookmarkEnd w:id="129"/>
      <w:r/>
      <w:bookmarkEnd w:id="130"/>
      <w:r/>
      <w:bookmarkEnd w:id="131"/>
      <w:r/>
      <w:bookmarkEnd w:id="132"/>
      <w:r/>
      <w:r/>
    </w:p>
    <w:p>
      <w:pPr>
        <w:ind w:firstLine="482"/>
        <w:keepLines/>
        <w:keepNext/>
        <w:spacing w:line="440" w:lineRule="exact"/>
        <w:rPr>
          <w:rFonts w:ascii="宋体" w:hAnsi="宋体" w:cs="Arial"/>
          <w:b/>
          <w:color w:val="auto"/>
          <w:sz w:val="24"/>
          <w:szCs w:val="24"/>
          <w:highlight w:val="none"/>
        </w:rPr>
      </w:pPr>
      <w:r/>
      <w:bookmarkStart w:id="133" w:name="_Toc513029230"/>
      <w:r/>
      <w:bookmarkStart w:id="134" w:name="_Toc20823302"/>
      <w:r/>
      <w:bookmarkStart w:id="135" w:name="_Toc16938546"/>
      <w:r>
        <w:rPr>
          <w:rFonts w:hint="eastAsia" w:ascii="宋体" w:hAnsi="宋体" w:cs="Arial"/>
          <w:b/>
          <w:color w:val="auto"/>
          <w:sz w:val="24"/>
          <w:szCs w:val="24"/>
          <w:highlight w:val="none"/>
        </w:rPr>
        <w:t xml:space="preserve">2</w:t>
      </w:r>
      <w:r>
        <w:rPr>
          <w:rFonts w:ascii="宋体" w:hAnsi="宋体" w:cs="Arial"/>
          <w:b/>
          <w:color w:val="auto"/>
          <w:sz w:val="24"/>
          <w:szCs w:val="24"/>
          <w:highlight w:val="none"/>
        </w:rPr>
        <w:t xml:space="preserve">1</w:t>
      </w:r>
      <w:r>
        <w:rPr>
          <w:rFonts w:hint="eastAsia" w:ascii="宋体" w:hAnsi="宋体" w:cs="Arial"/>
          <w:b/>
          <w:color w:val="auto"/>
          <w:sz w:val="24"/>
          <w:szCs w:val="24"/>
          <w:highlight w:val="none"/>
        </w:rPr>
        <w:t xml:space="preserve">、开标</w:t>
      </w:r>
      <w:bookmarkEnd w:id="133"/>
      <w:r/>
      <w:bookmarkEnd w:id="134"/>
      <w:r/>
      <w:bookmarkEnd w:id="135"/>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hint="eastAsia" w:ascii="宋体" w:hAnsi="宋体"/>
          <w:bCs/>
          <w:color w:val="auto"/>
          <w:sz w:val="24"/>
          <w:szCs w:val="24"/>
          <w:highlight w:val="none"/>
        </w:rPr>
        <w:t xml:space="preserve">采购代理机构将在招标公告中规定的时间和地点组织公开开标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.2</w:t>
      </w:r>
      <w:r>
        <w:rPr>
          <w:rFonts w:hint="eastAsia" w:ascii="宋体" w:hAnsi="宋体"/>
          <w:color w:val="auto"/>
          <w:sz w:val="24"/>
          <w:szCs w:val="24"/>
          <w:highlight w:val="none"/>
        </w:rPr>
        <w:t xml:space="preserve">开标仪式由采购代理机构组织。苏采云系统将自动对</w:t>
      </w:r>
      <w:r>
        <w:rPr>
          <w:rFonts w:ascii="宋体" w:hAnsi="宋体"/>
          <w:color w:val="auto"/>
          <w:sz w:val="24"/>
          <w:szCs w:val="24"/>
          <w:highlight w:val="none"/>
        </w:rPr>
        <w:t xml:space="preserve">项目进行开标，</w:t>
      </w:r>
      <w:r>
        <w:rPr>
          <w:rFonts w:hint="eastAsia" w:ascii="宋体" w:hAnsi="宋体"/>
          <w:color w:val="auto"/>
          <w:sz w:val="24"/>
          <w:szCs w:val="24"/>
          <w:highlight w:val="none"/>
        </w:rPr>
        <w:t xml:space="preserve">并宣布各投标人名称和投标价格。</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.3投标人在开标过程中涉及到的投标文件解密、开标结果确认等工作，应按照《操作手册》规定执行。</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.4投标人如果对开标过程和开标记录有疑义，应当根据《操作手册》规定提出，如苏采云系统中《开标记录表》宣布后5分钟内未提出的，视同认可开标结果。</w:t>
      </w:r>
      <w:r/>
    </w:p>
    <w:p>
      <w:pPr>
        <w:ind w:firstLine="482"/>
        <w:keepLines/>
        <w:keepNext/>
        <w:spacing w:line="440" w:lineRule="exact"/>
        <w:rPr>
          <w:rFonts w:ascii="宋体" w:hAnsi="宋体" w:cs="Arial"/>
          <w:b/>
          <w:color w:val="auto"/>
          <w:sz w:val="24"/>
          <w:szCs w:val="24"/>
          <w:highlight w:val="none"/>
        </w:rPr>
      </w:pPr>
      <w:r/>
      <w:bookmarkStart w:id="136" w:name="_Toc513029231"/>
      <w:r/>
      <w:bookmarkStart w:id="137" w:name="_Toc16938547"/>
      <w:r/>
      <w:bookmarkStart w:id="138" w:name="_Toc20823303"/>
      <w:r>
        <w:rPr>
          <w:rFonts w:hint="eastAsia" w:ascii="宋体" w:hAnsi="宋体" w:cs="Arial"/>
          <w:b/>
          <w:color w:val="auto"/>
          <w:sz w:val="24"/>
          <w:szCs w:val="24"/>
          <w:highlight w:val="none"/>
        </w:rPr>
        <w:t xml:space="preserve">2</w:t>
      </w:r>
      <w:r>
        <w:rPr>
          <w:rFonts w:ascii="宋体" w:hAnsi="宋体" w:cs="Arial"/>
          <w:b/>
          <w:color w:val="auto"/>
          <w:sz w:val="24"/>
          <w:szCs w:val="24"/>
          <w:highlight w:val="none"/>
        </w:rPr>
        <w:t xml:space="preserve">2</w:t>
      </w:r>
      <w:r>
        <w:rPr>
          <w:rFonts w:hint="eastAsia" w:ascii="宋体" w:hAnsi="宋体" w:cs="Arial"/>
          <w:b/>
          <w:color w:val="auto"/>
          <w:sz w:val="24"/>
          <w:szCs w:val="24"/>
          <w:highlight w:val="none"/>
        </w:rPr>
        <w:t xml:space="preserve">、评标委员会</w:t>
      </w:r>
      <w:r/>
    </w:p>
    <w:p>
      <w:pPr>
        <w:ind w:firstLine="480"/>
        <w:spacing w:line="440" w:lineRule="exact"/>
        <w:rPr>
          <w:rFonts w:ascii="宋体" w:hAnsi="宋体"/>
          <w:b/>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.1开标后，采购人将立即组织评标委员会（以下简称评委会）进行评标。</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.2 评委会由采购人代表和有关技术、经济等方面的专家组成，且人员构成符合政府采购有关规定。</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.3评委会独立工作，负责评审所有投标文件并确定中标侯选人。</w:t>
      </w:r>
      <w:r/>
    </w:p>
    <w:p>
      <w:pPr>
        <w:ind w:firstLine="482"/>
        <w:keepLines/>
        <w:keepNext/>
        <w:spacing w:line="440" w:lineRule="exact"/>
        <w:rPr>
          <w:rFonts w:ascii="宋体" w:hAnsi="宋体" w:cs="Arial"/>
          <w:b/>
          <w:color w:val="auto"/>
          <w:sz w:val="24"/>
          <w:szCs w:val="24"/>
          <w:highlight w:val="none"/>
        </w:rPr>
      </w:pPr>
      <w:r>
        <w:rPr>
          <w:rFonts w:hint="eastAsia" w:ascii="宋体" w:hAnsi="宋体" w:cs="Arial"/>
          <w:b/>
          <w:color w:val="auto"/>
          <w:sz w:val="24"/>
          <w:szCs w:val="24"/>
          <w:highlight w:val="none"/>
        </w:rPr>
        <w:t xml:space="preserve">2</w:t>
      </w:r>
      <w:r>
        <w:rPr>
          <w:rFonts w:ascii="宋体" w:hAnsi="宋体" w:cs="Arial"/>
          <w:b/>
          <w:color w:val="auto"/>
          <w:sz w:val="24"/>
          <w:szCs w:val="24"/>
          <w:highlight w:val="none"/>
        </w:rPr>
        <w:t xml:space="preserve">3</w:t>
      </w:r>
      <w:r>
        <w:rPr>
          <w:rFonts w:hint="eastAsia" w:ascii="宋体" w:hAnsi="宋体" w:cs="Arial"/>
          <w:b/>
          <w:color w:val="auto"/>
          <w:sz w:val="24"/>
          <w:szCs w:val="24"/>
          <w:highlight w:val="none"/>
        </w:rPr>
        <w:t xml:space="preserve">、评标过程的保密与公正</w:t>
      </w:r>
      <w:bookmarkEnd w:id="136"/>
      <w:r/>
      <w:bookmarkEnd w:id="137"/>
      <w:r/>
      <w:bookmarkEnd w:id="138"/>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bCs/>
          <w:color w:val="auto"/>
          <w:sz w:val="24"/>
          <w:szCs w:val="24"/>
          <w:highlight w:val="none"/>
        </w:rPr>
        <w:t xml:space="preserve">凡是与审查、澄清、评价和比较投标的有关资料以及授标建议等，采购人、评委、采购代理机构均不得向投标人或与评标无关的其他人员透露。</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.2在评标过程中，投标人不得以任何行为影响评标过程，否则其投标文件将被作为无效投标文件。</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23</w:t>
      </w: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采购人和评标委员会不向未中标的投标人解释未中标原因，也不公布评标过程中的相关细节。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 采用综合评分法的项目，未中标的投标人可于中标结果公告期限届满之日起通过苏采云系统查看自己的评审得分及排序情况。</w:t>
      </w:r>
      <w:r/>
    </w:p>
    <w:p>
      <w:pPr>
        <w:ind w:firstLine="482"/>
        <w:keepLines/>
        <w:keepNext/>
        <w:spacing w:line="440" w:lineRule="exact"/>
        <w:rPr>
          <w:rFonts w:ascii="宋体" w:hAnsi="宋体" w:cs="Arial"/>
          <w:b/>
          <w:color w:val="auto"/>
          <w:sz w:val="24"/>
          <w:szCs w:val="24"/>
          <w:highlight w:val="none"/>
        </w:rPr>
      </w:pPr>
      <w:r/>
      <w:bookmarkStart w:id="139" w:name="_Toc16938548"/>
      <w:r/>
      <w:bookmarkStart w:id="140" w:name="_Toc513029232"/>
      <w:r/>
      <w:bookmarkStart w:id="141" w:name="_Toc20823304"/>
      <w:r>
        <w:rPr>
          <w:rFonts w:hint="eastAsia" w:ascii="宋体" w:hAnsi="宋体" w:cs="Arial"/>
          <w:b/>
          <w:color w:val="auto"/>
          <w:sz w:val="24"/>
          <w:szCs w:val="24"/>
          <w:highlight w:val="none"/>
        </w:rPr>
        <w:t xml:space="preserve">2</w:t>
      </w:r>
      <w:r>
        <w:rPr>
          <w:rFonts w:ascii="宋体" w:hAnsi="宋体" w:cs="Arial"/>
          <w:b/>
          <w:color w:val="auto"/>
          <w:sz w:val="24"/>
          <w:szCs w:val="24"/>
          <w:highlight w:val="none"/>
        </w:rPr>
        <w:t xml:space="preserve">4</w:t>
      </w:r>
      <w:r>
        <w:rPr>
          <w:rFonts w:hint="eastAsia" w:ascii="宋体" w:hAnsi="宋体" w:cs="Arial"/>
          <w:b/>
          <w:color w:val="auto"/>
          <w:sz w:val="24"/>
          <w:szCs w:val="24"/>
          <w:highlight w:val="none"/>
        </w:rPr>
        <w:t xml:space="preserve">、投标文件的澄清</w:t>
      </w:r>
      <w:bookmarkEnd w:id="139"/>
      <w:r/>
      <w:bookmarkEnd w:id="140"/>
      <w:r/>
      <w:bookmarkEnd w:id="141"/>
      <w:r/>
      <w:r/>
    </w:p>
    <w:p>
      <w:pPr>
        <w:ind w:firstLine="480"/>
        <w:spacing w:line="440" w:lineRule="exact"/>
        <w:rPr>
          <w:rFonts w:ascii="宋体" w:hAnsi="宋体"/>
          <w:color w:val="auto"/>
          <w:sz w:val="24"/>
          <w:szCs w:val="24"/>
          <w:highlight w:val="none"/>
        </w:rPr>
      </w:pPr>
      <w:r/>
      <w:bookmarkStart w:id="142" w:name="_Toc20823305"/>
      <w:r/>
      <w:bookmarkStart w:id="143" w:name="_Toc16938549"/>
      <w:r/>
      <w:bookmarkStart w:id="144" w:name="_Toc513029233"/>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.3 接到评委会澄清、说明和补正要求的投标人如未按规定做出澄清、说明和补正，其风险由投标人自行承担。</w:t>
      </w:r>
      <w:r/>
    </w:p>
    <w:p>
      <w:pPr>
        <w:ind w:firstLine="482"/>
        <w:keepLines/>
        <w:keepNext/>
        <w:spacing w:line="440" w:lineRule="exact"/>
        <w:rPr>
          <w:rFonts w:ascii="宋体" w:hAnsi="宋体" w:cs="Arial"/>
          <w:b/>
          <w:color w:val="auto"/>
          <w:sz w:val="24"/>
          <w:szCs w:val="24"/>
          <w:highlight w:val="none"/>
        </w:rPr>
      </w:pPr>
      <w:r>
        <w:rPr>
          <w:rFonts w:hint="eastAsia" w:ascii="宋体" w:hAnsi="宋体" w:cs="Arial"/>
          <w:b/>
          <w:color w:val="auto"/>
          <w:sz w:val="24"/>
          <w:szCs w:val="24"/>
          <w:highlight w:val="none"/>
        </w:rPr>
        <w:t xml:space="preserve">2</w:t>
      </w:r>
      <w:r>
        <w:rPr>
          <w:rFonts w:ascii="宋体" w:hAnsi="宋体" w:cs="Arial"/>
          <w:b/>
          <w:color w:val="auto"/>
          <w:sz w:val="24"/>
          <w:szCs w:val="24"/>
          <w:highlight w:val="none"/>
        </w:rPr>
        <w:t xml:space="preserve">5</w:t>
      </w:r>
      <w:r>
        <w:rPr>
          <w:rFonts w:hint="eastAsia" w:ascii="宋体" w:hAnsi="宋体" w:cs="Arial"/>
          <w:b/>
          <w:color w:val="auto"/>
          <w:sz w:val="24"/>
          <w:szCs w:val="24"/>
          <w:highlight w:val="none"/>
        </w:rPr>
        <w:t xml:space="preserve">、对投标文件的初审</w:t>
      </w:r>
      <w:bookmarkEnd w:id="142"/>
      <w:r/>
      <w:bookmarkEnd w:id="143"/>
      <w:r/>
      <w:bookmarkEnd w:id="144"/>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1</w:t>
      </w:r>
      <w:r>
        <w:rPr>
          <w:rFonts w:hint="eastAsia" w:ascii="宋体" w:hAnsi="宋体"/>
          <w:bCs/>
          <w:color w:val="auto"/>
          <w:sz w:val="24"/>
          <w:szCs w:val="24"/>
          <w:highlight w:val="none"/>
        </w:rPr>
        <w:t xml:space="preserve">投标文件初审分为资格审查和符合性审查。</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bCs/>
          <w:color w:val="auto"/>
          <w:sz w:val="24"/>
          <w:szCs w:val="24"/>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采购人在进行资格性审查的同时，将在“信用中国”网站查询投标人的信用记录，以确定投标人是否具备投标资格,查询结果留存并归档。</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bCs/>
          <w:color w:val="auto"/>
          <w:sz w:val="24"/>
          <w:szCs w:val="24"/>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bCs/>
          <w:color w:val="auto"/>
          <w:sz w:val="24"/>
          <w:szCs w:val="24"/>
          <w:highlight w:val="none"/>
        </w:rPr>
        <w:t xml:space="preserve">.1.3 未通过资格审查或符合性审查的投标人，采购代理机构将在</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中告知未通过资格审查或符合性审查的原因，评审结束后，采购代理机构将不再告知未通过资格审查或符合性审查的原因。</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4"/>
          <w:highlight w:val="none"/>
        </w:rPr>
        <w:t xml:space="preserve">评委决定投标文件的响应性只根据投标文件本身的内容，而不寻求外部的证据。</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w:t>
      </w:r>
      <w:r>
        <w:rPr>
          <w:rFonts w:hint="eastAsia" w:ascii="宋体" w:hAnsi="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.4</w:t>
      </w:r>
      <w:r>
        <w:rPr>
          <w:rFonts w:hint="eastAsia" w:ascii="宋体" w:hAnsi="宋体"/>
          <w:bCs/>
          <w:color w:val="auto"/>
          <w:sz w:val="24"/>
          <w:szCs w:val="24"/>
          <w:highlight w:val="none"/>
        </w:rPr>
        <w:t xml:space="preserve">评委会将对确定为实质性响应的投标进行进一步审核，看其是否有计算上或累加上的算术错误，修正错误的原则如下：</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（1）投标文件中开标一览表内容与投标文件中相应内容不一致的，以开标一览表为准。</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（2）大写金额和小写金额不一致的，以大写金额为准。</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（3）单价金额小数点或者百分比有明显错位的，以开标一览表的总价为准，并修改单价。</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（4）总价金额与按单价汇总金额不一致的，以单价金额计算结果为准。</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同时出现两种以上错误的，按照前款规定的顺序修正。</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.5</w:t>
      </w:r>
      <w:r>
        <w:rPr>
          <w:rFonts w:hint="eastAsia" w:ascii="宋体" w:hAnsi="宋体"/>
          <w:bCs/>
          <w:color w:val="auto"/>
          <w:sz w:val="24"/>
          <w:szCs w:val="24"/>
          <w:highlight w:val="none"/>
        </w:rPr>
        <w:t xml:space="preserve">评委会将按上述修正错误的方法调整投标文件中的投标报价，并</w:t>
      </w:r>
      <w:r>
        <w:rPr>
          <w:rFonts w:ascii="宋体" w:hAnsi="宋体"/>
          <w:bCs/>
          <w:color w:val="auto"/>
          <w:sz w:val="24"/>
          <w:szCs w:val="24"/>
          <w:highlight w:val="none"/>
        </w:rPr>
        <w:t xml:space="preserve">通过</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告知</w:t>
      </w:r>
      <w:r>
        <w:rPr>
          <w:rFonts w:ascii="宋体" w:hAnsi="宋体"/>
          <w:bCs/>
          <w:color w:val="auto"/>
          <w:sz w:val="24"/>
          <w:szCs w:val="24"/>
          <w:highlight w:val="none"/>
        </w:rPr>
        <w:t xml:space="preserve">投标人，</w:t>
      </w:r>
      <w:r>
        <w:rPr>
          <w:rFonts w:hint="eastAsia" w:ascii="宋体" w:hAnsi="宋体"/>
          <w:bCs/>
          <w:color w:val="auto"/>
          <w:sz w:val="24"/>
          <w:szCs w:val="24"/>
          <w:highlight w:val="none"/>
        </w:rPr>
        <w:t xml:space="preserve">调整后的价格应对投标人具有约束力。如果投标人不接受修正后的价格，则其投标将被拒绝。</w:t>
      </w:r>
      <w:r/>
    </w:p>
    <w:p>
      <w:pPr>
        <w:ind w:firstLine="480"/>
        <w:spacing w:line="440" w:lineRule="exact"/>
        <w:rPr>
          <w:rFonts w:ascii="宋体" w:hAnsi="宋体"/>
          <w:color w:val="auto"/>
          <w:sz w:val="24"/>
          <w:szCs w:val="24"/>
          <w:highlight w:val="none"/>
        </w:rPr>
      </w:pPr>
      <w:r/>
      <w:bookmarkStart w:id="145" w:name="_Toc20823306"/>
      <w:r/>
      <w:bookmarkStart w:id="146" w:name="_Toc16938550"/>
      <w:r/>
      <w:bookmarkStart w:id="147" w:name="_Toc513029234"/>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.6</w:t>
      </w:r>
      <w:r>
        <w:rPr>
          <w:rFonts w:ascii="宋体" w:hAnsi="宋体"/>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4"/>
          <w:highlight w:val="none"/>
        </w:rPr>
        <w:t xml:space="preserve">按照招标文件规定的方式（招标文件未规定的通过</w:t>
      </w:r>
      <w:r>
        <w:rPr>
          <w:rFonts w:ascii="宋体" w:hAnsi="宋体"/>
          <w:color w:val="auto"/>
          <w:sz w:val="24"/>
          <w:szCs w:val="24"/>
          <w:highlight w:val="none"/>
        </w:rPr>
        <w:t xml:space="preserve">随机抽取</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方式</w:t>
      </w:r>
      <w:r>
        <w:rPr>
          <w:rFonts w:hint="eastAsia" w:ascii="宋体" w:hAnsi="宋体"/>
          <w:color w:val="auto"/>
          <w:sz w:val="24"/>
          <w:szCs w:val="24"/>
          <w:highlight w:val="none"/>
        </w:rPr>
        <w:t xml:space="preserve">）</w:t>
      </w:r>
      <w:r>
        <w:rPr>
          <w:rFonts w:ascii="宋体" w:hAnsi="宋体"/>
          <w:color w:val="auto"/>
          <w:sz w:val="24"/>
          <w:szCs w:val="24"/>
          <w:highlight w:val="none"/>
        </w:rPr>
        <w:t xml:space="preserve">确定一个参加评标的投标人，其他投标无效。</w:t>
      </w:r>
      <w:r/>
    </w:p>
    <w:p>
      <w:pPr>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b/>
          <w:color w:val="auto"/>
          <w:sz w:val="24"/>
          <w:szCs w:val="24"/>
          <w:highlight w:val="none"/>
        </w:rPr>
        <w:t xml:space="preserve">根据招标文件规定的方式（招标文件未规定的采取随机抽取的方式）</w:t>
      </w:r>
      <w:r>
        <w:rPr>
          <w:rFonts w:ascii="宋体" w:hAnsi="宋体"/>
          <w:b/>
          <w:color w:val="auto"/>
          <w:sz w:val="24"/>
          <w:szCs w:val="24"/>
          <w:highlight w:val="none"/>
        </w:rPr>
        <w:t xml:space="preserve">确定</w:t>
      </w:r>
      <w:r>
        <w:rPr>
          <w:rFonts w:hint="eastAsia" w:ascii="宋体" w:hAnsi="宋体"/>
          <w:b/>
          <w:color w:val="auto"/>
          <w:sz w:val="24"/>
          <w:szCs w:val="24"/>
          <w:highlight w:val="none"/>
        </w:rPr>
        <w:t xml:space="preserve">一个中标候选人</w:t>
      </w:r>
      <w:r>
        <w:rPr>
          <w:rFonts w:ascii="宋体" w:hAnsi="宋体"/>
          <w:b/>
          <w:color w:val="auto"/>
          <w:sz w:val="24"/>
          <w:szCs w:val="24"/>
          <w:highlight w:val="none"/>
        </w:rPr>
        <w:t xml:space="preserve">，其他同品牌投标人不作为中标候选人。</w:t>
      </w:r>
      <w:r/>
    </w:p>
    <w:p>
      <w:pPr>
        <w:ind w:firstLine="482"/>
        <w:spacing w:line="440" w:lineRule="exact"/>
        <w:rPr>
          <w:rFonts w:ascii="宋体" w:hAnsi="宋体"/>
          <w:b/>
          <w:color w:val="auto"/>
          <w:sz w:val="24"/>
          <w:szCs w:val="24"/>
          <w:highlight w:val="none"/>
        </w:rPr>
      </w:pPr>
      <w:r>
        <w:rPr>
          <w:rFonts w:ascii="宋体" w:hAnsi="宋体"/>
          <w:b/>
          <w:color w:val="auto"/>
          <w:sz w:val="24"/>
          <w:szCs w:val="24"/>
          <w:highlight w:val="none"/>
        </w:rPr>
        <w:t xml:space="preserve">非单一产品采购项目，招标文件中</w:t>
      </w:r>
      <w:r>
        <w:rPr>
          <w:rFonts w:hint="eastAsia" w:ascii="宋体" w:hAnsi="宋体"/>
          <w:b/>
          <w:color w:val="auto"/>
          <w:sz w:val="24"/>
          <w:szCs w:val="24"/>
          <w:highlight w:val="none"/>
        </w:rPr>
        <w:t xml:space="preserve">将载明其中的核心产品</w:t>
      </w:r>
      <w:r>
        <w:rPr>
          <w:rFonts w:ascii="宋体" w:hAnsi="宋体"/>
          <w:b/>
          <w:color w:val="auto"/>
          <w:sz w:val="24"/>
          <w:szCs w:val="24"/>
          <w:highlight w:val="none"/>
        </w:rPr>
        <w:t xml:space="preserve">。多家投标人提供的核心产品品牌相同的，按前两款规定处理。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.7投标人在开、评标全过程中应保持通讯畅通，及时登录苏采云系统查阅</w:t>
      </w:r>
      <w:r>
        <w:rPr>
          <w:rFonts w:ascii="宋体" w:hAnsi="宋体"/>
          <w:color w:val="auto"/>
          <w:sz w:val="24"/>
          <w:szCs w:val="24"/>
          <w:highlight w:val="none"/>
        </w:rPr>
        <w:t xml:space="preserve">、答复相关</w:t>
      </w:r>
      <w:r>
        <w:rPr>
          <w:rFonts w:hint="eastAsia" w:ascii="宋体" w:hAnsi="宋体"/>
          <w:color w:val="auto"/>
          <w:sz w:val="24"/>
          <w:szCs w:val="24"/>
          <w:highlight w:val="none"/>
        </w:rPr>
        <w:t xml:space="preserve">信息</w:t>
      </w:r>
      <w:r>
        <w:rPr>
          <w:rFonts w:ascii="宋体" w:hAnsi="宋体"/>
          <w:color w:val="auto"/>
          <w:sz w:val="24"/>
          <w:szCs w:val="24"/>
          <w:highlight w:val="none"/>
        </w:rPr>
        <w:t xml:space="preserve">，</w:t>
      </w:r>
      <w:r>
        <w:rPr>
          <w:rFonts w:hint="eastAsia" w:ascii="宋体" w:hAnsi="宋体"/>
          <w:color w:val="auto"/>
          <w:sz w:val="24"/>
          <w:szCs w:val="24"/>
          <w:highlight w:val="none"/>
        </w:rPr>
        <w:t xml:space="preserve">并安排专人与采购人或采购代理机构及评标委员会联系。</w:t>
      </w:r>
      <w:r/>
    </w:p>
    <w:p>
      <w:pPr>
        <w:ind w:firstLine="482"/>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25.8 异常低价投标审查</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25.8.1 评标过程中出现下列情形之一的，评标委员会应当启动异常低价投标审查程序：</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（3）投标（响应）报价低于采购项目最高限价45%的，即投标（响应）报价&lt;采购项目最高限价×45%；</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（4）评标委员会基于专业判断，认为供应商报价过低，有可能影响产品质量或者不能诚信履约的其他情形。</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25.8.2启动异常低价投标审查后，评标委员会将通过苏采云系统要求相关供应商在合理的时间内（一般不少于30分钟），提供项目具体成本测算等与报价合理性相关的书面说明及相关证明材料，对投标价格作出解释，由</w:t>
      </w:r>
      <w:r>
        <w:rPr>
          <w:rFonts w:hint="eastAsia" w:ascii="宋体" w:hAnsi="宋体"/>
          <w:bCs/>
          <w:color w:val="auto"/>
          <w:sz w:val="24"/>
          <w:szCs w:val="21"/>
          <w:highlight w:val="none"/>
        </w:rPr>
        <w:t xml:space="preserve">评标委员会</w:t>
      </w:r>
      <w:r>
        <w:rPr>
          <w:rFonts w:hint="eastAsia" w:ascii="宋体" w:hAnsi="宋体"/>
          <w:bCs/>
          <w:color w:val="auto"/>
          <w:sz w:val="24"/>
          <w:szCs w:val="24"/>
          <w:highlight w:val="none"/>
        </w:rPr>
        <w:t xml:space="preserve">结合同类产品在主要电商平台的价格、该行业当地薪资水平等情况，依据专业经验对供应商报价合理性进行判断。投标供应商不提供书面说明、证明材料，或者提供的书面说明、证明材料不能证明其报价合理性的，</w:t>
      </w:r>
      <w:r>
        <w:rPr>
          <w:rFonts w:hint="eastAsia" w:ascii="宋体" w:hAnsi="宋体"/>
          <w:bCs/>
          <w:color w:val="auto"/>
          <w:sz w:val="24"/>
          <w:szCs w:val="21"/>
          <w:highlight w:val="none"/>
        </w:rPr>
        <w:t xml:space="preserve">评标委员会</w:t>
      </w:r>
      <w:r>
        <w:rPr>
          <w:rFonts w:hint="eastAsia" w:ascii="宋体" w:hAnsi="宋体"/>
          <w:bCs/>
          <w:color w:val="auto"/>
          <w:sz w:val="24"/>
          <w:szCs w:val="24"/>
          <w:highlight w:val="none"/>
        </w:rPr>
        <w:t xml:space="preserve">应当将其作为无效投标处理。审查相关情况应当在评审报告中进行记录。</w:t>
      </w:r>
      <w:r/>
    </w:p>
    <w:p>
      <w:pPr>
        <w:ind w:firstLine="482"/>
        <w:keepLines/>
        <w:keepNext/>
        <w:spacing w:line="440" w:lineRule="exact"/>
        <w:rPr>
          <w:rFonts w:ascii="宋体" w:hAnsi="宋体" w:cs="Arial"/>
          <w:b/>
          <w:color w:val="auto"/>
          <w:sz w:val="24"/>
          <w:szCs w:val="24"/>
          <w:highlight w:val="none"/>
        </w:rPr>
      </w:pPr>
      <w:r>
        <w:rPr>
          <w:rFonts w:hint="eastAsia" w:ascii="宋体" w:hAnsi="宋体" w:cs="Arial"/>
          <w:b/>
          <w:color w:val="auto"/>
          <w:sz w:val="24"/>
          <w:szCs w:val="24"/>
          <w:highlight w:val="none"/>
        </w:rPr>
        <w:t xml:space="preserve">2</w:t>
      </w:r>
      <w:r>
        <w:rPr>
          <w:rFonts w:ascii="宋体" w:hAnsi="宋体" w:cs="Arial"/>
          <w:b/>
          <w:color w:val="auto"/>
          <w:sz w:val="24"/>
          <w:szCs w:val="24"/>
          <w:highlight w:val="none"/>
        </w:rPr>
        <w:t xml:space="preserve">6</w:t>
      </w:r>
      <w:r>
        <w:rPr>
          <w:rFonts w:hint="eastAsia" w:ascii="宋体" w:hAnsi="宋体" w:cs="Arial"/>
          <w:b/>
          <w:color w:val="auto"/>
          <w:sz w:val="24"/>
          <w:szCs w:val="24"/>
          <w:highlight w:val="none"/>
        </w:rPr>
        <w:t xml:space="preserve">、</w:t>
      </w:r>
      <w:bookmarkEnd w:id="145"/>
      <w:r/>
      <w:bookmarkEnd w:id="146"/>
      <w:r/>
      <w:bookmarkEnd w:id="147"/>
      <w:r>
        <w:rPr>
          <w:rFonts w:hint="eastAsia" w:ascii="宋体" w:hAnsi="宋体" w:cs="Arial"/>
          <w:b/>
          <w:color w:val="auto"/>
          <w:sz w:val="24"/>
          <w:szCs w:val="24"/>
          <w:highlight w:val="none"/>
        </w:rPr>
        <w:t xml:space="preserve">无效投标条款和废标条款</w:t>
      </w:r>
      <w:r/>
    </w:p>
    <w:p>
      <w:pPr>
        <w:ind w:firstLine="480"/>
        <w:spacing w:line="440" w:lineRule="exact"/>
        <w:rPr>
          <w:rFonts w:ascii="宋体" w:hAnsi="宋体"/>
          <w:bCs/>
          <w:color w:val="auto"/>
          <w:sz w:val="24"/>
          <w:szCs w:val="24"/>
          <w:highlight w:val="none"/>
        </w:rPr>
      </w:pPr>
      <w:r/>
      <w:bookmarkStart w:id="148" w:name="_Toc513029235"/>
      <w:r/>
      <w:bookmarkStart w:id="149" w:name="_Toc16938551"/>
      <w:r/>
      <w:bookmarkStart w:id="150" w:name="_Toc20823307"/>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.1无效投标条款</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.1.1 投标人在</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规定的时间内未成功解密电子投标文件的。</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投标人未按照招标文件要求上传电子投标文件的。</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投标人同一</w:t>
      </w:r>
      <w:r>
        <w:rPr>
          <w:rFonts w:ascii="宋体" w:hAnsi="宋体"/>
          <w:bCs/>
          <w:color w:val="auto"/>
          <w:sz w:val="24"/>
          <w:szCs w:val="24"/>
          <w:highlight w:val="none"/>
        </w:rPr>
        <w:t xml:space="preserve">采购包</w:t>
      </w:r>
      <w:r>
        <w:rPr>
          <w:rFonts w:hint="eastAsia" w:ascii="宋体" w:hAnsi="宋体"/>
          <w:bCs/>
          <w:color w:val="auto"/>
          <w:sz w:val="24"/>
          <w:szCs w:val="24"/>
          <w:highlight w:val="none"/>
        </w:rPr>
        <w:t xml:space="preserve">提交两个</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含</w:t>
      </w:r>
      <w:r>
        <w:rPr>
          <w:rFonts w:ascii="宋体" w:hAnsi="宋体"/>
          <w:bCs/>
          <w:color w:val="auto"/>
          <w:sz w:val="24"/>
          <w:szCs w:val="24"/>
          <w:highlight w:val="none"/>
        </w:rPr>
        <w:t xml:space="preserve">两个）</w:t>
      </w:r>
      <w:r>
        <w:rPr>
          <w:rFonts w:hint="eastAsia" w:ascii="宋体" w:hAnsi="宋体"/>
          <w:bCs/>
          <w:color w:val="auto"/>
          <w:sz w:val="24"/>
          <w:szCs w:val="24"/>
          <w:highlight w:val="none"/>
        </w:rPr>
        <w:t xml:space="preserve">以上不同的</w:t>
      </w:r>
      <w:r>
        <w:rPr>
          <w:rFonts w:ascii="宋体" w:hAnsi="宋体"/>
          <w:bCs/>
          <w:color w:val="auto"/>
          <w:sz w:val="24"/>
          <w:szCs w:val="24"/>
          <w:highlight w:val="none"/>
        </w:rPr>
        <w:t xml:space="preserve">投标报价的。</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投标人不具备招标文件中规定资格要求的。</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投标人的报价超过了采购预算或最高限价的。</w:t>
      </w:r>
      <w:r/>
    </w:p>
    <w:p>
      <w:pPr>
        <w:ind w:firstLine="480"/>
        <w:spacing w:line="440" w:lineRule="exact"/>
        <w:rPr>
          <w:rFonts w:ascii="宋体" w:hAnsi="宋体"/>
          <w:bCs/>
          <w:i/>
          <w:color w:val="auto"/>
          <w:sz w:val="24"/>
          <w:szCs w:val="24"/>
          <w:highlight w:val="none"/>
          <w:u w:val="singl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未通过符合性审查的。</w:t>
      </w:r>
      <w:r/>
    </w:p>
    <w:p>
      <w:pPr>
        <w:ind w:firstLine="480"/>
        <w:spacing w:line="440" w:lineRule="exact"/>
        <w:rPr>
          <w:rFonts w:ascii="宋体" w:hAnsi="宋体"/>
          <w:bCs/>
          <w:i/>
          <w:color w:val="auto"/>
          <w:sz w:val="24"/>
          <w:szCs w:val="24"/>
          <w:highlight w:val="none"/>
          <w:u w:val="singl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7</w:t>
      </w:r>
      <w:r>
        <w:rPr>
          <w:rFonts w:hint="eastAsia" w:ascii="宋体" w:hAnsi="宋体"/>
          <w:bCs/>
          <w:color w:val="auto"/>
          <w:sz w:val="24"/>
          <w:szCs w:val="21"/>
          <w:highlight w:val="none"/>
        </w:rPr>
        <w:t xml:space="preserve">不符合招标文件中规定的实质性要求和条件的。</w:t>
      </w:r>
      <w:r>
        <w:rPr>
          <w:rFonts w:hint="eastAsia" w:ascii="宋体" w:hAnsi="宋体"/>
          <w:b/>
          <w:bCs/>
          <w:color w:val="auto"/>
          <w:sz w:val="24"/>
          <w:szCs w:val="21"/>
          <w:highlight w:val="none"/>
        </w:rPr>
        <w:t xml:space="preserve">（本招标文件中加</w:t>
      </w:r>
      <w:r>
        <w:rPr>
          <w:rFonts w:hint="eastAsia" w:ascii="宋体" w:hAnsi="宋体"/>
          <w:bCs/>
          <w:color w:val="auto"/>
          <w:sz w:val="24"/>
          <w:szCs w:val="24"/>
          <w:highlight w:val="none"/>
        </w:rPr>
        <w:t xml:space="preserve">★</w:t>
      </w:r>
      <w:r>
        <w:rPr>
          <w:rFonts w:hint="eastAsia" w:ascii="宋体" w:hAnsi="宋体"/>
          <w:b/>
          <w:bCs/>
          <w:color w:val="auto"/>
          <w:sz w:val="24"/>
          <w:szCs w:val="21"/>
          <w:highlight w:val="none"/>
        </w:rPr>
        <w:t xml:space="preserve">号条款为实质性要求）</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 投标文件含有采购人不能接受的附加条件的。</w:t>
      </w:r>
      <w:r/>
    </w:p>
    <w:p>
      <w:pPr>
        <w:ind w:firstLine="482"/>
        <w:spacing w:line="440" w:lineRule="exact"/>
        <w:rPr>
          <w:rFonts w:ascii="宋体" w:hAnsi="宋体"/>
          <w:color w:val="auto"/>
          <w:sz w:val="24"/>
          <w:szCs w:val="24"/>
          <w:highlight w:val="none"/>
        </w:rPr>
      </w:pPr>
      <w:r>
        <w:rPr>
          <w:rFonts w:hint="eastAsia" w:ascii="宋体" w:hAnsi="宋体"/>
          <w:b/>
          <w:color w:val="auto"/>
          <w:sz w:val="24"/>
          <w:szCs w:val="24"/>
          <w:highlight w:val="none"/>
        </w:rPr>
        <w:t xml:space="preserve">26.1.10</w:t>
      </w:r>
      <w:r>
        <w:rPr>
          <w:rFonts w:hint="eastAsia" w:ascii="宋体" w:hAnsi="宋体"/>
          <w:bCs/>
          <w:color w:val="auto"/>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26.1.11</w:t>
      </w:r>
      <w:r>
        <w:rPr>
          <w:rFonts w:hint="eastAsia" w:ascii="宋体" w:hAnsi="宋体"/>
          <w:b/>
          <w:bCs/>
          <w:color w:val="auto"/>
          <w:sz w:val="24"/>
          <w:szCs w:val="21"/>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26.1.12 投标文件未按照招标文件要求加盖CA电子公章的。</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26.1.13 投标人所投标产品不符合招标文件中所列国家强制性标准的。</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.1.14其他法律、法规及本招标文件规定的属无效投标的情形。</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.2废标条款 </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.2.1符合专业条件的供应商或者对招标文件作实质响应的供应商不足三</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家的。</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.2.2出现影响采购公正的违法、违规行为的。</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.2.3因重大变故，采购任务取消的。</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.2.4评标委员会认定招标文件存在歧义、重大缺陷导致评审工作无法进</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行。</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.2.5 因</w:t>
      </w:r>
      <w:r>
        <w:rPr>
          <w:rFonts w:hint="eastAsia" w:ascii="宋体" w:hAnsi="宋体"/>
          <w:color w:val="auto"/>
          <w:sz w:val="24"/>
          <w:szCs w:val="24"/>
          <w:highlight w:val="none"/>
        </w:rPr>
        <w:t xml:space="preserve">苏采云</w:t>
      </w:r>
      <w:r>
        <w:rPr>
          <w:rFonts w:ascii="宋体" w:hAnsi="宋体"/>
          <w:bCs/>
          <w:color w:val="auto"/>
          <w:sz w:val="24"/>
          <w:szCs w:val="24"/>
          <w:highlight w:val="none"/>
        </w:rPr>
        <w:t xml:space="preserve">系统故障原因造成开标不成功</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.3 投标截止时间结束后参加投标的供应商不足三家的处理：</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440" w:lineRule="exact"/>
        <w:rPr>
          <w:rFonts w:ascii="宋体" w:hAnsi="宋体"/>
          <w:b/>
          <w:bCs/>
          <w:color w:val="auto"/>
          <w:sz w:val="24"/>
          <w:szCs w:val="24"/>
          <w:highlight w:val="none"/>
        </w:rPr>
      </w:pPr>
      <w:r/>
      <w:bookmarkStart w:id="151" w:name="_Toc120614219"/>
      <w:r>
        <w:rPr>
          <w:rFonts w:hint="eastAsia" w:ascii="宋体" w:hAnsi="宋体"/>
          <w:b/>
          <w:bCs/>
          <w:color w:val="auto"/>
          <w:sz w:val="24"/>
          <w:szCs w:val="24"/>
          <w:highlight w:val="none"/>
        </w:rPr>
        <w:t xml:space="preserve">六、</w:t>
      </w:r>
      <w:bookmarkEnd w:id="148"/>
      <w:r/>
      <w:bookmarkEnd w:id="149"/>
      <w:r/>
      <w:bookmarkEnd w:id="150"/>
      <w:r>
        <w:rPr>
          <w:rFonts w:hint="eastAsia" w:ascii="宋体" w:hAnsi="宋体"/>
          <w:b/>
          <w:bCs/>
          <w:color w:val="auto"/>
          <w:sz w:val="24"/>
          <w:szCs w:val="24"/>
          <w:highlight w:val="none"/>
        </w:rPr>
        <w:t xml:space="preserve">定标</w:t>
      </w:r>
      <w:bookmarkEnd w:id="151"/>
      <w:r/>
      <w:r/>
    </w:p>
    <w:p>
      <w:pPr>
        <w:ind w:firstLine="482"/>
        <w:keepLines/>
        <w:keepNext/>
        <w:spacing w:line="440" w:lineRule="exact"/>
        <w:rPr>
          <w:rFonts w:ascii="宋体" w:hAnsi="宋体"/>
          <w:b/>
          <w:bCs/>
          <w:color w:val="auto"/>
          <w:sz w:val="24"/>
          <w:szCs w:val="24"/>
          <w:highlight w:val="none"/>
        </w:rPr>
      </w:pPr>
      <w:r/>
      <w:bookmarkStart w:id="152" w:name="_Toc513029238"/>
      <w:r/>
      <w:bookmarkStart w:id="153" w:name="_Toc20823310"/>
      <w:r/>
      <w:bookmarkStart w:id="154" w:name="_Toc16938554"/>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7</w:t>
      </w:r>
      <w:r>
        <w:rPr>
          <w:rFonts w:hint="eastAsia" w:ascii="宋体" w:hAnsi="宋体"/>
          <w:b/>
          <w:bCs/>
          <w:color w:val="auto"/>
          <w:sz w:val="24"/>
          <w:szCs w:val="24"/>
          <w:highlight w:val="none"/>
        </w:rPr>
        <w:t xml:space="preserve">、</w:t>
      </w:r>
      <w:bookmarkEnd w:id="152"/>
      <w:r>
        <w:rPr>
          <w:rFonts w:hint="eastAsia" w:ascii="宋体" w:hAnsi="宋体"/>
          <w:b/>
          <w:bCs/>
          <w:color w:val="auto"/>
          <w:sz w:val="24"/>
          <w:szCs w:val="24"/>
          <w:highlight w:val="none"/>
        </w:rPr>
        <w:t xml:space="preserve">确定</w:t>
      </w:r>
      <w:bookmarkEnd w:id="153"/>
      <w:r/>
      <w:bookmarkEnd w:id="154"/>
      <w:r>
        <w:rPr>
          <w:rFonts w:hint="eastAsia" w:ascii="宋体" w:hAnsi="宋体"/>
          <w:b/>
          <w:bCs/>
          <w:color w:val="auto"/>
          <w:sz w:val="24"/>
          <w:szCs w:val="24"/>
          <w:highlight w:val="none"/>
        </w:rPr>
        <w:t xml:space="preserve">中标单位</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27.1中标候选人的选取原则和数量见招标文件第四章规定。 </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27.2采购人应根据评委会推荐的中标候选人确定中标供应商。</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采购代理机构将在“江苏政府采购网”发布中标公告，公告期限为1个工作日。</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27.4 若有充分证据证明，中标供应商出现下列情况之一的，一经查实，将被取消中标资格：</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27.4.2向采购人、采购代理机构行贿或者提供其他不正当利益的。</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27.4.3属于本文件规定的无效条件，但在评标过程中又未被评委会发现的。</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440" w:lineRule="exact"/>
        <w:rPr>
          <w:rFonts w:ascii="宋体" w:hAnsi="宋体"/>
          <w:color w:val="auto"/>
          <w:sz w:val="24"/>
          <w:szCs w:val="24"/>
          <w:highlight w:val="none"/>
        </w:rPr>
      </w:pPr>
      <w:r/>
      <w:bookmarkStart w:id="155" w:name="_Toc200451960"/>
      <w:r>
        <w:rPr>
          <w:rFonts w:hint="eastAsia" w:ascii="宋体" w:hAnsi="宋体"/>
          <w:color w:val="auto"/>
          <w:sz w:val="24"/>
          <w:szCs w:val="24"/>
          <w:highlight w:val="none"/>
        </w:rPr>
        <w:t xml:space="preserve">27.5 </w:t>
      </w:r>
      <w:r>
        <w:rPr>
          <w:rFonts w:ascii="宋体" w:hAnsi="宋体" w:cs="宋体"/>
          <w:color w:val="auto"/>
          <w:sz w:val="24"/>
          <w:szCs w:val="24"/>
          <w:highlight w:val="none"/>
        </w:rPr>
        <w:t xml:space="preserve">有下列情形之一的，</w:t>
      </w:r>
      <w:r>
        <w:rPr>
          <w:rFonts w:hint="eastAsia" w:ascii="宋体" w:hAnsi="宋体" w:cs="宋体"/>
          <w:color w:val="auto"/>
          <w:sz w:val="24"/>
          <w:szCs w:val="24"/>
          <w:highlight w:val="none"/>
        </w:rPr>
        <w:t xml:space="preserve">视为投标人</w:t>
      </w:r>
      <w:r>
        <w:rPr>
          <w:rFonts w:ascii="宋体" w:hAnsi="宋体" w:cs="宋体"/>
          <w:color w:val="auto"/>
          <w:sz w:val="24"/>
          <w:szCs w:val="24"/>
          <w:highlight w:val="none"/>
        </w:rPr>
        <w:t xml:space="preserve">串通</w:t>
      </w:r>
      <w:r>
        <w:rPr>
          <w:rFonts w:hint="eastAsia" w:ascii="宋体" w:hAnsi="宋体" w:cs="宋体"/>
          <w:color w:val="auto"/>
          <w:sz w:val="24"/>
          <w:szCs w:val="24"/>
          <w:highlight w:val="none"/>
        </w:rPr>
        <w:t xml:space="preserve">投标，投标无效：</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28.5.5不同投标人的投标文件相互混装。</w:t>
      </w:r>
      <w:r/>
    </w:p>
    <w:p>
      <w:pPr>
        <w:ind w:firstLine="482"/>
        <w:keepLines/>
        <w:keepNext/>
        <w:spacing w:line="440" w:lineRule="exact"/>
        <w:rPr>
          <w:rFonts w:ascii="宋体" w:hAnsi="宋体"/>
          <w:b/>
          <w:bCs/>
          <w:color w:val="auto"/>
          <w:sz w:val="24"/>
          <w:szCs w:val="24"/>
          <w:highlight w:val="none"/>
        </w:rPr>
      </w:pPr>
      <w:r>
        <w:rPr>
          <w:rFonts w:ascii="宋体" w:hAnsi="宋体"/>
          <w:b/>
          <w:bCs/>
          <w:color w:val="auto"/>
          <w:sz w:val="24"/>
          <w:szCs w:val="24"/>
          <w:highlight w:val="none"/>
        </w:rPr>
        <w:t xml:space="preserve">28</w:t>
      </w:r>
      <w:r>
        <w:rPr>
          <w:rFonts w:hint="eastAsia" w:ascii="宋体" w:hAnsi="宋体"/>
          <w:b/>
          <w:bCs/>
          <w:color w:val="auto"/>
          <w:sz w:val="24"/>
          <w:szCs w:val="24"/>
          <w:highlight w:val="none"/>
        </w:rPr>
        <w:t xml:space="preserve">、质疑处理</w:t>
      </w:r>
      <w:bookmarkEnd w:id="155"/>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jc w:val="left"/>
        <w:spacing w:line="440" w:lineRule="exact"/>
        <w:rPr>
          <w:rFonts w:ascii="宋体" w:hAnsi="宋体" w:cs="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2.1</w:t>
      </w:r>
      <w:r>
        <w:rPr>
          <w:rFonts w:ascii="宋体" w:hAnsi="宋体" w:cs="宋体"/>
          <w:color w:val="auto"/>
          <w:sz w:val="24"/>
          <w:szCs w:val="24"/>
          <w:highlight w:val="none"/>
        </w:rPr>
        <w:t xml:space="preserve">对可以质疑的采购文件提出质疑的，为收到采购文件之日或者采购文件公告期限届满之日；</w:t>
      </w:r>
      <w:r>
        <w:rPr>
          <w:rFonts w:ascii="宋体" w:hAnsi="宋体" w:cs="宋体"/>
          <w:color w:val="auto"/>
          <w:sz w:val="24"/>
          <w:szCs w:val="24"/>
          <w:highlight w:val="none"/>
        </w:rPr>
        <w:br w:type="textWrapping" w:clear="all"/>
      </w:r>
      <w:r>
        <w:rPr>
          <w:rFonts w:ascii="宋体" w:hAnsi="宋体" w:cs="宋体"/>
          <w:color w:val="auto"/>
          <w:sz w:val="24"/>
          <w:szCs w:val="24"/>
          <w:highlight w:val="none"/>
        </w:rPr>
        <w:t xml:space="preserve">　　</w:t>
      </w:r>
      <w:r>
        <w:rPr>
          <w:rFonts w:ascii="宋体" w:hAnsi="宋体"/>
          <w:color w:val="auto"/>
          <w:sz w:val="24"/>
          <w:szCs w:val="24"/>
          <w:highlight w:val="none"/>
        </w:rPr>
        <w:t xml:space="preserve">28.</w:t>
      </w:r>
      <w:r>
        <w:rPr>
          <w:rFonts w:hint="eastAsia" w:ascii="宋体" w:hAnsi="宋体"/>
          <w:color w:val="auto"/>
          <w:sz w:val="24"/>
          <w:szCs w:val="24"/>
          <w:highlight w:val="none"/>
        </w:rPr>
        <w:t xml:space="preserve">2.2</w:t>
      </w:r>
      <w:r>
        <w:rPr>
          <w:rFonts w:ascii="宋体" w:hAnsi="宋体" w:cs="宋体"/>
          <w:color w:val="auto"/>
          <w:sz w:val="24"/>
          <w:szCs w:val="24"/>
          <w:highlight w:val="none"/>
        </w:rPr>
        <w:t xml:space="preserve">对采购过程提出质疑的，为各采购程序环节结束之日；</w:t>
      </w:r>
      <w:r>
        <w:rPr>
          <w:rFonts w:ascii="宋体" w:hAnsi="宋体" w:cs="宋体"/>
          <w:color w:val="auto"/>
          <w:sz w:val="24"/>
          <w:szCs w:val="24"/>
          <w:highlight w:val="none"/>
        </w:rPr>
        <w:br w:type="textWrapping" w:clear="all"/>
      </w:r>
      <w:r>
        <w:rPr>
          <w:rFonts w:ascii="宋体" w:hAnsi="宋体" w:cs="宋体"/>
          <w:color w:val="auto"/>
          <w:sz w:val="24"/>
          <w:szCs w:val="24"/>
          <w:highlight w:val="none"/>
        </w:rPr>
        <w:t xml:space="preserve">　　</w:t>
      </w:r>
      <w:r>
        <w:rPr>
          <w:rFonts w:ascii="宋体" w:hAnsi="宋体"/>
          <w:color w:val="auto"/>
          <w:sz w:val="24"/>
          <w:szCs w:val="24"/>
          <w:highlight w:val="none"/>
        </w:rPr>
        <w:t xml:space="preserve">28.</w:t>
      </w:r>
      <w:r>
        <w:rPr>
          <w:rFonts w:hint="eastAsia" w:ascii="宋体" w:hAnsi="宋体"/>
          <w:color w:val="auto"/>
          <w:sz w:val="24"/>
          <w:szCs w:val="24"/>
          <w:highlight w:val="none"/>
        </w:rPr>
        <w:t xml:space="preserve">2.3</w:t>
      </w:r>
      <w:r>
        <w:rPr>
          <w:rFonts w:ascii="宋体" w:hAnsi="宋体" w:cs="宋体"/>
          <w:color w:val="auto"/>
          <w:sz w:val="24"/>
          <w:szCs w:val="24"/>
          <w:highlight w:val="none"/>
        </w:rPr>
        <w:t xml:space="preserve">对中标或者成交结果提出质疑的，为中标或者成交结果公告期限届满之日。</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s="宋体"/>
          <w:color w:val="auto"/>
          <w:sz w:val="24"/>
          <w:szCs w:val="24"/>
          <w:highlight w:val="none"/>
        </w:rPr>
        <w:t xml:space="preserve">采购人</w:t>
      </w:r>
      <w:r>
        <w:rPr>
          <w:rFonts w:hint="eastAsia" w:ascii="宋体" w:hAnsi="宋体" w:cs="宋体"/>
          <w:color w:val="auto"/>
          <w:sz w:val="24"/>
          <w:szCs w:val="24"/>
          <w:highlight w:val="none"/>
        </w:rPr>
        <w:t xml:space="preserve">将只对供应商第一次质疑作出答复。</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40" w:lineRule="exact"/>
        <w:rPr>
          <w:rFonts w:ascii="宋体" w:hAnsi="宋体"/>
          <w:b/>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4采购人负责供应商质疑答复。供应商（含潜在供应商）对采购方式、招标文件中采购需求、供应商资格条件、评标方法和评标标准、合同文本及资格审查结果的询问、质疑请向采购人提出，由采购人负责答复。关于评审方面的质疑，采购人可以组织原评标委员会协助答复质疑。</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采购人或采购代理机构只接收以纸质原件形式送达的质疑,建议供应商尽量通过邮寄方式提交质疑（采购人或采购代理机构不接受未填写快递运单的快件）。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采购人及采购代理机构质疑接收人及联系方式见本招标文件第一章。</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 以下情形的质疑不予受理</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5.1 内容不符合《政府采购质疑和投诉办法》第十二条规定的质疑。</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5.2 超出政府采购法定期限的质疑。</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5.3 以传真、电子邮件等方式递交的非原件形式的质疑。</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5.4 未参加投标活动的供应商或在投标活动中自身权益未受到损害的供应商所提出的质疑。</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keepLines/>
        <w:keepNext/>
        <w:spacing w:line="440" w:lineRule="exact"/>
        <w:rPr>
          <w:rFonts w:ascii="宋体" w:hAnsi="宋体"/>
          <w:b/>
          <w:bCs/>
          <w:color w:val="auto"/>
          <w:sz w:val="24"/>
          <w:szCs w:val="24"/>
          <w:highlight w:val="none"/>
        </w:rPr>
      </w:pPr>
      <w:r>
        <w:rPr>
          <w:rFonts w:ascii="宋体" w:hAnsi="宋体"/>
          <w:b/>
          <w:bCs/>
          <w:color w:val="auto"/>
          <w:sz w:val="24"/>
          <w:szCs w:val="24"/>
          <w:highlight w:val="none"/>
        </w:rPr>
        <w:t xml:space="preserve">29</w:t>
      </w:r>
      <w:r>
        <w:rPr>
          <w:rFonts w:hint="eastAsia" w:ascii="宋体" w:hAnsi="宋体"/>
          <w:b/>
          <w:bCs/>
          <w:color w:val="auto"/>
          <w:sz w:val="24"/>
          <w:szCs w:val="24"/>
          <w:highlight w:val="none"/>
        </w:rPr>
        <w:t xml:space="preserve">、中标通知书</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l中标结果确定后，采购人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82"/>
        <w:keepLines/>
        <w:keepNext/>
        <w:spacing w:line="440" w:lineRule="exact"/>
        <w:rPr>
          <w:rFonts w:ascii="宋体" w:hAnsi="宋体"/>
          <w:b/>
          <w:bCs/>
          <w:color w:val="auto"/>
          <w:sz w:val="24"/>
          <w:szCs w:val="24"/>
          <w:highlight w:val="none"/>
        </w:rPr>
      </w:pPr>
      <w:r/>
      <w:bookmarkStart w:id="156" w:name="_Toc513029236"/>
      <w:r/>
      <w:bookmarkStart w:id="157" w:name="_Toc16938552"/>
      <w:r/>
      <w:bookmarkStart w:id="158" w:name="_Toc20823308"/>
      <w:r/>
      <w:bookmarkStart w:id="159" w:name="_Toc120614220"/>
      <w:r>
        <w:rPr>
          <w:rFonts w:hint="eastAsia" w:ascii="宋体" w:hAnsi="宋体"/>
          <w:b/>
          <w:bCs/>
          <w:color w:val="auto"/>
          <w:sz w:val="24"/>
          <w:szCs w:val="24"/>
          <w:highlight w:val="none"/>
        </w:rPr>
        <w:t xml:space="preserve">七、授予合同</w:t>
      </w:r>
      <w:bookmarkEnd w:id="156"/>
      <w:r/>
      <w:bookmarkEnd w:id="157"/>
      <w:r/>
      <w:bookmarkEnd w:id="158"/>
      <w:r/>
      <w:bookmarkEnd w:id="159"/>
      <w:r/>
      <w:r/>
    </w:p>
    <w:p>
      <w:pPr>
        <w:ind w:firstLine="482"/>
        <w:keepLines/>
        <w:keepNext/>
        <w:spacing w:line="440" w:lineRule="exact"/>
        <w:rPr>
          <w:rFonts w:ascii="宋体" w:hAnsi="宋体"/>
          <w:b/>
          <w:bCs/>
          <w:color w:val="auto"/>
          <w:sz w:val="24"/>
          <w:szCs w:val="24"/>
          <w:highlight w:val="none"/>
        </w:rPr>
      </w:pPr>
      <w:r/>
      <w:bookmarkStart w:id="160" w:name="_Toc513029237"/>
      <w:r/>
      <w:bookmarkStart w:id="161" w:name="_Toc20823309"/>
      <w:r/>
      <w:bookmarkStart w:id="162" w:name="_Toc16938553"/>
      <w:r>
        <w:rPr>
          <w:rFonts w:hint="eastAsia" w:ascii="宋体" w:hAnsi="宋体"/>
          <w:b/>
          <w:bCs/>
          <w:color w:val="auto"/>
          <w:sz w:val="24"/>
          <w:szCs w:val="24"/>
          <w:highlight w:val="none"/>
        </w:rPr>
        <w:t xml:space="preserve">3</w:t>
      </w:r>
      <w:r>
        <w:rPr>
          <w:rFonts w:ascii="宋体" w:hAnsi="宋体"/>
          <w:b/>
          <w:bCs/>
          <w:color w:val="auto"/>
          <w:sz w:val="24"/>
          <w:szCs w:val="24"/>
          <w:highlight w:val="none"/>
        </w:rPr>
        <w:t xml:space="preserve">0</w:t>
      </w:r>
      <w:r>
        <w:rPr>
          <w:rFonts w:hint="eastAsia" w:ascii="宋体" w:hAnsi="宋体"/>
          <w:b/>
          <w:bCs/>
          <w:color w:val="auto"/>
          <w:sz w:val="24"/>
          <w:szCs w:val="24"/>
          <w:highlight w:val="none"/>
        </w:rPr>
        <w:t xml:space="preserve">、签订合同</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30.</w:t>
      </w:r>
      <w:r>
        <w:rPr>
          <w:rFonts w:hint="eastAsia" w:ascii="宋体" w:hAnsi="宋体"/>
          <w:color w:val="auto"/>
          <w:sz w:val="24"/>
          <w:szCs w:val="24"/>
          <w:highlight w:val="none"/>
        </w:rPr>
        <w:t xml:space="preserve">l中标供应商应当在中标通知书发出之日起三十日内，按照招标文件确定的事项与采购人签订政府采购合同。</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30.2招标文件、中标供应商的投标文件及招标过程中有关澄清、承诺文件均应作为合同附件。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2"/>
        <w:keepLines/>
        <w:keepNext/>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3</w:t>
      </w: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、货物（包含与货物相关的服务）的追加</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0"/>
      <w:r/>
      <w:bookmarkEnd w:id="161"/>
      <w:r/>
      <w:bookmarkEnd w:id="162"/>
      <w:r/>
      <w:r/>
    </w:p>
    <w:p>
      <w:pPr>
        <w:ind w:firstLine="482"/>
        <w:keepLines/>
        <w:keepNext/>
        <w:spacing w:line="440" w:lineRule="exact"/>
        <w:rPr>
          <w:rFonts w:ascii="宋体" w:hAnsi="宋体"/>
          <w:b/>
          <w:bCs/>
          <w:color w:val="auto"/>
          <w:sz w:val="24"/>
          <w:szCs w:val="24"/>
          <w:highlight w:val="none"/>
        </w:rPr>
      </w:pPr>
      <w:r/>
      <w:bookmarkStart w:id="163" w:name="_Toc479757207"/>
      <w:r/>
      <w:bookmarkStart w:id="164" w:name="_Toc16938558"/>
      <w:r/>
      <w:bookmarkStart w:id="165" w:name="_Toc513029242"/>
      <w:r/>
      <w:bookmarkStart w:id="166" w:name="_Toc20823314"/>
      <w:r/>
      <w:bookmarkStart w:id="167" w:name="_Toc120614221"/>
      <w:r>
        <w:rPr>
          <w:rFonts w:hint="eastAsia" w:ascii="宋体" w:hAnsi="宋体"/>
          <w:b/>
          <w:bCs/>
          <w:color w:val="auto"/>
          <w:sz w:val="24"/>
          <w:szCs w:val="24"/>
          <w:highlight w:val="none"/>
        </w:rPr>
        <w:t xml:space="preserve">3</w:t>
      </w: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、政府采购履约资金扶持政策</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中标供应商可凭政府采购合同办理融资贷款，详情请见江苏政府采购网“政采贷”专栏。</w:t>
      </w:r>
      <w:r/>
    </w:p>
    <w:p>
      <w:pPr>
        <w:ind w:firstLine="420"/>
        <w:spacing w:line="400" w:lineRule="exact"/>
        <w:rPr>
          <w:color w:val="auto"/>
          <w:szCs w:val="21"/>
          <w:highlight w:val="none"/>
        </w:rPr>
      </w:pPr>
      <w:r>
        <w:rPr>
          <w:color w:val="auto"/>
          <w:szCs w:val="21"/>
          <w:highlight w:val="none"/>
        </w:rPr>
      </w:r>
      <w:r/>
    </w:p>
    <w:p>
      <w:pPr>
        <w:spacing w:line="500" w:lineRule="exact"/>
        <w:rPr>
          <w:rFonts w:ascii="宋体" w:hAnsi="宋体"/>
          <w:bCs/>
          <w:color w:val="auto"/>
          <w:sz w:val="24"/>
          <w:szCs w:val="24"/>
          <w:highlight w:val="none"/>
        </w:rPr>
      </w:pPr>
      <w:r>
        <w:rPr>
          <w:rFonts w:ascii="宋体" w:hAnsi="宋体"/>
          <w:bCs/>
          <w:color w:val="auto"/>
          <w:sz w:val="24"/>
          <w:szCs w:val="24"/>
          <w:highlight w:val="none"/>
        </w:rPr>
      </w:r>
      <w:r/>
    </w:p>
    <w:p>
      <w:pPr>
        <w:ind w:firstLine="2640"/>
        <w:jc w:val="left"/>
        <w:rPr>
          <w:rFonts w:ascii="黑体" w:eastAsia="黑体"/>
          <w:bCs/>
          <w:color w:val="auto"/>
          <w:sz w:val="44"/>
          <w:szCs w:val="28"/>
          <w:highlight w:val="none"/>
        </w:rPr>
        <w:outlineLvl w:val="0"/>
      </w:pPr>
      <w:r>
        <w:rPr>
          <w:rFonts w:ascii="黑体" w:eastAsia="黑体"/>
          <w:bCs/>
          <w:color w:val="auto"/>
          <w:sz w:val="44"/>
          <w:szCs w:val="28"/>
          <w:highlight w:val="none"/>
        </w:rPr>
      </w:r>
      <w:r/>
    </w:p>
    <w:p>
      <w:pPr>
        <w:ind w:firstLine="2640"/>
        <w:jc w:val="left"/>
        <w:rPr>
          <w:rFonts w:ascii="黑体" w:eastAsia="黑体"/>
          <w:bCs/>
          <w:color w:val="auto"/>
          <w:sz w:val="44"/>
          <w:szCs w:val="28"/>
          <w:highlight w:val="none"/>
        </w:rPr>
        <w:outlineLvl w:val="0"/>
      </w:pPr>
      <w:r>
        <w:rPr>
          <w:rFonts w:ascii="黑体" w:eastAsia="黑体"/>
          <w:bCs/>
          <w:color w:val="auto"/>
          <w:sz w:val="44"/>
          <w:szCs w:val="28"/>
          <w:highlight w:val="none"/>
        </w:rPr>
      </w:r>
      <w:r/>
    </w:p>
    <w:p>
      <w:pPr>
        <w:ind w:firstLine="2640"/>
        <w:jc w:val="left"/>
        <w:rPr>
          <w:rFonts w:ascii="黑体" w:eastAsia="黑体"/>
          <w:bCs/>
          <w:color w:val="auto"/>
          <w:sz w:val="44"/>
          <w:szCs w:val="28"/>
          <w:highlight w:val="none"/>
        </w:rPr>
        <w:outlineLvl w:val="0"/>
      </w:pPr>
      <w:r>
        <w:rPr>
          <w:rFonts w:ascii="黑体" w:eastAsia="黑体"/>
          <w:bCs/>
          <w:color w:val="auto"/>
          <w:sz w:val="44"/>
          <w:szCs w:val="28"/>
          <w:highlight w:val="none"/>
        </w:rPr>
      </w:r>
      <w:r/>
    </w:p>
    <w:p>
      <w:pPr>
        <w:ind w:firstLine="2640"/>
        <w:jc w:val="left"/>
        <w:rPr>
          <w:rFonts w:ascii="黑体" w:eastAsia="黑体"/>
          <w:bCs/>
          <w:color w:val="auto"/>
          <w:sz w:val="44"/>
          <w:szCs w:val="28"/>
          <w:highlight w:val="none"/>
        </w:rPr>
        <w:outlineLvl w:val="0"/>
      </w:pPr>
      <w:r>
        <w:rPr>
          <w:rFonts w:ascii="黑体" w:eastAsia="黑体"/>
          <w:bCs/>
          <w:color w:val="auto"/>
          <w:sz w:val="44"/>
          <w:szCs w:val="28"/>
          <w:highlight w:val="none"/>
        </w:rPr>
      </w:r>
      <w:r/>
    </w:p>
    <w:p>
      <w:pPr>
        <w:ind w:firstLine="2640"/>
        <w:jc w:val="left"/>
        <w:rPr>
          <w:rFonts w:ascii="黑体" w:eastAsia="黑体"/>
          <w:bCs/>
          <w:color w:val="auto"/>
          <w:sz w:val="44"/>
          <w:szCs w:val="28"/>
          <w:highlight w:val="none"/>
        </w:rPr>
        <w:outlineLvl w:val="0"/>
      </w:pPr>
      <w:r>
        <w:rPr>
          <w:rFonts w:ascii="黑体" w:eastAsia="黑体"/>
          <w:bCs/>
          <w:color w:val="auto"/>
          <w:sz w:val="44"/>
          <w:szCs w:val="28"/>
          <w:highlight w:val="none"/>
        </w:rPr>
      </w:r>
      <w:r/>
    </w:p>
    <w:p>
      <w:pPr>
        <w:ind w:firstLine="2640"/>
        <w:jc w:val="left"/>
        <w:rPr>
          <w:rFonts w:ascii="黑体" w:eastAsia="黑体"/>
          <w:bCs/>
          <w:color w:val="auto"/>
          <w:sz w:val="44"/>
          <w:szCs w:val="28"/>
          <w:highlight w:val="none"/>
        </w:rPr>
        <w:outlineLvl w:val="0"/>
      </w:pPr>
      <w:r>
        <w:rPr>
          <w:rFonts w:ascii="黑体" w:eastAsia="黑体"/>
          <w:bCs/>
          <w:color w:val="auto"/>
          <w:sz w:val="44"/>
          <w:szCs w:val="28"/>
          <w:highlight w:val="none"/>
        </w:rPr>
      </w:r>
      <w:r/>
    </w:p>
    <w:p>
      <w:pPr>
        <w:jc w:val="center"/>
        <w:spacing w:before="120" w:after="120" w:line="0" w:lineRule="atLeast"/>
        <w:rPr>
          <w:rFonts w:ascii="宋体" w:hAnsi="宋体" w:cs="Courier New"/>
          <w:color w:val="auto"/>
          <w:sz w:val="32"/>
          <w:szCs w:val="32"/>
          <w:highlight w:val="none"/>
        </w:rPr>
      </w:pPr>
      <w:r>
        <w:rPr>
          <w:rFonts w:hint="eastAsia" w:ascii="黑体" w:eastAsia="黑体"/>
          <w:bCs/>
          <w:color w:val="auto"/>
          <w:sz w:val="44"/>
          <w:szCs w:val="28"/>
          <w:highlight w:val="none"/>
        </w:rPr>
        <w:br w:type="page" w:clear="all"/>
      </w:r>
      <w:bookmarkEnd w:id="163"/>
      <w:r/>
      <w:bookmarkEnd w:id="164"/>
      <w:r/>
      <w:bookmarkEnd w:id="165"/>
      <w:r/>
      <w:bookmarkEnd w:id="166"/>
      <w:r/>
      <w:bookmarkEnd w:id="167"/>
      <w:r/>
      <w:bookmarkStart w:id="168" w:name="_Hlt16619350"/>
      <w:r/>
      <w:bookmarkStart w:id="169" w:name="_Toc16938590"/>
      <w:r/>
      <w:bookmarkStart w:id="170" w:name="_Toc20823346"/>
      <w:r/>
      <w:bookmarkStart w:id="171" w:name="_Toc120614244"/>
      <w:r/>
      <w:bookmarkStart w:id="172" w:name="_Toc479757211"/>
      <w:r/>
      <w:bookmarkStart w:id="173" w:name="_Toc462564139"/>
      <w:r>
        <w:rPr>
          <w:rFonts w:hint="eastAsia" w:ascii="黑体" w:hAnsi="Courier New" w:eastAsia="黑体" w:cs="Courier New"/>
          <w:bCs/>
          <w:color w:val="auto"/>
          <w:sz w:val="32"/>
          <w:szCs w:val="32"/>
          <w:highlight w:val="none"/>
        </w:rPr>
        <w:t xml:space="preserve">第</w:t>
      </w:r>
      <w:bookmarkEnd w:id="168"/>
      <w:r>
        <w:rPr>
          <w:rFonts w:hint="eastAsia" w:ascii="黑体" w:hAnsi="Courier New" w:eastAsia="黑体" w:cs="Courier New"/>
          <w:bCs/>
          <w:color w:val="auto"/>
          <w:sz w:val="32"/>
          <w:szCs w:val="32"/>
          <w:highlight w:val="none"/>
        </w:rPr>
        <w:t xml:space="preserve">三章 采购需求</w:t>
      </w:r>
      <w:bookmarkEnd w:id="169"/>
      <w:r/>
      <w:bookmarkEnd w:id="170"/>
      <w:r/>
      <w:bookmarkEnd w:id="171"/>
      <w:r/>
      <w:r/>
    </w:p>
    <w:p>
      <w:pPr>
        <w:ind w:firstLine="472"/>
        <w:spacing w:line="440" w:lineRule="exact"/>
        <w:rPr>
          <w:rFonts w:ascii="宋体" w:hAnsi="宋体"/>
          <w:b/>
          <w:color w:val="auto"/>
          <w:sz w:val="24"/>
          <w:szCs w:val="24"/>
          <w:highlight w:val="none"/>
        </w:rPr>
      </w:pPr>
      <w:r/>
      <w:bookmarkStart w:id="174" w:name="_Toc26554093"/>
      <w:r/>
      <w:bookmarkStart w:id="175" w:name="_Toc49090575"/>
      <w:r>
        <w:rPr>
          <w:rFonts w:hint="eastAsia" w:ascii="宋体" w:hAnsi="宋体"/>
          <w:b/>
          <w:color w:val="auto"/>
          <w:sz w:val="24"/>
          <w:szCs w:val="24"/>
          <w:highlight w:val="none"/>
        </w:rPr>
        <w:t xml:space="preserve">一</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w:t>
      </w:r>
      <w:r>
        <w:rPr>
          <w:rFonts w:ascii="宋体" w:hAnsi="宋体"/>
          <w:b/>
          <w:color w:val="auto"/>
          <w:sz w:val="24"/>
          <w:szCs w:val="24"/>
          <w:highlight w:val="none"/>
        </w:rPr>
        <w:t xml:space="preserve">标的清单</w:t>
      </w:r>
      <w:r/>
    </w:p>
    <w:tbl>
      <w:tblPr>
        <w:tblStyle w:val="692"/>
        <w:tblW w:w="101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07"/>
        <w:gridCol w:w="2268"/>
        <w:gridCol w:w="3308"/>
      </w:tblGrid>
      <w:tr>
        <w:trPr>
          <w:cantSplit/>
          <w:jc w:val="center"/>
        </w:trPr>
        <w:tc>
          <w:tcPr>
            <w:tcW w:w="4607"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采购包</w:t>
            </w:r>
            <w:r/>
          </w:p>
        </w:tc>
        <w:tc>
          <w:tcPr>
            <w:tcW w:w="2268"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标的</w:t>
            </w:r>
            <w:r/>
          </w:p>
        </w:tc>
        <w:tc>
          <w:tcPr>
            <w:tcW w:w="3308"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对应中</w:t>
            </w:r>
            <w:r>
              <w:rPr>
                <w:rFonts w:ascii="宋体" w:hAnsi="宋体"/>
                <w:color w:val="auto"/>
                <w:sz w:val="24"/>
                <w:szCs w:val="24"/>
                <w:highlight w:val="none"/>
              </w:rPr>
              <w:t xml:space="preserve">小企业划分标准所属行业</w:t>
            </w:r>
            <w:r/>
          </w:p>
        </w:tc>
      </w:tr>
      <w:tr>
        <w:trPr>
          <w:cantSplit/>
          <w:jc w:val="center"/>
          <w:trHeight w:val="286"/>
        </w:trPr>
        <w:tc>
          <w:tcPr>
            <w:tcW w:w="4607" w:type="dxa"/>
            <w:textDirection w:val="lrTb"/>
            <w:noWrap/>
          </w:tcPr>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海安市实验中学外迁工程家具采购项目</w:t>
            </w:r>
            <w:r/>
          </w:p>
        </w:tc>
        <w:tc>
          <w:tcPr>
            <w:tcW w:w="2268" w:type="dxa"/>
            <w:vAlign w:val="center"/>
            <w:textDirection w:val="lrTb"/>
            <w:noWrap/>
          </w:tcPr>
          <w:p>
            <w:pPr>
              <w:jc w:val="center"/>
              <w:spacing w:line="440" w:lineRule="exact"/>
              <w:tabs>
                <w:tab w:val="left" w:pos="2020" w:leader="none"/>
              </w:tabs>
              <w:rPr>
                <w:rFonts w:ascii="宋体" w:hAnsi="宋体"/>
                <w:color w:val="auto"/>
                <w:sz w:val="24"/>
                <w:szCs w:val="24"/>
                <w:highlight w:val="none"/>
              </w:rPr>
            </w:pPr>
            <w:r>
              <w:rPr>
                <w:rFonts w:hint="eastAsia" w:ascii="宋体" w:hAnsi="宋体"/>
                <w:color w:val="auto"/>
                <w:sz w:val="24"/>
                <w:szCs w:val="24"/>
                <w:highlight w:val="none"/>
              </w:rPr>
              <w:t xml:space="preserve">清单全部货物</w:t>
            </w:r>
            <w:r/>
          </w:p>
        </w:tc>
        <w:tc>
          <w:tcPr>
            <w:tcW w:w="3308" w:type="dxa"/>
            <w:vAlign w:val="center"/>
            <w:textDirection w:val="lrTb"/>
            <w:noWrap/>
          </w:tcPr>
          <w:p>
            <w:pPr>
              <w:jc w:val="center"/>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工业</w:t>
            </w:r>
            <w:r/>
          </w:p>
        </w:tc>
      </w:tr>
    </w:tbl>
    <w:p>
      <w:pPr>
        <w:ind w:firstLine="472"/>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二、</w:t>
      </w:r>
      <w:r>
        <w:rPr>
          <w:rFonts w:ascii="宋体" w:hAnsi="宋体"/>
          <w:b/>
          <w:color w:val="auto"/>
          <w:sz w:val="24"/>
          <w:szCs w:val="24"/>
          <w:highlight w:val="none"/>
        </w:rPr>
        <w:t xml:space="preserve">技术要求</w:t>
      </w:r>
      <w:r/>
    </w:p>
    <w:p>
      <w:pPr>
        <w:ind w:firstLine="480"/>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技术要求是指对采购标的功能和质量要求，包括性能、材料、结构、外观、安全，或者服务内容和标准等。其中加★号条款为实质性要求。</w:t>
      </w:r>
      <w:r/>
    </w:p>
    <w:p>
      <w:pPr>
        <w:ind w:firstLine="480"/>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采购清单如下：</w:t>
      </w:r>
      <w:r/>
    </w:p>
    <w:tbl>
      <w:tblPr>
        <w:tblStyle w:val="692"/>
        <w:tblW w:w="10207" w:type="dxa"/>
        <w:tblInd w:w="-885" w:type="dxa"/>
        <w:tblLayout w:type="autofit"/>
        <w:tblCellMar>
          <w:left w:w="108" w:type="dxa"/>
          <w:top w:w="0" w:type="dxa"/>
          <w:right w:w="108" w:type="dxa"/>
          <w:bottom w:w="0" w:type="dxa"/>
        </w:tblCellMar>
        <w:tblLook w:val="04A0" w:firstRow="1" w:lastRow="0" w:firstColumn="1" w:lastColumn="0" w:noHBand="0" w:noVBand="1"/>
      </w:tblPr>
      <w:tblGrid>
        <w:gridCol w:w="2078"/>
        <w:gridCol w:w="4507"/>
        <w:gridCol w:w="595"/>
        <w:gridCol w:w="680"/>
        <w:gridCol w:w="2347"/>
      </w:tblGrid>
      <w:tr>
        <w:trPr>
          <w:trHeight w:val="420"/>
        </w:trPr>
        <w:tc>
          <w:tcPr>
            <w:shd w:val="clear" w:color="000000" w:fill="92d050"/>
            <w:tcBorders>
              <w:top w:val="single" w:color="auto" w:sz="4" w:space="0"/>
              <w:left w:val="single" w:color="auto" w:sz="4" w:space="0"/>
              <w:bottom w:val="single" w:color="auto" w:sz="4" w:space="0"/>
              <w:right w:val="single" w:color="auto" w:sz="4" w:space="0"/>
            </w:tcBorders>
            <w:tcW w:w="2078"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项目名称</w:t>
            </w:r>
            <w:r/>
          </w:p>
        </w:tc>
        <w:tc>
          <w:tcPr>
            <w:shd w:val="clear" w:color="000000" w:fill="92d050"/>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rPr>
                <w:rFonts w:ascii="宋体" w:hAnsi="宋体" w:cs="宋体"/>
                <w:color w:val="auto"/>
                <w:sz w:val="18"/>
                <w:szCs w:val="18"/>
                <w:highlight w:val="none"/>
              </w:rPr>
            </w:pPr>
            <w:r>
              <w:rPr>
                <w:highlight w:val="none"/>
              </w:rPr>
              <w:t xml:space="preserve">项目特征描述</w:t>
            </w:r>
            <w:r/>
          </w:p>
        </w:tc>
        <w:tc>
          <w:tcPr>
            <w:shd w:val="clear" w:color="000000" w:fill="92d050"/>
            <w:tcBorders>
              <w:top w:val="single" w:color="auto" w:sz="4" w:space="0"/>
              <w:left w:val="none" w:color="000000" w:sz="4" w:space="0"/>
              <w:bottom w:val="single" w:color="auto" w:sz="4" w:space="0"/>
              <w:right w:val="single" w:color="auto" w:sz="4" w:space="0"/>
            </w:tcBorders>
            <w:tcW w:w="595"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数量</w:t>
            </w:r>
            <w:r/>
          </w:p>
        </w:tc>
        <w:tc>
          <w:tcPr>
            <w:shd w:val="clear" w:color="000000" w:fill="92d050"/>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参考图</w:t>
            </w:r>
            <w:r/>
          </w:p>
        </w:tc>
      </w:tr>
      <w:tr>
        <w:trPr>
          <w:trHeight w:val="2160"/>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主席台1</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1、规格：≥2100*600*750mm。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2、面材：胡桃木木皮，厚度为≥0.6mm；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3、基材：采用符合GB/T 39600-2021E0级标准的环保型密度板，厚度为15mm，封边为优质木皮封边；</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4、油漆：采用水性漆，经过3道底漆2道面漆抛光处理，水性底漆、面漆均符合GB/T23999-2009标准；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5、配置：配件均使用优质五金配件；</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6、颜色：胡桃木色。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7、执行标准：GB/T 3324-2024《木家具通用技术条件》。</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179070</wp:posOffset>
                      </wp:positionV>
                      <wp:extent cx="1171575" cy="732790"/>
                      <wp:effectExtent l="19050" t="0" r="9525" b="0"/>
                      <wp:wrapNone/>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3"/>
                              <a:stretch/>
                            </pic:blipFill>
                            <pic:spPr bwMode="auto">
                              <a:xfrm>
                                <a:off x="0" y="0"/>
                                <a:ext cx="1171575" cy="7327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1.2pt;mso-position-horizontal:absolute;mso-position-vertical-relative:text;margin-top:14.1pt;mso-position-vertical:absolute;width:92.2pt;height:57.7pt;mso-wrap-distance-left:9.0pt;mso-wrap-distance-top:0.0pt;mso-wrap-distance-right:9.0pt;mso-wrap-distance-bottom:0.0pt;" stroked="false">
                      <v:path textboxrect="0,0,0,0"/>
                      <v:imagedata r:id="rId13" o:title=""/>
                    </v:shape>
                  </w:pict>
                </mc:Fallback>
              </mc:AlternateContent>
            </w:r>
            <w:r/>
          </w:p>
        </w:tc>
      </w:tr>
      <w:tr>
        <w:trPr>
          <w:trHeight w:val="2202"/>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主席椅</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1、规格：常规 （座高450±10mm，座深≥450mm，高≥890mm）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2、皮革：优质西皮，符合GB/T 16799-2018标准；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3、木板：采用符合GB/T 39600-2021 E0 级环保曲木板，贴合人体曲线的尺寸；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4、海绵：采用高密度弹力海绵，密度≥35kg/m³，符合GB/T 10802-2006标准，回弹率≥42%，75%压缩永久变形≤5%；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5、椅架：采用橡胶木实木，含水率符合8%~12%；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6、油漆：采用水性漆，经过3道底漆2道面漆抛光处理，水性底漆、面漆均符合GB/T23999-2009标准；</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95250</wp:posOffset>
                      </wp:positionH>
                      <wp:positionV relativeFrom="paragraph">
                        <wp:posOffset>28575</wp:posOffset>
                      </wp:positionV>
                      <wp:extent cx="1047750" cy="1323975"/>
                      <wp:effectExtent l="0" t="0" r="0" b="0"/>
                      <wp:wrapNone/>
                      <wp:docPr id="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pic:cNvPicPr>
                                <a:picLocks noChangeAspect="1"/>
                              </pic:cNvPicPr>
                              <pic:nvPr/>
                            </pic:nvPicPr>
                            <pic:blipFill>
                              <a:blip r:embed="rId14"/>
                              <a:stretch/>
                            </pic:blipFill>
                            <pic:spPr bwMode="auto">
                              <a:xfrm>
                                <a:off x="0" y="0"/>
                                <a:ext cx="1038225" cy="1311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7.5pt;mso-position-horizontal:absolute;mso-position-vertical-relative:text;margin-top:2.2pt;mso-position-vertical:absolute;width:82.5pt;height:104.2pt;mso-wrap-distance-left:9.0pt;mso-wrap-distance-top:0.0pt;mso-wrap-distance-right:9.0pt;mso-wrap-distance-bottom:0.0pt;" stroked="f">
                      <v:path textboxrect="0,0,0,0"/>
                      <v:imagedata r:id="rId14" o:title=""/>
                    </v:shape>
                  </w:pict>
                </mc:Fallback>
              </mc:AlternateContent>
            </w:r>
            <w:r/>
          </w:p>
        </w:tc>
      </w:tr>
      <w:tr>
        <w:trPr>
          <w:trHeight w:val="6222"/>
        </w:trPr>
        <w:tc>
          <w:tcPr>
            <w:shd w:val="clear" w:color="auto" w:fill="auto"/>
            <w:tcBorders>
              <w:top w:val="single" w:color="auto"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礼堂椅</w:t>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1、规格：椅高≥1060mm ，中心距：580±5 mm（连排、中间扶手共用），座高 450±10mm ，排距≥950 mm。座椅外形尺寸及倾斜角度根据人体形态工程学曲线原理设计，座高和座深合理，坐感舒适，座垫可自动回复。</w:t>
            </w:r>
            <w:r/>
          </w:p>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2、座、背海棉：采用聚氨酯原料经模具发泡成型，高密度、高回弹、永不变形。</w:t>
            </w:r>
            <w:r/>
          </w:p>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3、面料：采用面料内加垫丝光绵，纺织面料符合GB18401-2010《国家纺织产品基本安全技礼堂椅术规范》B类标准;</w:t>
            </w:r>
            <w:r/>
          </w:p>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4、座、背外板：采用优质单板热压加工成多层胶合板后面饰（贴）木皮，厚度不小于15mm， 经多次打磨后喷环保清漆，表面光滑，木纹清晰，无异味。座板开有规则的吸音孔，能有效增强座椅吸声效果。</w:t>
            </w:r>
            <w:r/>
          </w:p>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5、回位功能：采用阻尼加弹簧回位设计，座包可自动复位，复位功能方便观众进出，保持过道畅通，并减少灰尘积累。座包回复碰撞部位增加橡胶垫防撞降噪，使座包打开无噪音， 回复自然无冲击性撞击。 </w:t>
            </w:r>
            <w:r/>
          </w:p>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6、扶手面：扶手面采用优质橡胶木经脱水、脱脂及精加工处理，表面喷环保清漆，表面光滑， 木纹清晰，无异味。扶手表面采取带弧面设计。</w:t>
            </w:r>
            <w:r/>
          </w:p>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7、站脚：优质铝合金压铸工艺扶手框、站脚与写字板机构旋转座一体成型，站脚立柱与靠背成统一线条弧形。扶手框前端弧形线条流畅，扶手面带横向加强筋≥3条，纵向加强筋≥1条，扶手框内侧带有一圈加强宽≥10mm*2mm；表层经打磨、防氧化、静电喷涂、高温锔炉等处理；椅脚高度630（±5）mm,宽度54（±5）mm;扶手框上端宽度为503（±5）mm,扶手框高度420（±5）mm,扶手框下端距离地面高度为：210（±5）mm；扶手框前端共有三个不同形状镂空工艺；站脚立柱</w:t>
            </w:r>
            <w:r>
              <w:rPr>
                <w:rFonts w:hint="eastAsia" w:ascii="宋体" w:hAnsi="宋体" w:cs="宋体"/>
                <w:color w:val="auto"/>
                <w:sz w:val="18"/>
                <w:szCs w:val="18"/>
                <w:highlight w:val="none"/>
              </w:rPr>
              <w:t xml:space="preserve">侧面宽80（±5）mm左右两侧各有两条≥10mm宽加强筋；脚板长度330（±5）mm,脚板前后厚度≥20mm,中间厚≥30mm；镶嵌式侧板用优质PP材质包覆同色面料，侧板最大宽度430（±5）mm最小宽度215（±5）mm,高度375（±5）mm,侧板为镶嵌式内侧带固定胶柱与对应椅脚固定孔位，方便稳固，侧板有≥7个固定胶柱,连接写字板机构孔位直径为≥29mm；扶手后侧顶端即扶手盖后可配备USB功能端口（USB槽位≥长59*宽38mm），便捷手机电脑使用。隐藏式固定螺丝，外带地胶盖。（尺寸不得偏差超过2mm）</w:t>
            </w:r>
            <w:r/>
          </w:p>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8、写字板：旋转头、支撑架采用优质铝合金模具压铸成型，旋转头经抛光工艺表面处理；支撑架采用加长型250（±5）mm，支撑力度更大书写更稳定；写字板面板为ABS复合材料热压定型后直接穿透式安装，最大宽度：365（±5）mm,深度255（±5）mm,厚度≥10mm;带笔槽（规格≥170*15mm）、带杯槽(φ75mm),便于放置书写笔、水杯，整体旋转顺畅自如</w:t>
            </w:r>
            <w:r/>
          </w:p>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 9、侧板：采用中密度纤维板经喷环保胶粘剂后面覆阻燃面料，面料材质颜色与座、背一致， 并采用活动式扣钉，易于拆装。</w:t>
            </w:r>
            <w:r/>
          </w:p>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10、地面固定 ：根据地面材质配备优质地脚固定螺丝，不生锈、耐腐蚀。</w:t>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800</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mc:AlternateContent>
                <mc:Choice Requires="wpg">
                  <w:drawing>
                    <wp:inline xmlns:wp="http://schemas.openxmlformats.org/drawingml/2006/wordprocessingDrawing" distT="0" distB="0" distL="0" distR="0">
                      <wp:extent cx="1334135" cy="1828800"/>
                      <wp:effectExtent l="19050" t="0" r="0" b="0"/>
                      <wp:docPr id="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0"/>
                              <pic:cNvPicPr>
                                <a:picLocks noChangeAspect="1"/>
                              </pic:cNvPicPr>
                              <pic:nvPr/>
                            </pic:nvPicPr>
                            <pic:blipFill>
                              <a:blip r:embed="rId15"/>
                              <a:stretch/>
                            </pic:blipFill>
                            <pic:spPr bwMode="auto">
                              <a:xfrm>
                                <a:off x="0" y="0"/>
                                <a:ext cx="1336455" cy="1831917"/>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5.0pt;height:144.0pt;mso-wrap-distance-left:0.0pt;mso-wrap-distance-top:0.0pt;mso-wrap-distance-right:0.0pt;mso-wrap-distance-bottom:0.0pt;" stroked="f" strokeweight="0.75pt">
                      <v:path textboxrect="0,0,0,0"/>
                      <v:imagedata r:id="rId15" o:title=""/>
                    </v:shape>
                  </w:pict>
                </mc:Fallback>
              </mc:AlternateContent>
            </w:r>
            <w:r/>
          </w:p>
        </w:tc>
      </w:tr>
      <w:tr>
        <w:trPr>
          <w:trHeight w:val="2719"/>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演讲台</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1、规格：≥600*450*1150mm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2、面材：胡桃木木皮，厚度为≥0.6mm；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3、基材：采用符合GB/T 39600-2021E0级标准的环保型密度板，厚度为15mm，封边为优质木皮封边；</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4、油漆：采用水性漆，经过3道底漆2道面漆抛光处理，水性底漆、面漆均符合GB/T23999-2009标准；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5、配置：配件均使用优质五金配件；</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6、颜色：胡桃木色。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7、执行标准：GB/T 3324-2024《木家具通用技术条件》。</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200025</wp:posOffset>
                      </wp:positionH>
                      <wp:positionV relativeFrom="paragraph">
                        <wp:posOffset>76200</wp:posOffset>
                      </wp:positionV>
                      <wp:extent cx="1104900" cy="1485900"/>
                      <wp:effectExtent l="0" t="0" r="635" b="0"/>
                      <wp:wrapNone/>
                      <wp:docPr id="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pic:cNvPicPr>
                                <a:picLocks noChangeAspect="1"/>
                              </pic:cNvPicPr>
                              <pic:nvPr/>
                            </pic:nvPicPr>
                            <pic:blipFill>
                              <a:blip r:embed="rId16"/>
                              <a:srcRect l="17158" t="26404" r="8983" b="14045"/>
                              <a:stretch/>
                            </pic:blipFill>
                            <pic:spPr bwMode="auto">
                              <a:xfrm>
                                <a:off x="0" y="0"/>
                                <a:ext cx="1095375" cy="14712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15.8pt;mso-position-horizontal:absolute;mso-position-vertical-relative:text;margin-top:6.0pt;mso-position-vertical:absolute;width:87.0pt;height:117.0pt;mso-wrap-distance-left:9.0pt;mso-wrap-distance-top:0.0pt;mso-wrap-distance-right:9.0pt;mso-wrap-distance-bottom:0.0pt;" stroked="false">
                      <v:path textboxrect="0,0,0,0"/>
                      <v:imagedata r:id="rId16" o:title=""/>
                    </v:shape>
                  </w:pict>
                </mc:Fallback>
              </mc:AlternateContent>
            </w:r>
            <w:r/>
          </w:p>
        </w:tc>
      </w:tr>
      <w:tr>
        <w:trPr>
          <w:trHeight w:val="3251"/>
        </w:trPr>
        <w:tc>
          <w:tcPr>
            <w:shd w:val="clear" w:color="auto" w:fill="auto"/>
            <w:tcBorders>
              <w:top w:val="single" w:color="auto"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化妆台</w:t>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桌子整体规格：12000*400*800mm（可依据现场复核尺寸作±5%调整，采用分段拼接工艺，拼缝≤1mm，整体水平度≤2mm）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1、基材：选用E0级刨花板，符合GB/T 39600-2021的E0级刨花板。                                                                                                                   2、封边：选用1.2mm厚PVC封边条，符合QB/T 4463-2025标准；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3、钢架采用25*25*1.0mm厚钢管，</w:t>
            </w:r>
            <w:r>
              <w:rPr>
                <w:rFonts w:hint="eastAsia" w:ascii="MS Mincho" w:hAnsi="MS Mincho" w:eastAsia="MS Mincho" w:cs="MS Mincho"/>
                <w:color w:val="auto"/>
                <w:sz w:val="18"/>
                <w:szCs w:val="18"/>
                <w:highlight w:val="none"/>
              </w:rPr>
              <w:t xml:space="preserve">∅</w:t>
            </w:r>
            <w:r>
              <w:rPr>
                <w:rFonts w:hint="eastAsia" w:ascii="宋体" w:hAnsi="宋体" w:cs="宋体"/>
                <w:color w:val="auto"/>
                <w:sz w:val="18"/>
                <w:szCs w:val="18"/>
                <w:highlight w:val="none"/>
              </w:rPr>
              <w:t xml:space="preserve">16*1.0mm圆管；</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3、五金：选用国产优质品牌五金，阻尼导轨符合QB/T 2454-2013标准。                                                                                                                                     4、镜面： 采用5mm镀银防爆镜面，背板厚度≥3mm，防碎膜层≥2层，影像清晰（透光率≥85%）。</w:t>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组</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19050</wp:posOffset>
                      </wp:positionH>
                      <wp:positionV relativeFrom="paragraph">
                        <wp:posOffset>-108585</wp:posOffset>
                      </wp:positionV>
                      <wp:extent cx="1295400" cy="1257300"/>
                      <wp:effectExtent l="19050" t="0" r="0" b="0"/>
                      <wp:wrapNone/>
                      <wp:docPr id="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5"/>
                              <pic:cNvPicPr>
                                <a:picLocks noChangeAspect="1"/>
                              </pic:cNvPicPr>
                              <pic:nvPr/>
                            </pic:nvPicPr>
                            <pic:blipFill>
                              <a:blip r:embed="rId17"/>
                              <a:stretch/>
                            </pic:blipFill>
                            <pic:spPr bwMode="auto">
                              <a:xfrm>
                                <a:off x="0" y="0"/>
                                <a:ext cx="1295400" cy="12573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5648;o:allowoverlap:true;o:allowincell:true;mso-position-horizontal-relative:text;margin-left:1.5pt;mso-position-horizontal:absolute;mso-position-vertical-relative:text;margin-top:-8.5pt;mso-position-vertical:absolute;width:102.0pt;height:99.0pt;mso-wrap-distance-left:9.0pt;mso-wrap-distance-top:0.0pt;mso-wrap-distance-right:9.0pt;mso-wrap-distance-bottom:0.0pt;" stroked="f" strokeweight="0.75pt">
                      <v:path textboxrect="0,0,0,0"/>
                      <v:imagedata r:id="rId17" o:title=""/>
                    </v:shape>
                  </w:pict>
                </mc:Fallback>
              </mc:AlternateContent>
            </w:r>
            <w:r/>
          </w:p>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tc>
      </w:tr>
      <w:tr>
        <w:trPr>
          <w:trHeight w:val="1695"/>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化妆椅</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规格：≥470*560*820mm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1、基材：纯新工程PP +25%玻纤增强。                                                                                                        2、颜色：4种颜色可选，抗紫外线UV级，防掉色。</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3.钢架采用≥</w:t>
            </w:r>
            <w:r>
              <w:rPr>
                <w:rFonts w:hint="eastAsia" w:ascii="MS Mincho" w:hAnsi="MS Mincho" w:eastAsia="MS Mincho" w:cs="MS Mincho"/>
                <w:color w:val="auto"/>
                <w:sz w:val="18"/>
                <w:szCs w:val="18"/>
                <w:highlight w:val="none"/>
              </w:rPr>
              <w:t xml:space="preserve">∅</w:t>
            </w:r>
            <w:r>
              <w:rPr>
                <w:rFonts w:hint="eastAsia" w:ascii="宋体" w:hAnsi="宋体" w:cs="宋体"/>
                <w:color w:val="auto"/>
                <w:sz w:val="18"/>
                <w:szCs w:val="18"/>
                <w:highlight w:val="none"/>
              </w:rPr>
              <w:t xml:space="preserve">16*1.5mm圆管制作，表面经环氧聚酯粉末静电喷涂处理，涂层附着力≥1级。                            </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-47625</wp:posOffset>
                      </wp:positionH>
                      <wp:positionV relativeFrom="paragraph">
                        <wp:posOffset>-218440</wp:posOffset>
                      </wp:positionV>
                      <wp:extent cx="1390650" cy="581025"/>
                      <wp:effectExtent l="19050" t="0" r="0" b="0"/>
                      <wp:wrapNone/>
                      <wp:docPr id="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9"/>
                              <pic:cNvPicPr>
                                <a:picLocks noChangeAspect="1"/>
                              </pic:cNvPicPr>
                              <pic:nvPr/>
                            </pic:nvPicPr>
                            <pic:blipFill>
                              <a:blip r:embed="rId18"/>
                              <a:stretch/>
                            </pic:blipFill>
                            <pic:spPr bwMode="auto">
                              <a:xfrm>
                                <a:off x="0" y="0"/>
                                <a:ext cx="1390650" cy="5810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3360;o:allowoverlap:true;o:allowincell:true;mso-position-horizontal-relative:text;margin-left:-3.8pt;mso-position-horizontal:absolute;mso-position-vertical-relative:text;margin-top:-17.2pt;mso-position-vertical:absolute;width:109.5pt;height:45.8pt;mso-wrap-distance-left:9.0pt;mso-wrap-distance-top:0.0pt;mso-wrap-distance-right:9.0pt;mso-wrap-distance-bottom:0.0pt;" stroked="f" strokeweight="0.75pt">
                      <v:path textboxrect="0,0,0,0"/>
                      <v:imagedata r:id="rId18" o:title=""/>
                    </v:shape>
                  </w:pict>
                </mc:Fallback>
              </mc:AlternateContent>
            </w:r>
            <w:r/>
          </w:p>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tc>
      </w:tr>
      <w:tr>
        <w:trPr>
          <w:trHeight w:val="2541"/>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主席台2</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1、规格：1400*600*750mm。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2、面材：胡桃木木皮，厚度为≥0.6mm；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3、基材：采用符合GB/T 39600-2021E0级标准的环保型密度板，厚度为15mm，封边为优质木皮封边；</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4、油漆：采用水性漆，经过3道底漆2道面漆抛光处理，水性底漆、面漆均符合GB/T23999-2009标准；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5、配置：配件均使用优质五金配件；</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6、颜色：胡桃木色。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7、执行标准：GB/T 3324-2024《木家具通用技术条件》。</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9525</wp:posOffset>
                      </wp:positionH>
                      <wp:positionV relativeFrom="paragraph">
                        <wp:posOffset>-31115</wp:posOffset>
                      </wp:positionV>
                      <wp:extent cx="1228725" cy="771525"/>
                      <wp:effectExtent l="19050" t="0" r="9525" b="0"/>
                      <wp:wrapNone/>
                      <wp:docPr id="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2"/>
                              <pic:cNvPicPr>
                                <a:picLocks noChangeAspect="1"/>
                              </pic:cNvPicPr>
                              <pic:nvPr/>
                            </pic:nvPicPr>
                            <pic:blipFill>
                              <a:blip r:embed="rId19"/>
                              <a:stretch/>
                            </pic:blipFill>
                            <pic:spPr bwMode="auto">
                              <a:xfrm>
                                <a:off x="0" y="0"/>
                                <a:ext cx="1228725" cy="7715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77696;o:allowoverlap:true;o:allowincell:true;mso-position-horizontal-relative:text;margin-left:0.8pt;mso-position-horizontal:absolute;mso-position-vertical-relative:text;margin-top:-2.4pt;mso-position-vertical:absolute;width:96.8pt;height:60.8pt;mso-wrap-distance-left:9.0pt;mso-wrap-distance-top:0.0pt;mso-wrap-distance-right:9.0pt;mso-wrap-distance-bottom:0.0pt;" stroked="false">
                      <v:path textboxrect="0,0,0,0"/>
                      <v:imagedata r:id="rId19" o:title=""/>
                    </v:shape>
                  </w:pict>
                </mc:Fallback>
              </mc:AlternateContent>
            </w:r>
            <w:r/>
          </w:p>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tc>
      </w:tr>
      <w:tr>
        <w:trPr>
          <w:trHeight w:val="2393"/>
        </w:trPr>
        <w:tc>
          <w:tcPr>
            <w:shd w:val="clear" w:color="auto" w:fill="auto"/>
            <w:tcBorders>
              <w:top w:val="single" w:color="auto" w:sz="4" w:space="0"/>
              <w:left w:val="single" w:color="auto" w:sz="4" w:space="0"/>
              <w:right w:val="single" w:color="auto" w:sz="4" w:space="0"/>
            </w:tcBorders>
            <w:tcW w:w="2078" w:type="dxa"/>
            <w:vAlign w:val="center"/>
            <w:vMerge w:val="restart"/>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会议桌</w:t>
            </w:r>
            <w:r/>
          </w:p>
        </w:tc>
        <w:tc>
          <w:tcPr>
            <w:shd w:val="clear" w:color="auto" w:fill="auto"/>
            <w:tcBorders>
              <w:top w:val="single" w:color="auto" w:sz="4" w:space="0"/>
              <w:left w:val="none" w:color="000000" w:sz="4" w:space="0"/>
              <w:right w:val="single" w:color="auto" w:sz="4" w:space="0"/>
            </w:tcBorders>
            <w:tcW w:w="4515" w:type="dxa"/>
            <w:vAlign w:val="center"/>
            <w:vMerge w:val="restart"/>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1.规格：≥1200*400*760mm，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2、面材：胡桃木木皮，厚度为≥0.6mm；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3、基材：采用符合GB/T 39600-2021E0级标准的环保型密度板，厚度为15mm，封边为优质木皮封边；</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4、油漆：采用水性漆，经过3道底漆2道面漆抛光处理，水性底漆、面漆均符合GB/T23999-2009标准；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5、配置：配件均使用优质五金配件；</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6、颜色：胡桃木色。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7、执行标准：GB/T 3324-2024《木家具通用技术条件》。</w:t>
            </w:r>
            <w:r/>
          </w:p>
        </w:tc>
        <w:tc>
          <w:tcPr>
            <w:shd w:val="clear" w:color="auto" w:fill="auto"/>
            <w:tcBorders>
              <w:top w:val="single" w:color="auto" w:sz="4" w:space="0"/>
              <w:left w:val="none" w:color="000000" w:sz="4" w:space="0"/>
              <w:right w:val="single" w:color="auto" w:sz="4" w:space="0"/>
            </w:tcBorders>
            <w:tcW w:w="595" w:type="dxa"/>
            <w:vAlign w:val="center"/>
            <w:vMerge w:val="restart"/>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60</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p>
            <w:pPr>
              <w:jc w:val="left"/>
              <w:shd w:val="clear" w:color="auto" w:fill="auto"/>
              <w:widowControl/>
              <w:rPr>
                <w:rFonts w:ascii="宋体" w:hAnsi="宋体" w:cs="宋体"/>
                <w:color w:val="auto"/>
                <w:sz w:val="22"/>
                <w:highlight w:val="none"/>
              </w:rPr>
            </w:pPr>
            <w:r>
              <w:rPr>
                <w:rFonts w:hint="eastAsia" w:ascii="宋体" w:hAnsi="宋体" w:cs="宋体"/>
                <w:color w:val="auto"/>
                <w:sz w:val="22"/>
                <w:highlight w:val="none"/>
              </w:rPr>
              <w:t xml:space="preserve">张</w:t>
            </w:r>
            <w:r/>
          </w:p>
        </w:tc>
        <w:tc>
          <w:tcPr>
            <w:shd w:val="clear" w:color="auto" w:fill="auto"/>
            <w:tcBorders>
              <w:top w:val="single" w:color="auto" w:sz="4" w:space="0"/>
              <w:left w:val="single" w:color="auto"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-26035</wp:posOffset>
                      </wp:positionH>
                      <wp:positionV relativeFrom="paragraph">
                        <wp:posOffset>-222885</wp:posOffset>
                      </wp:positionV>
                      <wp:extent cx="1333500" cy="1143000"/>
                      <wp:effectExtent l="19050" t="0" r="0" b="0"/>
                      <wp:wrapNone/>
                      <wp:docPr id="8"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2"/>
                              <pic:cNvPicPr>
                                <a:picLocks noChangeAspect="1"/>
                              </pic:cNvPicPr>
                              <pic:nvPr/>
                            </pic:nvPicPr>
                            <pic:blipFill>
                              <a:blip r:embed="rId20"/>
                              <a:stretch/>
                            </pic:blipFill>
                            <pic:spPr bwMode="auto">
                              <a:xfrm>
                                <a:off x="0" y="0"/>
                                <a:ext cx="1333500" cy="11430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8720;o:allowoverlap:true;o:allowincell:true;mso-position-horizontal-relative:text;margin-left:-2.0pt;mso-position-horizontal:absolute;mso-position-vertical-relative:text;margin-top:-17.6pt;mso-position-vertical:absolute;width:105.0pt;height:90.0pt;mso-wrap-distance-left:9.0pt;mso-wrap-distance-top:0.0pt;mso-wrap-distance-right:9.0pt;mso-wrap-distance-bottom:0.0pt;" stroked="f" strokeweight="0.75pt">
                      <v:path textboxrect="0,0,0,0"/>
                      <v:imagedata r:id="rId20" o:title=""/>
                    </v:shape>
                  </w:pict>
                </mc:Fallback>
              </mc:AlternateContent>
            </w:r>
            <w:r/>
          </w:p>
        </w:tc>
      </w:tr>
      <w:tr>
        <w:trPr/>
        <w:tc>
          <w:tcPr>
            <w:shd w:val="clear" w:color="auto" w:fill="auto"/>
            <w:tcBorders>
              <w:left w:val="single" w:color="auto" w:sz="4" w:space="0"/>
              <w:bottom w:val="single" w:color="auto" w:sz="4" w:space="0"/>
              <w:right w:val="single" w:color="auto" w:sz="4" w:space="0"/>
            </w:tcBorders>
            <w:tcW w:w="2078" w:type="dxa"/>
            <w:vAlign w:val="center"/>
            <w:vMerge w:val="continue"/>
            <w:textDirection w:val="lrTb"/>
            <w:noWrap w:val="false"/>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none" w:color="000000" w:sz="4" w:space="0"/>
              <w:bottom w:val="single" w:color="auto" w:sz="4" w:space="0"/>
              <w:right w:val="single" w:color="auto" w:sz="4" w:space="0"/>
            </w:tcBorders>
            <w:tcW w:w="4515" w:type="dxa"/>
            <w:vAlign w:val="center"/>
            <w:vMerge w:val="continue"/>
            <w:textDirection w:val="lrTb"/>
            <w:noWrap w:val="false"/>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none" w:color="000000" w:sz="4" w:space="0"/>
              <w:bottom w:val="single" w:color="auto" w:sz="4" w:space="0"/>
              <w:right w:val="single" w:color="auto" w:sz="4" w:space="0"/>
            </w:tcBorders>
            <w:tcW w:w="595" w:type="dxa"/>
            <w:vAlign w:val="center"/>
            <w:vMerge w:val="continue"/>
            <w:textDirection w:val="lrTb"/>
            <w:noWrap w:val="false"/>
          </w:tcPr>
          <w:p>
            <w:pPr>
              <w:jc w:val="center"/>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auto" w:sz="4" w:space="0"/>
              <w:left w:val="none" w:color="000000" w:sz="4" w:space="0"/>
              <w:bottom w:val="none" w:color="000000" w:sz="4" w:space="0"/>
              <w:right w:val="single" w:color="auto" w:sz="4" w:space="0"/>
            </w:tcBorders>
            <w:tcW w:w="680" w:type="dxa"/>
            <w:vAlign w:val="center"/>
            <w:textDirection w:val="lrTb"/>
            <w:noWrap/>
          </w:tcPr>
          <w:p>
            <w:pPr>
              <w:jc w:val="left"/>
              <w:shd w:val="clear" w:color="auto" w:fill="auto"/>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39" w:type="dxa"/>
            <w:vAlign w:val="center"/>
            <w:textDirection w:val="lrTb"/>
            <w:noWrap/>
          </w:tcPr>
          <w:p>
            <w:pPr>
              <w:jc w:val="left"/>
              <w:shd w:val="clear" w:color="auto" w:fill="auto"/>
              <w:rPr>
                <w:rFonts w:ascii="宋体" w:hAnsi="宋体" w:cs="宋体"/>
                <w:color w:val="auto"/>
                <w:sz w:val="18"/>
                <w:szCs w:val="18"/>
                <w:highlight w:val="none"/>
              </w:rPr>
            </w:pPr>
            <w:r>
              <w:rPr>
                <w:rFonts w:ascii="宋体" w:hAnsi="宋体" w:cs="宋体"/>
                <w:color w:val="auto"/>
                <w:sz w:val="18"/>
                <w:szCs w:val="18"/>
                <w:highlight w:val="none"/>
              </w:rPr>
            </w:r>
            <w:r/>
          </w:p>
        </w:tc>
      </w:tr>
      <w:tr>
        <w:trPr>
          <w:trHeight w:val="2622"/>
        </w:trPr>
        <w:tc>
          <w:tcPr>
            <w:shd w:val="clear" w:color="auto" w:fill="auto"/>
            <w:tcBorders>
              <w:top w:val="single" w:color="auto"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会议椅</w:t>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1、规格：常规 （座高450±10mm，座深≥450mm，背高≥890mm）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2、皮革：优质西皮，符合GB/T 16799-2018标准；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3、木板：采用符合GB/T 39600-2021 E0 级环保曲木板，贴合人体曲线的尺寸；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4、海绵：采用高密度弹力海绵，密度≥35kg/m³，符合GB/T 10802-2006标准，回弹率≥42%，75%压缩永久变形≤5%；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5、椅架：采用橡胶木实木，含水率符合8%~12%；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6、油漆：采用水性漆，经过3道底漆2道面漆抛光处理，水性底漆、面漆均符合GB/T23999-2009标准；</w:t>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120</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tcPr>
          <w:p>
            <w:pP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161925</wp:posOffset>
                      </wp:positionH>
                      <wp:positionV relativeFrom="paragraph">
                        <wp:posOffset>-111760</wp:posOffset>
                      </wp:positionV>
                      <wp:extent cx="1076325" cy="1428750"/>
                      <wp:effectExtent l="19050" t="0" r="9525" b="0"/>
                      <wp:wrapNone/>
                      <wp:docPr id="9" name="图片 7"/>
                      <wp:cNvGraphicFramePr/>
                      <a:graphic xmlns:a="http://schemas.openxmlformats.org/drawingml/2006/main">
                        <a:graphicData uri="http://schemas.openxmlformats.org/drawingml/2006/picture">
                          <pic:pic xmlns:pic="http://schemas.openxmlformats.org/drawingml/2006/picture">
                            <pic:nvPicPr>
                              <pic:cNvPr id="9" name="图片 7"/>
                              <pic:cNvPicPr/>
                              <pic:nvPr/>
                            </pic:nvPicPr>
                            <pic:blipFill>
                              <a:blip r:embed="rId21"/>
                              <a:srcRect l="0" t="25221" r="1983" b="0"/>
                              <a:stretch/>
                            </pic:blipFill>
                            <pic:spPr bwMode="auto">
                              <a:xfrm>
                                <a:off x="0" y="0"/>
                                <a:ext cx="1076325" cy="142875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true;mso-position-horizontal-relative:text;margin-left:12.8pt;mso-position-horizontal:absolute;mso-position-vertical-relative:text;margin-top:-8.8pt;mso-position-vertical:absolute;width:84.8pt;height:112.5pt;mso-wrap-distance-left:9.0pt;mso-wrap-distance-top:0.0pt;mso-wrap-distance-right:9.0pt;mso-wrap-distance-bottom:0.0pt;" stroked="f">
                      <v:path textboxrect="0,0,0,0"/>
                      <v:imagedata r:id="rId21" o:title=""/>
                    </v:shape>
                  </w:pict>
                </mc:Fallback>
              </mc:AlternateContent>
            </w:r>
            <w:r>
              <w:rPr>
                <w:rFonts w:hint="eastAsia" w:ascii="宋体" w:hAnsi="宋体" w:cs="宋体"/>
                <w:color w:val="auto"/>
                <w:sz w:val="18"/>
                <w:szCs w:val="18"/>
                <w:highlight w:val="none"/>
              </w:rPr>
              <w:t xml:space="preserve">　</w:t>
            </w:r>
            <w:r/>
          </w:p>
        </w:tc>
      </w:tr>
      <w:tr>
        <w:trPr>
          <w:trHeight w:val="3676"/>
        </w:trPr>
        <w:tc>
          <w:tcPr>
            <w:shd w:val="clear" w:color="auto" w:fill="auto"/>
            <w:tcBorders>
              <w:top w:val="single" w:color="auto" w:sz="4" w:space="0"/>
              <w:left w:val="single" w:color="auto" w:sz="4" w:space="0"/>
              <w:right w:val="single" w:color="auto" w:sz="4" w:space="0"/>
            </w:tcBorders>
            <w:tcW w:w="2078" w:type="dxa"/>
            <w:vAlign w:val="center"/>
            <w:vMerge w:val="restart"/>
            <w:textDirection w:val="lrTb"/>
            <w:noWrap/>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教师办公桌椅</w:t>
            </w:r>
            <w:r/>
          </w:p>
        </w:tc>
        <w:tc>
          <w:tcPr>
            <w:shd w:val="clear" w:color="auto" w:fill="auto"/>
            <w:tcBorders>
              <w:top w:val="single" w:color="auto" w:sz="4" w:space="0"/>
              <w:left w:val="none" w:color="000000" w:sz="4" w:space="0"/>
              <w:right w:val="single" w:color="auto" w:sz="4" w:space="0"/>
            </w:tcBorders>
            <w:tcW w:w="4515" w:type="dxa"/>
            <w:vAlign w:val="center"/>
            <w:vMerge w:val="restart"/>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单人规格：桌子≥1200*600*760mm，书柜：≥1400*300*1100mm</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1、基材：采用18mm厚E0级多层实木板免漆板，基材材质为11层，由一层杨木一层桉木交错压制成型，表面胶合强度≥0.7MPa，表面耐磨磨耗值≤80mg/100r，表面无裂纹，鼓泡、变色、起皱等现象。。</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2、封边：采用优质ABS同色封边，厚度≥1.2mm。</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3、热熔胶：总挥发性有机物≤100g/L。</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4、五金配件：选用符合QB/T 2189-2013标准阻尼铰链。</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5、桌子与柜子连接采用不锈钢角码连接固定，确保稳定结实牢固；</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▲6.多层实木板：投标时由投标人或所投产品生产厂家提供具备CMA或CNAS标识的第三方检测机构出具的抽样检验报告原件扫描件，单份报告包含但不限于GB/T 39600-2021《人造板及其制品甲醛释放量分级》检测内容包含但不限于：</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①GB/T 39600-2021-甲醛释放量（气候箱法）E0级≤0.050mg/m³；</w:t>
            </w:r>
            <w:r>
              <w:rPr>
                <w:rFonts w:hint="eastAsia" w:ascii="宋体" w:hAnsi="宋体" w:cs="宋体"/>
                <w:color w:val="auto"/>
                <w:sz w:val="18"/>
                <w:szCs w:val="18"/>
                <w:highlight w:val="none"/>
              </w:rPr>
              <w:br w:type="page" w:clear="all"/>
            </w:r>
            <w:r/>
          </w:p>
        </w:tc>
        <w:tc>
          <w:tcPr>
            <w:shd w:val="clear" w:color="auto" w:fill="auto"/>
            <w:tcBorders>
              <w:top w:val="single" w:color="auto" w:sz="4" w:space="0"/>
              <w:left w:val="none" w:color="000000" w:sz="4" w:space="0"/>
              <w:right w:val="single" w:color="auto" w:sz="4" w:space="0"/>
            </w:tcBorders>
            <w:tcW w:w="595" w:type="dxa"/>
            <w:vAlign w:val="center"/>
            <w:vMerge w:val="restart"/>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300</w:t>
            </w:r>
            <w:r/>
          </w:p>
        </w:tc>
        <w:tc>
          <w:tcPr>
            <w:shd w:val="clear" w:color="auto" w:fill="auto"/>
            <w:tcBorders>
              <w:top w:val="single" w:color="auto" w:sz="4" w:space="0"/>
              <w:left w:val="none" w:color="000000" w:sz="4" w:space="0"/>
              <w:right w:val="single" w:color="auto" w:sz="4" w:space="0"/>
            </w:tcBorders>
            <w:tcW w:w="680" w:type="dxa"/>
            <w:vAlign w:val="center"/>
            <w:vMerge w:val="restart"/>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66675</wp:posOffset>
                      </wp:positionH>
                      <wp:positionV relativeFrom="paragraph">
                        <wp:posOffset>-701675</wp:posOffset>
                      </wp:positionV>
                      <wp:extent cx="1237615" cy="1209675"/>
                      <wp:effectExtent l="19050" t="0" r="635" b="0"/>
                      <wp:wrapNone/>
                      <wp:docPr id="1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9"/>
                              <pic:cNvPicPr>
                                <a:picLocks noChangeAspect="1"/>
                              </pic:cNvPicPr>
                              <pic:nvPr/>
                            </pic:nvPicPr>
                            <pic:blipFill>
                              <a:blip r:embed="rId22"/>
                              <a:stretch/>
                            </pic:blipFill>
                            <pic:spPr bwMode="auto">
                              <a:xfrm>
                                <a:off x="0" y="0"/>
                                <a:ext cx="1237615" cy="12096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9744;o:allowoverlap:true;o:allowincell:true;mso-position-horizontal-relative:text;margin-left:5.2pt;mso-position-horizontal:absolute;mso-position-vertical-relative:text;margin-top:-55.2pt;mso-position-vertical:absolute;width:97.4pt;height:95.2pt;mso-wrap-distance-left:9.0pt;mso-wrap-distance-top:0.0pt;mso-wrap-distance-right:9.0pt;mso-wrap-distance-bottom:0.0pt;" stroked="f" strokeweight="0.75pt">
                      <v:path textboxrect="0,0,0,0"/>
                      <v:imagedata r:id="rId22" o:title=""/>
                    </v:shape>
                  </w:pict>
                </mc:Fallback>
              </mc:AlternateContent>
            </w:r>
            <w:r/>
          </w:p>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tc>
      </w:tr>
      <w:tr>
        <w:trPr/>
        <w:tc>
          <w:tcPr>
            <w:shd w:val="clear" w:color="auto" w:fill="auto"/>
            <w:tcBorders>
              <w:left w:val="single" w:color="auto" w:sz="4" w:space="0"/>
              <w:bottom w:val="single" w:color="auto" w:sz="4" w:space="0"/>
              <w:right w:val="single" w:color="auto" w:sz="4" w:space="0"/>
            </w:tcBorders>
            <w:tcW w:w="2078" w:type="dxa"/>
            <w:vAlign w:val="center"/>
            <w:vMerge w:val="continue"/>
            <w:textDirection w:val="lrTb"/>
            <w:noWrap/>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none" w:color="000000" w:sz="4" w:space="0"/>
              <w:bottom w:val="single" w:color="auto" w:sz="4" w:space="0"/>
              <w:right w:val="single" w:color="auto" w:sz="4" w:space="0"/>
            </w:tcBorders>
            <w:tcW w:w="4515" w:type="dxa"/>
            <w:vAlign w:val="center"/>
            <w:vMerge w:val="continue"/>
            <w:textDirection w:val="lrTb"/>
            <w:noWrap w:val="false"/>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none" w:color="000000" w:sz="4" w:space="0"/>
              <w:bottom w:val="single" w:color="auto" w:sz="4" w:space="0"/>
              <w:right w:val="single" w:color="auto" w:sz="4" w:space="0"/>
            </w:tcBorders>
            <w:tcW w:w="595" w:type="dxa"/>
            <w:vAlign w:val="center"/>
            <w:vMerge w:val="continue"/>
            <w:textDirection w:val="lrTb"/>
            <w:noWrap/>
          </w:tcPr>
          <w:p>
            <w:pPr>
              <w:jc w:val="center"/>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none" w:color="000000" w:sz="4" w:space="0"/>
              <w:bottom w:val="single" w:color="auto" w:sz="4" w:space="0"/>
              <w:right w:val="single" w:color="auto" w:sz="4" w:space="0"/>
            </w:tcBorders>
            <w:tcW w:w="680" w:type="dxa"/>
            <w:vAlign w:val="center"/>
            <w:vMerge w:val="continue"/>
            <w:textDirection w:val="lrTb"/>
            <w:noWrap w:val="false"/>
          </w:tcPr>
          <w:p>
            <w:pPr>
              <w:jc w:val="center"/>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auto" w:sz="4" w:space="0"/>
              <w:left w:val="none" w:color="000000" w:sz="4" w:space="0"/>
              <w:bottom w:val="none" w:color="000000" w:sz="4" w:space="0"/>
              <w:right w:val="single" w:color="auto" w:sz="4" w:space="0"/>
            </w:tcBorders>
            <w:tcW w:w="2339" w:type="dxa"/>
            <w:vAlign w:val="center"/>
            <w:textDirection w:val="lrTb"/>
            <w:noWrap/>
          </w:tcPr>
          <w:p>
            <w:pPr>
              <w:jc w:val="left"/>
              <w:shd w:val="clear" w:color="auto" w:fill="auto"/>
              <w:rPr>
                <w:rFonts w:ascii="宋体" w:hAnsi="宋体" w:cs="宋体"/>
                <w:color w:val="auto"/>
                <w:sz w:val="22"/>
                <w:highlight w:val="none"/>
              </w:rPr>
            </w:pPr>
            <w:r>
              <w:rPr>
                <w:rFonts w:ascii="宋体" w:hAnsi="宋体" w:cs="宋体"/>
                <w:color w:val="auto"/>
                <w:sz w:val="22"/>
                <w:highlight w:val="none"/>
              </w:rPr>
            </w:r>
            <w:r/>
          </w:p>
        </w:tc>
      </w:tr>
      <w:tr>
        <w:trPr>
          <w:trHeight w:val="6300"/>
        </w:trPr>
        <w:tc>
          <w:tcPr>
            <w:shd w:val="clear" w:color="auto" w:fill="auto"/>
            <w:tcBorders>
              <w:top w:val="single" w:color="auto" w:sz="4" w:space="0"/>
              <w:left w:val="single" w:color="auto" w:sz="4" w:space="0"/>
              <w:bottom w:val="single" w:color="auto" w:sz="4" w:space="0"/>
              <w:right w:val="single" w:color="auto" w:sz="4" w:space="0"/>
            </w:tcBorders>
            <w:tcW w:w="2078" w:type="dxa"/>
            <w:vAlign w:val="center"/>
            <w:textDirection w:val="lrTb"/>
            <w:noWrap/>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办公椅子</w:t>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1.规格：凳面采用双面A级橡胶木板，双面无结疤，凳面板： ≥455mm×430mm×20mm；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2.椅架采用全实木橡胶木，前腿：≥48mm×48mm×420mm；后腿：≥48mm×35mm×955mm；前牙板 ：≥20mm×75mm×310mm；侧牙板：≥20mm×75mm×355mm；后牙板：≥30mm×48mm×305mm；后背条（第一根）：≥25mm×96mm×390mm；后背条（第二根）：≥25mm×84mm×320mm；竖背条：≥70mm×16mm×345mm。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2.橡胶木实木含水率符合8%~12%标准；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3.油漆：采用水性漆，经过3道底漆2道面漆抛光处理，水性油漆符合GB/T23999-2009标准；</w:t>
            </w:r>
            <w:r>
              <w:rPr>
                <w:rFonts w:hint="eastAsia" w:ascii="宋体" w:hAnsi="宋体" w:cs="宋体"/>
                <w:color w:val="auto"/>
                <w:sz w:val="18"/>
                <w:szCs w:val="18"/>
                <w:highlight w:val="none"/>
              </w:rPr>
              <w:br/>
            </w:r>
            <w:r>
              <w:rPr>
                <w:rFonts w:hint="eastAsia" w:ascii="宋体" w:hAnsi="宋体" w:cs="宋体"/>
                <w:b/>
                <w:bCs/>
                <w:color w:val="auto"/>
                <w:sz w:val="18"/>
                <w:szCs w:val="18"/>
                <w:highlight w:val="none"/>
              </w:rPr>
              <w:t xml:space="preserve">▲4.水性底漆：</w:t>
            </w:r>
            <w:r>
              <w:rPr>
                <w:rFonts w:hint="eastAsia" w:ascii="宋体" w:hAnsi="宋体" w:cs="宋体"/>
                <w:color w:val="auto"/>
                <w:sz w:val="18"/>
                <w:szCs w:val="18"/>
                <w:highlight w:val="none"/>
              </w:rPr>
              <w:t xml:space="preserve">投标时由投标人或所投产品生产厂家提供具备CMA或CNAS标识的第三方检测机构出具的抽样检验报告原件扫描件，单份报告包含但不限于具有检测GB/T23999-2009标准及检测内容具有不挥发物≥30%、VOC含量≤250g/L、甲醛≤100mg/kg、总铅含量≤90mg/kg、可溶性镉≤75mg/kg、可溶性铬≤60mg/kg、可溶性汞≤60mg/kg、烷基酚聚氧乙烯醚总和≤1000mg/kg；</w:t>
            </w:r>
            <w:r>
              <w:rPr>
                <w:rFonts w:hint="eastAsia" w:ascii="宋体" w:hAnsi="宋体" w:cs="宋体"/>
                <w:color w:val="auto"/>
                <w:sz w:val="18"/>
                <w:szCs w:val="18"/>
                <w:highlight w:val="none"/>
              </w:rPr>
              <w:br/>
            </w:r>
            <w:r>
              <w:rPr>
                <w:rFonts w:hint="eastAsia" w:ascii="宋体" w:hAnsi="宋体" w:cs="宋体"/>
                <w:b/>
                <w:bCs/>
                <w:color w:val="auto"/>
                <w:sz w:val="18"/>
                <w:szCs w:val="18"/>
                <w:highlight w:val="none"/>
              </w:rPr>
              <w:t xml:space="preserve">▲5.水性面漆：</w:t>
            </w:r>
            <w:r>
              <w:rPr>
                <w:rFonts w:hint="eastAsia" w:ascii="宋体" w:hAnsi="宋体" w:cs="宋体"/>
                <w:color w:val="auto"/>
                <w:sz w:val="18"/>
                <w:szCs w:val="18"/>
                <w:highlight w:val="none"/>
              </w:rPr>
              <w:t xml:space="preserve">投标时由投标人或所投产品生产厂家提供具备CMA或CNA</w:t>
            </w:r>
            <w:r>
              <w:rPr>
                <w:rFonts w:hint="eastAsia" w:ascii="宋体" w:hAnsi="宋体" w:cs="宋体"/>
                <w:color w:val="auto"/>
                <w:sz w:val="18"/>
                <w:szCs w:val="18"/>
                <w:highlight w:val="none"/>
              </w:rPr>
              <w:t xml:space="preserve">S标识的第三方检测机构出具的抽样检验报告原件扫描件，单份报告包含但不限于具有检测GB/T23999-2009标准及检测内容具有耐冻融性、涂膜外观、抗粘连性500g (50±2)℃/4h、耐划伤性（100g）未划伤、耐碱性（50g/L NaHCO3,1h）无异常、VOC含量≤250g/L、甲醛≤100mg/kg、总铅含量≤90mg/kg、可溶性镉≤75mg/kg、可溶性铬≤60mg/kg、可溶性汞≤60mg/kg、乙二醇醚及醚酯总和含量≤300mg/kg、苯系物总和含量（限苯、甲苯、二甲苯（含乙苯）≤10%；</w:t>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300</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center"/>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114300</wp:posOffset>
                      </wp:positionH>
                      <wp:positionV relativeFrom="paragraph">
                        <wp:posOffset>186055</wp:posOffset>
                      </wp:positionV>
                      <wp:extent cx="1085215" cy="1714500"/>
                      <wp:effectExtent l="19050" t="0" r="635" b="0"/>
                      <wp:wrapNone/>
                      <wp:docPr id="1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8"/>
                              <pic:cNvPicPr>
                                <a:picLocks noChangeAspect="1"/>
                              </pic:cNvPicPr>
                              <pic:nvPr/>
                            </pic:nvPicPr>
                            <pic:blipFill>
                              <a:blip r:embed="rId23"/>
                              <a:stretch/>
                            </pic:blipFill>
                            <pic:spPr bwMode="auto">
                              <a:xfrm>
                                <a:off x="0" y="0"/>
                                <a:ext cx="1085215" cy="17145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6432;o:allowoverlap:true;o:allowincell:true;mso-position-horizontal-relative:text;margin-left:9.0pt;mso-position-horizontal:absolute;mso-position-vertical-relative:text;margin-top:14.6pt;mso-position-vertical:absolute;width:85.5pt;height:135.0pt;mso-wrap-distance-left:9.0pt;mso-wrap-distance-top:0.0pt;mso-wrap-distance-right:9.0pt;mso-wrap-distance-bottom:0.0pt;" stroked="f" strokeweight="0.75pt">
                      <v:path textboxrect="0,0,0,0"/>
                      <v:imagedata r:id="rId23" o:title=""/>
                    </v:shape>
                  </w:pict>
                </mc:Fallback>
              </mc:AlternateContent>
            </w:r>
            <w:r/>
          </w:p>
        </w:tc>
      </w:tr>
      <w:tr>
        <w:trPr>
          <w:trHeight w:val="5520"/>
        </w:trPr>
        <w:tc>
          <w:tcPr>
            <w:shd w:val="clear" w:color="auto" w:fill="auto"/>
            <w:tcBorders>
              <w:top w:val="single" w:color="auto" w:sz="4" w:space="0"/>
              <w:left w:val="single" w:color="auto" w:sz="4" w:space="0"/>
              <w:bottom w:val="single" w:color="auto" w:sz="4" w:space="0"/>
              <w:right w:val="single" w:color="auto" w:sz="4" w:space="0"/>
            </w:tcBorders>
            <w:tcW w:w="2078" w:type="dxa"/>
            <w:vAlign w:val="center"/>
            <w:textDirection w:val="lrTb"/>
            <w:noWrap/>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柜子</w:t>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规格：800*400*2000mm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1、基材：采用18mm厚E0级实木多层板免漆板，基材材质为11层，由一层杨木一层桉木交错压制成型，表面胶合强度≥0.7MPa，表面耐磨磨耗值≤80mg/100r，表面无裂纹，鼓泡、变色、起皱等现象。。</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2、封边：采用优质ABS同色封边，厚度≥1.2mm。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3、热熔胶：总挥发性有机物≤100g/L。</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4、五金配件：选用符合QB/T 2189-2013标准阻尼铰链。</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w:t>
            </w:r>
            <w:r>
              <w:rPr>
                <w:rFonts w:hint="eastAsia" w:ascii="宋体" w:hAnsi="宋体" w:cs="宋体"/>
                <w:b/>
                <w:bCs/>
                <w:color w:val="auto"/>
                <w:sz w:val="18"/>
                <w:szCs w:val="18"/>
                <w:highlight w:val="none"/>
              </w:rPr>
              <w:t xml:space="preserve">阻尼铰链：</w:t>
            </w:r>
            <w:r>
              <w:rPr>
                <w:rFonts w:hint="eastAsia" w:ascii="宋体" w:hAnsi="宋体" w:cs="宋体"/>
                <w:color w:val="auto"/>
                <w:sz w:val="18"/>
                <w:szCs w:val="18"/>
                <w:highlight w:val="none"/>
              </w:rPr>
              <w:t xml:space="preserve">投标时由投标人或所投产品生产厂家提供具备CMA或CNAS标识的第三方检测机构出具的抽样检验报告原件扫描件，单份报告包含但不限于具有检测QB/T </w:t>
            </w:r>
            <w:r>
              <w:rPr>
                <w:rFonts w:hint="eastAsia" w:ascii="宋体" w:hAnsi="宋体" w:cs="宋体"/>
                <w:color w:val="auto"/>
                <w:sz w:val="18"/>
                <w:szCs w:val="18"/>
                <w:highlight w:val="none"/>
                <w:lang w:val="en-US" w:eastAsia="zh-CN"/>
              </w:rPr>
              <w:t xml:space="preserve">2189</w:t>
            </w:r>
            <w:r>
              <w:rPr>
                <w:rFonts w:hint="eastAsia" w:ascii="宋体" w:hAnsi="宋体" w:cs="宋体"/>
                <w:color w:val="auto"/>
                <w:sz w:val="18"/>
                <w:szCs w:val="18"/>
                <w:highlight w:val="none"/>
              </w:rPr>
              <w:t xml:space="preserve">-2013、</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QB/T 3826-1999、QB/T 3827-1999标准，检测内容包含但不限于：</w:t>
            </w:r>
            <w:bookmarkStart w:id="184" w:name="_GoBack"/>
            <w:r/>
            <w:bookmarkEnd w:id="184"/>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①耐久性 10 万次符合要求；</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②中性盐雾试验(NSS 试验)≥100h（连续喷雾）：涂（镀）层本身的耐腐蚀等级 10 级，涂（镀）层对基体的保护等级10级；</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③乙酸盐雾试验 (ASS 试验)≥100h（连续喷雾）：涂（镀）层本身的耐腐蚀等级 10 级，涂（镀）层对基体的保护等级10级；</w:t>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100</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center"/>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333375</wp:posOffset>
                      </wp:positionH>
                      <wp:positionV relativeFrom="paragraph">
                        <wp:posOffset>1133475</wp:posOffset>
                      </wp:positionV>
                      <wp:extent cx="742950" cy="1504950"/>
                      <wp:effectExtent l="0" t="0" r="635" b="635"/>
                      <wp:wrapNone/>
                      <wp:docPr id="1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7"/>
                              <pic:cNvPicPr>
                                <a:picLocks noChangeAspect="1"/>
                              </pic:cNvPicPr>
                              <pic:nvPr/>
                            </pic:nvPicPr>
                            <pic:blipFill>
                              <a:blip r:embed="rId24"/>
                              <a:stretch/>
                            </pic:blipFill>
                            <pic:spPr bwMode="auto">
                              <a:xfrm>
                                <a:off x="0" y="0"/>
                                <a:ext cx="732155" cy="14928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5408;o:allowoverlap:true;o:allowincell:true;mso-position-horizontal-relative:text;margin-left:26.2pt;mso-position-horizontal:absolute;mso-position-vertical-relative:text;margin-top:89.2pt;mso-position-vertical:absolute;width:58.5pt;height:118.5pt;mso-wrap-distance-left:9.0pt;mso-wrap-distance-top:0.0pt;mso-wrap-distance-right:9.0pt;mso-wrap-distance-bottom:0.0pt;" stroked="f" strokeweight="0.75pt">
                      <v:path textboxrect="0,0,0,0"/>
                      <v:imagedata r:id="rId24" o:title=""/>
                    </v:shape>
                  </w:pict>
                </mc:Fallback>
              </mc:AlternateContent>
            </w:r>
            <w:r/>
          </w:p>
        </w:tc>
      </w:tr>
      <w:tr>
        <w:trPr>
          <w:trHeight w:val="5022"/>
        </w:trPr>
        <w:tc>
          <w:tcPr>
            <w:shd w:val="clear" w:color="auto" w:fill="auto"/>
            <w:tcBorders>
              <w:top w:val="single" w:color="auto" w:sz="4" w:space="0"/>
              <w:left w:val="single" w:color="auto" w:sz="4" w:space="0"/>
              <w:bottom w:val="single" w:color="auto" w:sz="4" w:space="0"/>
              <w:right w:val="single" w:color="auto" w:sz="4" w:space="0"/>
            </w:tcBorders>
            <w:tcW w:w="2078" w:type="dxa"/>
            <w:vAlign w:val="center"/>
            <w:textDirection w:val="lrTb"/>
            <w:noWrap/>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行政办公桌</w:t>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单人规格：</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桌子1400*700*760mm，衣柜：1800*400*1670（高）mm，三抽柜宽度为450*深度480*630mm；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基材：桌面采用25mm厚E0级多层实木免漆板，其余部分采用18mm厚E0级多层实木板免漆板，基材材质为11层，由一层杨木一层桉木交错压制成型，表面胶合强度≥0.7MPa，表面耐磨磨耗值≤80mg/100r，表面无裂纹，鼓泡、变色、起皱等现象。</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2、热熔胶：总挥发性有机物≤100g/L。</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3、导轨：采用选用符合 QB/T 2454-2013标准导轨，壁厚≥1.2mm；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4、铰链：选用符合QB/T 2189-2013标准阻尼铰链。</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5、桌子与柜子连接采用不锈钢角码连接固定，确保稳定结实牢固；</w:t>
            </w:r>
            <w:r>
              <w:rPr>
                <w:rFonts w:hint="eastAsia" w:ascii="宋体" w:hAnsi="宋体" w:cs="宋体"/>
                <w:color w:val="auto"/>
                <w:sz w:val="18"/>
                <w:szCs w:val="18"/>
                <w:highlight w:val="none"/>
              </w:rPr>
              <w:br/>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▲6.阻尼导轨：投标时由投标人或所投产品生产厂家提供具备CMA或CNAS标识的第三方检测机构出具的抽样检验报告原件扫描件，单份报告包含但不限于具有检测QB/T 2454-2013、QB/T 3826-1999、QB/T 3827-1999标准，检测内容至少包含：</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①耐久性 10 万次符合要求；</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②中性盐雾试验(NSS 试验)≥100h（连续喷雾）：涂（镀）层本身的耐腐蚀等级 10 级，涂（镀）层对基体的保护等级10级；</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③乙酸盐雾试验 (ASS 试验)≥100h（连续喷雾）：涂（镀）层本身的耐腐蚀等级 10 级，涂（镀）层对基体的保护等级10级；</w:t>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30</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center"/>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76200</wp:posOffset>
                      </wp:positionH>
                      <wp:positionV relativeFrom="paragraph">
                        <wp:posOffset>1428750</wp:posOffset>
                      </wp:positionV>
                      <wp:extent cx="1171575" cy="1037590"/>
                      <wp:effectExtent l="19050" t="0" r="9525" b="0"/>
                      <wp:wrapNone/>
                      <wp:docPr id="13" name="ID_ACCFF40464CA46D5A07E5E27066273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D_ACCFF40464CA46D5A07E5E270662739D"/>
                              <pic:cNvPicPr>
                                <a:picLocks noChangeAspect="1"/>
                              </pic:cNvPicPr>
                              <pic:nvPr/>
                            </pic:nvPicPr>
                            <pic:blipFill>
                              <a:blip r:embed="rId25"/>
                              <a:stretch/>
                            </pic:blipFill>
                            <pic:spPr bwMode="auto">
                              <a:xfrm>
                                <a:off x="0" y="0"/>
                                <a:ext cx="1171575" cy="10375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4384;o:allowoverlap:true;o:allowincell:true;mso-position-horizontal-relative:text;margin-left:6.0pt;mso-position-horizontal:absolute;mso-position-vertical-relative:text;margin-top:112.5pt;mso-position-vertical:absolute;width:92.2pt;height:81.7pt;mso-wrap-distance-left:9.0pt;mso-wrap-distance-top:0.0pt;mso-wrap-distance-right:9.0pt;mso-wrap-distance-bottom:0.0pt;" stroked="false">
                      <v:path textboxrect="0,0,0,0"/>
                      <v:imagedata r:id="rId25" o:title=""/>
                    </v:shape>
                  </w:pict>
                </mc:Fallback>
              </mc:AlternateContent>
            </w:r>
            <w:r/>
          </w:p>
        </w:tc>
      </w:tr>
      <w:tr>
        <w:trPr>
          <w:trHeight w:val="3393"/>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行政办公椅</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1.规格：凳面采用双面A级橡胶木板，双面无结疤，凳面板： ≥455mm×430mm×20mm；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2.椅架采用全实木橡胶木，前腿：≥48mm×48mm×420mm；后腿：≥48mm×35mm×955mm；前牙板 ：≥20mm×75mm×310mm；侧牙板：≥20mm×75mm×355mm；后牙板：≥30mm×48mm×305mm；后背条（第一根）：≥25mm×96mm×390mm；后背条（第二根）：≥25mm×84mm×320mm；竖背条：≥70mm×16mm×345mm。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2.橡胶木实木含水率符合8%~12%标准；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3.油漆：采用水性漆，经过3道底漆2道面漆抛光处理，水性油漆符合GB/T23999-2009标准；</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tcPr>
          <w:p>
            <w:pPr>
              <w:jc w:val="center"/>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228600</wp:posOffset>
                      </wp:positionH>
                      <wp:positionV relativeFrom="paragraph">
                        <wp:posOffset>561975</wp:posOffset>
                      </wp:positionV>
                      <wp:extent cx="733425" cy="1152525"/>
                      <wp:effectExtent l="0" t="635" r="635" b="0"/>
                      <wp:wrapNone/>
                      <wp:docPr id="1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4"/>
                              <pic:cNvPicPr>
                                <a:picLocks noChangeAspect="1"/>
                              </pic:cNvPicPr>
                              <pic:nvPr/>
                            </pic:nvPicPr>
                            <pic:blipFill>
                              <a:blip r:embed="rId26"/>
                              <a:stretch/>
                            </pic:blipFill>
                            <pic:spPr bwMode="auto">
                              <a:xfrm>
                                <a:off x="0" y="0"/>
                                <a:ext cx="720214" cy="1141926"/>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8480;o:allowoverlap:true;o:allowincell:true;mso-position-horizontal-relative:text;margin-left:18.0pt;mso-position-horizontal:absolute;mso-position-vertical-relative:text;margin-top:44.2pt;mso-position-vertical:absolute;width:57.8pt;height:90.8pt;mso-wrap-distance-left:9.0pt;mso-wrap-distance-top:0.0pt;mso-wrap-distance-right:9.0pt;mso-wrap-distance-bottom:0.0pt;" stroked="f" strokeweight="0.75pt">
                      <v:path textboxrect="0,0,0,0"/>
                      <v:imagedata r:id="rId26" o:title=""/>
                    </v:shape>
                  </w:pict>
                </mc:Fallback>
              </mc:AlternateContent>
            </w:r>
            <w:r/>
          </w:p>
        </w:tc>
      </w:tr>
      <w:tr>
        <w:trPr>
          <w:trHeight w:val="8179"/>
        </w:trPr>
        <w:tc>
          <w:tcPr>
            <w:shd w:val="clear" w:color="auto" w:fill="auto"/>
            <w:tcBorders>
              <w:top w:val="single" w:color="auto" w:sz="4" w:space="0"/>
              <w:left w:val="single" w:color="auto" w:sz="4" w:space="0"/>
              <w:bottom w:val="single" w:color="auto" w:sz="4" w:space="0"/>
              <w:right w:val="single" w:color="auto" w:sz="4" w:space="0"/>
            </w:tcBorders>
            <w:tcW w:w="2078" w:type="dxa"/>
            <w:vAlign w:val="center"/>
            <w:textDirection w:val="lrTb"/>
            <w:noWrap/>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学生课桌</w:t>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一、课桌技术参数：</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1、规格：长600mm×宽400mm×高760mm（调节高度为30mm一档）。</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2、桌面：规格长600mm±5mm*宽400mm±5mm，桌面材质采用18mm厚米色平行条纹抗划痕饰面板饰面高密度纤维板（HDF）；桌面设有一个笔槽，桌面四周边缘封边及笔槽采用PP塑料一次性无接头注塑封边一次成型；</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3、升降片：采用1.1mm厚优质冷轧板冲压成型，不允许焊接和拼接而成。总高380mm，上高180mm，上宽360mm，下宽203mm.升降片上必须具有两列调节圆孔，每列必须具有9个调节孔，列与列的中心距为100mm，孔与孔的中心距为30mm。升降片左右各有R18\R23的内凹弧度，R18\R23内凹弧度的距离为230mm，误差＜5mm，升降片要机械冲压成形。</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4、桌斗采用0.8mm冷轧钢板，冲压成型，桌斗容积≥500×360×190mm；</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5、桌腿架采用一对双柱优质冷轧椭圆形封闭式钢管, 尺寸规格为50 mm×20 mm的冷轧椭圆形封闭式钢管，壁厚1.1mm；拉杆50 mm×20mm的冷轧椭圆形封闭式钢管，两根落地脚均采用尺寸规格为50 mm×20 mm的冷轧椭圆形封闭式钢管，壁厚1.1mm。</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6、钢架经过防锈处理，热固性粉末涂料喷涂，表面无明显刺手；</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7.脚套：优质塑料脚套带防滑静音功能。</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▲8.</w:t>
            </w:r>
            <w:r>
              <w:rPr>
                <w:rFonts w:hint="eastAsia" w:ascii="宋体" w:hAnsi="宋体" w:cs="宋体"/>
                <w:b/>
                <w:bCs/>
                <w:color w:val="auto"/>
                <w:sz w:val="18"/>
                <w:szCs w:val="18"/>
                <w:highlight w:val="none"/>
              </w:rPr>
              <w:t xml:space="preserve">钢管：</w:t>
            </w:r>
            <w:r>
              <w:rPr>
                <w:rFonts w:hint="eastAsia" w:ascii="宋体" w:hAnsi="宋体" w:cs="宋体"/>
                <w:color w:val="auto"/>
                <w:sz w:val="18"/>
                <w:szCs w:val="18"/>
                <w:highlight w:val="none"/>
              </w:rPr>
              <w:t xml:space="preserve">投标时由投标人或所投产品生产厂家提供具备CMA或CNAS标识的第三方检测机构出具的抽样检验报告原件扫描件，单份报告包含但不限于具有检测QB/T 3826-1999、QB/T 3827-1999标准，检测内容包含：</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①产品外观：管材应无裂缝、叠缝，外露管口端面应封闭；</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②中性盐雾试验连续喷雾≥100h：金属表面（涂）镀层本身耐腐蚀等级：10 级；金属表面（涂）镀层对基体的保护等级：10 级；</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③乙酸盐雾试验连续喷雾≥100h：金属表面（涂）镀层本身耐腐蚀等级：10 级；金属表面（涂）镀层对基体的保护等级：10 级；</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▲9.</w:t>
            </w:r>
            <w:r>
              <w:rPr>
                <w:rFonts w:hint="eastAsia" w:ascii="宋体" w:hAnsi="宋体" w:cs="宋体"/>
                <w:b/>
                <w:bCs/>
                <w:color w:val="auto"/>
                <w:sz w:val="18"/>
                <w:szCs w:val="18"/>
                <w:highlight w:val="none"/>
              </w:rPr>
              <w:t xml:space="preserve">热固性粉末涂料:</w:t>
            </w:r>
            <w:r>
              <w:rPr>
                <w:rFonts w:hint="eastAsia" w:ascii="宋体" w:hAnsi="宋体" w:cs="宋体"/>
                <w:color w:val="auto"/>
                <w:sz w:val="18"/>
                <w:szCs w:val="18"/>
                <w:highlight w:val="none"/>
              </w:rPr>
              <w:t xml:space="preserve"> 投标时由投标人或所投产品生产厂家提供具备CMA或CNAS标识的第三方检测机构出具的抽样检验报告原件扫描件，单份报告包含但不限于检测HG/T 2006-2022标准：附着力-干附着力≤1级，铅笔硬度（内聚破坏中擦伤）≥H,耐冲击性（正向冲击）-钢铁基材用：50cm，耐磨性（750g/500r）≤50mg，耐沸水性（2h）：无异常，耐盐雾性-中性盐雾≥240h：合格，耐盐雾性-酸性盐雾≥240h：划痕处单向腐蚀蔓延宽度≤4.0mm，未划痕区无起泡，生锈、开裂、剥落等异常现象，耐湿性-室内用：≥240h无异常；</w:t>
            </w:r>
            <w:r>
              <w:rPr>
                <w:rFonts w:hint="eastAsia" w:ascii="宋体" w:hAnsi="宋体" w:cs="宋体"/>
                <w:color w:val="auto"/>
                <w:sz w:val="18"/>
                <w:szCs w:val="18"/>
                <w:highlight w:val="none"/>
              </w:rPr>
              <w:br w:type="page" w:clear="all"/>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800</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142875</wp:posOffset>
                      </wp:positionH>
                      <wp:positionV relativeFrom="paragraph">
                        <wp:posOffset>548005</wp:posOffset>
                      </wp:positionV>
                      <wp:extent cx="1171575" cy="1466850"/>
                      <wp:effectExtent l="19050" t="0" r="9525" b="0"/>
                      <wp:wrapNone/>
                      <wp:docPr id="1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6"/>
                              <pic:cNvPicPr>
                                <a:picLocks noChangeAspect="1"/>
                              </pic:cNvPicPr>
                              <pic:nvPr/>
                            </pic:nvPicPr>
                            <pic:blipFill>
                              <a:blip r:embed="rId27"/>
                              <a:stretch/>
                            </pic:blipFill>
                            <pic:spPr bwMode="auto">
                              <a:xfrm>
                                <a:off x="0" y="0"/>
                                <a:ext cx="1171575" cy="1466849"/>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9504;o:allowoverlap:true;o:allowincell:true;mso-position-horizontal-relative:text;margin-left:11.2pt;mso-position-horizontal:absolute;mso-position-vertical-relative:text;margin-top:43.1pt;mso-position-vertical:absolute;width:92.2pt;height:115.5pt;mso-wrap-distance-left:9.0pt;mso-wrap-distance-top:0.0pt;mso-wrap-distance-right:9.0pt;mso-wrap-distance-bottom:0.0pt;" stroked="f" strokeweight="0.75pt">
                      <v:path textboxrect="0,0,0,0"/>
                      <v:imagedata r:id="rId27" o:title=""/>
                    </v:shape>
                  </w:pict>
                </mc:Fallback>
              </mc:AlternateContent>
            </w:r>
            <w:r/>
          </w:p>
        </w:tc>
      </w:tr>
      <w:tr>
        <w:trPr>
          <w:trHeight w:val="3660"/>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学生课凳</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整体规格：400*280*440mm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1.凳腿采 20*40*1.2mm 的方管。</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2.拉管采用 20*20*1.2mm 的方管。</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3.钢架经过防锈处理，热固性粉末涂料喷涂，表面无明显刺手；</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4.凳面采用 400*280*20mm 环保A级橡胶木板，采用专用连接件连接固定；</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5.凳子下加网斗，</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6.油漆为清水漆， 并保证三底二面的工艺要求，水性底、面漆符合GB/T23999-2009标准。 </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7.脚套：优质塑料脚套带防滑静音功能。</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▲8.连接件：投标时由投标人或所投产品生产厂家提供具备CMA或CNAS标识的第三方检测机构出具的抽样检验报告原件扫描件，单份报告包含但不限于具有检测QB/T 3826-1999、QB/T 3832-1999标准，检测内容至少包含：</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①金属件外观要求：喷涂层符合要求；</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②金属喷漆（塑）涂层理化性能要求：硬度≥3H，耐腐蚀符合要求；</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③金属表面耐腐蚀；</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④耐人工气候老化：变色≤1级、失光≤1级、有无异常现象：无粉化、起泡、开裂、剥落等异常现象；</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800</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center"/>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133350</wp:posOffset>
                      </wp:positionH>
                      <wp:positionV relativeFrom="paragraph">
                        <wp:posOffset>609600</wp:posOffset>
                      </wp:positionV>
                      <wp:extent cx="1028700" cy="1257300"/>
                      <wp:effectExtent l="0" t="0" r="0" b="0"/>
                      <wp:wrapNone/>
                      <wp:docPr id="1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7"/>
                              <pic:cNvPicPr>
                                <a:picLocks noChangeAspect="1"/>
                              </pic:cNvPicPr>
                              <pic:nvPr/>
                            </pic:nvPicPr>
                            <pic:blipFill>
                              <a:blip r:embed="rId28"/>
                              <a:stretch/>
                            </pic:blipFill>
                            <pic:spPr bwMode="auto">
                              <a:xfrm>
                                <a:off x="0" y="0"/>
                                <a:ext cx="1014895" cy="123698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0528;o:allowoverlap:true;o:allowincell:true;mso-position-horizontal-relative:text;margin-left:10.5pt;mso-position-horizontal:absolute;mso-position-vertical-relative:text;margin-top:48.0pt;mso-position-vertical:absolute;width:81.0pt;height:99.0pt;mso-wrap-distance-left:9.0pt;mso-wrap-distance-top:0.0pt;mso-wrap-distance-right:9.0pt;mso-wrap-distance-bottom:0.0pt;" stroked="f" strokeweight="0.75pt">
                      <v:path textboxrect="0,0,0,0"/>
                      <v:imagedata r:id="rId28" o:title=""/>
                    </v:shape>
                  </w:pict>
                </mc:Fallback>
              </mc:AlternateContent>
            </w:r>
            <w:r/>
          </w:p>
        </w:tc>
      </w:tr>
      <w:tr>
        <w:trPr>
          <w:trHeight w:val="2922"/>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不锈钢四人餐桌</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四人位餐桌不锈钢</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1200*1400*760mm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1.桌面:规格1200*600*50mm，采用0.8mm304不锈钢板。二脚架托之间一根距中加强筋50*25*1.2mm，桌面下支架全部采用304不锈钢焊接。</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2.桌面及凳面：采用0.8mm304不锈钢板制作，内包边，采用不锈钢圆弧型，整体高度50mm。（用设备冲压一次成型弧形状）。</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3.脚架：采用50*50*1.0mm不锈钢方型管。</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4.桌下衬25mm整块刨花板E0级三聚氰胺双贴面刨花板，四周压25*25*1.2mm不锈钢钢管。</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5.工艺：包角点焊打磨，圆润光滑无皱褶无毛刺无锐角。</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6.餐桌执行GB/T 3325-2024《金属家具通用技术条件》</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83185</wp:posOffset>
                      </wp:positionH>
                      <wp:positionV relativeFrom="paragraph">
                        <wp:posOffset>332105</wp:posOffset>
                      </wp:positionV>
                      <wp:extent cx="1237615" cy="847090"/>
                      <wp:effectExtent l="19050" t="0" r="635" b="0"/>
                      <wp:wrapNone/>
                      <wp:docPr id="17"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9"/>
                              <pic:cNvPicPr>
                                <a:picLocks noChangeAspect="1"/>
                              </pic:cNvPicPr>
                              <pic:nvPr/>
                            </pic:nvPicPr>
                            <pic:blipFill>
                              <a:blip r:embed="rId29"/>
                              <a:stretch/>
                            </pic:blipFill>
                            <pic:spPr bwMode="auto">
                              <a:xfrm>
                                <a:off x="0" y="0"/>
                                <a:ext cx="1237615" cy="8470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2576;o:allowoverlap:true;o:allowincell:true;mso-position-horizontal-relative:text;margin-left:6.5pt;mso-position-horizontal:absolute;mso-position-vertical-relative:text;margin-top:26.1pt;mso-position-vertical:absolute;width:97.4pt;height:66.7pt;mso-wrap-distance-left:9.0pt;mso-wrap-distance-top:0.0pt;mso-wrap-distance-right:9.0pt;mso-wrap-distance-bottom:0.0pt;" stroked="f" strokeweight="0.75pt">
                      <v:path textboxrect="0,0,0,0"/>
                      <v:imagedata r:id="rId29" o:title=""/>
                    </v:shape>
                  </w:pict>
                </mc:Fallback>
              </mc:AlternateContent>
            </w:r>
            <w:r/>
          </w:p>
        </w:tc>
      </w:tr>
      <w:tr>
        <w:trPr>
          <w:trHeight w:val="2820"/>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不锈钢八人餐桌</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八人位餐桌不锈钢</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2400*1600*760mm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1.桌面:规格2400*600*50mm，采用0.8mm304不锈钢板。二脚架托之间一根距中加强筋50*25*1.2mm，桌面下支架全部采用304不锈钢焊接。</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2.桌面及凳面：采用0.8mm304不锈钢板制作，内包边，采用不锈钢圆弧型，整体高度50mm。（用设备冲压一次成型弧形状）。</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3.脚架：采用50*50*1.0mm不锈钢方型管。</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4.桌下衬25mm整块刨花板E0级三聚氰胺双贴面刨花板，四周压25*25*1.2mm不锈钢钢管。</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5.工艺：包角点焊打磨，圆润光滑无皱褶无毛刺无锐角。</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6.餐桌执行GB/T 3325-2024《金属家具通用技术条件》</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160</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95250</wp:posOffset>
                      </wp:positionH>
                      <wp:positionV relativeFrom="paragraph">
                        <wp:posOffset>581025</wp:posOffset>
                      </wp:positionV>
                      <wp:extent cx="1104900" cy="771525"/>
                      <wp:effectExtent l="0" t="635" r="0" b="0"/>
                      <wp:wrapNone/>
                      <wp:docPr id="1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8"/>
                              <pic:cNvPicPr>
                                <a:picLocks noChangeAspect="1"/>
                              </pic:cNvPicPr>
                              <pic:nvPr/>
                            </pic:nvPicPr>
                            <pic:blipFill>
                              <a:blip r:embed="rId30"/>
                              <a:stretch/>
                            </pic:blipFill>
                            <pic:spPr bwMode="auto">
                              <a:xfrm>
                                <a:off x="0" y="0"/>
                                <a:ext cx="1091242" cy="756871"/>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1552;o:allowoverlap:true;o:allowincell:true;mso-position-horizontal-relative:text;margin-left:7.5pt;mso-position-horizontal:absolute;mso-position-vertical-relative:text;margin-top:45.8pt;mso-position-vertical:absolute;width:87.0pt;height:60.8pt;mso-wrap-distance-left:9.0pt;mso-wrap-distance-top:0.0pt;mso-wrap-distance-right:9.0pt;mso-wrap-distance-bottom:0.0pt;" stroked="f" strokeweight="0.75pt">
                      <v:path textboxrect="0,0,0,0"/>
                      <v:imagedata r:id="rId30" o:title=""/>
                    </v:shape>
                  </w:pict>
                </mc:Fallback>
              </mc:AlternateContent>
            </w:r>
            <w:r/>
          </w:p>
        </w:tc>
      </w:tr>
      <w:tr>
        <w:trPr>
          <w:trHeight w:val="2967"/>
        </w:trPr>
        <w:tc>
          <w:tcPr>
            <w:shd w:val="clear" w:color="auto" w:fill="auto"/>
            <w:tcBorders>
              <w:top w:val="single" w:color="auto"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四人餐桌</w:t>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餐桌规格</w:t>
            </w:r>
            <w:r>
              <w:rPr>
                <w:rFonts w:hint="eastAsia" w:ascii="宋体" w:hAnsi="宋体" w:cs="宋体"/>
                <w:color w:val="auto"/>
                <w:sz w:val="18"/>
                <w:szCs w:val="18"/>
                <w:highlight w:val="none"/>
              </w:rPr>
              <w:t xml:space="preserve">：1400*800*750mm，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1.桌面采用25mm橡胶木实木齿接板制作，四脚采用橡胶木实木制作棱角弧度处理，材料经过防虫，防腐处理，木材含水率符合8%-12%标准；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2.采用环保水性漆，三底二面油漆工艺，水性油漆符合GB/T23999-2009标准；</w:t>
            </w:r>
            <w:r>
              <w:rPr>
                <w:rFonts w:hint="eastAsia" w:ascii="宋体" w:hAnsi="宋体" w:cs="宋体"/>
                <w:color w:val="auto"/>
                <w:sz w:val="18"/>
                <w:szCs w:val="18"/>
                <w:highlight w:val="none"/>
              </w:rPr>
              <w:br/>
            </w:r>
            <w:r>
              <w:rPr>
                <w:rFonts w:hint="eastAsia" w:ascii="宋体" w:hAnsi="宋体" w:cs="宋体"/>
                <w:b/>
                <w:bCs/>
                <w:color w:val="auto"/>
                <w:sz w:val="18"/>
                <w:szCs w:val="18"/>
                <w:highlight w:val="none"/>
              </w:rPr>
              <w:t xml:space="preserve">椅子规格：</w:t>
            </w:r>
            <w:r>
              <w:rPr>
                <w:rFonts w:hint="eastAsia" w:ascii="宋体" w:hAnsi="宋体" w:cs="宋体"/>
                <w:color w:val="auto"/>
                <w:sz w:val="18"/>
                <w:szCs w:val="18"/>
                <w:highlight w:val="none"/>
              </w:rPr>
              <w:t xml:space="preserve">常规,坐高440mm,采用橡胶木实木制作，四脚棱角弧度处理，材料经过防虫，防腐处理，含水率符合8%~12%标准。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3.采用环保水性漆，三底二面油漆工艺，水性油漆符合GB/T23999-2009标准；</w:t>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21</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219075</wp:posOffset>
                      </wp:positionH>
                      <wp:positionV relativeFrom="paragraph">
                        <wp:posOffset>504825</wp:posOffset>
                      </wp:positionV>
                      <wp:extent cx="971550" cy="904875"/>
                      <wp:effectExtent l="0" t="0" r="635" b="0"/>
                      <wp:wrapNone/>
                      <wp:docPr id="19"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1"/>
                              <pic:cNvPicPr>
                                <a:picLocks noChangeAspect="1"/>
                              </pic:cNvPicPr>
                              <pic:nvPr/>
                            </pic:nvPicPr>
                            <pic:blipFill>
                              <a:blip r:embed="rId31"/>
                              <a:stretch/>
                            </pic:blipFill>
                            <pic:spPr bwMode="auto">
                              <a:xfrm>
                                <a:off x="0" y="0"/>
                                <a:ext cx="953558" cy="887681"/>
                              </a:xfrm>
                              <a:prstGeom prst="rect">
                                <a:avLst/>
                              </a:prstGeom>
                              <a:noFill/>
                              <a:ln w="9525">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3600;o:allowoverlap:true;o:allowincell:true;mso-position-horizontal-relative:text;margin-left:17.2pt;mso-position-horizontal:absolute;mso-position-vertical-relative:text;margin-top:39.8pt;mso-position-vertical:absolute;width:76.5pt;height:71.2pt;mso-wrap-distance-left:9.0pt;mso-wrap-distance-top:0.0pt;mso-wrap-distance-right:9.0pt;mso-wrap-distance-bottom:0.0pt;" stroked="f" strokeweight="0.75pt">
                      <v:path textboxrect="0,0,0,0"/>
                      <v:imagedata r:id="rId31" o:title=""/>
                    </v:shape>
                  </w:pict>
                </mc:Fallback>
              </mc:AlternateContent>
            </w:r>
            <w:r/>
          </w:p>
        </w:tc>
      </w:tr>
      <w:tr>
        <w:trPr>
          <w:trHeight w:val="2838"/>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吧桌</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pacing w:after="240"/>
              <w:shd w:val="clear" w:color="auto" w:fill="auto"/>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规格</w:t>
            </w:r>
            <w:r>
              <w:rPr>
                <w:rFonts w:hint="eastAsia" w:ascii="宋体" w:hAnsi="宋体" w:cs="宋体"/>
                <w:color w:val="auto"/>
                <w:sz w:val="18"/>
                <w:szCs w:val="18"/>
                <w:highlight w:val="none"/>
              </w:rPr>
              <w:t xml:space="preserve">：2000*400*1050mm，（一桌四凳为一套）</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1.桌面采用45mm厚板材制作，木材含水率符合8%-12%标准；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2.钢架采用40*40*1.2mm方管，底部横拉杆加固，表面塑粉喷涂；</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3.钢架采用卡扣式连接；</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高脚凳</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凳面直径340mm，高度750mm，凳面采用橡胶木实木制作，木材含水率符合8%-12%标准，钢架采用≥25*25*1.2mm方管，防锈处理，表面塑粉喷涂，甲醛释放量符合国家标准；</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82550</wp:posOffset>
                      </wp:positionH>
                      <wp:positionV relativeFrom="paragraph">
                        <wp:posOffset>316865</wp:posOffset>
                      </wp:positionV>
                      <wp:extent cx="1113790" cy="1047115"/>
                      <wp:effectExtent l="19050" t="0" r="0" b="0"/>
                      <wp:wrapNone/>
                      <wp:docPr id="2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
                              <pic:cNvPicPr>
                                <a:picLocks noChangeAspect="1"/>
                              </pic:cNvPicPr>
                              <pic:nvPr/>
                            </pic:nvPicPr>
                            <pic:blipFill>
                              <a:blip r:embed="rId32"/>
                              <a:stretch/>
                            </pic:blipFill>
                            <pic:spPr bwMode="auto">
                              <a:xfrm flipH="1">
                                <a:off x="0" y="0"/>
                                <a:ext cx="1113790" cy="10471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4624;o:allowoverlap:true;o:allowincell:true;mso-position-horizontal-relative:text;margin-left:6.5pt;mso-position-horizontal:absolute;mso-position-vertical-relative:text;margin-top:24.9pt;mso-position-vertical:absolute;width:87.7pt;height:82.5pt;mso-wrap-distance-left:9.0pt;mso-wrap-distance-top:0.0pt;mso-wrap-distance-right:9.0pt;mso-wrap-distance-bottom:0.0pt;flip:x;" stroked="f" strokeweight="0.75pt">
                      <v:path textboxrect="0,0,0,0"/>
                      <v:imagedata r:id="rId32" o:title=""/>
                    </v:shape>
                  </w:pict>
                </mc:Fallback>
              </mc:AlternateContent>
            </w:r>
            <w:r/>
          </w:p>
        </w:tc>
      </w:tr>
      <w:tr>
        <w:trPr>
          <w:trHeight w:val="3645"/>
        </w:trPr>
        <w:tc>
          <w:tcPr>
            <w:shd w:val="clear" w:color="auto" w:fill="auto"/>
            <w:tcBorders>
              <w:top w:val="single" w:color="auto" w:sz="4" w:space="0"/>
              <w:left w:val="single" w:color="auto" w:sz="4" w:space="0"/>
              <w:right w:val="single" w:color="auto" w:sz="4" w:space="0"/>
            </w:tcBorders>
            <w:tcW w:w="2078" w:type="dxa"/>
            <w:vAlign w:val="center"/>
            <w:vMerge w:val="restart"/>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单人桌椅</w:t>
            </w:r>
            <w:r/>
          </w:p>
        </w:tc>
        <w:tc>
          <w:tcPr>
            <w:shd w:val="clear" w:color="auto" w:fill="auto"/>
            <w:tcBorders>
              <w:top w:val="single" w:color="auto" w:sz="4" w:space="0"/>
              <w:left w:val="none" w:color="000000" w:sz="4" w:space="0"/>
              <w:right w:val="single" w:color="auto" w:sz="4" w:space="0"/>
            </w:tcBorders>
            <w:tcW w:w="4515" w:type="dxa"/>
            <w:vAlign w:val="center"/>
            <w:vMerge w:val="restart"/>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1.桌子规格：桌面采用直径600mm，高度750mm，底盘直径300mm，钢架采用≥</w:t>
            </w:r>
            <w:r>
              <w:rPr>
                <w:rFonts w:hint="eastAsia" w:ascii="MS Mincho" w:hAnsi="MS Mincho" w:eastAsia="MS Mincho" w:cs="MS Mincho"/>
                <w:color w:val="auto"/>
                <w:sz w:val="18"/>
                <w:szCs w:val="18"/>
                <w:highlight w:val="none"/>
              </w:rPr>
              <w:t xml:space="preserve">∅</w:t>
            </w:r>
            <w:r>
              <w:rPr>
                <w:rFonts w:hint="eastAsia" w:ascii="宋体" w:hAnsi="宋体" w:cs="宋体"/>
                <w:color w:val="auto"/>
                <w:sz w:val="18"/>
                <w:szCs w:val="18"/>
                <w:highlight w:val="none"/>
              </w:rPr>
              <w:t xml:space="preserve">30*1.2mm圆管，钢架防锈处理，表面热固性粉末喷涂，甲醛释放量符合国家标准；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2.椅子规格：450*450*770mm，采用实木椅架，经防腐防霉处理，木材含水率符合8%-12%标准；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3.油漆：三底二面环保油漆，水性油漆符合GB/T23999-2009标准；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座、靠垫采用高回弹海绵，透气皮革，符合GB/T 16799-2018标准；</w:t>
            </w:r>
            <w:r/>
          </w:p>
        </w:tc>
        <w:tc>
          <w:tcPr>
            <w:shd w:val="clear" w:color="auto" w:fill="auto"/>
            <w:tcBorders>
              <w:top w:val="single" w:color="auto" w:sz="4" w:space="0"/>
              <w:left w:val="none" w:color="000000" w:sz="4" w:space="0"/>
              <w:right w:val="single" w:color="auto" w:sz="4" w:space="0"/>
            </w:tcBorders>
            <w:tcW w:w="595" w:type="dxa"/>
            <w:vAlign w:val="center"/>
            <w:vMerge w:val="restart"/>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10</w:t>
            </w:r>
            <w:r/>
          </w:p>
        </w:tc>
        <w:tc>
          <w:tcPr>
            <w:shd w:val="clear" w:color="auto" w:fill="auto"/>
            <w:tcBorders>
              <w:top w:val="single" w:color="auto" w:sz="4" w:space="0"/>
              <w:left w:val="none" w:color="000000" w:sz="4" w:space="0"/>
              <w:right w:val="single" w:color="auto" w:sz="4" w:space="0"/>
            </w:tcBorders>
            <w:tcW w:w="680" w:type="dxa"/>
            <w:vAlign w:val="center"/>
            <w:vMerge w:val="restart"/>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581025</wp:posOffset>
                      </wp:positionH>
                      <wp:positionV relativeFrom="paragraph">
                        <wp:posOffset>102870</wp:posOffset>
                      </wp:positionV>
                      <wp:extent cx="742950" cy="1076325"/>
                      <wp:effectExtent l="19050" t="0" r="0" b="0"/>
                      <wp:wrapNone/>
                      <wp:docPr id="2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4"/>
                              <pic:cNvPicPr>
                                <a:picLocks noChangeAspect="1"/>
                              </pic:cNvPicPr>
                              <pic:nvPr/>
                            </pic:nvPicPr>
                            <pic:blipFill>
                              <a:blip r:embed="rId33"/>
                              <a:stretch/>
                            </pic:blipFill>
                            <pic:spPr bwMode="auto">
                              <a:xfrm>
                                <a:off x="0" y="0"/>
                                <a:ext cx="742950" cy="10763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80768;o:allowoverlap:true;o:allowincell:true;mso-position-horizontal-relative:text;margin-left:45.8pt;mso-position-horizontal:absolute;mso-position-vertical-relative:text;margin-top:8.1pt;mso-position-vertical:absolute;width:58.5pt;height:84.8pt;mso-wrap-distance-left:9.0pt;mso-wrap-distance-top:0.0pt;mso-wrap-distance-right:9.0pt;mso-wrap-distance-bottom:0.0pt;" stroked="f" strokeweight="0.75pt">
                      <v:path textboxrect="0,0,0,0"/>
                      <v:imagedata r:id="rId33" o:title=""/>
                    </v:shape>
                  </w:pict>
                </mc:Fallback>
              </mc:AlternateContent>
            </w:r>
            <w:r>
              <w:rPr>
                <w:rFonts w:ascii="宋体" w:hAnsi="宋体" w:cs="宋体"/>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-47625</wp:posOffset>
                      </wp:positionH>
                      <wp:positionV relativeFrom="paragraph">
                        <wp:posOffset>118745</wp:posOffset>
                      </wp:positionV>
                      <wp:extent cx="628650" cy="1057275"/>
                      <wp:effectExtent l="19050" t="0" r="0" b="0"/>
                      <wp:wrapNone/>
                      <wp:docPr id="2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1"/>
                              <pic:cNvPicPr>
                                <a:picLocks noChangeAspect="1"/>
                              </pic:cNvPicPr>
                              <pic:nvPr/>
                            </pic:nvPicPr>
                            <pic:blipFill>
                              <a:blip r:embed="rId34"/>
                              <a:stretch/>
                            </pic:blipFill>
                            <pic:spPr bwMode="auto">
                              <a:xfrm>
                                <a:off x="0" y="0"/>
                                <a:ext cx="628650" cy="10572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81792;o:allowoverlap:true;o:allowincell:true;mso-position-horizontal-relative:text;margin-left:-3.8pt;mso-position-horizontal:absolute;mso-position-vertical-relative:text;margin-top:9.3pt;mso-position-vertical:absolute;width:49.5pt;height:83.2pt;mso-wrap-distance-left:9.0pt;mso-wrap-distance-top:0.0pt;mso-wrap-distance-right:9.0pt;mso-wrap-distance-bottom:0.0pt;" stroked="f" strokeweight="0.75pt">
                      <v:path textboxrect="0,0,0,0"/>
                      <v:imagedata r:id="rId34" o:title=""/>
                    </v:shape>
                  </w:pict>
                </mc:Fallback>
              </mc:AlternateContent>
            </w:r>
            <w:r/>
          </w:p>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tc>
      </w:tr>
      <w:tr>
        <w:trPr/>
        <w:tc>
          <w:tcPr>
            <w:shd w:val="clear" w:color="auto" w:fill="auto"/>
            <w:tcBorders>
              <w:left w:val="single" w:color="auto" w:sz="4" w:space="0"/>
              <w:bottom w:val="single" w:color="auto" w:sz="4" w:space="0"/>
              <w:right w:val="single" w:color="auto" w:sz="4" w:space="0"/>
            </w:tcBorders>
            <w:tcW w:w="2078" w:type="dxa"/>
            <w:vAlign w:val="center"/>
            <w:vMerge w:val="continue"/>
            <w:textDirection w:val="lrTb"/>
            <w:noWrap w:val="false"/>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none" w:color="000000" w:sz="4" w:space="0"/>
              <w:bottom w:val="single" w:color="auto" w:sz="4" w:space="0"/>
              <w:right w:val="single" w:color="auto" w:sz="4" w:space="0"/>
            </w:tcBorders>
            <w:tcW w:w="4515" w:type="dxa"/>
            <w:vAlign w:val="center"/>
            <w:vMerge w:val="continue"/>
            <w:textDirection w:val="lrTb"/>
            <w:noWrap w:val="false"/>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none" w:color="000000" w:sz="4" w:space="0"/>
              <w:bottom w:val="single" w:color="auto" w:sz="4" w:space="0"/>
              <w:right w:val="single" w:color="auto" w:sz="4" w:space="0"/>
            </w:tcBorders>
            <w:tcW w:w="595" w:type="dxa"/>
            <w:vAlign w:val="center"/>
            <w:vMerge w:val="continue"/>
            <w:textDirection w:val="lrTb"/>
            <w:noWrap/>
          </w:tcPr>
          <w:p>
            <w:pPr>
              <w:jc w:val="center"/>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left w:val="none" w:color="000000" w:sz="4" w:space="0"/>
              <w:bottom w:val="single" w:color="auto" w:sz="4" w:space="0"/>
              <w:right w:val="single" w:color="auto" w:sz="4" w:space="0"/>
            </w:tcBorders>
            <w:tcW w:w="680" w:type="dxa"/>
            <w:vAlign w:val="center"/>
            <w:vMerge w:val="continue"/>
            <w:textDirection w:val="lrTb"/>
            <w:noWrap/>
          </w:tcPr>
          <w:p>
            <w:pPr>
              <w:jc w:val="center"/>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auto" w:sz="4" w:space="0"/>
              <w:left w:val="none" w:color="000000" w:sz="4" w:space="0"/>
              <w:bottom w:val="none" w:color="000000" w:sz="4" w:space="0"/>
              <w:right w:val="none" w:color="000000" w:sz="4" w:space="0"/>
            </w:tcBorders>
            <w:tcW w:w="2339" w:type="dxa"/>
            <w:vAlign w:val="center"/>
            <w:textDirection w:val="lrTb"/>
            <w:noWrap/>
          </w:tcPr>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tc>
      </w:tr>
      <w:tr>
        <w:trPr>
          <w:trHeight w:val="11700"/>
        </w:trPr>
        <w:tc>
          <w:tcPr>
            <w:shd w:val="clear" w:color="auto" w:fill="auto"/>
            <w:tcBorders>
              <w:top w:val="single" w:color="auto" w:sz="4" w:space="0"/>
              <w:left w:val="single" w:color="auto" w:sz="4" w:space="0"/>
              <w:right w:val="single" w:color="auto" w:sz="4" w:space="0"/>
            </w:tcBorders>
            <w:tcW w:w="2078" w:type="dxa"/>
            <w:vAlign w:val="center"/>
            <w:vMerge w:val="restart"/>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公寓床</w:t>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rPr>
                <w:rFonts w:ascii="宋体" w:hAnsi="宋体" w:cs="宋体"/>
                <w:color w:val="auto"/>
                <w:sz w:val="18"/>
                <w:szCs w:val="18"/>
                <w:highlight w:val="none"/>
              </w:rPr>
            </w:pPr>
            <w:r>
              <w:rPr>
                <w:rFonts w:hint="eastAsia" w:ascii="宋体" w:hAnsi="宋体" w:cs="宋体"/>
                <w:color w:val="auto"/>
                <w:sz w:val="18"/>
                <w:szCs w:val="18"/>
                <w:highlight w:val="none"/>
              </w:rPr>
              <w:t xml:space="preserve">1、一组（两连体含中梯）规格：4630*990*2050mm,其中单人规格：2040*990*2050mm，中梯宽度550mm，含蚊帐架高度3000mm，蚊帐架插入立柱深度80mm。</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1.1 工艺要求：床两侧框架采用椭圆型带倒挂榫卯结构设计，榫卯处采用水基型胶粘剂胶粘粘合，稳固耐用；床立柱与长横梁及前护拦采用优质螺栓及螺帽连接固定；所有棱角处圆弧处理，防止磕碰受伤。</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1.2 材质要求：主体材质采用辐射松，木材外观无明显贯通裂缝、孔洞、虫蛀、腐朽材、树脂囊、死节；</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1.3 床立柱：采用60mm*80mm辐射松，为防潮，防霉，床脚外套pp材质一次注塑成型的塑料脚套，脚套高度200mm,脚套底部装有螺丝可调节高度，脚套厚度3mm；</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1.4 长横梁：采用100mm*30mm辐射松；</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1.5 侧短横梁：采用70mm*30mm辐射松；</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1.6前护栏：横料采用≥80mm*30mm辐射松制作，竖料采用≥47mm*25mm辐射松制作；下层内镶入一块护栏板，采用PE聚乙烯材质中空吹塑成型，规格为1780mm±5mm*220mm±5mm*25±2mm（长*高*厚）；护栏板外侧中间带有一个内径直径128mm±2</w:t>
            </w:r>
            <w:r>
              <w:rPr>
                <w:rFonts w:hint="eastAsia" w:ascii="宋体" w:hAnsi="宋体" w:cs="宋体"/>
                <w:color w:val="auto"/>
                <w:sz w:val="18"/>
                <w:szCs w:val="18"/>
                <w:highlight w:val="none"/>
              </w:rPr>
              <w:t xml:space="preserve">mm的圆形凹槽可粘贴学生信息卡或校徽；护栏板靠人休息时头部方向带有一个推拉观察窗，规格：长450mm±5mm*高170mm±2mm（观察窗便于学生休息时不用起身观察外部情况，并且宿管查房时也可以推拉观察窗进行检查）；护栏板内侧两边均设有被褥高度警示线，并设有不低于2个储物盒，单个储物盒内径规格：长216mm±2mm*上端开口处宽16mm±2mm*底部宽12mm±2mm*高58mm±2mm，便于学生放置手机、钥匙及眼镜等物品。1.7 侧护栏：横料采用47mm*30mm辐射松，竖料采用47mm*25mm辐射松；</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1.8 爬梯：宽度：550mm，楼梯要设置门，方便储物，楼梯踏步设计有375*85防滑夜光软垫，软垫材质为TPE75-1注塑成型。软垫背面具有10个固定点固定牢固稳定、正面设有不少于60个菱形防滑点,楼梯踏步板采用25mm厚辐射松；</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1.9 床板支撑：采用≥50mm*35mm实木木方制作，每个床位不低于5根。</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★1.10 床板：采用中空吹塑床板，规格为：≥1915*910*20mm，不少于51个透气孔；</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1.11 油漆工艺：采用环保水性油漆喷涂，三底两面，水性油漆符合GB/T23999-2009标准。</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1.12、床下书桌面：≥1152*910/596*25mm辐射松，桌面L型靠身前弯弧采用人体工程学小圆弧设计，最大化体前空间，四周及笔槽采用注塑封边成型，左侧面设计有笔槽，笔槽的规格：≥240*30mm，桌面下柜后面预留放置行李箱空间；</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1.13、床下衣柜：整体规格≥778*618（深度）*1650mm，高度为床下最高净空合理设计，采用17mm厚辐射松实木齿接板，内设一层搁板，下层配挂衣杆，门板采用17mm厚辐射松实木齿接板；</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1.14、蚊帐架：采用直径19mm*1.0mm圆钢管，三通塑料连接件形式连接；</w:t>
            </w:r>
            <w:r>
              <w:rPr>
                <w:rFonts w:hint="eastAsia" w:ascii="宋体" w:hAnsi="宋体" w:cs="宋体"/>
                <w:color w:val="auto"/>
                <w:sz w:val="18"/>
                <w:szCs w:val="18"/>
                <w:highlight w:val="none"/>
              </w:rPr>
              <w:br w:type="page" w:clear="all"/>
            </w:r>
            <w:r>
              <w:rPr>
                <w:rFonts w:hint="eastAsia" w:ascii="宋体" w:hAnsi="宋体" w:cs="宋体"/>
                <w:b/>
                <w:bCs/>
                <w:color w:val="auto"/>
                <w:sz w:val="18"/>
                <w:szCs w:val="18"/>
                <w:highlight w:val="none"/>
              </w:rPr>
              <w:t xml:space="preserve">▲1.15、辐射松：</w:t>
            </w:r>
            <w:r>
              <w:rPr>
                <w:rFonts w:hint="eastAsia" w:ascii="宋体" w:hAnsi="宋体" w:cs="宋体"/>
                <w:color w:val="auto"/>
                <w:sz w:val="18"/>
                <w:szCs w:val="18"/>
                <w:highlight w:val="none"/>
              </w:rPr>
              <w:t xml:space="preserve">投标时由投标人或所投产品生产厂家提供具备CMA或CNAS标识的第三方检测机构出具的抽样检验报告原件扫描件，单份报告包含但不限于检测内容具</w:t>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368</w:t>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rPr>
                <w:rFonts w:ascii="宋体" w:hAnsi="宋体" w:cs="宋体"/>
                <w:color w:val="auto"/>
                <w:sz w:val="22"/>
                <w:highlight w:val="none"/>
              </w:rPr>
            </w:pPr>
            <w:r>
              <w:rPr>
                <w:rFonts w:ascii="宋体" w:hAnsi="宋体" w:cs="宋体"/>
                <w:color w:val="auto"/>
                <w:sz w:val="22"/>
                <w:highlight w:val="none"/>
              </w:rPr>
            </w:r>
            <w:r/>
          </w:p>
          <w:p>
            <w:pPr>
              <w:jc w:val="left"/>
              <w:shd w:val="clear" w:color="auto" w:fill="auto"/>
              <w:widowControl/>
              <w:rPr>
                <w:rFonts w:ascii="宋体" w:hAnsi="宋体" w:cs="宋体"/>
                <w:color w:val="auto"/>
                <w:sz w:val="22"/>
                <w:highlight w:val="none"/>
              </w:rPr>
            </w:pPr>
            <w:r>
              <w:rPr>
                <w:rFonts w:ascii="宋体" w:hAnsi="宋体" w:cs="宋体"/>
                <w:color w:val="auto"/>
                <w:sz w:val="22"/>
                <w:highlight w:val="none"/>
              </w:rPr>
            </w:r>
            <w:r/>
          </w:p>
        </w:tc>
      </w:tr>
      <w:tr>
        <w:trPr>
          <w:trHeight w:val="4437"/>
        </w:trPr>
        <w:tc>
          <w:tcPr>
            <w:shd w:val="clear" w:color="auto" w:fill="auto"/>
            <w:tcBorders>
              <w:left w:val="single" w:color="auto" w:sz="4" w:space="0"/>
              <w:bottom w:val="single" w:color="auto" w:sz="4" w:space="0"/>
              <w:right w:val="single" w:color="auto" w:sz="4" w:space="0"/>
            </w:tcBorders>
            <w:tcW w:w="2078" w:type="dxa"/>
            <w:vAlign w:val="center"/>
            <w:vMerge w:val="continue"/>
            <w:textDirection w:val="lrTb"/>
            <w:noWrap w:val="false"/>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rPr>
                <w:rFonts w:ascii="宋体" w:hAnsi="宋体" w:cs="宋体"/>
                <w:color w:val="auto"/>
                <w:sz w:val="18"/>
                <w:szCs w:val="18"/>
                <w:highlight w:val="none"/>
              </w:rPr>
            </w:pPr>
            <w:r>
              <w:rPr>
                <w:rFonts w:hint="eastAsia" w:ascii="宋体" w:hAnsi="宋体" w:cs="宋体"/>
                <w:color w:val="auto"/>
                <w:sz w:val="18"/>
                <w:szCs w:val="18"/>
                <w:highlight w:val="none"/>
              </w:rPr>
              <w:t xml:space="preserve">有：LY/T 1985-2011：五氯苯酚含量未检出；</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甲醛释放量≤0.124mg/m3；</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SN/T 3361-2012：有机锡化合物：一丁基锡(MBT)、二丁基锡(DBT)、三丁基锡(TBT)、三苯基锡(TPhT) 均未检出；</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GB/T 27653-2011：季铵盐的质量分数≤1%；</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LY/T 2152-2013：抗冲击压痕性能：径面≥12.0kJ/m2，弦面≥12.0kJ/m2；</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二、五金配件：</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2.1、衣柜大门拉手：底座采用铝合金一体压铸成型规格：≥190*40*5mm，内置锁具孔，拉手部分采用塑料一体注塑成型规格：≥173*25mm；</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2.2、书桌柜门及抽屉拉手：采用暗拉手设计；</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2.3、阻尼导轨：采用选用符合 QB/T 2454-2013标准导轨，壁厚≥1.2mm；</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2.4、阻尼铰链：选用符合QB/T 2189-2013标准阻尼铰链。</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三、铝合金方凳</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★1、规格：380×280×440mm，方凳整体为铝塑结合，凳架采用国标铝合金经一次浇铸成型，外层采用塑粉静电喷塑处理。凳脚加装PP（聚丙烯）脚套；</w:t>
            </w:r>
            <w:r>
              <w:rPr>
                <w:rFonts w:hint="eastAsia" w:ascii="宋体" w:hAnsi="宋体" w:cs="宋体"/>
                <w:color w:val="auto"/>
                <w:sz w:val="18"/>
                <w:szCs w:val="18"/>
                <w:highlight w:val="none"/>
              </w:rPr>
              <w:br w:type="page" w:clear="all"/>
            </w:r>
            <w:r>
              <w:rPr>
                <w:rFonts w:hint="eastAsia" w:ascii="宋体" w:hAnsi="宋体" w:cs="宋体"/>
                <w:color w:val="auto"/>
                <w:sz w:val="18"/>
                <w:szCs w:val="18"/>
                <w:highlight w:val="none"/>
              </w:rPr>
              <w:t xml:space="preserve">2、凳面板：凳面厚度不小于20mm，采用PP（或HDPE）材质一体发泡成型，凳面设置透气孔，凳面板嵌入式安装在铝合金衬托框中。</w:t>
            </w:r>
            <w:r/>
          </w:p>
        </w:tc>
        <w:tc>
          <w:tcPr>
            <w:shd w:val="clear" w:color="auto" w:fill="auto"/>
            <w:tcBorders>
              <w:top w:val="single" w:color="auto"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auto" w:sz="4" w:space="0"/>
              <w:left w:val="none" w:color="000000" w:sz="4" w:space="0"/>
              <w:bottom w:val="none" w:color="000000" w:sz="4" w:space="0"/>
              <w:right w:val="single" w:color="auto" w:sz="4" w:space="0"/>
            </w:tcBorders>
            <w:tcW w:w="2339" w:type="dxa"/>
            <w:vAlign w:val="center"/>
            <w:textDirection w:val="lrTb"/>
            <w:noWrap/>
          </w:tcPr>
          <w:p>
            <w:pPr>
              <w:jc w:val="left"/>
              <w:shd w:val="clear" w:color="auto" w:fill="auto"/>
              <w:rPr>
                <w:rFonts w:ascii="宋体" w:hAnsi="宋体" w:cs="宋体"/>
                <w:color w:val="auto"/>
                <w:sz w:val="22"/>
                <w:highlight w:val="none"/>
              </w:rPr>
            </w:pPr>
            <w:r>
              <w:rPr>
                <w:rFonts w:ascii="宋体" w:hAnsi="宋体" w:cs="宋体"/>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-47625</wp:posOffset>
                      </wp:positionH>
                      <wp:positionV relativeFrom="paragraph">
                        <wp:posOffset>639445</wp:posOffset>
                      </wp:positionV>
                      <wp:extent cx="1428115" cy="1133475"/>
                      <wp:effectExtent l="19050" t="0" r="635" b="0"/>
                      <wp:wrapNone/>
                      <wp:docPr id="2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
                              <pic:cNvPicPr>
                                <a:picLocks noChangeAspect="1"/>
                              </pic:cNvPicPr>
                              <pic:nvPr/>
                            </pic:nvPicPr>
                            <pic:blipFill>
                              <a:blip r:embed="rId35"/>
                              <a:stretch/>
                            </pic:blipFill>
                            <pic:spPr bwMode="auto">
                              <a:xfrm>
                                <a:off x="0" y="0"/>
                                <a:ext cx="1428115" cy="11334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82816;o:allowoverlap:true;o:allowincell:true;mso-position-horizontal-relative:text;margin-left:-3.8pt;mso-position-horizontal:absolute;mso-position-vertical-relative:text;margin-top:50.3pt;mso-position-vertical:absolute;width:112.4pt;height:89.2pt;mso-wrap-distance-left:9.0pt;mso-wrap-distance-top:0.0pt;mso-wrap-distance-right:9.0pt;mso-wrap-distance-bottom:0.0pt;" stroked="false">
                      <v:path textboxrect="0,0,0,0"/>
                      <v:imagedata r:id="rId35" o:title=""/>
                    </v:shape>
                  </w:pict>
                </mc:Fallback>
              </mc:AlternateContent>
            </w:r>
            <w:r/>
          </w:p>
        </w:tc>
      </w:tr>
      <w:tr>
        <w:trPr>
          <w:trHeight w:val="4542"/>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教师值班室床</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pacing w:after="240"/>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规格：2120*1200*960mm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1.基材:采用优质橡胶木实木，木材经干燥处理，含水率符合符合8%~12%标准。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2.靠背:立柱用材规格不小于42mm*80mm，上下横档不小于30mm*60mm，内嵌橡胶木实木齿接板；</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3.床尾：立柱和上下横梁用材规格不小于40mm*60mm，内嵌橡胶木实木齿接板；</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4.床沿规格不小于30mm*120mm，下沿距离地面约285mm。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5.托档:用材规格不小于37mm*55mm实木。</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6.铺板:铺板条用材厚度不小于14mm,铺板条间距不大于30mm。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7.油漆:采用水性木器漆,经三底两面油漆，水性油漆符合GB/T23999-2009标准。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8.五金件 :配件均使用优质五金配件。</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9.成品要求:靠背高度960mm,靠背设计美观大方实用,靠背与床板夹角设计应符合人体工程学,床脚等处直角作钝化处理。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10.床尾板高度450mm。 </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180975</wp:posOffset>
                      </wp:positionH>
                      <wp:positionV relativeFrom="paragraph">
                        <wp:posOffset>923925</wp:posOffset>
                      </wp:positionV>
                      <wp:extent cx="981075" cy="771525"/>
                      <wp:effectExtent l="0" t="635" r="0" b="0"/>
                      <wp:wrapNone/>
                      <wp:docPr id="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
                              <pic:cNvPicPr>
                                <a:picLocks noChangeAspect="1"/>
                              </pic:cNvPicPr>
                              <pic:nvPr/>
                            </pic:nvPicPr>
                            <pic:blipFill>
                              <a:blip r:embed="rId36"/>
                              <a:stretch/>
                            </pic:blipFill>
                            <pic:spPr bwMode="auto">
                              <a:xfrm>
                                <a:off x="0" y="0"/>
                                <a:ext cx="978437" cy="762266"/>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1312;o:allowoverlap:true;o:allowincell:true;mso-position-horizontal-relative:text;margin-left:14.2pt;mso-position-horizontal:absolute;mso-position-vertical-relative:text;margin-top:72.8pt;mso-position-vertical:absolute;width:77.2pt;height:60.8pt;mso-wrap-distance-left:9.0pt;mso-wrap-distance-top:0.0pt;mso-wrap-distance-right:9.0pt;mso-wrap-distance-bottom:0.0pt;" stroked="f">
                      <v:path textboxrect="0,0,0,0"/>
                      <v:imagedata r:id="rId36" o:title=""/>
                    </v:shape>
                  </w:pict>
                </mc:Fallback>
              </mc:AlternateContent>
            </w:r>
            <w:r/>
          </w:p>
        </w:tc>
      </w:tr>
      <w:tr>
        <w:trPr>
          <w:trHeight w:val="3540"/>
        </w:trPr>
        <w:tc>
          <w:tcPr>
            <w:shd w:val="clear" w:color="auto" w:fill="auto"/>
            <w:tcBorders>
              <w:top w:val="none" w:color="000000" w:sz="4" w:space="0"/>
              <w:left w:val="single" w:color="auto" w:sz="4" w:space="0"/>
              <w:bottom w:val="single" w:color="auto" w:sz="4" w:space="0"/>
              <w:right w:val="single" w:color="auto" w:sz="4" w:space="0"/>
            </w:tcBorders>
            <w:tcW w:w="2078"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教师值班室床头柜</w:t>
            </w:r>
            <w:r/>
          </w:p>
        </w:tc>
        <w:tc>
          <w:tcPr>
            <w:shd w:val="clear" w:color="auto" w:fill="auto"/>
            <w:tcBorders>
              <w:top w:val="none" w:color="000000" w:sz="4" w:space="0"/>
              <w:left w:val="none" w:color="000000" w:sz="4" w:space="0"/>
              <w:bottom w:val="single" w:color="auto" w:sz="4" w:space="0"/>
              <w:right w:val="single" w:color="auto" w:sz="4" w:space="0"/>
            </w:tcBorders>
            <w:tcW w:w="4515" w:type="dxa"/>
            <w:vAlign w:val="center"/>
            <w:textDirection w:val="lrTb"/>
            <w:noWrap w:val="false"/>
          </w:tcPr>
          <w:p>
            <w:pPr>
              <w:jc w:val="left"/>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规格：450*450*500mm；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1、采用≥17mm厚橡胶木全实木齿接板。木材经干燥含水率符合8%~12%标准。</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2、加工工艺：采用连接螺杆加强固定，可使用水基胶粘剂，高精度细砂砂光，木材楞角多经过圆弧度处理，自然、圆润；</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4、导轨：采用选用符合 QB/T 2454-2013标准导轨，壁厚≥1.2mm；</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5、拉手：隐藏式雕刻暗拉手；</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6、油漆：采用“三底二面”工艺，水性油漆涂装，水性底、面漆符合GB/T23999-2009标准。</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680" w:type="dxa"/>
            <w:vAlign w:val="center"/>
            <w:textDirection w:val="lrTb"/>
            <w:noWrap/>
          </w:tcPr>
          <w:p>
            <w:pPr>
              <w:jc w:val="center"/>
              <w:shd w:val="clear" w:color="auto" w:fill="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339" w:type="dxa"/>
            <w:vAlign w:val="center"/>
            <w:textDirection w:val="lrTb"/>
            <w:noWrap/>
          </w:tcPr>
          <w:p>
            <w:pPr>
              <w:jc w:val="left"/>
              <w:shd w:val="clear" w:color="auto" w:fill="auto"/>
              <w:widowControl/>
              <w:rPr>
                <w:rFonts w:ascii="宋体" w:hAnsi="宋体" w:cs="宋体"/>
                <w:color w:val="auto"/>
                <w:sz w:val="18"/>
                <w:szCs w:val="18"/>
                <w:highlight w:val="none"/>
              </w:rPr>
            </w:pPr>
            <w:r>
              <w:rPr>
                <w:rFonts w:ascii="宋体" w:hAnsi="宋体" w:cs="宋体"/>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76200</wp:posOffset>
                      </wp:positionH>
                      <wp:positionV relativeFrom="paragraph">
                        <wp:posOffset>647700</wp:posOffset>
                      </wp:positionV>
                      <wp:extent cx="1209675" cy="1162050"/>
                      <wp:effectExtent l="0" t="0" r="0" b="0"/>
                      <wp:wrapNone/>
                      <wp:docPr id="2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6"/>
                              <pic:cNvPicPr>
                                <a:picLocks noChangeAspect="1"/>
                              </pic:cNvPicPr>
                              <pic:nvPr/>
                            </pic:nvPicPr>
                            <pic:blipFill>
                              <a:blip r:embed="rId37"/>
                              <a:srcRect l="6415" t="0" r="0" b="17174"/>
                              <a:stretch/>
                            </pic:blipFill>
                            <pic:spPr bwMode="auto">
                              <a:xfrm>
                                <a:off x="0" y="0"/>
                                <a:ext cx="1186277" cy="1145599"/>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76672;o:allowoverlap:true;o:allowincell:true;mso-position-horizontal-relative:text;margin-left:6.0pt;mso-position-horizontal:absolute;mso-position-vertical-relative:text;margin-top:51.0pt;mso-position-vertical:absolute;width:95.2pt;height:91.5pt;mso-wrap-distance-left:9.0pt;mso-wrap-distance-top:0.0pt;mso-wrap-distance-right:9.0pt;mso-wrap-distance-bottom:0.0pt;" stroked="f" strokeweight="0.75pt">
                      <v:path textboxrect="0,0,0,0"/>
                      <v:imagedata r:id="rId37" o:title=""/>
                    </v:shape>
                  </w:pict>
                </mc:Fallback>
              </mc:AlternateContent>
            </w:r>
            <w:r/>
          </w:p>
        </w:tc>
      </w:tr>
    </w:tbl>
    <w:p>
      <w:pPr>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注：标“★”技术参数为重要技术参数，不接受负偏离。</w:t>
      </w:r>
      <w:r/>
    </w:p>
    <w:p>
      <w:pPr>
        <w:ind w:firstLine="472"/>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三</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商务</w:t>
      </w:r>
      <w:r>
        <w:rPr>
          <w:rFonts w:ascii="宋体" w:hAnsi="宋体"/>
          <w:b/>
          <w:bCs/>
          <w:color w:val="auto"/>
          <w:sz w:val="24"/>
          <w:szCs w:val="24"/>
          <w:highlight w:val="none"/>
        </w:rPr>
        <w:t xml:space="preserve">要求</w:t>
      </w:r>
      <w:r/>
    </w:p>
    <w:p>
      <w:pPr>
        <w:ind w:firstLine="480"/>
        <w:spacing w:line="440" w:lineRule="exact"/>
        <w:rPr>
          <w:rFonts w:ascii="宋体" w:hAnsi="宋体"/>
          <w:b/>
          <w:bCs/>
          <w:color w:val="auto"/>
          <w:sz w:val="24"/>
          <w:szCs w:val="24"/>
          <w:highlight w:val="none"/>
        </w:rPr>
      </w:pPr>
      <w:r>
        <w:rPr>
          <w:rFonts w:hint="eastAsia" w:ascii="宋体" w:hAnsi="宋体"/>
          <w:bCs/>
          <w:color w:val="auto"/>
          <w:sz w:val="24"/>
          <w:szCs w:val="24"/>
          <w:highlight w:val="none"/>
        </w:rPr>
        <w:t xml:space="preserve">商务要求是指取得采购标的的时间、地点、财务和服务要求，包括交付（实施）的时间（期限）和地点（范围），付款条件（进度和方法），包装和运输，售后服务，保险等。</w:t>
      </w:r>
      <w:r/>
    </w:p>
    <w:p>
      <w:pPr>
        <w:ind w:firstLine="480"/>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其内容包含但不限于以下内容：</w:t>
      </w:r>
      <w:r/>
    </w:p>
    <w:p>
      <w:pPr>
        <w:ind w:firstLine="480"/>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1.采购标的需实现的功能或者目标，以及为落实政府采购政策需满足的要求：</w:t>
      </w:r>
      <w:r/>
    </w:p>
    <w:p>
      <w:pPr>
        <w:ind w:firstLine="480"/>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符合国家最新行业标准及采购人要求。</w:t>
      </w:r>
      <w:r/>
    </w:p>
    <w:p>
      <w:pPr>
        <w:ind w:firstLine="480"/>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2.采购标的需执行的国家相关标准、行业标准、地方标准或者其他标准、规范：</w:t>
      </w:r>
      <w:r/>
    </w:p>
    <w:p>
      <w:pPr>
        <w:ind w:firstLine="480"/>
        <w:spacing w:line="440" w:lineRule="exact"/>
        <w:rPr>
          <w:rFonts w:ascii="宋体" w:hAnsi="宋体"/>
          <w:b/>
          <w:bCs/>
          <w:color w:val="auto"/>
          <w:sz w:val="24"/>
          <w:szCs w:val="24"/>
          <w:highlight w:val="none"/>
        </w:rPr>
      </w:pPr>
      <w:r>
        <w:rPr>
          <w:rFonts w:hint="eastAsia" w:ascii="宋体" w:hAnsi="宋体"/>
          <w:color w:val="auto"/>
          <w:sz w:val="24"/>
          <w:szCs w:val="24"/>
          <w:highlight w:val="none"/>
        </w:rPr>
        <w:t xml:space="preserve">所提供货物质量必须符合国家相关标准及本次采购的要求，若所供货物经产品质量检测机构检测认定质量不合格，造成的损失和后果由该中标供应商负全责。</w:t>
      </w:r>
      <w:r/>
    </w:p>
    <w:p>
      <w:pPr>
        <w:ind w:firstLine="480"/>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3.采购标的需满足的质量、安全、技术规格、物理特性等要求：</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满足验收标准及采购人要求。</w:t>
      </w:r>
      <w:r/>
    </w:p>
    <w:p>
      <w:pPr>
        <w:ind w:firstLine="480"/>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4.采购标的的数量、采购项目交付或者实施的时间和地点：</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采购数量、采购项目：详见采购内容；</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实施的时间：自签订合同之日起60日历天内完成现场安装验收交付，全部家具制作工序完整规范，工艺无缺失、做工规整达标，板材、辅料等环保指标合格，甲醛含量符合国家相关安全标准；</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地点：海安市实验中学（高新区启慧路西侧、高庄路延伸段南侧、泓景路东侧）</w:t>
      </w:r>
      <w:r/>
    </w:p>
    <w:p>
      <w:pPr>
        <w:ind w:firstLine="480"/>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5.采购标的需满足的服务标准、期限、效率等要求：</w:t>
      </w:r>
      <w:r/>
    </w:p>
    <w:p>
      <w:pPr>
        <w:ind w:firstLine="480"/>
        <w:spacing w:line="440" w:lineRule="exact"/>
        <w:rPr>
          <w:rFonts w:ascii="宋体" w:hAnsi="宋体"/>
          <w:b/>
          <w:bCs/>
          <w:color w:val="auto"/>
          <w:sz w:val="24"/>
          <w:szCs w:val="24"/>
          <w:highlight w:val="none"/>
        </w:rPr>
      </w:pPr>
      <w:r>
        <w:rPr>
          <w:rFonts w:hint="eastAsia" w:ascii="宋体" w:hAnsi="宋体"/>
          <w:bCs/>
          <w:color w:val="auto"/>
          <w:sz w:val="24"/>
          <w:szCs w:val="24"/>
          <w:highlight w:val="none"/>
        </w:rPr>
        <w:t xml:space="preserve">交货期（服务时间）：自签订合同之日起60日历天内完成现场安装验收交付，全部家具制作工序完整规范，工艺无缺失、做工规整达标，板材、辅料等环保指标合格，甲醛含量符合国家相关安全标准；</w:t>
      </w:r>
      <w:r/>
    </w:p>
    <w:p>
      <w:pPr>
        <w:ind w:firstLine="480"/>
        <w:spacing w:line="440" w:lineRule="exact"/>
        <w:rPr>
          <w:rFonts w:ascii="宋体" w:hAnsi="宋体"/>
          <w:bCs/>
          <w:color w:val="auto"/>
          <w:sz w:val="24"/>
          <w:szCs w:val="24"/>
          <w:highlight w:val="none"/>
        </w:rPr>
      </w:pPr>
      <w:r>
        <w:rPr>
          <w:rFonts w:hint="eastAsia" w:ascii="宋体" w:hAnsi="宋体"/>
          <w:b/>
          <w:bCs/>
          <w:color w:val="auto"/>
          <w:sz w:val="24"/>
          <w:szCs w:val="24"/>
          <w:highlight w:val="none"/>
        </w:rPr>
        <w:t xml:space="preserve">6.采购标的的验收标准：</w:t>
      </w:r>
      <w:r>
        <w:rPr>
          <w:rFonts w:hint="eastAsia" w:ascii="宋体" w:hAnsi="宋体"/>
          <w:bCs/>
          <w:color w:val="auto"/>
          <w:sz w:val="24"/>
          <w:szCs w:val="24"/>
          <w:highlight w:val="none"/>
        </w:rPr>
        <w:t xml:space="preserve">符合国家最新行业标准及采购人要求。</w:t>
      </w:r>
      <w:r/>
    </w:p>
    <w:p>
      <w:pPr>
        <w:ind w:firstLine="482"/>
        <w:spacing w:line="560" w:lineRule="exact"/>
        <w:rPr>
          <w:b/>
          <w:color w:val="auto"/>
          <w:sz w:val="24"/>
          <w:szCs w:val="24"/>
          <w:highlight w:val="none"/>
        </w:rPr>
      </w:pPr>
      <w:r>
        <w:rPr>
          <w:rFonts w:hint="eastAsia" w:ascii="宋体" w:hAnsi="宋体"/>
          <w:b/>
          <w:bCs/>
          <w:color w:val="auto"/>
          <w:sz w:val="24"/>
          <w:szCs w:val="24"/>
          <w:highlight w:val="none"/>
        </w:rPr>
        <w:t xml:space="preserve">7.</w:t>
      </w:r>
      <w:r>
        <w:rPr>
          <w:rFonts w:hint="eastAsia"/>
          <w:b/>
          <w:color w:val="auto"/>
          <w:sz w:val="24"/>
          <w:szCs w:val="24"/>
          <w:highlight w:val="none"/>
        </w:rPr>
        <w:t xml:space="preserve">采购标的的其他技术、服务等要求：</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7.1整套家具质保不少于5年。</w:t>
      </w:r>
      <w:r/>
    </w:p>
    <w:p>
      <w:pPr>
        <w:ind w:firstLine="480"/>
        <w:spacing w:line="440" w:lineRule="exact"/>
        <w:rPr>
          <w:rFonts w:ascii="宋体" w:hAnsi="宋体"/>
          <w:bCs/>
          <w:color w:val="auto"/>
          <w:sz w:val="24"/>
          <w:szCs w:val="24"/>
          <w:highlight w:val="none"/>
        </w:rPr>
      </w:pPr>
      <w:r>
        <w:rPr>
          <w:rFonts w:hint="eastAsia"/>
          <w:color w:val="auto"/>
          <w:sz w:val="24"/>
          <w:szCs w:val="24"/>
          <w:highlight w:val="none"/>
        </w:rPr>
        <w:t xml:space="preserve">在采购产品生产过程中，采购人必要时可以进行驻厂监督。成交供应商交货后，安装前，由成交供应商委托具有相应资质的第三方检测单位（须经采购人同意）对主要采购产品进行检测或抽检，费用含在报价中，结算时不作调整。如不符合采购需求中技术参数要求的，采购人有权终止合同，给采购人造成的损失由成交供应商承担。</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中标供应商与校方签订正式合同，且完全满足校方各项要求后，方可组织供货、发货。供货安装完毕后，由学校进行初步验收。学校验收合格后，由中标供应商向采购单位提出书面验收申请，采购单位在收到中标供应商提交的书面项目验收申请后7个工作日内，将组织验收小组根据采购合同和供应商响应文件对供应商所供货物进行验收。验收中如有疑问，设</w:t>
      </w:r>
      <w:r>
        <w:rPr>
          <w:rFonts w:hint="eastAsia" w:ascii="宋体" w:hAnsi="宋体"/>
          <w:bCs/>
          <w:color w:val="auto"/>
          <w:sz w:val="24"/>
          <w:szCs w:val="24"/>
          <w:highlight w:val="none"/>
        </w:rPr>
        <w:t xml:space="preserve">备（产品）厂商技术工程师需当场予以解答。如验收时发现所供货物的数量、技术参数等与采购合同不一致，采购单位将向中标供应商签发整改通知书。中标供应商在收到整改通知书后七日内必须按要求整改，如再次不符合要求或逾期，采购人将视作项目整体验收不合格，并报相关部门进行处理。必要时，采购单位可邀请相关质量监督部门对中标供应商所供货物进行验收及检测，因检测发生的一切费用由中标供应商负责，如验收或检测发现所供货物不合格，将解除双方合同，并由相关质量监督部门进行处罚。因检测导致货物损坏的，由供应商免费补足，确保采购人正常使用。</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货物的质量和规格与合同规定不符的，在质量保证期内证明货物是有缺陷的，包括潜在的缺陷或使用不符合要求材料的，采购人有权提请当地质检部门进行检查，并根据当地质检部门检验报告以书面形式向卖方提出索赔。</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如部分不能通过验收的，中标供应商承诺需采取一切补救措施，所有费用由中标供应商承担。</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验收合格后，采购人出具验收报告，作为支付货款的依据。</w:t>
      </w:r>
      <w:r/>
    </w:p>
    <w:p>
      <w:pPr>
        <w:ind w:firstLine="480"/>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四、采购需求中必须满足的实质性要求：</w:t>
      </w:r>
      <w:r/>
    </w:p>
    <w:p>
      <w:pPr>
        <w:ind w:firstLine="480"/>
        <w:spacing w:line="440" w:lineRule="exact"/>
        <w:rPr>
          <w:rFonts w:ascii="宋体" w:hAnsi="宋体"/>
          <w:bCs/>
          <w:color w:val="auto"/>
          <w:sz w:val="24"/>
          <w:szCs w:val="24"/>
          <w:highlight w:val="none"/>
        </w:rPr>
      </w:pPr>
      <w:r/>
      <w:bookmarkStart w:id="176" w:name="_Toc120614281"/>
      <w:r>
        <w:rPr>
          <w:rFonts w:ascii="宋体" w:hAnsi="宋体"/>
          <w:bCs/>
          <w:color w:val="auto"/>
          <w:sz w:val="24"/>
          <w:szCs w:val="24"/>
          <w:highlight w:val="none"/>
        </w:rPr>
        <w:t xml:space="preserve">①参数要求中的标</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参数不得负偏离，须在商务技术文件中针对参数提供技术偏离表，如未提供或出现负偏离的作无效标处理。</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t xml:space="preserve">②采购与实施过程中如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供应商存在弄虚作假行为，校方有权追究违约责任及其法律责任。由此造成的一切后果及费用由</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供应商承担。</w:t>
      </w:r>
      <w:r/>
    </w:p>
    <w:p>
      <w:pPr>
        <w:ind w:firstLine="472"/>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五、其他要求</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1.项目属性：货物类项目。</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2.核心产品：公寓床、教师办公桌椅、礼堂椅。</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3.主要标的：公寓床、教师办公桌椅、礼堂椅。</w:t>
      </w:r>
      <w:r/>
    </w:p>
    <w:p>
      <w:pPr>
        <w:ind w:firstLine="480"/>
        <w:spacing w:line="440" w:lineRule="exact"/>
        <w:rPr>
          <w:rFonts w:ascii="宋体" w:hAnsi="宋体"/>
          <w:bCs/>
          <w:color w:val="auto"/>
          <w:sz w:val="24"/>
          <w:szCs w:val="24"/>
          <w:highlight w:val="none"/>
        </w:rPr>
      </w:pPr>
      <w:r>
        <w:rPr>
          <w:rFonts w:hint="eastAsia" w:ascii="宋体" w:hAnsi="宋体"/>
          <w:b/>
          <w:bCs/>
          <w:color w:val="auto"/>
          <w:sz w:val="24"/>
          <w:szCs w:val="24"/>
          <w:highlight w:val="none"/>
        </w:rPr>
        <w:t xml:space="preserve">4.进口产品投标：</w:t>
      </w:r>
      <w:r>
        <w:rPr>
          <w:rFonts w:hint="eastAsia" w:ascii="宋体" w:hAnsi="宋体"/>
          <w:bCs/>
          <w:color w:val="auto"/>
          <w:sz w:val="24"/>
          <w:szCs w:val="24"/>
          <w:highlight w:val="none"/>
        </w:rPr>
        <w:t xml:space="preserve">本项目不接受进口产品投标。如供应商使用进口产品投标，作无效投标处理。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5.包装要求：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5.1商品包装环保要求：应当按《关于印发〈商品包装政府采购需求标准（试行）〉、〈快递包装政府采购需求标准（试行）〉的通知》（财办库〔2020〕123号）文件执行。</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（1）商品包装层数不得超过 3 层，空隙率不大于 40%；</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（2）商品包装尽可能使用单一材质的包装材料，如因功能需求必需使用不同材质，不同材质间应便于分离；</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（3）商品包装中铅、汞、镉、六价铬的总含量应不大于100mg/kg；</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（4）商品包装印刷使用的油墨中挥发性有机化合物(VOCs)含量应不大于 5%（以重量计）；</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（5）塑料材质商品包装上呈现的印刷颜色不得超过6色；</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（6）纸质商品包装应使用75%以上的可再生纤维原料生产；</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（7）木质商品包装的原料应来源于可持续性森林。</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5.2快递包装环保要求：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（1）快递包装中重金属（铅、汞、镉、六价铬）总量应不大于 100mg/kg；</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（2）快递包装印刷使用的油墨中不应添加邻苯二甲酸酯，其挥发性有机化合物(VOCs)含量应不大于5%（以重量计）；</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（3）快递包装中使用纸基材的包装材料，纸基材中的有机氯的含量应不大于 150 mg/kg；</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（5）快递中使用的塑料包装袋不得使用聚氯乙烯作为原料，且原料应为单一材质制成，生物分解率大于60%；</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（6）快递中使用的充气类填充物不得使用聚氯乙烯作为 原料，且原料为单一材质制成，生物分解率大于60%；</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（7）快递中使用的集装袋应为单一材质制成，其重复使用次数应不小于 80 次；</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（8）快递中应使用幅宽不大于45mm 的生物降解胶带；</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（9）快递包装中不得使用溶剂型胶粘剂；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（10）快递应使用电子面单；</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（11）直接使用商品包装作为快递包装的商品，其商品包装满足《商品包装政府采购需求标准（试行）》即可；</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（12）快递包装产品质量和封装方式应符合相关国家或行业标准技术指标要求。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6.绿色数据中心</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8.节能环保产品：依据财政部、发展改革委发布的《节能产品政府采购品目清单》，本项目中有政府强制采购节能产品的（属于清单中打</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9.绿色低碳管理目标和服务要求：在物业、合同能源管理等服务类采购项目需求中，要强化绿色低碳管理目标和服务要求，促进绿色产品和服务推广应用。</w:t>
      </w:r>
      <w:r/>
    </w:p>
    <w:p>
      <w:pPr>
        <w:ind w:firstLine="480"/>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六、付款方式</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签订合同15日内，预付合同价的30%，待货物和服务到位验收合格后在30个工作日内一次性付清所有款项。</w:t>
      </w:r>
      <w:r/>
    </w:p>
    <w:p>
      <w:pPr>
        <w:ind w:firstLine="480"/>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七、履约保证金：</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1.本项目免收履约保证金。</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2.中标供应商全部履约合同义务，经采购单位验收合格无质量、进度等问题的，采购人在验收合格后一次性退还履约保证金，采购人若逾期退还履约保证金的，按照逾期部分的每日0.05%支付违约金；    </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3.发生以下情况的，履约保证金不予退还或部分退还：</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a.签订合同后，中标供应商不履行合同义务的，采购单位有权全额扣除履约保证金，全额不予退还，同时采购单位亦有权终止合同，中标供应商还须承担相应的法律赔偿责任。</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480"/>
        <w:spacing w:line="440" w:lineRule="exact"/>
        <w:rPr>
          <w:rFonts w:ascii="黑体" w:eastAsia="黑体"/>
          <w:bCs/>
          <w:color w:val="auto"/>
          <w:sz w:val="32"/>
          <w:szCs w:val="32"/>
          <w:highlight w:val="none"/>
        </w:rPr>
      </w:pPr>
      <w:r>
        <w:rPr>
          <w:rFonts w:hint="eastAsia" w:ascii="宋体" w:hAnsi="宋体"/>
          <w:b/>
          <w:color w:val="auto"/>
          <w:sz w:val="24"/>
          <w:szCs w:val="24"/>
          <w:highlight w:val="none"/>
        </w:rPr>
        <w:t xml:space="preserve">八、合同条款（详见附件）</w:t>
      </w:r>
      <w:r/>
    </w:p>
    <w:p>
      <w:pPr>
        <w:ind w:firstLine="480"/>
        <w:spacing w:line="440" w:lineRule="exact"/>
        <w:rPr>
          <w:rFonts w:ascii="黑体" w:eastAsia="黑体"/>
          <w:bCs/>
          <w:color w:val="auto"/>
          <w:sz w:val="32"/>
          <w:szCs w:val="32"/>
          <w:highlight w:val="none"/>
        </w:rPr>
      </w:pPr>
      <w:r>
        <w:rPr>
          <w:rFonts w:ascii="黑体" w:eastAsia="黑体"/>
          <w:bCs/>
          <w:color w:val="auto"/>
          <w:sz w:val="32"/>
          <w:szCs w:val="32"/>
          <w:highlight w:val="none"/>
        </w:rPr>
      </w:r>
      <w:r/>
    </w:p>
    <w:p>
      <w:pPr>
        <w:ind w:firstLine="480"/>
        <w:spacing w:line="440" w:lineRule="exact"/>
        <w:rPr>
          <w:rFonts w:ascii="黑体" w:eastAsia="黑体"/>
          <w:bCs/>
          <w:color w:val="auto"/>
          <w:sz w:val="32"/>
          <w:szCs w:val="32"/>
          <w:highlight w:val="none"/>
        </w:rPr>
      </w:pPr>
      <w:r>
        <w:rPr>
          <w:rFonts w:ascii="黑体" w:eastAsia="黑体"/>
          <w:bCs/>
          <w:color w:val="auto"/>
          <w:sz w:val="32"/>
          <w:szCs w:val="32"/>
          <w:highlight w:val="none"/>
        </w:rPr>
      </w:r>
      <w:r/>
    </w:p>
    <w:p>
      <w:pPr>
        <w:ind w:firstLine="480"/>
        <w:spacing w:line="440" w:lineRule="exact"/>
        <w:rPr>
          <w:rFonts w:ascii="黑体" w:eastAsia="黑体"/>
          <w:bCs/>
          <w:color w:val="auto"/>
          <w:sz w:val="32"/>
          <w:szCs w:val="32"/>
          <w:highlight w:val="none"/>
        </w:rPr>
      </w:pPr>
      <w:r>
        <w:rPr>
          <w:rFonts w:ascii="黑体" w:eastAsia="黑体"/>
          <w:bCs/>
          <w:color w:val="auto"/>
          <w:sz w:val="32"/>
          <w:szCs w:val="32"/>
          <w:highlight w:val="none"/>
        </w:rPr>
      </w:r>
      <w:r/>
    </w:p>
    <w:p>
      <w:pPr>
        <w:ind w:firstLine="480"/>
        <w:spacing w:line="440" w:lineRule="exact"/>
        <w:rPr>
          <w:rFonts w:ascii="黑体" w:eastAsia="黑体"/>
          <w:bCs/>
          <w:color w:val="auto"/>
          <w:sz w:val="32"/>
          <w:szCs w:val="32"/>
          <w:highlight w:val="none"/>
        </w:rPr>
      </w:pPr>
      <w:r>
        <w:rPr>
          <w:rFonts w:ascii="黑体" w:eastAsia="黑体"/>
          <w:bCs/>
          <w:color w:val="auto"/>
          <w:sz w:val="32"/>
          <w:szCs w:val="32"/>
          <w:highlight w:val="none"/>
        </w:rPr>
      </w:r>
      <w:r/>
    </w:p>
    <w:p>
      <w:pPr>
        <w:pStyle w:val="968"/>
        <w:spacing w:before="0" w:after="0" w:line="44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968"/>
        <w:spacing w:before="0" w:after="0" w:line="44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ascii="黑体" w:eastAsia="黑体"/>
          <w:bCs/>
          <w:color w:val="auto"/>
          <w:sz w:val="32"/>
          <w:szCs w:val="32"/>
          <w:highlight w:val="none"/>
        </w:rPr>
      </w:r>
      <w:r/>
    </w:p>
    <w:p>
      <w:pPr>
        <w:ind w:firstLine="2240"/>
        <w:rPr>
          <w:rFonts w:ascii="黑体" w:eastAsia="黑体"/>
          <w:bCs/>
          <w:color w:val="auto"/>
          <w:sz w:val="32"/>
          <w:szCs w:val="32"/>
          <w:highlight w:val="none"/>
        </w:rPr>
      </w:pPr>
      <w:r>
        <w:rPr>
          <w:rFonts w:hint="eastAsia" w:ascii="黑体" w:eastAsia="黑体"/>
          <w:bCs/>
          <w:color w:val="auto"/>
          <w:sz w:val="32"/>
          <w:szCs w:val="32"/>
          <w:highlight w:val="none"/>
        </w:rPr>
        <w:t xml:space="preserve">第四章  </w:t>
      </w:r>
      <w:r>
        <w:rPr>
          <w:rFonts w:hint="eastAsia" w:ascii="黑体" w:eastAsia="黑体"/>
          <w:b/>
          <w:bCs/>
          <w:color w:val="auto"/>
          <w:sz w:val="32"/>
          <w:szCs w:val="32"/>
          <w:highlight w:val="none"/>
        </w:rPr>
        <w:t xml:space="preserve">评标方法与评标标准</w:t>
      </w:r>
      <w:r/>
    </w:p>
    <w:p>
      <w:pPr>
        <w:pStyle w:val="968"/>
        <w:ind w:firstLine="0"/>
        <w:spacing w:before="0" w:after="0" w:line="44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968"/>
        <w:spacing w:before="0" w:after="0" w:line="44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cs="Arial" w:asciiTheme="minorEastAsia" w:hAnsiTheme="minorEastAsia" w:eastAsiaTheme="minorEastAsia"/>
          <w:color w:val="auto"/>
          <w:highlight w:val="none"/>
        </w:rPr>
        <w:t xml:space="preserve">排名第一的中标候选人。</w:t>
      </w:r>
      <w:r/>
    </w:p>
    <w:p>
      <w:pPr>
        <w:pStyle w:val="968"/>
        <w:spacing w:before="0" w:after="0" w:line="440" w:lineRule="exact"/>
        <w:rPr>
          <w:rFonts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评委在认真审阅投标文件的基础上，根据各投标文件的响应程度独立评判，不得统一打分。</w:t>
      </w:r>
      <w:r/>
    </w:p>
    <w:p>
      <w:pPr>
        <w:pStyle w:val="968"/>
        <w:ind w:firstLine="482"/>
        <w:spacing w:before="0" w:after="0" w:line="440" w:lineRule="exact"/>
        <w:rPr>
          <w:rFonts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t xml:space="preserve">（一）采购人（代表）对投标人资格进行审查。</w:t>
      </w:r>
      <w:r/>
    </w:p>
    <w:p>
      <w:pPr>
        <w:pStyle w:val="968"/>
        <w:spacing w:before="0" w:after="0" w:line="440" w:lineRule="exact"/>
        <w:rPr>
          <w:rFonts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投标人资格不合格的，其投标文件判定为无效投标文件。</w:t>
      </w:r>
      <w:r/>
    </w:p>
    <w:p>
      <w:pPr>
        <w:pStyle w:val="968"/>
        <w:ind w:firstLine="482"/>
        <w:spacing w:before="0" w:after="0" w:line="440" w:lineRule="exact"/>
        <w:rPr>
          <w:rFonts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t xml:space="preserve">（二）评标委员会对符合资格投标人的投标文件进行符合性审查。</w:t>
      </w:r>
      <w:r/>
    </w:p>
    <w:p>
      <w:pPr>
        <w:pStyle w:val="968"/>
        <w:spacing w:before="0" w:after="0" w:line="440" w:lineRule="exact"/>
        <w:rPr>
          <w:rFonts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未通过符合性审查的投标文件，将被判为不满足招标文件实质性要求。 </w:t>
      </w:r>
      <w:r/>
    </w:p>
    <w:p>
      <w:pPr>
        <w:pStyle w:val="968"/>
        <w:ind w:firstLine="482"/>
        <w:spacing w:before="0" w:after="0" w:line="440" w:lineRule="exact"/>
        <w:rPr>
          <w:rFonts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t xml:space="preserve">（三）商务技术分：70分</w:t>
      </w:r>
      <w:r/>
    </w:p>
    <w:p>
      <w:pPr>
        <w:pStyle w:val="968"/>
        <w:spacing w:before="0" w:after="0" w:line="440" w:lineRule="exact"/>
        <w:rPr>
          <w:rFonts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各投标人得分为评委会成员评分的算术平均分，分值保留小数点后两位。</w:t>
      </w:r>
      <w:r/>
    </w:p>
    <w:tbl>
      <w:tblPr>
        <w:tblStyle w:val="692"/>
        <w:tblW w:w="92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1273"/>
        <w:gridCol w:w="720"/>
        <w:gridCol w:w="6492"/>
      </w:tblGrid>
      <w:tr>
        <w:trPr>
          <w:jc w:val="center"/>
          <w:trHeight w:val="90"/>
        </w:trPr>
        <w:tc>
          <w:tcPr>
            <w:tcW w:w="742" w:type="dxa"/>
            <w:vAlign w:val="center"/>
            <w:textDirection w:val="lrTb"/>
            <w:noWrap/>
          </w:tcPr>
          <w:p>
            <w:pPr>
              <w:jc w:val="center"/>
              <w:spacing w:line="520" w:lineRule="exact"/>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t xml:space="preserve">序号</w:t>
            </w:r>
            <w:r/>
          </w:p>
        </w:tc>
        <w:tc>
          <w:tcPr>
            <w:tcW w:w="1273" w:type="dxa"/>
            <w:vAlign w:val="center"/>
            <w:textDirection w:val="lrTb"/>
            <w:noWrap/>
          </w:tcPr>
          <w:p>
            <w:pPr>
              <w:jc w:val="center"/>
              <w:widowControl/>
              <w:rPr>
                <w:rFonts w:hint="default"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t xml:space="preserve">评分点名称</w:t>
            </w:r>
            <w:r/>
          </w:p>
        </w:tc>
        <w:tc>
          <w:tcPr>
            <w:tcW w:w="720" w:type="dxa"/>
            <w:vAlign w:val="center"/>
            <w:textDirection w:val="lrTb"/>
            <w:noWrap/>
          </w:tcPr>
          <w:p>
            <w:pPr>
              <w:jc w:val="center"/>
              <w:widowControl/>
              <w:rPr>
                <w:rFonts w:hint="default"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t xml:space="preserve">分值</w:t>
            </w:r>
            <w:r/>
          </w:p>
        </w:tc>
        <w:tc>
          <w:tcPr>
            <w:tcW w:w="6492" w:type="dxa"/>
            <w:vAlign w:val="center"/>
            <w:textDirection w:val="lrTb"/>
            <w:noWrap/>
          </w:tcPr>
          <w:p>
            <w:pPr>
              <w:jc w:val="center"/>
              <w:widowControl/>
              <w:rPr>
                <w:rFonts w:hint="default"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t xml:space="preserve">评审标准</w:t>
            </w:r>
            <w:r/>
          </w:p>
        </w:tc>
      </w:tr>
      <w:tr>
        <w:trPr>
          <w:jc w:val="center"/>
          <w:trHeight w:val="90"/>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tcW w:w="1273" w:type="dxa"/>
            <w:vAlign w:val="center"/>
            <w:textDirection w:val="lrTb"/>
            <w:noWrap/>
          </w:tcPr>
          <w:p>
            <w:pPr>
              <w:jc w:val="lef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技术指标响应情况</w:t>
            </w:r>
            <w:r/>
          </w:p>
        </w:tc>
        <w:tc>
          <w:tcPr>
            <w:tcW w:w="720" w:type="dxa"/>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w:t>
            </w:r>
            <w:r/>
          </w:p>
        </w:tc>
        <w:tc>
          <w:tcPr>
            <w:tcW w:w="6492" w:type="dxa"/>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根据投标人提供的投标文件中《技术部分正负偏离表》，考察投标人对招标文件的货物参数响应情况，完全响应招标文件要求的得24分；投标人所投产品的技术参数未完全满足招标文件中技术参数要求的，其中加★项（如有）为实质性参数，如存在负偏离则视为未实质性响应；加▲项(如有)，有一项负偏离，扣2分；其他技术指标项出现负偏离，每项扣0.2分，扣完为止。</w:t>
            </w:r>
            <w:r/>
          </w:p>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注：技术参数中，如需提供确定的证明材料的，按技术参数要求提供；未提供有效证明材料或证明材料中内容与所填报指标不一致的，该指标按不满足处理。</w:t>
            </w:r>
            <w:r/>
          </w:p>
        </w:tc>
      </w:tr>
      <w:tr>
        <w:trPr>
          <w:jc w:val="center"/>
          <w:trHeight w:val="90"/>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tcW w:w="1273" w:type="dxa"/>
            <w:vAlign w:val="center"/>
            <w:textDirection w:val="lrTb"/>
            <w:noWrap/>
          </w:tcPr>
          <w:p>
            <w:pPr>
              <w:jc w:val="center"/>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企业综合实力</w:t>
            </w:r>
            <w:r/>
          </w:p>
        </w:tc>
        <w:tc>
          <w:tcPr>
            <w:tcW w:w="720" w:type="dxa"/>
            <w:vAlign w:val="center"/>
            <w:textDirection w:val="lrTb"/>
            <w:noWrap/>
          </w:tcPr>
          <w:p>
            <w:pPr>
              <w:jc w:val="center"/>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11</w:t>
            </w:r>
            <w:r/>
          </w:p>
        </w:tc>
        <w:tc>
          <w:tcPr>
            <w:tcW w:w="6492" w:type="dxa"/>
            <w:vAlign w:val="center"/>
            <w:textDirection w:val="lrTb"/>
            <w:noWrap/>
          </w:tcPr>
          <w:p>
            <w:pPr>
              <w:pStyle w:val="743"/>
              <w:numPr>
                <w:ilvl w:val="0"/>
                <w:numId w:val="5"/>
              </w:numPr>
              <w:ind w:left="0"/>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1.投标供应商或所投产品制造商具有有效的质量管理体系认证证书、环境管理体系认证证书、职业健康安全管理体系认证证书，每提供一个得1分，本项最高得3分。</w:t>
            </w:r>
            <w:r/>
          </w:p>
          <w:p>
            <w:pPr>
              <w:pStyle w:val="743"/>
              <w:numPr>
                <w:ilvl w:val="0"/>
                <w:numId w:val="5"/>
              </w:numPr>
              <w:ind w:left="0"/>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2.投标人或产品制造商持有有效期内《家具中有害物质限量认证证书》，认证单元覆盖本项目实际采购的家具品类，每个对应单元得0.4分，本项最高得2分；</w:t>
            </w:r>
            <w:r/>
          </w:p>
          <w:p>
            <w:pPr>
              <w:pStyle w:val="743"/>
              <w:numPr>
                <w:ilvl w:val="0"/>
                <w:numId w:val="5"/>
              </w:numPr>
              <w:ind w:left="0"/>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3.投标人或产品制造商持有有效期内家具产品质量安全认证证书，认证单元覆盖本项目实际采购的家具品类，每个对应单元得0.4分，本项最高得2分；</w:t>
            </w:r>
            <w:r/>
          </w:p>
          <w:p>
            <w:pPr>
              <w:pStyle w:val="743"/>
              <w:numPr>
                <w:ilvl w:val="0"/>
                <w:numId w:val="5"/>
              </w:numPr>
              <w:ind w:left="0"/>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4.投标人或产品制造商具有有效期内中国绿色产品认证证书，认证单元覆盖本项目实际采购的家具品类，每个对应单元得0.4分，本项最高得2分；</w:t>
            </w:r>
            <w:r/>
          </w:p>
          <w:p>
            <w:pPr>
              <w:pStyle w:val="743"/>
              <w:numPr>
                <w:ilvl w:val="0"/>
                <w:numId w:val="5"/>
              </w:numPr>
              <w:ind w:left="0"/>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5.投标人或产品制造商具有有效期内低VOCs家具产品认证证书，认证单元覆盖本项目实际采购的家具品类，每个对应单元得0.4分，本项最高得2分；</w:t>
            </w:r>
            <w:r/>
          </w:p>
          <w:p>
            <w:pPr>
              <w:pStyle w:val="743"/>
              <w:numPr>
                <w:ilvl w:val="0"/>
                <w:numId w:val="5"/>
              </w:numPr>
              <w:ind w:left="0"/>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注：家具品类（如金属家具、钢木家具、实木家具、人造板家具、软体家具等覆盖本项目实际采购的家具品类）。</w:t>
            </w:r>
            <w:r/>
          </w:p>
          <w:p>
            <w:pPr>
              <w:pStyle w:val="743"/>
              <w:numPr>
                <w:ilvl w:val="0"/>
                <w:numId w:val="5"/>
              </w:numPr>
              <w:ind w:left="0"/>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上述1～5项提供证书原件扫描件，未提供的不得分。</w:t>
            </w:r>
            <w:r/>
          </w:p>
        </w:tc>
      </w:tr>
      <w:tr>
        <w:trPr>
          <w:jc w:val="center"/>
          <w:trHeight w:val="648"/>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tcW w:w="1273" w:type="dxa"/>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成功案例</w:t>
            </w:r>
            <w:r/>
          </w:p>
        </w:tc>
        <w:tc>
          <w:tcPr>
            <w:tcW w:w="720" w:type="dxa"/>
            <w:vAlign w:val="center"/>
            <w:textDirection w:val="lrTb"/>
            <w:noWrap/>
          </w:tcPr>
          <w:p>
            <w:pPr>
              <w:jc w:val="center"/>
              <w:widowControl/>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2</w:t>
            </w:r>
            <w:r/>
          </w:p>
        </w:tc>
        <w:tc>
          <w:tcPr>
            <w:tcW w:w="6492" w:type="dxa"/>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2023年1月1日以来（以合同或协议签订时间为准），供应商具有类似家具项目成功案例的，有一个得1分，最高得2分。</w:t>
            </w:r>
            <w:r/>
          </w:p>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注：提供合同（或协议）原件扫描件，未按要求提供或未提供证明材料的均不得分。</w:t>
            </w:r>
            <w:r/>
          </w:p>
        </w:tc>
      </w:tr>
      <w:tr>
        <w:trPr>
          <w:jc w:val="center"/>
          <w:trHeight w:val="648"/>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tcW w:w="1273" w:type="dxa"/>
            <w:vAlign w:val="center"/>
            <w:textDirection w:val="lrTb"/>
            <w:noWrap/>
          </w:tcPr>
          <w:p>
            <w:pPr>
              <w:jc w:val="center"/>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项目实施方案</w:t>
            </w:r>
            <w:r/>
          </w:p>
        </w:tc>
        <w:tc>
          <w:tcPr>
            <w:tcW w:w="720" w:type="dxa"/>
            <w:vAlign w:val="center"/>
            <w:textDirection w:val="lrTb"/>
            <w:noWrap/>
          </w:tcPr>
          <w:p>
            <w:pPr>
              <w:jc w:val="center"/>
              <w:widowControl/>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6</w:t>
            </w:r>
            <w:r/>
          </w:p>
        </w:tc>
        <w:tc>
          <w:tcPr>
            <w:tcW w:w="6492" w:type="dxa"/>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针对本项目提供实施方案，包括①实施组织机构及管理制度、②实施进度计划及安排、③实施团队；每项得2分，共计6分，每有一项缺项的扣2分，每有一项内容不完整或有缺陷的扣1分，扣完为止，未提供不得分。</w:t>
            </w:r>
            <w:r/>
          </w:p>
          <w:p>
            <w:pPr>
              <w:widowControl/>
              <w:rPr>
                <w:rFonts w:cs="宋体" w:asciiTheme="minorEastAsia" w:hAnsiTheme="minorEastAsia" w:eastAsiaTheme="minorEastAsia"/>
                <w:color w:val="auto"/>
                <w:szCs w:val="21"/>
                <w:highlight w:val="none"/>
              </w:rPr>
            </w:pPr>
            <w:r/>
            <w:bookmarkStart w:id="177" w:name="OLE_LINK5"/>
            <w:r/>
            <w:bookmarkStart w:id="178" w:name="OLE_LINK6"/>
            <w:r>
              <w:rPr>
                <w:rFonts w:hint="eastAsia" w:cs="宋体" w:asciiTheme="minorEastAsia" w:hAnsiTheme="minorEastAsia" w:eastAsiaTheme="minorEastAsia"/>
                <w:color w:val="auto"/>
                <w:szCs w:val="21"/>
                <w:highlight w:val="none"/>
              </w:rPr>
              <w:t xml:space="preserve">注：内容不完整或有缺陷是指：</w:t>
            </w:r>
            <w:bookmarkEnd w:id="177"/>
            <w:r/>
            <w:bookmarkEnd w:id="178"/>
            <w:r>
              <w:rPr>
                <w:rFonts w:hint="eastAsia" w:cs="宋体" w:asciiTheme="minorEastAsia" w:hAnsiTheme="minorEastAsia" w:eastAsiaTheme="minorEastAsia"/>
                <w:color w:val="auto"/>
                <w:szCs w:val="21"/>
                <w:highlight w:val="none"/>
              </w:rPr>
              <w:t xml:space="preserve">未贴合本家具采购供货安装实际，方案与项目实施需求明显不符；表述不清、逻辑混乱；明显套用其他项目或网络模板；仅有纲要框架无实质性阐述；组织机构、进度排布、团队配置存在常识逻辑错误，内容前后矛盾，存在编造夸大等任意一种情形。</w:t>
            </w:r>
            <w:r/>
          </w:p>
        </w:tc>
      </w:tr>
      <w:tr>
        <w:trPr>
          <w:jc w:val="center"/>
          <w:trHeight w:val="648"/>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tcW w:w="1273" w:type="dxa"/>
            <w:vAlign w:val="center"/>
            <w:textDirection w:val="lrTb"/>
            <w:noWrap/>
          </w:tcPr>
          <w:p>
            <w:pPr>
              <w:jc w:val="center"/>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生产加工方案</w:t>
            </w:r>
            <w:r/>
          </w:p>
        </w:tc>
        <w:tc>
          <w:tcPr>
            <w:tcW w:w="720" w:type="dxa"/>
            <w:vAlign w:val="center"/>
            <w:textDirection w:val="lrTb"/>
            <w:noWrap/>
          </w:tcPr>
          <w:p>
            <w:pPr>
              <w:jc w:val="center"/>
              <w:widowControl/>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t xml:space="preserve">6</w:t>
            </w:r>
            <w:r/>
          </w:p>
        </w:tc>
        <w:tc>
          <w:tcPr>
            <w:tcW w:w="6492" w:type="dxa"/>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或投标产品生产厂家）针对本项目提供生产加工方案，包括①原材料采购及保障、②生产车间情况（提供佐证材料）、③生产设备情况（提供佐证材料）；每项得2分，共计6分，每有一项缺项的扣2分，每有一项内容不完整或有缺陷的扣1分，扣完为止，未提供不得分。</w:t>
            </w:r>
            <w:r/>
          </w:p>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内容不完整或有缺陷是指：未贴合本家具采购生产加工实际，方案与项目加工供货需求明显不符；表述不清、逻辑混乱；明显套用其他项目或网络模板；仅有纲要框架无实质性阐述；原材料保障、车间、设备相关内容存在常识逻辑错误，内容前后矛盾，存在编造夸大等任意一种情形。</w:t>
            </w:r>
            <w:r/>
          </w:p>
        </w:tc>
      </w:tr>
      <w:tr>
        <w:trPr>
          <w:jc w:val="center"/>
          <w:trHeight w:val="648"/>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tcW w:w="1273" w:type="dxa"/>
            <w:vAlign w:val="center"/>
            <w:textDirection w:val="lrTb"/>
            <w:noWrap/>
          </w:tcPr>
          <w:p>
            <w:pPr>
              <w:jc w:val="center"/>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配送、安装与调试方案</w:t>
            </w:r>
            <w:r/>
          </w:p>
        </w:tc>
        <w:tc>
          <w:tcPr>
            <w:tcW w:w="720" w:type="dxa"/>
            <w:vAlign w:val="center"/>
            <w:textDirection w:val="lrTb"/>
            <w:noWrap/>
          </w:tcPr>
          <w:p>
            <w:pPr>
              <w:jc w:val="center"/>
              <w:widowControl/>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6</w:t>
            </w:r>
            <w:r/>
          </w:p>
        </w:tc>
        <w:tc>
          <w:tcPr>
            <w:tcW w:w="6492" w:type="dxa"/>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针对本项目提供配送、安装与调试方案，包括①配送方案、②产品安装与调试及技术支撑方案、③安全文明安装及环境保护措施；每项得2分，共计6分，每有一项缺项的扣2分，每有一项内容不完整或有缺陷的扣1分，扣完为止，未提供不得分。</w:t>
            </w:r>
            <w:r/>
          </w:p>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内容不完整或有缺陷是指：未贴合本家具采购配送安装现场实际，未兼顾现场运输进场、安装调试、安全环保落地要求；表述不清、逻辑混乱；明显套用其他项目或网络模板；仅有纲要框架无实质性阐述；配送、安装调试、安全环保相关内容存在常识逻辑错误，内容前后矛盾，存在编造夸大等任意一种情形。</w:t>
            </w:r>
            <w:r/>
          </w:p>
        </w:tc>
      </w:tr>
      <w:tr>
        <w:trPr>
          <w:jc w:val="center"/>
          <w:trHeight w:val="648"/>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w:t>
            </w:r>
            <w:r/>
          </w:p>
        </w:tc>
        <w:tc>
          <w:tcPr>
            <w:tcW w:w="1273" w:type="dxa"/>
            <w:vAlign w:val="center"/>
            <w:textDirection w:val="lrTb"/>
            <w:noWrap/>
          </w:tcPr>
          <w:p>
            <w:pPr>
              <w:jc w:val="center"/>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保障措施方案</w:t>
            </w:r>
            <w:r/>
          </w:p>
        </w:tc>
        <w:tc>
          <w:tcPr>
            <w:tcW w:w="720" w:type="dxa"/>
            <w:vAlign w:val="center"/>
            <w:textDirection w:val="lrTb"/>
            <w:noWrap/>
          </w:tcPr>
          <w:p>
            <w:pPr>
              <w:jc w:val="center"/>
              <w:widowControl/>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color w:val="auto"/>
                <w:szCs w:val="21"/>
                <w:highlight w:val="none"/>
              </w:rPr>
              <w:t xml:space="preserve">4</w:t>
            </w:r>
            <w:r/>
          </w:p>
        </w:tc>
        <w:tc>
          <w:tcPr>
            <w:tcW w:w="6492" w:type="dxa"/>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针对本项目提供保障措施方案，包括①质量控制的方法、工具及重点、②进度保障措施、③产品验收环节保障措施、④应急保障措施及应急服务响应时间、修复时间；每项得1分，共计4分，每有一项缺项的扣1分，每有一项内容不完整或有缺陷的扣0.5分，扣完为止，未提供不得分。</w:t>
            </w:r>
            <w:r/>
          </w:p>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内容不完整或有缺陷是指：未贴合本家具采购项目供货实施实际，质量管控、进度、验收、应急处置与项目需求明显不符；表述不清、逻辑混乱；明显套用通用或网络模板；仅有纲要框架无实质性阐述；质量、进度、验收、应急相关内容存在常识逻辑错误，内容前后矛盾，存在编造夸大等任意一种情形。</w:t>
            </w:r>
            <w:r/>
          </w:p>
        </w:tc>
      </w:tr>
      <w:tr>
        <w:trPr>
          <w:jc w:val="center"/>
          <w:trHeight w:val="648"/>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tcW w:w="1273" w:type="dxa"/>
            <w:vAlign w:val="center"/>
            <w:textDirection w:val="lrTb"/>
            <w:noWrap/>
          </w:tcPr>
          <w:p>
            <w:pPr>
              <w:jc w:val="center"/>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售后服务方案</w:t>
            </w:r>
            <w:r/>
          </w:p>
        </w:tc>
        <w:tc>
          <w:tcPr>
            <w:tcW w:w="720" w:type="dxa"/>
            <w:vAlign w:val="center"/>
            <w:textDirection w:val="lrTb"/>
            <w:noWrap/>
          </w:tcPr>
          <w:p>
            <w:pPr>
              <w:jc w:val="center"/>
              <w:widowControl/>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6</w:t>
            </w:r>
            <w:r/>
          </w:p>
        </w:tc>
        <w:tc>
          <w:tcPr>
            <w:tcW w:w="6492" w:type="dxa"/>
            <w:vAlign w:val="center"/>
            <w:textDirection w:val="lrTb"/>
            <w:noWrap/>
          </w:tcPr>
          <w:p>
            <w:pP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针对本项目提供售后服务方案，包括①售后服务内容、②服务保障体系、③售后服务人员的技术水平及现场服务措施、④日常维护保养、⑤备品备件清单及管理、⑥质保期满后的服务内容及收费标准；每项得1分，共计6分，每有一项缺项的扣1分，每有一项内容不完整或有缺陷的扣0.5分，扣完为止，未提供不得分。</w:t>
            </w:r>
            <w:r/>
          </w:p>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内容不完整或有缺陷是指：未贴合本家具采购项目售后实际，服务保障、维保、备品备件、期满服务等内容与项目需求明显不符；表述不清、逻辑混乱；明显套用其他项目或网络模板；仅有纲要框架无实质性阐述；售后服务相关内容存在常识逻辑错误，内容前后矛盾，存在编造夸大等任意一种情形。</w:t>
            </w:r>
            <w:r/>
          </w:p>
        </w:tc>
      </w:tr>
      <w:tr>
        <w:trPr>
          <w:jc w:val="center"/>
          <w:trHeight w:val="648"/>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w:t>
            </w:r>
            <w:r/>
          </w:p>
        </w:tc>
        <w:tc>
          <w:tcPr>
            <w:tcW w:w="1273" w:type="dxa"/>
            <w:vAlign w:val="center"/>
            <w:textDirection w:val="lrTb"/>
            <w:noWrap/>
          </w:tcPr>
          <w:p>
            <w:pPr>
              <w:jc w:val="center"/>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质保期</w:t>
            </w:r>
            <w:r/>
          </w:p>
        </w:tc>
        <w:tc>
          <w:tcPr>
            <w:tcW w:w="720" w:type="dxa"/>
            <w:vAlign w:val="center"/>
            <w:textDirection w:val="lrTb"/>
            <w:noWrap/>
          </w:tcPr>
          <w:p>
            <w:pPr>
              <w:jc w:val="center"/>
              <w:widowControl/>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2</w:t>
            </w:r>
            <w:r/>
          </w:p>
        </w:tc>
        <w:tc>
          <w:tcPr>
            <w:tcW w:w="6492" w:type="dxa"/>
            <w:vAlign w:val="center"/>
            <w:textDirection w:val="lrTb"/>
            <w:noWrap/>
          </w:tcPr>
          <w:p>
            <w:pP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满足采购文件要求质保期（5年）不得分，每增加一年质保期得1分，最高得2分。</w:t>
            </w:r>
            <w:r/>
          </w:p>
          <w:p>
            <w:pP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注：提供承诺书原件（格式自拟，加盖公章）扫描件，未按要求提供或未提供证明材料的均不得分。</w:t>
            </w:r>
            <w:r/>
          </w:p>
        </w:tc>
      </w:tr>
      <w:tr>
        <w:trPr>
          <w:jc w:val="center"/>
        </w:trPr>
        <w:tc>
          <w:tcPr>
            <w:tcW w:w="742" w:type="dxa"/>
            <w:vAlign w:val="center"/>
            <w:textDirection w:val="lrTb"/>
            <w:noWrap/>
          </w:tcPr>
          <w:p>
            <w:pPr>
              <w:jc w:val="center"/>
              <w:spacing w:line="5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tcW w:w="1273" w:type="dxa"/>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节能环保</w:t>
            </w:r>
            <w:r/>
          </w:p>
        </w:tc>
        <w:tc>
          <w:tcPr>
            <w:tcW w:w="720" w:type="dxa"/>
            <w:vAlign w:val="center"/>
            <w:textDirection w:val="lrTb"/>
            <w:noWrap/>
          </w:tcPr>
          <w:p>
            <w:pPr>
              <w:jc w:val="center"/>
              <w:widowControl/>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3</w:t>
            </w:r>
            <w:r/>
          </w:p>
        </w:tc>
        <w:tc>
          <w:tcPr>
            <w:tcW w:w="6492" w:type="dxa"/>
            <w:vAlign w:val="center"/>
            <w:textDirection w:val="lrTb"/>
            <w:noWrap/>
          </w:tcPr>
          <w:p>
            <w:pP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投标产品属于财政部、国家发改委公布的“节能产品品目清单”范围内的，投标供应商提供国家确定的认证机构出具的、处于有效期之内的该节能产品认证证书复印件的，有1个得0.5分，最多得1分。如投标产品均属于政府强制采购节能产品品目清单范围内，本项不得分。</w:t>
            </w:r>
            <w:r/>
          </w:p>
          <w:p>
            <w:pPr>
              <w:spacing w:line="32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2、投标产品属于财政部、生态环境部公布的“环境标志产品品目清单”范围内的，投标供应商提供国家确定的认证机构出具的、处于有效期内的该环保产品认证证书复印件的，有1个得0.5分，最多得1分。</w:t>
            </w:r>
            <w:r/>
          </w:p>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含量的有效证明材料，否则不得分）。</w:t>
            </w:r>
            <w:r/>
          </w:p>
        </w:tc>
      </w:tr>
    </w:tbl>
    <w:p>
      <w:pPr>
        <w:pStyle w:val="968"/>
        <w:ind w:firstLine="0"/>
        <w:spacing w:before="0" w:after="0" w:line="520" w:lineRule="exact"/>
        <w:rPr>
          <w:rFonts w:cs="Arial"/>
          <w:b/>
          <w:color w:val="auto"/>
          <w:highlight w:val="none"/>
        </w:rPr>
      </w:pPr>
      <w:r>
        <w:rPr>
          <w:rFonts w:cs="Arial"/>
          <w:b/>
          <w:color w:val="auto"/>
          <w:highlight w:val="none"/>
        </w:rPr>
      </w:r>
      <w:r/>
    </w:p>
    <w:p>
      <w:pPr>
        <w:pStyle w:val="968"/>
        <w:ind w:firstLine="439"/>
        <w:spacing w:before="0" w:after="0" w:line="520" w:lineRule="exact"/>
        <w:rPr>
          <w:rFonts w:cs="Arial"/>
          <w:b/>
          <w:color w:val="auto"/>
          <w:highlight w:val="none"/>
        </w:rPr>
      </w:pPr>
      <w:r>
        <w:rPr>
          <w:rFonts w:hint="eastAsia" w:cs="Arial"/>
          <w:b/>
          <w:color w:val="auto"/>
          <w:highlight w:val="none"/>
        </w:rPr>
        <w:t xml:space="preserve">（四）价格分：30分</w:t>
      </w:r>
      <w:r/>
    </w:p>
    <w:p>
      <w:pPr>
        <w:pStyle w:val="968"/>
        <w:ind w:firstLine="439"/>
        <w:spacing w:before="0" w:after="0" w:line="520" w:lineRule="exact"/>
        <w:rPr>
          <w:rFonts w:cs="Arial"/>
          <w:color w:val="auto"/>
          <w:highlight w:val="none"/>
        </w:rPr>
      </w:pPr>
      <w:r>
        <w:rPr>
          <w:rFonts w:hint="eastAsia" w:cs="Arial"/>
          <w:color w:val="auto"/>
          <w:highlight w:val="none"/>
        </w:rPr>
        <w:t xml:space="preserve">价格分统一采用低价优先法计算，即满足招标文件要求且投标价格最低的投标报价为评标基准价，其价格分为满分。其他投标人的价格分统一按照下列公式计算：</w:t>
      </w:r>
      <w:r/>
    </w:p>
    <w:p>
      <w:pPr>
        <w:pStyle w:val="968"/>
        <w:ind w:firstLine="439"/>
        <w:spacing w:before="0" w:after="0" w:line="520" w:lineRule="exact"/>
        <w:rPr>
          <w:rFonts w:cs="Arial"/>
          <w:color w:val="auto"/>
          <w:highlight w:val="none"/>
        </w:rPr>
      </w:pPr>
      <w:r>
        <w:rPr>
          <w:rFonts w:hint="eastAsia" w:cs="Arial"/>
          <w:color w:val="auto"/>
          <w:highlight w:val="none"/>
        </w:rPr>
        <w:t xml:space="preserve">投标报价得分=（评标基准价/投标报价）×价格权值×100</w:t>
      </w:r>
      <w:r/>
    </w:p>
    <w:p>
      <w:pPr>
        <w:pStyle w:val="968"/>
        <w:ind w:firstLine="437"/>
        <w:spacing w:line="440" w:lineRule="exact"/>
        <w:rPr>
          <w:rFonts w:cs="Arial"/>
          <w:b/>
          <w:bCs/>
          <w:color w:val="auto"/>
          <w:highlight w:val="none"/>
        </w:rPr>
      </w:pPr>
      <w:r>
        <w:rPr>
          <w:rFonts w:hint="eastAsia" w:cs="Arial"/>
          <w:b/>
          <w:bCs/>
          <w:color w:val="auto"/>
          <w:highlight w:val="none"/>
        </w:rPr>
        <w:t xml:space="preserve">出现下列情形之一的，评标委员会应当启动异常低价响应审查程序：</w:t>
      </w:r>
      <w:r/>
    </w:p>
    <w:p>
      <w:pPr>
        <w:pStyle w:val="968"/>
        <w:ind w:firstLine="437"/>
        <w:spacing w:line="440" w:lineRule="exact"/>
        <w:rPr>
          <w:rFonts w:cs="Arial"/>
          <w:b/>
          <w:bCs/>
          <w:color w:val="auto"/>
          <w:highlight w:val="none"/>
        </w:rPr>
      </w:pPr>
      <w:r>
        <w:rPr>
          <w:rFonts w:hint="eastAsia" w:cs="Arial"/>
          <w:b/>
          <w:bCs/>
          <w:color w:val="auto"/>
          <w:highlight w:val="none"/>
        </w:rPr>
        <w:t xml:space="preserve">1.投标（响应）报价低于全部通过符合性审查供应商投标（响应）报价平均值50%的，即投标（响应）报价&lt;全部通过符合性审查供应商投标（响应）报价平均值×50%；</w:t>
      </w:r>
      <w:r/>
    </w:p>
    <w:p>
      <w:pPr>
        <w:pStyle w:val="968"/>
        <w:ind w:firstLine="437"/>
        <w:spacing w:line="440" w:lineRule="exact"/>
        <w:rPr>
          <w:rFonts w:cs="Arial"/>
          <w:b/>
          <w:bCs/>
          <w:color w:val="auto"/>
          <w:highlight w:val="none"/>
        </w:rPr>
      </w:pPr>
      <w:r>
        <w:rPr>
          <w:rFonts w:hint="eastAsia" w:cs="Arial"/>
          <w:b/>
          <w:bCs/>
          <w:color w:val="auto"/>
          <w:highlight w:val="none"/>
        </w:rPr>
        <w:t xml:space="preserve">2.投标（响应）报价低于通过符合性审查的次低报价供应商投标（响应）报价50%的，即投标（响应）报价&lt;通过符合性审查的次低报价供应商投标（响应）报价×50%；</w:t>
      </w:r>
      <w:r/>
    </w:p>
    <w:p>
      <w:pPr>
        <w:pStyle w:val="968"/>
        <w:ind w:firstLine="437"/>
        <w:spacing w:line="440" w:lineRule="exact"/>
        <w:rPr>
          <w:rFonts w:cs="Arial"/>
          <w:b/>
          <w:bCs/>
          <w:color w:val="auto"/>
          <w:highlight w:val="none"/>
        </w:rPr>
      </w:pPr>
      <w:r>
        <w:rPr>
          <w:rFonts w:hint="eastAsia" w:cs="Arial"/>
          <w:b/>
          <w:bCs/>
          <w:color w:val="auto"/>
          <w:highlight w:val="none"/>
        </w:rPr>
        <w:t xml:space="preserve">3.投标（响应）报价低于采购项目最高限价45%的，即投标（响应）报价&lt;采购项目最高限价×45%；</w:t>
      </w:r>
      <w:r/>
    </w:p>
    <w:p>
      <w:pPr>
        <w:pStyle w:val="968"/>
        <w:ind w:firstLine="437"/>
        <w:spacing w:line="440" w:lineRule="exact"/>
        <w:rPr>
          <w:rFonts w:cs="Arial"/>
          <w:b/>
          <w:bCs/>
          <w:color w:val="auto"/>
          <w:highlight w:val="none"/>
        </w:rPr>
      </w:pPr>
      <w:r>
        <w:rPr>
          <w:rFonts w:hint="eastAsia" w:cs="Arial"/>
          <w:b/>
          <w:bCs/>
          <w:color w:val="auto"/>
          <w:highlight w:val="none"/>
        </w:rPr>
        <w:t xml:space="preserve">4.评标委员会基于专业判断，认为供应商报价过低，有可能影响产品质量或者不能诚信履约的其他情形。</w:t>
      </w:r>
      <w:r/>
    </w:p>
    <w:p>
      <w:pPr>
        <w:pStyle w:val="968"/>
        <w:ind w:firstLine="437"/>
        <w:spacing w:line="440" w:lineRule="exact"/>
        <w:rPr>
          <w:rFonts w:cs="Arial"/>
          <w:b/>
          <w:bCs/>
          <w:color w:val="auto"/>
          <w:highlight w:val="none"/>
        </w:rPr>
      </w:pPr>
      <w:r>
        <w:rPr>
          <w:rFonts w:hint="eastAsia" w:cs="Arial"/>
          <w:b/>
          <w:bCs/>
          <w:color w:val="auto"/>
          <w:highlight w:val="none"/>
        </w:rPr>
        <w:t xml:space="preserve">启动异常低价投标审查后，评标委员会将通过苏采云系统要求相关供应商在合理的时间内（一般不少于30分钟），提供项目具体成本测算等与报价合理性相关的书面说明及相关证明材料，对投标价格作出解释，由评标委员会结合同类产品在主要电商平台的价格、该行业当地薪资水平等情况，依据专业经验对供应商报价合理性进行判断。</w:t>
      </w:r>
      <w:r/>
    </w:p>
    <w:p>
      <w:pPr>
        <w:pStyle w:val="968"/>
        <w:ind w:firstLine="437"/>
        <w:spacing w:before="0" w:after="0" w:line="440" w:lineRule="exact"/>
        <w:rPr>
          <w:rFonts w:hint="eastAsia" w:cs="Arial"/>
          <w:b/>
          <w:bCs/>
          <w:color w:val="auto"/>
          <w:highlight w:val="none"/>
        </w:rPr>
      </w:pPr>
      <w:r>
        <w:rPr>
          <w:rFonts w:hint="eastAsia" w:cs="Arial"/>
          <w:b/>
          <w:bCs/>
          <w:color w:val="auto"/>
          <w:highlight w:val="none"/>
        </w:rPr>
        <w:t xml:space="preserve">投标供应商不提供书面说明、证明材料，或者提供的书面说明、证明材料不能证明其报价合理性的，评标委员会应当将其作为无效投标处理。审查相关情况应当在评审报告中进行记录。</w:t>
      </w:r>
      <w:r/>
    </w:p>
    <w:p>
      <w:pPr>
        <w:pStyle w:val="968"/>
        <w:ind w:firstLine="437"/>
        <w:spacing w:before="0" w:after="0" w:line="440" w:lineRule="exact"/>
        <w:rPr>
          <w:rFonts w:cs="Arial"/>
          <w:b/>
          <w:bCs/>
          <w:color w:val="auto"/>
          <w:highlight w:val="none"/>
        </w:rPr>
      </w:pPr>
      <w:r>
        <w:rPr>
          <w:rFonts w:hint="eastAsia" w:cs="Arial"/>
          <w:b/>
          <w:bCs/>
          <w:color w:val="auto"/>
          <w:highlight w:val="none"/>
        </w:rPr>
        <w:t xml:space="preserve">本项目没有二次报价，请投标人如有说明材料请根据上述要求在标书中提供，未提供或未有明确的证明材料，本项目做无效标处理。</w:t>
      </w:r>
      <w:r/>
    </w:p>
    <w:p>
      <w:pPr>
        <w:ind w:firstLine="480"/>
        <w:spacing w:line="560" w:lineRule="exact"/>
        <w:rPr>
          <w:rFonts w:ascii="宋体" w:hAnsi="宋体"/>
          <w:b/>
          <w:color w:val="auto"/>
          <w:sz w:val="24"/>
          <w:szCs w:val="24"/>
          <w:highlight w:val="none"/>
        </w:rPr>
      </w:pPr>
      <w:r>
        <w:rPr>
          <w:rFonts w:hint="eastAsia" w:ascii="宋体" w:hAnsi="宋体"/>
          <w:b/>
          <w:color w:val="auto"/>
          <w:sz w:val="24"/>
          <w:szCs w:val="24"/>
          <w:highlight w:val="none"/>
        </w:rPr>
        <w:t xml:space="preserve">（五）政府采购政策功能落实</w:t>
      </w:r>
      <w:r/>
    </w:p>
    <w:p>
      <w:pPr>
        <w:ind w:firstLine="480"/>
        <w:spacing w:line="560" w:lineRule="exact"/>
        <w:rPr>
          <w:rFonts w:ascii="宋体" w:hAnsi="宋体" w:cs="宋体"/>
          <w:b/>
          <w:color w:val="auto"/>
          <w:sz w:val="24"/>
          <w:szCs w:val="24"/>
          <w:highlight w:val="none"/>
          <w:u w:val="single"/>
        </w:rPr>
      </w:pPr>
      <w:r>
        <w:rPr>
          <w:rFonts w:hint="eastAsia" w:ascii="宋体" w:hAnsi="宋体"/>
          <w:b/>
          <w:color w:val="auto"/>
          <w:sz w:val="24"/>
          <w:szCs w:val="24"/>
          <w:highlight w:val="none"/>
          <w:u w:val="single"/>
        </w:rPr>
        <w:t xml:space="preserve">本项目为专门面向中小微企业采购项目。</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1、小微型企业价格扣除</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（1）本项目对小型和微型企业产品给予</w:t>
      </w:r>
      <w:r>
        <w:rPr>
          <w:rFonts w:hint="eastAsia" w:ascii="宋体" w:hAnsi="宋体"/>
          <w:color w:val="auto"/>
          <w:sz w:val="24"/>
          <w:szCs w:val="24"/>
          <w:highlight w:val="none"/>
          <w:u w:val="single"/>
        </w:rPr>
        <w:t xml:space="preserve">20%</w:t>
      </w:r>
      <w:r>
        <w:rPr>
          <w:rFonts w:hint="eastAsia" w:ascii="宋体" w:hAnsi="宋体"/>
          <w:color w:val="auto"/>
          <w:sz w:val="24"/>
          <w:szCs w:val="24"/>
          <w:highlight w:val="none"/>
        </w:rPr>
        <w:t xml:space="preserve">的扣除价格，用扣除后的价格参与评审。</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（2）供应商需按照采购文件的要求提供相应的《中小企业声明函》。</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（3）企业标准请参照《关于印发中小企业划型标准规定的通知》（工信部联企业[2011]300号）文件规定自行填写。</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2、残疾人福利单位价格扣除</w:t>
      </w:r>
      <w:r/>
    </w:p>
    <w:p>
      <w:pPr>
        <w:ind w:left="119"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（1）本项目对残疾人福利性单位视同小型、微型企业，给予</w:t>
      </w:r>
      <w:r>
        <w:rPr>
          <w:rFonts w:hint="eastAsia" w:ascii="宋体" w:hAnsi="宋体"/>
          <w:color w:val="auto"/>
          <w:sz w:val="24"/>
          <w:szCs w:val="24"/>
          <w:highlight w:val="none"/>
          <w:u w:val="single"/>
        </w:rPr>
        <w:t xml:space="preserve">20%</w:t>
      </w:r>
      <w:r>
        <w:rPr>
          <w:rFonts w:hint="eastAsia" w:ascii="宋体" w:hAnsi="宋体"/>
          <w:color w:val="auto"/>
          <w:sz w:val="24"/>
          <w:szCs w:val="24"/>
          <w:highlight w:val="none"/>
        </w:rPr>
        <w:t xml:space="preserve">的价格扣除，用扣除后的价格参与评审。</w:t>
      </w:r>
      <w:r/>
    </w:p>
    <w:p>
      <w:pPr>
        <w:ind w:left="119"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（2）残疾人福利单位需按照采购文件的要求提供《残疾人福利性单位声明函》。</w:t>
      </w:r>
      <w:r/>
    </w:p>
    <w:p>
      <w:pPr>
        <w:ind w:left="119"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（3）残疾人福利单位标准请参照《关于促进残疾人就业政府采购政策的通知》（财库〔2017〕141号）。</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3、监狱和戒毒企业价格扣除</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（1）本项目对监狱和戒毒企业（简称监狱企业）视同小型、微型企业，给予</w:t>
      </w:r>
      <w:r>
        <w:rPr>
          <w:rFonts w:hint="eastAsia" w:ascii="宋体" w:hAnsi="宋体"/>
          <w:color w:val="auto"/>
          <w:sz w:val="24"/>
          <w:szCs w:val="24"/>
          <w:highlight w:val="none"/>
          <w:u w:val="single"/>
        </w:rPr>
        <w:t xml:space="preserve">20%</w:t>
      </w:r>
      <w:r>
        <w:rPr>
          <w:rFonts w:hint="eastAsia" w:ascii="宋体" w:hAnsi="宋体"/>
          <w:color w:val="auto"/>
          <w:sz w:val="24"/>
          <w:szCs w:val="24"/>
          <w:highlight w:val="none"/>
        </w:rPr>
        <w:t xml:space="preserve">的价格扣除，用扣除后的价格参与评审。</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（3）监狱企业标准请参照《关于政府采购支持监狱企业发展有关问题的通知》（</w:t>
      </w:r>
      <w:r>
        <w:rPr>
          <w:rFonts w:ascii="宋体" w:hAnsi="宋体"/>
          <w:color w:val="auto"/>
          <w:sz w:val="24"/>
          <w:szCs w:val="24"/>
          <w:highlight w:val="none"/>
        </w:rPr>
        <w:t xml:space="preserve">财库[2014]68号</w:t>
      </w:r>
      <w:r>
        <w:rPr>
          <w:rFonts w:hint="eastAsia" w:ascii="宋体" w:hAnsi="宋体"/>
          <w:color w:val="auto"/>
          <w:sz w:val="24"/>
          <w:szCs w:val="24"/>
          <w:highlight w:val="none"/>
        </w:rPr>
        <w:t xml:space="preserve">）。</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4、残疾人福利单位、监狱企业属于小型、微型企业的，不重复享受政策。</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auto"/>
          <w:sz w:val="24"/>
          <w:szCs w:val="24"/>
          <w:highlight w:val="none"/>
          <w:u w:val="single"/>
        </w:rPr>
        <w:t xml:space="preserve">6%</w:t>
      </w:r>
      <w:r>
        <w:rPr>
          <w:rFonts w:hint="eastAsia" w:ascii="宋体" w:hAnsi="宋体"/>
          <w:color w:val="auto"/>
          <w:sz w:val="24"/>
          <w:szCs w:val="24"/>
          <w:highlight w:val="none"/>
        </w:rPr>
        <w:t xml:space="preserve">的价格扣除，用扣除后的价格参与评审。</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6、联合体各方均为小型、微型企业（残疾人福利单位、监狱企业）的，联合体享受</w:t>
      </w:r>
      <w:r>
        <w:rPr>
          <w:rFonts w:hint="eastAsia" w:ascii="宋体" w:hAnsi="宋体"/>
          <w:color w:val="auto"/>
          <w:sz w:val="24"/>
          <w:szCs w:val="24"/>
          <w:highlight w:val="none"/>
          <w:u w:val="single"/>
        </w:rPr>
        <w:t xml:space="preserve">20%</w:t>
      </w:r>
      <w:r>
        <w:rPr>
          <w:rFonts w:hint="eastAsia" w:ascii="宋体" w:hAnsi="宋体"/>
          <w:color w:val="auto"/>
          <w:sz w:val="24"/>
          <w:szCs w:val="24"/>
          <w:highlight w:val="none"/>
        </w:rPr>
        <w:t xml:space="preserve">价格扣除，用扣除后的价格参与评审。</w:t>
      </w:r>
      <w:r/>
    </w:p>
    <w:p>
      <w:pPr>
        <w:ind w:firstLine="480"/>
        <w:jc w:val="left"/>
        <w:spacing w:line="56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7、专门面向中小企业采购的项目或者采购包，不再执行价格评审优惠的扶持政策。</w:t>
      </w:r>
      <w:r/>
    </w:p>
    <w:p>
      <w:pPr>
        <w:ind w:firstLine="480"/>
        <w:spacing w:line="560" w:lineRule="exact"/>
        <w:rPr>
          <w:rFonts w:ascii="宋体" w:hAnsi="宋体"/>
          <w:b/>
          <w:color w:val="auto"/>
          <w:sz w:val="24"/>
          <w:szCs w:val="24"/>
          <w:highlight w:val="none"/>
        </w:rPr>
      </w:pPr>
      <w:r>
        <w:rPr>
          <w:rFonts w:hint="eastAsia" w:ascii="Arial" w:hAnsi="Arial" w:cs="Arial"/>
          <w:b/>
          <w:color w:val="auto"/>
          <w:sz w:val="24"/>
          <w:szCs w:val="24"/>
          <w:highlight w:val="none"/>
        </w:rPr>
        <w:t xml:space="preserve">（六）</w:t>
      </w:r>
      <w:r>
        <w:rPr>
          <w:rFonts w:hint="eastAsia" w:ascii="宋体" w:hAnsi="宋体"/>
          <w:b/>
          <w:color w:val="auto"/>
          <w:sz w:val="24"/>
          <w:szCs w:val="24"/>
          <w:highlight w:val="none"/>
        </w:rPr>
        <w:t xml:space="preserve">采购本国产品的支持政策</w:t>
      </w:r>
      <w:r/>
    </w:p>
    <w:p>
      <w:pPr>
        <w:ind w:firstLine="508"/>
        <w:jc w:val="left"/>
        <w:spacing w:line="560" w:lineRule="exact"/>
        <w:shd w:val="clear" w:color="auto" w:fill="ffffff"/>
        <w:widowControl/>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jc w:val="left"/>
        <w:spacing w:line="560" w:lineRule="exact"/>
        <w:shd w:val="clear" w:color="auto" w:fill="ffffff"/>
        <w:widowControl/>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2.本项目政府采购活动中既有本国产品又有非本国产品参与竞争的，依法对本国产品给予价格评审优惠，对本国产品的报价给予20%的价格扣除，用扣除后的价格参与评审。本国产品和小微企业产品的价格评审优惠，相关价格评审扣除优惠，均在供应商原始报价基础上计算，用扣除后的价格参与评审。</w:t>
      </w:r>
      <w:r/>
    </w:p>
    <w:p>
      <w:pPr>
        <w:ind w:firstLine="508"/>
        <w:jc w:val="left"/>
        <w:spacing w:line="560" w:lineRule="exact"/>
        <w:shd w:val="clear" w:color="auto" w:fill="ffffff"/>
        <w:widowControl/>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jc w:val="left"/>
        <w:spacing w:line="560" w:lineRule="exact"/>
        <w:shd w:val="clear" w:color="auto" w:fill="ffffff"/>
        <w:widowControl/>
        <w:rPr>
          <w:rFonts w:ascii="宋体" w:hAnsi="宋体" w:cs="宋体"/>
          <w:b/>
          <w:color w:val="auto"/>
          <w:sz w:val="24"/>
          <w:szCs w:val="24"/>
          <w:highlight w:val="none"/>
        </w:rPr>
      </w:pPr>
      <w:r>
        <w:rPr>
          <w:rFonts w:hint="eastAsia" w:ascii="宋体" w:hAnsi="宋体" w:cs="宋体"/>
          <w:b/>
          <w:color w:val="auto"/>
          <w:spacing w:val="7"/>
          <w:sz w:val="24"/>
          <w:szCs w:val="24"/>
          <w:highlight w:val="none"/>
        </w:rPr>
        <w:t xml:space="preserve">4.供应商需按照招标文件的要求提供《关于符合本国产品标准的声明函》，如不提供将不享受本国产品价格评审优惠。</w:t>
      </w:r>
      <w:r/>
    </w:p>
    <w:p>
      <w:pPr>
        <w:ind w:firstLine="508"/>
        <w:jc w:val="left"/>
        <w:spacing w:line="560" w:lineRule="exact"/>
        <w:shd w:val="clear" w:color="auto" w:fill="ffffff"/>
        <w:widowControl/>
        <w:rPr>
          <w:rFonts w:ascii="宋体" w:hAnsi="宋体" w:cs="宋体"/>
          <w:color w:val="auto"/>
          <w:sz w:val="24"/>
          <w:szCs w:val="24"/>
          <w:highlight w:val="none"/>
        </w:rPr>
      </w:pPr>
      <w:r>
        <w:rPr>
          <w:rFonts w:hint="eastAsia" w:ascii="宋体" w:hAnsi="宋体" w:cs="宋体"/>
          <w:color w:val="auto"/>
          <w:spacing w:val="7"/>
          <w:sz w:val="24"/>
          <w:szCs w:val="24"/>
          <w:highlight w:val="none"/>
        </w:rPr>
        <w:t xml:space="preserve">供应商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508"/>
        <w:jc w:val="left"/>
        <w:spacing w:line="560" w:lineRule="exact"/>
        <w:shd w:val="clear" w:color="auto" w:fill="ffffff"/>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评标（评审）过程中，如发现供应商在《声明函》内容含义不明确、同类事项与投标（响应）文件表述不一致或者有明显文字错误等情况的，评标委员会（评审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08"/>
        <w:jc w:val="left"/>
        <w:spacing w:line="560" w:lineRule="exact"/>
        <w:shd w:val="clear" w:color="auto" w:fill="ffffff"/>
        <w:widowControl/>
        <w:rPr>
          <w:rFonts w:ascii="宋体" w:hAnsi="宋体" w:cs="宋体"/>
          <w:b/>
          <w:color w:val="auto"/>
          <w:spacing w:val="7"/>
          <w:sz w:val="24"/>
          <w:szCs w:val="24"/>
          <w:highlight w:val="none"/>
        </w:rPr>
      </w:pPr>
      <w:r>
        <w:rPr>
          <w:rFonts w:hint="eastAsia" w:ascii="宋体" w:hAnsi="宋体" w:cs="宋体"/>
          <w:b/>
          <w:color w:val="auto"/>
          <w:spacing w:val="7"/>
          <w:sz w:val="24"/>
          <w:szCs w:val="24"/>
          <w:highlight w:val="none"/>
        </w:rPr>
        <w:t xml:space="preserve">5.对于仅有本国产品参与竞争的政府采购项目，本国产品不享受价格扣除评审优惠。</w:t>
      </w:r>
      <w:r/>
    </w:p>
    <w:p>
      <w:pPr>
        <w:ind w:firstLine="508"/>
        <w:jc w:val="center"/>
        <w:spacing w:line="560" w:lineRule="exact"/>
        <w:shd w:val="clear" w:color="auto" w:fill="ffffff"/>
        <w:widowControl/>
        <w:rPr>
          <w:rFonts w:ascii="黑体" w:eastAsia="黑体"/>
          <w:bCs/>
          <w:color w:val="auto"/>
          <w:sz w:val="44"/>
          <w:szCs w:val="28"/>
          <w:highlight w:val="none"/>
        </w:rPr>
      </w:pPr>
      <w:r>
        <w:rPr>
          <w:rFonts w:hint="eastAsia" w:ascii="宋体" w:hAnsi="宋体" w:cs="宋体"/>
          <w:b/>
          <w:color w:val="auto"/>
          <w:spacing w:val="7"/>
          <w:sz w:val="24"/>
          <w:szCs w:val="24"/>
          <w:highlight w:val="none"/>
        </w:rPr>
        <w:br w:type="page" w:clear="all"/>
      </w:r>
      <w:r>
        <w:rPr>
          <w:rFonts w:hint="eastAsia" w:ascii="黑体" w:eastAsia="黑体"/>
          <w:bCs/>
          <w:color w:val="auto"/>
          <w:sz w:val="44"/>
          <w:szCs w:val="28"/>
          <w:highlight w:val="none"/>
        </w:rPr>
        <w:t xml:space="preserve">第五章  投标</w:t>
      </w:r>
      <w:bookmarkEnd w:id="174"/>
      <w:r/>
      <w:bookmarkEnd w:id="175"/>
      <w:r/>
      <w:bookmarkEnd w:id="176"/>
      <w:r>
        <w:rPr>
          <w:rFonts w:hint="eastAsia" w:ascii="黑体" w:eastAsia="黑体"/>
          <w:bCs/>
          <w:color w:val="auto"/>
          <w:sz w:val="44"/>
          <w:szCs w:val="28"/>
          <w:highlight w:val="none"/>
        </w:rPr>
        <w:t xml:space="preserve">文件格式</w:t>
      </w:r>
      <w:r/>
    </w:p>
    <w:p>
      <w:pPr>
        <w:jc w:val="center"/>
        <w:rPr>
          <w:rFonts w:ascii="宋体" w:hAnsi="宋体"/>
          <w:b/>
          <w:color w:val="auto"/>
          <w:sz w:val="72"/>
          <w:szCs w:val="21"/>
          <w:highlight w:val="none"/>
        </w:rPr>
      </w:pPr>
      <w:r/>
      <w:bookmarkStart w:id="179" w:name="_Hlt26671244"/>
      <w:r/>
      <w:bookmarkEnd w:id="179"/>
      <w:r/>
      <w:bookmarkStart w:id="180" w:name="_Hlt26955039"/>
      <w:r/>
      <w:bookmarkEnd w:id="180"/>
      <w:r/>
      <w:bookmarkStart w:id="181" w:name="_Toc120614282"/>
      <w:r/>
      <w:bookmarkStart w:id="182" w:name="_Toc49090576"/>
      <w:r/>
      <w:bookmarkStart w:id="183" w:name="_Toc26554094"/>
      <w:r/>
      <w:r/>
    </w:p>
    <w:p>
      <w:pPr>
        <w:jc w:val="center"/>
        <w:rPr>
          <w:rFonts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ind w:firstLine="1080"/>
        <w:rPr>
          <w:rFonts w:ascii="宋体" w:hAnsi="宋体"/>
          <w:b/>
          <w:color w:val="auto"/>
          <w:sz w:val="36"/>
          <w:szCs w:val="21"/>
          <w:highlight w:val="none"/>
        </w:rPr>
      </w:pPr>
      <w:r>
        <w:rPr>
          <w:rFonts w:hint="eastAsia" w:ascii="宋体" w:hAnsi="宋体"/>
          <w:b/>
          <w:color w:val="auto"/>
          <w:sz w:val="36"/>
          <w:szCs w:val="21"/>
          <w:highlight w:val="none"/>
        </w:rPr>
        <w:t xml:space="preserve">项 目 名 称：</w:t>
      </w:r>
      <w:r/>
    </w:p>
    <w:p>
      <w:pPr>
        <w:ind w:firstLine="1080"/>
        <w:rPr>
          <w:rFonts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日      期 ：</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960"/>
        <w:spacing w:line="56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960"/>
        <w:spacing w:line="560" w:lineRule="exact"/>
        <w:tabs>
          <w:tab w:val="left" w:pos="5330" w:leader="none"/>
        </w:tabs>
        <w:rPr>
          <w:rFonts w:ascii="宋体" w:hAnsi="宋体" w:cs="宋体"/>
          <w:b/>
          <w:bCs/>
          <w:color w:val="auto"/>
          <w:sz w:val="32"/>
          <w:szCs w:val="32"/>
          <w:highlight w:val="none"/>
        </w:rPr>
      </w:pPr>
      <w:r>
        <w:rPr>
          <w:rFonts w:hint="eastAsia" w:ascii="宋体" w:hAnsi="宋体" w:cs="宋体"/>
          <w:b/>
          <w:bCs/>
          <w:color w:val="auto"/>
          <w:sz w:val="32"/>
          <w:szCs w:val="32"/>
          <w:highlight w:val="none"/>
        </w:rPr>
        <w:tab/>
      </w:r>
      <w:r/>
    </w:p>
    <w:p>
      <w:pPr>
        <w:ind w:firstLine="960"/>
        <w:spacing w:line="560" w:lineRule="exact"/>
        <w:tabs>
          <w:tab w:val="left" w:pos="5330" w:leader="none"/>
        </w:tabs>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960"/>
        <w:spacing w:line="560" w:lineRule="exact"/>
        <w:tabs>
          <w:tab w:val="left" w:pos="5330" w:leader="none"/>
        </w:tabs>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560" w:lineRule="exact"/>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投标文件目录</w:t>
      </w:r>
      <w:r/>
    </w:p>
    <w:p>
      <w:pPr>
        <w:jc w:val="center"/>
        <w:spacing w:line="56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left="482"/>
        <w:spacing w:line="72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一、资格审查证明材料</w:t>
      </w:r>
      <w:r/>
    </w:p>
    <w:p>
      <w:pPr>
        <w:ind w:left="482"/>
        <w:spacing w:line="72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二、商务、技术标</w:t>
      </w:r>
      <w:r/>
    </w:p>
    <w:p>
      <w:pPr>
        <w:ind w:left="482"/>
        <w:spacing w:line="72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三、价格标</w:t>
      </w:r>
      <w:r/>
    </w:p>
    <w:p>
      <w:pPr>
        <w:ind w:left="482"/>
        <w:spacing w:line="72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四、其他资料（如有）</w:t>
      </w:r>
      <w:r/>
    </w:p>
    <w:p>
      <w:pPr>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ind w:firstLine="640"/>
        <w:spacing w:line="520" w:lineRule="exact"/>
        <w:rPr>
          <w:rFonts w:ascii="黑体" w:hAnsi="黑体" w:eastAsia="黑体"/>
          <w:color w:val="auto"/>
          <w:sz w:val="32"/>
          <w:szCs w:val="32"/>
          <w:highlight w:val="none"/>
          <w:u w:val="single"/>
        </w:rPr>
      </w:pPr>
      <w:r>
        <w:rPr>
          <w:rFonts w:ascii="黑体" w:hAnsi="黑体" w:eastAsia="黑体"/>
          <w:color w:val="auto"/>
          <w:sz w:val="32"/>
          <w:szCs w:val="32"/>
          <w:highlight w:val="none"/>
          <w:u w:val="single"/>
        </w:rPr>
      </w:r>
      <w:r/>
    </w:p>
    <w:p>
      <w:pPr>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640"/>
        <w:spacing w:line="560" w:lineRule="exact"/>
        <w:rPr>
          <w:rFonts w:ascii="黑体" w:hAnsi="黑体" w:eastAsia="黑体"/>
          <w:color w:val="auto"/>
          <w:sz w:val="32"/>
          <w:szCs w:val="32"/>
          <w:highlight w:val="none"/>
        </w:rPr>
      </w:pPr>
      <w:r>
        <w:rPr>
          <w:rFonts w:ascii="黑体" w:hAnsi="黑体" w:eastAsia="黑体"/>
          <w:color w:val="auto"/>
          <w:sz w:val="32"/>
          <w:szCs w:val="32"/>
          <w:highlight w:val="none"/>
        </w:rPr>
      </w:r>
      <w:r/>
    </w:p>
    <w:p>
      <w:pPr>
        <w:ind w:firstLine="640"/>
        <w:spacing w:line="560" w:lineRule="exact"/>
        <w:rPr>
          <w:rFonts w:ascii="黑体" w:hAnsi="黑体" w:eastAsia="黑体"/>
          <w:color w:val="auto"/>
          <w:sz w:val="32"/>
          <w:szCs w:val="32"/>
          <w:highlight w:val="none"/>
        </w:rPr>
      </w:pPr>
      <w:r>
        <w:rPr>
          <w:rFonts w:ascii="黑体" w:hAnsi="黑体" w:eastAsia="黑体"/>
          <w:color w:val="auto"/>
          <w:sz w:val="32"/>
          <w:szCs w:val="32"/>
          <w:highlight w:val="none"/>
        </w:rPr>
      </w:r>
      <w:r/>
    </w:p>
    <w:p>
      <w:pPr>
        <w:ind w:firstLine="640"/>
        <w:spacing w:line="560" w:lineRule="exact"/>
        <w:rPr>
          <w:rFonts w:ascii="黑体" w:hAnsi="黑体" w:eastAsia="黑体"/>
          <w:color w:val="auto"/>
          <w:sz w:val="32"/>
          <w:szCs w:val="32"/>
          <w:highlight w:val="none"/>
        </w:rPr>
      </w:pPr>
      <w:r>
        <w:rPr>
          <w:rFonts w:ascii="黑体" w:hAnsi="黑体" w:eastAsia="黑体"/>
          <w:color w:val="auto"/>
          <w:sz w:val="32"/>
          <w:szCs w:val="32"/>
          <w:highlight w:val="none"/>
        </w:rPr>
      </w:r>
      <w:r/>
    </w:p>
    <w:p>
      <w:pPr>
        <w:ind w:firstLine="640"/>
        <w:spacing w:line="560" w:lineRule="exact"/>
        <w:rPr>
          <w:rFonts w:ascii="黑体" w:hAnsi="黑体" w:eastAsia="黑体"/>
          <w:color w:val="auto"/>
          <w:sz w:val="32"/>
          <w:szCs w:val="32"/>
          <w:highlight w:val="none"/>
        </w:rPr>
      </w:pPr>
      <w:r>
        <w:rPr>
          <w:rFonts w:ascii="黑体" w:hAnsi="黑体" w:eastAsia="黑体"/>
          <w:color w:val="auto"/>
          <w:sz w:val="32"/>
          <w:szCs w:val="32"/>
          <w:highlight w:val="none"/>
        </w:rPr>
      </w:r>
      <w:r/>
    </w:p>
    <w:p>
      <w:pPr>
        <w:ind w:firstLine="640"/>
        <w:spacing w:line="560" w:lineRule="exact"/>
        <w:rPr>
          <w:rFonts w:ascii="黑体" w:hAnsi="黑体" w:eastAsia="黑体"/>
          <w:color w:val="auto"/>
          <w:sz w:val="32"/>
          <w:szCs w:val="32"/>
          <w:highlight w:val="none"/>
        </w:rPr>
      </w:pPr>
      <w:r>
        <w:rPr>
          <w:rFonts w:ascii="黑体" w:hAnsi="黑体" w:eastAsia="黑体"/>
          <w:color w:val="auto"/>
          <w:sz w:val="32"/>
          <w:szCs w:val="32"/>
          <w:highlight w:val="none"/>
        </w:rPr>
      </w:r>
      <w:r/>
    </w:p>
    <w:p>
      <w:pPr>
        <w:ind w:firstLine="640"/>
        <w:spacing w:line="56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一、资格审查证明材料</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1.投标人符合《政府采购法》第二十二条规定条件的承诺函（格式见附件1并提供营业执照）；</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2.法定代表人身份证明书（格式见附件2）；</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3.法人授权书（格式见附件3）；</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4.投标函（格式见附件4）</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4.招标公告中“二、申请人的资格要求”提供相应的佐证材料；</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5.其它需要提交的资格审查证明材料。</w:t>
      </w:r>
      <w:r/>
    </w:p>
    <w:p>
      <w:pPr>
        <w:ind w:firstLine="640"/>
        <w:spacing w:line="56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二、商务、技术标</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1.商务部分正负偏离表；（格式见附件5）</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2.技术部分正负偏离表；（格式见附件6）</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3.投标方案、货物（服务）清单。具有项目、数量、品牌、型号、配置性能等；</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4.商务、技术评分标准中须提供的相关得分佐证材料；</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5.投标人认为需要提交的其他商务、技术材料。</w:t>
      </w:r>
      <w:r/>
    </w:p>
    <w:p>
      <w:pPr>
        <w:ind w:firstLine="640"/>
        <w:spacing w:line="56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三、价格标</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1.开标一览表（格式见附件7）</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2.分项报价明细表（格式见附件8）</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3.中小企业声明函（如有）（格式见附件9）</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4.残疾人福利性单位声明函（如有）（格式见附件10）</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5.监狱和戒毒企业证明材料（如有）（格式见附件11）</w:t>
      </w:r>
      <w:r/>
    </w:p>
    <w:p>
      <w:pPr>
        <w:ind w:firstLine="480"/>
        <w:spacing w:line="560" w:lineRule="exact"/>
        <w:rPr>
          <w:rFonts w:ascii="黑体" w:hAnsi="黑体" w:eastAsia="黑体"/>
          <w:color w:val="auto"/>
          <w:sz w:val="32"/>
          <w:szCs w:val="32"/>
          <w:highlight w:val="none"/>
          <w:u w:val="single"/>
        </w:rPr>
      </w:pPr>
      <w:r>
        <w:rPr>
          <w:rFonts w:hint="eastAsia" w:ascii="宋体" w:hAnsi="宋体"/>
          <w:color w:val="auto"/>
          <w:sz w:val="24"/>
          <w:szCs w:val="24"/>
          <w:highlight w:val="none"/>
        </w:rPr>
        <w:t xml:space="preserve">6.关于符合本国产品标准的声明函（格式见附件12）</w:t>
      </w:r>
      <w:r/>
    </w:p>
    <w:p>
      <w:pPr>
        <w:rPr>
          <w:rFonts w:ascii="宋体" w:hAnsi="宋体"/>
          <w:b/>
          <w:color w:val="auto"/>
          <w:sz w:val="24"/>
          <w:szCs w:val="21"/>
          <w:highlight w:val="none"/>
        </w:rPr>
      </w:pPr>
      <w:r>
        <w:rPr>
          <w:rFonts w:ascii="宋体" w:hAnsi="宋体"/>
          <w:b/>
          <w:color w:val="auto"/>
          <w:sz w:val="24"/>
          <w:szCs w:val="21"/>
          <w:highlight w:val="none"/>
        </w:rPr>
        <w:br w:type="page" w:clear="all"/>
      </w:r>
      <w:bookmarkEnd w:id="172"/>
      <w:r/>
      <w:bookmarkEnd w:id="173"/>
      <w:r/>
      <w:bookmarkEnd w:id="181"/>
      <w:r/>
      <w:bookmarkEnd w:id="182"/>
      <w:r/>
      <w:bookmarkEnd w:id="183"/>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t xml:space="preserve">附件1</w:t>
      </w:r>
      <w:r/>
    </w:p>
    <w:p>
      <w:pPr>
        <w:jc w:val="center"/>
        <w:rPr>
          <w:rFonts w:ascii="宋体" w:hAnsi="宋体"/>
          <w:b/>
          <w:color w:val="auto"/>
          <w:sz w:val="30"/>
          <w:szCs w:val="30"/>
          <w:highlight w:val="none"/>
        </w:rPr>
      </w:pPr>
      <w:r>
        <w:rPr>
          <w:rFonts w:hint="eastAsia" w:ascii="宋体" w:hAnsi="宋体"/>
          <w:b/>
          <w:color w:val="auto"/>
          <w:sz w:val="30"/>
          <w:szCs w:val="30"/>
          <w:highlight w:val="none"/>
        </w:rPr>
        <w:t xml:space="preserve">投标人符合《政府采购法》第二十二条规定条件的声明函</w:t>
      </w:r>
      <w:r/>
    </w:p>
    <w:p>
      <w:pPr>
        <w:spacing w:line="460" w:lineRule="exact"/>
        <w:rPr>
          <w:rFonts w:ascii="宋体" w:hAnsi="宋体"/>
          <w:b/>
          <w:bCs/>
          <w:color w:val="auto"/>
          <w:sz w:val="44"/>
          <w:szCs w:val="44"/>
          <w:highlight w:val="none"/>
        </w:rPr>
      </w:pPr>
      <w:r>
        <w:rPr>
          <w:rFonts w:ascii="宋体" w:hAnsi="宋体"/>
          <w:b/>
          <w:bCs/>
          <w:color w:val="auto"/>
          <w:sz w:val="44"/>
          <w:szCs w:val="44"/>
          <w:highlight w:val="none"/>
        </w:rPr>
      </w:r>
      <w:r/>
    </w:p>
    <w:p>
      <w:pPr>
        <w:ind w:firstLine="480"/>
        <w:spacing w:line="520" w:lineRule="exact"/>
        <w:rPr>
          <w:rFonts w:ascii="宋体" w:hAnsi="宋体"/>
          <w:b/>
          <w:bCs/>
          <w:color w:val="auto"/>
          <w:sz w:val="24"/>
          <w:szCs w:val="24"/>
          <w:highlight w:val="none"/>
        </w:rPr>
      </w:pPr>
      <w:r>
        <w:rPr>
          <w:rFonts w:hint="eastAsia" w:ascii="宋体" w:hAnsi="宋体"/>
          <w:bCs/>
          <w:color w:val="auto"/>
          <w:sz w:val="24"/>
          <w:szCs w:val="24"/>
          <w:highlight w:val="none"/>
        </w:rPr>
        <w:t xml:space="preserve">我单位参加</w:t>
      </w:r>
      <w:r>
        <w:rPr>
          <w:rFonts w:hint="eastAsia" w:ascii="宋体" w:hAnsi="宋体"/>
          <w:bCs/>
          <w:color w:val="auto"/>
          <w:sz w:val="24"/>
          <w:szCs w:val="21"/>
          <w:highlight w:val="none"/>
          <w:u w:val="single"/>
        </w:rPr>
        <w:t xml:space="preserve">________________ _</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rPr>
        <w:t xml:space="preserve">_______ __________</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ascii="宋体" w:hAnsi="宋体"/>
          <w:color w:val="auto"/>
          <w:sz w:val="24"/>
          <w:szCs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2.我单位具有良好的商业信誉和健全的财务会计制度；</w:t>
      </w:r>
      <w:r/>
    </w:p>
    <w:p>
      <w:pPr>
        <w:ind w:firstLine="482"/>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3.我单位具有履行合同所必需的设备和专业技术能力；</w:t>
      </w:r>
      <w:r/>
    </w:p>
    <w:p>
      <w:pPr>
        <w:ind w:firstLine="482"/>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4.我单位有依法缴纳税收和社会保障资金的良好记录；</w:t>
      </w:r>
      <w:r/>
    </w:p>
    <w:p>
      <w:pPr>
        <w:ind w:firstLine="482"/>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6.我单位满足法律、行政法规规定的其他条件。</w:t>
      </w:r>
      <w:r/>
    </w:p>
    <w:p>
      <w:pPr>
        <w:ind w:firstLine="482"/>
        <w:spacing w:line="500" w:lineRule="exact"/>
        <w:rPr>
          <w:rFonts w:ascii="宋体" w:hAnsi="宋体"/>
          <w:color w:val="auto"/>
          <w:sz w:val="24"/>
          <w:szCs w:val="24"/>
          <w:highlight w:val="none"/>
        </w:rPr>
      </w:pPr>
      <w:r>
        <w:rPr>
          <w:rFonts w:ascii="宋体" w:hAnsi="宋体"/>
          <w:color w:val="auto"/>
          <w:sz w:val="24"/>
          <w:szCs w:val="24"/>
          <w:highlight w:val="none"/>
        </w:rPr>
      </w:r>
      <w:r/>
    </w:p>
    <w:p>
      <w:pPr>
        <w:spacing w:line="500" w:lineRule="exact"/>
        <w:rPr>
          <w:rFonts w:ascii="宋体" w:hAnsi="宋体"/>
          <w:color w:val="auto"/>
          <w:sz w:val="24"/>
          <w:szCs w:val="24"/>
          <w:highlight w:val="none"/>
        </w:rPr>
      </w:pPr>
      <w:r>
        <w:rPr>
          <w:rFonts w:ascii="宋体" w:hAnsi="宋体"/>
          <w:color w:val="auto"/>
          <w:sz w:val="24"/>
          <w:szCs w:val="24"/>
          <w:highlight w:val="none"/>
        </w:rPr>
      </w:r>
      <w:r/>
    </w:p>
    <w:p>
      <w:pPr>
        <w:spacing w:line="500" w:lineRule="exact"/>
        <w:rPr>
          <w:rFonts w:ascii="宋体" w:hAnsi="宋体"/>
          <w:bCs/>
          <w:color w:val="auto"/>
          <w:sz w:val="24"/>
          <w:szCs w:val="21"/>
          <w:highlight w:val="none"/>
        </w:rPr>
      </w:pPr>
      <w:r>
        <w:rPr>
          <w:rFonts w:ascii="宋体" w:hAnsi="宋体"/>
          <w:bCs/>
          <w:color w:val="auto"/>
          <w:sz w:val="24"/>
          <w:szCs w:val="21"/>
          <w:highlight w:val="none"/>
        </w:rPr>
      </w:r>
      <w:r/>
    </w:p>
    <w:p>
      <w:pPr>
        <w:spacing w:line="500" w:lineRule="exact"/>
        <w:rPr>
          <w:rFonts w:ascii="宋体" w:hAnsi="宋体"/>
          <w:bCs/>
          <w:color w:val="auto"/>
          <w:sz w:val="24"/>
          <w:szCs w:val="21"/>
          <w:highlight w:val="none"/>
        </w:rPr>
      </w:pPr>
      <w:r>
        <w:rPr>
          <w:rFonts w:ascii="宋体" w:hAnsi="宋体"/>
          <w:bCs/>
          <w:color w:val="auto"/>
          <w:sz w:val="24"/>
          <w:szCs w:val="21"/>
          <w:highlight w:val="none"/>
        </w:rPr>
      </w:r>
      <w:r/>
    </w:p>
    <w:p>
      <w:pPr>
        <w:spacing w:line="500" w:lineRule="exact"/>
        <w:rPr>
          <w:rFonts w:ascii="宋体" w:hAnsi="宋体"/>
          <w:bCs/>
          <w:color w:val="auto"/>
          <w:sz w:val="24"/>
          <w:szCs w:val="21"/>
          <w:highlight w:val="none"/>
        </w:rPr>
      </w:pPr>
      <w:r>
        <w:rPr>
          <w:rFonts w:ascii="宋体" w:hAnsi="宋体"/>
          <w:bCs/>
          <w:color w:val="auto"/>
          <w:sz w:val="24"/>
          <w:szCs w:val="21"/>
          <w:highlight w:val="none"/>
        </w:rPr>
      </w:r>
      <w:r/>
    </w:p>
    <w:p>
      <w:pPr>
        <w:jc w:val="center"/>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460" w:lineRule="exact"/>
        <w:rPr>
          <w:rFonts w:ascii="宋体" w:hAnsi="宋体"/>
          <w:bCs/>
          <w:color w:val="auto"/>
          <w:sz w:val="24"/>
          <w:szCs w:val="21"/>
          <w:highlight w:val="none"/>
        </w:rPr>
      </w:pPr>
      <w:r>
        <w:rPr>
          <w:rFonts w:ascii="宋体" w:hAnsi="宋体"/>
          <w:bCs/>
          <w:color w:val="auto"/>
          <w:sz w:val="24"/>
          <w:szCs w:val="21"/>
          <w:highlight w:val="none"/>
        </w:rPr>
      </w:r>
      <w:r/>
    </w:p>
    <w:p>
      <w:pPr>
        <w:jc w:val="right"/>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 xml:space="preserve">______</w:t>
      </w:r>
      <w:r>
        <w:rPr>
          <w:rFonts w:hint="eastAsia" w:ascii="宋体" w:hAnsi="宋体"/>
          <w:bCs/>
          <w:color w:val="auto"/>
          <w:sz w:val="24"/>
          <w:szCs w:val="21"/>
          <w:highlight w:val="none"/>
        </w:rPr>
        <w:t xml:space="preserve">年月日</w:t>
      </w:r>
      <w:r/>
    </w:p>
    <w:p>
      <w:pPr>
        <w:rPr>
          <w:color w:val="auto"/>
          <w:szCs w:val="21"/>
          <w:highlight w:val="none"/>
        </w:rPr>
      </w:pPr>
      <w:r>
        <w:rPr>
          <w:color w:val="auto"/>
          <w:szCs w:val="21"/>
          <w:highlight w:val="none"/>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rPr>
        <w:br w:type="page" w:clear="all"/>
      </w:r>
      <w:r>
        <w:rPr>
          <w:rFonts w:eastAsia="方正黑体_GBK"/>
          <w:color w:val="auto"/>
          <w:sz w:val="32"/>
          <w:szCs w:val="32"/>
          <w:highlight w:val="none"/>
          <w:lang w:val="zh-CN"/>
        </w:rPr>
        <w:t xml:space="preserve">附件2</w:t>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法定代表人身份证明</w:t>
      </w:r>
      <w:r/>
    </w:p>
    <w:p>
      <w:pPr>
        <w:spacing w:line="48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先生/女士：现任我单位职务，为法定代表人，特此证明。</w:t>
      </w:r>
      <w:r/>
    </w:p>
    <w:p>
      <w:pPr>
        <w:ind w:firstLine="480"/>
        <w:spacing w:line="48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身份证号码：</w:t>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r>
      <w:r/>
    </w:p>
    <w:p>
      <w:pPr>
        <w:spacing w:line="600" w:lineRule="exact"/>
        <w:rPr>
          <w:rFonts w:ascii="宋体" w:hAnsi="宋体"/>
          <w:b/>
          <w:color w:val="auto"/>
          <w:sz w:val="24"/>
          <w:szCs w:val="24"/>
          <w:highlight w:val="none"/>
        </w:rPr>
      </w:pPr>
      <w:r>
        <w:rPr>
          <w:rFonts w:hint="eastAsia" w:ascii="宋体" w:hAnsi="宋体"/>
          <w:b/>
          <w:color w:val="auto"/>
          <w:sz w:val="24"/>
          <w:szCs w:val="24"/>
          <w:highlight w:val="none"/>
        </w:rPr>
        <w:t xml:space="preserve">注：提供法定代表人的身份证复印件盖公章</w:t>
      </w:r>
      <w:r/>
    </w:p>
    <w:p>
      <w:pPr>
        <w:ind w:firstLine="480"/>
        <w:spacing w:line="480" w:lineRule="exact"/>
        <w:rPr>
          <w:rFonts w:eastAsia="仿宋_GB2312"/>
          <w:color w:val="auto"/>
          <w:sz w:val="24"/>
          <w:szCs w:val="24"/>
          <w:highlight w:val="none"/>
        </w:rPr>
      </w:pPr>
      <w:r>
        <w:rPr>
          <w:rFonts w:eastAsia="仿宋_GB2312"/>
          <w:color w:val="auto"/>
          <w:sz w:val="24"/>
          <w:szCs w:val="24"/>
          <w:highlight w:val="none"/>
        </w:rPr>
      </w:r>
      <w:r/>
    </w:p>
    <w:p>
      <w:pPr>
        <w:rPr>
          <w:color w:val="auto"/>
          <w:szCs w:val="24"/>
          <w:highlight w:val="none"/>
        </w:rPr>
      </w:pPr>
      <w:r>
        <w:rPr>
          <w:color w:val="auto"/>
          <w:szCs w:val="24"/>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7"/>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t xml:space="preserve">附件3</w:t>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法人授权书</w:t>
      </w:r>
      <w:r/>
    </w:p>
    <w:p>
      <w:pPr>
        <w:jc w:val="center"/>
        <w:spacing w:line="56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tabs>
          <w:tab w:val="left" w:pos="360" w:leader="none"/>
        </w:tabs>
        <w:rPr>
          <w:color w:val="auto"/>
          <w:sz w:val="24"/>
          <w:szCs w:val="24"/>
          <w:highlight w:val="none"/>
        </w:rPr>
      </w:pPr>
      <w:r>
        <w:rPr>
          <w:rFonts w:hint="eastAsia"/>
          <w:color w:val="auto"/>
          <w:sz w:val="24"/>
          <w:szCs w:val="24"/>
          <w:highlight w:val="none"/>
        </w:rPr>
        <w:t xml:space="preserve">本授权书声明：____________（投标人名称）授权________________（被授权人的姓名）为我方就JSZC-号项目采购活动的合法代理人，以本单位名义全权处理一切与该项目采购有关的事务。</w:t>
      </w:r>
      <w:r/>
    </w:p>
    <w:p>
      <w:pPr>
        <w:ind w:firstLine="480"/>
        <w:spacing w:line="360" w:lineRule="auto"/>
        <w:tabs>
          <w:tab w:val="left" w:pos="360" w:leader="none"/>
        </w:tabs>
        <w:rPr>
          <w:color w:val="auto"/>
          <w:sz w:val="24"/>
          <w:szCs w:val="24"/>
          <w:highlight w:val="none"/>
        </w:rPr>
      </w:pPr>
      <w:r>
        <w:rPr>
          <w:rFonts w:hint="eastAsia"/>
          <w:color w:val="auto"/>
          <w:sz w:val="24"/>
          <w:szCs w:val="24"/>
          <w:highlight w:val="none"/>
        </w:rPr>
        <w:t xml:space="preserve">本授权书于______年____月____日起生效，特此声明。</w:t>
      </w:r>
      <w:r/>
    </w:p>
    <w:p>
      <w:pPr>
        <w:spacing w:line="360" w:lineRule="auto"/>
        <w:tabs>
          <w:tab w:val="left" w:pos="360" w:leader="none"/>
        </w:tabs>
        <w:rPr>
          <w:color w:val="auto"/>
          <w:sz w:val="24"/>
          <w:szCs w:val="24"/>
          <w:highlight w:val="none"/>
          <w:u w:val="single"/>
        </w:rPr>
      </w:pPr>
      <w:r>
        <w:rPr>
          <w:rFonts w:hint="eastAsia"/>
          <w:color w:val="auto"/>
          <w:sz w:val="24"/>
          <w:szCs w:val="24"/>
          <w:highlight w:val="none"/>
        </w:rPr>
        <w:t xml:space="preserve">          被授权人身份证号码：</w:t>
      </w:r>
      <w:r/>
    </w:p>
    <w:p>
      <w:pPr>
        <w:spacing w:line="360" w:lineRule="auto"/>
        <w:tabs>
          <w:tab w:val="left" w:pos="360" w:leader="none"/>
        </w:tabs>
        <w:rPr>
          <w:color w:val="auto"/>
          <w:sz w:val="24"/>
          <w:szCs w:val="24"/>
          <w:highlight w:val="none"/>
          <w:u w:val="single"/>
        </w:rPr>
      </w:pPr>
      <w:r>
        <w:rPr>
          <w:rFonts w:hint="eastAsia"/>
          <w:color w:val="auto"/>
          <w:sz w:val="24"/>
          <w:szCs w:val="24"/>
          <w:highlight w:val="none"/>
        </w:rPr>
        <w:t xml:space="preserve">          被授权人联系电话：（手机）</w:t>
      </w:r>
      <w:r/>
    </w:p>
    <w:p>
      <w:pPr>
        <w:ind w:firstLine="1200"/>
        <w:spacing w:line="360" w:lineRule="auto"/>
        <w:tabs>
          <w:tab w:val="left" w:pos="360" w:leader="none"/>
        </w:tabs>
        <w:rPr>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ind w:firstLine="480"/>
        <w:spacing w:line="360" w:lineRule="auto"/>
        <w:tabs>
          <w:tab w:val="left" w:pos="360" w:leader="none"/>
        </w:tabs>
        <w:rPr>
          <w:color w:val="auto"/>
          <w:sz w:val="24"/>
          <w:szCs w:val="24"/>
          <w:highlight w:val="none"/>
          <w:u w:val="single"/>
        </w:rPr>
      </w:pPr>
      <w:r>
        <w:rPr>
          <w:rFonts w:hint="eastAsia"/>
          <w:color w:val="auto"/>
          <w:sz w:val="24"/>
          <w:szCs w:val="24"/>
          <w:highlight w:val="none"/>
        </w:rPr>
        <w:t xml:space="preserve">      单位地址：</w:t>
      </w:r>
      <w:r/>
    </w:p>
    <w:p>
      <w:pPr>
        <w:ind w:firstLine="480"/>
        <w:spacing w:line="360" w:lineRule="auto"/>
        <w:tabs>
          <w:tab w:val="left" w:pos="360" w:leader="none"/>
        </w:tabs>
        <w:rPr>
          <w:color w:val="auto"/>
          <w:sz w:val="24"/>
          <w:szCs w:val="24"/>
          <w:highlight w:val="none"/>
        </w:rPr>
      </w:pPr>
      <w:r>
        <w:rPr>
          <w:rFonts w:hint="eastAsia"/>
          <w:color w:val="auto"/>
          <w:sz w:val="24"/>
          <w:szCs w:val="24"/>
          <w:highlight w:val="none"/>
        </w:rPr>
        <w:t xml:space="preserve">      日期：</w:t>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附件4</w:t>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投标函</w:t>
      </w:r>
      <w:r/>
    </w:p>
    <w:p>
      <w:pPr>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致：海安市实验中学</w:t>
      </w:r>
      <w:r/>
    </w:p>
    <w:p>
      <w:pPr>
        <w:ind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根据贵方的JSZC-</w:t>
      </w:r>
      <w:r>
        <w:rPr>
          <w:rFonts w:ascii="宋体" w:hAnsi="宋体"/>
          <w:color w:val="auto"/>
          <w:sz w:val="24"/>
          <w:szCs w:val="21"/>
          <w:highlight w:val="none"/>
        </w:rPr>
        <w:t xml:space="preserve">***</w:t>
      </w:r>
      <w:r>
        <w:rPr>
          <w:rFonts w:hint="eastAsia" w:ascii="宋体" w:hAnsi="宋体"/>
          <w:color w:val="auto"/>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40" w:lineRule="exact"/>
        <w:rPr>
          <w:rFonts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40" w:lineRule="exact"/>
        <w:rPr>
          <w:rFonts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40" w:lineRule="exact"/>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ind w:left="420" w:firstLine="480"/>
        <w:jc w:val="left"/>
        <w:spacing w:line="440" w:lineRule="exact"/>
        <w:rPr>
          <w:rFonts w:ascii="宋体" w:hAnsi="宋体"/>
          <w:color w:val="auto"/>
          <w:sz w:val="24"/>
          <w:szCs w:val="21"/>
          <w:highlight w:val="none"/>
        </w:rPr>
      </w:pPr>
      <w:r>
        <w:rPr>
          <w:rFonts w:ascii="宋体" w:hAnsi="宋体"/>
          <w:color w:val="auto"/>
          <w:sz w:val="24"/>
          <w:szCs w:val="21"/>
          <w:highlight w:val="none"/>
        </w:rPr>
      </w:r>
      <w:r/>
    </w:p>
    <w:p>
      <w:pPr>
        <w:ind w:left="420" w:firstLine="240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投标供应商全称(盖公章)：</w:t>
      </w:r>
      <w:r/>
    </w:p>
    <w:p>
      <w:pPr>
        <w:ind w:left="420" w:firstLine="240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法定代表人（签字或盖章）：</w:t>
      </w:r>
      <w:r/>
    </w:p>
    <w:p>
      <w:pPr>
        <w:contextualSpacing/>
        <w:spacing w:line="300" w:lineRule="auto"/>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附件5</w:t>
      </w:r>
      <w:r/>
    </w:p>
    <w:p>
      <w:pPr>
        <w:contextualSpacing/>
        <w:jc w:val="center"/>
        <w:spacing w:line="300" w:lineRule="auto"/>
        <w:rPr>
          <w:rFonts w:ascii="宋体" w:hAnsi="宋体"/>
          <w:b/>
          <w:color w:val="auto"/>
          <w:sz w:val="32"/>
          <w:szCs w:val="32"/>
          <w:highlight w:val="none"/>
        </w:rPr>
      </w:pPr>
      <w:r>
        <w:rPr>
          <w:rFonts w:hint="eastAsia" w:ascii="宋体" w:hAnsi="宋体"/>
          <w:b/>
          <w:color w:val="auto"/>
          <w:sz w:val="32"/>
          <w:szCs w:val="32"/>
          <w:highlight w:val="none"/>
        </w:rPr>
        <w:t xml:space="preserve">商务部分正负偏离表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（由投标人据实填写，表格不够自行添加）</w:t>
      </w:r>
      <w:r/>
    </w:p>
    <w:tbl>
      <w:tblPr>
        <w:tblStyle w:val="692"/>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货物或服务名称</w:t>
            </w:r>
            <w:r/>
          </w:p>
        </w:tc>
        <w:tc>
          <w:tcPr>
            <w:tcW w:w="1095"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招标文件要求的商务条款</w:t>
            </w:r>
            <w:r/>
          </w:p>
        </w:tc>
        <w:tc>
          <w:tcPr>
            <w:tcW w:w="1413"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投标文件响应情况</w:t>
            </w:r>
            <w:r/>
          </w:p>
        </w:tc>
        <w:tc>
          <w:tcPr>
            <w:tcW w:w="778" w:type="dxa"/>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trHeight w:val="414"/>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095"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13"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778"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r>
      <w:tr>
        <w:trPr>
          <w:trHeight w:val="548"/>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095"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13"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778"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r>
      <w:tr>
        <w:trPr>
          <w:trHeight w:val="400"/>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095"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1413"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778"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r>
      <w:tr>
        <w:trPr>
          <w:trHeight w:val="419"/>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095"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13"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778"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r>
    </w:tbl>
    <w:p>
      <w:pPr>
        <w:contextualSpacing/>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注：</w:t>
      </w:r>
      <w:r/>
    </w:p>
    <w:p>
      <w:pPr>
        <w:contextualSpacing/>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1.投标人提交的投标文件中与招标文件第三部分“项目需求”中的商务部分的要求，应逐条填列在偏离表中。</w:t>
      </w:r>
      <w:r/>
    </w:p>
    <w:p>
      <w:pPr>
        <w:contextualSpacing/>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2.“偏离说明”一栏选择“正偏离”、“无偏离”、“负偏离”进行填写。正偏离、无偏离的确认和负偏离的是否响应招标文件，由评委认定。</w:t>
      </w:r>
      <w:r/>
    </w:p>
    <w:p>
      <w:pPr>
        <w:contextualSpacing/>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3.投标人如果虚假响应，将被暂停参加采购人组织政府采购活动。</w:t>
      </w:r>
      <w:r/>
    </w:p>
    <w:p>
      <w:pPr>
        <w:contextualSpacing/>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4.供应商若提供其他增值服务，可以在表中自行据实填写。</w:t>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附件6</w:t>
      </w:r>
      <w:r/>
    </w:p>
    <w:p>
      <w:pPr>
        <w:contextualSpacing/>
        <w:jc w:val="center"/>
        <w:spacing w:line="300" w:lineRule="auto"/>
        <w:rPr>
          <w:rFonts w:ascii="宋体" w:hAnsi="宋体"/>
          <w:b/>
          <w:color w:val="auto"/>
          <w:sz w:val="32"/>
          <w:szCs w:val="32"/>
          <w:highlight w:val="none"/>
        </w:rPr>
      </w:pPr>
      <w:r>
        <w:rPr>
          <w:rFonts w:hint="eastAsia" w:ascii="宋体" w:hAnsi="宋体"/>
          <w:b/>
          <w:color w:val="auto"/>
          <w:sz w:val="32"/>
          <w:szCs w:val="32"/>
          <w:highlight w:val="none"/>
        </w:rPr>
        <w:t xml:space="preserve">技术部分正负偏离表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（由投标人据实填写，表格不够自行添加）</w:t>
      </w:r>
      <w:r/>
    </w:p>
    <w:tbl>
      <w:tblPr>
        <w:tblStyle w:val="692"/>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货物或服务名称</w:t>
            </w:r>
            <w:r/>
          </w:p>
        </w:tc>
        <w:tc>
          <w:tcPr>
            <w:tcW w:w="1095"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招标文件要求的技术要求</w:t>
            </w:r>
            <w:r/>
          </w:p>
        </w:tc>
        <w:tc>
          <w:tcPr>
            <w:tcW w:w="1413"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投标文件响应情况</w:t>
            </w:r>
            <w:r/>
          </w:p>
        </w:tc>
        <w:tc>
          <w:tcPr>
            <w:tcW w:w="778" w:type="dxa"/>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trHeight w:val="414"/>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095"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13"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778"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r>
      <w:tr>
        <w:trPr>
          <w:trHeight w:val="548"/>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095"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13"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778"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r>
      <w:tr>
        <w:trPr>
          <w:trHeight w:val="400"/>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095"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1413"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778"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r>
      <w:tr>
        <w:trPr>
          <w:trHeight w:val="419"/>
        </w:trPr>
        <w:tc>
          <w:tcPr>
            <w:tcW w:w="460" w:type="dxa"/>
            <w:vAlign w:val="center"/>
            <w:textDirection w:val="lrTb"/>
            <w:noWrap/>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254"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095" w:type="dxa"/>
            <w:vAlign w:val="center"/>
            <w:textDirection w:val="lrTb"/>
            <w:noWrap/>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413"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c>
          <w:tcPr>
            <w:tcW w:w="778" w:type="dxa"/>
            <w:vAlign w:val="center"/>
            <w:textDirection w:val="lrTb"/>
            <w:noWrap/>
          </w:tcPr>
          <w:p>
            <w:pPr>
              <w:jc w:val="center"/>
              <w:spacing w:line="340" w:lineRule="exact"/>
              <w:rPr>
                <w:color w:val="auto"/>
                <w:sz w:val="24"/>
                <w:szCs w:val="24"/>
                <w:highlight w:val="none"/>
              </w:rPr>
            </w:pPr>
            <w:r>
              <w:rPr>
                <w:color w:val="auto"/>
                <w:sz w:val="24"/>
                <w:szCs w:val="24"/>
                <w:highlight w:val="none"/>
              </w:rPr>
            </w:r>
            <w:r/>
          </w:p>
        </w:tc>
      </w:tr>
    </w:tbl>
    <w:p>
      <w:pPr>
        <w:contextualSpacing/>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注：</w:t>
      </w:r>
      <w:r/>
    </w:p>
    <w:p>
      <w:pPr>
        <w:contextualSpacing/>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1.投标人提交的投标文件中与招标文件第三部分“项目需求”中的技术部分的要求，应逐条填列在偏离表中。</w:t>
      </w:r>
      <w:r/>
    </w:p>
    <w:p>
      <w:pPr>
        <w:contextualSpacing/>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2.“偏离说明”一栏选择“正偏离”、“无偏离”、“负偏离”进行填写。正偏离、无偏离的确认和负偏离的是否响应招标文件，由评委认定。</w:t>
      </w:r>
      <w:r/>
    </w:p>
    <w:p>
      <w:pPr>
        <w:contextualSpacing/>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3.投标人如果虚假响应，将被暂停参加采购人组织政府采购活动。</w:t>
      </w:r>
      <w:r/>
    </w:p>
    <w:p>
      <w:pPr>
        <w:contextualSpacing/>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4.供应商若提供其他增值服务，可以在表中自行据实填写。</w:t>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附件7</w:t>
      </w:r>
      <w:r/>
    </w:p>
    <w:p>
      <w:pPr>
        <w:jc w:val="center"/>
        <w:spacing w:before="100" w:beforeAutospacing="1" w:after="100" w:afterAutospacing="1" w:line="520" w:lineRule="exact"/>
        <w:widowControl/>
        <w:rPr>
          <w:rFonts w:ascii="宋体" w:hAnsi="宋体" w:cs="宋体"/>
          <w:b/>
          <w:bCs/>
          <w:color w:val="auto"/>
          <w:sz w:val="32"/>
          <w:szCs w:val="32"/>
          <w:highlight w:val="none"/>
        </w:rPr>
      </w:pPr>
      <w:r>
        <w:rPr>
          <w:rFonts w:ascii="宋体" w:hAnsi="宋体" w:cs="宋体"/>
          <w:b/>
          <w:bCs/>
          <w:color w:val="auto"/>
          <w:sz w:val="32"/>
          <w:szCs w:val="32"/>
          <w:highlight w:val="none"/>
        </w:rPr>
        <w:t xml:space="preserve">开  标 一 览  表</w:t>
      </w:r>
      <w:r/>
    </w:p>
    <w:p>
      <w:pPr>
        <w:spacing w:line="560" w:lineRule="exact"/>
        <w:rPr>
          <w:rFonts w:ascii="宋体" w:hAnsi="宋体" w:cs="宋体"/>
          <w:color w:val="auto"/>
          <w:sz w:val="28"/>
          <w:szCs w:val="28"/>
          <w:highlight w:val="none"/>
          <w:u w:val="single"/>
        </w:rPr>
      </w:pPr>
      <w:r>
        <w:rPr>
          <w:rFonts w:ascii="宋体" w:hAnsi="宋体" w:cs="宋体"/>
          <w:color w:val="auto"/>
          <w:sz w:val="28"/>
          <w:szCs w:val="28"/>
          <w:highlight w:val="none"/>
        </w:rPr>
        <w:t xml:space="preserve">投标人全称（加盖公章）：</w:t>
      </w:r>
      <w:r/>
    </w:p>
    <w:p>
      <w:pPr>
        <w:spacing w:line="560" w:lineRule="exact"/>
        <w:rPr>
          <w:rFonts w:ascii="宋体" w:hAnsi="宋体" w:cs="宋体"/>
          <w:color w:val="auto"/>
          <w:sz w:val="28"/>
          <w:szCs w:val="28"/>
          <w:highlight w:val="none"/>
          <w:u w:val="single"/>
        </w:rPr>
      </w:pPr>
      <w:r>
        <w:rPr>
          <w:rFonts w:ascii="宋体" w:hAnsi="宋体" w:cs="宋体"/>
          <w:color w:val="auto"/>
          <w:sz w:val="28"/>
          <w:szCs w:val="28"/>
          <w:highlight w:val="none"/>
        </w:rPr>
        <w:t xml:space="preserve">项目名称：</w:t>
      </w:r>
      <w:r/>
    </w:p>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项目编号：</w:t>
      </w:r>
      <w:r/>
    </w:p>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分包号：</w:t>
      </w:r>
      <w:r/>
    </w:p>
    <w:tbl>
      <w:tblPr>
        <w:tblStyle w:val="692"/>
        <w:tblW w:w="91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999"/>
      </w:tblGrid>
      <w:tr>
        <w:trPr/>
        <w:tc>
          <w:tcPr>
            <w:tcW w:w="4148" w:type="dxa"/>
            <w:textDirection w:val="lrTb"/>
            <w:noWrap/>
          </w:tcPr>
          <w:p>
            <w:pPr>
              <w:jc w:val="center"/>
              <w:spacing w:line="560" w:lineRule="exact"/>
              <w:rPr>
                <w:rFonts w:ascii="等线" w:hAnsi="等线" w:eastAsia="等线"/>
                <w:color w:val="auto"/>
                <w:highlight w:val="none"/>
              </w:rPr>
            </w:pPr>
            <w:r>
              <w:rPr>
                <w:rFonts w:ascii="宋体" w:hAnsi="宋体" w:cs="宋体"/>
                <w:color w:val="auto"/>
                <w:sz w:val="28"/>
                <w:szCs w:val="28"/>
                <w:highlight w:val="none"/>
              </w:rPr>
              <w:t xml:space="preserve">投标货物、服务名称</w:t>
            </w:r>
            <w:r/>
          </w:p>
        </w:tc>
        <w:tc>
          <w:tcPr>
            <w:tcW w:w="4999" w:type="dxa"/>
            <w:textDirection w:val="lrTb"/>
            <w:noWrap/>
          </w:tcPr>
          <w:p>
            <w:pPr>
              <w:jc w:val="center"/>
              <w:spacing w:line="560" w:lineRule="exact"/>
              <w:rPr>
                <w:rFonts w:ascii="等线" w:hAnsi="等线" w:eastAsia="等线"/>
                <w:color w:val="auto"/>
                <w:highlight w:val="none"/>
              </w:rPr>
            </w:pPr>
            <w:r>
              <w:rPr>
                <w:rFonts w:ascii="宋体" w:hAnsi="宋体" w:cs="宋体"/>
                <w:color w:val="auto"/>
                <w:sz w:val="28"/>
                <w:szCs w:val="28"/>
                <w:highlight w:val="none"/>
              </w:rPr>
              <w:t xml:space="preserve">投标总报价</w:t>
            </w:r>
            <w:r/>
          </w:p>
        </w:tc>
      </w:tr>
      <w:tr>
        <w:trPr>
          <w:trHeight w:val="1091"/>
        </w:trPr>
        <w:tc>
          <w:tcPr>
            <w:tcW w:w="4148" w:type="dxa"/>
            <w:textDirection w:val="lrTb"/>
            <w:noWrap/>
          </w:tcPr>
          <w:p>
            <w:pPr>
              <w:spacing w:line="560" w:lineRule="exact"/>
              <w:rPr>
                <w:rFonts w:ascii="等线" w:hAnsi="等线" w:eastAsia="等线"/>
                <w:color w:val="auto"/>
                <w:highlight w:val="none"/>
              </w:rPr>
            </w:pPr>
            <w:r>
              <w:rPr>
                <w:rFonts w:ascii="等线" w:hAnsi="等线" w:eastAsia="等线"/>
                <w:color w:val="auto"/>
                <w:highlight w:val="none"/>
              </w:rPr>
            </w:r>
            <w:r/>
          </w:p>
        </w:tc>
        <w:tc>
          <w:tcPr>
            <w:tcW w:w="4999" w:type="dxa"/>
            <w:textDirection w:val="lrTb"/>
            <w:noWrap/>
          </w:tcPr>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大写：</w:t>
            </w:r>
            <w:r/>
          </w:p>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小写：元（人民币）</w:t>
            </w:r>
            <w:r/>
          </w:p>
        </w:tc>
      </w:tr>
      <w:tr>
        <w:trPr/>
        <w:tc>
          <w:tcPr>
            <w:tcW w:w="4148" w:type="dxa"/>
            <w:textDirection w:val="lrTb"/>
            <w:noWrap/>
          </w:tcPr>
          <w:p>
            <w:pPr>
              <w:spacing w:line="560" w:lineRule="exact"/>
              <w:rPr>
                <w:rFonts w:ascii="等线" w:hAnsi="等线" w:eastAsia="等线"/>
                <w:color w:val="auto"/>
                <w:highlight w:val="none"/>
              </w:rPr>
            </w:pPr>
            <w:r>
              <w:rPr>
                <w:rFonts w:ascii="宋体" w:hAnsi="宋体" w:cs="宋体"/>
                <w:color w:val="auto"/>
                <w:sz w:val="28"/>
                <w:szCs w:val="28"/>
                <w:highlight w:val="none"/>
              </w:rPr>
              <w:t xml:space="preserve">主要货物、服务制造商及产地</w:t>
            </w:r>
            <w:r/>
          </w:p>
        </w:tc>
        <w:tc>
          <w:tcPr>
            <w:tcW w:w="4999" w:type="dxa"/>
            <w:textDirection w:val="lrTb"/>
            <w:noWrap/>
          </w:tcPr>
          <w:p>
            <w:pPr>
              <w:spacing w:line="560" w:lineRule="exact"/>
              <w:rPr>
                <w:rFonts w:ascii="等线" w:hAnsi="等线" w:eastAsia="等线"/>
                <w:color w:val="auto"/>
                <w:highlight w:val="none"/>
              </w:rPr>
            </w:pPr>
            <w:r>
              <w:rPr>
                <w:rFonts w:ascii="等线" w:hAnsi="等线" w:eastAsia="等线"/>
                <w:color w:val="auto"/>
                <w:highlight w:val="none"/>
              </w:rPr>
            </w:r>
            <w:r/>
          </w:p>
        </w:tc>
      </w:tr>
      <w:tr>
        <w:trPr>
          <w:trHeight w:val="481"/>
        </w:trPr>
        <w:tc>
          <w:tcPr>
            <w:tcW w:w="4148" w:type="dxa"/>
            <w:textDirection w:val="lrTb"/>
            <w:noWrap/>
          </w:tcPr>
          <w:p>
            <w:pPr>
              <w:spacing w:line="560" w:lineRule="exact"/>
              <w:rPr>
                <w:rFonts w:ascii="等线" w:hAnsi="等线" w:eastAsia="等线"/>
                <w:color w:val="auto"/>
                <w:highlight w:val="none"/>
              </w:rPr>
            </w:pPr>
            <w:r>
              <w:rPr>
                <w:rFonts w:hint="eastAsia" w:ascii="宋体" w:hAnsi="宋体" w:cs="宋体"/>
                <w:color w:val="auto"/>
                <w:sz w:val="28"/>
                <w:szCs w:val="28"/>
                <w:highlight w:val="none"/>
              </w:rPr>
              <w:t xml:space="preserve">核心产品品牌（如有）</w:t>
            </w:r>
            <w:r/>
          </w:p>
        </w:tc>
        <w:tc>
          <w:tcPr>
            <w:tcW w:w="4999" w:type="dxa"/>
            <w:textDirection w:val="lrTb"/>
            <w:noWrap/>
          </w:tcPr>
          <w:p>
            <w:pPr>
              <w:spacing w:line="560" w:lineRule="exact"/>
              <w:rPr>
                <w:rFonts w:ascii="等线" w:hAnsi="等线" w:eastAsia="等线"/>
                <w:color w:val="auto"/>
                <w:highlight w:val="none"/>
              </w:rPr>
            </w:pPr>
            <w:r>
              <w:rPr>
                <w:rFonts w:ascii="等线" w:hAnsi="等线" w:eastAsia="等线"/>
                <w:color w:val="auto"/>
                <w:highlight w:val="none"/>
              </w:rPr>
            </w:r>
            <w:r/>
          </w:p>
        </w:tc>
      </w:tr>
    </w:tbl>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日期：</w:t>
      </w:r>
      <w:r/>
    </w:p>
    <w:p>
      <w:pPr>
        <w:spacing w:line="56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填写说明：</w:t>
      </w:r>
      <w:r/>
    </w:p>
    <w:p>
      <w:pPr>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、开标一览表必须加盖投标单位公章（复印件无效）。</w:t>
      </w:r>
      <w:r/>
    </w:p>
    <w:p>
      <w:pPr>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、如有分包，投标人投任何一个包的标的，都需单独填写开标一览表。</w:t>
      </w:r>
      <w:r/>
    </w:p>
    <w:p>
      <w:pPr>
        <w:spacing w:line="520" w:lineRule="exact"/>
        <w:rPr>
          <w:rFonts w:eastAsia="方正黑体_GBK"/>
          <w:color w:val="auto"/>
          <w:sz w:val="32"/>
          <w:szCs w:val="32"/>
          <w:highlight w:val="none"/>
        </w:rPr>
      </w:pPr>
      <w:r>
        <w:rPr>
          <w:rFonts w:eastAsia="方正黑体_GBK"/>
          <w:color w:val="auto"/>
          <w:sz w:val="32"/>
          <w:szCs w:val="32"/>
          <w:highlight w:val="none"/>
        </w:rPr>
        <w:br w:type="page" w:clear="all"/>
      </w:r>
      <w:r>
        <w:rPr>
          <w:rFonts w:eastAsia="方正黑体_GBK"/>
          <w:color w:val="auto"/>
          <w:sz w:val="32"/>
          <w:szCs w:val="32"/>
          <w:highlight w:val="none"/>
        </w:rPr>
        <w:t xml:space="preserve">附件8</w:t>
      </w:r>
      <w:r/>
    </w:p>
    <w:p>
      <w:pPr>
        <w:jc w:val="center"/>
        <w:spacing w:line="400" w:lineRule="exact"/>
        <w:rPr>
          <w:color w:val="auto"/>
          <w:sz w:val="32"/>
          <w:szCs w:val="32"/>
          <w:highlight w:val="none"/>
        </w:rPr>
      </w:pPr>
      <w:r>
        <w:rPr>
          <w:rFonts w:hint="eastAsia"/>
          <w:b/>
          <w:bCs/>
          <w:color w:val="auto"/>
          <w:sz w:val="32"/>
          <w:szCs w:val="32"/>
          <w:highlight w:val="none"/>
        </w:rPr>
        <w:t xml:space="preserve">分项报价明细表（货物类）</w:t>
      </w:r>
      <w:r/>
    </w:p>
    <w:p>
      <w:pPr>
        <w:spacing w:line="400" w:lineRule="exac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投标人（盖章）：</w:t>
      </w:r>
      <w:r/>
    </w:p>
    <w:tbl>
      <w:tblPr>
        <w:tblStyle w:val="692"/>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序号</w:t>
            </w:r>
            <w:r/>
          </w:p>
        </w:tc>
        <w:tc>
          <w:tcPr>
            <w:tcW w:w="1340"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名称</w:t>
            </w:r>
            <w:r/>
          </w:p>
        </w:tc>
        <w:tc>
          <w:tcPr>
            <w:tcW w:w="1211"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规格型号</w:t>
            </w:r>
            <w:r/>
          </w:p>
        </w:tc>
        <w:tc>
          <w:tcPr>
            <w:tcW w:w="1276"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品牌</w:t>
            </w:r>
            <w:r/>
          </w:p>
        </w:tc>
        <w:tc>
          <w:tcPr>
            <w:tcW w:w="992"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单位</w:t>
            </w:r>
            <w:r/>
          </w:p>
        </w:tc>
        <w:tc>
          <w:tcPr>
            <w:tcW w:w="851"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数量</w:t>
            </w:r>
            <w:r/>
          </w:p>
        </w:tc>
        <w:tc>
          <w:tcPr>
            <w:tcW w:w="850"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单价</w:t>
            </w:r>
            <w:r/>
          </w:p>
        </w:tc>
        <w:tc>
          <w:tcPr>
            <w:tcW w:w="851"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金额</w:t>
            </w:r>
            <w:r/>
          </w:p>
        </w:tc>
        <w:tc>
          <w:tcPr>
            <w:tcW w:w="1490" w:type="dxa"/>
            <w:vAlign w:val="center"/>
            <w:textDirection w:val="lrTb"/>
            <w:noWrap w:val="false"/>
          </w:tcPr>
          <w:p>
            <w:pPr>
              <w:ind w:firstLine="105"/>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备注（是否为主要标的）</w:t>
            </w:r>
            <w:r/>
          </w:p>
        </w:tc>
      </w:tr>
      <w:tr>
        <w:trPr>
          <w:cantSplit/>
          <w:jc w:val="center"/>
          <w:trHeight w:val="479"/>
        </w:trPr>
        <w:tc>
          <w:tcPr>
            <w:tcW w:w="1037"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1</w:t>
            </w:r>
            <w:r/>
          </w:p>
        </w:tc>
        <w:tc>
          <w:tcPr>
            <w:tcW w:w="134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992"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9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502"/>
        </w:trPr>
        <w:tc>
          <w:tcPr>
            <w:tcW w:w="1037"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2</w:t>
            </w:r>
            <w:r/>
          </w:p>
        </w:tc>
        <w:tc>
          <w:tcPr>
            <w:tcW w:w="134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992"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9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596"/>
        </w:trPr>
        <w:tc>
          <w:tcPr>
            <w:tcW w:w="1037"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3</w:t>
            </w:r>
            <w:r/>
          </w:p>
        </w:tc>
        <w:tc>
          <w:tcPr>
            <w:tcW w:w="134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992"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9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513"/>
        </w:trPr>
        <w:tc>
          <w:tcPr>
            <w:tcW w:w="1037"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4</w:t>
            </w:r>
            <w:r/>
          </w:p>
        </w:tc>
        <w:tc>
          <w:tcPr>
            <w:tcW w:w="134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992"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9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513"/>
        </w:trPr>
        <w:tc>
          <w:tcPr>
            <w:tcW w:w="1037"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34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992"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90"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441"/>
        </w:trPr>
        <w:tc>
          <w:tcPr>
            <w:tcW w:w="1037"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合计</w:t>
            </w:r>
            <w:r/>
          </w:p>
        </w:tc>
        <w:tc>
          <w:tcPr>
            <w:gridSpan w:val="8"/>
            <w:tcW w:w="8861" w:type="dxa"/>
            <w:vAlign w:val="center"/>
            <w:textDirection w:val="lrTb"/>
            <w:noWrap w:val="false"/>
          </w:tcPr>
          <w:p>
            <w:pPr>
              <w:jc w:val="center"/>
              <w:spacing w:line="240" w:lineRule="atLeas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441"/>
        </w:trPr>
        <w:tc>
          <w:tcPr>
            <w:gridSpan w:val="9"/>
            <w:tcW w:w="9898" w:type="dxa"/>
            <w:vAlign w:val="center"/>
            <w:textDirection w:val="lrTb"/>
            <w:noWrap w:val="false"/>
          </w:tcPr>
          <w:p>
            <w:pPr>
              <w:spacing w:line="240" w:lineRule="atLeast"/>
              <w:rPr>
                <w:rFonts w:ascii="仿宋_GB2312" w:hAnsi="宋体" w:eastAsia="仿宋_GB2312"/>
                <w:b/>
                <w:color w:val="auto"/>
                <w:sz w:val="28"/>
                <w:szCs w:val="28"/>
                <w:highlight w:val="none"/>
              </w:rPr>
            </w:pPr>
            <w:r>
              <w:rPr>
                <w:rFonts w:hint="eastAsia" w:ascii="仿宋_GB2312" w:hAnsi="宋体" w:eastAsia="仿宋_GB2312"/>
                <w:color w:val="auto"/>
                <w:sz w:val="24"/>
                <w:szCs w:val="24"/>
                <w:highlight w:val="none"/>
              </w:rPr>
              <w:t xml:space="preserve">本采购包中提供的符合本国产品标准的产品成本之和占该采购包提供的全部产品成本之和的比例为（供应商须填写具体比例）</w:t>
            </w:r>
            <w:r>
              <w:rPr>
                <w:rFonts w:hint="eastAsia" w:ascii="仿宋_GB2312" w:hAnsi="宋体" w:eastAsia="仿宋_GB2312"/>
                <w:color w:val="auto"/>
                <w:sz w:val="24"/>
                <w:szCs w:val="24"/>
                <w:highlight w:val="none"/>
                <w:u w:val="single"/>
              </w:rPr>
              <w:t xml:space="preserve">%</w:t>
            </w:r>
            <w:r>
              <w:rPr>
                <w:rFonts w:hint="eastAsia" w:ascii="仿宋_GB2312" w:hAnsi="宋体" w:eastAsia="仿宋_GB2312"/>
                <w:color w:val="auto"/>
                <w:sz w:val="24"/>
                <w:szCs w:val="24"/>
                <w:highlight w:val="none"/>
              </w:rPr>
              <w:t xml:space="preserve">。</w:t>
            </w:r>
            <w:r/>
          </w:p>
        </w:tc>
      </w:tr>
    </w:tbl>
    <w:p>
      <w:pPr>
        <w:spacing w:line="520" w:lineRule="exact"/>
        <w:rPr>
          <w:rFonts w:ascii="宋体" w:hAnsi="宋体" w:cs="宋体"/>
          <w:b/>
          <w:color w:val="auto"/>
          <w:sz w:val="24"/>
          <w:szCs w:val="24"/>
          <w:highlight w:val="none"/>
          <w:lang w:val="zh-CN"/>
        </w:rPr>
        <w:outlineLvl w:val="0"/>
      </w:pPr>
      <w:r>
        <w:rPr>
          <w:rFonts w:hint="eastAsia" w:ascii="宋体" w:hAnsi="宋体" w:cs="宋体"/>
          <w:b/>
          <w:color w:val="auto"/>
          <w:sz w:val="24"/>
          <w:szCs w:val="24"/>
          <w:highlight w:val="none"/>
          <w:lang w:val="zh-CN"/>
        </w:rPr>
        <w:t xml:space="preserve">备注：</w:t>
      </w:r>
      <w:r/>
    </w:p>
    <w:p>
      <w:pPr>
        <w:ind w:firstLine="482"/>
        <w:spacing w:line="520" w:lineRule="exact"/>
        <w:rPr>
          <w:rFonts w:ascii="宋体" w:hAnsi="宋体" w:cs="宋体"/>
          <w:b/>
          <w:color w:val="auto"/>
          <w:sz w:val="24"/>
          <w:szCs w:val="24"/>
          <w:highlight w:val="none"/>
          <w:lang w:val="zh-CN"/>
        </w:rPr>
        <w:outlineLvl w:val="0"/>
      </w:pPr>
      <w:r>
        <w:rPr>
          <w:rFonts w:hint="eastAsia" w:ascii="宋体" w:hAnsi="宋体" w:cs="宋体"/>
          <w:b/>
          <w:color w:val="auto"/>
          <w:sz w:val="24"/>
          <w:szCs w:val="24"/>
          <w:highlight w:val="none"/>
          <w:lang w:val="zh-CN"/>
        </w:rPr>
        <w:t xml:space="preserve">1.投标人必须详细、准确填写本报价表中各个子项的名称、品牌、规格型号、数量、单价、备注中的内容（是否为主要标的）等内容。</w:t>
      </w:r>
      <w:r/>
    </w:p>
    <w:p>
      <w:pPr>
        <w:ind w:firstLine="482"/>
        <w:spacing w:line="520" w:lineRule="exact"/>
        <w:rPr>
          <w:rFonts w:ascii="宋体" w:hAnsi="宋体" w:cs="宋体"/>
          <w:b/>
          <w:color w:val="auto"/>
          <w:sz w:val="24"/>
          <w:szCs w:val="24"/>
          <w:highlight w:val="none"/>
          <w:lang w:val="zh-CN"/>
        </w:rPr>
        <w:outlineLvl w:val="0"/>
      </w:pPr>
      <w:r>
        <w:rPr>
          <w:rFonts w:hint="eastAsia" w:ascii="宋体" w:hAnsi="宋体" w:cs="宋体"/>
          <w:b/>
          <w:color w:val="auto"/>
          <w:sz w:val="24"/>
          <w:szCs w:val="24"/>
          <w:highlight w:val="none"/>
          <w:lang w:val="zh-CN"/>
        </w:rPr>
        <w:t xml:space="preserve">2.本表各分项报价合计应当与“开标一览表”中“投标总报价”（或“投标优惠率”）数额一致。</w:t>
      </w:r>
      <w:r/>
    </w:p>
    <w:p>
      <w:pPr>
        <w:ind w:firstLine="482"/>
        <w:spacing w:line="520" w:lineRule="exact"/>
        <w:rPr>
          <w:rFonts w:ascii="宋体" w:hAnsi="宋体" w:cs="宋体"/>
          <w:b/>
          <w:color w:val="auto"/>
          <w:sz w:val="24"/>
          <w:szCs w:val="24"/>
          <w:highlight w:val="none"/>
          <w:lang w:val="zh-CN"/>
        </w:rPr>
        <w:outlineLvl w:val="0"/>
      </w:pPr>
      <w:r>
        <w:rPr>
          <w:rFonts w:hint="eastAsia" w:ascii="宋体" w:hAnsi="宋体" w:cs="宋体"/>
          <w:b/>
          <w:color w:val="auto"/>
          <w:sz w:val="24"/>
          <w:szCs w:val="24"/>
          <w:highlight w:val="none"/>
          <w:lang w:val="zh-CN"/>
        </w:rPr>
        <w:t xml:space="preserve">3.</w:t>
      </w:r>
      <w:r>
        <w:rPr>
          <w:rFonts w:hint="eastAsia" w:ascii="宋体" w:hAnsi="宋体" w:cs="宋体"/>
          <w:b/>
          <w:color w:val="auto"/>
          <w:sz w:val="24"/>
          <w:szCs w:val="24"/>
          <w:highlight w:val="none"/>
        </w:rPr>
        <w:t xml:space="preserve">供应商须详细备注主要标的信息，并</w:t>
      </w:r>
      <w:r>
        <w:rPr>
          <w:rFonts w:hint="eastAsia" w:ascii="宋体" w:hAnsi="宋体" w:cs="宋体"/>
          <w:b/>
          <w:color w:val="auto"/>
          <w:sz w:val="24"/>
          <w:szCs w:val="24"/>
          <w:highlight w:val="none"/>
          <w:lang w:val="zh-CN"/>
        </w:rPr>
        <w:t xml:space="preserve">将随中标公告进行公示。</w:t>
      </w:r>
      <w:r/>
    </w:p>
    <w:p>
      <w:pPr>
        <w:ind w:firstLine="482"/>
        <w:spacing w:line="520" w:lineRule="exact"/>
        <w:rPr>
          <w:rFonts w:ascii="宋体" w:hAnsi="宋体" w:cs="宋体"/>
          <w:b/>
          <w:bCs/>
          <w:color w:val="auto"/>
          <w:sz w:val="24"/>
          <w:szCs w:val="24"/>
          <w:highlight w:val="none"/>
          <w:lang w:val="zh-CN"/>
        </w:rPr>
        <w:outlineLvl w:val="0"/>
      </w:pPr>
      <w:r>
        <w:rPr>
          <w:rFonts w:hint="eastAsia" w:ascii="宋体" w:hAnsi="宋体" w:cs="宋体"/>
          <w:b/>
          <w:color w:val="auto"/>
          <w:sz w:val="24"/>
          <w:szCs w:val="24"/>
          <w:highlight w:val="none"/>
          <w:lang w:val="zh-CN"/>
        </w:rPr>
        <w:t xml:space="preserve">4.</w:t>
      </w:r>
      <w:r>
        <w:rPr>
          <w:rFonts w:hint="eastAsia" w:ascii="宋体" w:hAnsi="宋体" w:cs="宋体"/>
          <w:b/>
          <w:bCs/>
          <w:color w:val="auto"/>
          <w:spacing w:val="7"/>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全部产品是指货物或服务采购项目或采购包中包含的全部货物、服务产品。</w:t>
      </w:r>
      <w:r/>
    </w:p>
    <w:p>
      <w:pPr>
        <w:spacing w:line="300" w:lineRule="auto"/>
        <w:rPr>
          <w:rFonts w:ascii="宋体" w:hAnsi="宋体" w:cs="宋体"/>
          <w:b/>
          <w:bCs/>
          <w:color w:val="auto"/>
          <w:spacing w:val="7"/>
          <w:sz w:val="24"/>
          <w:szCs w:val="24"/>
          <w:highlight w:val="none"/>
        </w:rPr>
        <w:outlineLvl w:val="0"/>
      </w:pPr>
      <w:r>
        <w:rPr>
          <w:rFonts w:ascii="宋体" w:hAnsi="宋体" w:cs="宋体"/>
          <w:b/>
          <w:bCs/>
          <w:color w:val="auto"/>
          <w:spacing w:val="7"/>
          <w:sz w:val="24"/>
          <w:szCs w:val="24"/>
          <w:highlight w:val="none"/>
        </w:rPr>
      </w:r>
      <w:r/>
    </w:p>
    <w:p>
      <w:pPr>
        <w:spacing w:line="300" w:lineRule="auto"/>
        <w:rPr>
          <w:rFonts w:ascii="宋体" w:hAnsi="宋体" w:cs="宋体"/>
          <w:b/>
          <w:bCs/>
          <w:color w:val="auto"/>
          <w:spacing w:val="7"/>
          <w:sz w:val="24"/>
          <w:szCs w:val="24"/>
          <w:highlight w:val="none"/>
        </w:rPr>
        <w:outlineLvl w:val="0"/>
      </w:pPr>
      <w:r>
        <w:rPr>
          <w:rFonts w:ascii="宋体" w:hAnsi="宋体" w:cs="宋体"/>
          <w:b/>
          <w:bCs/>
          <w:color w:val="auto"/>
          <w:spacing w:val="7"/>
          <w:sz w:val="24"/>
          <w:szCs w:val="24"/>
          <w:highlight w:val="none"/>
        </w:rPr>
      </w:r>
      <w:r/>
    </w:p>
    <w:p>
      <w:pPr>
        <w:spacing w:line="300" w:lineRule="auto"/>
        <w:rPr>
          <w:rFonts w:ascii="宋体" w:hAnsi="宋体" w:cs="宋体"/>
          <w:b/>
          <w:bCs/>
          <w:color w:val="auto"/>
          <w:spacing w:val="7"/>
          <w:sz w:val="24"/>
          <w:szCs w:val="24"/>
          <w:highlight w:val="none"/>
        </w:rPr>
        <w:outlineLvl w:val="0"/>
      </w:pPr>
      <w:r>
        <w:rPr>
          <w:rFonts w:ascii="宋体" w:hAnsi="宋体" w:cs="宋体"/>
          <w:b/>
          <w:bCs/>
          <w:color w:val="auto"/>
          <w:spacing w:val="7"/>
          <w:sz w:val="24"/>
          <w:szCs w:val="24"/>
          <w:highlight w:val="none"/>
        </w:rPr>
      </w:r>
      <w:r/>
    </w:p>
    <w:p>
      <w:pPr>
        <w:spacing w:line="300" w:lineRule="auto"/>
        <w:rPr>
          <w:rFonts w:ascii="宋体" w:hAnsi="宋体" w:cs="宋体"/>
          <w:b/>
          <w:bCs/>
          <w:color w:val="auto"/>
          <w:spacing w:val="7"/>
          <w:sz w:val="24"/>
          <w:szCs w:val="24"/>
          <w:highlight w:val="none"/>
        </w:rPr>
        <w:outlineLvl w:val="0"/>
      </w:pPr>
      <w:r>
        <w:rPr>
          <w:rFonts w:ascii="宋体" w:hAnsi="宋体" w:cs="宋体"/>
          <w:b/>
          <w:bCs/>
          <w:color w:val="auto"/>
          <w:spacing w:val="7"/>
          <w:sz w:val="24"/>
          <w:szCs w:val="24"/>
          <w:highlight w:val="none"/>
        </w:rPr>
      </w:r>
      <w:r/>
    </w:p>
    <w:p>
      <w:pPr>
        <w:spacing w:line="300" w:lineRule="auto"/>
        <w:rPr>
          <w:rFonts w:ascii="宋体" w:hAnsi="宋体" w:cs="宋体"/>
          <w:b/>
          <w:bCs/>
          <w:color w:val="auto"/>
          <w:spacing w:val="7"/>
          <w:sz w:val="24"/>
          <w:szCs w:val="24"/>
          <w:highlight w:val="none"/>
        </w:rPr>
        <w:outlineLvl w:val="0"/>
      </w:pPr>
      <w:r>
        <w:rPr>
          <w:rFonts w:ascii="宋体" w:hAnsi="宋体" w:cs="宋体"/>
          <w:b/>
          <w:bCs/>
          <w:color w:val="auto"/>
          <w:spacing w:val="7"/>
          <w:sz w:val="24"/>
          <w:szCs w:val="24"/>
          <w:highlight w:val="none"/>
        </w:rPr>
      </w:r>
      <w:r/>
    </w:p>
    <w:p>
      <w:pPr>
        <w:spacing w:line="300" w:lineRule="auto"/>
        <w:rPr>
          <w:rFonts w:ascii="宋体" w:hAnsi="宋体" w:cs="宋体"/>
          <w:b/>
          <w:bCs/>
          <w:color w:val="auto"/>
          <w:spacing w:val="7"/>
          <w:sz w:val="24"/>
          <w:szCs w:val="24"/>
          <w:highlight w:val="none"/>
        </w:rPr>
        <w:outlineLvl w:val="0"/>
      </w:pPr>
      <w:r>
        <w:rPr>
          <w:rFonts w:ascii="宋体" w:hAnsi="宋体" w:cs="宋体"/>
          <w:b/>
          <w:bCs/>
          <w:color w:val="auto"/>
          <w:spacing w:val="7"/>
          <w:sz w:val="24"/>
          <w:szCs w:val="24"/>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t xml:space="preserve">附件9</w:t>
      </w:r>
      <w:r/>
    </w:p>
    <w:p>
      <w:pPr>
        <w:jc w:val="center"/>
        <w:spacing w:line="300" w:lineRule="auto"/>
        <w:rPr>
          <w:b/>
          <w:bCs/>
          <w:color w:val="auto"/>
          <w:sz w:val="28"/>
          <w:szCs w:val="28"/>
          <w:highlight w:val="none"/>
          <w:lang w:bidi="zh-CN"/>
        </w:rPr>
        <w:outlineLvl w:val="0"/>
      </w:pPr>
      <w:r>
        <w:rPr>
          <w:rFonts w:hint="eastAsia"/>
          <w:b/>
          <w:bCs/>
          <w:color w:val="auto"/>
          <w:sz w:val="28"/>
          <w:szCs w:val="28"/>
          <w:highlight w:val="none"/>
          <w:lang w:bidi="zh-CN"/>
        </w:rPr>
        <w:t xml:space="preserve">中小企业声明函（货物）</w:t>
      </w:r>
      <w:r/>
    </w:p>
    <w:p>
      <w:pPr>
        <w:ind w:firstLine="480"/>
        <w:spacing w:line="360" w:lineRule="auto"/>
        <w:rPr>
          <w:color w:val="auto"/>
          <w:sz w:val="24"/>
          <w:szCs w:val="24"/>
          <w:highlight w:val="none"/>
          <w:lang w:bidi="zh-CN"/>
        </w:rPr>
        <w:outlineLvl w:val="0"/>
      </w:pPr>
      <w:r>
        <w:rPr>
          <w:rFonts w:hint="eastAsia"/>
          <w:color w:val="auto"/>
          <w:sz w:val="24"/>
          <w:szCs w:val="24"/>
          <w:highlight w:val="none"/>
          <w:lang w:bidi="zh-CN"/>
        </w:rPr>
        <w:t xml:space="preserve">本公司（联合体）郑重声明，根据《政府采购促进中小企业发展管理办法》（财库﹝</w:t>
      </w:r>
      <w:r>
        <w:rPr>
          <w:color w:val="auto"/>
          <w:sz w:val="24"/>
          <w:szCs w:val="24"/>
          <w:highlight w:val="none"/>
          <w:lang w:bidi="zh-CN"/>
        </w:rPr>
        <w:t xml:space="preserve">2020</w:t>
      </w:r>
      <w:r>
        <w:rPr>
          <w:rFonts w:hint="eastAsia"/>
          <w:color w:val="auto"/>
          <w:sz w:val="24"/>
          <w:szCs w:val="24"/>
          <w:highlight w:val="none"/>
          <w:lang w:bidi="zh-CN"/>
        </w:rPr>
        <w:t xml:space="preserve">﹞</w:t>
      </w:r>
      <w:r>
        <w:rPr>
          <w:color w:val="auto"/>
          <w:sz w:val="24"/>
          <w:szCs w:val="24"/>
          <w:highlight w:val="none"/>
          <w:lang w:bidi="zh-CN"/>
        </w:rPr>
        <w:t xml:space="preserve">46 </w:t>
      </w:r>
      <w:r>
        <w:rPr>
          <w:rFonts w:hint="eastAsia"/>
          <w:color w:val="auto"/>
          <w:sz w:val="24"/>
          <w:szCs w:val="24"/>
          <w:highlight w:val="none"/>
          <w:lang w:bidi="zh-CN"/>
        </w:rPr>
        <w:t xml:space="preserve">号）的规定，本公司（联合体）参加</w:t>
      </w:r>
      <w:r>
        <w:rPr>
          <w:rFonts w:hint="eastAsia"/>
          <w:color w:val="auto"/>
          <w:sz w:val="24"/>
          <w:szCs w:val="24"/>
          <w:highlight w:val="none"/>
          <w:u w:val="single"/>
          <w:lang w:bidi="zh-CN"/>
        </w:rPr>
        <w:t xml:space="preserve">（单位名称）</w:t>
      </w:r>
      <w:r>
        <w:rPr>
          <w:rFonts w:hint="eastAsia"/>
          <w:color w:val="auto"/>
          <w:sz w:val="24"/>
          <w:szCs w:val="24"/>
          <w:highlight w:val="none"/>
          <w:lang w:bidi="zh-CN"/>
        </w:rPr>
        <w:t xml:space="preserve">的</w:t>
      </w:r>
      <w:r>
        <w:rPr>
          <w:rFonts w:hint="eastAsia"/>
          <w:color w:val="auto"/>
          <w:sz w:val="24"/>
          <w:szCs w:val="24"/>
          <w:highlight w:val="none"/>
          <w:u w:val="single"/>
          <w:lang w:bidi="zh-CN"/>
        </w:rPr>
        <w:t xml:space="preserve">（项目名称）</w:t>
      </w:r>
      <w:r>
        <w:rPr>
          <w:rFonts w:hint="eastAsia"/>
          <w:color w:val="auto"/>
          <w:sz w:val="24"/>
          <w:szCs w:val="24"/>
          <w:highlight w:val="none"/>
          <w:lang w:bidi="zh-CN"/>
        </w:rPr>
        <w:t xml:space="preserve">采购活动，提供的货物全部由符合政策要求的中小企业制造。相关企业（含联合体中的中小企业、签订分包意向协议的中小企业）的具体情况如下：</w:t>
      </w:r>
      <w:r/>
    </w:p>
    <w:p>
      <w:pPr>
        <w:spacing w:line="360" w:lineRule="auto"/>
        <w:rPr>
          <w:color w:val="auto"/>
          <w:sz w:val="24"/>
          <w:szCs w:val="24"/>
          <w:highlight w:val="none"/>
          <w:lang w:bidi="zh-CN"/>
        </w:rPr>
        <w:outlineLvl w:val="0"/>
      </w:pPr>
      <w:r>
        <w:rPr>
          <w:color w:val="auto"/>
          <w:sz w:val="24"/>
          <w:szCs w:val="24"/>
          <w:highlight w:val="none"/>
          <w:lang w:bidi="zh-CN"/>
        </w:rPr>
        <w:t xml:space="preserve">1.</w:t>
      </w:r>
      <w:r>
        <w:rPr>
          <w:rFonts w:hint="eastAsia"/>
          <w:color w:val="auto"/>
          <w:sz w:val="24"/>
          <w:szCs w:val="24"/>
          <w:highlight w:val="none"/>
          <w:u w:val="single"/>
          <w:lang w:bidi="zh-CN"/>
        </w:rPr>
        <w:t xml:space="preserve">（标的名称）</w:t>
      </w:r>
      <w:r>
        <w:rPr>
          <w:rFonts w:hint="eastAsia"/>
          <w:color w:val="auto"/>
          <w:sz w:val="24"/>
          <w:szCs w:val="24"/>
          <w:highlight w:val="none"/>
          <w:lang w:bidi="zh-CN"/>
        </w:rPr>
        <w:t xml:space="preserve">，属于</w:t>
      </w:r>
      <w:r>
        <w:rPr>
          <w:rFonts w:hint="eastAsia"/>
          <w:color w:val="auto"/>
          <w:sz w:val="24"/>
          <w:szCs w:val="24"/>
          <w:highlight w:val="none"/>
          <w:u w:val="single"/>
          <w:lang w:bidi="zh-CN"/>
        </w:rPr>
        <w:t xml:space="preserve">（采购文件中明确的所属行业）</w:t>
      </w:r>
      <w:r>
        <w:rPr>
          <w:rFonts w:hint="eastAsia"/>
          <w:color w:val="auto"/>
          <w:sz w:val="24"/>
          <w:szCs w:val="24"/>
          <w:highlight w:val="none"/>
          <w:lang w:bidi="zh-CN"/>
        </w:rPr>
        <w:t xml:space="preserve">行业；制造商为</w:t>
      </w:r>
      <w:r>
        <w:rPr>
          <w:rFonts w:hint="eastAsia"/>
          <w:color w:val="auto"/>
          <w:sz w:val="24"/>
          <w:szCs w:val="24"/>
          <w:highlight w:val="none"/>
          <w:u w:val="single"/>
          <w:lang w:bidi="zh-CN"/>
        </w:rPr>
        <w:t xml:space="preserve">（企业名称）</w:t>
      </w:r>
      <w:r>
        <w:rPr>
          <w:rFonts w:hint="eastAsia"/>
          <w:color w:val="auto"/>
          <w:sz w:val="24"/>
          <w:szCs w:val="24"/>
          <w:highlight w:val="none"/>
          <w:lang w:bidi="zh-CN"/>
        </w:rPr>
        <w:t xml:space="preserve">，从业人员</w:t>
      </w:r>
      <w:r>
        <w:rPr>
          <w:color w:val="auto"/>
          <w:sz w:val="24"/>
          <w:szCs w:val="24"/>
          <w:highlight w:val="none"/>
          <w:u w:val="single"/>
          <w:lang w:bidi="zh-CN"/>
        </w:rPr>
        <w:tab/>
      </w:r>
      <w:r>
        <w:rPr>
          <w:rFonts w:hint="eastAsia"/>
          <w:color w:val="auto"/>
          <w:sz w:val="24"/>
          <w:szCs w:val="24"/>
          <w:highlight w:val="none"/>
          <w:lang w:bidi="zh-CN"/>
        </w:rPr>
        <w:t xml:space="preserve">人，营业收入为</w:t>
      </w:r>
      <w:r>
        <w:rPr>
          <w:color w:val="auto"/>
          <w:sz w:val="24"/>
          <w:szCs w:val="24"/>
          <w:highlight w:val="none"/>
          <w:u w:val="single"/>
          <w:lang w:bidi="zh-CN"/>
        </w:rPr>
        <w:tab/>
      </w:r>
      <w:r>
        <w:rPr>
          <w:rFonts w:hint="eastAsia"/>
          <w:color w:val="auto"/>
          <w:sz w:val="24"/>
          <w:szCs w:val="24"/>
          <w:highlight w:val="none"/>
          <w:lang w:bidi="zh-CN"/>
        </w:rPr>
        <w:t xml:space="preserve">万元，资产总额为</w:t>
      </w:r>
      <w:r>
        <w:rPr>
          <w:color w:val="auto"/>
          <w:sz w:val="24"/>
          <w:szCs w:val="24"/>
          <w:highlight w:val="none"/>
          <w:u w:val="single"/>
          <w:lang w:bidi="zh-CN"/>
        </w:rPr>
        <w:tab/>
      </w:r>
      <w:r>
        <w:rPr>
          <w:rFonts w:hint="eastAsia"/>
          <w:color w:val="auto"/>
          <w:sz w:val="24"/>
          <w:szCs w:val="24"/>
          <w:highlight w:val="none"/>
          <w:lang w:bidi="zh-CN"/>
        </w:rPr>
        <w:t xml:space="preserve">万元，属于</w:t>
      </w:r>
      <w:r>
        <w:rPr>
          <w:rFonts w:hint="eastAsia"/>
          <w:color w:val="auto"/>
          <w:sz w:val="24"/>
          <w:szCs w:val="24"/>
          <w:highlight w:val="none"/>
          <w:u w:val="single"/>
          <w:lang w:bidi="zh-CN"/>
        </w:rPr>
        <w:t xml:space="preserve">（中型企业、小型企业、微型企业）</w:t>
      </w:r>
      <w:r>
        <w:rPr>
          <w:rFonts w:hint="eastAsia"/>
          <w:color w:val="auto"/>
          <w:sz w:val="24"/>
          <w:szCs w:val="24"/>
          <w:highlight w:val="none"/>
          <w:lang w:bidi="zh-CN"/>
        </w:rPr>
        <w:t xml:space="preserve">；</w:t>
      </w:r>
      <w:r/>
    </w:p>
    <w:p>
      <w:pPr>
        <w:spacing w:line="360" w:lineRule="auto"/>
        <w:rPr>
          <w:color w:val="auto"/>
          <w:sz w:val="24"/>
          <w:szCs w:val="24"/>
          <w:highlight w:val="none"/>
          <w:lang w:bidi="zh-CN"/>
        </w:rPr>
        <w:outlineLvl w:val="0"/>
      </w:pPr>
      <w:r>
        <w:rPr>
          <w:color w:val="auto"/>
          <w:sz w:val="24"/>
          <w:szCs w:val="24"/>
          <w:highlight w:val="none"/>
          <w:lang w:bidi="zh-CN"/>
        </w:rPr>
        <w:t xml:space="preserve">2.</w:t>
      </w:r>
      <w:r>
        <w:rPr>
          <w:rFonts w:hint="eastAsia"/>
          <w:color w:val="auto"/>
          <w:sz w:val="24"/>
          <w:szCs w:val="24"/>
          <w:highlight w:val="none"/>
          <w:u w:val="single"/>
          <w:lang w:bidi="zh-CN"/>
        </w:rPr>
        <w:t xml:space="preserve">（标的名称）</w:t>
      </w:r>
      <w:r>
        <w:rPr>
          <w:rFonts w:hint="eastAsia"/>
          <w:color w:val="auto"/>
          <w:sz w:val="24"/>
          <w:szCs w:val="24"/>
          <w:highlight w:val="none"/>
          <w:lang w:bidi="zh-CN"/>
        </w:rPr>
        <w:t xml:space="preserve">，属于</w:t>
      </w:r>
      <w:r>
        <w:rPr>
          <w:rFonts w:hint="eastAsia"/>
          <w:color w:val="auto"/>
          <w:sz w:val="24"/>
          <w:szCs w:val="24"/>
          <w:highlight w:val="none"/>
          <w:u w:val="single"/>
          <w:lang w:bidi="zh-CN"/>
        </w:rPr>
        <w:t xml:space="preserve">（采购文件中明确的所属行业）</w:t>
      </w:r>
      <w:r>
        <w:rPr>
          <w:rFonts w:hint="eastAsia"/>
          <w:color w:val="auto"/>
          <w:sz w:val="24"/>
          <w:szCs w:val="24"/>
          <w:highlight w:val="none"/>
          <w:lang w:bidi="zh-CN"/>
        </w:rPr>
        <w:t xml:space="preserve">行业；制造商为</w:t>
      </w:r>
      <w:r>
        <w:rPr>
          <w:rFonts w:hint="eastAsia"/>
          <w:color w:val="auto"/>
          <w:sz w:val="24"/>
          <w:szCs w:val="24"/>
          <w:highlight w:val="none"/>
          <w:u w:val="single"/>
          <w:lang w:bidi="zh-CN"/>
        </w:rPr>
        <w:t xml:space="preserve">（企业名称）</w:t>
      </w:r>
      <w:r>
        <w:rPr>
          <w:rFonts w:hint="eastAsia"/>
          <w:color w:val="auto"/>
          <w:sz w:val="24"/>
          <w:szCs w:val="24"/>
          <w:highlight w:val="none"/>
          <w:lang w:bidi="zh-CN"/>
        </w:rPr>
        <w:t xml:space="preserve">，从业人员</w:t>
      </w:r>
      <w:r>
        <w:rPr>
          <w:color w:val="auto"/>
          <w:sz w:val="24"/>
          <w:szCs w:val="24"/>
          <w:highlight w:val="none"/>
          <w:u w:val="single"/>
          <w:lang w:bidi="zh-CN"/>
        </w:rPr>
        <w:tab/>
      </w:r>
      <w:r>
        <w:rPr>
          <w:rFonts w:hint="eastAsia"/>
          <w:color w:val="auto"/>
          <w:sz w:val="24"/>
          <w:szCs w:val="24"/>
          <w:highlight w:val="none"/>
          <w:lang w:bidi="zh-CN"/>
        </w:rPr>
        <w:t xml:space="preserve">人，营业收入为</w:t>
      </w:r>
      <w:r>
        <w:rPr>
          <w:color w:val="auto"/>
          <w:sz w:val="24"/>
          <w:szCs w:val="24"/>
          <w:highlight w:val="none"/>
          <w:u w:val="single"/>
          <w:lang w:bidi="zh-CN"/>
        </w:rPr>
        <w:tab/>
      </w:r>
      <w:r>
        <w:rPr>
          <w:rFonts w:hint="eastAsia"/>
          <w:color w:val="auto"/>
          <w:sz w:val="24"/>
          <w:szCs w:val="24"/>
          <w:highlight w:val="none"/>
          <w:lang w:bidi="zh-CN"/>
        </w:rPr>
        <w:t xml:space="preserve">万元，资产总额为</w:t>
      </w:r>
      <w:r>
        <w:rPr>
          <w:color w:val="auto"/>
          <w:sz w:val="24"/>
          <w:szCs w:val="24"/>
          <w:highlight w:val="none"/>
          <w:u w:val="single"/>
          <w:lang w:bidi="zh-CN"/>
        </w:rPr>
        <w:tab/>
      </w:r>
      <w:r>
        <w:rPr>
          <w:rFonts w:hint="eastAsia"/>
          <w:color w:val="auto"/>
          <w:sz w:val="24"/>
          <w:szCs w:val="24"/>
          <w:highlight w:val="none"/>
          <w:lang w:bidi="zh-CN"/>
        </w:rPr>
        <w:t xml:space="preserve">万元，属于</w:t>
      </w:r>
      <w:r>
        <w:rPr>
          <w:rFonts w:hint="eastAsia"/>
          <w:color w:val="auto"/>
          <w:sz w:val="24"/>
          <w:szCs w:val="24"/>
          <w:highlight w:val="none"/>
          <w:u w:val="single"/>
          <w:lang w:bidi="zh-CN"/>
        </w:rPr>
        <w:t xml:space="preserve">（中型企业、小型企业、微型企业）</w:t>
      </w:r>
      <w:r>
        <w:rPr>
          <w:rFonts w:hint="eastAsia"/>
          <w:color w:val="auto"/>
          <w:sz w:val="24"/>
          <w:szCs w:val="24"/>
          <w:highlight w:val="none"/>
          <w:lang w:bidi="zh-CN"/>
        </w:rPr>
        <w:t xml:space="preserve">；</w:t>
      </w:r>
      <w:r/>
    </w:p>
    <w:p>
      <w:pPr>
        <w:spacing w:line="360" w:lineRule="auto"/>
        <w:rPr>
          <w:color w:val="auto"/>
          <w:sz w:val="24"/>
          <w:szCs w:val="24"/>
          <w:highlight w:val="none"/>
          <w:lang w:bidi="zh-CN"/>
        </w:rPr>
        <w:outlineLvl w:val="0"/>
      </w:pPr>
      <w:r>
        <w:rPr>
          <w:color w:val="auto"/>
          <w:sz w:val="24"/>
          <w:szCs w:val="24"/>
          <w:highlight w:val="none"/>
          <w:lang w:bidi="zh-CN"/>
        </w:rPr>
        <w:t xml:space="preserve">……</w:t>
      </w:r>
      <w:r/>
    </w:p>
    <w:p>
      <w:pPr>
        <w:ind w:firstLine="480"/>
        <w:spacing w:line="360" w:lineRule="auto"/>
        <w:rPr>
          <w:color w:val="auto"/>
          <w:sz w:val="24"/>
          <w:szCs w:val="24"/>
          <w:highlight w:val="none"/>
          <w:lang w:bidi="zh-CN"/>
        </w:rPr>
        <w:outlineLvl w:val="0"/>
      </w:pPr>
      <w:r>
        <w:rPr>
          <w:rFonts w:hint="eastAsia"/>
          <w:color w:val="auto"/>
          <w:sz w:val="24"/>
          <w:szCs w:val="24"/>
          <w:highlight w:val="none"/>
          <w:lang w:bidi="zh-CN"/>
        </w:rPr>
        <w:t xml:space="preserve">以上企业，不属于大企业的分支机构，不存在控股股东为大企业的情形，也不存在与大企业的负责人为同一人的情形。</w:t>
      </w:r>
      <w:r/>
    </w:p>
    <w:p>
      <w:pPr>
        <w:ind w:firstLine="480"/>
        <w:spacing w:line="360" w:lineRule="auto"/>
        <w:rPr>
          <w:color w:val="auto"/>
          <w:sz w:val="24"/>
          <w:szCs w:val="24"/>
          <w:highlight w:val="none"/>
          <w:lang w:bidi="zh-CN"/>
        </w:rPr>
        <w:outlineLvl w:val="0"/>
      </w:pPr>
      <w:r>
        <w:rPr>
          <w:rFonts w:hint="eastAsia"/>
          <w:color w:val="auto"/>
          <w:sz w:val="24"/>
          <w:szCs w:val="24"/>
          <w:highlight w:val="none"/>
          <w:lang w:bidi="zh-CN"/>
        </w:rPr>
        <w:t xml:space="preserve">本企业对上述声明内容的真实性负责。如有虚假，将依法承担相应责任。</w:t>
      </w:r>
      <w:r/>
    </w:p>
    <w:p>
      <w:pPr>
        <w:ind w:firstLine="560"/>
        <w:spacing w:line="360" w:lineRule="auto"/>
        <w:rPr>
          <w:color w:val="auto"/>
          <w:sz w:val="28"/>
          <w:szCs w:val="28"/>
          <w:highlight w:val="none"/>
          <w:lang w:bidi="zh-CN"/>
        </w:rPr>
        <w:outlineLvl w:val="0"/>
      </w:pPr>
      <w:r>
        <w:rPr>
          <w:color w:val="auto"/>
          <w:sz w:val="28"/>
          <w:szCs w:val="28"/>
          <w:highlight w:val="none"/>
          <w:lang w:bidi="zh-CN"/>
        </w:rPr>
      </w:r>
      <w:r/>
    </w:p>
    <w:p>
      <w:pPr>
        <w:spacing w:line="300" w:lineRule="auto"/>
        <w:rPr>
          <w:rFonts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注：</w:t>
      </w:r>
      <w:r>
        <w:rPr>
          <w:rFonts w:ascii="宋体" w:hAnsi="宋体" w:cs="宋体"/>
          <w:color w:val="auto"/>
          <w:szCs w:val="21"/>
          <w:highlight w:val="none"/>
          <w:lang w:bidi="zh-CN"/>
        </w:rPr>
        <w:t xml:space="preserve">1.如项目属性为“货物”，请按本表填写。</w:t>
      </w:r>
      <w:r/>
    </w:p>
    <w:p>
      <w:pPr>
        <w:ind w:firstLine="420"/>
        <w:spacing w:line="300" w:lineRule="auto"/>
        <w:rPr>
          <w:rFonts w:ascii="宋体" w:hAnsi="宋体" w:cs="宋体"/>
          <w:color w:val="auto"/>
          <w:szCs w:val="21"/>
          <w:highlight w:val="none"/>
          <w:lang w:bidi="zh-CN"/>
        </w:rPr>
        <w:outlineLvl w:val="0"/>
      </w:pPr>
      <w:r>
        <w:rPr>
          <w:rFonts w:ascii="宋体" w:hAnsi="宋体" w:cs="宋体"/>
          <w:color w:val="auto"/>
          <w:szCs w:val="21"/>
          <w:highlight w:val="none"/>
          <w:lang w:bidi="zh-CN"/>
        </w:rPr>
        <w:t xml:space="preserve">2.从业人员、营业收入、资产总额填报上一年度数据，无上</w:t>
      </w:r>
      <w:r>
        <w:rPr>
          <w:rFonts w:hint="eastAsia" w:ascii="宋体" w:hAnsi="宋体" w:cs="宋体"/>
          <w:color w:val="auto"/>
          <w:szCs w:val="21"/>
          <w:highlight w:val="none"/>
          <w:lang w:bidi="zh-CN"/>
        </w:rPr>
        <w:t xml:space="preserve">一年度数据的新成立企业可不填报。</w:t>
      </w:r>
      <w:r/>
    </w:p>
    <w:p>
      <w:pPr>
        <w:spacing w:line="300" w:lineRule="auto"/>
        <w:rPr>
          <w:rFonts w:ascii="宋体" w:hAnsi="宋体" w:cs="宋体"/>
          <w:color w:val="auto"/>
          <w:szCs w:val="21"/>
          <w:highlight w:val="none"/>
          <w:lang w:bidi="zh-CN"/>
        </w:rPr>
        <w:outlineLvl w:val="0"/>
      </w:pPr>
      <w:r>
        <w:rPr>
          <w:rFonts w:ascii="宋体" w:hAnsi="宋体" w:cs="宋体"/>
          <w:color w:val="auto"/>
          <w:szCs w:val="21"/>
          <w:highlight w:val="none"/>
          <w:lang w:bidi="zh-CN"/>
        </w:rPr>
        <w:t xml:space="preserve">    3.投标供应商须根据上述要求，详细列明货物清单中所有产品制造商的具体情况，否则不能享受中小企业扶持政策。</w:t>
      </w:r>
      <w:r/>
    </w:p>
    <w:p>
      <w:pPr>
        <w:ind w:firstLine="420"/>
        <w:spacing w:line="300" w:lineRule="auto"/>
        <w:rPr>
          <w:color w:val="auto"/>
          <w:sz w:val="28"/>
          <w:szCs w:val="28"/>
          <w:highlight w:val="none"/>
          <w:lang w:bidi="zh-CN"/>
        </w:rPr>
        <w:outlineLvl w:val="0"/>
      </w:pPr>
      <w:r>
        <w:rPr>
          <w:rFonts w:ascii="宋体" w:hAnsi="宋体" w:cs="宋体"/>
          <w:color w:val="auto"/>
          <w:szCs w:val="21"/>
          <w:highlight w:val="none"/>
          <w:lang w:bidi="zh-CN"/>
        </w:rPr>
        <w:t xml:space="preserve">4.中标供应商的《中小企业声明函》将随中标公告进行公示。供应</w:t>
      </w:r>
      <w:r>
        <w:rPr>
          <w:rFonts w:hint="eastAsia" w:ascii="宋体" w:hAnsi="宋体" w:cs="宋体"/>
          <w:color w:val="auto"/>
          <w:szCs w:val="21"/>
          <w:highlight w:val="none"/>
          <w:lang w:bidi="zh-CN"/>
        </w:rPr>
        <w:t xml:space="preserve">商按照本办法规定提供声明函内容不实的，属于提供虚假材料谋取中标、成交，依照《中华人民共和国政府采购法》等国家有关规定追究相应责任。</w:t>
      </w:r>
      <w:r/>
    </w:p>
    <w:p>
      <w:pPr>
        <w:jc w:val="center"/>
        <w:spacing w:line="300" w:lineRule="auto"/>
        <w:rPr>
          <w:color w:val="auto"/>
          <w:sz w:val="28"/>
          <w:szCs w:val="28"/>
          <w:highlight w:val="none"/>
          <w:lang w:bidi="zh-CN"/>
        </w:rPr>
        <w:outlineLvl w:val="0"/>
      </w:pPr>
      <w:r>
        <w:rPr>
          <w:rFonts w:hint="eastAsia"/>
          <w:color w:val="auto"/>
          <w:sz w:val="28"/>
          <w:szCs w:val="28"/>
          <w:highlight w:val="none"/>
          <w:lang w:bidi="zh-CN"/>
        </w:rPr>
        <w:t xml:space="preserve">                       企业名称（盖章）：</w:t>
      </w:r>
      <w:r/>
    </w:p>
    <w:p>
      <w:pPr>
        <w:jc w:val="center"/>
        <w:spacing w:line="300" w:lineRule="auto"/>
        <w:rPr>
          <w:color w:val="auto"/>
          <w:sz w:val="28"/>
          <w:szCs w:val="28"/>
          <w:highlight w:val="none"/>
          <w:lang w:bidi="zh-CN"/>
        </w:rPr>
        <w:outlineLvl w:val="0"/>
      </w:pPr>
      <w:r>
        <w:rPr>
          <w:rFonts w:hint="eastAsia"/>
          <w:color w:val="auto"/>
          <w:sz w:val="28"/>
          <w:szCs w:val="28"/>
          <w:highlight w:val="none"/>
          <w:lang w:bidi="zh-CN"/>
        </w:rPr>
        <w:t xml:space="preserve">                   日期：</w:t>
      </w:r>
      <w:r/>
    </w:p>
    <w:p>
      <w:pPr>
        <w:jc w:val="center"/>
        <w:spacing w:line="300" w:lineRule="auto"/>
        <w:rPr>
          <w:color w:val="auto"/>
          <w:sz w:val="28"/>
          <w:szCs w:val="28"/>
          <w:highlight w:val="none"/>
          <w:lang w:bidi="zh-CN"/>
        </w:rPr>
        <w:outlineLvl w:val="0"/>
      </w:pPr>
      <w:r>
        <w:rPr>
          <w:color w:val="auto"/>
          <w:sz w:val="28"/>
          <w:szCs w:val="28"/>
          <w:highlight w:val="none"/>
          <w:lang w:bidi="zh-CN"/>
        </w:rPr>
      </w:r>
      <w:r/>
    </w:p>
    <w:p>
      <w:pPr>
        <w:jc w:val="center"/>
        <w:spacing w:line="300" w:lineRule="auto"/>
        <w:rPr>
          <w:color w:val="auto"/>
          <w:sz w:val="28"/>
          <w:szCs w:val="28"/>
          <w:highlight w:val="none"/>
          <w:lang w:bidi="zh-CN"/>
        </w:rPr>
        <w:outlineLvl w:val="0"/>
      </w:pPr>
      <w:r>
        <w:rPr>
          <w:color w:val="auto"/>
          <w:sz w:val="28"/>
          <w:szCs w:val="28"/>
          <w:highlight w:val="none"/>
          <w:lang w:bidi="zh-CN"/>
        </w:rPr>
      </w:r>
      <w:r/>
    </w:p>
    <w:p>
      <w:pPr>
        <w:jc w:val="center"/>
        <w:spacing w:line="300" w:lineRule="auto"/>
        <w:rPr>
          <w:color w:val="auto"/>
          <w:sz w:val="28"/>
          <w:szCs w:val="28"/>
          <w:highlight w:val="none"/>
          <w:lang w:bidi="zh-CN"/>
        </w:rPr>
        <w:outlineLvl w:val="0"/>
      </w:pPr>
      <w:r>
        <w:rPr>
          <w:color w:val="auto"/>
          <w:sz w:val="28"/>
          <w:szCs w:val="28"/>
          <w:highlight w:val="none"/>
          <w:lang w:bidi="zh-CN"/>
        </w:rPr>
      </w:r>
      <w:r/>
    </w:p>
    <w:p>
      <w:pPr>
        <w:jc w:val="center"/>
        <w:spacing w:line="300" w:lineRule="auto"/>
        <w:rPr>
          <w:color w:val="auto"/>
          <w:sz w:val="28"/>
          <w:szCs w:val="28"/>
          <w:highlight w:val="none"/>
          <w:lang w:bidi="zh-CN"/>
        </w:rPr>
        <w:outlineLvl w:val="0"/>
      </w:pPr>
      <w:r>
        <w:rPr>
          <w:color w:val="auto"/>
          <w:sz w:val="28"/>
          <w:szCs w:val="28"/>
          <w:highlight w:val="none"/>
          <w:lang w:bidi="zh-CN"/>
        </w:rPr>
      </w:r>
      <w:r/>
    </w:p>
    <w:p>
      <w:pPr>
        <w:jc w:val="center"/>
        <w:spacing w:line="300" w:lineRule="auto"/>
        <w:rPr>
          <w:color w:val="auto"/>
          <w:sz w:val="28"/>
          <w:szCs w:val="28"/>
          <w:highlight w:val="none"/>
          <w:lang w:bidi="zh-CN"/>
        </w:rPr>
        <w:outlineLvl w:val="0"/>
      </w:pPr>
      <w:r>
        <w:rPr>
          <w:color w:val="auto"/>
          <w:sz w:val="28"/>
          <w:szCs w:val="28"/>
          <w:highlight w:val="none"/>
          <w:lang w:bidi="zh-CN"/>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t xml:space="preserve">附件10</w:t>
      </w:r>
      <w:r/>
    </w:p>
    <w:p>
      <w:pPr>
        <w:jc w:val="center"/>
        <w:spacing w:line="460" w:lineRule="exact"/>
        <w:rPr>
          <w:rFonts w:ascii="宋体" w:hAnsi="宋体"/>
          <w:b/>
          <w:color w:val="auto"/>
          <w:sz w:val="32"/>
          <w:szCs w:val="32"/>
          <w:highlight w:val="none"/>
        </w:rPr>
      </w:pPr>
      <w:r>
        <w:rPr>
          <w:rFonts w:hint="eastAsia" w:ascii="宋体" w:hAnsi="宋体"/>
          <w:b/>
          <w:color w:val="auto"/>
          <w:sz w:val="32"/>
          <w:szCs w:val="32"/>
          <w:highlight w:val="none"/>
        </w:rPr>
        <w:t xml:space="preserve">残疾人福利性单位声明函</w:t>
      </w:r>
      <w:r/>
    </w:p>
    <w:p>
      <w:pPr>
        <w:ind w:firstLine="480"/>
        <w:spacing w:line="588" w:lineRule="exact"/>
        <w:rPr>
          <w:rFonts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ind w:firstLine="480"/>
        <w:spacing w:line="588"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88"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88" w:lineRule="exact"/>
        <w:rPr>
          <w:rFonts w:ascii="宋体" w:hAnsi="宋体"/>
          <w:color w:val="auto"/>
          <w:sz w:val="24"/>
          <w:szCs w:val="24"/>
          <w:highlight w:val="none"/>
        </w:rPr>
      </w:pPr>
      <w:r>
        <w:rPr>
          <w:rFonts w:ascii="宋体" w:hAnsi="宋体"/>
          <w:color w:val="auto"/>
          <w:sz w:val="24"/>
          <w:szCs w:val="24"/>
          <w:highlight w:val="none"/>
        </w:rPr>
      </w:r>
      <w:r/>
    </w:p>
    <w:p>
      <w:pPr>
        <w:spacing w:line="300" w:lineRule="auto"/>
        <w:rPr>
          <w:rFonts w:ascii="宋体" w:hAnsi="宋体" w:cs="宋体"/>
          <w:color w:val="auto"/>
          <w:sz w:val="24"/>
          <w:szCs w:val="24"/>
          <w:highlight w:val="none"/>
          <w:lang w:bidi="zh-CN"/>
        </w:rPr>
        <w:outlineLvl w:val="0"/>
      </w:pPr>
      <w:r>
        <w:rPr>
          <w:rFonts w:hint="eastAsia" w:ascii="宋体" w:hAnsi="宋体" w:cs="宋体"/>
          <w:color w:val="auto"/>
          <w:sz w:val="24"/>
          <w:szCs w:val="24"/>
          <w:highlight w:val="none"/>
          <w:lang w:bidi="zh-CN"/>
        </w:rPr>
        <w:t xml:space="preserve">注：1、供应商如不提供此声明函，价格将不做相应扣除。</w:t>
      </w:r>
      <w:r/>
    </w:p>
    <w:p>
      <w:pPr>
        <w:ind w:firstLine="480"/>
        <w:spacing w:line="588" w:lineRule="exact"/>
        <w:rPr>
          <w:rFonts w:ascii="仿宋_GB2312" w:eastAsia="仿宋_GB2312"/>
          <w:color w:val="auto"/>
          <w:spacing w:val="6"/>
          <w:sz w:val="24"/>
          <w:szCs w:val="24"/>
          <w:highlight w:val="none"/>
        </w:rPr>
      </w:pPr>
      <w:r>
        <w:rPr>
          <w:rFonts w:hint="eastAsia" w:ascii="宋体" w:hAnsi="宋体" w:cs="宋体"/>
          <w:color w:val="auto"/>
          <w:sz w:val="24"/>
          <w:szCs w:val="24"/>
          <w:highlight w:val="none"/>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04"/>
        <w:spacing w:line="588" w:lineRule="exact"/>
        <w:rPr>
          <w:rFonts w:ascii="仿宋_GB2312" w:eastAsia="仿宋_GB2312"/>
          <w:color w:val="auto"/>
          <w:spacing w:val="6"/>
          <w:sz w:val="24"/>
          <w:szCs w:val="24"/>
          <w:highlight w:val="none"/>
        </w:rPr>
      </w:pPr>
      <w:r>
        <w:rPr>
          <w:rFonts w:ascii="仿宋_GB2312" w:eastAsia="仿宋_GB2312"/>
          <w:color w:val="auto"/>
          <w:spacing w:val="6"/>
          <w:sz w:val="24"/>
          <w:szCs w:val="24"/>
          <w:highlight w:val="none"/>
        </w:rPr>
      </w:r>
      <w:r/>
    </w:p>
    <w:p>
      <w:pPr>
        <w:ind w:right="1560" w:firstLine="480"/>
        <w:jc w:val="center"/>
        <w:spacing w:line="588" w:lineRule="exact"/>
        <w:tabs>
          <w:tab w:val="left" w:pos="4860" w:leader="none"/>
        </w:tabs>
        <w:rPr>
          <w:rFonts w:ascii="宋体" w:hAnsi="宋体"/>
          <w:color w:val="auto"/>
          <w:sz w:val="24"/>
          <w:szCs w:val="24"/>
          <w:highlight w:val="none"/>
        </w:rPr>
      </w:pPr>
      <w:r>
        <w:rPr>
          <w:rFonts w:hint="eastAsia" w:ascii="宋体" w:hAnsi="宋体"/>
          <w:color w:val="auto"/>
          <w:sz w:val="24"/>
          <w:szCs w:val="24"/>
          <w:highlight w:val="none"/>
        </w:rPr>
        <w:t xml:space="preserve">           供应商全称（盖章）：</w:t>
      </w:r>
      <w:r/>
    </w:p>
    <w:p>
      <w:pPr>
        <w:ind w:right="1560" w:firstLine="480"/>
        <w:jc w:val="center"/>
        <w:spacing w:line="588" w:lineRule="exact"/>
        <w:tabs>
          <w:tab w:val="left" w:pos="4860" w:leader="none"/>
        </w:tabs>
        <w:rPr>
          <w:rFonts w:ascii="宋体" w:hAnsi="宋体"/>
          <w:color w:val="auto"/>
          <w:sz w:val="24"/>
          <w:szCs w:val="24"/>
          <w:highlight w:val="none"/>
        </w:rPr>
      </w:pPr>
      <w:r>
        <w:rPr>
          <w:rFonts w:hint="eastAsia" w:ascii="宋体" w:hAnsi="宋体"/>
          <w:color w:val="auto"/>
          <w:sz w:val="24"/>
          <w:szCs w:val="24"/>
          <w:highlight w:val="none"/>
        </w:rPr>
        <w:t xml:space="preserve">              日  期：</w:t>
      </w:r>
      <w:r/>
    </w:p>
    <w:p>
      <w:pPr>
        <w:spacing w:line="300" w:lineRule="auto"/>
        <w:rPr>
          <w:rFonts w:eastAsia="方正黑体_GBK"/>
          <w:color w:val="auto"/>
          <w:sz w:val="32"/>
          <w:szCs w:val="32"/>
          <w:highlight w:val="none"/>
        </w:rPr>
        <w:outlineLvl w:val="0"/>
      </w:pPr>
      <w:r>
        <w:rPr>
          <w:color w:val="auto"/>
          <w:sz w:val="28"/>
          <w:szCs w:val="28"/>
          <w:highlight w:val="none"/>
        </w:rPr>
        <w:br w:type="page" w:clear="all"/>
      </w:r>
      <w:r>
        <w:rPr>
          <w:rFonts w:eastAsia="方正黑体_GBK"/>
          <w:color w:val="auto"/>
          <w:sz w:val="32"/>
          <w:szCs w:val="32"/>
          <w:highlight w:val="none"/>
        </w:rPr>
        <w:t xml:space="preserve">附件11</w:t>
      </w:r>
      <w:r/>
    </w:p>
    <w:p>
      <w:pPr>
        <w:jc w:val="center"/>
        <w:spacing w:line="420" w:lineRule="exact"/>
        <w:rPr>
          <w:b/>
          <w:bCs/>
          <w:color w:val="auto"/>
          <w:sz w:val="32"/>
          <w:szCs w:val="32"/>
          <w:highlight w:val="none"/>
        </w:rPr>
        <w:outlineLvl w:val="3"/>
      </w:pPr>
      <w:r>
        <w:rPr>
          <w:rFonts w:hint="eastAsia"/>
          <w:b/>
          <w:bCs/>
          <w:color w:val="auto"/>
          <w:sz w:val="32"/>
          <w:szCs w:val="32"/>
          <w:highlight w:val="none"/>
        </w:rPr>
        <w:t xml:space="preserve">监狱和戒毒企业证明材料</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26"/>
        <w:spacing w:line="4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（格式自拟）</w:t>
      </w:r>
      <w:r/>
    </w:p>
    <w:p>
      <w:pPr>
        <w:ind w:firstLine="424"/>
        <w:spacing w:line="42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566"/>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color w:val="auto"/>
          <w:sz w:val="24"/>
          <w:szCs w:val="24"/>
          <w:highlight w:val="none"/>
        </w:rPr>
        <w:outlineLvl w:val="0"/>
      </w:pPr>
      <w:r>
        <w:rPr>
          <w:rFonts w:ascii="宋体" w:hAnsi="宋体"/>
          <w:color w:val="auto"/>
          <w:sz w:val="24"/>
          <w:szCs w:val="24"/>
          <w:highlight w:val="none"/>
        </w:rPr>
      </w:r>
      <w:r/>
    </w:p>
    <w:p>
      <w:pPr>
        <w:spacing w:line="300" w:lineRule="auto"/>
        <w:rPr>
          <w:rFonts w:ascii="宋体" w:hAnsi="宋体"/>
          <w:color w:val="auto"/>
          <w:sz w:val="24"/>
          <w:szCs w:val="24"/>
          <w:highlight w:val="none"/>
        </w:rPr>
        <w:outlineLvl w:val="0"/>
      </w:pPr>
      <w:r>
        <w:rPr>
          <w:rFonts w:ascii="宋体" w:hAnsi="宋体"/>
          <w:color w:val="auto"/>
          <w:sz w:val="24"/>
          <w:szCs w:val="24"/>
          <w:highlight w:val="none"/>
        </w:rPr>
      </w:r>
      <w:r/>
    </w:p>
    <w:p>
      <w:pPr>
        <w:spacing w:line="300" w:lineRule="auto"/>
        <w:rPr>
          <w:rFonts w:ascii="宋体" w:hAnsi="宋体"/>
          <w:color w:val="auto"/>
          <w:sz w:val="24"/>
          <w:szCs w:val="24"/>
          <w:highlight w:val="none"/>
        </w:rPr>
        <w:outlineLvl w:val="0"/>
      </w:pPr>
      <w:r>
        <w:rPr>
          <w:rFonts w:ascii="宋体" w:hAnsi="宋体"/>
          <w:color w:val="auto"/>
          <w:sz w:val="24"/>
          <w:szCs w:val="24"/>
          <w:highlight w:val="none"/>
        </w:rPr>
      </w:r>
      <w:r/>
    </w:p>
    <w:p>
      <w:pPr>
        <w:spacing w:line="300" w:lineRule="auto"/>
        <w:rPr>
          <w:rFonts w:ascii="宋体" w:hAnsi="宋体"/>
          <w:color w:val="auto"/>
          <w:sz w:val="24"/>
          <w:szCs w:val="24"/>
          <w:highlight w:val="none"/>
        </w:rPr>
        <w:outlineLvl w:val="0"/>
      </w:pPr>
      <w:r>
        <w:rPr>
          <w:rFonts w:ascii="宋体" w:hAnsi="宋体"/>
          <w:color w:val="auto"/>
          <w:sz w:val="24"/>
          <w:szCs w:val="24"/>
          <w:highlight w:val="none"/>
        </w:rPr>
      </w:r>
      <w:r/>
    </w:p>
    <w:p>
      <w:pPr>
        <w:spacing w:line="300" w:lineRule="auto"/>
        <w:rPr>
          <w:rFonts w:ascii="宋体" w:hAnsi="宋体"/>
          <w:color w:val="auto"/>
          <w:sz w:val="24"/>
          <w:szCs w:val="24"/>
          <w:highlight w:val="none"/>
        </w:rPr>
        <w:outlineLvl w:val="0"/>
      </w:pPr>
      <w:r>
        <w:rPr>
          <w:rFonts w:ascii="宋体" w:hAnsi="宋体"/>
          <w:color w:val="auto"/>
          <w:sz w:val="24"/>
          <w:szCs w:val="24"/>
          <w:highlight w:val="none"/>
        </w:rPr>
      </w:r>
      <w:r/>
    </w:p>
    <w:p>
      <w:pPr>
        <w:spacing w:line="300" w:lineRule="auto"/>
        <w:rPr>
          <w:rFonts w:ascii="宋体" w:hAnsi="宋体"/>
          <w:color w:val="auto"/>
          <w:sz w:val="24"/>
          <w:szCs w:val="24"/>
          <w:highlight w:val="none"/>
        </w:rPr>
        <w:outlineLvl w:val="0"/>
      </w:pPr>
      <w:r>
        <w:rPr>
          <w:rFonts w:ascii="宋体" w:hAnsi="宋体"/>
          <w:color w:val="auto"/>
          <w:sz w:val="24"/>
          <w:szCs w:val="24"/>
          <w:highlight w:val="none"/>
        </w:rPr>
      </w:r>
      <w:r/>
    </w:p>
    <w:p>
      <w:pPr>
        <w:spacing w:line="300" w:lineRule="auto"/>
        <w:rPr>
          <w:rFonts w:ascii="宋体" w:hAnsi="宋体"/>
          <w:color w:val="auto"/>
          <w:sz w:val="24"/>
          <w:szCs w:val="24"/>
          <w:highlight w:val="none"/>
        </w:rPr>
        <w:outlineLvl w:val="0"/>
      </w:pPr>
      <w:r>
        <w:rPr>
          <w:rFonts w:hint="eastAsia" w:ascii="宋体" w:hAnsi="宋体"/>
          <w:color w:val="auto"/>
          <w:sz w:val="24"/>
          <w:szCs w:val="24"/>
          <w:highlight w:val="none"/>
        </w:rPr>
        <w:t xml:space="preserve">注：1、供应商如不提供此声明函，价格将不做相应扣除。</w:t>
      </w:r>
      <w:r/>
    </w:p>
    <w:p>
      <w:pPr>
        <w:ind w:firstLine="480"/>
        <w:spacing w:line="300" w:lineRule="auto"/>
        <w:rPr>
          <w:rFonts w:ascii="宋体" w:hAnsi="宋体"/>
          <w:color w:val="auto"/>
          <w:sz w:val="24"/>
          <w:szCs w:val="24"/>
          <w:highlight w:val="none"/>
        </w:rPr>
        <w:outlineLvl w:val="0"/>
      </w:pPr>
      <w:r>
        <w:rPr>
          <w:rFonts w:hint="eastAsia" w:ascii="宋体" w:hAnsi="宋体"/>
          <w:color w:val="auto"/>
          <w:sz w:val="24"/>
          <w:szCs w:val="24"/>
          <w:highlight w:val="none"/>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rPr>
          <w:rFonts w:eastAsia="方正黑体_GBK"/>
          <w:bCs/>
          <w:color w:val="auto"/>
          <w:sz w:val="32"/>
          <w:szCs w:val="32"/>
          <w:highlight w:val="none"/>
        </w:rPr>
      </w:pPr>
      <w:r>
        <w:rPr>
          <w:rFonts w:eastAsia="方正黑体_GBK"/>
          <w:bCs/>
          <w:color w:val="auto"/>
          <w:sz w:val="32"/>
          <w:szCs w:val="32"/>
          <w:highlight w:val="none"/>
        </w:rPr>
        <w:br w:type="page" w:clear="all"/>
      </w:r>
      <w:r>
        <w:rPr>
          <w:rFonts w:eastAsia="方正黑体_GBK"/>
          <w:bCs/>
          <w:color w:val="auto"/>
          <w:sz w:val="32"/>
          <w:szCs w:val="32"/>
          <w:highlight w:val="none"/>
        </w:rPr>
        <w:t xml:space="preserve">附件12</w:t>
      </w:r>
      <w:r/>
    </w:p>
    <w:p>
      <w:pPr>
        <w:jc w:val="center"/>
        <w:spacing w:line="440" w:lineRule="exact"/>
        <w:shd w:val="clear" w:color="auto" w:fill="ffffff"/>
        <w:widowControl/>
        <w:rPr>
          <w:rFonts w:ascii="黑体" w:hAnsi="黑体" w:eastAsia="黑体" w:cs="方正魏碑_GBK"/>
          <w:color w:val="auto"/>
          <w:sz w:val="32"/>
          <w:szCs w:val="32"/>
          <w:highlight w:val="none"/>
        </w:rPr>
      </w:pPr>
      <w:r>
        <w:rPr>
          <w:rFonts w:hint="eastAsia" w:ascii="黑体" w:hAnsi="黑体" w:eastAsia="黑体" w:cs="方正魏碑_GBK"/>
          <w:color w:val="auto"/>
          <w:sz w:val="32"/>
          <w:szCs w:val="32"/>
          <w:highlight w:val="none"/>
        </w:rPr>
        <w:t xml:space="preserve">关于符合本国产品标准的声明函</w:t>
      </w:r>
      <w:r/>
    </w:p>
    <w:p>
      <w:pPr>
        <w:ind w:firstLine="420"/>
        <w:jc w:val="left"/>
        <w:spacing w:line="440" w:lineRule="exact"/>
        <w:widowControl/>
        <w:rPr>
          <w:rFonts w:ascii="宋体" w:hAnsi="宋体" w:cs="方正魏碑_GBK"/>
          <w:color w:val="auto"/>
          <w:sz w:val="28"/>
          <w:szCs w:val="28"/>
          <w:highlight w:val="none"/>
        </w:rPr>
      </w:pPr>
      <w:r>
        <w:rPr>
          <w:rFonts w:ascii="宋体" w:hAnsi="宋体" w:cs="方正魏碑_GBK"/>
          <w:color w:val="auto"/>
          <w:sz w:val="28"/>
          <w:szCs w:val="28"/>
          <w:highlight w:val="none"/>
        </w:rPr>
      </w:r>
      <w:r/>
    </w:p>
    <w:p>
      <w:pPr>
        <w:ind w:firstLine="420"/>
        <w:jc w:val="left"/>
        <w:spacing w:line="440" w:lineRule="exact"/>
        <w:widowControl/>
        <w:rPr>
          <w:rFonts w:ascii="宋体" w:hAnsi="宋体" w:cs="方正魏碑_GBK"/>
          <w:color w:val="auto"/>
          <w:sz w:val="28"/>
          <w:szCs w:val="28"/>
          <w:highlight w:val="none"/>
        </w:rPr>
      </w:pPr>
      <w:r>
        <w:rPr>
          <w:rFonts w:hint="eastAsia" w:ascii="宋体" w:hAnsi="宋体" w:cs="方正魏碑_GBK"/>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440" w:lineRule="exact"/>
        <w:widowControl/>
        <w:rPr>
          <w:rFonts w:ascii="宋体" w:hAnsi="宋体" w:cs="方正魏碑_GBK"/>
          <w:color w:val="auto"/>
          <w:sz w:val="28"/>
          <w:szCs w:val="28"/>
          <w:highlight w:val="none"/>
        </w:rPr>
      </w:pPr>
      <w:r>
        <w:rPr>
          <w:rFonts w:hint="eastAsia" w:ascii="宋体" w:hAnsi="宋体" w:cs="方正魏碑_GBK"/>
          <w:color w:val="auto"/>
          <w:sz w:val="28"/>
          <w:szCs w:val="28"/>
          <w:highlight w:val="none"/>
          <w:shd w:val="clear" w:color="auto" w:fill="ffffff"/>
        </w:rPr>
        <w:t xml:space="preserve">1.</w:t>
      </w:r>
      <w:r>
        <w:rPr>
          <w:rFonts w:hint="eastAsia" w:ascii="宋体" w:hAnsi="宋体" w:cs="方正魏碑_GBK"/>
          <w:color w:val="auto"/>
          <w:sz w:val="28"/>
          <w:szCs w:val="28"/>
          <w:highlight w:val="none"/>
          <w:u w:val="single"/>
        </w:rPr>
        <w:t xml:space="preserve">（产品名称1）</w:t>
      </w:r>
      <w:r>
        <w:rPr>
          <w:rFonts w:hint="eastAsia" w:ascii="宋体" w:hAnsi="宋体" w:cs="方正魏碑_GBK"/>
          <w:color w:val="auto"/>
          <w:sz w:val="28"/>
          <w:szCs w:val="28"/>
          <w:highlight w:val="none"/>
          <w:vertAlign w:val="superscript"/>
        </w:rPr>
        <w:t xml:space="preserve">1</w:t>
      </w:r>
      <w:r>
        <w:rPr>
          <w:rFonts w:hint="eastAsia" w:ascii="宋体" w:hAnsi="宋体" w:cs="方正魏碑_GBK"/>
          <w:color w:val="auto"/>
          <w:sz w:val="28"/>
          <w:szCs w:val="28"/>
          <w:highlight w:val="none"/>
          <w:shd w:val="clear" w:color="auto" w:fill="ffffff"/>
        </w:rPr>
        <w:t xml:space="preserve">，生产厂为</w:t>
      </w:r>
      <w:r>
        <w:rPr>
          <w:rFonts w:hint="eastAsia" w:ascii="宋体" w:hAnsi="宋体" w:cs="方正魏碑_GBK"/>
          <w:color w:val="auto"/>
          <w:sz w:val="28"/>
          <w:szCs w:val="28"/>
          <w:highlight w:val="none"/>
          <w:u w:val="single"/>
        </w:rPr>
        <w:t xml:space="preserve">（厂名）</w:t>
      </w:r>
      <w:r>
        <w:rPr>
          <w:rFonts w:hint="eastAsia" w:ascii="宋体" w:hAnsi="宋体" w:cs="方正魏碑_GBK"/>
          <w:color w:val="auto"/>
          <w:sz w:val="28"/>
          <w:szCs w:val="28"/>
          <w:highlight w:val="none"/>
          <w:vertAlign w:val="superscript"/>
        </w:rPr>
        <w:t xml:space="preserve">2</w:t>
      </w:r>
      <w:r>
        <w:rPr>
          <w:rFonts w:hint="eastAsia" w:ascii="宋体" w:hAnsi="宋体" w:cs="方正魏碑_GBK"/>
          <w:color w:val="auto"/>
          <w:sz w:val="28"/>
          <w:szCs w:val="28"/>
          <w:highlight w:val="none"/>
          <w:shd w:val="clear" w:color="auto" w:fill="ffffff"/>
        </w:rPr>
        <w:t xml:space="preserve">，厂址为</w:t>
      </w:r>
      <w:r>
        <w:rPr>
          <w:rFonts w:hint="eastAsia" w:ascii="宋体" w:hAnsi="宋体" w:cs="方正魏碑_GBK"/>
          <w:color w:val="auto"/>
          <w:sz w:val="28"/>
          <w:szCs w:val="28"/>
          <w:highlight w:val="none"/>
          <w:u w:val="single"/>
        </w:rPr>
        <w:t xml:space="preserve">（生产厂址）</w:t>
      </w:r>
      <w:r>
        <w:rPr>
          <w:rFonts w:hint="eastAsia" w:ascii="宋体" w:hAnsi="宋体" w:cs="方正魏碑_GBK"/>
          <w:color w:val="auto"/>
          <w:sz w:val="28"/>
          <w:szCs w:val="28"/>
          <w:highlight w:val="none"/>
          <w:shd w:val="clear" w:color="auto" w:fill="ffffff"/>
        </w:rPr>
        <w:t xml:space="preserve">。</w:t>
      </w:r>
      <w:r>
        <w:rPr>
          <w:rFonts w:hint="eastAsia" w:ascii="宋体" w:hAnsi="宋体" w:cs="方正魏碑_GBK"/>
          <w:strike/>
          <w:color w:val="auto"/>
          <w:sz w:val="28"/>
          <w:szCs w:val="28"/>
          <w:highlight w:val="none"/>
          <w:u w:val="single"/>
        </w:rPr>
        <w:t xml:space="preserve">（产品名称1）</w:t>
      </w:r>
      <w:r>
        <w:rPr>
          <w:rFonts w:hint="eastAsia" w:ascii="宋体" w:hAnsi="宋体" w:cs="方正魏碑_GBK"/>
          <w:color w:val="auto"/>
          <w:sz w:val="28"/>
          <w:szCs w:val="28"/>
          <w:highlight w:val="none"/>
          <w:shd w:val="clear" w:color="auto" w:fill="ffffff"/>
        </w:rPr>
        <w:t xml:space="preserve">的中国境内生产的组件成本占比≥</w:t>
      </w:r>
      <w:r>
        <w:rPr>
          <w:rFonts w:hint="eastAsia" w:ascii="宋体" w:hAnsi="宋体" w:cs="方正魏碑_GBK"/>
          <w:strike/>
          <w:color w:val="auto"/>
          <w:sz w:val="28"/>
          <w:szCs w:val="28"/>
          <w:highlight w:val="none"/>
          <w:u w:val="single"/>
        </w:rPr>
        <w:t xml:space="preserve">（规定</w:t>
      </w:r>
      <w:r>
        <w:rPr>
          <w:rFonts w:ascii="宋体" w:hAnsi="宋体" w:cs="方正魏碑_GBK"/>
          <w:strike/>
          <w:color w:val="auto"/>
          <w:sz w:val="28"/>
          <w:szCs w:val="28"/>
          <w:highlight w:val="none"/>
          <w:u w:val="single"/>
        </w:rPr>
        <w:t xml:space="preserve">比例</w:t>
      </w:r>
      <w:r>
        <w:rPr>
          <w:rFonts w:hint="eastAsia" w:ascii="宋体" w:hAnsi="宋体" w:cs="方正魏碑_GBK"/>
          <w:strike/>
          <w:color w:val="auto"/>
          <w:sz w:val="28"/>
          <w:szCs w:val="28"/>
          <w:highlight w:val="none"/>
          <w:u w:val="single"/>
        </w:rPr>
        <w:t xml:space="preserve">）</w:t>
      </w:r>
      <w:r>
        <w:rPr>
          <w:rFonts w:hint="eastAsia" w:ascii="宋体" w:hAnsi="宋体" w:cs="方正魏碑_GBK"/>
          <w:color w:val="auto"/>
          <w:sz w:val="28"/>
          <w:szCs w:val="28"/>
          <w:highlight w:val="none"/>
          <w:vertAlign w:val="superscript"/>
        </w:rPr>
        <w:t xml:space="preserve">3</w:t>
      </w:r>
      <w:r>
        <w:rPr>
          <w:rFonts w:hint="eastAsia" w:ascii="宋体" w:hAnsi="宋体" w:cs="方正魏碑_GBK"/>
          <w:color w:val="auto"/>
          <w:sz w:val="28"/>
          <w:szCs w:val="28"/>
          <w:highlight w:val="none"/>
          <w:shd w:val="clear" w:color="auto" w:fill="ffffff"/>
        </w:rPr>
        <w:t xml:space="preserve">。</w:t>
      </w:r>
      <w:r>
        <w:rPr>
          <w:rFonts w:hint="eastAsia" w:ascii="宋体" w:hAnsi="宋体" w:cs="方正魏碑_GBK"/>
          <w:strike/>
          <w:color w:val="auto"/>
          <w:sz w:val="28"/>
          <w:szCs w:val="28"/>
          <w:highlight w:val="none"/>
          <w:u w:val="single"/>
        </w:rPr>
        <w:t xml:space="preserve">（产品名称1）</w:t>
      </w:r>
      <w:r>
        <w:rPr>
          <w:rFonts w:hint="eastAsia" w:ascii="宋体" w:hAnsi="宋体" w:cs="方正魏碑_GBK"/>
          <w:color w:val="auto"/>
          <w:sz w:val="28"/>
          <w:szCs w:val="28"/>
          <w:highlight w:val="none"/>
          <w:shd w:val="clear" w:color="auto" w:fill="ffffff"/>
        </w:rPr>
        <w:t xml:space="preserve">的</w:t>
      </w:r>
      <w:r>
        <w:rPr>
          <w:rFonts w:hint="eastAsia" w:ascii="宋体" w:hAnsi="宋体" w:cs="方正魏碑_GBK"/>
          <w:strike/>
          <w:color w:val="auto"/>
          <w:sz w:val="28"/>
          <w:szCs w:val="28"/>
          <w:highlight w:val="none"/>
          <w:u w:val="single"/>
        </w:rPr>
        <w:t xml:space="preserve">（关键</w:t>
      </w:r>
      <w:r>
        <w:rPr>
          <w:rFonts w:ascii="宋体" w:hAnsi="宋体" w:cs="方正魏碑_GBK"/>
          <w:strike/>
          <w:color w:val="auto"/>
          <w:sz w:val="28"/>
          <w:szCs w:val="28"/>
          <w:highlight w:val="none"/>
          <w:u w:val="single"/>
        </w:rPr>
        <w:t xml:space="preserve">组件</w:t>
      </w:r>
      <w:r>
        <w:rPr>
          <w:rFonts w:hint="eastAsia" w:ascii="宋体" w:hAnsi="宋体" w:cs="方正魏碑_GBK"/>
          <w:strike/>
          <w:color w:val="auto"/>
          <w:sz w:val="28"/>
          <w:szCs w:val="28"/>
          <w:highlight w:val="none"/>
          <w:u w:val="single"/>
        </w:rPr>
        <w:t xml:space="preserve">）</w:t>
      </w:r>
      <w:r>
        <w:rPr>
          <w:rFonts w:hint="eastAsia" w:ascii="宋体" w:hAnsi="宋体" w:cs="方正魏碑_GBK"/>
          <w:color w:val="auto"/>
          <w:sz w:val="28"/>
          <w:szCs w:val="28"/>
          <w:highlight w:val="none"/>
          <w:vertAlign w:val="superscript"/>
        </w:rPr>
        <w:t xml:space="preserve">4</w:t>
      </w:r>
      <w:r>
        <w:rPr>
          <w:rFonts w:hint="eastAsia" w:ascii="宋体" w:hAnsi="宋体" w:cs="方正魏碑_GBK"/>
          <w:color w:val="auto"/>
          <w:sz w:val="28"/>
          <w:szCs w:val="28"/>
          <w:highlight w:val="none"/>
          <w:shd w:val="clear" w:color="auto" w:fill="ffffff"/>
        </w:rPr>
        <w:t xml:space="preserve">在中国境内生产。</w:t>
      </w:r>
      <w:r>
        <w:rPr>
          <w:rFonts w:hint="eastAsia" w:ascii="宋体" w:hAnsi="宋体" w:cs="方正魏碑_GBK"/>
          <w:strike/>
          <w:color w:val="auto"/>
          <w:sz w:val="28"/>
          <w:szCs w:val="28"/>
          <w:highlight w:val="none"/>
          <w:u w:val="single"/>
        </w:rPr>
        <w:t xml:space="preserve">（产品名称1）</w:t>
      </w:r>
      <w:r>
        <w:rPr>
          <w:rFonts w:hint="eastAsia" w:ascii="宋体" w:hAnsi="宋体" w:cs="方正魏碑_GBK"/>
          <w:color w:val="auto"/>
          <w:sz w:val="28"/>
          <w:szCs w:val="28"/>
          <w:highlight w:val="none"/>
          <w:shd w:val="clear" w:color="auto" w:fill="ffffff"/>
        </w:rPr>
        <w:t xml:space="preserve">的</w:t>
      </w:r>
      <w:r>
        <w:rPr>
          <w:rFonts w:hint="eastAsia" w:ascii="宋体" w:hAnsi="宋体" w:cs="方正魏碑_GBK"/>
          <w:strike/>
          <w:color w:val="auto"/>
          <w:sz w:val="28"/>
          <w:szCs w:val="28"/>
          <w:highlight w:val="none"/>
          <w:u w:val="single"/>
        </w:rPr>
        <w:t xml:space="preserve">（关键工序）</w:t>
      </w:r>
      <w:r>
        <w:rPr>
          <w:rFonts w:hint="eastAsia" w:ascii="宋体" w:hAnsi="宋体" w:cs="方正魏碑_GBK"/>
          <w:color w:val="auto"/>
          <w:sz w:val="28"/>
          <w:szCs w:val="28"/>
          <w:highlight w:val="none"/>
          <w:vertAlign w:val="superscript"/>
        </w:rPr>
        <w:t xml:space="preserve">5</w:t>
      </w:r>
      <w:r>
        <w:rPr>
          <w:rFonts w:hint="eastAsia" w:ascii="宋体" w:hAnsi="宋体" w:cs="方正魏碑_GBK"/>
          <w:color w:val="auto"/>
          <w:sz w:val="28"/>
          <w:szCs w:val="28"/>
          <w:highlight w:val="none"/>
          <w:shd w:val="clear" w:color="auto" w:fill="ffffff"/>
        </w:rPr>
        <w:t xml:space="preserve">在中国境内完成。</w:t>
      </w:r>
      <w:r/>
    </w:p>
    <w:p>
      <w:pPr>
        <w:ind w:firstLine="420"/>
        <w:jc w:val="left"/>
        <w:spacing w:line="440" w:lineRule="exact"/>
        <w:widowControl/>
        <w:rPr>
          <w:rFonts w:ascii="宋体" w:hAnsi="宋体" w:cs="方正魏碑_GBK"/>
          <w:color w:val="auto"/>
          <w:sz w:val="28"/>
          <w:szCs w:val="28"/>
          <w:highlight w:val="none"/>
        </w:rPr>
      </w:pPr>
      <w:r>
        <w:rPr>
          <w:rFonts w:hint="eastAsia" w:ascii="宋体" w:hAnsi="宋体" w:cs="方正魏碑_GBK"/>
          <w:color w:val="auto"/>
          <w:sz w:val="28"/>
          <w:szCs w:val="28"/>
          <w:highlight w:val="none"/>
          <w:shd w:val="clear" w:color="auto" w:fill="ffffff"/>
        </w:rPr>
        <w:t xml:space="preserve">2.</w:t>
      </w:r>
      <w:r>
        <w:rPr>
          <w:rFonts w:hint="eastAsia" w:ascii="宋体" w:hAnsi="宋体" w:cs="方正魏碑_GBK"/>
          <w:color w:val="auto"/>
          <w:sz w:val="28"/>
          <w:szCs w:val="28"/>
          <w:highlight w:val="none"/>
          <w:u w:val="single"/>
        </w:rPr>
        <w:t xml:space="preserve">（产品名称2）</w:t>
      </w:r>
      <w:r>
        <w:rPr>
          <w:rFonts w:hint="eastAsia" w:ascii="宋体" w:hAnsi="宋体" w:cs="方正魏碑_GBK"/>
          <w:color w:val="auto"/>
          <w:sz w:val="28"/>
          <w:szCs w:val="28"/>
          <w:highlight w:val="none"/>
          <w:shd w:val="clear" w:color="auto" w:fill="ffffff"/>
        </w:rPr>
        <w:t xml:space="preserve">，生产厂为</w:t>
      </w:r>
      <w:r>
        <w:rPr>
          <w:rFonts w:hint="eastAsia" w:ascii="宋体" w:hAnsi="宋体" w:cs="方正魏碑_GBK"/>
          <w:color w:val="auto"/>
          <w:sz w:val="28"/>
          <w:szCs w:val="28"/>
          <w:highlight w:val="none"/>
          <w:u w:val="single"/>
        </w:rPr>
        <w:t xml:space="preserve">（厂名）</w:t>
      </w:r>
      <w:r>
        <w:rPr>
          <w:rFonts w:hint="eastAsia" w:ascii="宋体" w:hAnsi="宋体" w:cs="方正魏碑_GBK"/>
          <w:color w:val="auto"/>
          <w:sz w:val="28"/>
          <w:szCs w:val="28"/>
          <w:highlight w:val="none"/>
          <w:shd w:val="clear" w:color="auto" w:fill="ffffff"/>
        </w:rPr>
        <w:t xml:space="preserve">，厂址为</w:t>
      </w:r>
      <w:r>
        <w:rPr>
          <w:rFonts w:hint="eastAsia" w:ascii="宋体" w:hAnsi="宋体" w:cs="方正魏碑_GBK"/>
          <w:color w:val="auto"/>
          <w:sz w:val="28"/>
          <w:szCs w:val="28"/>
          <w:highlight w:val="none"/>
          <w:u w:val="single"/>
        </w:rPr>
        <w:t xml:space="preserve">（生产厂址）</w:t>
      </w:r>
      <w:r>
        <w:rPr>
          <w:rFonts w:hint="eastAsia" w:ascii="宋体" w:hAnsi="宋体" w:cs="方正魏碑_GBK"/>
          <w:color w:val="auto"/>
          <w:sz w:val="28"/>
          <w:szCs w:val="28"/>
          <w:highlight w:val="none"/>
          <w:shd w:val="clear" w:color="auto" w:fill="ffffff"/>
        </w:rPr>
        <w:t xml:space="preserve">。</w:t>
      </w:r>
      <w:r>
        <w:rPr>
          <w:rFonts w:hint="eastAsia" w:ascii="宋体" w:hAnsi="宋体" w:cs="方正魏碑_GBK"/>
          <w:strike/>
          <w:color w:val="auto"/>
          <w:sz w:val="28"/>
          <w:szCs w:val="28"/>
          <w:highlight w:val="none"/>
          <w:u w:val="single"/>
        </w:rPr>
        <w:t xml:space="preserve">（产品名称2）</w:t>
      </w:r>
      <w:r>
        <w:rPr>
          <w:rFonts w:hint="eastAsia" w:ascii="宋体" w:hAnsi="宋体" w:cs="方正魏碑_GBK"/>
          <w:color w:val="auto"/>
          <w:sz w:val="28"/>
          <w:szCs w:val="28"/>
          <w:highlight w:val="none"/>
          <w:shd w:val="clear" w:color="auto" w:fill="ffffff"/>
        </w:rPr>
        <w:t xml:space="preserve">的中国境内生产的组件成本占比≥</w:t>
      </w:r>
      <w:r>
        <w:rPr>
          <w:rFonts w:hint="eastAsia" w:ascii="宋体" w:hAnsi="宋体" w:cs="方正魏碑_GBK"/>
          <w:strike/>
          <w:color w:val="auto"/>
          <w:sz w:val="28"/>
          <w:szCs w:val="28"/>
          <w:highlight w:val="none"/>
          <w:u w:val="single"/>
        </w:rPr>
        <w:t xml:space="preserve">（规定</w:t>
      </w:r>
      <w:r>
        <w:rPr>
          <w:rFonts w:ascii="宋体" w:hAnsi="宋体" w:cs="方正魏碑_GBK"/>
          <w:strike/>
          <w:color w:val="auto"/>
          <w:sz w:val="28"/>
          <w:szCs w:val="28"/>
          <w:highlight w:val="none"/>
          <w:u w:val="single"/>
        </w:rPr>
        <w:t xml:space="preserve">比例</w:t>
      </w:r>
      <w:r>
        <w:rPr>
          <w:rFonts w:hint="eastAsia" w:ascii="宋体" w:hAnsi="宋体" w:cs="方正魏碑_GBK"/>
          <w:strike/>
          <w:color w:val="auto"/>
          <w:sz w:val="28"/>
          <w:szCs w:val="28"/>
          <w:highlight w:val="none"/>
          <w:u w:val="single"/>
        </w:rPr>
        <w:t xml:space="preserve">）</w:t>
      </w:r>
      <w:r>
        <w:rPr>
          <w:rFonts w:hint="eastAsia" w:ascii="宋体" w:hAnsi="宋体" w:cs="方正魏碑_GBK"/>
          <w:color w:val="auto"/>
          <w:sz w:val="28"/>
          <w:szCs w:val="28"/>
          <w:highlight w:val="none"/>
          <w:shd w:val="clear" w:color="auto" w:fill="ffffff"/>
        </w:rPr>
        <w:t xml:space="preserve">。</w:t>
      </w:r>
      <w:r>
        <w:rPr>
          <w:rFonts w:hint="eastAsia" w:ascii="宋体" w:hAnsi="宋体" w:cs="方正魏碑_GBK"/>
          <w:strike/>
          <w:color w:val="auto"/>
          <w:sz w:val="28"/>
          <w:szCs w:val="28"/>
          <w:highlight w:val="none"/>
          <w:u w:val="single"/>
        </w:rPr>
        <w:t xml:space="preserve">（产品名称2）</w:t>
      </w:r>
      <w:r>
        <w:rPr>
          <w:rFonts w:hint="eastAsia" w:ascii="宋体" w:hAnsi="宋体" w:cs="方正魏碑_GBK"/>
          <w:color w:val="auto"/>
          <w:sz w:val="28"/>
          <w:szCs w:val="28"/>
          <w:highlight w:val="none"/>
          <w:shd w:val="clear" w:color="auto" w:fill="ffffff"/>
        </w:rPr>
        <w:t xml:space="preserve">的</w:t>
      </w:r>
      <w:r>
        <w:rPr>
          <w:rFonts w:hint="eastAsia" w:ascii="宋体" w:hAnsi="宋体" w:cs="方正魏碑_GBK"/>
          <w:strike/>
          <w:color w:val="auto"/>
          <w:sz w:val="28"/>
          <w:szCs w:val="28"/>
          <w:highlight w:val="none"/>
          <w:u w:val="single"/>
        </w:rPr>
        <w:t xml:space="preserve">（关键</w:t>
      </w:r>
      <w:r>
        <w:rPr>
          <w:rFonts w:ascii="宋体" w:hAnsi="宋体" w:cs="方正魏碑_GBK"/>
          <w:strike/>
          <w:color w:val="auto"/>
          <w:sz w:val="28"/>
          <w:szCs w:val="28"/>
          <w:highlight w:val="none"/>
          <w:u w:val="single"/>
        </w:rPr>
        <w:t xml:space="preserve">组件</w:t>
      </w:r>
      <w:r>
        <w:rPr>
          <w:rFonts w:hint="eastAsia" w:ascii="宋体" w:hAnsi="宋体" w:cs="方正魏碑_GBK"/>
          <w:strike/>
          <w:color w:val="auto"/>
          <w:sz w:val="28"/>
          <w:szCs w:val="28"/>
          <w:highlight w:val="none"/>
          <w:u w:val="single"/>
        </w:rPr>
        <w:t xml:space="preserve">）</w:t>
      </w:r>
      <w:r>
        <w:rPr>
          <w:rFonts w:hint="eastAsia" w:ascii="宋体" w:hAnsi="宋体" w:cs="方正魏碑_GBK"/>
          <w:color w:val="auto"/>
          <w:sz w:val="28"/>
          <w:szCs w:val="28"/>
          <w:highlight w:val="none"/>
          <w:shd w:val="clear" w:color="auto" w:fill="ffffff"/>
        </w:rPr>
        <w:t xml:space="preserve">在中国境内生产。</w:t>
      </w:r>
      <w:r>
        <w:rPr>
          <w:rFonts w:hint="eastAsia" w:ascii="宋体" w:hAnsi="宋体" w:cs="方正魏碑_GBK"/>
          <w:strike/>
          <w:color w:val="auto"/>
          <w:sz w:val="28"/>
          <w:szCs w:val="28"/>
          <w:highlight w:val="none"/>
          <w:u w:val="single"/>
        </w:rPr>
        <w:t xml:space="preserve">（产品名称1）</w:t>
      </w:r>
      <w:r>
        <w:rPr>
          <w:rFonts w:hint="eastAsia" w:ascii="宋体" w:hAnsi="宋体" w:cs="方正魏碑_GBK"/>
          <w:color w:val="auto"/>
          <w:sz w:val="28"/>
          <w:szCs w:val="28"/>
          <w:highlight w:val="none"/>
          <w:shd w:val="clear" w:color="auto" w:fill="ffffff"/>
        </w:rPr>
        <w:t xml:space="preserve">的</w:t>
      </w:r>
      <w:r>
        <w:rPr>
          <w:rFonts w:hint="eastAsia" w:ascii="宋体" w:hAnsi="宋体" w:cs="方正魏碑_GBK"/>
          <w:strike/>
          <w:color w:val="auto"/>
          <w:sz w:val="28"/>
          <w:szCs w:val="28"/>
          <w:highlight w:val="none"/>
          <w:u w:val="single"/>
        </w:rPr>
        <w:t xml:space="preserve">（关键工序）</w:t>
      </w:r>
      <w:r>
        <w:rPr>
          <w:rFonts w:hint="eastAsia" w:ascii="宋体" w:hAnsi="宋体" w:cs="方正魏碑_GBK"/>
          <w:color w:val="auto"/>
          <w:sz w:val="28"/>
          <w:szCs w:val="28"/>
          <w:highlight w:val="none"/>
          <w:shd w:val="clear" w:color="auto" w:fill="ffffff"/>
        </w:rPr>
        <w:t xml:space="preserve">在中国境内完成。</w:t>
      </w:r>
      <w:r/>
    </w:p>
    <w:p>
      <w:pPr>
        <w:ind w:firstLine="420"/>
        <w:jc w:val="left"/>
        <w:spacing w:line="440" w:lineRule="exact"/>
        <w:widowControl/>
        <w:rPr>
          <w:rFonts w:ascii="宋体" w:hAnsi="宋体" w:cs="方正魏碑_GBK"/>
          <w:color w:val="auto"/>
          <w:sz w:val="28"/>
          <w:szCs w:val="28"/>
          <w:highlight w:val="none"/>
        </w:rPr>
      </w:pPr>
      <w:r>
        <w:rPr>
          <w:rFonts w:hint="eastAsia" w:ascii="宋体" w:hAnsi="宋体" w:cs="方正魏碑_GBK"/>
          <w:color w:val="auto"/>
          <w:sz w:val="28"/>
          <w:szCs w:val="28"/>
          <w:highlight w:val="none"/>
          <w:shd w:val="clear" w:color="auto" w:fill="ffffff"/>
        </w:rPr>
        <w:t xml:space="preserve">……</w:t>
      </w:r>
      <w:r/>
    </w:p>
    <w:p>
      <w:pPr>
        <w:ind w:firstLine="420"/>
        <w:jc w:val="left"/>
        <w:spacing w:line="440" w:lineRule="exact"/>
        <w:widowControl/>
        <w:rPr>
          <w:rFonts w:ascii="宋体" w:hAnsi="宋体" w:cs="方正魏碑_GBK"/>
          <w:color w:val="auto"/>
          <w:sz w:val="28"/>
          <w:szCs w:val="28"/>
          <w:highlight w:val="none"/>
        </w:rPr>
      </w:pPr>
      <w:r>
        <w:rPr>
          <w:rFonts w:hint="eastAsia" w:ascii="宋体" w:hAnsi="宋体" w:cs="方正魏碑_GBK"/>
          <w:color w:val="auto"/>
          <w:sz w:val="28"/>
          <w:szCs w:val="28"/>
          <w:highlight w:val="none"/>
          <w:shd w:val="clear" w:color="auto" w:fill="ffffff"/>
        </w:rPr>
        <w:t xml:space="preserve">本公司（单位）对上述声明内容的真实性负责。如有虚假，愿承担相应法律责任。</w:t>
      </w:r>
      <w:r/>
    </w:p>
    <w:p>
      <w:pPr>
        <w:jc w:val="left"/>
        <w:spacing w:line="440" w:lineRule="exact"/>
        <w:widowControl/>
        <w:rPr>
          <w:rFonts w:ascii="宋体" w:hAnsi="宋体" w:cs="方正魏碑_GBK"/>
          <w:color w:val="auto"/>
          <w:sz w:val="28"/>
          <w:szCs w:val="28"/>
          <w:highlight w:val="none"/>
        </w:rPr>
      </w:pPr>
      <w:r>
        <w:rPr>
          <w:rFonts w:ascii="宋体" w:hAnsi="宋体" w:cs="方正魏碑_GBK"/>
          <w:color w:val="auto"/>
          <w:sz w:val="28"/>
          <w:szCs w:val="28"/>
          <w:highlight w:val="none"/>
        </w:rPr>
      </w:r>
      <w:r/>
    </w:p>
    <w:p>
      <w:pPr>
        <w:ind w:right="480" w:firstLine="5040"/>
        <w:jc w:val="left"/>
        <w:spacing w:line="440" w:lineRule="exact"/>
        <w:widowControl/>
        <w:rPr>
          <w:rFonts w:ascii="宋体" w:hAnsi="宋体" w:cs="方正魏碑_GBK"/>
          <w:color w:val="auto"/>
          <w:sz w:val="28"/>
          <w:szCs w:val="28"/>
          <w:highlight w:val="none"/>
        </w:rPr>
      </w:pPr>
      <w:r>
        <w:rPr>
          <w:rFonts w:hint="eastAsia" w:ascii="宋体" w:hAnsi="宋体" w:cs="方正魏碑_GBK"/>
          <w:color w:val="auto"/>
          <w:sz w:val="28"/>
          <w:szCs w:val="28"/>
          <w:highlight w:val="none"/>
          <w:shd w:val="clear" w:color="auto" w:fill="ffffff"/>
        </w:rPr>
        <w:t xml:space="preserve">公司（单位）名称（盖章）：　</w:t>
      </w:r>
      <w:r>
        <w:rPr>
          <w:rFonts w:hint="eastAsia" w:ascii="宋体" w:hAnsi="宋体" w:eastAsia="MS Gothic" w:cs="MS Gothic"/>
          <w:color w:val="auto"/>
          <w:sz w:val="28"/>
          <w:szCs w:val="28"/>
          <w:highlight w:val="none"/>
          <w:shd w:val="clear" w:color="auto" w:fill="ffffff"/>
        </w:rPr>
        <w:t xml:space="preserve">        </w:t>
      </w:r>
      <w:r/>
    </w:p>
    <w:p>
      <w:pPr>
        <w:jc w:val="center"/>
        <w:spacing w:line="440" w:lineRule="exact"/>
        <w:widowControl/>
        <w:rPr>
          <w:rFonts w:ascii="宋体" w:hAnsi="宋体" w:cs="方正魏碑_GBK"/>
          <w:color w:val="auto"/>
          <w:sz w:val="28"/>
          <w:szCs w:val="28"/>
          <w:highlight w:val="none"/>
        </w:rPr>
      </w:pPr>
      <w:r>
        <w:rPr>
          <w:rFonts w:hint="eastAsia" w:ascii="宋体" w:hAnsi="宋体" w:cs="方正魏碑_GBK"/>
          <w:color w:val="auto"/>
          <w:sz w:val="28"/>
          <w:szCs w:val="28"/>
          <w:highlight w:val="none"/>
          <w:shd w:val="clear" w:color="auto" w:fill="ffffff"/>
        </w:rPr>
        <w:t xml:space="preserve">日期：　</w:t>
      </w:r>
      <w:r>
        <w:rPr>
          <w:rFonts w:hint="eastAsia" w:ascii="宋体" w:hAnsi="宋体" w:eastAsia="MS Gothic" w:cs="MS Gothic"/>
          <w:color w:val="auto"/>
          <w:sz w:val="28"/>
          <w:szCs w:val="28"/>
          <w:highlight w:val="none"/>
          <w:shd w:val="clear" w:color="auto" w:fill="ffffff"/>
        </w:rPr>
        <w:t xml:space="preserve">   </w:t>
      </w:r>
      <w:r>
        <w:rPr>
          <w:rFonts w:hint="eastAsia" w:ascii="宋体" w:hAnsi="宋体" w:cs="微软雅黑"/>
          <w:color w:val="auto"/>
          <w:sz w:val="28"/>
          <w:szCs w:val="28"/>
          <w:highlight w:val="none"/>
          <w:shd w:val="clear" w:color="auto" w:fill="ffffff"/>
        </w:rPr>
        <w:t xml:space="preserve">年　</w:t>
      </w:r>
      <w:r>
        <w:rPr>
          <w:rFonts w:hint="eastAsia" w:ascii="宋体" w:hAnsi="宋体" w:eastAsia="MS Gothic" w:cs="MS Gothic"/>
          <w:color w:val="auto"/>
          <w:sz w:val="28"/>
          <w:szCs w:val="28"/>
          <w:highlight w:val="none"/>
          <w:shd w:val="clear" w:color="auto" w:fill="ffffff"/>
        </w:rPr>
        <w:t xml:space="preserve">  </w:t>
      </w:r>
      <w:r>
        <w:rPr>
          <w:rFonts w:hint="eastAsia" w:ascii="宋体" w:hAnsi="宋体" w:cs="微软雅黑"/>
          <w:color w:val="auto"/>
          <w:sz w:val="28"/>
          <w:szCs w:val="28"/>
          <w:highlight w:val="none"/>
          <w:shd w:val="clear" w:color="auto" w:fill="ffffff"/>
        </w:rPr>
        <w:t xml:space="preserve">月　</w:t>
      </w:r>
      <w:r>
        <w:rPr>
          <w:rFonts w:hint="eastAsia" w:ascii="宋体" w:hAnsi="宋体" w:eastAsia="MS Gothic" w:cs="MS Gothic"/>
          <w:color w:val="auto"/>
          <w:sz w:val="28"/>
          <w:szCs w:val="28"/>
          <w:highlight w:val="none"/>
          <w:shd w:val="clear" w:color="auto" w:fill="ffffff"/>
        </w:rPr>
        <w:t xml:space="preserve">  </w:t>
      </w:r>
      <w:r>
        <w:rPr>
          <w:rFonts w:hint="eastAsia" w:ascii="宋体" w:hAnsi="宋体" w:cs="微软雅黑"/>
          <w:color w:val="auto"/>
          <w:sz w:val="28"/>
          <w:szCs w:val="28"/>
          <w:highlight w:val="none"/>
          <w:shd w:val="clear" w:color="auto" w:fill="ffffff"/>
        </w:rPr>
        <w:t xml:space="preserve">日</w:t>
      </w:r>
      <w:r>
        <w:rPr>
          <w:rFonts w:hint="eastAsia" w:ascii="宋体" w:hAnsi="宋体" w:eastAsia="MS Gothic" w:cs="MS Gothic"/>
          <w:color w:val="auto"/>
          <w:sz w:val="28"/>
          <w:szCs w:val="28"/>
          <w:highlight w:val="none"/>
          <w:shd w:val="clear" w:color="auto" w:fill="ffffff"/>
        </w:rPr>
        <w:t xml:space="preserve">         </w:t>
      </w:r>
      <w:r/>
    </w:p>
    <w:p>
      <w:pPr>
        <w:jc w:val="left"/>
        <w:spacing w:line="400" w:lineRule="exact"/>
        <w:widowControl/>
        <w:rPr>
          <w:rFonts w:ascii="宋体" w:hAnsi="宋体" w:cs="方正魏碑_GBK"/>
          <w:color w:val="auto"/>
          <w:szCs w:val="21"/>
          <w:highlight w:val="none"/>
          <w:shd w:val="clear" w:color="auto" w:fill="ffffff"/>
        </w:rPr>
      </w:pPr>
      <w:r>
        <w:rPr>
          <w:rFonts w:hint="eastAsia" w:ascii="宋体" w:hAnsi="宋体" w:cs="方正魏碑_GBK"/>
          <w:color w:val="auto"/>
          <w:szCs w:val="21"/>
          <w:highlight w:val="none"/>
          <w:shd w:val="clear" w:color="auto" w:fill="ffffff"/>
        </w:rPr>
        <w:t xml:space="preserve">说明：</w:t>
      </w:r>
      <w:r/>
    </w:p>
    <w:p>
      <w:pPr>
        <w:jc w:val="left"/>
        <w:spacing w:line="400" w:lineRule="exact"/>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1.产品如有型号，请在“产品名称”栏一并填写。</w:t>
      </w:r>
      <w:r/>
    </w:p>
    <w:p>
      <w:pPr>
        <w:jc w:val="left"/>
        <w:spacing w:line="400" w:lineRule="exact"/>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2.生产厂名与厂址应与生产厂营业执照载明的相关信息保持一致。</w:t>
      </w:r>
      <w:r/>
    </w:p>
    <w:p>
      <w:pPr>
        <w:jc w:val="left"/>
        <w:spacing w:line="400" w:lineRule="exact"/>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3.该产品的中国境内生产的组件成本占比相关要求实施前，“规定比例”栏可不填，下同。</w:t>
      </w:r>
      <w:r/>
    </w:p>
    <w:p>
      <w:pPr>
        <w:jc w:val="left"/>
        <w:spacing w:line="400" w:lineRule="exact"/>
        <w:widowControl/>
        <w:rPr>
          <w:rFonts w:ascii="宋体" w:hAnsi="宋体" w:cs="方正魏碑_GBK"/>
          <w:color w:val="auto"/>
          <w:szCs w:val="21"/>
          <w:highlight w:val="none"/>
        </w:rPr>
      </w:pPr>
      <w:r>
        <w:rPr>
          <w:rFonts w:hint="eastAsia" w:ascii="宋体" w:hAnsi="宋体" w:cs="方正魏碑_GBK"/>
          <w:color w:val="auto"/>
          <w:szCs w:val="21"/>
          <w:highlight w:val="none"/>
          <w:shd w:val="clear" w:color="auto" w:fill="ffffff"/>
        </w:rPr>
        <w:t xml:space="preserve">4.该产品的关键组件要求实施前，“关键组件”栏可不填，下同。</w:t>
      </w:r>
      <w:r/>
    </w:p>
    <w:p>
      <w:pPr>
        <w:jc w:val="left"/>
        <w:spacing w:line="400" w:lineRule="exact"/>
        <w:widowControl/>
        <w:rPr>
          <w:rFonts w:ascii="宋体" w:hAnsi="宋体" w:cs="方正魏碑_GBK"/>
          <w:color w:val="auto"/>
          <w:szCs w:val="21"/>
          <w:highlight w:val="none"/>
          <w:shd w:val="clear" w:color="auto" w:fill="ffffff"/>
        </w:rPr>
      </w:pPr>
      <w:r>
        <w:rPr>
          <w:rFonts w:hint="eastAsia" w:ascii="宋体" w:hAnsi="宋体" w:cs="方正魏碑_GBK"/>
          <w:color w:val="auto"/>
          <w:szCs w:val="21"/>
          <w:highlight w:val="none"/>
          <w:shd w:val="clear" w:color="auto" w:fill="ffffff"/>
        </w:rPr>
        <w:t xml:space="preserve">5.该产品的关键工序要求实施前，“关键工序”栏可不填，下同。</w:t>
      </w:r>
      <w:r/>
    </w:p>
    <w:p>
      <w:pPr>
        <w:jc w:val="left"/>
        <w:spacing w:line="400" w:lineRule="exact"/>
        <w:widowControl/>
        <w:rPr>
          <w:rFonts w:ascii="宋体" w:hAnsi="宋体" w:cs="方正魏碑_GBK"/>
          <w:color w:val="auto"/>
          <w:szCs w:val="21"/>
          <w:highlight w:val="none"/>
          <w:shd w:val="clear" w:color="auto" w:fill="ffffff"/>
        </w:rPr>
      </w:pPr>
      <w:r>
        <w:rPr>
          <w:rFonts w:hint="eastAsia" w:ascii="宋体" w:hAnsi="宋体" w:cs="方正魏碑_GBK"/>
          <w:color w:val="auto"/>
          <w:szCs w:val="21"/>
          <w:highlight w:val="none"/>
          <w:shd w:val="clear" w:color="auto" w:fill="ffffff"/>
        </w:rPr>
        <w:t xml:space="preserve">6.用删除线划除的地方无需填写。（如：</w:t>
      </w:r>
      <w:r>
        <w:rPr>
          <w:rFonts w:hint="eastAsia" w:ascii="宋体" w:hAnsi="宋体" w:cs="方正魏碑_GBK"/>
          <w:strike/>
          <w:color w:val="auto"/>
          <w:szCs w:val="21"/>
          <w:highlight w:val="none"/>
          <w:u w:val="single"/>
        </w:rPr>
        <w:t xml:space="preserve">（产品名称1）</w:t>
      </w:r>
      <w:r>
        <w:rPr>
          <w:rFonts w:hint="eastAsia" w:ascii="宋体" w:hAnsi="宋体" w:cs="方正魏碑_GBK"/>
          <w:color w:val="auto"/>
          <w:szCs w:val="21"/>
          <w:highlight w:val="none"/>
          <w:shd w:val="clear" w:color="auto" w:fill="ffffff"/>
        </w:rPr>
        <w:t xml:space="preserve">）</w:t>
      </w:r>
      <w:r/>
    </w:p>
    <w:p>
      <w:pPr>
        <w:rPr>
          <w:rFonts w:eastAsia="方正黑体_GBK"/>
          <w:bCs/>
          <w:color w:val="auto"/>
          <w:sz w:val="32"/>
          <w:szCs w:val="32"/>
          <w:highlight w:val="none"/>
        </w:rPr>
      </w:pPr>
      <w:r>
        <w:rPr>
          <w:rFonts w:eastAsia="方正黑体_GBK"/>
          <w:bCs/>
          <w:color w:val="auto"/>
          <w:sz w:val="32"/>
          <w:szCs w:val="32"/>
          <w:highlight w:val="none"/>
        </w:rPr>
      </w:r>
      <w:r/>
    </w:p>
    <w:p>
      <w:pPr>
        <w:rPr>
          <w:rFonts w:eastAsia="方正黑体_GBK"/>
          <w:bCs/>
          <w:color w:val="auto"/>
          <w:sz w:val="32"/>
          <w:szCs w:val="32"/>
          <w:highlight w:val="none"/>
        </w:rPr>
      </w:pPr>
      <w:r>
        <w:rPr>
          <w:rFonts w:eastAsia="方正黑体_GBK"/>
          <w:bCs/>
          <w:color w:val="auto"/>
          <w:sz w:val="32"/>
          <w:szCs w:val="32"/>
          <w:highlight w:val="none"/>
        </w:rPr>
      </w:r>
      <w:r/>
    </w:p>
    <w:p>
      <w:pPr>
        <w:spacing w:line="520" w:lineRule="exact"/>
        <w:rPr>
          <w:rFonts w:eastAsia="方正黑体_GBK"/>
          <w:bCs/>
          <w:color w:val="auto"/>
          <w:sz w:val="32"/>
          <w:szCs w:val="32"/>
          <w:highlight w:val="none"/>
        </w:rPr>
        <w:outlineLvl w:val="0"/>
      </w:pPr>
      <w:r>
        <w:rPr>
          <w:rFonts w:eastAsia="方正黑体_GBK"/>
          <w:bCs/>
          <w:color w:val="auto"/>
          <w:sz w:val="32"/>
          <w:szCs w:val="32"/>
          <w:highlight w:val="none"/>
        </w:rPr>
      </w:r>
      <w:r/>
    </w:p>
    <w:p>
      <w:pPr>
        <w:spacing w:line="520" w:lineRule="exact"/>
        <w:rPr>
          <w:rFonts w:eastAsia="方正黑体_GBK"/>
          <w:color w:val="auto"/>
          <w:sz w:val="32"/>
          <w:szCs w:val="32"/>
          <w:highlight w:val="none"/>
        </w:rPr>
        <w:outlineLvl w:val="0"/>
      </w:pPr>
      <w:r>
        <w:rPr>
          <w:rFonts w:eastAsia="方正黑体_GBK"/>
          <w:color w:val="auto"/>
          <w:sz w:val="32"/>
          <w:szCs w:val="32"/>
          <w:highlight w:val="none"/>
        </w:rPr>
        <w:t xml:space="preserve">附件1</w:t>
      </w:r>
      <w:r>
        <w:rPr>
          <w:rFonts w:hint="eastAsia" w:eastAsia="方正黑体_GBK"/>
          <w:color w:val="auto"/>
          <w:sz w:val="32"/>
          <w:szCs w:val="32"/>
          <w:highlight w:val="none"/>
        </w:rPr>
        <w:t xml:space="preserve">3</w:t>
      </w:r>
      <w:r/>
    </w:p>
    <w:p>
      <w:pPr>
        <w:jc w:val="center"/>
        <w:spacing w:line="520" w:lineRule="exact"/>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联系人：联系电话：</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质疑项目的编号：包号：</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p>
    <w:p>
      <w:pPr>
        <w:spacing w:line="520" w:lineRule="exact"/>
        <w:rPr>
          <w:rFonts w:ascii="宋体" w:hAnsi="宋体" w:cs="仿宋"/>
          <w:color w:val="auto"/>
          <w:sz w:val="24"/>
          <w:szCs w:val="24"/>
          <w:highlight w:val="none"/>
        </w:rPr>
      </w:pPr>
      <w:r>
        <w:rPr>
          <w:rFonts w:ascii="宋体" w:hAnsi="宋体" w:cs="仿宋"/>
          <w:color w:val="auto"/>
          <w:sz w:val="24"/>
          <w:szCs w:val="24"/>
          <w:highlight w:val="none"/>
        </w:rPr>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p>
    <w:p>
      <w:pPr>
        <w:spacing w:line="520" w:lineRule="exact"/>
        <w:rPr>
          <w:rFonts w:ascii="宋体" w:hAnsi="宋体" w:cs="仿宋"/>
          <w:color w:val="auto"/>
          <w:sz w:val="24"/>
          <w:szCs w:val="24"/>
          <w:highlight w:val="none"/>
          <w:u w:val="single"/>
        </w:rPr>
      </w:pPr>
      <w:r>
        <w:rPr>
          <w:rFonts w:ascii="宋体" w:hAnsi="宋体" w:cs="仿宋"/>
          <w:color w:val="auto"/>
          <w:sz w:val="24"/>
          <w:szCs w:val="24"/>
          <w:highlight w:val="none"/>
          <w:u w:val="single"/>
        </w:rPr>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p>
    <w:p>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52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ascii="仿宋_GB2312" w:eastAsia="方正黑体_GBK"/>
          <w:b/>
          <w:color w:val="auto"/>
          <w:sz w:val="32"/>
          <w:szCs w:val="32"/>
          <w:highlight w:val="none"/>
        </w:rPr>
        <w:outlineLvl w:val="0"/>
      </w:pPr>
      <w:r>
        <w:rPr>
          <w:rFonts w:eastAsia="方正黑体_GBK"/>
          <w:color w:val="auto"/>
          <w:sz w:val="32"/>
          <w:szCs w:val="32"/>
          <w:highlight w:val="none"/>
        </w:rPr>
        <w:t xml:space="preserve">附件</w:t>
      </w:r>
      <w:r>
        <w:rPr>
          <w:rFonts w:hint="eastAsia" w:eastAsia="方正黑体_GBK"/>
          <w:color w:val="auto"/>
          <w:sz w:val="32"/>
          <w:szCs w:val="32"/>
          <w:highlight w:val="none"/>
        </w:rPr>
        <w:t xml:space="preserve">14</w:t>
      </w:r>
      <w:r/>
    </w:p>
    <w:p>
      <w:pPr>
        <w:jc w:val="center"/>
        <w:spacing w:line="580" w:lineRule="exact"/>
        <w:rPr>
          <w:rFonts w:eastAsia="方正大标宋_GBK"/>
          <w:bCs/>
          <w:color w:val="auto"/>
          <w:sz w:val="44"/>
          <w:szCs w:val="44"/>
          <w:highlight w:val="none"/>
        </w:rPr>
      </w:pPr>
      <w:r>
        <w:rPr>
          <w:rFonts w:hint="eastAsia" w:eastAsia="方正大标宋_GBK"/>
          <w:bCs/>
          <w:color w:val="auto"/>
          <w:sz w:val="44"/>
          <w:szCs w:val="44"/>
          <w:highlight w:val="none"/>
        </w:rPr>
        <w:t xml:space="preserve">办理政采贷和</w:t>
      </w:r>
      <w:r>
        <w:rPr>
          <w:rFonts w:eastAsia="方正大标宋_GBK"/>
          <w:bCs/>
          <w:color w:val="auto"/>
          <w:sz w:val="44"/>
          <w:szCs w:val="44"/>
          <w:highlight w:val="none"/>
        </w:rPr>
        <w:t xml:space="preserve">履</w:t>
      </w:r>
      <w:r>
        <w:rPr>
          <w:rFonts w:hint="eastAsia" w:eastAsia="方正大标宋_GBK"/>
          <w:bCs/>
          <w:color w:val="auto"/>
          <w:sz w:val="44"/>
          <w:szCs w:val="44"/>
          <w:highlight w:val="none"/>
        </w:rPr>
        <w:t xml:space="preserve">约保函（</w:t>
      </w:r>
      <w:r>
        <w:rPr>
          <w:rFonts w:eastAsia="方正大标宋_GBK"/>
          <w:bCs/>
          <w:color w:val="auto"/>
          <w:sz w:val="44"/>
          <w:szCs w:val="44"/>
          <w:highlight w:val="none"/>
        </w:rPr>
        <w:t xml:space="preserve">保险</w:t>
      </w:r>
      <w:r>
        <w:rPr>
          <w:rFonts w:hint="eastAsia" w:eastAsia="方正大标宋_GBK"/>
          <w:bCs/>
          <w:color w:val="auto"/>
          <w:sz w:val="44"/>
          <w:szCs w:val="44"/>
          <w:highlight w:val="none"/>
        </w:rPr>
        <w:t xml:space="preserve">）告知函</w:t>
      </w:r>
      <w:r/>
    </w:p>
    <w:p>
      <w:pPr>
        <w:rPr>
          <w:rFonts w:eastAsia="仿宋_GB2312"/>
          <w:color w:val="auto"/>
          <w:sz w:val="32"/>
          <w:highlight w:val="none"/>
        </w:rPr>
      </w:pPr>
      <w:r>
        <w:rPr>
          <w:rFonts w:eastAsia="仿宋_GB2312"/>
          <w:color w:val="auto"/>
          <w:sz w:val="32"/>
          <w:highlight w:val="none"/>
        </w:rPr>
      </w:r>
      <w:r/>
    </w:p>
    <w:p>
      <w:pPr>
        <w:ind w:firstLine="640"/>
        <w:spacing w:line="580" w:lineRule="exact"/>
        <w:rPr>
          <w:rFonts w:ascii="宋体" w:hAnsi="宋体"/>
          <w:color w:val="auto"/>
          <w:sz w:val="28"/>
          <w:szCs w:val="28"/>
          <w:highlight w:val="none"/>
        </w:rPr>
      </w:pPr>
      <w:r>
        <w:rPr>
          <w:rFonts w:hint="eastAsia" w:ascii="宋体" w:hAnsi="宋体"/>
          <w:color w:val="auto"/>
          <w:sz w:val="28"/>
          <w:szCs w:val="28"/>
          <w:highlight w:val="none"/>
        </w:rPr>
        <w:t xml:space="preserve">各政府采购供应商：</w:t>
      </w:r>
      <w:r/>
    </w:p>
    <w:p>
      <w:pPr>
        <w:ind w:firstLine="640"/>
        <w:spacing w:line="580" w:lineRule="exact"/>
        <w:rPr>
          <w:rFonts w:ascii="宋体" w:hAnsi="宋体"/>
          <w:color w:val="auto"/>
          <w:sz w:val="28"/>
          <w:szCs w:val="28"/>
          <w:highlight w:val="none"/>
        </w:rPr>
      </w:pPr>
      <w:r>
        <w:rPr>
          <w:rFonts w:hint="eastAsia" w:ascii="宋体" w:hAnsi="宋体"/>
          <w:color w:val="auto"/>
          <w:sz w:val="28"/>
          <w:szCs w:val="28"/>
          <w:highlight w:val="none"/>
        </w:rPr>
        <w:t xml:space="preserve">欢迎贵公司参与南通市政府采购活动！</w:t>
      </w:r>
      <w:r/>
    </w:p>
    <w:p>
      <w:pPr>
        <w:ind w:firstLine="640"/>
        <w:spacing w:line="580" w:lineRule="exact"/>
        <w:rPr>
          <w:rFonts w:ascii="宋体" w:hAnsi="宋体"/>
          <w:color w:val="auto"/>
          <w:sz w:val="28"/>
          <w:szCs w:val="28"/>
          <w:highlight w:val="none"/>
        </w:rPr>
      </w:pPr>
      <w:r>
        <w:rPr>
          <w:rFonts w:hint="eastAsia" w:ascii="宋体" w:hAnsi="宋体"/>
          <w:color w:val="auto"/>
          <w:sz w:val="28"/>
          <w:szCs w:val="28"/>
          <w:highlight w:val="none"/>
        </w:rPr>
        <w:t xml:space="preserve">政府采购线上合同信用融资和履约保函（保险）是支持企业发展，针对参与政府采购活动的企业融资难、现金流不足等问题推出的一项服务举措。</w:t>
      </w:r>
      <w:r/>
    </w:p>
    <w:p>
      <w:pPr>
        <w:ind w:firstLine="640"/>
        <w:spacing w:line="580" w:lineRule="exact"/>
        <w:rPr>
          <w:rFonts w:ascii="宋体" w:hAnsi="宋体"/>
          <w:color w:val="auto"/>
          <w:sz w:val="28"/>
          <w:szCs w:val="28"/>
          <w:highlight w:val="none"/>
        </w:rPr>
      </w:pPr>
      <w:r>
        <w:rPr>
          <w:rFonts w:hint="eastAsia" w:ascii="宋体" w:hAnsi="宋体"/>
          <w:color w:val="auto"/>
          <w:sz w:val="28"/>
          <w:szCs w:val="28"/>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640"/>
        <w:spacing w:line="580" w:lineRule="exact"/>
        <w:rPr>
          <w:rFonts w:eastAsia="仿宋_GB2312"/>
          <w:color w:val="auto"/>
          <w:sz w:val="32"/>
          <w:highlight w:val="none"/>
        </w:rPr>
      </w:pPr>
      <w:r>
        <w:rPr>
          <w:rFonts w:eastAsia="仿宋_GB2312"/>
          <w:color w:val="auto"/>
          <w:sz w:val="32"/>
          <w:highlight w:val="none"/>
        </w:rPr>
      </w:r>
      <w:r/>
    </w:p>
    <w:p>
      <w:pPr>
        <w:ind w:firstLine="640"/>
        <w:spacing w:line="580" w:lineRule="exact"/>
        <w:rPr>
          <w:rFonts w:eastAsia="仿宋_GB2312"/>
          <w:color w:val="auto"/>
          <w:sz w:val="32"/>
          <w:highlight w:val="none"/>
        </w:rPr>
      </w:pPr>
      <w:r>
        <w:rPr>
          <w:rFonts w:eastAsia="仿宋_GB2312"/>
          <w:color w:val="auto"/>
          <w:sz w:val="32"/>
          <w:highlight w:val="none"/>
        </w:rPr>
      </w:r>
      <w:r/>
    </w:p>
    <w:p>
      <w:pPr>
        <w:ind w:firstLine="640"/>
        <w:spacing w:line="580" w:lineRule="exact"/>
        <w:rPr>
          <w:rFonts w:eastAsia="仿宋_GB2312"/>
          <w:color w:val="auto"/>
          <w:sz w:val="32"/>
          <w:highlight w:val="none"/>
        </w:rPr>
      </w:pPr>
      <w:r>
        <w:rPr>
          <w:rFonts w:eastAsia="仿宋_GB2312"/>
          <w:color w:val="auto"/>
          <w:sz w:val="32"/>
          <w:highlight w:val="none"/>
        </w:rPr>
      </w:r>
      <w:r/>
    </w:p>
    <w:p>
      <w:pPr>
        <w:ind w:firstLine="640"/>
        <w:spacing w:line="580" w:lineRule="exact"/>
        <w:rPr>
          <w:rFonts w:eastAsia="仿宋_GB2312"/>
          <w:color w:val="auto"/>
          <w:sz w:val="32"/>
          <w:highlight w:val="none"/>
        </w:rPr>
      </w:pPr>
      <w:r>
        <w:rPr>
          <w:rFonts w:eastAsia="仿宋_GB2312"/>
          <w:color w:val="auto"/>
          <w:sz w:val="32"/>
          <w:highlight w:val="none"/>
        </w:rPr>
      </w:r>
      <w:r/>
    </w:p>
    <w:p>
      <w:pPr>
        <w:ind w:firstLine="640"/>
        <w:spacing w:line="580" w:lineRule="exact"/>
        <w:rPr>
          <w:rFonts w:eastAsia="仿宋_GB2312"/>
          <w:color w:val="auto"/>
          <w:sz w:val="32"/>
          <w:highlight w:val="none"/>
        </w:rPr>
      </w:pPr>
      <w:r>
        <w:rPr>
          <w:rFonts w:eastAsia="仿宋_GB2312"/>
          <w:color w:val="auto"/>
          <w:sz w:val="32"/>
          <w:highlight w:val="none"/>
        </w:rPr>
      </w:r>
      <w:r/>
    </w:p>
    <w:p>
      <w:pPr>
        <w:ind w:firstLine="640"/>
        <w:spacing w:line="580" w:lineRule="exact"/>
        <w:rPr>
          <w:rFonts w:eastAsia="仿宋_GB2312"/>
          <w:color w:val="auto"/>
          <w:sz w:val="32"/>
          <w:highlight w:val="none"/>
        </w:rPr>
      </w:pPr>
      <w:r>
        <w:rPr>
          <w:rFonts w:eastAsia="仿宋_GB2312"/>
          <w:color w:val="auto"/>
          <w:sz w:val="32"/>
          <w:highlight w:val="none"/>
        </w:rPr>
      </w:r>
      <w:r/>
    </w:p>
    <w:p>
      <w:pPr>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MS Gothic">
    <w:panose1 w:val="020B0609070205080204"/>
  </w:font>
  <w:font w:name="方正魏碑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MS Mincho">
    <w:panose1 w:val="02020603050405090304"/>
  </w:font>
  <w:font w:name="Tahoma">
    <w:panose1 w:val="020B0604030504040204"/>
  </w:font>
  <w:font w:name="微软雅黑">
    <w:panose1 w:val="020B050302020402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Style w:val="953"/>
        <w:rFonts w:ascii="宋体" w:hAnsi="宋体"/>
      </w:rPr>
      <w:framePr w:wrap="around" w:vAnchor="text" w:hAnchor="margin" w:xAlign="center" w:y="1"/>
    </w:pPr>
    <w:r>
      <w:rPr>
        <w:rFonts w:ascii="宋体" w:hAnsi="宋体"/>
      </w:rPr>
      <w:fldChar w:fldCharType="begin"/>
    </w:r>
    <w:r>
      <w:rPr>
        <w:rStyle w:val="953"/>
        <w:rFonts w:ascii="宋体" w:hAnsi="宋体"/>
      </w:rPr>
      <w:instrText xml:space="preserve">PAGE  </w:instrText>
    </w:r>
    <w:r>
      <w:rPr>
        <w:rFonts w:ascii="宋体" w:hAnsi="宋体"/>
      </w:rPr>
      <w:fldChar w:fldCharType="separate"/>
    </w:r>
    <w:r>
      <w:rPr>
        <w:rStyle w:val="953"/>
        <w:rFonts w:ascii="宋体" w:hAnsi="宋体"/>
      </w:rPr>
      <w:t xml:space="preserve">37</w:t>
    </w:r>
    <w:r>
      <w:rPr>
        <w:rFonts w:ascii="宋体" w:hAnsi="宋体"/>
      </w:rPr>
      <w:fldChar w:fldCharType="end"/>
    </w:r>
    <w:r/>
  </w:p>
  <w:p>
    <w:pPr>
      <w:pStyle w:val="928"/>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Style w:val="953"/>
      </w:rPr>
      <w:framePr w:wrap="around" w:vAnchor="text" w:hAnchor="margin" w:xAlign="center" w:y="1"/>
    </w:pPr>
    <w:r>
      <w:fldChar w:fldCharType="begin"/>
    </w:r>
    <w:r>
      <w:rPr>
        <w:rStyle w:val="953"/>
      </w:rPr>
      <w:instrText xml:space="preserve">PAGE  </w:instrText>
    </w:r>
    <w:r>
      <w:fldChar w:fldCharType="separate"/>
    </w:r>
    <w:r>
      <w:rPr>
        <w:rStyle w:val="953"/>
      </w:rPr>
      <w:t xml:space="preserve">1</w:t>
    </w:r>
    <w:r>
      <w:fldChar w:fldCharType="end"/>
    </w:r>
    <w:r/>
  </w:p>
  <w:p>
    <w:pPr>
      <w:pStyle w:val="9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7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888"/>
      <w:isLgl w:val="false"/>
      <w:suff w:val="nothing"/>
      <w:lvlText w:val=""/>
      <w:lvlJc w:val="left"/>
      <w:pPr>
        <w:ind w:left="0" w:firstLine="0"/>
      </w:pPr>
      <w:rPr>
        <w:rFonts w:hint="eastAsia"/>
      </w:rPr>
    </w:lvl>
    <w:lvl w:ilvl="6">
      <w:start w:val="1"/>
      <w:numFmt w:val="decimal"/>
      <w:pStyle w:val="889"/>
      <w:isLgl w:val="false"/>
      <w:suff w:val="nothing"/>
      <w:lvlText w:val=""/>
      <w:lvlJc w:val="left"/>
      <w:pPr>
        <w:ind w:left="0" w:firstLine="0"/>
      </w:pPr>
      <w:rPr>
        <w:rFonts w:hint="eastAsia"/>
      </w:rPr>
    </w:lvl>
    <w:lvl w:ilvl="7">
      <w:start w:val="1"/>
      <w:numFmt w:val="decimal"/>
      <w:pStyle w:val="890"/>
      <w:isLgl w:val="false"/>
      <w:suff w:val="nothing"/>
      <w:lvlText w:val=""/>
      <w:lvlJc w:val="left"/>
      <w:pPr>
        <w:ind w:left="0" w:firstLine="0"/>
      </w:pPr>
      <w:rPr>
        <w:rFonts w:hint="eastAsia"/>
      </w:rPr>
    </w:lvl>
    <w:lvl w:ilvl="8">
      <w:start w:val="1"/>
      <w:numFmt w:val="decimal"/>
      <w:pStyle w:val="891"/>
      <w:isLgl w:val="false"/>
      <w:suff w:val="nothing"/>
      <w:lvlText w:val=""/>
      <w:lvlJc w:val="left"/>
      <w:pPr>
        <w:ind w:left="0" w:firstLine="0"/>
      </w:pPr>
      <w:rPr>
        <w:rFonts w:hint="eastAsia"/>
      </w:rPr>
    </w:lvl>
  </w:abstractNum>
  <w:abstractNum w:abstractNumId="4">
    <w:multiLevelType w:val="hybridMultilevel"/>
    <w:lvl w:ilvl="0">
      <w:start w:val="1"/>
      <w:numFmt w:val="decimal"/>
      <w:pStyle w:val="977"/>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691" w:default="1">
    <w:name w:val="Default Paragraph Font"/>
    <w:uiPriority w:val="1"/>
    <w:semiHidden/>
    <w:unhideWhenUsed/>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name w:val="toc 7"/>
    <w:basedOn w:val="690"/>
    <w:next w:val="690"/>
    <w:uiPriority w:val="39"/>
    <w:unhideWhenUsed/>
    <w:qFormat/>
    <w:pPr>
      <w:ind w:left="1701"/>
      <w:spacing w:after="57"/>
    </w:pPr>
  </w:style>
  <w:style w:type="paragraph" w:styleId="694">
    <w:name w:val="annotation text"/>
    <w:basedOn w:val="690"/>
    <w:uiPriority w:val="99"/>
    <w:semiHidden/>
    <w:unhideWhenUsed/>
    <w:qFormat/>
    <w:pPr>
      <w:jc w:val="left"/>
    </w:pPr>
  </w:style>
  <w:style w:type="paragraph" w:styleId="695">
    <w:name w:val="toc 5"/>
    <w:basedOn w:val="690"/>
    <w:next w:val="690"/>
    <w:uiPriority w:val="39"/>
    <w:unhideWhenUsed/>
    <w:qFormat/>
    <w:pPr>
      <w:ind w:left="1134"/>
      <w:spacing w:after="57"/>
    </w:pPr>
  </w:style>
  <w:style w:type="paragraph" w:styleId="696">
    <w:name w:val="toc 3"/>
    <w:basedOn w:val="690"/>
    <w:next w:val="690"/>
    <w:uiPriority w:val="39"/>
    <w:unhideWhenUsed/>
    <w:qFormat/>
    <w:pPr>
      <w:ind w:left="567"/>
      <w:spacing w:after="57"/>
    </w:pPr>
  </w:style>
  <w:style w:type="paragraph" w:styleId="697">
    <w:name w:val="toc 8"/>
    <w:basedOn w:val="690"/>
    <w:next w:val="690"/>
    <w:uiPriority w:val="39"/>
    <w:unhideWhenUsed/>
    <w:qFormat/>
    <w:pPr>
      <w:ind w:left="1984"/>
      <w:spacing w:after="57"/>
    </w:pPr>
  </w:style>
  <w:style w:type="paragraph" w:styleId="698">
    <w:name w:val="endnote text"/>
    <w:basedOn w:val="690"/>
    <w:link w:val="880"/>
    <w:uiPriority w:val="99"/>
    <w:semiHidden/>
    <w:unhideWhenUsed/>
    <w:qFormat/>
    <w:rPr>
      <w:sz w:val="20"/>
    </w:rPr>
  </w:style>
  <w:style w:type="paragraph" w:styleId="699">
    <w:name w:val="Balloon Text"/>
    <w:basedOn w:val="690"/>
    <w:link w:val="1001"/>
    <w:uiPriority w:val="99"/>
    <w:semiHidden/>
    <w:unhideWhenUsed/>
    <w:rPr>
      <w:sz w:val="18"/>
      <w:szCs w:val="18"/>
    </w:rPr>
  </w:style>
  <w:style w:type="paragraph" w:styleId="700">
    <w:name w:val="Footer"/>
    <w:basedOn w:val="690"/>
    <w:link w:val="1000"/>
    <w:uiPriority w:val="99"/>
    <w:semiHidden/>
    <w:unhideWhenUsed/>
    <w:qFormat/>
    <w:pPr>
      <w:jc w:val="left"/>
      <w:tabs>
        <w:tab w:val="center" w:pos="4153" w:leader="none"/>
        <w:tab w:val="right" w:pos="8306" w:leader="none"/>
      </w:tabs>
    </w:pPr>
    <w:rPr>
      <w:sz w:val="18"/>
      <w:szCs w:val="18"/>
    </w:rPr>
  </w:style>
  <w:style w:type="paragraph" w:styleId="701">
    <w:name w:val="Header"/>
    <w:basedOn w:val="690"/>
    <w:link w:val="999"/>
    <w:uiPriority w:val="99"/>
    <w:semiHidden/>
    <w:unhideWhenUsed/>
    <w:pPr>
      <w:jc w:val="center"/>
      <w:tabs>
        <w:tab w:val="center" w:pos="4153" w:leader="none"/>
        <w:tab w:val="right" w:pos="8306" w:leader="none"/>
      </w:tabs>
      <w:pBdr>
        <w:bottom w:val="single" w:color="auto" w:sz="6" w:space="1"/>
      </w:pBdr>
    </w:pPr>
    <w:rPr>
      <w:sz w:val="18"/>
      <w:szCs w:val="18"/>
    </w:rPr>
  </w:style>
  <w:style w:type="paragraph" w:styleId="702">
    <w:name w:val="toc 1"/>
    <w:basedOn w:val="690"/>
    <w:next w:val="690"/>
    <w:uiPriority w:val="39"/>
    <w:unhideWhenUsed/>
    <w:qFormat/>
    <w:pPr>
      <w:spacing w:after="57"/>
    </w:pPr>
  </w:style>
  <w:style w:type="paragraph" w:styleId="703">
    <w:name w:val="toc 4"/>
    <w:basedOn w:val="690"/>
    <w:next w:val="690"/>
    <w:uiPriority w:val="39"/>
    <w:unhideWhenUsed/>
    <w:qFormat/>
    <w:pPr>
      <w:ind w:left="850"/>
      <w:spacing w:after="57"/>
    </w:pPr>
  </w:style>
  <w:style w:type="paragraph" w:styleId="704">
    <w:name w:val="Subtitle"/>
    <w:basedOn w:val="690"/>
    <w:next w:val="690"/>
    <w:link w:val="746"/>
    <w:uiPriority w:val="11"/>
    <w:qFormat/>
    <w:pPr>
      <w:spacing w:before="200" w:after="200"/>
    </w:pPr>
    <w:rPr>
      <w:sz w:val="24"/>
      <w:szCs w:val="24"/>
    </w:rPr>
  </w:style>
  <w:style w:type="paragraph" w:styleId="705">
    <w:name w:val="footnote text"/>
    <w:basedOn w:val="690"/>
    <w:link w:val="879"/>
    <w:uiPriority w:val="99"/>
    <w:semiHidden/>
    <w:unhideWhenUsed/>
    <w:qFormat/>
    <w:pPr>
      <w:spacing w:after="40"/>
    </w:pPr>
    <w:rPr>
      <w:sz w:val="18"/>
    </w:rPr>
  </w:style>
  <w:style w:type="paragraph" w:styleId="706">
    <w:name w:val="toc 6"/>
    <w:basedOn w:val="690"/>
    <w:next w:val="690"/>
    <w:uiPriority w:val="39"/>
    <w:unhideWhenUsed/>
    <w:qFormat/>
    <w:pPr>
      <w:ind w:left="1417"/>
      <w:spacing w:after="57"/>
    </w:pPr>
  </w:style>
  <w:style w:type="paragraph" w:styleId="707">
    <w:name w:val="table of figures"/>
    <w:basedOn w:val="690"/>
    <w:next w:val="690"/>
    <w:uiPriority w:val="99"/>
    <w:unhideWhenUsed/>
    <w:qFormat/>
  </w:style>
  <w:style w:type="paragraph" w:styleId="708">
    <w:name w:val="toc 2"/>
    <w:basedOn w:val="690"/>
    <w:next w:val="690"/>
    <w:uiPriority w:val="39"/>
    <w:unhideWhenUsed/>
    <w:qFormat/>
    <w:pPr>
      <w:ind w:left="283"/>
      <w:spacing w:after="57"/>
    </w:pPr>
  </w:style>
  <w:style w:type="paragraph" w:styleId="709">
    <w:name w:val="toc 9"/>
    <w:basedOn w:val="690"/>
    <w:next w:val="690"/>
    <w:uiPriority w:val="39"/>
    <w:unhideWhenUsed/>
    <w:qFormat/>
    <w:pPr>
      <w:ind w:left="2268"/>
      <w:spacing w:after="57"/>
    </w:pPr>
  </w:style>
  <w:style w:type="paragraph" w:styleId="710">
    <w:name w:val="Title"/>
    <w:basedOn w:val="690"/>
    <w:next w:val="690"/>
    <w:link w:val="745"/>
    <w:uiPriority w:val="10"/>
    <w:qFormat/>
    <w:pPr>
      <w:contextualSpacing/>
      <w:spacing w:before="300" w:after="200"/>
    </w:pPr>
    <w:rPr>
      <w:sz w:val="48"/>
      <w:szCs w:val="48"/>
    </w:rPr>
  </w:style>
  <w:style w:type="table" w:styleId="71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endnote reference"/>
    <w:uiPriority w:val="99"/>
    <w:semiHidden/>
    <w:unhideWhenUsed/>
    <w:qFormat/>
    <w:rPr>
      <w:vertAlign w:val="superscript"/>
    </w:rPr>
  </w:style>
  <w:style w:type="character" w:styleId="713">
    <w:name w:val="Hyperlink"/>
    <w:uiPriority w:val="99"/>
    <w:unhideWhenUsed/>
    <w:qFormat/>
    <w:rPr>
      <w:color w:val="0000ff" w:themeColor="hyperlink"/>
      <w:u w:val="single"/>
      <w14:textFill>
        <w14:solidFill>
          <w14:schemeClr w14:val="hlink"/>
        </w14:solidFill>
      </w14:textFill>
    </w:rPr>
  </w:style>
  <w:style w:type="character" w:styleId="714">
    <w:name w:val="footnote reference"/>
    <w:uiPriority w:val="99"/>
    <w:unhideWhenUsed/>
    <w:qFormat/>
    <w:rPr>
      <w:vertAlign w:val="superscript"/>
    </w:rPr>
  </w:style>
  <w:style w:type="character" w:styleId="715" w:customStyle="1">
    <w:name w:val="Title Char"/>
    <w:basedOn w:val="691"/>
    <w:uiPriority w:val="10"/>
    <w:rPr>
      <w:sz w:val="48"/>
      <w:szCs w:val="48"/>
    </w:rPr>
  </w:style>
  <w:style w:type="character" w:styleId="716" w:customStyle="1">
    <w:name w:val="Subtitle Char"/>
    <w:basedOn w:val="691"/>
    <w:uiPriority w:val="11"/>
    <w:rPr>
      <w:sz w:val="24"/>
      <w:szCs w:val="24"/>
    </w:rPr>
  </w:style>
  <w:style w:type="character" w:styleId="717" w:customStyle="1">
    <w:name w:val="Quote Char"/>
    <w:uiPriority w:val="29"/>
    <w:rPr>
      <w:i/>
    </w:rPr>
  </w:style>
  <w:style w:type="character" w:styleId="718" w:customStyle="1">
    <w:name w:val="Intense Quote Char"/>
    <w:uiPriority w:val="30"/>
    <w:rPr>
      <w:i/>
    </w:rPr>
  </w:style>
  <w:style w:type="character" w:styleId="719" w:customStyle="1">
    <w:name w:val="Footnote Text Char"/>
    <w:uiPriority w:val="99"/>
    <w:rPr>
      <w:sz w:val="18"/>
    </w:rPr>
  </w:style>
  <w:style w:type="character" w:styleId="720" w:customStyle="1">
    <w:name w:val="Endnote Text Char"/>
    <w:uiPriority w:val="99"/>
    <w:rPr>
      <w:sz w:val="20"/>
    </w:rPr>
  </w:style>
  <w:style w:type="paragraph" w:styleId="721" w:customStyle="1">
    <w:name w:val="TOC Heading"/>
    <w:uiPriority w:val="39"/>
    <w:unhideWhenUsed/>
    <w:rPr>
      <w:rFonts w:hint="default" w:ascii="Times New Roman" w:hAnsi="Times New Roman" w:eastAsia="宋体" w:cs="Times New Roman"/>
    </w:rPr>
  </w:style>
  <w:style w:type="paragraph" w:styleId="722" w:customStyle="1">
    <w:name w:val="Heading 1"/>
    <w:basedOn w:val="690"/>
    <w:next w:val="690"/>
    <w:link w:val="734"/>
    <w:uiPriority w:val="9"/>
    <w:qFormat/>
    <w:pPr>
      <w:keepLines/>
      <w:keepNext/>
      <w:spacing w:before="480" w:after="200"/>
      <w:outlineLvl w:val="0"/>
    </w:pPr>
    <w:rPr>
      <w:rFonts w:ascii="Arial" w:hAnsi="Arial" w:eastAsia="Arial" w:cs="Arial"/>
      <w:sz w:val="40"/>
      <w:szCs w:val="40"/>
    </w:rPr>
  </w:style>
  <w:style w:type="paragraph" w:styleId="723" w:customStyle="1">
    <w:name w:val="Heading 2"/>
    <w:basedOn w:val="690"/>
    <w:next w:val="690"/>
    <w:link w:val="735"/>
    <w:uiPriority w:val="9"/>
    <w:unhideWhenUsed/>
    <w:qFormat/>
    <w:pPr>
      <w:keepLines/>
      <w:keepNext/>
      <w:spacing w:before="360" w:after="200"/>
      <w:outlineLvl w:val="1"/>
    </w:pPr>
    <w:rPr>
      <w:rFonts w:ascii="Arial" w:hAnsi="Arial" w:eastAsia="Arial" w:cs="Arial"/>
      <w:sz w:val="34"/>
    </w:rPr>
  </w:style>
  <w:style w:type="paragraph" w:styleId="724" w:customStyle="1">
    <w:name w:val="Heading 3"/>
    <w:basedOn w:val="690"/>
    <w:next w:val="690"/>
    <w:link w:val="736"/>
    <w:uiPriority w:val="9"/>
    <w:unhideWhenUsed/>
    <w:qFormat/>
    <w:pPr>
      <w:keepLines/>
      <w:keepNext/>
      <w:spacing w:before="320" w:after="200"/>
      <w:outlineLvl w:val="2"/>
    </w:pPr>
    <w:rPr>
      <w:rFonts w:ascii="Arial" w:hAnsi="Arial" w:eastAsia="Arial" w:cs="Arial"/>
      <w:sz w:val="30"/>
      <w:szCs w:val="30"/>
    </w:rPr>
  </w:style>
  <w:style w:type="paragraph" w:styleId="725" w:customStyle="1">
    <w:name w:val="Heading 4"/>
    <w:basedOn w:val="690"/>
    <w:next w:val="690"/>
    <w:link w:val="737"/>
    <w:uiPriority w:val="9"/>
    <w:unhideWhenUsed/>
    <w:qFormat/>
    <w:pPr>
      <w:keepLines/>
      <w:keepNext/>
      <w:spacing w:before="320" w:after="200"/>
      <w:outlineLvl w:val="3"/>
    </w:pPr>
    <w:rPr>
      <w:rFonts w:ascii="Arial" w:hAnsi="Arial" w:eastAsia="Arial" w:cs="Arial"/>
      <w:b/>
      <w:bCs/>
      <w:sz w:val="26"/>
      <w:szCs w:val="26"/>
    </w:rPr>
  </w:style>
  <w:style w:type="paragraph" w:styleId="726" w:customStyle="1">
    <w:name w:val="Heading 5"/>
    <w:basedOn w:val="690"/>
    <w:next w:val="690"/>
    <w:link w:val="738"/>
    <w:uiPriority w:val="9"/>
    <w:unhideWhenUsed/>
    <w:qFormat/>
    <w:pPr>
      <w:keepLines/>
      <w:keepNext/>
      <w:spacing w:before="320" w:after="200"/>
      <w:outlineLvl w:val="4"/>
    </w:pPr>
    <w:rPr>
      <w:rFonts w:ascii="Arial" w:hAnsi="Arial" w:eastAsia="Arial" w:cs="Arial"/>
      <w:b/>
      <w:bCs/>
      <w:sz w:val="24"/>
      <w:szCs w:val="24"/>
    </w:rPr>
  </w:style>
  <w:style w:type="paragraph" w:styleId="727" w:customStyle="1">
    <w:name w:val="Heading 6"/>
    <w:basedOn w:val="690"/>
    <w:next w:val="690"/>
    <w:link w:val="739"/>
    <w:uiPriority w:val="9"/>
    <w:unhideWhenUsed/>
    <w:qFormat/>
    <w:pPr>
      <w:keepLines/>
      <w:keepNext/>
      <w:spacing w:before="320" w:after="200"/>
      <w:outlineLvl w:val="5"/>
    </w:pPr>
    <w:rPr>
      <w:rFonts w:ascii="Arial" w:hAnsi="Arial" w:eastAsia="Arial" w:cs="Arial"/>
      <w:b/>
      <w:bCs/>
      <w:sz w:val="22"/>
    </w:rPr>
  </w:style>
  <w:style w:type="paragraph" w:styleId="728" w:customStyle="1">
    <w:name w:val="Heading 7"/>
    <w:basedOn w:val="690"/>
    <w:next w:val="690"/>
    <w:link w:val="740"/>
    <w:uiPriority w:val="9"/>
    <w:unhideWhenUsed/>
    <w:qFormat/>
    <w:pPr>
      <w:keepLines/>
      <w:keepNext/>
      <w:spacing w:before="320" w:after="200"/>
      <w:outlineLvl w:val="6"/>
    </w:pPr>
    <w:rPr>
      <w:rFonts w:ascii="Arial" w:hAnsi="Arial" w:eastAsia="Arial" w:cs="Arial"/>
      <w:b/>
      <w:bCs/>
      <w:i/>
      <w:iCs/>
      <w:sz w:val="22"/>
    </w:rPr>
  </w:style>
  <w:style w:type="paragraph" w:styleId="729" w:customStyle="1">
    <w:name w:val="Heading 8"/>
    <w:basedOn w:val="690"/>
    <w:next w:val="690"/>
    <w:link w:val="741"/>
    <w:uiPriority w:val="9"/>
    <w:unhideWhenUsed/>
    <w:qFormat/>
    <w:pPr>
      <w:keepLines/>
      <w:keepNext/>
      <w:spacing w:before="320" w:after="200"/>
      <w:outlineLvl w:val="7"/>
    </w:pPr>
    <w:rPr>
      <w:rFonts w:ascii="Arial" w:hAnsi="Arial" w:eastAsia="Arial" w:cs="Arial"/>
      <w:i/>
      <w:iCs/>
      <w:sz w:val="22"/>
    </w:rPr>
  </w:style>
  <w:style w:type="paragraph" w:styleId="730" w:customStyle="1">
    <w:name w:val="Heading 9"/>
    <w:basedOn w:val="690"/>
    <w:next w:val="690"/>
    <w:link w:val="742"/>
    <w:uiPriority w:val="9"/>
    <w:unhideWhenUsed/>
    <w:qFormat/>
    <w:pPr>
      <w:keepLines/>
      <w:keepNext/>
      <w:spacing w:before="320" w:after="200"/>
      <w:outlineLvl w:val="8"/>
    </w:pPr>
    <w:rPr>
      <w:rFonts w:ascii="Arial" w:hAnsi="Arial" w:eastAsia="Arial" w:cs="Arial"/>
      <w:i/>
      <w:iCs/>
      <w:szCs w:val="21"/>
    </w:rPr>
  </w:style>
  <w:style w:type="paragraph" w:styleId="731" w:customStyle="1">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customStyle="1">
    <w:name w:val="Footer"/>
    <w:basedOn w:val="690"/>
    <w:link w:val="753"/>
    <w:uiPriority w:val="99"/>
    <w:unhideWhenUsed/>
    <w:qFormat/>
    <w:pPr>
      <w:tabs>
        <w:tab w:val="center" w:pos="7143" w:leader="none"/>
        <w:tab w:val="right" w:pos="14287" w:leader="none"/>
      </w:tabs>
    </w:pPr>
  </w:style>
  <w:style w:type="paragraph" w:styleId="733" w:customStyle="1">
    <w:name w:val="Header"/>
    <w:basedOn w:val="690"/>
    <w:link w:val="751"/>
    <w:uiPriority w:val="99"/>
    <w:unhideWhenUsed/>
    <w:qFormat/>
    <w:pPr>
      <w:tabs>
        <w:tab w:val="center" w:pos="7143" w:leader="none"/>
        <w:tab w:val="right" w:pos="14287" w:leader="none"/>
      </w:tabs>
    </w:pPr>
  </w:style>
  <w:style w:type="character" w:styleId="734" w:customStyle="1">
    <w:name w:val="Heading 1 Char"/>
    <w:link w:val="722"/>
    <w:uiPriority w:val="9"/>
    <w:qFormat/>
    <w:rPr>
      <w:rFonts w:ascii="Arial" w:hAnsi="Arial" w:eastAsia="Arial" w:cs="Arial"/>
      <w:sz w:val="40"/>
      <w:szCs w:val="40"/>
    </w:rPr>
  </w:style>
  <w:style w:type="character" w:styleId="735" w:customStyle="1">
    <w:name w:val="Heading 2 Char"/>
    <w:link w:val="723"/>
    <w:uiPriority w:val="9"/>
    <w:qFormat/>
    <w:rPr>
      <w:rFonts w:ascii="Arial" w:hAnsi="Arial" w:eastAsia="Arial" w:cs="Arial"/>
      <w:sz w:val="34"/>
    </w:rPr>
  </w:style>
  <w:style w:type="character" w:styleId="736" w:customStyle="1">
    <w:name w:val="Heading 3 Char"/>
    <w:link w:val="724"/>
    <w:uiPriority w:val="9"/>
    <w:qFormat/>
    <w:rPr>
      <w:rFonts w:ascii="Arial" w:hAnsi="Arial" w:eastAsia="Arial" w:cs="Arial"/>
      <w:sz w:val="30"/>
      <w:szCs w:val="30"/>
    </w:rPr>
  </w:style>
  <w:style w:type="character" w:styleId="737" w:customStyle="1">
    <w:name w:val="Heading 4 Char"/>
    <w:link w:val="725"/>
    <w:uiPriority w:val="9"/>
    <w:qFormat/>
    <w:rPr>
      <w:rFonts w:ascii="Arial" w:hAnsi="Arial" w:eastAsia="Arial" w:cs="Arial"/>
      <w:b/>
      <w:bCs/>
      <w:sz w:val="26"/>
      <w:szCs w:val="26"/>
    </w:rPr>
  </w:style>
  <w:style w:type="character" w:styleId="738" w:customStyle="1">
    <w:name w:val="Heading 5 Char"/>
    <w:link w:val="726"/>
    <w:uiPriority w:val="9"/>
    <w:qFormat/>
    <w:rPr>
      <w:rFonts w:ascii="Arial" w:hAnsi="Arial" w:eastAsia="Arial" w:cs="Arial"/>
      <w:b/>
      <w:bCs/>
      <w:sz w:val="24"/>
      <w:szCs w:val="24"/>
    </w:rPr>
  </w:style>
  <w:style w:type="character" w:styleId="739" w:customStyle="1">
    <w:name w:val="Heading 6 Char"/>
    <w:link w:val="727"/>
    <w:uiPriority w:val="9"/>
    <w:qFormat/>
    <w:rPr>
      <w:rFonts w:ascii="Arial" w:hAnsi="Arial" w:eastAsia="Arial" w:cs="Arial"/>
      <w:b/>
      <w:bCs/>
      <w:sz w:val="22"/>
      <w:szCs w:val="22"/>
    </w:rPr>
  </w:style>
  <w:style w:type="character" w:styleId="740" w:customStyle="1">
    <w:name w:val="Heading 7 Char"/>
    <w:link w:val="728"/>
    <w:uiPriority w:val="9"/>
    <w:qFormat/>
    <w:rPr>
      <w:rFonts w:ascii="Arial" w:hAnsi="Arial" w:eastAsia="Arial" w:cs="Arial"/>
      <w:b/>
      <w:bCs/>
      <w:i/>
      <w:iCs/>
      <w:sz w:val="22"/>
      <w:szCs w:val="22"/>
    </w:rPr>
  </w:style>
  <w:style w:type="character" w:styleId="741" w:customStyle="1">
    <w:name w:val="Heading 8 Char"/>
    <w:link w:val="729"/>
    <w:uiPriority w:val="9"/>
    <w:qFormat/>
    <w:rPr>
      <w:rFonts w:ascii="Arial" w:hAnsi="Arial" w:eastAsia="Arial" w:cs="Arial"/>
      <w:i/>
      <w:iCs/>
      <w:sz w:val="22"/>
      <w:szCs w:val="22"/>
    </w:rPr>
  </w:style>
  <w:style w:type="character" w:styleId="742" w:customStyle="1">
    <w:name w:val="Heading 9 Char"/>
    <w:link w:val="730"/>
    <w:uiPriority w:val="9"/>
    <w:qFormat/>
    <w:rPr>
      <w:rFonts w:ascii="Arial" w:hAnsi="Arial" w:eastAsia="Arial" w:cs="Arial"/>
      <w:i/>
      <w:iCs/>
      <w:sz w:val="21"/>
      <w:szCs w:val="21"/>
    </w:rPr>
  </w:style>
  <w:style w:type="paragraph" w:styleId="743">
    <w:name w:val="List Paragraph"/>
    <w:basedOn w:val="690"/>
    <w:uiPriority w:val="34"/>
    <w:qFormat/>
    <w:pPr>
      <w:contextualSpacing/>
      <w:ind w:left="720"/>
    </w:pPr>
  </w:style>
  <w:style w:type="paragraph" w:styleId="744">
    <w:name w:val="No Spacing"/>
    <w:uiPriority w:val="1"/>
    <w:qFormat/>
    <w:rPr>
      <w:rFonts w:hint="default" w:ascii="Times New Roman" w:hAnsi="Times New Roman" w:eastAsia="宋体" w:cs="Times New Roman"/>
      <w:lang w:val="en-US" w:eastAsia="zh-CN" w:bidi="ar-SA"/>
    </w:rPr>
  </w:style>
  <w:style w:type="character" w:styleId="745" w:customStyle="1">
    <w:name w:val="标题 Char"/>
    <w:link w:val="710"/>
    <w:uiPriority w:val="10"/>
    <w:qFormat/>
    <w:rPr>
      <w:sz w:val="48"/>
      <w:szCs w:val="48"/>
    </w:rPr>
  </w:style>
  <w:style w:type="character" w:styleId="746" w:customStyle="1">
    <w:name w:val="副标题 Char"/>
    <w:link w:val="704"/>
    <w:uiPriority w:val="11"/>
    <w:qFormat/>
    <w:rPr>
      <w:sz w:val="24"/>
      <w:szCs w:val="24"/>
    </w:rPr>
  </w:style>
  <w:style w:type="paragraph" w:styleId="747">
    <w:name w:val="Quote"/>
    <w:basedOn w:val="690"/>
    <w:next w:val="690"/>
    <w:link w:val="748"/>
    <w:uiPriority w:val="29"/>
    <w:qFormat/>
    <w:pPr>
      <w:ind w:left="720" w:right="720"/>
    </w:pPr>
    <w:rPr>
      <w:i/>
    </w:rPr>
  </w:style>
  <w:style w:type="character" w:styleId="748" w:customStyle="1">
    <w:name w:val="引用 Char"/>
    <w:link w:val="747"/>
    <w:uiPriority w:val="29"/>
    <w:qFormat/>
    <w:rPr>
      <w:i/>
    </w:rPr>
  </w:style>
  <w:style w:type="paragraph" w:styleId="749">
    <w:name w:val="Intense Quote"/>
    <w:basedOn w:val="690"/>
    <w:next w:val="690"/>
    <w:link w:val="7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明显引用 Char"/>
    <w:link w:val="749"/>
    <w:uiPriority w:val="30"/>
    <w:qFormat/>
    <w:rPr>
      <w:i/>
    </w:rPr>
  </w:style>
  <w:style w:type="character" w:styleId="751" w:customStyle="1">
    <w:name w:val="Header Char"/>
    <w:link w:val="733"/>
    <w:uiPriority w:val="99"/>
    <w:qFormat/>
  </w:style>
  <w:style w:type="character" w:styleId="752" w:customStyle="1">
    <w:name w:val="Footer Char"/>
    <w:link w:val="732"/>
    <w:uiPriority w:val="99"/>
    <w:qFormat/>
  </w:style>
  <w:style w:type="character" w:styleId="753" w:customStyle="1">
    <w:name w:val="Caption Char"/>
    <w:link w:val="732"/>
    <w:uiPriority w:val="99"/>
    <w:qFormat/>
  </w:style>
  <w:style w:type="table" w:styleId="75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4"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6"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uiPriority w:val="99"/>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9" w:customStyle="1">
    <w:name w:val="脚注文本 Char"/>
    <w:link w:val="705"/>
    <w:uiPriority w:val="99"/>
    <w:qFormat/>
    <w:rPr>
      <w:sz w:val="18"/>
    </w:rPr>
  </w:style>
  <w:style w:type="character" w:styleId="880" w:customStyle="1">
    <w:name w:val="尾注文本 Char"/>
    <w:link w:val="698"/>
    <w:uiPriority w:val="99"/>
    <w:qFormat/>
    <w:rPr>
      <w:sz w:val="20"/>
    </w:rPr>
  </w:style>
  <w:style w:type="paragraph" w:styleId="881" w:customStyle="1">
    <w:name w:val="TOC 标题1"/>
    <w:uiPriority w:val="39"/>
    <w:unhideWhenUsed/>
    <w:qFormat/>
    <w:rPr>
      <w:rFonts w:hint="default" w:ascii="Times New Roman" w:hAnsi="Times New Roman" w:eastAsia="宋体" w:cs="Times New Roman"/>
      <w:lang w:val="en-US" w:eastAsia="zh-CN" w:bidi="ar-SA"/>
    </w:rPr>
  </w:style>
  <w:style w:type="paragraph" w:styleId="882" w:customStyle="1">
    <w:name w:val="标题 11"/>
    <w:basedOn w:val="690"/>
    <w:next w:val="690"/>
    <w:link w:val="894"/>
    <w:uiPriority w:val="0"/>
    <w:qFormat/>
    <w:pPr>
      <w:jc w:val="center"/>
      <w:keepNext/>
      <w:outlineLvl w:val="0"/>
    </w:pPr>
    <w:rPr>
      <w:rFonts w:ascii="楷体_GB2312" w:eastAsia="楷体_GB2312"/>
      <w:sz w:val="28"/>
      <w:szCs w:val="28"/>
    </w:rPr>
  </w:style>
  <w:style w:type="paragraph" w:styleId="883" w:customStyle="1">
    <w:name w:val="标题 21"/>
    <w:basedOn w:val="690"/>
    <w:next w:val="690"/>
    <w:link w:val="89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4" w:customStyle="1">
    <w:name w:val="标题 31"/>
    <w:basedOn w:val="690"/>
    <w:next w:val="690"/>
    <w:link w:val="896"/>
    <w:uiPriority w:val="0"/>
    <w:qFormat/>
    <w:pPr>
      <w:keepLines/>
      <w:keepNext/>
      <w:spacing w:before="260" w:after="260" w:line="416" w:lineRule="auto"/>
      <w:outlineLvl w:val="2"/>
    </w:pPr>
    <w:rPr>
      <w:b/>
      <w:bCs/>
      <w:sz w:val="32"/>
      <w:szCs w:val="32"/>
    </w:rPr>
  </w:style>
  <w:style w:type="paragraph" w:styleId="885" w:customStyle="1">
    <w:name w:val="标题 41"/>
    <w:basedOn w:val="884"/>
    <w:next w:val="690"/>
    <w:link w:val="897"/>
    <w:uiPriority w:val="0"/>
    <w:qFormat/>
    <w:pPr>
      <w:spacing w:before="280" w:after="290" w:line="376" w:lineRule="auto"/>
      <w:outlineLvl w:val="3"/>
    </w:pPr>
    <w:rPr>
      <w:rFonts w:ascii="Arial" w:hAnsi="Arial" w:eastAsia="黑体" w:cs="Arial"/>
      <w:b w:val="0"/>
      <w:bCs w:val="0"/>
      <w:sz w:val="28"/>
      <w:szCs w:val="28"/>
    </w:rPr>
  </w:style>
  <w:style w:type="paragraph" w:styleId="886" w:customStyle="1">
    <w:name w:val="标题 51"/>
    <w:basedOn w:val="690"/>
    <w:next w:val="887"/>
    <w:link w:val="898"/>
    <w:uiPriority w:val="0"/>
    <w:qFormat/>
    <w:pPr>
      <w:keepNext/>
      <w:outlineLvl w:val="4"/>
    </w:pPr>
    <w:rPr>
      <w:rFonts w:ascii="宋体"/>
      <w:color w:val="000000"/>
      <w:sz w:val="28"/>
      <w:szCs w:val="28"/>
    </w:rPr>
  </w:style>
  <w:style w:type="paragraph" w:styleId="887" w:customStyle="1">
    <w:name w:val="正文缩进1"/>
    <w:basedOn w:val="690"/>
    <w:link w:val="899"/>
    <w:uiPriority w:val="0"/>
    <w:qFormat/>
    <w:pPr>
      <w:ind w:firstLine="420"/>
    </w:pPr>
    <w:rPr>
      <w:szCs w:val="21"/>
    </w:rPr>
  </w:style>
  <w:style w:type="paragraph" w:styleId="888" w:customStyle="1">
    <w:name w:val="标题 61"/>
    <w:basedOn w:val="690"/>
    <w:next w:val="690"/>
    <w:link w:val="90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9" w:customStyle="1">
    <w:name w:val="标题 71"/>
    <w:basedOn w:val="690"/>
    <w:next w:val="690"/>
    <w:link w:val="901"/>
    <w:uiPriority w:val="0"/>
    <w:qFormat/>
    <w:pPr>
      <w:numPr>
        <w:ilvl w:val="6"/>
        <w:numId w:val="1"/>
      </w:numPr>
      <w:keepLines/>
      <w:keepNext/>
      <w:spacing w:before="240" w:after="64" w:line="320" w:lineRule="auto"/>
      <w:outlineLvl w:val="6"/>
    </w:pPr>
    <w:rPr>
      <w:b/>
      <w:bCs/>
      <w:sz w:val="24"/>
      <w:szCs w:val="24"/>
    </w:rPr>
  </w:style>
  <w:style w:type="paragraph" w:styleId="890" w:customStyle="1">
    <w:name w:val="标题 81"/>
    <w:basedOn w:val="690"/>
    <w:next w:val="690"/>
    <w:link w:val="90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1" w:customStyle="1">
    <w:name w:val="标题 91"/>
    <w:basedOn w:val="690"/>
    <w:next w:val="690"/>
    <w:link w:val="903"/>
    <w:uiPriority w:val="0"/>
    <w:qFormat/>
    <w:pPr>
      <w:numPr>
        <w:ilvl w:val="8"/>
        <w:numId w:val="1"/>
      </w:numPr>
      <w:keepLines/>
      <w:keepNext/>
      <w:spacing w:before="240" w:after="64" w:line="320" w:lineRule="auto"/>
      <w:outlineLvl w:val="8"/>
    </w:pPr>
    <w:rPr>
      <w:rFonts w:ascii="Arial" w:hAnsi="Arial" w:eastAsia="黑体"/>
      <w:szCs w:val="21"/>
    </w:rPr>
  </w:style>
  <w:style w:type="character" w:styleId="892" w:customStyle="1">
    <w:name w:val="默认段落字体1"/>
    <w:uiPriority w:val="1"/>
    <w:unhideWhenUsed/>
    <w:qFormat/>
  </w:style>
  <w:style w:type="table" w:styleId="893" w:customStyle="1">
    <w:name w:val="普通表格1"/>
    <w:uiPriority w:val="99"/>
    <w:unhideWhenUsed/>
    <w:qFormat/>
    <w:tblPr>
      <w:tblCellMar>
        <w:left w:w="0" w:type="dxa"/>
        <w:top w:w="0" w:type="dxa"/>
        <w:right w:w="0" w:type="dxa"/>
        <w:bottom w:w="0" w:type="dxa"/>
      </w:tblCellMar>
    </w:tblPr>
  </w:style>
  <w:style w:type="character" w:styleId="894" w:customStyle="1">
    <w:name w:val="标题 1 字符"/>
    <w:link w:val="882"/>
    <w:uiPriority w:val="0"/>
    <w:qFormat/>
    <w:rPr>
      <w:rFonts w:ascii="楷体_GB2312" w:hAnsi="Times New Roman" w:eastAsia="楷体_GB2312" w:cs="Times New Roman"/>
      <w:sz w:val="28"/>
      <w:szCs w:val="28"/>
    </w:rPr>
  </w:style>
  <w:style w:type="character" w:styleId="895" w:customStyle="1">
    <w:name w:val="标题 2 字符"/>
    <w:link w:val="883"/>
    <w:uiPriority w:val="0"/>
    <w:qFormat/>
    <w:rPr>
      <w:rFonts w:ascii="Arial" w:hAnsi="Arial" w:eastAsia="幼圆" w:cs="Arial"/>
      <w:b/>
      <w:bCs/>
      <w:sz w:val="44"/>
      <w:szCs w:val="44"/>
    </w:rPr>
  </w:style>
  <w:style w:type="character" w:styleId="896" w:customStyle="1">
    <w:name w:val="标题 3 字符"/>
    <w:link w:val="884"/>
    <w:uiPriority w:val="0"/>
    <w:qFormat/>
    <w:rPr>
      <w:rFonts w:ascii="Times New Roman" w:hAnsi="Times New Roman" w:eastAsia="宋体" w:cs="Times New Roman"/>
      <w:b/>
      <w:bCs/>
      <w:sz w:val="32"/>
      <w:szCs w:val="32"/>
    </w:rPr>
  </w:style>
  <w:style w:type="character" w:styleId="897" w:customStyle="1">
    <w:name w:val="标题 4 字符"/>
    <w:link w:val="885"/>
    <w:uiPriority w:val="0"/>
    <w:qFormat/>
    <w:rPr>
      <w:rFonts w:ascii="Arial" w:hAnsi="Arial" w:eastAsia="黑体" w:cs="Arial"/>
      <w:b/>
      <w:bCs/>
      <w:sz w:val="28"/>
      <w:szCs w:val="28"/>
    </w:rPr>
  </w:style>
  <w:style w:type="character" w:styleId="898" w:customStyle="1">
    <w:name w:val="标题 5 字符"/>
    <w:link w:val="886"/>
    <w:uiPriority w:val="0"/>
    <w:qFormat/>
    <w:rPr>
      <w:rFonts w:ascii="宋体" w:hAnsi="Times New Roman" w:eastAsia="宋体" w:cs="Times New Roman"/>
      <w:color w:val="000000"/>
      <w:sz w:val="28"/>
      <w:szCs w:val="28"/>
    </w:rPr>
  </w:style>
  <w:style w:type="character" w:styleId="899" w:customStyle="1">
    <w:name w:val="正文缩进 字符"/>
    <w:link w:val="887"/>
    <w:uiPriority w:val="0"/>
    <w:qFormat/>
    <w:rPr>
      <w:szCs w:val="21"/>
    </w:rPr>
  </w:style>
  <w:style w:type="character" w:styleId="900" w:customStyle="1">
    <w:name w:val="标题 6 字符"/>
    <w:link w:val="888"/>
    <w:uiPriority w:val="0"/>
    <w:qFormat/>
    <w:rPr>
      <w:rFonts w:ascii="Arial" w:hAnsi="Arial" w:eastAsia="黑体" w:cs="Times New Roman"/>
      <w:b/>
      <w:bCs/>
      <w:sz w:val="24"/>
      <w:szCs w:val="24"/>
    </w:rPr>
  </w:style>
  <w:style w:type="character" w:styleId="901" w:customStyle="1">
    <w:name w:val="标题 7 字符"/>
    <w:link w:val="889"/>
    <w:uiPriority w:val="0"/>
    <w:qFormat/>
    <w:rPr>
      <w:rFonts w:ascii="Times New Roman" w:hAnsi="Times New Roman" w:eastAsia="宋体" w:cs="Times New Roman"/>
      <w:b/>
      <w:bCs/>
      <w:sz w:val="24"/>
      <w:szCs w:val="24"/>
    </w:rPr>
  </w:style>
  <w:style w:type="character" w:styleId="902" w:customStyle="1">
    <w:name w:val="标题 8 字符"/>
    <w:link w:val="890"/>
    <w:uiPriority w:val="0"/>
    <w:qFormat/>
    <w:rPr>
      <w:rFonts w:ascii="Arial" w:hAnsi="Arial" w:eastAsia="黑体" w:cs="Times New Roman"/>
      <w:sz w:val="24"/>
      <w:szCs w:val="24"/>
    </w:rPr>
  </w:style>
  <w:style w:type="character" w:styleId="903" w:customStyle="1">
    <w:name w:val="标题 9 字符"/>
    <w:link w:val="891"/>
    <w:uiPriority w:val="0"/>
    <w:qFormat/>
    <w:rPr>
      <w:rFonts w:ascii="Arial" w:hAnsi="Arial" w:eastAsia="黑体" w:cs="Times New Roman"/>
      <w:szCs w:val="21"/>
    </w:rPr>
  </w:style>
  <w:style w:type="paragraph" w:styleId="904" w:customStyle="1">
    <w:name w:val="列表 31"/>
    <w:basedOn w:val="690"/>
    <w:uiPriority w:val="0"/>
    <w:qFormat/>
    <w:pPr>
      <w:ind w:left="100" w:hanging="200"/>
    </w:pPr>
    <w:rPr>
      <w:szCs w:val="21"/>
    </w:rPr>
  </w:style>
  <w:style w:type="paragraph" w:styleId="905" w:customStyle="1">
    <w:name w:val="目录 71"/>
    <w:basedOn w:val="690"/>
    <w:next w:val="690"/>
    <w:uiPriority w:val="0"/>
    <w:semiHidden/>
    <w:qFormat/>
    <w:pPr>
      <w:ind w:left="1260"/>
      <w:jc w:val="left"/>
    </w:pPr>
    <w:rPr>
      <w:szCs w:val="21"/>
    </w:rPr>
  </w:style>
  <w:style w:type="paragraph" w:styleId="906" w:customStyle="1">
    <w:name w:val="文档结构图1"/>
    <w:basedOn w:val="690"/>
    <w:link w:val="907"/>
    <w:uiPriority w:val="0"/>
    <w:semiHidden/>
    <w:qFormat/>
    <w:pPr>
      <w:shd w:val="clear" w:color="auto" w:fill="000080"/>
    </w:pPr>
    <w:rPr>
      <w:szCs w:val="21"/>
    </w:rPr>
  </w:style>
  <w:style w:type="character" w:styleId="907" w:customStyle="1">
    <w:name w:val="文档结构图 字符"/>
    <w:link w:val="906"/>
    <w:uiPriority w:val="0"/>
    <w:semiHidden/>
    <w:qFormat/>
    <w:rPr>
      <w:rFonts w:ascii="Times New Roman" w:hAnsi="Times New Roman" w:eastAsia="宋体" w:cs="Times New Roman"/>
      <w:szCs w:val="21"/>
      <w:shd w:val="clear" w:color="auto" w:fill="000080"/>
    </w:rPr>
  </w:style>
  <w:style w:type="paragraph" w:styleId="908" w:customStyle="1">
    <w:name w:val="批注文字1"/>
    <w:basedOn w:val="690"/>
    <w:link w:val="909"/>
    <w:uiPriority w:val="0"/>
    <w:unhideWhenUsed/>
    <w:qFormat/>
    <w:pPr>
      <w:jc w:val="left"/>
    </w:pPr>
  </w:style>
  <w:style w:type="character" w:styleId="909" w:customStyle="1">
    <w:name w:val="批注文字 字符"/>
    <w:link w:val="908"/>
    <w:uiPriority w:val="99"/>
    <w:semiHidden/>
    <w:qFormat/>
  </w:style>
  <w:style w:type="paragraph" w:styleId="910" w:customStyle="1">
    <w:name w:val="正文文本 31"/>
    <w:basedOn w:val="690"/>
    <w:link w:val="911"/>
    <w:uiPriority w:val="0"/>
    <w:qFormat/>
    <w:rPr>
      <w:rFonts w:ascii="仿宋_GB2312" w:hAnsi="Arial" w:eastAsia="仿宋_GB2312"/>
      <w:sz w:val="32"/>
      <w:szCs w:val="32"/>
    </w:rPr>
  </w:style>
  <w:style w:type="character" w:styleId="911" w:customStyle="1">
    <w:name w:val="正文文本 3 字符"/>
    <w:link w:val="910"/>
    <w:uiPriority w:val="0"/>
    <w:qFormat/>
    <w:rPr>
      <w:rFonts w:ascii="仿宋_GB2312" w:hAnsi="Arial" w:eastAsia="仿宋_GB2312" w:cs="Times New Roman"/>
      <w:sz w:val="32"/>
      <w:szCs w:val="32"/>
    </w:rPr>
  </w:style>
  <w:style w:type="paragraph" w:styleId="912" w:customStyle="1">
    <w:name w:val="正文文本1"/>
    <w:basedOn w:val="690"/>
    <w:link w:val="913"/>
    <w:uiPriority w:val="0"/>
    <w:qFormat/>
    <w:rPr>
      <w:rFonts w:ascii="楷体_GB2312" w:hAnsi="Arial" w:eastAsia="楷体_GB2312"/>
      <w:sz w:val="28"/>
      <w:szCs w:val="28"/>
    </w:rPr>
  </w:style>
  <w:style w:type="character" w:styleId="913" w:customStyle="1">
    <w:name w:val="正文文本 字符"/>
    <w:link w:val="912"/>
    <w:uiPriority w:val="0"/>
    <w:qFormat/>
    <w:rPr>
      <w:rFonts w:ascii="楷体_GB2312" w:hAnsi="Arial" w:eastAsia="楷体_GB2312" w:cs="Times New Roman"/>
      <w:sz w:val="28"/>
      <w:szCs w:val="28"/>
    </w:rPr>
  </w:style>
  <w:style w:type="paragraph" w:styleId="914" w:customStyle="1">
    <w:name w:val="正文文本缩进1"/>
    <w:basedOn w:val="690"/>
    <w:link w:val="915"/>
    <w:uiPriority w:val="0"/>
    <w:unhideWhenUsed/>
    <w:qFormat/>
    <w:pPr>
      <w:ind w:left="420"/>
      <w:spacing w:after="120"/>
    </w:pPr>
  </w:style>
  <w:style w:type="character" w:styleId="915" w:customStyle="1">
    <w:name w:val="正文文本缩进 字符"/>
    <w:link w:val="914"/>
    <w:uiPriority w:val="99"/>
    <w:semiHidden/>
    <w:qFormat/>
  </w:style>
  <w:style w:type="paragraph" w:styleId="916" w:customStyle="1">
    <w:name w:val="列表 21"/>
    <w:basedOn w:val="690"/>
    <w:uiPriority w:val="0"/>
    <w:qFormat/>
    <w:pPr>
      <w:ind w:left="100" w:hanging="200"/>
    </w:pPr>
    <w:rPr>
      <w:szCs w:val="21"/>
    </w:rPr>
  </w:style>
  <w:style w:type="paragraph" w:styleId="917" w:customStyle="1">
    <w:name w:val="目录 51"/>
    <w:basedOn w:val="690"/>
    <w:next w:val="690"/>
    <w:uiPriority w:val="0"/>
    <w:semiHidden/>
    <w:qFormat/>
    <w:pPr>
      <w:ind w:left="840"/>
      <w:jc w:val="left"/>
    </w:pPr>
    <w:rPr>
      <w:szCs w:val="21"/>
    </w:rPr>
  </w:style>
  <w:style w:type="paragraph" w:styleId="918" w:customStyle="1">
    <w:name w:val="目录 31"/>
    <w:basedOn w:val="690"/>
    <w:next w:val="690"/>
    <w:uiPriority w:val="0"/>
    <w:semiHidden/>
    <w:qFormat/>
    <w:pPr>
      <w:ind w:left="420"/>
      <w:jc w:val="left"/>
    </w:pPr>
    <w:rPr>
      <w:i/>
      <w:iCs/>
      <w:szCs w:val="24"/>
    </w:rPr>
  </w:style>
  <w:style w:type="paragraph" w:styleId="919" w:customStyle="1">
    <w:name w:val="纯文本1"/>
    <w:basedOn w:val="690"/>
    <w:link w:val="920"/>
    <w:uiPriority w:val="0"/>
    <w:qFormat/>
    <w:rPr>
      <w:rFonts w:ascii="宋体" w:hAnsi="Courier New" w:cs="Courier New"/>
      <w:szCs w:val="21"/>
    </w:rPr>
  </w:style>
  <w:style w:type="character" w:styleId="920" w:customStyle="1">
    <w:name w:val="纯文本 字符"/>
    <w:link w:val="919"/>
    <w:uiPriority w:val="0"/>
    <w:qFormat/>
    <w:rPr>
      <w:rFonts w:ascii="宋体" w:hAnsi="Courier New" w:eastAsia="宋体" w:cs="Courier New"/>
      <w:szCs w:val="21"/>
    </w:rPr>
  </w:style>
  <w:style w:type="paragraph" w:styleId="921" w:customStyle="1">
    <w:name w:val="目录 81"/>
    <w:basedOn w:val="690"/>
    <w:next w:val="690"/>
    <w:uiPriority w:val="0"/>
    <w:semiHidden/>
    <w:qFormat/>
    <w:pPr>
      <w:ind w:left="1470"/>
      <w:jc w:val="left"/>
    </w:pPr>
    <w:rPr>
      <w:szCs w:val="21"/>
    </w:rPr>
  </w:style>
  <w:style w:type="paragraph" w:styleId="922" w:customStyle="1">
    <w:name w:val="日期1"/>
    <w:basedOn w:val="690"/>
    <w:next w:val="690"/>
    <w:link w:val="923"/>
    <w:uiPriority w:val="0"/>
    <w:qFormat/>
    <w:rPr>
      <w:sz w:val="24"/>
      <w:szCs w:val="24"/>
    </w:rPr>
  </w:style>
  <w:style w:type="character" w:styleId="923" w:customStyle="1">
    <w:name w:val="日期 字符"/>
    <w:link w:val="922"/>
    <w:uiPriority w:val="0"/>
    <w:qFormat/>
    <w:rPr>
      <w:rFonts w:ascii="Times New Roman" w:hAnsi="Times New Roman" w:eastAsia="宋体" w:cs="Times New Roman"/>
      <w:sz w:val="24"/>
      <w:szCs w:val="24"/>
    </w:rPr>
  </w:style>
  <w:style w:type="paragraph" w:styleId="924" w:customStyle="1">
    <w:name w:val="正文文本缩进 21"/>
    <w:basedOn w:val="690"/>
    <w:link w:val="925"/>
    <w:uiPriority w:val="0"/>
    <w:qFormat/>
    <w:pPr>
      <w:ind w:left="630" w:firstLine="645"/>
    </w:pPr>
    <w:rPr>
      <w:rFonts w:ascii="Arial" w:hAnsi="Arial" w:eastAsia="仿宋_GB2312" w:cs="Arial"/>
      <w:sz w:val="32"/>
      <w:szCs w:val="32"/>
    </w:rPr>
  </w:style>
  <w:style w:type="character" w:styleId="925" w:customStyle="1">
    <w:name w:val="正文文本缩进 2 字符"/>
    <w:link w:val="924"/>
    <w:uiPriority w:val="0"/>
    <w:qFormat/>
    <w:rPr>
      <w:rFonts w:ascii="Arial" w:hAnsi="Arial" w:eastAsia="仿宋_GB2312" w:cs="Arial"/>
      <w:sz w:val="32"/>
      <w:szCs w:val="32"/>
    </w:rPr>
  </w:style>
  <w:style w:type="paragraph" w:styleId="926" w:customStyle="1">
    <w:name w:val="批注框文本1"/>
    <w:basedOn w:val="690"/>
    <w:link w:val="927"/>
    <w:uiPriority w:val="0"/>
    <w:semiHidden/>
    <w:qFormat/>
    <w:rPr>
      <w:sz w:val="18"/>
      <w:szCs w:val="18"/>
    </w:rPr>
  </w:style>
  <w:style w:type="character" w:styleId="927" w:customStyle="1">
    <w:name w:val="批注框文本 字符"/>
    <w:link w:val="926"/>
    <w:uiPriority w:val="0"/>
    <w:semiHidden/>
    <w:qFormat/>
    <w:rPr>
      <w:rFonts w:ascii="Times New Roman" w:hAnsi="Times New Roman" w:eastAsia="宋体" w:cs="Times New Roman"/>
      <w:sz w:val="18"/>
      <w:szCs w:val="18"/>
    </w:rPr>
  </w:style>
  <w:style w:type="paragraph" w:styleId="928" w:customStyle="1">
    <w:name w:val="页脚1"/>
    <w:basedOn w:val="690"/>
    <w:link w:val="929"/>
    <w:uiPriority w:val="99"/>
    <w:qFormat/>
    <w:pPr>
      <w:jc w:val="left"/>
      <w:tabs>
        <w:tab w:val="center" w:pos="4153" w:leader="none"/>
        <w:tab w:val="right" w:pos="8306" w:leader="none"/>
      </w:tabs>
    </w:pPr>
    <w:rPr>
      <w:sz w:val="18"/>
      <w:szCs w:val="18"/>
    </w:rPr>
  </w:style>
  <w:style w:type="character" w:styleId="929" w:customStyle="1">
    <w:name w:val="页脚 字符"/>
    <w:link w:val="928"/>
    <w:uiPriority w:val="99"/>
    <w:qFormat/>
    <w:rPr>
      <w:rFonts w:ascii="Times New Roman" w:hAnsi="Times New Roman" w:eastAsia="宋体" w:cs="Times New Roman"/>
      <w:sz w:val="18"/>
      <w:szCs w:val="18"/>
    </w:rPr>
  </w:style>
  <w:style w:type="paragraph" w:styleId="930" w:customStyle="1">
    <w:name w:val="页眉1"/>
    <w:basedOn w:val="690"/>
    <w:link w:val="931"/>
    <w:uiPriority w:val="0"/>
    <w:qFormat/>
    <w:pPr>
      <w:jc w:val="center"/>
      <w:tabs>
        <w:tab w:val="center" w:pos="4153" w:leader="none"/>
        <w:tab w:val="right" w:pos="8306" w:leader="none"/>
      </w:tabs>
      <w:pBdr>
        <w:bottom w:val="single" w:color="000000" w:sz="6" w:space="1"/>
      </w:pBdr>
    </w:pPr>
    <w:rPr>
      <w:sz w:val="18"/>
      <w:szCs w:val="18"/>
    </w:rPr>
  </w:style>
  <w:style w:type="character" w:styleId="931" w:customStyle="1">
    <w:name w:val="页眉 字符"/>
    <w:link w:val="930"/>
    <w:uiPriority w:val="0"/>
    <w:qFormat/>
    <w:rPr>
      <w:rFonts w:ascii="Times New Roman" w:hAnsi="Times New Roman" w:eastAsia="宋体" w:cs="Times New Roman"/>
      <w:sz w:val="18"/>
      <w:szCs w:val="18"/>
    </w:rPr>
  </w:style>
  <w:style w:type="paragraph" w:styleId="932" w:customStyle="1">
    <w:name w:val="目录 11"/>
    <w:basedOn w:val="690"/>
    <w:next w:val="690"/>
    <w:uiPriority w:val="0"/>
    <w:semiHidden/>
    <w:qFormat/>
    <w:pPr>
      <w:jc w:val="left"/>
      <w:spacing w:before="120" w:after="120" w:line="400" w:lineRule="exact"/>
      <w:tabs>
        <w:tab w:val="right" w:pos="8720" w:leader="dot"/>
      </w:tabs>
    </w:pPr>
    <w:rPr>
      <w:rFonts w:ascii="宋体" w:hAnsi="宋体"/>
      <w:caps/>
      <w:sz w:val="24"/>
      <w:szCs w:val="24"/>
    </w:rPr>
  </w:style>
  <w:style w:type="paragraph" w:styleId="933" w:customStyle="1">
    <w:name w:val="目录 41"/>
    <w:basedOn w:val="690"/>
    <w:next w:val="690"/>
    <w:uiPriority w:val="0"/>
    <w:semiHidden/>
    <w:qFormat/>
    <w:pPr>
      <w:ind w:left="630"/>
      <w:jc w:val="left"/>
    </w:pPr>
    <w:rPr>
      <w:szCs w:val="21"/>
    </w:rPr>
  </w:style>
  <w:style w:type="paragraph" w:styleId="934" w:customStyle="1">
    <w:name w:val="列表1"/>
    <w:basedOn w:val="690"/>
    <w:uiPriority w:val="0"/>
    <w:qFormat/>
    <w:pPr>
      <w:ind w:left="200" w:hanging="200"/>
    </w:pPr>
    <w:rPr>
      <w:szCs w:val="21"/>
    </w:rPr>
  </w:style>
  <w:style w:type="paragraph" w:styleId="935" w:customStyle="1">
    <w:name w:val="目录 61"/>
    <w:basedOn w:val="690"/>
    <w:next w:val="690"/>
    <w:uiPriority w:val="0"/>
    <w:semiHidden/>
    <w:qFormat/>
    <w:pPr>
      <w:ind w:left="1050"/>
      <w:jc w:val="left"/>
    </w:pPr>
    <w:rPr>
      <w:szCs w:val="21"/>
    </w:rPr>
  </w:style>
  <w:style w:type="paragraph" w:styleId="936" w:customStyle="1">
    <w:name w:val="正文文本缩进 31"/>
    <w:basedOn w:val="690"/>
    <w:link w:val="937"/>
    <w:uiPriority w:val="0"/>
    <w:qFormat/>
    <w:pPr>
      <w:ind w:left="645" w:firstLine="645"/>
    </w:pPr>
    <w:rPr>
      <w:rFonts w:ascii="Arial" w:hAnsi="Arial" w:eastAsia="仿宋_GB2312" w:cs="Arial"/>
      <w:color w:val="ffff00"/>
      <w:sz w:val="32"/>
      <w:szCs w:val="32"/>
    </w:rPr>
  </w:style>
  <w:style w:type="character" w:styleId="937" w:customStyle="1">
    <w:name w:val="正文文本缩进 3 字符"/>
    <w:link w:val="936"/>
    <w:uiPriority w:val="0"/>
    <w:qFormat/>
    <w:rPr>
      <w:rFonts w:ascii="Arial" w:hAnsi="Arial" w:eastAsia="仿宋_GB2312" w:cs="Arial"/>
      <w:color w:val="ffff00"/>
      <w:sz w:val="32"/>
      <w:szCs w:val="32"/>
    </w:rPr>
  </w:style>
  <w:style w:type="paragraph" w:styleId="938" w:customStyle="1">
    <w:name w:val="图表目录1"/>
    <w:basedOn w:val="690"/>
    <w:next w:val="690"/>
    <w:uiPriority w:val="0"/>
    <w:semiHidden/>
    <w:qFormat/>
    <w:pPr>
      <w:ind w:left="840" w:hanging="420"/>
    </w:pPr>
    <w:rPr>
      <w:szCs w:val="21"/>
    </w:rPr>
  </w:style>
  <w:style w:type="paragraph" w:styleId="939" w:customStyle="1">
    <w:name w:val="目录 21"/>
    <w:basedOn w:val="690"/>
    <w:next w:val="690"/>
    <w:uiPriority w:val="0"/>
    <w:semiHidden/>
    <w:qFormat/>
    <w:pPr>
      <w:ind w:left="210"/>
      <w:jc w:val="left"/>
    </w:pPr>
    <w:rPr>
      <w:smallCaps/>
      <w:szCs w:val="24"/>
    </w:rPr>
  </w:style>
  <w:style w:type="paragraph" w:styleId="940" w:customStyle="1">
    <w:name w:val="目录 91"/>
    <w:basedOn w:val="690"/>
    <w:next w:val="690"/>
    <w:uiPriority w:val="0"/>
    <w:semiHidden/>
    <w:qFormat/>
    <w:pPr>
      <w:ind w:left="1680"/>
      <w:jc w:val="left"/>
    </w:pPr>
    <w:rPr>
      <w:szCs w:val="21"/>
    </w:rPr>
  </w:style>
  <w:style w:type="paragraph" w:styleId="941" w:customStyle="1">
    <w:name w:val="正文文本 21"/>
    <w:basedOn w:val="690"/>
    <w:link w:val="942"/>
    <w:uiPriority w:val="0"/>
    <w:qFormat/>
    <w:pPr>
      <w:jc w:val="center"/>
      <w:widowControl/>
    </w:pPr>
    <w:rPr>
      <w:rFonts w:ascii="楷体_GB2312" w:eastAsia="楷体_GB2312"/>
      <w:sz w:val="28"/>
      <w:szCs w:val="28"/>
    </w:rPr>
  </w:style>
  <w:style w:type="character" w:styleId="942" w:customStyle="1">
    <w:name w:val="正文文本 2 字符"/>
    <w:link w:val="941"/>
    <w:uiPriority w:val="0"/>
    <w:qFormat/>
    <w:rPr>
      <w:rFonts w:ascii="楷体_GB2312" w:hAnsi="Times New Roman" w:eastAsia="楷体_GB2312" w:cs="Times New Roman"/>
      <w:sz w:val="28"/>
      <w:szCs w:val="28"/>
    </w:rPr>
  </w:style>
  <w:style w:type="paragraph" w:styleId="943" w:customStyle="1">
    <w:name w:val="普通(网站)1"/>
    <w:basedOn w:val="690"/>
    <w:uiPriority w:val="99"/>
    <w:qFormat/>
    <w:pPr>
      <w:jc w:val="left"/>
      <w:spacing w:before="100" w:beforeAutospacing="1" w:after="100" w:afterAutospacing="1"/>
      <w:widowControl/>
    </w:pPr>
    <w:rPr>
      <w:rFonts w:ascii="宋体" w:hAnsi="宋体" w:cs="宋体"/>
      <w:sz w:val="24"/>
      <w:szCs w:val="24"/>
    </w:rPr>
  </w:style>
  <w:style w:type="paragraph" w:styleId="944" w:customStyle="1">
    <w:name w:val="索引 11"/>
    <w:basedOn w:val="690"/>
    <w:next w:val="690"/>
    <w:uiPriority w:val="0"/>
    <w:semiHidden/>
    <w:qFormat/>
    <w:pPr>
      <w:spacing w:line="240" w:lineRule="atLeast"/>
    </w:pPr>
    <w:rPr>
      <w:b/>
      <w:bCs/>
      <w:szCs w:val="21"/>
    </w:rPr>
  </w:style>
  <w:style w:type="paragraph" w:styleId="945" w:customStyle="1">
    <w:name w:val="批注主题1"/>
    <w:basedOn w:val="908"/>
    <w:next w:val="908"/>
    <w:link w:val="946"/>
    <w:uiPriority w:val="0"/>
    <w:semiHidden/>
    <w:qFormat/>
    <w:rPr>
      <w:b/>
      <w:bCs/>
      <w:szCs w:val="21"/>
    </w:rPr>
  </w:style>
  <w:style w:type="character" w:styleId="946" w:customStyle="1">
    <w:name w:val="批注主题 字符"/>
    <w:link w:val="945"/>
    <w:uiPriority w:val="0"/>
    <w:semiHidden/>
    <w:qFormat/>
    <w:rPr>
      <w:rFonts w:ascii="Times New Roman" w:hAnsi="Times New Roman" w:eastAsia="宋体" w:cs="Times New Roman"/>
      <w:b/>
      <w:bCs/>
      <w:szCs w:val="21"/>
    </w:rPr>
  </w:style>
  <w:style w:type="paragraph" w:styleId="947" w:customStyle="1">
    <w:name w:val="正文首行缩进1"/>
    <w:basedOn w:val="690"/>
    <w:link w:val="948"/>
    <w:uiPriority w:val="0"/>
    <w:qFormat/>
    <w:pPr>
      <w:ind w:firstLine="200"/>
      <w:spacing w:line="360" w:lineRule="auto"/>
    </w:pPr>
    <w:rPr>
      <w:rFonts w:ascii="仿宋_GB2312" w:eastAsia="仿宋_GB2312"/>
      <w:sz w:val="30"/>
      <w:szCs w:val="30"/>
    </w:rPr>
  </w:style>
  <w:style w:type="character" w:styleId="948" w:customStyle="1">
    <w:name w:val="正文首行缩进 字符"/>
    <w:link w:val="947"/>
    <w:uiPriority w:val="0"/>
    <w:qFormat/>
    <w:rPr>
      <w:rFonts w:ascii="仿宋_GB2312" w:hAnsi="Times New Roman" w:eastAsia="仿宋_GB2312" w:cs="Times New Roman"/>
      <w:sz w:val="30"/>
      <w:szCs w:val="30"/>
    </w:rPr>
  </w:style>
  <w:style w:type="paragraph" w:styleId="949" w:customStyle="1">
    <w:name w:val="正文首行缩进 21"/>
    <w:basedOn w:val="914"/>
    <w:link w:val="950"/>
    <w:uiPriority w:val="0"/>
    <w:qFormat/>
    <w:pPr>
      <w:ind w:left="0" w:firstLine="420"/>
      <w:spacing w:after="0" w:line="360" w:lineRule="auto"/>
    </w:pPr>
    <w:rPr>
      <w:rFonts w:ascii="宋体" w:hAnsi="宋体"/>
      <w:szCs w:val="20"/>
    </w:rPr>
  </w:style>
  <w:style w:type="character" w:styleId="950" w:customStyle="1">
    <w:name w:val="正文首行缩进 2 字符"/>
    <w:link w:val="949"/>
    <w:uiPriority w:val="0"/>
    <w:qFormat/>
    <w:rPr>
      <w:rFonts w:ascii="宋体" w:hAnsi="宋体" w:eastAsia="宋体" w:cs="Times New Roman"/>
      <w:szCs w:val="20"/>
    </w:rPr>
  </w:style>
  <w:style w:type="table" w:styleId="951" w:customStyle="1">
    <w:name w:val="网格型1"/>
    <w:basedOn w:val="893"/>
    <w:uiPriority w:val="0"/>
    <w:qFormat/>
    <w:pPr>
      <w:jc w:val="both"/>
      <w:widowControl w:val="off"/>
    </w:pPr>
    <w:tblPr>
      <w:tblCellMar>
        <w:left w:w="0" w:type="dxa"/>
        <w:top w:w="0" w:type="dxa"/>
        <w:right w:w="0" w:type="dxa"/>
        <w:bottom w:w="0" w:type="dxa"/>
      </w:tblCellMar>
    </w:tblPr>
  </w:style>
  <w:style w:type="character" w:styleId="952" w:customStyle="1">
    <w:name w:val="要点1"/>
    <w:uiPriority w:val="0"/>
    <w:qFormat/>
    <w:rPr>
      <w:b/>
      <w:bCs/>
    </w:rPr>
  </w:style>
  <w:style w:type="character" w:styleId="953" w:customStyle="1">
    <w:name w:val="页码1"/>
    <w:uiPriority w:val="0"/>
    <w:qFormat/>
  </w:style>
  <w:style w:type="character" w:styleId="954" w:customStyle="1">
    <w:name w:val="已访问的超链接1"/>
    <w:basedOn w:val="892"/>
    <w:uiPriority w:val="0"/>
    <w:qFormat/>
    <w:rPr>
      <w:color w:val="333333"/>
      <w:u w:val="none"/>
    </w:rPr>
  </w:style>
  <w:style w:type="character" w:styleId="955" w:customStyle="1">
    <w:name w:val="强调1"/>
    <w:uiPriority w:val="0"/>
    <w:qFormat/>
    <w:rPr>
      <w:i/>
    </w:rPr>
  </w:style>
  <w:style w:type="character" w:styleId="956" w:customStyle="1">
    <w:name w:val="超链接1"/>
    <w:basedOn w:val="892"/>
    <w:uiPriority w:val="0"/>
    <w:qFormat/>
    <w:rPr>
      <w:color w:val="333333"/>
      <w:u w:val="none"/>
    </w:rPr>
  </w:style>
  <w:style w:type="character" w:styleId="957" w:customStyle="1">
    <w:name w:val="批注引用1"/>
    <w:uiPriority w:val="0"/>
    <w:semiHidden/>
    <w:qFormat/>
    <w:rPr>
      <w:sz w:val="21"/>
      <w:szCs w:val="21"/>
    </w:rPr>
  </w:style>
  <w:style w:type="character" w:styleId="958" w:customStyle="1">
    <w:name w:val="font5 Char"/>
    <w:uiPriority w:val="0"/>
    <w:qFormat/>
    <w:rPr>
      <w:rFonts w:ascii="宋体" w:hAnsi="宋体" w:eastAsia="宋体"/>
      <w:sz w:val="28"/>
      <w:szCs w:val="28"/>
      <w:lang w:val="en-US" w:eastAsia="zh-CN" w:bidi="ar-SA"/>
    </w:rPr>
  </w:style>
  <w:style w:type="character" w:styleId="959" w:customStyle="1">
    <w:name w:val="二级目录 Char"/>
    <w:link w:val="960"/>
    <w:uiPriority w:val="0"/>
    <w:qFormat/>
    <w:rPr>
      <w:b/>
      <w:sz w:val="30"/>
      <w:szCs w:val="28"/>
    </w:rPr>
  </w:style>
  <w:style w:type="paragraph" w:styleId="960" w:customStyle="1">
    <w:name w:val="二级目录"/>
    <w:next w:val="690"/>
    <w:link w:val="959"/>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1" w:customStyle="1">
    <w:name w:val="列出段落 Char"/>
    <w:link w:val="962"/>
    <w:uiPriority w:val="0"/>
    <w:qFormat/>
    <w:rPr>
      <w:rFonts w:ascii="Calibri" w:hAnsi="Calibri"/>
      <w:sz w:val="24"/>
      <w:szCs w:val="24"/>
      <w:lang w:eastAsia="en-US" w:bidi="en-US"/>
    </w:rPr>
  </w:style>
  <w:style w:type="paragraph" w:styleId="962" w:customStyle="1">
    <w:name w:val="列出段落1"/>
    <w:basedOn w:val="690"/>
    <w:link w:val="961"/>
    <w:uiPriority w:val="0"/>
    <w:qFormat/>
    <w:pPr>
      <w:contextualSpacing/>
      <w:ind w:left="720"/>
      <w:jc w:val="left"/>
      <w:widowControl/>
    </w:pPr>
    <w:rPr>
      <w:rFonts w:ascii="Calibri" w:hAnsi="Calibri"/>
      <w:sz w:val="24"/>
      <w:szCs w:val="24"/>
      <w:lang w:eastAsia="en-US" w:bidi="en-US"/>
    </w:rPr>
  </w:style>
  <w:style w:type="paragraph" w:styleId="963" w:customStyle="1">
    <w:name w:val="Body Text(ch)"/>
    <w:basedOn w:val="690"/>
    <w:next w:val="912"/>
    <w:uiPriority w:val="0"/>
    <w:qFormat/>
    <w:pPr>
      <w:spacing w:after="120"/>
    </w:pPr>
    <w:rPr>
      <w:rFonts w:ascii="宋体" w:hAnsi="Arial"/>
      <w:bCs/>
      <w:iCs/>
      <w:szCs w:val="24"/>
    </w:rPr>
  </w:style>
  <w:style w:type="paragraph" w:styleId="964"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6" w:customStyle="1">
    <w:name w:val="Char"/>
    <w:basedOn w:val="690"/>
    <w:uiPriority w:val="0"/>
    <w:qFormat/>
    <w:pPr>
      <w:ind w:firstLine="200"/>
      <w:tabs>
        <w:tab w:val="left" w:pos="360" w:leader="none"/>
      </w:tabs>
    </w:pPr>
    <w:rPr>
      <w:sz w:val="28"/>
      <w:szCs w:val="30"/>
    </w:rPr>
  </w:style>
  <w:style w:type="paragraph" w:styleId="967" w:customStyle="1">
    <w:name w:val="Char1"/>
    <w:basedOn w:val="906"/>
    <w:uiPriority w:val="0"/>
    <w:qFormat/>
    <w:rPr>
      <w:rFonts w:ascii="Tahoma" w:hAnsi="Tahoma"/>
      <w:sz w:val="24"/>
      <w:szCs w:val="24"/>
    </w:rPr>
  </w:style>
  <w:style w:type="paragraph" w:styleId="968" w:customStyle="1">
    <w:name w:val="普通正文"/>
    <w:basedOn w:val="690"/>
    <w:uiPriority w:val="0"/>
    <w:qFormat/>
    <w:pPr>
      <w:ind w:firstLine="480"/>
      <w:jc w:val="left"/>
      <w:spacing w:before="120" w:after="120" w:line="360" w:lineRule="auto"/>
    </w:pPr>
    <w:rPr>
      <w:rFonts w:ascii="Arial" w:hAnsi="Arial"/>
      <w:sz w:val="24"/>
      <w:szCs w:val="24"/>
    </w:rPr>
  </w:style>
  <w:style w:type="paragraph" w:styleId="969" w:customStyle="1">
    <w:name w:val="table_lines"/>
    <w:basedOn w:val="690"/>
    <w:uiPriority w:val="0"/>
    <w:qFormat/>
    <w:pPr>
      <w:jc w:val="left"/>
      <w:widowControl/>
    </w:pPr>
    <w:rPr>
      <w:sz w:val="20"/>
      <w:szCs w:val="20"/>
      <w:lang w:val="de-DE" w:eastAsia="de-DE"/>
    </w:rPr>
  </w:style>
  <w:style w:type="paragraph" w:styleId="97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1" w:customStyle="1">
    <w:name w:val="font7"/>
    <w:basedOn w:val="690"/>
    <w:uiPriority w:val="0"/>
    <w:qFormat/>
    <w:pPr>
      <w:jc w:val="left"/>
      <w:spacing w:before="100" w:beforeAutospacing="1" w:after="100" w:afterAutospacing="1"/>
      <w:widowControl/>
    </w:pPr>
    <w:rPr>
      <w:rFonts w:hint="eastAsia" w:ascii="宋体" w:hAnsi="宋体"/>
      <w:sz w:val="18"/>
      <w:szCs w:val="18"/>
    </w:rPr>
  </w:style>
  <w:style w:type="paragraph" w:styleId="972" w:customStyle="1">
    <w:name w:val="Char Char Char Char"/>
    <w:basedOn w:val="906"/>
    <w:uiPriority w:val="0"/>
    <w:qFormat/>
    <w:pPr>
      <w:spacing w:line="360" w:lineRule="auto"/>
    </w:pPr>
    <w:rPr>
      <w:rFonts w:ascii="Tahoma" w:hAnsi="Tahoma"/>
      <w:sz w:val="24"/>
      <w:szCs w:val="24"/>
    </w:rPr>
  </w:style>
  <w:style w:type="paragraph" w:styleId="973" w:customStyle="1">
    <w:name w:val="列出段落2"/>
    <w:basedOn w:val="690"/>
    <w:uiPriority w:val="0"/>
    <w:qFormat/>
    <w:pPr>
      <w:contextualSpacing/>
      <w:ind w:left="720"/>
      <w:jc w:val="left"/>
      <w:widowControl/>
    </w:pPr>
    <w:rPr>
      <w:rFonts w:ascii="Calibri" w:hAnsi="Calibri"/>
      <w:sz w:val="24"/>
      <w:szCs w:val="24"/>
      <w:lang w:eastAsia="en-US" w:bidi="en-US"/>
    </w:rPr>
  </w:style>
  <w:style w:type="paragraph" w:styleId="974" w:customStyle="1">
    <w:name w:val="4"/>
    <w:basedOn w:val="690"/>
    <w:next w:val="936"/>
    <w:uiPriority w:val="0"/>
    <w:qFormat/>
    <w:pPr>
      <w:ind w:firstLine="420"/>
      <w:spacing w:line="360" w:lineRule="auto"/>
    </w:pPr>
    <w:rPr>
      <w:color w:val="ff0000"/>
      <w:sz w:val="24"/>
      <w:szCs w:val="24"/>
    </w:rPr>
  </w:style>
  <w:style w:type="paragraph" w:styleId="975" w:customStyle="1">
    <w:name w:val="普通 (Web)"/>
    <w:basedOn w:val="690"/>
    <w:uiPriority w:val="0"/>
    <w:qFormat/>
    <w:pPr>
      <w:jc w:val="left"/>
      <w:spacing w:before="100" w:beforeAutospacing="1" w:after="100" w:afterAutospacing="1"/>
      <w:widowControl/>
    </w:pPr>
    <w:rPr>
      <w:rFonts w:ascii="宋体" w:hAnsi="宋体"/>
      <w:sz w:val="24"/>
      <w:szCs w:val="24"/>
    </w:rPr>
  </w:style>
  <w:style w:type="paragraph" w:styleId="976" w:customStyle="1">
    <w:name w:val="Char Char Char Char Char Char Char Char Char Char"/>
    <w:basedOn w:val="690"/>
    <w:uiPriority w:val="0"/>
    <w:qFormat/>
    <w:pPr>
      <w:spacing w:line="360" w:lineRule="auto"/>
    </w:pPr>
    <w:rPr>
      <w:sz w:val="24"/>
      <w:szCs w:val="20"/>
    </w:rPr>
  </w:style>
  <w:style w:type="paragraph" w:styleId="977" w:customStyle="1">
    <w:name w:val="样式1"/>
    <w:basedOn w:val="690"/>
    <w:uiPriority w:val="0"/>
    <w:qFormat/>
    <w:pPr>
      <w:numPr>
        <w:ilvl w:val="0"/>
        <w:numId w:val="3"/>
      </w:numPr>
    </w:pPr>
    <w:rPr>
      <w:rFonts w:ascii="宋体" w:hAnsi="宋体"/>
      <w:szCs w:val="21"/>
    </w:rPr>
  </w:style>
  <w:style w:type="paragraph" w:styleId="978" w:customStyle="1">
    <w:name w:val="font6"/>
    <w:basedOn w:val="690"/>
    <w:uiPriority w:val="0"/>
    <w:qFormat/>
    <w:pPr>
      <w:jc w:val="left"/>
      <w:spacing w:before="100" w:beforeAutospacing="1" w:after="100" w:afterAutospacing="1"/>
      <w:widowControl/>
    </w:pPr>
    <w:rPr>
      <w:rFonts w:hint="eastAsia" w:ascii="宋体" w:hAnsi="宋体"/>
      <w:sz w:val="28"/>
      <w:szCs w:val="28"/>
      <w:u w:val="single"/>
    </w:rPr>
  </w:style>
  <w:style w:type="paragraph" w:styleId="979"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1" w:customStyle="1">
    <w:name w:val="标题3"/>
    <w:basedOn w:val="690"/>
    <w:next w:val="690"/>
    <w:uiPriority w:val="0"/>
    <w:qFormat/>
    <w:pPr>
      <w:ind w:firstLine="624"/>
      <w:spacing w:line="590" w:lineRule="atLeast"/>
    </w:pPr>
    <w:rPr>
      <w:rFonts w:ascii="方正黑体_GBK" w:eastAsia="方正黑体_GBK"/>
      <w:sz w:val="32"/>
      <w:szCs w:val="32"/>
    </w:rPr>
  </w:style>
  <w:style w:type="paragraph" w:styleId="982"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4" w:customStyle="1">
    <w:name w:val="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985"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6" w:customStyle="1">
    <w:name w:val="Char Char Char Char Char Char Char Char1"/>
    <w:basedOn w:val="690"/>
    <w:uiPriority w:val="0"/>
    <w:qFormat/>
    <w:pPr>
      <w:jc w:val="left"/>
      <w:spacing w:after="160" w:line="240" w:lineRule="exact"/>
      <w:widowControl/>
    </w:pPr>
    <w:rPr>
      <w:rFonts w:ascii="Verdana" w:hAnsi="Verdana"/>
      <w:sz w:val="20"/>
      <w:szCs w:val="20"/>
      <w:lang w:eastAsia="en-US"/>
    </w:rPr>
  </w:style>
  <w:style w:type="paragraph" w:styleId="987" w:customStyle="1">
    <w:name w:val="xl30"/>
    <w:basedOn w:val="690"/>
    <w:uiPriority w:val="0"/>
    <w:qFormat/>
    <w:pPr>
      <w:jc w:val="center"/>
      <w:spacing w:before="100" w:beforeAutospacing="1" w:after="100" w:afterAutospacing="1"/>
      <w:widowControl/>
    </w:pPr>
    <w:rPr>
      <w:rFonts w:ascii="宋体" w:hAnsi="宋体"/>
      <w:b/>
      <w:bCs/>
      <w:sz w:val="36"/>
      <w:szCs w:val="36"/>
    </w:rPr>
  </w:style>
  <w:style w:type="paragraph" w:styleId="988" w:customStyle="1">
    <w:name w:val="Char Char Char Char1"/>
    <w:basedOn w:val="906"/>
    <w:uiPriority w:val="0"/>
    <w:qFormat/>
    <w:pPr>
      <w:spacing w:line="360" w:lineRule="auto"/>
    </w:pPr>
    <w:rPr>
      <w:rFonts w:ascii="Tahoma" w:hAnsi="Tahoma"/>
      <w:sz w:val="24"/>
      <w:szCs w:val="24"/>
    </w:rPr>
  </w:style>
  <w:style w:type="paragraph" w:styleId="989" w:customStyle="1">
    <w:name w:val="table_1stline"/>
    <w:basedOn w:val="690"/>
    <w:uiPriority w:val="0"/>
    <w:qFormat/>
    <w:pPr>
      <w:jc w:val="left"/>
      <w:spacing w:before="120"/>
      <w:widowControl/>
    </w:pPr>
    <w:rPr>
      <w:bCs/>
      <w:sz w:val="20"/>
      <w:szCs w:val="20"/>
      <w:lang w:val="de-DE" w:eastAsia="de-DE"/>
    </w:rPr>
  </w:style>
  <w:style w:type="paragraph" w:styleId="990" w:customStyle="1">
    <w:name w:val="font5"/>
    <w:basedOn w:val="690"/>
    <w:uiPriority w:val="0"/>
    <w:qFormat/>
    <w:pPr>
      <w:jc w:val="left"/>
      <w:spacing w:before="100" w:beforeAutospacing="1" w:after="100" w:afterAutospacing="1"/>
      <w:widowControl/>
    </w:pPr>
    <w:rPr>
      <w:rFonts w:hint="eastAsia" w:ascii="宋体" w:hAnsi="宋体"/>
      <w:sz w:val="28"/>
      <w:szCs w:val="28"/>
    </w:rPr>
  </w:style>
  <w:style w:type="paragraph" w:styleId="991" w:customStyle="1">
    <w:name w:val="标题1"/>
    <w:basedOn w:val="690"/>
    <w:next w:val="6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2"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993"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95" w:customStyle="1">
    <w:name w:val="active"/>
    <w:basedOn w:val="892"/>
    <w:uiPriority w:val="0"/>
    <w:qFormat/>
    <w:rPr>
      <w:color w:val="ffffff"/>
      <w:shd w:val="clear" w:color="auto" w:fill="0f5bb9"/>
    </w:rPr>
  </w:style>
  <w:style w:type="character" w:styleId="996" w:customStyle="1">
    <w:name w:val="last-child"/>
    <w:basedOn w:val="892"/>
    <w:uiPriority w:val="0"/>
    <w:qFormat/>
  </w:style>
  <w:style w:type="character" w:styleId="997" w:customStyle="1">
    <w:name w:val="active16"/>
    <w:basedOn w:val="892"/>
    <w:uiPriority w:val="0"/>
    <w:qFormat/>
    <w:rPr>
      <w:color w:val="ffffff"/>
      <w:shd w:val="clear" w:color="auto" w:fill="0f5bb9"/>
    </w:rPr>
  </w:style>
  <w:style w:type="paragraph" w:styleId="998" w:customStyle="1">
    <w:name w:val="标题4"/>
    <w:basedOn w:val="885"/>
    <w:uiPriority w:val="0"/>
    <w:qFormat/>
    <w:pPr>
      <w:spacing w:before="140" w:after="140"/>
    </w:pPr>
    <w:rPr>
      <w:sz w:val="24"/>
    </w:rPr>
  </w:style>
  <w:style w:type="character" w:styleId="999" w:customStyle="1">
    <w:name w:val="页眉 Char"/>
    <w:basedOn w:val="691"/>
    <w:link w:val="701"/>
    <w:uiPriority w:val="99"/>
    <w:semiHidden/>
    <w:qFormat/>
    <w:rPr>
      <w:sz w:val="18"/>
      <w:szCs w:val="18"/>
    </w:rPr>
  </w:style>
  <w:style w:type="character" w:styleId="1000" w:customStyle="1">
    <w:name w:val="页脚 Char"/>
    <w:basedOn w:val="691"/>
    <w:link w:val="700"/>
    <w:uiPriority w:val="99"/>
    <w:semiHidden/>
    <w:qFormat/>
    <w:rPr>
      <w:sz w:val="18"/>
      <w:szCs w:val="18"/>
    </w:rPr>
  </w:style>
  <w:style w:type="character" w:styleId="1001" w:customStyle="1">
    <w:name w:val="批注框文本 Char"/>
    <w:basedOn w:val="691"/>
    <w:link w:val="699"/>
    <w:uiPriority w:val="99"/>
    <w:semiHidden/>
    <w:qFormat/>
    <w:rPr>
      <w:sz w:val="18"/>
      <w:szCs w:val="18"/>
    </w:rPr>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jpg"/><Relationship Id="rId21" Type="http://schemas.openxmlformats.org/officeDocument/2006/relationships/image" Target="media/image9.jp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jpg"/><Relationship Id="rId26" Type="http://schemas.openxmlformats.org/officeDocument/2006/relationships/image" Target="media/image14.jp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jpg"/><Relationship Id="rId30" Type="http://schemas.openxmlformats.org/officeDocument/2006/relationships/image" Target="media/image18.jpg"/><Relationship Id="rId31" Type="http://schemas.openxmlformats.org/officeDocument/2006/relationships/image" Target="media/image19.jpg"/><Relationship Id="rId32" Type="http://schemas.openxmlformats.org/officeDocument/2006/relationships/image" Target="media/image20.jpg"/><Relationship Id="rId33" Type="http://schemas.openxmlformats.org/officeDocument/2006/relationships/image" Target="media/image21.png"/><Relationship Id="rId34" Type="http://schemas.openxmlformats.org/officeDocument/2006/relationships/image" Target="media/image22.jpg"/><Relationship Id="rId35" Type="http://schemas.openxmlformats.org/officeDocument/2006/relationships/image" Target="media/image23.jpg"/><Relationship Id="rId36" Type="http://schemas.openxmlformats.org/officeDocument/2006/relationships/image" Target="media/image24.jpg"/><Relationship Id="rId37" Type="http://schemas.openxmlformats.org/officeDocument/2006/relationships/image" Target="media/image2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CA253D-BFBE-4EA8-8FFD-F43665CCF356}"/>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郁文娟</cp:lastModifiedBy>
  <cp:revision>77</cp:revision>
  <dcterms:created xsi:type="dcterms:W3CDTF">2026-08-26T08:38:00Z</dcterms:created>
  <dcterms:modified xsi:type="dcterms:W3CDTF">2026-10-20T01:09:27Z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eyJoZGlkIjoiZTZjNTZmMmNlMDQ2MzgyZGIxOTU3OWNlMTRmOGMxZjAiLCJ1c2VySWQiOiIzMzc1NDc3MzQifQ==</vt:lpwstr>
  </property>
  <property fmtid="{D5CDD505-2E9C-101B-9397-08002B2CF9AE}" pid="3" name="KSOProductBuildVer">
    <vt:lpwstr>2052-12.1.0.28505</vt:lpwstr>
  </property>
  <property fmtid="{D5CDD505-2E9C-101B-9397-08002B2CF9AE}" pid="4" name="ICV">
    <vt:lpwstr>FC4A87B85DFD47C999F415ABC7CAC468_13</vt:lpwstr>
  </property>
</Properties>
</file>