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rFonts w:hint="eastAsia" w:ascii="宋体" w:hAnsi="宋体" w:cs="宋体"/>
          <w:b/>
          <w:bCs/>
          <w:color w:val="auto"/>
          <w:sz w:val="44"/>
          <w:szCs w:val="44"/>
          <w:highlight w:val="none"/>
        </w:rPr>
      </w:pPr>
      <w:r>
        <w:rPr>
          <w:rFonts w:hint="eastAsia" w:ascii="宋体" w:hAnsi="宋体" w:cs="宋体"/>
          <w:b/>
          <w:bCs/>
          <w:color w:val="auto"/>
          <w:sz w:val="44"/>
          <w:szCs w:val="44"/>
          <w:highlight w:val="none"/>
          <w:lang w:eastAsia="zh-CN"/>
        </w:rPr>
      </w:r>
      <w:r>
        <w:rPr>
          <w:color w:val="auto"/>
          <w:highlight w:val="none"/>
        </w:rPr>
      </w:r>
      <w:r/>
    </w:p>
    <w:p>
      <w:pPr>
        <w:jc w:val="center"/>
        <w:rPr>
          <w:rFonts w:hint="eastAsia" w:ascii="宋体" w:hAnsi="宋体" w:cs="宋体"/>
          <w:b/>
          <w:bCs/>
          <w:color w:val="auto"/>
          <w:sz w:val="44"/>
          <w:szCs w:val="44"/>
          <w:highlight w:val="none"/>
        </w:rPr>
      </w:pPr>
      <w:r>
        <w:rPr>
          <w:rFonts w:hint="eastAsia" w:ascii="宋体" w:hAnsi="宋体" w:cs="宋体"/>
          <w:b/>
          <w:bCs/>
          <w:color w:val="auto"/>
          <w:sz w:val="44"/>
          <w:szCs w:val="44"/>
          <w:highlight w:val="none"/>
          <w:lang w:eastAsia="zh-CN"/>
        </w:rPr>
      </w:r>
      <w:r>
        <w:rPr>
          <w:color w:val="auto"/>
          <w:highlight w:val="none"/>
        </w:rPr>
      </w:r>
      <w:r/>
    </w:p>
    <w:p>
      <w:pPr>
        <w:jc w:val="center"/>
        <w:rPr>
          <w:rFonts w:hint="eastAsia" w:ascii="宋体" w:hAnsi="宋体" w:cs="宋体"/>
          <w:b/>
          <w:bCs/>
          <w:color w:val="auto"/>
          <w:sz w:val="44"/>
          <w:szCs w:val="44"/>
          <w:highlight w:val="none"/>
        </w:rPr>
      </w:pPr>
      <w:r>
        <w:rPr>
          <w:rFonts w:hint="eastAsia" w:ascii="宋体" w:hAnsi="宋体" w:cs="宋体"/>
          <w:b/>
          <w:bCs/>
          <w:color w:val="auto"/>
          <w:sz w:val="44"/>
          <w:szCs w:val="44"/>
          <w:highlight w:val="none"/>
          <w:lang w:eastAsia="zh-CN"/>
        </w:rPr>
        <w:t xml:space="preserve">扬州市2025年县域医共体设备更新项目</w:t>
      </w:r>
      <w:r>
        <w:rPr>
          <w:color w:val="auto"/>
          <w:highlight w:val="none"/>
        </w:rPr>
      </w:r>
      <w:r/>
    </w:p>
    <w:p>
      <w:pPr>
        <w:jc w:val="center"/>
        <w:rPr>
          <w:rFonts w:hint="default" w:ascii="宋体" w:hAnsi="宋体" w:eastAsia="宋体" w:cs="宋体"/>
          <w:b/>
          <w:bCs/>
          <w:color w:val="auto"/>
          <w:sz w:val="44"/>
          <w:szCs w:val="44"/>
          <w:highlight w:val="none"/>
        </w:rPr>
      </w:pPr>
      <w:r>
        <w:rPr>
          <w:rFonts w:hint="eastAsia" w:ascii="宋体" w:hAnsi="宋体" w:cs="宋体"/>
          <w:b/>
          <w:bCs/>
          <w:color w:val="auto"/>
          <w:sz w:val="44"/>
          <w:szCs w:val="44"/>
          <w:highlight w:val="none"/>
          <w:lang w:eastAsia="zh-CN"/>
        </w:rPr>
        <w:t xml:space="preserve">血透机设备采购</w:t>
      </w:r>
      <w:r>
        <w:rPr>
          <w:color w:val="auto"/>
          <w:highlight w:val="none"/>
        </w:rPr>
      </w:r>
      <w:r/>
    </w:p>
    <w:p>
      <w:pPr>
        <w:pStyle w:val="860"/>
        <w:rPr>
          <w:color w:val="auto"/>
          <w:highlight w:val="none"/>
        </w:rPr>
      </w:pPr>
      <w:r>
        <w:rPr>
          <w:color w:val="auto"/>
          <w:highlight w:val="none"/>
        </w:rPr>
      </w:r>
      <w:r>
        <w:rPr>
          <w:color w:val="auto"/>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rPr>
          <w:color w:val="auto"/>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rPr>
          <w:color w:val="auto"/>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rPr>
          <w:color w:val="auto"/>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项目编号：</w:t>
      </w:r>
      <w:bookmarkStart w:id="265" w:name="_GoBack"/>
      <w:r>
        <w:rPr>
          <w:rFonts w:hint="eastAsia" w:ascii="宋体" w:hAnsi="宋体" w:cs="宋体"/>
          <w:b/>
          <w:bCs/>
          <w:color w:val="auto"/>
          <w:sz w:val="32"/>
          <w:szCs w:val="32"/>
          <w:highlight w:val="none"/>
          <w:lang w:val="en-US" w:eastAsia="zh-CN"/>
        </w:rPr>
        <w:t xml:space="preserve">JSZC-321000-JSHY-G2026-0264</w:t>
      </w:r>
      <w:bookmarkEnd w:id="265"/>
      <w:r>
        <w:rPr>
          <w:color w:val="auto"/>
          <w:highlight w:val="none"/>
        </w:rPr>
      </w:r>
      <w:r/>
    </w:p>
    <w:p>
      <w:pPr>
        <w:pStyle w:val="860"/>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pStyle w:val="860"/>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rPr>
          <w:color w:val="auto"/>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rPr>
          <w:color w:val="auto"/>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rPr>
          <w:color w:val="auto"/>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rPr>
          <w:color w:val="auto"/>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rPr>
          <w:color w:val="auto"/>
          <w:highlight w:val="none"/>
        </w:rPr>
      </w:r>
      <w:r/>
    </w:p>
    <w:p>
      <w:pPr>
        <w:jc w:val="center"/>
        <w:rPr>
          <w:rFonts w:hint="eastAsia" w:ascii="宋体" w:hAnsi="宋体" w:cs="宋体"/>
          <w:color w:val="auto"/>
          <w:sz w:val="82"/>
          <w:szCs w:val="72"/>
          <w:highlight w:val="none"/>
        </w:rPr>
      </w:pPr>
      <w:r>
        <w:rPr>
          <w:rFonts w:hint="eastAsia" w:ascii="宋体" w:hAnsi="宋体" w:cs="宋体"/>
          <w:color w:val="auto"/>
          <w:sz w:val="82"/>
          <w:szCs w:val="72"/>
          <w:highlight w:val="none"/>
        </w:rPr>
        <w:t xml:space="preserve">招  标  文  件</w:t>
      </w:r>
      <w:r>
        <w:rPr>
          <w:color w:val="auto"/>
          <w:highlight w:val="none"/>
        </w:rPr>
      </w: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rPr>
          <w:color w:val="auto"/>
          <w:highlight w:val="none"/>
        </w:rPr>
      </w: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rPr>
          <w:color w:val="auto"/>
          <w:highlight w:val="none"/>
        </w:rPr>
      </w:r>
      <w:r/>
    </w:p>
    <w:p>
      <w:pPr>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rPr>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rPr>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rPr>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rPr>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rPr>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rPr>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rPr>
          <w:color w:val="auto"/>
          <w:highlight w:val="none"/>
        </w:rPr>
      </w:r>
      <w:r/>
    </w:p>
    <w:tbl>
      <w:tblPr>
        <w:tblStyle w:val="792"/>
        <w:tblW w:w="0" w:type="auto"/>
        <w:jc w:val="center"/>
        <w:tblLayout w:type="fixed"/>
        <w:tblCellMar>
          <w:left w:w="108" w:type="dxa"/>
          <w:top w:w="0" w:type="dxa"/>
          <w:right w:w="108" w:type="dxa"/>
          <w:bottom w:w="0" w:type="dxa"/>
        </w:tblCellMar>
        <w:tblLook w:val="04A0" w:firstRow="1" w:lastRow="0" w:firstColumn="1" w:lastColumn="0" w:noHBand="0" w:noVBand="1"/>
      </w:tblPr>
      <w:tblGrid>
        <w:gridCol w:w="2796"/>
        <w:gridCol w:w="5003"/>
      </w:tblGrid>
      <w:tr>
        <w:trPr>
          <w:jc w:val="center"/>
          <w:trHeight w:val="685"/>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采购人：</w:t>
            </w:r>
            <w:r>
              <w:rPr>
                <w:color w:val="auto"/>
                <w:highlight w:val="none"/>
              </w:rPr>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lang w:eastAsia="zh-CN"/>
              </w:rPr>
              <w:t xml:space="preserve">扬州市卫生健康委员会</w:t>
            </w:r>
            <w:r>
              <w:rPr>
                <w:color w:val="auto"/>
                <w:highlight w:val="none"/>
              </w:rPr>
            </w:r>
            <w:r/>
          </w:p>
        </w:tc>
      </w:tr>
      <w:tr>
        <w:trPr>
          <w:jc w:val="center"/>
          <w:trHeight w:val="59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采购代理机构：</w:t>
            </w:r>
            <w:r>
              <w:rPr>
                <w:color w:val="auto"/>
                <w:highlight w:val="none"/>
              </w:rPr>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江苏弘业国际技术工程有限公司</w:t>
            </w:r>
            <w:r>
              <w:rPr>
                <w:color w:val="auto"/>
                <w:highlight w:val="none"/>
              </w:rPr>
            </w:r>
            <w:r/>
          </w:p>
        </w:tc>
      </w:tr>
      <w:tr>
        <w:trPr>
          <w:jc w:val="center"/>
          <w:trHeight w:val="57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日  期：</w:t>
            </w:r>
            <w:r>
              <w:rPr>
                <w:color w:val="auto"/>
                <w:highlight w:val="none"/>
              </w:rPr>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rPr>
                <w:color w:val="auto"/>
                <w:highlight w:val="none"/>
              </w:rPr>
            </w:r>
            <w:bookmarkStart w:id="0" w:name="EB011e21966a4746ceac4488705cfdd813"/>
            <w:r>
              <w:rPr>
                <w:rFonts w:hint="eastAsia" w:ascii="宋体" w:hAnsi="宋体" w:cs="宋体"/>
                <w:b/>
                <w:bCs/>
                <w:color w:val="auto"/>
                <w:sz w:val="32"/>
                <w:szCs w:val="32"/>
                <w:highlight w:val="none"/>
              </w:rPr>
              <w:t xml:space="preserve">202</w:t>
            </w:r>
            <w:r>
              <w:rPr>
                <w:rFonts w:hint="eastAsia" w:ascii="宋体" w:hAnsi="宋体" w:cs="宋体"/>
                <w:b/>
                <w:bCs/>
                <w:color w:val="auto"/>
                <w:sz w:val="32"/>
                <w:szCs w:val="32"/>
                <w:highlight w:val="none"/>
                <w:lang w:val="en-US" w:eastAsia="zh-CN"/>
              </w:rPr>
              <w:t xml:space="preserve">6</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11</w:t>
            </w:r>
            <w:r>
              <w:rPr>
                <w:rFonts w:hint="eastAsia" w:ascii="宋体" w:hAnsi="宋体" w:cs="宋体"/>
                <w:b/>
                <w:bCs/>
                <w:color w:val="auto"/>
                <w:sz w:val="32"/>
                <w:szCs w:val="32"/>
                <w:highlight w:val="none"/>
              </w:rPr>
              <w:t xml:space="preserve">月</w:t>
            </w:r>
            <w:bookmarkEnd w:id="0"/>
            <w:r>
              <w:rPr>
                <w:color w:val="auto"/>
                <w:highlight w:val="none"/>
              </w:rPr>
            </w:r>
            <w:r/>
          </w:p>
        </w:tc>
      </w:tr>
    </w:tbl>
    <w:p>
      <w:pPr>
        <w:rPr>
          <w:rFonts w:hint="eastAsia" w:ascii="宋体" w:hAnsi="宋体" w:cs="宋体"/>
          <w:color w:val="auto"/>
          <w:highlight w:val="none"/>
        </w:rPr>
      </w:pPr>
      <w:r>
        <w:rPr>
          <w:rFonts w:hint="eastAsia" w:ascii="宋体" w:hAnsi="宋体" w:cs="宋体"/>
          <w:color w:val="auto"/>
          <w:highlight w:val="none"/>
        </w:rPr>
      </w:r>
      <w:r>
        <w:rPr>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rPr>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rPr>
          <w:color w:val="auto"/>
          <w:highlight w:val="none"/>
        </w:rPr>
      </w:r>
      <w:r/>
    </w:p>
    <w:p>
      <w:pPr>
        <w:rPr>
          <w:rFonts w:hint="eastAsia" w:ascii="宋体" w:hAnsi="宋体" w:cs="宋体"/>
          <w:color w:val="auto"/>
          <w:highlight w:val="none"/>
        </w:rPr>
      </w:pPr>
      <w:r>
        <w:rPr>
          <w:rFonts w:hint="eastAsia" w:ascii="宋体" w:hAnsi="宋体" w:cs="宋体"/>
          <w:color w:val="auto"/>
          <w:highlight w:val="none"/>
        </w:rPr>
        <w:br w:type="page" w:clear="all"/>
      </w:r>
      <w:r>
        <w:rPr>
          <w:color w:val="auto"/>
          <w:highlight w:val="none"/>
        </w:rPr>
      </w:r>
      <w:r/>
    </w:p>
    <w:p>
      <w:pPr>
        <w:pStyle w:val="860"/>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rPr>
          <w:color w:val="auto"/>
          <w:highlight w:val="none"/>
        </w:rPr>
      </w:r>
      <w:r/>
    </w:p>
    <w:p>
      <w:pPr>
        <w:pStyle w:val="860"/>
        <w:tabs>
          <w:tab w:val="left" w:pos="6527" w:leader="none"/>
        </w:tabs>
        <w:rPr>
          <w:rFonts w:hint="eastAsia" w:ascii="宋体" w:hAnsi="宋体" w:eastAsia="宋体" w:cs="宋体"/>
          <w:color w:val="auto"/>
          <w:highlight w:val="none"/>
        </w:rPr>
      </w:pPr>
      <w:r>
        <w:rPr>
          <w:color w:val="auto"/>
          <w:highlight w:val="none"/>
        </w:rPr>
      </w:r>
      <w:bookmarkStart w:id="1" w:name="EB06f4f849a067447382c5c19bd1747a07"/>
      <w:r>
        <w:rPr>
          <w:rFonts w:hint="eastAsia" w:ascii="宋体" w:hAnsi="宋体" w:eastAsia="宋体" w:cs="宋体"/>
          <w:color w:val="auto"/>
          <w:sz w:val="20"/>
          <w:highlight w:val="none"/>
        </w:rPr>
        <w:t xml:space="preserve"> </w:t>
      </w:r>
      <w:bookmarkEnd w:id="1"/>
      <w:r>
        <w:rPr>
          <w:rFonts w:hint="eastAsia" w:ascii="宋体" w:hAnsi="宋体" w:eastAsia="宋体" w:cs="宋体"/>
          <w:color w:val="auto"/>
          <w:highlight w:val="none"/>
        </w:rPr>
        <w:tab/>
      </w:r>
      <w:r>
        <w:rPr>
          <w:color w:val="auto"/>
          <w:highlight w:val="none"/>
        </w:rPr>
      </w:r>
      <w:r/>
    </w:p>
    <w:p>
      <w:pPr>
        <w:jc w:val="center"/>
        <w:rPr>
          <w:rFonts w:hint="eastAsia" w:ascii="宋体" w:hAnsi="宋体" w:cs="宋体"/>
          <w:b/>
          <w:bCs/>
          <w:color w:val="auto"/>
          <w:sz w:val="32"/>
          <w:szCs w:val="36"/>
          <w:highlight w:val="none"/>
        </w:rPr>
      </w:pPr>
      <w:r>
        <w:rPr>
          <w:rFonts w:hint="eastAsia" w:ascii="宋体" w:hAnsi="宋体" w:cs="宋体"/>
          <w:b/>
          <w:bCs/>
          <w:color w:val="auto"/>
          <w:sz w:val="32"/>
          <w:szCs w:val="36"/>
          <w:highlight w:val="none"/>
        </w:rPr>
        <w:t xml:space="preserve">目  录</w:t>
      </w:r>
      <w:r>
        <w:rPr>
          <w:color w:val="auto"/>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color w:val="auto"/>
          <w:highlight w:val="none"/>
        </w:rPr>
      </w:r>
      <w:r/>
    </w:p>
    <w:sdt>
      <w:sdtPr>
        <w15:appearance w15:val="boundingBox"/>
        <w15:color w:val="dbdbdb"/>
        <w:id w:val="147468235"/>
        <w:docPartObj>
          <w:docPartGallery w:val="Table of Contents"/>
          <w:docPartUnique w:val="true"/>
        </w:docPartObj>
        <w:rPr>
          <w:rFonts w:ascii="宋体" w:hAnsi="宋体" w:eastAsia="宋体" w:cs="Times New Roman"/>
          <w:sz w:val="21"/>
          <w:szCs w:val="22"/>
          <w:highlight w:val="none"/>
          <w:lang w:val="en-US" w:eastAsia="zh-CN" w:bidi="ar-SA"/>
        </w:rPr>
      </w:sdtPr>
      <w:sdtContent>
        <w:p>
          <w:pPr>
            <w:ind w:left="0" w:right="0" w:firstLine="0"/>
            <w:jc w:val="center"/>
            <w:spacing w:before="0" w:after="0" w:line="240" w:lineRule="auto"/>
            <w:rPr>
              <w:color w:val="auto"/>
              <w:highlight w:val="none"/>
            </w:rPr>
          </w:pPr>
          <w:r>
            <w:rPr>
              <w:color w:val="auto"/>
              <w:highlight w:val="none"/>
            </w:rPr>
          </w:r>
          <w:r>
            <w:rPr>
              <w:color w:val="auto"/>
              <w:highlight w:val="none"/>
            </w:rPr>
          </w:r>
          <w:r/>
        </w:p>
        <w:p>
          <w:pPr>
            <w:pStyle w:val="806"/>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2"/>
              <w:szCs w:val="32"/>
              <w:highlight w:val="none"/>
            </w:rPr>
            <w:fldChar w:fldCharType="begin"/>
          </w:r>
          <w:r>
            <w:rPr>
              <w:rFonts w:hint="eastAsia" w:ascii="宋体" w:hAnsi="宋体" w:cs="宋体"/>
              <w:b/>
              <w:bCs/>
              <w:color w:val="auto"/>
              <w:sz w:val="22"/>
              <w:szCs w:val="32"/>
              <w:highlight w:val="none"/>
            </w:rPr>
            <w:instrText xml:space="preserve">TOC \o "1-1" \h \u </w:instrText>
          </w:r>
          <w:r>
            <w:rPr>
              <w:rFonts w:hint="eastAsia" w:ascii="宋体" w:hAnsi="宋体" w:cs="宋体"/>
              <w:b/>
              <w:bCs/>
              <w:color w:val="auto"/>
              <w:sz w:val="22"/>
              <w:szCs w:val="32"/>
              <w:highlight w:val="none"/>
            </w:rPr>
            <w:fldChar w:fldCharType="separate"/>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_Toc32256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shd w:val="clear" w:color="auto" w:fill="auto"/>
            </w:rPr>
            <w:t xml:space="preserve">第一部分  招标公告</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_Toc32256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1</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rPr>
              <w:color w:val="auto"/>
              <w:highlight w:val="none"/>
            </w:rPr>
          </w:r>
          <w:r/>
        </w:p>
        <w:p>
          <w:pPr>
            <w:pStyle w:val="806"/>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_Toc10498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第二部分  投标人须知</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_Toc10498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5</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rPr>
              <w:color w:val="auto"/>
              <w:highlight w:val="none"/>
            </w:rPr>
          </w:r>
          <w:r/>
        </w:p>
        <w:p>
          <w:pPr>
            <w:pStyle w:val="806"/>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_Toc28399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第三部分  评标方法和标准</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_Toc28399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23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rPr>
              <w:color w:val="auto"/>
              <w:highlight w:val="none"/>
            </w:rPr>
          </w:r>
          <w:r/>
        </w:p>
        <w:p>
          <w:pPr>
            <w:pStyle w:val="806"/>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_Toc8891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第四部分 </w:t>
          </w:r>
          <w:r>
            <w:rPr>
              <w:rFonts w:hint="eastAsia" w:ascii="宋体" w:hAnsi="宋体" w:cs="宋体"/>
              <w:b/>
              <w:bCs/>
              <w:color w:val="auto"/>
              <w:sz w:val="24"/>
              <w:szCs w:val="36"/>
              <w:highlight w:val="none"/>
              <w:lang w:val="en-US" w:eastAsia="zh-CN"/>
            </w:rPr>
            <w:t xml:space="preserve"> </w:t>
          </w:r>
          <w:r>
            <w:rPr>
              <w:rFonts w:hint="eastAsia" w:ascii="宋体" w:hAnsi="宋体" w:cs="宋体"/>
              <w:b/>
              <w:bCs/>
              <w:color w:val="auto"/>
              <w:sz w:val="24"/>
              <w:szCs w:val="36"/>
              <w:highlight w:val="none"/>
            </w:rPr>
            <w:t xml:space="preserve">采购需求</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_Toc8891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29</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rPr>
              <w:color w:val="auto"/>
              <w:highlight w:val="none"/>
            </w:rPr>
          </w:r>
          <w:r/>
        </w:p>
        <w:p>
          <w:pPr>
            <w:pStyle w:val="806"/>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_Toc10059 </w:instrText>
          </w:r>
          <w:r>
            <w:rPr>
              <w:rFonts w:hint="eastAsia" w:ascii="宋体" w:hAnsi="宋体" w:cs="宋体"/>
              <w:b/>
              <w:bCs/>
              <w:color w:val="auto"/>
              <w:sz w:val="24"/>
              <w:szCs w:val="36"/>
              <w:highlight w:val="none"/>
            </w:rPr>
            <w:fldChar w:fldCharType="separate"/>
          </w:r>
          <w:r>
            <w:rPr>
              <w:rFonts w:hint="eastAsia" w:ascii="宋体" w:hAnsi="宋体" w:eastAsia="宋体" w:cs="宋体"/>
              <w:b/>
              <w:bCs/>
              <w:color w:val="auto"/>
              <w:sz w:val="24"/>
              <w:szCs w:val="36"/>
              <w:highlight w:val="none"/>
              <w:lang w:val="en-US" w:eastAsia="zh-CN"/>
            </w:rPr>
            <w:t xml:space="preserve">第五部分  </w:t>
          </w:r>
          <w:r>
            <w:rPr>
              <w:rFonts w:hint="eastAsia" w:ascii="宋体" w:hAnsi="宋体" w:cs="宋体"/>
              <w:b/>
              <w:bCs/>
              <w:color w:val="auto"/>
              <w:sz w:val="24"/>
              <w:szCs w:val="36"/>
              <w:highlight w:val="none"/>
            </w:rPr>
            <w:t xml:space="preserve">合同格式及条款</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_Toc10059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35</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rPr>
              <w:color w:val="auto"/>
              <w:highlight w:val="none"/>
            </w:rPr>
          </w:r>
          <w:r/>
        </w:p>
        <w:p>
          <w:pPr>
            <w:pStyle w:val="806"/>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_Toc26546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第六部分  投标文件格式</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_Toc26546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40</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rPr>
              <w:color w:val="auto"/>
              <w:highlight w:val="none"/>
            </w:rPr>
          </w:r>
          <w:r/>
        </w:p>
        <w:p>
          <w:pPr>
            <w:pStyle w:val="806"/>
            <w:spacing w:line="400" w:lineRule="exact"/>
            <w:tabs>
              <w:tab w:val="right" w:pos="9740" w:leader="dot"/>
            </w:tabs>
            <w:rPr>
              <w:rFonts w:hint="eastAsia" w:ascii="宋体" w:hAnsi="宋体" w:cs="宋体"/>
              <w:b/>
              <w:bCs/>
              <w:color w:val="auto"/>
              <w:sz w:val="22"/>
              <w:szCs w:val="32"/>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_Toc3075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第七</w:t>
          </w:r>
          <w:r>
            <w:rPr>
              <w:rFonts w:hint="eastAsia" w:ascii="宋体" w:hAnsi="宋体" w:cs="宋体"/>
              <w:b/>
              <w:bCs/>
              <w:color w:val="auto"/>
              <w:sz w:val="24"/>
              <w:szCs w:val="36"/>
              <w:highlight w:val="none"/>
              <w:lang w:val="en-US" w:eastAsia="zh-CN"/>
            </w:rPr>
            <w:t xml:space="preserve">部分  </w:t>
          </w:r>
          <w:r>
            <w:rPr>
              <w:rFonts w:hint="eastAsia" w:ascii="宋体" w:hAnsi="宋体" w:cs="宋体"/>
              <w:b/>
              <w:bCs/>
              <w:color w:val="auto"/>
              <w:sz w:val="24"/>
              <w:szCs w:val="36"/>
              <w:highlight w:val="none"/>
            </w:rPr>
            <w:t xml:space="preserve">特别提醒</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_Toc3075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67</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rPr>
              <w:color w:val="auto"/>
              <w:highlight w:val="none"/>
            </w:rPr>
          </w:r>
          <w:r/>
        </w:p>
        <w:p>
          <w:pPr>
            <w:pStyle w:val="806"/>
            <w:jc w:val="center"/>
            <w:spacing w:line="400" w:lineRule="exact"/>
            <w:tabs>
              <w:tab w:val="right" w:pos="9740" w:leader="dot"/>
            </w:tabs>
            <w:rPr>
              <w:rFonts w:hint="eastAsia" w:ascii="宋体" w:hAnsi="宋体" w:eastAsia="宋体" w:cs="宋体"/>
              <w:bCs/>
              <w:color w:val="auto"/>
              <w:sz w:val="21"/>
              <w:szCs w:val="28"/>
              <w:highlight w:val="none"/>
            </w:rPr>
          </w:pPr>
          <w:r>
            <w:rPr>
              <w:rFonts w:hint="eastAsia" w:ascii="宋体" w:hAnsi="宋体" w:cs="宋体"/>
              <w:b/>
              <w:bCs/>
              <w:color w:val="auto"/>
              <w:sz w:val="22"/>
              <w:szCs w:val="32"/>
              <w:highlight w:val="none"/>
            </w:rPr>
            <w:fldChar w:fldCharType="end"/>
          </w:r>
          <w:r>
            <w:rPr>
              <w:color w:val="auto"/>
              <w:highlight w:val="none"/>
            </w:rPr>
          </w:r>
          <w:r/>
        </w:p>
      </w:sdtContent>
    </w:sdt>
    <w:p>
      <w:pPr>
        <w:jc w:val="center"/>
        <w:rPr>
          <w:rFonts w:hint="eastAsia" w:ascii="宋体" w:hAnsi="宋体" w:eastAsia="宋体" w:cs="宋体"/>
          <w:bCs/>
          <w:color w:val="auto"/>
          <w:sz w:val="21"/>
          <w:szCs w:val="28"/>
          <w:highlight w:val="none"/>
        </w:rPr>
      </w:pPr>
      <w:r>
        <w:rPr>
          <w:rFonts w:hint="eastAsia" w:ascii="宋体" w:hAnsi="宋体" w:eastAsia="宋体" w:cs="宋体"/>
          <w:bCs/>
          <w:color w:val="auto"/>
          <w:sz w:val="21"/>
          <w:szCs w:val="28"/>
          <w:highlight w:val="none"/>
          <w:lang w:val="en-US" w:eastAsia="zh-CN" w:bidi="ar-SA"/>
        </w:rPr>
      </w:r>
      <w:r>
        <w:rPr>
          <w:color w:val="auto"/>
          <w:highlight w:val="none"/>
        </w:rPr>
      </w:r>
      <w:r/>
    </w:p>
    <w:p>
      <w:pPr>
        <w:jc w:val="left"/>
        <w:tabs>
          <w:tab w:val="left" w:pos="1445" w:leader="none"/>
        </w:tabs>
        <w:rPr>
          <w:rFonts w:hint="eastAsia" w:ascii="宋体" w:hAnsi="宋体" w:eastAsia="宋体" w:cs="宋体"/>
          <w:b/>
          <w:bCs/>
          <w:color w:val="auto"/>
          <w:sz w:val="24"/>
          <w:szCs w:val="28"/>
          <w:highlight w:val="none"/>
        </w:rPr>
      </w:pPr>
      <w:r>
        <w:rPr>
          <w:rFonts w:hint="eastAsia" w:ascii="宋体" w:hAnsi="宋体" w:cs="宋体"/>
          <w:b/>
          <w:bCs/>
          <w:color w:val="auto"/>
          <w:sz w:val="24"/>
          <w:szCs w:val="28"/>
          <w:highlight w:val="none"/>
          <w:lang w:eastAsia="zh-CN"/>
        </w:rPr>
        <w:tab/>
      </w:r>
      <w:r>
        <w:rPr>
          <w:color w:val="auto"/>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color w:val="auto"/>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color w:val="auto"/>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color w:val="auto"/>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color w:val="auto"/>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color w:val="auto"/>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color w:val="auto"/>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color w:val="auto"/>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color w:val="auto"/>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color w:val="auto"/>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color w:val="auto"/>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color w:val="auto"/>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color w:val="auto"/>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color w:val="auto"/>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color w:val="auto"/>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color w:val="auto"/>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color w:val="auto"/>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color w:val="auto"/>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color w:val="auto"/>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color w:val="auto"/>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color w:val="auto"/>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color w:val="auto"/>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color w:val="auto"/>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color w:val="auto"/>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color w:val="auto"/>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color w:val="auto"/>
          <w:highlight w:val="none"/>
        </w:rPr>
      </w:r>
      <w:r/>
    </w:p>
    <w:p>
      <w:pPr>
        <w:jc w:val="center"/>
        <w:keepLines/>
        <w:keepNext/>
        <w:pageBreakBefore/>
        <w:rPr>
          <w:rStyle w:val="861"/>
          <w:rFonts w:hint="eastAsia" w:ascii="宋体" w:hAnsi="宋体" w:cs="宋体"/>
          <w:b/>
          <w:color w:val="auto"/>
          <w:sz w:val="44"/>
          <w:szCs w:val="44"/>
          <w:highlight w:val="none"/>
          <w:shd w:val="clear" w:color="auto" w:fill="auto"/>
        </w:rPr>
        <w:sectPr>
          <w:headerReference w:type="default" r:id="rId9"/>
          <w:footerReference w:type="default" r:id="rId10"/>
          <w:footnotePr/>
          <w:endnotePr/>
          <w:type w:val="nextPage"/>
          <w:pgSz w:w="11906" w:h="16838" w:orient="portrait"/>
          <w:pgMar w:top="1270" w:right="1083" w:bottom="1270" w:left="1083" w:header="851" w:footer="992" w:gutter="0"/>
          <w:pgNumType w:start="1"/>
          <w:cols w:num="1" w:sep="0" w:space="1701" w:equalWidth="1"/>
          <w:docGrid w:linePitch="360"/>
        </w:sectPr>
        <w:outlineLvl w:val="0"/>
      </w:pPr>
      <w:r>
        <w:rPr>
          <w:color w:val="auto"/>
          <w:highlight w:val="none"/>
        </w:rPr>
      </w:r>
      <w:bookmarkStart w:id="2" w:name="_Toc32256"/>
      <w:r>
        <w:rPr>
          <w:color w:val="auto"/>
          <w:highlight w:val="none"/>
        </w:rPr>
      </w:r>
      <w:bookmarkStart w:id="3" w:name="_Toc514054470"/>
      <w:r>
        <w:rPr>
          <w:color w:val="auto"/>
          <w:highlight w:val="none"/>
        </w:rPr>
      </w:r>
      <w:bookmarkStart w:id="4" w:name="_Toc27317"/>
      <w:r>
        <w:rPr>
          <w:color w:val="auto"/>
          <w:highlight w:val="none"/>
        </w:rPr>
      </w:r>
      <w:r/>
    </w:p>
    <w:p>
      <w:pPr>
        <w:jc w:val="center"/>
        <w:keepLines/>
        <w:keepNext/>
        <w:pageBreakBefore/>
        <w:rPr>
          <w:rStyle w:val="861"/>
          <w:rFonts w:hint="eastAsia" w:ascii="宋体" w:hAnsi="宋体" w:cs="宋体"/>
          <w:b/>
          <w:color w:val="auto"/>
          <w:sz w:val="32"/>
          <w:highlight w:val="none"/>
          <w:shd w:val="clear" w:color="auto" w:fill="auto"/>
        </w:rPr>
        <w:outlineLvl w:val="0"/>
      </w:pPr>
      <w:r>
        <w:rPr>
          <w:rStyle w:val="861"/>
          <w:rFonts w:hint="eastAsia" w:ascii="宋体" w:hAnsi="宋体" w:cs="宋体"/>
          <w:b/>
          <w:color w:val="auto"/>
          <w:sz w:val="44"/>
          <w:szCs w:val="44"/>
          <w:highlight w:val="none"/>
          <w:shd w:val="clear" w:color="auto" w:fill="auto"/>
        </w:rPr>
        <w:t xml:space="preserve">第一部分  招标公告</w:t>
      </w:r>
      <w:bookmarkEnd w:id="2"/>
      <w:r>
        <w:rPr>
          <w:color w:val="auto"/>
          <w:highlight w:val="none"/>
        </w:rPr>
      </w:r>
      <w:bookmarkEnd w:id="3"/>
      <w:r>
        <w:rPr>
          <w:color w:val="auto"/>
          <w:highlight w:val="none"/>
        </w:rPr>
      </w:r>
      <w:bookmarkEnd w:id="4"/>
      <w:r>
        <w:rPr>
          <w:color w:val="auto"/>
          <w:highlight w:val="none"/>
        </w:rPr>
      </w:r>
      <w:r/>
    </w:p>
    <w:tbl>
      <w:tblPr>
        <w:tblStyle w:val="792"/>
        <w:tblW w:w="9241" w:type="dxa"/>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trHeight w:val="1137"/>
        </w:trPr>
        <w:tc>
          <w:tcPr>
            <w:tcW w:w="9241" w:type="dxa"/>
            <w:textDirection w:val="lrTb"/>
            <w:noWrap w:val="false"/>
          </w:tcPr>
          <w:p>
            <w:pP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项目概况</w:t>
            </w:r>
            <w:r>
              <w:rPr>
                <w:color w:val="auto"/>
                <w:highlight w:val="none"/>
              </w:rPr>
            </w:r>
            <w:r/>
          </w:p>
          <w:p>
            <w:pPr>
              <w:ind w:firstLine="2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扬州市2025年县域医共体设备更新项目血透机设备采购</w:t>
            </w:r>
            <w:r>
              <w:rPr>
                <w:rFonts w:hint="eastAsia" w:ascii="宋体" w:hAnsi="宋体" w:cs="宋体"/>
                <w:color w:val="auto"/>
                <w:sz w:val="24"/>
                <w:szCs w:val="24"/>
                <w:highlight w:val="none"/>
              </w:rPr>
              <w:t xml:space="preserve">的潜在投标人应在</w:t>
            </w:r>
            <w:r>
              <w:rPr>
                <w:rFonts w:hint="eastAsia" w:ascii="宋体" w:hAnsi="宋体" w:cs="宋体"/>
                <w:color w:val="auto"/>
                <w:sz w:val="24"/>
                <w:highlight w:val="none"/>
                <w:u w:val="single"/>
              </w:rPr>
              <w:t xml:space="preserve">“江苏政府采购网苏采云系统”</w:t>
            </w:r>
            <w:r>
              <w:rPr>
                <w:rFonts w:hint="eastAsia" w:ascii="宋体" w:hAnsi="宋体" w:cs="宋体"/>
                <w:color w:val="auto"/>
                <w:sz w:val="24"/>
                <w:szCs w:val="24"/>
                <w:highlight w:val="none"/>
              </w:rPr>
              <w:t xml:space="preserve">获取招标文件，并于</w:t>
            </w: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27</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lang w:eastAsia="zh-CN"/>
              </w:rPr>
              <w:t xml:space="preserve">点</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lang w:eastAsia="zh-CN"/>
              </w:rPr>
              <w:t xml:space="preserve">分</w:t>
            </w:r>
            <w:r>
              <w:rPr>
                <w:rFonts w:hint="eastAsia" w:ascii="宋体" w:hAnsi="宋体" w:cs="宋体"/>
                <w:color w:val="auto"/>
                <w:sz w:val="24"/>
                <w:szCs w:val="24"/>
                <w:highlight w:val="none"/>
              </w:rPr>
              <w:t xml:space="preserve">（北京时间）前递交投标文件。</w:t>
            </w:r>
            <w:r>
              <w:rPr>
                <w:color w:val="auto"/>
                <w:highlight w:val="none"/>
              </w:rPr>
            </w:r>
            <w:r/>
          </w:p>
        </w:tc>
      </w:tr>
    </w:tbl>
    <w:p>
      <w:pPr>
        <w:pStyle w:val="1232"/>
        <w:ind w:firstLine="480"/>
        <w:spacing w:line="312" w:lineRule="auto"/>
        <w:tabs>
          <w:tab w:val="left" w:pos="1134" w:leader="none"/>
          <w:tab w:val="left" w:pos="5612" w:leader="none"/>
        </w:tabs>
        <w:rPr>
          <w:rFonts w:hint="eastAsia" w:ascii="宋体" w:hAnsi="宋体" w:cs="宋体"/>
          <w:color w:val="auto"/>
          <w:sz w:val="24"/>
          <w:szCs w:val="24"/>
          <w:highlight w:val="none"/>
        </w:rPr>
        <w:outlineLvl w:val="1"/>
      </w:pPr>
      <w:r>
        <w:rPr>
          <w:color w:val="auto"/>
          <w:highlight w:val="none"/>
        </w:rPr>
      </w:r>
      <w:bookmarkStart w:id="5" w:name="_Toc29050"/>
      <w:r>
        <w:rPr>
          <w:color w:val="auto"/>
          <w:highlight w:val="none"/>
        </w:rPr>
      </w:r>
      <w:bookmarkStart w:id="6" w:name="_Toc7588"/>
      <w:r>
        <w:rPr>
          <w:color w:val="auto"/>
          <w:highlight w:val="none"/>
        </w:rPr>
      </w:r>
      <w:bookmarkStart w:id="7" w:name="_Toc2298"/>
      <w:r>
        <w:rPr>
          <w:rFonts w:hint="eastAsia" w:ascii="宋体" w:hAnsi="宋体" w:cs="宋体"/>
          <w:b/>
          <w:bCs/>
          <w:color w:val="auto"/>
          <w:sz w:val="24"/>
          <w:szCs w:val="24"/>
          <w:highlight w:val="none"/>
        </w:rPr>
        <w:t xml:space="preserve">一、项目基本情况</w:t>
      </w:r>
      <w:bookmarkEnd w:id="5"/>
      <w:r>
        <w:rPr>
          <w:color w:val="auto"/>
          <w:highlight w:val="none"/>
        </w:rPr>
      </w:r>
      <w:bookmarkEnd w:id="6"/>
      <w:r>
        <w:rPr>
          <w:color w:val="auto"/>
          <w:highlight w:val="none"/>
        </w:rPr>
      </w:r>
      <w:bookmarkEnd w:id="7"/>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tab/>
      </w:r>
      <w:r>
        <w:rPr>
          <w:color w:val="auto"/>
          <w:highlight w:val="none"/>
        </w:rPr>
      </w:r>
      <w:r/>
    </w:p>
    <w:p>
      <w:pPr>
        <w:pStyle w:val="1232"/>
        <w:ind w:firstLine="960"/>
        <w:spacing w:line="312" w:lineRule="auto"/>
        <w:tabs>
          <w:tab w:val="left" w:pos="1134"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项目编号：JSZC-321000-JSHY-G2026-0264</w:t>
      </w:r>
      <w:r>
        <w:rPr>
          <w:rFonts w:hint="eastAsia" w:ascii="宋体" w:hAnsi="宋体" w:cs="宋体"/>
          <w:color w:val="auto"/>
          <w:sz w:val="24"/>
          <w:szCs w:val="24"/>
          <w:highlight w:val="none"/>
          <w:lang w:val="en-US" w:eastAsia="zh-CN"/>
        </w:rPr>
        <w:t xml:space="preserve"> </w:t>
      </w:r>
      <w:r>
        <w:rPr>
          <w:color w:val="auto"/>
          <w:highlight w:val="none"/>
        </w:rPr>
      </w:r>
      <w:r/>
    </w:p>
    <w:p>
      <w:pPr>
        <w:pStyle w:val="1232"/>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扬州市2025年县域医共体设备更新项目血透机设备采购</w:t>
      </w:r>
      <w:r>
        <w:rPr>
          <w:color w:val="auto"/>
          <w:highlight w:val="none"/>
        </w:rPr>
      </w:r>
      <w:r/>
    </w:p>
    <w:p>
      <w:pPr>
        <w:pStyle w:val="1232"/>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191万元</w:t>
      </w:r>
      <w:r>
        <w:rPr>
          <w:color w:val="auto"/>
          <w:highlight w:val="none"/>
        </w:rPr>
      </w:r>
      <w:r/>
    </w:p>
    <w:p>
      <w:pPr>
        <w:pStyle w:val="1232"/>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最高限价（如有）</w:t>
      </w:r>
      <w:r>
        <w:rPr>
          <w:rFonts w:hint="eastAsia" w:ascii="宋体" w:hAnsi="宋体" w:cs="宋体"/>
          <w:color w:val="auto"/>
          <w:sz w:val="24"/>
          <w:szCs w:val="24"/>
          <w:highlight w:val="none"/>
          <w:lang w:eastAsia="zh-CN"/>
        </w:rPr>
        <w:t xml:space="preserve">：同预算金额（投标人的投标报价不得超过最高限价金额，否则将作无效投标处理）</w:t>
      </w:r>
      <w:r>
        <w:rPr>
          <w:color w:val="auto"/>
          <w:highlight w:val="none"/>
        </w:rPr>
      </w:r>
      <w:r/>
    </w:p>
    <w:p>
      <w:pPr>
        <w:pStyle w:val="1232"/>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采购需求：</w:t>
      </w:r>
      <w:r>
        <w:rPr>
          <w:color w:val="auto"/>
          <w:highlight w:val="none"/>
        </w:rPr>
      </w:r>
      <w:r/>
    </w:p>
    <w:tbl>
      <w:tblPr>
        <w:tblStyle w:val="792"/>
        <w:tblpPr w:horzAnchor="page" w:tblpX="1430" w:vertAnchor="text" w:tblpY="157" w:leftFromText="180" w:topFromText="0" w:rightFromText="180" w:bottomFromText="0"/>
        <w:tblW w:w="92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6"/>
        <w:gridCol w:w="3528"/>
        <w:gridCol w:w="1781"/>
        <w:gridCol w:w="2625"/>
      </w:tblGrid>
      <w:tr>
        <w:trPr>
          <w:trHeight w:val="693"/>
        </w:trPr>
        <w:tc>
          <w:tcPr>
            <w:tcW w:w="1316" w:type="dxa"/>
            <w:vAlign w:val="center"/>
            <w:textDirection w:val="lrTb"/>
            <w:noWrap w:val="false"/>
          </w:tcPr>
          <w:p>
            <w:pPr>
              <w:pStyle w:val="1232"/>
              <w:ind w:firstLine="0"/>
              <w:jc w:val="center"/>
              <w:spacing w:line="312" w:lineRule="auto"/>
              <w:tabs>
                <w:tab w:val="left" w:pos="1276" w:leader="none"/>
              </w:tabs>
              <w:rPr>
                <w:rFonts w:ascii="宋体" w:hAnsi="宋体"/>
                <w:color w:val="auto"/>
                <w:szCs w:val="24"/>
                <w:highlight w:val="none"/>
              </w:rPr>
            </w:pPr>
            <w:r>
              <w:rPr>
                <w:color w:val="auto"/>
                <w:highlight w:val="none"/>
              </w:rPr>
            </w:r>
            <w:bookmarkStart w:id="8" w:name="OLE_LINK27"/>
            <w:r>
              <w:rPr>
                <w:color w:val="auto"/>
                <w:highlight w:val="none"/>
              </w:rPr>
            </w:r>
            <w:bookmarkStart w:id="9" w:name="OLE_LINK26"/>
            <w:r>
              <w:rPr>
                <w:rFonts w:hint="eastAsia" w:ascii="宋体" w:hAnsi="宋体"/>
                <w:color w:val="auto"/>
                <w:szCs w:val="24"/>
                <w:highlight w:val="none"/>
              </w:rPr>
              <w:t xml:space="preserve">包号</w:t>
            </w:r>
            <w:r>
              <w:rPr>
                <w:color w:val="auto"/>
                <w:highlight w:val="none"/>
              </w:rPr>
            </w:r>
            <w:r/>
          </w:p>
        </w:tc>
        <w:tc>
          <w:tcPr>
            <w:tcW w:w="3528" w:type="dxa"/>
            <w:vAlign w:val="center"/>
            <w:textDirection w:val="lrTb"/>
            <w:noWrap w:val="false"/>
          </w:tcPr>
          <w:p>
            <w:pPr>
              <w:pStyle w:val="1232"/>
              <w:ind w:firstLine="0"/>
              <w:jc w:val="center"/>
              <w:spacing w:line="312" w:lineRule="auto"/>
              <w:tabs>
                <w:tab w:val="left" w:pos="1276" w:leader="none"/>
              </w:tabs>
              <w:rPr>
                <w:rFonts w:ascii="宋体" w:hAnsi="宋体"/>
                <w:color w:val="auto"/>
                <w:szCs w:val="24"/>
                <w:highlight w:val="none"/>
              </w:rPr>
            </w:pPr>
            <w:r>
              <w:rPr>
                <w:rFonts w:hint="eastAsia" w:ascii="宋体" w:hAnsi="宋体"/>
                <w:color w:val="auto"/>
                <w:szCs w:val="24"/>
                <w:highlight w:val="none"/>
              </w:rPr>
              <w:t xml:space="preserve">名称</w:t>
            </w:r>
            <w:r>
              <w:rPr>
                <w:color w:val="auto"/>
                <w:highlight w:val="none"/>
              </w:rPr>
            </w:r>
            <w:r/>
          </w:p>
        </w:tc>
        <w:tc>
          <w:tcPr>
            <w:tcW w:w="1781" w:type="dxa"/>
            <w:vAlign w:val="center"/>
            <w:textDirection w:val="lrTb"/>
            <w:noWrap w:val="false"/>
          </w:tcPr>
          <w:p>
            <w:pPr>
              <w:pStyle w:val="1232"/>
              <w:ind w:firstLine="0"/>
              <w:jc w:val="center"/>
              <w:spacing w:line="312" w:lineRule="auto"/>
              <w:tabs>
                <w:tab w:val="left" w:pos="1276" w:leader="none"/>
              </w:tabs>
              <w:rPr>
                <w:rFonts w:ascii="宋体" w:hAnsi="宋体"/>
                <w:color w:val="auto"/>
                <w:szCs w:val="24"/>
                <w:highlight w:val="none"/>
              </w:rPr>
            </w:pPr>
            <w:r>
              <w:rPr>
                <w:rFonts w:hint="eastAsia" w:ascii="宋体" w:hAnsi="宋体"/>
                <w:color w:val="auto"/>
                <w:szCs w:val="24"/>
                <w:highlight w:val="none"/>
              </w:rPr>
              <w:t xml:space="preserve">数量</w:t>
            </w:r>
            <w:r>
              <w:rPr>
                <w:color w:val="auto"/>
                <w:highlight w:val="none"/>
              </w:rPr>
            </w:r>
            <w:r/>
          </w:p>
        </w:tc>
        <w:tc>
          <w:tcPr>
            <w:tcW w:w="2625" w:type="dxa"/>
            <w:vAlign w:val="center"/>
            <w:textDirection w:val="lrTb"/>
            <w:noWrap w:val="false"/>
          </w:tcPr>
          <w:p>
            <w:pPr>
              <w:pStyle w:val="1232"/>
              <w:ind w:firstLine="0"/>
              <w:jc w:val="center"/>
              <w:spacing w:line="312" w:lineRule="auto"/>
              <w:tabs>
                <w:tab w:val="left" w:pos="1276" w:leader="none"/>
              </w:tabs>
              <w:rPr>
                <w:rFonts w:ascii="宋体" w:hAnsi="宋体"/>
                <w:color w:val="auto"/>
                <w:szCs w:val="24"/>
                <w:highlight w:val="none"/>
              </w:rPr>
            </w:pPr>
            <w:r>
              <w:rPr>
                <w:rFonts w:hint="eastAsia" w:ascii="宋体" w:hAnsi="宋体"/>
                <w:color w:val="auto"/>
                <w:szCs w:val="24"/>
                <w:highlight w:val="none"/>
              </w:rPr>
              <w:t xml:space="preserve">是否接受进口产品</w:t>
            </w:r>
            <w:r>
              <w:rPr>
                <w:color w:val="auto"/>
                <w:highlight w:val="none"/>
              </w:rPr>
            </w:r>
            <w:r/>
          </w:p>
        </w:tc>
      </w:tr>
      <w:tr>
        <w:trPr>
          <w:trHeight w:val="680"/>
        </w:trPr>
        <w:tc>
          <w:tcPr>
            <w:tcW w:w="1316" w:type="dxa"/>
            <w:vAlign w:val="center"/>
            <w:textDirection w:val="lrTb"/>
            <w:noWrap w:val="false"/>
          </w:tcPr>
          <w:p>
            <w:pPr>
              <w:pStyle w:val="1232"/>
              <w:ind w:firstLine="0"/>
              <w:jc w:val="center"/>
              <w:spacing w:line="312" w:lineRule="auto"/>
              <w:tabs>
                <w:tab w:val="left" w:pos="1276" w:leader="none"/>
              </w:tabs>
              <w:rPr>
                <w:rFonts w:ascii="宋体" w:hAnsi="宋体"/>
                <w:color w:val="auto"/>
                <w:szCs w:val="24"/>
                <w:highlight w:val="none"/>
              </w:rPr>
            </w:pPr>
            <w:r>
              <w:rPr>
                <w:rFonts w:hint="eastAsia" w:ascii="宋体" w:hAnsi="宋体"/>
                <w:color w:val="auto"/>
                <w:szCs w:val="24"/>
                <w:highlight w:val="none"/>
              </w:rPr>
              <w:t xml:space="preserve">01</w:t>
            </w:r>
            <w:r>
              <w:rPr>
                <w:color w:val="auto"/>
                <w:highlight w:val="none"/>
              </w:rPr>
            </w:r>
            <w:r/>
          </w:p>
        </w:tc>
        <w:tc>
          <w:tcPr>
            <w:tcW w:w="3528" w:type="dxa"/>
            <w:vAlign w:val="center"/>
            <w:textDirection w:val="lrTb"/>
            <w:noWrap w:val="false"/>
          </w:tcPr>
          <w:p>
            <w:pPr>
              <w:jc w:val="center"/>
              <w:rPr>
                <w:rFonts w:hint="eastAsia" w:ascii="宋体" w:hAnsi="宋体" w:eastAsia="宋体"/>
                <w:color w:val="auto"/>
                <w:highlight w:val="none"/>
              </w:rPr>
            </w:pPr>
            <w:r>
              <w:rPr>
                <w:rFonts w:hint="eastAsia" w:ascii="宋体" w:hAnsi="宋体" w:cs="宋体"/>
                <w:color w:val="auto"/>
                <w:sz w:val="24"/>
                <w:szCs w:val="24"/>
                <w:highlight w:val="none"/>
                <w:lang w:val="en-US" w:eastAsia="zh-CN"/>
              </w:rPr>
              <w:t xml:space="preserve">血透机</w:t>
            </w:r>
            <w:r>
              <w:rPr>
                <w:color w:val="auto"/>
                <w:highlight w:val="none"/>
              </w:rPr>
            </w:r>
            <w:r/>
          </w:p>
        </w:tc>
        <w:tc>
          <w:tcPr>
            <w:tcW w:w="1781" w:type="dxa"/>
            <w:vAlign w:val="center"/>
            <w:textDirection w:val="lrTb"/>
            <w:noWrap w:val="false"/>
          </w:tcPr>
          <w:p>
            <w:pPr>
              <w:jc w:val="center"/>
              <w:rPr>
                <w:rFonts w:hint="default" w:ascii="宋体" w:hAnsi="宋体" w:eastAsia="宋体"/>
                <w:color w:val="auto"/>
                <w:highlight w:val="none"/>
              </w:rPr>
            </w:pPr>
            <w:r>
              <w:rPr>
                <w:rFonts w:hint="eastAsia" w:ascii="宋体" w:hAnsi="宋体"/>
                <w:color w:val="auto"/>
                <w:highlight w:val="none"/>
                <w:lang w:val="en-US" w:eastAsia="zh-CN"/>
              </w:rPr>
              <w:t xml:space="preserve">15台</w:t>
            </w:r>
            <w:r>
              <w:rPr>
                <w:color w:val="auto"/>
                <w:highlight w:val="none"/>
              </w:rPr>
            </w:r>
            <w:r/>
          </w:p>
        </w:tc>
        <w:tc>
          <w:tcPr>
            <w:tcW w:w="2625" w:type="dxa"/>
            <w:vAlign w:val="center"/>
            <w:textDirection w:val="lrTb"/>
            <w:noWrap w:val="false"/>
          </w:tcPr>
          <w:p>
            <w:pPr>
              <w:jc w:val="center"/>
              <w:rPr>
                <w:rFonts w:hint="eastAsia" w:ascii="宋体" w:hAnsi="宋体" w:eastAsia="宋体"/>
                <w:color w:val="auto"/>
                <w:highlight w:val="none"/>
              </w:rPr>
            </w:pPr>
            <w:r>
              <w:rPr>
                <w:rFonts w:hint="eastAsia" w:ascii="宋体" w:hAnsi="宋体"/>
                <w:color w:val="auto"/>
                <w:highlight w:val="none"/>
                <w:lang w:val="en-US" w:eastAsia="zh-CN"/>
              </w:rPr>
              <w:t xml:space="preserve">否</w:t>
            </w:r>
            <w:bookmarkEnd w:id="8"/>
            <w:r/>
            <w:bookmarkEnd w:id="9"/>
            <w:r>
              <w:rPr>
                <w:color w:val="auto"/>
                <w:highlight w:val="none"/>
              </w:rPr>
            </w:r>
            <w:r/>
          </w:p>
        </w:tc>
      </w:tr>
    </w:tbl>
    <w:p>
      <w:pPr>
        <w:pStyle w:val="1232"/>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采购需求:</w:t>
      </w:r>
      <w:r>
        <w:rPr>
          <w:rFonts w:hint="eastAsia"/>
          <w:color w:val="auto"/>
          <w:highlight w:val="none"/>
        </w:rPr>
        <w:t xml:space="preserve"> </w:t>
      </w:r>
      <w:r>
        <w:rPr>
          <w:rFonts w:hint="eastAsia" w:ascii="宋体" w:hAnsi="宋体" w:cs="宋体"/>
          <w:color w:val="auto"/>
          <w:sz w:val="24"/>
          <w:szCs w:val="24"/>
          <w:highlight w:val="none"/>
        </w:rPr>
        <w:t xml:space="preserve">详见招标文件。</w:t>
      </w:r>
      <w:r>
        <w:rPr>
          <w:color w:val="auto"/>
          <w:highlight w:val="none"/>
        </w:rPr>
      </w:r>
      <w:r/>
    </w:p>
    <w:p>
      <w:pPr>
        <w:pStyle w:val="1232"/>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合同履行期限：</w:t>
      </w:r>
      <w:r>
        <w:rPr>
          <w:rFonts w:hint="eastAsia" w:ascii="宋体" w:hAnsi="宋体" w:cs="宋体"/>
          <w:color w:val="auto"/>
          <w:sz w:val="24"/>
          <w:szCs w:val="24"/>
          <w:highlight w:val="none"/>
        </w:rPr>
        <w:t xml:space="preserve">合同签订后</w:t>
      </w:r>
      <w:r>
        <w:rPr>
          <w:rFonts w:hint="eastAsia" w:ascii="宋体" w:hAnsi="宋体" w:cs="宋体"/>
          <w:color w:val="auto"/>
          <w:sz w:val="24"/>
          <w:szCs w:val="24"/>
          <w:highlight w:val="none"/>
          <w:lang w:val="en-US" w:eastAsia="zh-CN"/>
        </w:rPr>
        <w:t xml:space="preserve">1个</w:t>
      </w:r>
      <w:r>
        <w:rPr>
          <w:rFonts w:hint="eastAsia" w:ascii="宋体" w:hAnsi="宋体" w:cs="宋体"/>
          <w:color w:val="auto"/>
          <w:sz w:val="24"/>
          <w:szCs w:val="24"/>
          <w:highlight w:val="none"/>
        </w:rPr>
        <w:t xml:space="preserve">月内交货。</w:t>
      </w:r>
      <w:r>
        <w:rPr>
          <w:color w:val="auto"/>
          <w:highlight w:val="none"/>
        </w:rPr>
      </w:r>
      <w:r/>
    </w:p>
    <w:p>
      <w:pPr>
        <w:pStyle w:val="1232"/>
        <w:ind w:firstLine="960"/>
        <w:spacing w:line="312" w:lineRule="auto"/>
        <w:tabs>
          <w:tab w:val="left" w:pos="1134" w:leader="none"/>
        </w:tabs>
        <w:rPr>
          <w:rFonts w:hint="eastAsia" w:ascii="宋体" w:hAnsi="宋体" w:cs="宋体"/>
          <w:color w:val="auto"/>
          <w:sz w:val="24"/>
          <w:szCs w:val="24"/>
          <w:highlight w:val="none"/>
        </w:rPr>
      </w:pPr>
      <w:r>
        <w:rPr>
          <w:color w:val="auto"/>
          <w:highlight w:val="none"/>
        </w:rPr>
      </w:r>
      <w:bookmarkStart w:id="10" w:name="_Toc3038"/>
      <w:r>
        <w:rPr>
          <w:rFonts w:hint="eastAsia" w:ascii="宋体" w:hAnsi="宋体" w:cs="宋体"/>
          <w:color w:val="auto"/>
          <w:sz w:val="24"/>
          <w:szCs w:val="24"/>
          <w:highlight w:val="none"/>
        </w:rPr>
        <w:t xml:space="preserve">本项目（是/否）接受联合体投标：</w:t>
      </w:r>
      <w:r>
        <w:rPr>
          <w:rFonts w:hint="eastAsia" w:ascii="宋体" w:hAnsi="宋体" w:cs="宋体"/>
          <w:color w:val="auto"/>
          <w:sz w:val="24"/>
          <w:szCs w:val="24"/>
          <w:highlight w:val="none"/>
          <w:lang w:val="en-US" w:eastAsia="zh-CN"/>
        </w:rPr>
        <w:t xml:space="preserve">否</w:t>
      </w:r>
      <w:r>
        <w:rPr>
          <w:color w:val="auto"/>
          <w:highlight w:val="none"/>
        </w:rPr>
      </w:r>
      <w:r/>
    </w:p>
    <w:p>
      <w:pPr>
        <w:pStyle w:val="1232"/>
        <w:ind w:left="567" w:firstLine="0"/>
        <w:spacing w:line="312" w:lineRule="auto"/>
        <w:tabs>
          <w:tab w:val="left" w:pos="1134" w:leader="none"/>
        </w:tabs>
        <w:rPr>
          <w:rFonts w:hint="eastAsia" w:ascii="宋体" w:hAnsi="宋体" w:cs="宋体"/>
          <w:b/>
          <w:bCs/>
          <w:color w:val="auto"/>
          <w:sz w:val="24"/>
          <w:szCs w:val="24"/>
          <w:highlight w:val="none"/>
        </w:rPr>
        <w:outlineLvl w:val="1"/>
      </w:pPr>
      <w:r>
        <w:rPr>
          <w:color w:val="auto"/>
          <w:highlight w:val="none"/>
        </w:rPr>
      </w:r>
      <w:bookmarkStart w:id="11" w:name="_Toc16192"/>
      <w:r>
        <w:rPr>
          <w:color w:val="auto"/>
          <w:highlight w:val="none"/>
        </w:rPr>
      </w:r>
      <w:bookmarkStart w:id="12" w:name="_Toc8033"/>
      <w:r>
        <w:rPr>
          <w:rFonts w:hint="eastAsia" w:ascii="宋体" w:hAnsi="宋体" w:cs="宋体"/>
          <w:b/>
          <w:bCs/>
          <w:color w:val="auto"/>
          <w:sz w:val="24"/>
          <w:szCs w:val="24"/>
          <w:highlight w:val="none"/>
        </w:rPr>
        <w:t xml:space="preserve">二、申请人的资格要求：</w:t>
      </w:r>
      <w:bookmarkEnd w:id="10"/>
      <w:r>
        <w:rPr>
          <w:color w:val="auto"/>
          <w:highlight w:val="none"/>
        </w:rPr>
      </w:r>
      <w:bookmarkEnd w:id="11"/>
      <w:r>
        <w:rPr>
          <w:color w:val="auto"/>
          <w:highlight w:val="none"/>
        </w:rPr>
      </w:r>
      <w:bookmarkEnd w:id="12"/>
      <w:r>
        <w:rPr>
          <w:color w:val="auto"/>
          <w:highlight w:val="none"/>
        </w:rPr>
      </w:r>
      <w:r/>
    </w:p>
    <w:p>
      <w:pPr>
        <w:ind w:firstLine="480"/>
        <w:spacing w:line="360" w:lineRule="auto"/>
        <w:rPr>
          <w:rFonts w:hAnsi="宋体" w:cs="Arial"/>
          <w:color w:val="auto"/>
          <w:sz w:val="24"/>
          <w:szCs w:val="24"/>
          <w:highlight w:val="none"/>
        </w:rPr>
        <w:outlineLvl w:val="2"/>
      </w:pPr>
      <w:r>
        <w:rPr>
          <w:rFonts w:hint="eastAsia" w:hAnsi="宋体" w:cs="Arial"/>
          <w:color w:val="auto"/>
          <w:sz w:val="24"/>
          <w:szCs w:val="24"/>
          <w:highlight w:val="none"/>
        </w:rPr>
        <w:t xml:space="preserve">（一）满足《中华人民共和国政府采购法》第二十二条规定；</w:t>
      </w:r>
      <w:r>
        <w:rPr>
          <w:color w:val="auto"/>
          <w:highlight w:val="none"/>
        </w:rPr>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1.</w:t>
      </w:r>
      <w:bookmarkStart w:id="13" w:name="OLE_LINK17"/>
      <w:r>
        <w:rPr>
          <w:rFonts w:hint="eastAsia" w:ascii="宋体" w:hAnsi="宋体"/>
          <w:color w:val="auto"/>
          <w:sz w:val="24"/>
          <w:szCs w:val="24"/>
          <w:highlight w:val="none"/>
        </w:rPr>
        <w:t xml:space="preserve">具有独立承担民事责任的能力（法人或者其他组织的营业执照等证明文件，自然人的身份证明）。</w:t>
      </w:r>
      <w:bookmarkEnd w:id="13"/>
      <w:r>
        <w:rPr>
          <w:color w:val="auto"/>
          <w:highlight w:val="none"/>
        </w:rPr>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2.具有良好的商业信誉和健全的财务会计制度（提供2026年</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月-2026年</w:t>
      </w: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月内任意一月份的财务状况报告（至少包括资产负债表或利润表）（法人或者其他组织成立未满三个月的可以不提供），或2026年</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月-2026年</w:t>
      </w: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月内其银行出具的资信证书（复印件），或202</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年度经审计的财务报告复印件加盖公章）；</w:t>
      </w:r>
      <w:r>
        <w:rPr>
          <w:color w:val="auto"/>
          <w:highlight w:val="none"/>
        </w:rPr>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3.</w:t>
      </w:r>
      <w:bookmarkStart w:id="14" w:name="OLE_LINK7"/>
      <w:r>
        <w:rPr>
          <w:color w:val="auto"/>
          <w:highlight w:val="none"/>
        </w:rPr>
      </w:r>
      <w:bookmarkStart w:id="15" w:name="OLE_LINK19"/>
      <w:r>
        <w:rPr>
          <w:rFonts w:hint="eastAsia" w:ascii="宋体" w:hAnsi="宋体"/>
          <w:color w:val="auto"/>
          <w:sz w:val="24"/>
          <w:szCs w:val="24"/>
          <w:highlight w:val="none"/>
        </w:rPr>
        <w:t xml:space="preserve">具有履行合同所必需的设备和专业技术能力（提供书面声明）</w:t>
      </w:r>
      <w:bookmarkEnd w:id="14"/>
      <w:r>
        <w:rPr>
          <w:rFonts w:hint="eastAsia" w:ascii="宋体" w:hAnsi="宋体"/>
          <w:color w:val="auto"/>
          <w:sz w:val="24"/>
          <w:szCs w:val="24"/>
          <w:highlight w:val="none"/>
        </w:rPr>
        <w:t xml:space="preserve">。</w:t>
      </w:r>
      <w:bookmarkEnd w:id="15"/>
      <w:r>
        <w:rPr>
          <w:color w:val="auto"/>
          <w:highlight w:val="none"/>
        </w:rPr>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4.</w:t>
      </w:r>
      <w:bookmarkStart w:id="16" w:name="OLE_LINK8"/>
      <w:r>
        <w:rPr>
          <w:color w:val="auto"/>
          <w:highlight w:val="none"/>
        </w:rPr>
      </w:r>
      <w:bookmarkStart w:id="17" w:name="OLE_LINK20"/>
      <w:r>
        <w:rPr>
          <w:rFonts w:hint="eastAsia" w:ascii="宋体" w:hAnsi="宋体"/>
          <w:color w:val="auto"/>
          <w:sz w:val="24"/>
          <w:szCs w:val="24"/>
          <w:highlight w:val="none"/>
        </w:rPr>
        <w:t xml:space="preserve">有依法缴纳税收和社会保障资金的良好记录（参加本次政府采购活动前6个月内</w:t>
      </w:r>
      <w:r>
        <w:rPr>
          <w:rFonts w:hint="eastAsia" w:ascii="宋体" w:hAnsi="宋体"/>
          <w:color w:val="auto"/>
          <w:sz w:val="24"/>
          <w:szCs w:val="24"/>
          <w:highlight w:val="none"/>
          <w:lang w:eastAsia="zh-CN"/>
        </w:rPr>
        <w:t xml:space="preserve">（即2026年</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lang w:eastAsia="zh-CN"/>
        </w:rPr>
        <w:t xml:space="preserve">月-2026年</w:t>
      </w: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lang w:eastAsia="zh-CN"/>
        </w:rPr>
        <w:t xml:space="preserve">月期间）</w:t>
      </w:r>
      <w:r>
        <w:rPr>
          <w:rFonts w:hint="eastAsia" w:ascii="宋体" w:hAnsi="宋体"/>
          <w:color w:val="auto"/>
          <w:sz w:val="24"/>
          <w:szCs w:val="24"/>
          <w:highlight w:val="none"/>
        </w:rPr>
        <w:t xml:space="preserve">至少一个月缴纳税收及缴纳社会保障资金的证明材料，投标人依法享受缓缴、免缴税收、社会保障资金的，需提供证明材料）</w:t>
      </w:r>
      <w:bookmarkEnd w:id="16"/>
      <w:r>
        <w:rPr>
          <w:rFonts w:hint="eastAsia" w:ascii="宋体" w:hAnsi="宋体"/>
          <w:color w:val="auto"/>
          <w:sz w:val="24"/>
          <w:szCs w:val="24"/>
          <w:highlight w:val="none"/>
        </w:rPr>
        <w:t xml:space="preserve">。</w:t>
      </w:r>
      <w:bookmarkEnd w:id="17"/>
      <w:r>
        <w:rPr>
          <w:color w:val="auto"/>
          <w:highlight w:val="none"/>
        </w:rPr>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5.</w:t>
      </w:r>
      <w:bookmarkStart w:id="18" w:name="OLE_LINK11"/>
      <w:r>
        <w:rPr>
          <w:color w:val="auto"/>
          <w:highlight w:val="none"/>
        </w:rPr>
      </w:r>
      <w:bookmarkStart w:id="19" w:name="OLE_LINK21"/>
      <w:r>
        <w:rPr>
          <w:rFonts w:hint="eastAsia" w:ascii="宋体" w:hAnsi="宋体"/>
          <w:color w:val="auto"/>
          <w:sz w:val="24"/>
          <w:szCs w:val="24"/>
          <w:highlight w:val="none"/>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18"/>
      <w:r>
        <w:rPr>
          <w:rFonts w:hint="eastAsia" w:ascii="宋体" w:hAnsi="宋体"/>
          <w:color w:val="auto"/>
          <w:sz w:val="24"/>
          <w:szCs w:val="24"/>
          <w:highlight w:val="none"/>
        </w:rPr>
        <w:t xml:space="preserve">。</w:t>
      </w:r>
      <w:bookmarkEnd w:id="19"/>
      <w:r>
        <w:rPr>
          <w:color w:val="auto"/>
          <w:highlight w:val="none"/>
        </w:rPr>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6.</w:t>
      </w:r>
      <w:bookmarkStart w:id="20" w:name="OLE_LINK22"/>
      <w:r>
        <w:rPr>
          <w:rFonts w:hint="eastAsia" w:ascii="宋体" w:hAnsi="宋体" w:cs="Times New Roman"/>
          <w:color w:val="auto"/>
          <w:sz w:val="24"/>
          <w:szCs w:val="24"/>
          <w:highlight w:val="none"/>
        </w:rPr>
        <w:t xml:space="preserve">法律、行政法规规定的其他条件。</w:t>
      </w:r>
      <w:bookmarkEnd w:id="20"/>
      <w:r>
        <w:rPr>
          <w:color w:val="auto"/>
          <w:highlight w:val="none"/>
        </w:rPr>
      </w:r>
      <w:r/>
    </w:p>
    <w:p>
      <w:pPr>
        <w:pStyle w:val="860"/>
        <w:ind w:right="476" w:firstLine="720"/>
        <w:spacing w:before="1" w:line="406"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落实政府采购政策满足的资格要求：</w:t>
      </w:r>
      <w:r>
        <w:rPr>
          <w:color w:val="auto"/>
          <w:highlight w:val="none"/>
        </w:rPr>
      </w:r>
      <w:r/>
    </w:p>
    <w:p>
      <w:pPr>
        <w:pStyle w:val="1269"/>
        <w:ind w:left="709" w:firstLine="480"/>
        <w:spacing w:line="329"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t xml:space="preserve">本项目为非预留份额的采购项目，执行价格扣除优惠政策，给予小微型企业、监狱企业或残疾人福利性单位报价</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0%的扣除，用扣除后的价格参加评审。价格扣除比例对小型企业和微型企业同等对待，不作区分。监狱企业、残疾人福利单位属于小型、微型企业的，不重复享受政策。</w:t>
      </w:r>
      <w:r>
        <w:rPr>
          <w:color w:val="auto"/>
          <w:highlight w:val="none"/>
        </w:rPr>
      </w:r>
      <w:r/>
    </w:p>
    <w:p>
      <w:pPr>
        <w:pStyle w:val="1269"/>
        <w:ind w:left="709" w:firstLine="0"/>
        <w:spacing w:line="329"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本项目的特定资格要求：</w:t>
      </w:r>
      <w:r>
        <w:rPr>
          <w:color w:val="auto"/>
          <w:highlight w:val="none"/>
        </w:rPr>
      </w:r>
      <w:r/>
    </w:p>
    <w:p>
      <w:pPr>
        <w:ind w:left="1134"/>
        <w:spacing w:line="329" w:lineRule="auto"/>
        <w:rPr>
          <w:rFonts w:hint="eastAsia" w:ascii="宋体" w:hAnsi="宋体" w:cs="Times New Roman"/>
          <w:color w:val="auto"/>
          <w:sz w:val="24"/>
          <w:szCs w:val="24"/>
          <w:highlight w:val="none"/>
        </w:rPr>
      </w:pPr>
      <w:r>
        <w:rPr>
          <w:color w:val="auto"/>
          <w:highlight w:val="none"/>
        </w:rPr>
      </w:r>
      <w:bookmarkStart w:id="21" w:name="OLE_LINK28"/>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.如投标产品为医疗器械：</w:t>
      </w:r>
      <w:r>
        <w:rPr>
          <w:color w:val="auto"/>
          <w:highlight w:val="none"/>
        </w:rPr>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.1.投标人须</w:t>
      </w:r>
      <w:r>
        <w:rPr>
          <w:rFonts w:hint="eastAsia" w:ascii="宋体" w:hAnsi="宋体" w:cs="Times New Roman"/>
          <w:color w:val="auto"/>
          <w:sz w:val="24"/>
          <w:szCs w:val="24"/>
          <w:highlight w:val="none"/>
          <w:lang w:val="en-US" w:eastAsia="zh-CN"/>
        </w:rPr>
        <w:t xml:space="preserve">根据投标产品类别，</w:t>
      </w:r>
      <w:r>
        <w:rPr>
          <w:rFonts w:hint="eastAsia" w:ascii="宋体" w:hAnsi="宋体" w:cs="Times New Roman"/>
          <w:color w:val="auto"/>
          <w:sz w:val="24"/>
          <w:szCs w:val="24"/>
          <w:highlight w:val="none"/>
        </w:rPr>
        <w:t xml:space="preserve">提供有效的医疗器械产品注册证或产品备案凭证，投标时提供复印件加盖公章。</w:t>
      </w:r>
      <w:r>
        <w:rPr>
          <w:color w:val="auto"/>
          <w:highlight w:val="none"/>
        </w:rPr>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1.2若投标人为代理商，</w:t>
      </w:r>
      <w:r>
        <w:rPr>
          <w:rFonts w:hint="eastAsia" w:ascii="宋体" w:hAnsi="宋体" w:cs="Times New Roman"/>
          <w:color w:val="auto"/>
          <w:sz w:val="24"/>
          <w:szCs w:val="24"/>
          <w:highlight w:val="none"/>
        </w:rPr>
        <w:t xml:space="preserve">须</w:t>
      </w:r>
      <w:r>
        <w:rPr>
          <w:rFonts w:hint="eastAsia" w:ascii="宋体" w:hAnsi="宋体" w:cs="Times New Roman"/>
          <w:color w:val="auto"/>
          <w:sz w:val="24"/>
          <w:szCs w:val="24"/>
          <w:highlight w:val="none"/>
          <w:lang w:val="en-US" w:eastAsia="zh-CN"/>
        </w:rPr>
        <w:t xml:space="preserve">根据投标产品类别，提供有效的《医疗器械经营许可证》或医疗器械经营备案凭证，投标时提供复印件加盖公章。</w:t>
      </w:r>
      <w:r>
        <w:rPr>
          <w:color w:val="auto"/>
          <w:highlight w:val="none"/>
        </w:rPr>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1.3.医疗器械生产企业投标本企业产品的，须提供《医疗器械生产许可证》，投标时提供复印件加盖公章。</w:t>
      </w:r>
      <w:r>
        <w:rPr>
          <w:color w:val="auto"/>
          <w:highlight w:val="none"/>
        </w:rPr>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rPr>
        <w:t xml:space="preserve">.拒绝下述供应商参加本次采购活动的情形：</w:t>
      </w:r>
      <w:r>
        <w:rPr>
          <w:color w:val="auto"/>
          <w:highlight w:val="none"/>
        </w:rPr>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rPr>
        <w:t xml:space="preserve">.1.供应商单位负责人为同一人或者存在直接控股、管理关系的不同供应商，不得参加同一合同项下的政府采购活动。</w:t>
      </w:r>
      <w:r>
        <w:rPr>
          <w:color w:val="auto"/>
          <w:highlight w:val="none"/>
        </w:rPr>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rPr>
        <w:t xml:space="preserve">.2.凡为采购项目提供整体设计、规范编制或者项目管理、监理、检测等服务的供应商，不得再参加本项目的采购活动。</w:t>
      </w:r>
      <w:r>
        <w:rPr>
          <w:color w:val="auto"/>
          <w:highlight w:val="none"/>
        </w:rPr>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rPr>
        <w:t xml:space="preserve">.3.拒绝列入失信被执行人、重大税收违法案件当事人名单、政府采购严重违法失信行为记录名单的供应商参与政府采购活动。</w:t>
      </w:r>
      <w:bookmarkEnd w:id="21"/>
      <w:r>
        <w:rPr>
          <w:color w:val="auto"/>
          <w:highlight w:val="none"/>
        </w:rPr>
      </w:r>
      <w:r/>
    </w:p>
    <w:p>
      <w:pPr>
        <w:pStyle w:val="1269"/>
        <w:spacing w:line="360" w:lineRule="auto"/>
        <w:rPr>
          <w:rFonts w:hint="eastAsia" w:ascii="宋体" w:hAnsi="宋体" w:cs="宋体"/>
          <w:b/>
          <w:bCs/>
          <w:color w:val="auto"/>
          <w:sz w:val="24"/>
          <w:szCs w:val="24"/>
          <w:highlight w:val="none"/>
        </w:rPr>
        <w:outlineLvl w:val="1"/>
      </w:pPr>
      <w:r>
        <w:rPr>
          <w:color w:val="auto"/>
          <w:highlight w:val="none"/>
        </w:rPr>
      </w:r>
      <w:bookmarkStart w:id="22" w:name="_Toc26697"/>
      <w:r>
        <w:rPr>
          <w:color w:val="auto"/>
          <w:highlight w:val="none"/>
        </w:rPr>
      </w:r>
      <w:bookmarkStart w:id="23" w:name="_Toc1979"/>
      <w:r>
        <w:rPr>
          <w:color w:val="auto"/>
          <w:highlight w:val="none"/>
        </w:rPr>
      </w:r>
      <w:bookmarkStart w:id="24" w:name="_Toc13339"/>
      <w:r>
        <w:rPr>
          <w:rFonts w:hint="eastAsia" w:ascii="宋体" w:hAnsi="宋体" w:cs="宋体"/>
          <w:b/>
          <w:bCs/>
          <w:color w:val="auto"/>
          <w:sz w:val="24"/>
          <w:szCs w:val="24"/>
          <w:highlight w:val="none"/>
        </w:rPr>
        <w:t xml:space="preserve">三、获取招标文件</w:t>
      </w:r>
      <w:bookmarkEnd w:id="22"/>
      <w:r>
        <w:rPr>
          <w:color w:val="auto"/>
          <w:highlight w:val="none"/>
        </w:rPr>
      </w:r>
      <w:bookmarkEnd w:id="23"/>
      <w:r>
        <w:rPr>
          <w:color w:val="auto"/>
          <w:highlight w:val="none"/>
        </w:rPr>
      </w:r>
      <w:bookmarkEnd w:id="24"/>
      <w:r>
        <w:rPr>
          <w:color w:val="auto"/>
          <w:highlight w:val="none"/>
        </w:rPr>
      </w:r>
      <w:r/>
    </w:p>
    <w:p>
      <w:pPr>
        <w:pStyle w:val="1269"/>
        <w:ind w:left="8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1、时间：自公告发布之日起5个工作日。5个工作日后仍可下载采购文件，但不作为投标人权益受到损害的证明材料和依据。</w:t>
      </w:r>
      <w:r>
        <w:rPr>
          <w:color w:val="auto"/>
          <w:highlight w:val="none"/>
        </w:rPr>
      </w:r>
      <w:r/>
    </w:p>
    <w:p>
      <w:pPr>
        <w:ind w:firstLine="1262"/>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2、地点：</w:t>
      </w:r>
      <w:r>
        <w:rPr>
          <w:rFonts w:hint="eastAsia" w:ascii="宋体" w:hAnsi="宋体" w:cs="宋体"/>
          <w:color w:val="auto"/>
          <w:sz w:val="24"/>
          <w:highlight w:val="none"/>
        </w:rPr>
        <w:t xml:space="preserve">“江苏政府采购网</w:t>
      </w:r>
      <w:r>
        <w:rPr>
          <w:rFonts w:hint="eastAsia" w:ascii="宋体" w:hAnsi="宋体" w:cs="宋体"/>
          <w:color w:val="auto"/>
          <w:sz w:val="24"/>
          <w:highlight w:val="none"/>
          <w:lang w:val="en-US" w:eastAsia="zh-CN"/>
        </w:rPr>
        <w:t xml:space="preserve">苏采云系统</w:t>
      </w:r>
      <w:r>
        <w:rPr>
          <w:rFonts w:hint="eastAsia" w:ascii="宋体" w:hAnsi="宋体" w:cs="宋体"/>
          <w:color w:val="auto"/>
          <w:sz w:val="24"/>
          <w:highlight w:val="none"/>
        </w:rPr>
        <w:t xml:space="preserve">”</w:t>
      </w:r>
      <w:r>
        <w:rPr>
          <w:color w:val="auto"/>
          <w:highlight w:val="none"/>
        </w:rPr>
      </w:r>
      <w:r/>
    </w:p>
    <w:p>
      <w:pPr>
        <w:ind w:firstLine="126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3、方式：本项目采用网上注册登记方式免费获取。</w:t>
      </w:r>
      <w:r>
        <w:rPr>
          <w:color w:val="auto"/>
          <w:highlight w:val="none"/>
        </w:rPr>
      </w:r>
      <w:r/>
    </w:p>
    <w:p>
      <w:pPr>
        <w:pStyle w:val="1232"/>
        <w:ind w:left="709" w:firstLine="0"/>
        <w:spacing w:line="360" w:lineRule="auto"/>
        <w:tabs>
          <w:tab w:val="left" w:pos="1134" w:leader="none"/>
        </w:tabs>
        <w:rPr>
          <w:rFonts w:hint="eastAsia" w:ascii="宋体" w:hAnsi="宋体" w:cs="宋体"/>
          <w:b/>
          <w:bCs/>
          <w:color w:val="auto"/>
          <w:sz w:val="24"/>
          <w:szCs w:val="24"/>
          <w:highlight w:val="none"/>
        </w:rPr>
        <w:outlineLvl w:val="1"/>
      </w:pPr>
      <w:r>
        <w:rPr>
          <w:color w:val="auto"/>
          <w:highlight w:val="none"/>
        </w:rPr>
      </w:r>
      <w:bookmarkStart w:id="25" w:name="_Toc28083"/>
      <w:r>
        <w:rPr>
          <w:color w:val="auto"/>
          <w:highlight w:val="none"/>
        </w:rPr>
      </w:r>
      <w:bookmarkStart w:id="26" w:name="_Toc2291"/>
      <w:r>
        <w:rPr>
          <w:color w:val="auto"/>
          <w:highlight w:val="none"/>
        </w:rPr>
      </w:r>
      <w:bookmarkStart w:id="27" w:name="_Toc12587"/>
      <w:r>
        <w:rPr>
          <w:rFonts w:hint="eastAsia" w:ascii="宋体" w:hAnsi="宋体" w:cs="宋体"/>
          <w:b/>
          <w:bCs/>
          <w:color w:val="auto"/>
          <w:sz w:val="24"/>
          <w:szCs w:val="24"/>
          <w:highlight w:val="none"/>
        </w:rPr>
        <w:t xml:space="preserve">四、提交投标文件截止时间、开标时间和地点</w:t>
      </w:r>
      <w:bookmarkEnd w:id="25"/>
      <w:r>
        <w:rPr>
          <w:color w:val="auto"/>
          <w:highlight w:val="none"/>
        </w:rPr>
      </w:r>
      <w:bookmarkEnd w:id="26"/>
      <w:r>
        <w:rPr>
          <w:color w:val="auto"/>
          <w:highlight w:val="none"/>
        </w:rPr>
      </w:r>
      <w:bookmarkEnd w:id="27"/>
      <w:r>
        <w:rPr>
          <w:color w:val="auto"/>
          <w:highlight w:val="none"/>
        </w:rPr>
      </w:r>
      <w:r/>
    </w:p>
    <w:p>
      <w:pPr>
        <w:pStyle w:val="1232"/>
        <w:ind w:left="1134" w:firstLine="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bCs/>
          <w:color w:val="auto"/>
          <w:sz w:val="24"/>
          <w:szCs w:val="20"/>
          <w:highlight w:val="none"/>
        </w:rPr>
        <w:t xml:space="preserve">投标文件截止时间及开标时间：</w:t>
      </w: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27</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lang w:eastAsia="zh-CN"/>
        </w:rPr>
        <w:t xml:space="preserve">点</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lang w:eastAsia="zh-CN"/>
        </w:rPr>
        <w:t xml:space="preserve">分</w:t>
      </w:r>
      <w:r>
        <w:rPr>
          <w:rFonts w:hint="eastAsia" w:ascii="宋体" w:hAnsi="宋体" w:cs="宋体"/>
          <w:color w:val="auto"/>
          <w:sz w:val="24"/>
          <w:szCs w:val="24"/>
          <w:highlight w:val="none"/>
        </w:rPr>
        <w:t xml:space="preserve">（北京时间）</w:t>
      </w:r>
      <w:r>
        <w:rPr>
          <w:color w:val="auto"/>
          <w:highlight w:val="none"/>
        </w:rPr>
      </w:r>
      <w:r/>
    </w:p>
    <w:p>
      <w:pPr>
        <w:pStyle w:val="1232"/>
        <w:ind w:left="1134" w:firstLine="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地点：</w:t>
      </w:r>
      <w:r>
        <w:rPr>
          <w:rFonts w:hint="eastAsia" w:ascii="宋体" w:hAnsi="宋体" w:cs="宋体"/>
          <w:color w:val="auto"/>
          <w:sz w:val="24"/>
          <w:highlight w:val="none"/>
        </w:rPr>
        <w:t xml:space="preserve">“苏采云”政府采购交易系统网上开标大厅。</w:t>
      </w:r>
      <w:r>
        <w:rPr>
          <w:color w:val="auto"/>
          <w:highlight w:val="none"/>
        </w:rPr>
      </w:r>
      <w:r/>
    </w:p>
    <w:p>
      <w:pPr>
        <w:pStyle w:val="1232"/>
        <w:ind w:left="708" w:firstLine="0"/>
        <w:spacing w:line="312" w:lineRule="auto"/>
        <w:tabs>
          <w:tab w:val="left" w:pos="1134" w:leader="none"/>
        </w:tabs>
        <w:rPr>
          <w:rFonts w:hint="eastAsia" w:ascii="宋体" w:hAnsi="宋体" w:cs="宋体"/>
          <w:b/>
          <w:bCs/>
          <w:color w:val="auto"/>
          <w:sz w:val="24"/>
          <w:szCs w:val="24"/>
          <w:highlight w:val="none"/>
        </w:rPr>
        <w:outlineLvl w:val="1"/>
      </w:pPr>
      <w:r>
        <w:rPr>
          <w:color w:val="auto"/>
          <w:highlight w:val="none"/>
        </w:rPr>
      </w:r>
      <w:bookmarkStart w:id="28" w:name="_Toc5544"/>
      <w:r>
        <w:rPr>
          <w:color w:val="auto"/>
          <w:highlight w:val="none"/>
        </w:rPr>
      </w:r>
      <w:bookmarkStart w:id="29" w:name="_Toc8288"/>
      <w:r>
        <w:rPr>
          <w:color w:val="auto"/>
          <w:highlight w:val="none"/>
        </w:rPr>
      </w:r>
      <w:bookmarkStart w:id="30" w:name="_Toc19411"/>
      <w:r>
        <w:rPr>
          <w:rFonts w:hint="eastAsia" w:ascii="宋体" w:hAnsi="宋体" w:cs="宋体"/>
          <w:b/>
          <w:bCs/>
          <w:color w:val="auto"/>
          <w:sz w:val="24"/>
          <w:szCs w:val="24"/>
          <w:highlight w:val="none"/>
        </w:rPr>
        <w:t xml:space="preserve">五、公告期限</w:t>
      </w:r>
      <w:bookmarkEnd w:id="28"/>
      <w:r>
        <w:rPr>
          <w:color w:val="auto"/>
          <w:highlight w:val="none"/>
        </w:rPr>
      </w:r>
      <w:bookmarkEnd w:id="29"/>
      <w:r>
        <w:rPr>
          <w:color w:val="auto"/>
          <w:highlight w:val="none"/>
        </w:rPr>
      </w:r>
      <w:bookmarkEnd w:id="30"/>
      <w:r>
        <w:rPr>
          <w:color w:val="auto"/>
          <w:highlight w:val="none"/>
        </w:rPr>
      </w:r>
      <w:r/>
    </w:p>
    <w:p>
      <w:pPr>
        <w:pStyle w:val="1232"/>
        <w:ind w:firstLine="1200"/>
        <w:spacing w:line="312" w:lineRule="auto"/>
        <w:tabs>
          <w:tab w:val="left" w:pos="127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rPr>
          <w:color w:val="auto"/>
          <w:highlight w:val="none"/>
        </w:rPr>
      </w:r>
      <w:r/>
    </w:p>
    <w:p>
      <w:pPr>
        <w:pStyle w:val="1232"/>
        <w:numPr>
          <w:ilvl w:val="0"/>
          <w:numId w:val="5"/>
        </w:numPr>
        <w:ind w:left="709" w:firstLine="0"/>
        <w:spacing w:line="360" w:lineRule="exact"/>
        <w:tabs>
          <w:tab w:val="left" w:pos="1134" w:leader="none"/>
        </w:tabs>
        <w:rPr>
          <w:rFonts w:hint="eastAsia" w:ascii="宋体" w:hAnsi="宋体" w:eastAsia="宋体" w:cs="宋体"/>
          <w:b/>
          <w:bCs/>
          <w:color w:val="auto"/>
          <w:sz w:val="24"/>
          <w:szCs w:val="24"/>
          <w:highlight w:val="none"/>
        </w:rPr>
        <w:outlineLvl w:val="1"/>
      </w:pPr>
      <w:r>
        <w:rPr>
          <w:color w:val="auto"/>
          <w:highlight w:val="none"/>
        </w:rPr>
      </w:r>
      <w:bookmarkStart w:id="31" w:name="_Toc12845"/>
      <w:r>
        <w:rPr>
          <w:color w:val="auto"/>
          <w:highlight w:val="none"/>
        </w:rPr>
      </w:r>
      <w:bookmarkStart w:id="32" w:name="_Toc15265"/>
      <w:r>
        <w:rPr>
          <w:color w:val="auto"/>
          <w:highlight w:val="none"/>
        </w:rPr>
      </w:r>
      <w:bookmarkStart w:id="33" w:name="_Toc12830"/>
      <w:r>
        <w:rPr>
          <w:rFonts w:hint="eastAsia" w:ascii="宋体" w:hAnsi="宋体" w:cs="宋体"/>
          <w:b/>
          <w:bCs/>
          <w:color w:val="auto"/>
          <w:sz w:val="24"/>
          <w:szCs w:val="24"/>
          <w:highlight w:val="none"/>
        </w:rPr>
        <w:t xml:space="preserve">其他补充事宜</w:t>
      </w:r>
      <w:bookmarkEnd w:id="31"/>
      <w:r>
        <w:rPr>
          <w:color w:val="auto"/>
          <w:highlight w:val="none"/>
        </w:rPr>
      </w:r>
      <w:bookmarkEnd w:id="32"/>
      <w:r>
        <w:rPr>
          <w:color w:val="auto"/>
          <w:highlight w:val="none"/>
        </w:rPr>
      </w:r>
      <w:bookmarkEnd w:id="33"/>
      <w:r>
        <w:rPr>
          <w:color w:val="auto"/>
          <w:highlight w:val="none"/>
        </w:rPr>
      </w:r>
      <w:r/>
    </w:p>
    <w:p>
      <w:pPr>
        <w:ind w:firstLine="964"/>
        <w:spacing w:line="360" w:lineRule="auto"/>
        <w:rPr>
          <w:rFonts w:hint="eastAsia" w:ascii="宋体" w:hAnsi="宋体" w:cs="宋体"/>
          <w:b/>
          <w:color w:val="auto"/>
          <w:sz w:val="24"/>
          <w:szCs w:val="24"/>
          <w:highlight w:val="none"/>
        </w:rPr>
      </w:pPr>
      <w:r>
        <w:rPr>
          <w:color w:val="auto"/>
          <w:highlight w:val="none"/>
        </w:rPr>
      </w:r>
      <w:bookmarkStart w:id="34" w:name="_Toc10479"/>
      <w:r>
        <w:rPr>
          <w:rFonts w:hint="eastAsia" w:ascii="宋体" w:hAnsi="宋体" w:cs="宋体"/>
          <w:b/>
          <w:color w:val="auto"/>
          <w:sz w:val="24"/>
          <w:szCs w:val="24"/>
          <w:highlight w:val="none"/>
        </w:rPr>
        <w:t xml:space="preserve">1、潜在供应商访问政府采购管理交易系统（苏采云）的网络地址和方法：</w:t>
      </w:r>
      <w:r>
        <w:rPr>
          <w:color w:val="auto"/>
          <w:highlight w:val="none"/>
        </w:rPr>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color w:val="auto"/>
          <w:highlight w:val="none"/>
        </w:rPr>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（2）“CA数字证书”的获取：供应商需办理CA锁，“苏采云”系统目前仅支持“苏采云”系统下的政务CA，省内各地区办理的“苏采云”系统下的政务CA全省通用。</w:t>
      </w:r>
      <w:r>
        <w:rPr>
          <w:color w:val="auto"/>
          <w:highlight w:val="none"/>
        </w:rPr>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（3）“CA数字证书”的办理材料以及供应商操作手册详见：http://jsxcmm.com/help/gys.html。</w:t>
      </w:r>
      <w:r>
        <w:rPr>
          <w:color w:val="auto"/>
          <w:highlight w:val="none"/>
        </w:rPr>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（4）潜在供应商访问“苏采云”系统的网络地址和方法：“苏采云”系统的网址：http://jszfcg.jsczt.cn/jszc/login。</w:t>
      </w:r>
      <w:r>
        <w:rPr>
          <w:color w:val="auto"/>
          <w:highlight w:val="none"/>
        </w:rPr>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（5）采购文件（后缀名为“.kedt”）、供应商操作手册及政府采购客户端工具也可通过“苏采云”系统--已报名项目--报名详情页面内相应链接进行下载。</w:t>
      </w:r>
      <w:r>
        <w:rPr>
          <w:color w:val="auto"/>
          <w:highlight w:val="none"/>
        </w:rPr>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（6）招标代理机构（采购代理机构）将数据电文形式的采购文件加载至“苏采云”系统，供潜在供应商下载或者查阅。    </w:t>
      </w:r>
      <w:r>
        <w:rPr>
          <w:color w:val="auto"/>
          <w:highlight w:val="none"/>
        </w:rPr>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（7）苏采云系统使用谷歌浏览器参与不见面开标。</w:t>
      </w:r>
      <w:r>
        <w:rPr>
          <w:color w:val="auto"/>
          <w:highlight w:val="none"/>
        </w:rPr>
      </w:r>
      <w:r/>
    </w:p>
    <w:p>
      <w:pPr>
        <w:ind w:firstLine="723"/>
        <w:spacing w:line="360" w:lineRule="auto"/>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rPr>
        <w:t xml:space="preserve">2.本项目获取招标文件时间明确为：2026年</w:t>
      </w:r>
      <w:r>
        <w:rPr>
          <w:rFonts w:hint="eastAsia" w:ascii="宋体" w:hAnsi="宋体" w:cs="宋体"/>
          <w:b/>
          <w:bCs w:val="0"/>
          <w:color w:val="auto"/>
          <w:sz w:val="24"/>
          <w:szCs w:val="24"/>
          <w:highlight w:val="none"/>
          <w:lang w:val="en-US" w:eastAsia="zh-CN"/>
        </w:rPr>
        <w:t xml:space="preserve">11</w:t>
      </w:r>
      <w:r>
        <w:rPr>
          <w:rFonts w:hint="eastAsia" w:ascii="宋体" w:hAnsi="宋体" w:cs="宋体"/>
          <w:b/>
          <w:bCs w:val="0"/>
          <w:color w:val="auto"/>
          <w:sz w:val="24"/>
          <w:szCs w:val="24"/>
          <w:highlight w:val="none"/>
        </w:rPr>
        <w:t xml:space="preserve">月</w:t>
      </w:r>
      <w:r>
        <w:rPr>
          <w:rFonts w:hint="eastAsia" w:ascii="宋体" w:hAnsi="宋体" w:cs="宋体"/>
          <w:b/>
          <w:bCs w:val="0"/>
          <w:color w:val="auto"/>
          <w:sz w:val="24"/>
          <w:szCs w:val="24"/>
          <w:highlight w:val="none"/>
          <w:lang w:val="en-US" w:eastAsia="zh-CN"/>
        </w:rPr>
        <w:t xml:space="preserve">4</w:t>
      </w:r>
      <w:r>
        <w:rPr>
          <w:rFonts w:hint="eastAsia" w:ascii="宋体" w:hAnsi="宋体" w:cs="宋体"/>
          <w:b/>
          <w:bCs w:val="0"/>
          <w:color w:val="auto"/>
          <w:sz w:val="24"/>
          <w:szCs w:val="24"/>
          <w:highlight w:val="none"/>
        </w:rPr>
        <w:t xml:space="preserve">日起至2026年</w:t>
      </w:r>
      <w:r>
        <w:rPr>
          <w:rFonts w:hint="eastAsia" w:ascii="宋体" w:hAnsi="宋体" w:cs="宋体"/>
          <w:b/>
          <w:bCs w:val="0"/>
          <w:color w:val="auto"/>
          <w:sz w:val="24"/>
          <w:szCs w:val="24"/>
          <w:highlight w:val="none"/>
          <w:lang w:val="en-US" w:eastAsia="zh-CN"/>
        </w:rPr>
        <w:t xml:space="preserve">11</w:t>
      </w:r>
      <w:r>
        <w:rPr>
          <w:rFonts w:hint="eastAsia" w:ascii="宋体" w:hAnsi="宋体" w:cs="宋体"/>
          <w:b/>
          <w:bCs w:val="0"/>
          <w:color w:val="auto"/>
          <w:sz w:val="24"/>
          <w:szCs w:val="24"/>
          <w:highlight w:val="none"/>
        </w:rPr>
        <w:t xml:space="preserve">月</w:t>
      </w:r>
      <w:r>
        <w:rPr>
          <w:rFonts w:hint="eastAsia" w:ascii="宋体" w:hAnsi="宋体" w:cs="宋体"/>
          <w:b/>
          <w:bCs w:val="0"/>
          <w:color w:val="auto"/>
          <w:sz w:val="24"/>
          <w:szCs w:val="24"/>
          <w:highlight w:val="none"/>
          <w:lang w:val="en-US" w:eastAsia="zh-CN"/>
        </w:rPr>
        <w:t xml:space="preserve">11</w:t>
      </w:r>
      <w:r>
        <w:rPr>
          <w:rFonts w:hint="eastAsia" w:ascii="宋体" w:hAnsi="宋体" w:cs="宋体"/>
          <w:b/>
          <w:bCs w:val="0"/>
          <w:color w:val="auto"/>
          <w:sz w:val="24"/>
          <w:szCs w:val="24"/>
          <w:highlight w:val="none"/>
        </w:rPr>
        <w:t xml:space="preserve">日止。5个工作日后仍可下载采购文件，但不作为投标人权益受到损害的证明材料和依据。</w:t>
      </w:r>
      <w:r>
        <w:rPr>
          <w:color w:val="auto"/>
          <w:highlight w:val="none"/>
        </w:rPr>
      </w:r>
      <w:r/>
    </w:p>
    <w:p>
      <w:pPr>
        <w:ind w:firstLine="723"/>
        <w:spacing w:line="360" w:lineRule="auto"/>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rPr>
        <w:t xml:space="preserve">3.有关本次采购的事项若存在变动或修改，敬请及时关注“江苏政府采购网”发布的信息。</w:t>
      </w:r>
      <w:r>
        <w:rPr>
          <w:color w:val="auto"/>
          <w:highlight w:val="none"/>
        </w:rPr>
      </w:r>
      <w:r/>
    </w:p>
    <w:p>
      <w:pPr>
        <w:ind w:firstLine="723"/>
        <w:spacing w:line="360" w:lineRule="auto"/>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rPr>
        <w:t xml:space="preserve">4.投标人对于投标产品的包装应按照“财办库〔2020〕123号《关于印发《商品包装政府采购需求标准（试行）》、《快递包装政府采购需求标准（试行）》的通知》”执行。</w:t>
      </w:r>
      <w:r>
        <w:rPr>
          <w:color w:val="auto"/>
          <w:highlight w:val="none"/>
        </w:rPr>
      </w:r>
      <w:r/>
    </w:p>
    <w:p>
      <w:pPr>
        <w:pStyle w:val="1232"/>
        <w:ind w:left="709" w:firstLine="0"/>
        <w:spacing w:line="360" w:lineRule="auto"/>
        <w:tabs>
          <w:tab w:val="left" w:pos="1134" w:leader="none"/>
        </w:tabs>
        <w:rPr>
          <w:rFonts w:hint="eastAsia" w:ascii="宋体" w:hAnsi="宋体" w:cs="宋体"/>
          <w:b/>
          <w:bCs/>
          <w:color w:val="auto"/>
          <w:sz w:val="24"/>
          <w:szCs w:val="24"/>
          <w:highlight w:val="none"/>
        </w:rPr>
        <w:outlineLvl w:val="1"/>
      </w:pPr>
      <w:r>
        <w:rPr>
          <w:color w:val="auto"/>
          <w:highlight w:val="none"/>
        </w:rPr>
      </w:r>
      <w:bookmarkStart w:id="35" w:name="_Toc26301"/>
      <w:r>
        <w:rPr>
          <w:color w:val="auto"/>
          <w:highlight w:val="none"/>
        </w:rPr>
      </w:r>
      <w:bookmarkStart w:id="36" w:name="_Toc24284"/>
      <w:r>
        <w:rPr>
          <w:rFonts w:hint="eastAsia" w:ascii="宋体" w:hAnsi="宋体" w:cs="宋体"/>
          <w:b/>
          <w:bCs/>
          <w:color w:val="auto"/>
          <w:sz w:val="24"/>
          <w:szCs w:val="24"/>
          <w:highlight w:val="none"/>
        </w:rPr>
        <w:t xml:space="preserve">七、对本次招标提出询问，请按以下方式联系。</w:t>
      </w:r>
      <w:bookmarkEnd w:id="34"/>
      <w:r>
        <w:rPr>
          <w:color w:val="auto"/>
          <w:highlight w:val="none"/>
        </w:rPr>
      </w:r>
      <w:bookmarkEnd w:id="35"/>
      <w:r>
        <w:rPr>
          <w:color w:val="auto"/>
          <w:highlight w:val="none"/>
        </w:rPr>
      </w:r>
      <w:bookmarkEnd w:id="36"/>
      <w:r>
        <w:rPr>
          <w:color w:val="auto"/>
          <w:highlight w:val="none"/>
        </w:rPr>
      </w:r>
      <w:r/>
    </w:p>
    <w:p>
      <w:pPr>
        <w:pStyle w:val="1049"/>
        <w:ind w:firstLine="720"/>
        <w:spacing w:before="0" w:beforeAutospacing="0" w:after="0" w:afterAutospacing="0" w:line="360" w:lineRule="auto"/>
        <w:rPr>
          <w:rFonts w:hint="eastAsia" w:hAnsi="宋体" w:cs="宋体"/>
          <w:color w:val="auto"/>
          <w:szCs w:val="24"/>
          <w:highlight w:val="none"/>
        </w:rPr>
        <w:outlineLvl w:val="1"/>
      </w:pPr>
      <w:r>
        <w:rPr>
          <w:color w:val="auto"/>
          <w:highlight w:val="none"/>
        </w:rPr>
      </w:r>
      <w:bookmarkStart w:id="37" w:name="_Toc5336"/>
      <w:r>
        <w:rPr>
          <w:color w:val="auto"/>
          <w:highlight w:val="none"/>
        </w:rPr>
      </w:r>
      <w:bookmarkStart w:id="38" w:name="_Toc11624"/>
      <w:r>
        <w:rPr>
          <w:color w:val="auto"/>
          <w:highlight w:val="none"/>
        </w:rPr>
      </w:r>
      <w:bookmarkStart w:id="39" w:name="_Toc25617"/>
      <w:r>
        <w:rPr>
          <w:rFonts w:hint="eastAsia" w:hAnsi="宋体" w:cs="宋体"/>
          <w:color w:val="auto"/>
          <w:szCs w:val="24"/>
          <w:highlight w:val="none"/>
        </w:rPr>
        <w:t xml:space="preserve">1.采购人信息</w:t>
      </w:r>
      <w:bookmarkEnd w:id="37"/>
      <w:r>
        <w:rPr>
          <w:color w:val="auto"/>
          <w:highlight w:val="none"/>
        </w:rPr>
      </w:r>
      <w:r/>
    </w:p>
    <w:p>
      <w:pPr>
        <w:pStyle w:val="1049"/>
        <w:ind w:firstLine="720"/>
        <w:spacing w:before="0" w:beforeAutospacing="0" w:after="0" w:afterAutospacing="0" w:line="360" w:lineRule="auto"/>
        <w:rPr>
          <w:rFonts w:hint="eastAsia" w:hAnsi="宋体" w:cs="宋体"/>
          <w:color w:val="auto"/>
          <w:szCs w:val="24"/>
          <w:highlight w:val="none"/>
        </w:rPr>
        <w:outlineLvl w:val="1"/>
      </w:pPr>
      <w:r>
        <w:rPr>
          <w:color w:val="auto"/>
          <w:highlight w:val="none"/>
        </w:rPr>
      </w:r>
      <w:bookmarkStart w:id="40" w:name="_Toc18962"/>
      <w:r>
        <w:rPr>
          <w:rFonts w:hint="eastAsia" w:hAnsi="宋体" w:cs="宋体"/>
          <w:color w:val="auto"/>
          <w:szCs w:val="24"/>
          <w:highlight w:val="none"/>
        </w:rPr>
        <w:t xml:space="preserve">名称：</w:t>
      </w:r>
      <w:bookmarkEnd w:id="40"/>
      <w:r>
        <w:rPr>
          <w:rFonts w:hint="eastAsia" w:hAnsi="宋体" w:cs="宋体"/>
          <w:color w:val="auto"/>
          <w:szCs w:val="24"/>
          <w:highlight w:val="none"/>
          <w:lang w:eastAsia="zh-CN"/>
        </w:rPr>
        <w:t xml:space="preserve">扬州市卫生健康委员会</w:t>
      </w:r>
      <w:r>
        <w:rPr>
          <w:color w:val="auto"/>
          <w:highlight w:val="none"/>
        </w:rPr>
      </w:r>
      <w:r/>
    </w:p>
    <w:p>
      <w:pPr>
        <w:pStyle w:val="1049"/>
        <w:ind w:firstLine="720"/>
        <w:spacing w:before="0" w:beforeAutospacing="0" w:after="0" w:afterAutospacing="0" w:line="360" w:lineRule="auto"/>
        <w:rPr>
          <w:rFonts w:hint="eastAsia" w:hAnsi="宋体" w:cs="宋体"/>
          <w:color w:val="auto"/>
          <w:szCs w:val="24"/>
          <w:highlight w:val="none"/>
        </w:rPr>
        <w:outlineLvl w:val="1"/>
      </w:pPr>
      <w:r>
        <w:rPr>
          <w:color w:val="auto"/>
          <w:highlight w:val="none"/>
        </w:rPr>
      </w:r>
      <w:bookmarkStart w:id="41" w:name="_Toc17137"/>
      <w:r>
        <w:rPr>
          <w:rFonts w:hint="eastAsia" w:hAnsi="宋体" w:cs="宋体"/>
          <w:color w:val="auto"/>
          <w:szCs w:val="24"/>
          <w:highlight w:val="none"/>
        </w:rPr>
        <w:t xml:space="preserve">地址：</w:t>
      </w:r>
      <w:bookmarkEnd w:id="41"/>
      <w:r>
        <w:rPr>
          <w:rFonts w:hint="eastAsia" w:hAnsi="宋体" w:cs="宋体"/>
          <w:color w:val="auto"/>
          <w:szCs w:val="24"/>
          <w:highlight w:val="none"/>
        </w:rPr>
        <w:t xml:space="preserve">扬州市维扬路268号</w:t>
      </w:r>
      <w:r>
        <w:rPr>
          <w:color w:val="auto"/>
          <w:highlight w:val="none"/>
        </w:rPr>
      </w:r>
      <w:r/>
    </w:p>
    <w:p>
      <w:pPr>
        <w:pStyle w:val="1049"/>
        <w:ind w:firstLine="720"/>
        <w:spacing w:before="0" w:beforeAutospacing="0" w:after="0" w:afterAutospacing="0" w:line="360" w:lineRule="auto"/>
        <w:rPr>
          <w:rFonts w:hint="default" w:hAnsi="宋体" w:eastAsia="宋体" w:cs="宋体"/>
          <w:color w:val="auto"/>
          <w:szCs w:val="24"/>
          <w:highlight w:val="none"/>
        </w:rPr>
        <w:outlineLvl w:val="1"/>
      </w:pPr>
      <w:r>
        <w:rPr>
          <w:color w:val="auto"/>
          <w:highlight w:val="none"/>
        </w:rPr>
      </w:r>
      <w:bookmarkStart w:id="42" w:name="_Toc18720"/>
      <w:r>
        <w:rPr>
          <w:rFonts w:hint="eastAsia" w:hAnsi="宋体" w:cs="宋体"/>
          <w:color w:val="auto"/>
          <w:szCs w:val="24"/>
          <w:highlight w:val="none"/>
        </w:rPr>
        <w:t xml:space="preserve">联系方式：</w:t>
      </w:r>
      <w:bookmarkEnd w:id="42"/>
      <w:r>
        <w:rPr>
          <w:rFonts w:hint="eastAsia" w:hAnsi="宋体" w:cs="宋体"/>
          <w:color w:val="auto"/>
          <w:szCs w:val="24"/>
          <w:highlight w:val="none"/>
          <w:lang w:val="en-US" w:eastAsia="zh-CN"/>
        </w:rPr>
        <w:t xml:space="preserve">0514-87361585</w:t>
      </w:r>
      <w:r>
        <w:rPr>
          <w:color w:val="auto"/>
          <w:highlight w:val="none"/>
        </w:rPr>
      </w:r>
      <w:r/>
    </w:p>
    <w:p>
      <w:pPr>
        <w:pStyle w:val="1049"/>
        <w:ind w:firstLine="720"/>
        <w:spacing w:before="0" w:beforeAutospacing="0" w:after="0" w:afterAutospacing="0" w:line="360" w:lineRule="auto"/>
        <w:rPr>
          <w:rFonts w:hint="eastAsia" w:hAnsi="宋体" w:cs="宋体"/>
          <w:color w:val="auto"/>
          <w:szCs w:val="24"/>
          <w:highlight w:val="none"/>
        </w:rPr>
        <w:outlineLvl w:val="1"/>
      </w:pPr>
      <w:r>
        <w:rPr>
          <w:color w:val="auto"/>
          <w:highlight w:val="none"/>
        </w:rPr>
      </w:r>
      <w:bookmarkStart w:id="43" w:name="_Toc29917"/>
      <w:r>
        <w:rPr>
          <w:rFonts w:hint="eastAsia" w:hAnsi="宋体" w:cs="宋体"/>
          <w:color w:val="auto"/>
          <w:szCs w:val="24"/>
          <w:highlight w:val="none"/>
        </w:rPr>
        <w:t xml:space="preserve">2.采购代理机构信息</w:t>
      </w:r>
      <w:bookmarkEnd w:id="38"/>
      <w:r>
        <w:rPr>
          <w:color w:val="auto"/>
          <w:highlight w:val="none"/>
        </w:rPr>
      </w:r>
      <w:bookmarkEnd w:id="43"/>
      <w:r>
        <w:rPr>
          <w:color w:val="auto"/>
          <w:highlight w:val="none"/>
        </w:rPr>
      </w:r>
      <w:r/>
    </w:p>
    <w:p>
      <w:pPr>
        <w:pStyle w:val="1049"/>
        <w:ind w:firstLine="720"/>
        <w:spacing w:before="0" w:beforeAutospacing="0" w:after="0" w:afterAutospacing="0" w:line="312" w:lineRule="auto"/>
        <w:rPr>
          <w:rFonts w:hint="eastAsia" w:hAnsi="宋体" w:cs="宋体"/>
          <w:color w:val="auto"/>
          <w:szCs w:val="24"/>
          <w:highlight w:val="none"/>
        </w:rPr>
        <w:outlineLvl w:val="1"/>
      </w:pPr>
      <w:r>
        <w:rPr>
          <w:color w:val="auto"/>
          <w:highlight w:val="none"/>
        </w:rPr>
      </w:r>
      <w:bookmarkStart w:id="44" w:name="_Toc17590"/>
      <w:r>
        <w:rPr>
          <w:color w:val="auto"/>
          <w:highlight w:val="none"/>
        </w:rPr>
      </w:r>
      <w:bookmarkStart w:id="45" w:name="_Toc6514"/>
      <w:r>
        <w:rPr>
          <w:rFonts w:hint="eastAsia" w:hAnsi="宋体" w:cs="宋体"/>
          <w:color w:val="auto"/>
          <w:szCs w:val="24"/>
          <w:highlight w:val="none"/>
        </w:rPr>
        <w:t xml:space="preserve">名称：江苏弘业国际技术工程有限公司</w:t>
      </w:r>
      <w:bookmarkEnd w:id="44"/>
      <w:r>
        <w:rPr>
          <w:color w:val="auto"/>
          <w:highlight w:val="none"/>
        </w:rPr>
      </w:r>
      <w:bookmarkEnd w:id="45"/>
      <w:r>
        <w:rPr>
          <w:color w:val="auto"/>
          <w:highlight w:val="none"/>
        </w:rPr>
      </w:r>
      <w:r/>
    </w:p>
    <w:p>
      <w:pPr>
        <w:pStyle w:val="1049"/>
        <w:ind w:firstLine="720"/>
        <w:spacing w:before="0" w:beforeAutospacing="0" w:after="0" w:afterAutospacing="0" w:line="312" w:lineRule="auto"/>
        <w:rPr>
          <w:rFonts w:hint="eastAsia" w:hAnsi="宋体" w:cs="宋体"/>
          <w:color w:val="auto"/>
          <w:szCs w:val="24"/>
          <w:highlight w:val="none"/>
        </w:rPr>
        <w:outlineLvl w:val="1"/>
      </w:pPr>
      <w:r>
        <w:rPr>
          <w:color w:val="auto"/>
          <w:highlight w:val="none"/>
        </w:rPr>
      </w:r>
      <w:bookmarkStart w:id="46" w:name="_Toc29228"/>
      <w:r>
        <w:rPr>
          <w:color w:val="auto"/>
          <w:highlight w:val="none"/>
        </w:rPr>
      </w:r>
      <w:bookmarkStart w:id="47" w:name="_Toc8777"/>
      <w:r>
        <w:rPr>
          <w:rFonts w:hint="eastAsia" w:hAnsi="宋体" w:cs="宋体"/>
          <w:color w:val="auto"/>
          <w:szCs w:val="24"/>
          <w:highlight w:val="none"/>
        </w:rPr>
        <w:t xml:space="preserve">地址：南京市中华路50号弘业大厦10楼</w:t>
      </w:r>
      <w:bookmarkEnd w:id="46"/>
      <w:r>
        <w:rPr>
          <w:color w:val="auto"/>
          <w:highlight w:val="none"/>
        </w:rPr>
      </w:r>
      <w:bookmarkEnd w:id="47"/>
      <w:r>
        <w:rPr>
          <w:color w:val="auto"/>
          <w:highlight w:val="none"/>
        </w:rPr>
      </w:r>
      <w:r/>
    </w:p>
    <w:p>
      <w:pPr>
        <w:pStyle w:val="1049"/>
        <w:ind w:firstLine="720"/>
        <w:spacing w:before="0" w:beforeAutospacing="0" w:after="0" w:afterAutospacing="0" w:line="312" w:lineRule="auto"/>
        <w:rPr>
          <w:rFonts w:hint="eastAsia" w:hAnsi="宋体" w:eastAsia="宋体" w:cs="宋体"/>
          <w:color w:val="auto"/>
          <w:szCs w:val="24"/>
          <w:highlight w:val="none"/>
        </w:rPr>
        <w:outlineLvl w:val="1"/>
      </w:pPr>
      <w:r>
        <w:rPr>
          <w:color w:val="auto"/>
          <w:highlight w:val="none"/>
        </w:rPr>
      </w:r>
      <w:bookmarkStart w:id="48" w:name="_Toc4151"/>
      <w:r>
        <w:rPr>
          <w:color w:val="auto"/>
          <w:highlight w:val="none"/>
        </w:rPr>
      </w:r>
      <w:bookmarkStart w:id="49" w:name="_Toc30931"/>
      <w:r>
        <w:rPr>
          <w:rFonts w:hint="eastAsia" w:hAnsi="宋体" w:cs="宋体"/>
          <w:color w:val="auto"/>
          <w:szCs w:val="24"/>
          <w:highlight w:val="none"/>
        </w:rPr>
        <w:t xml:space="preserve">联系方式：</w:t>
      </w:r>
      <w:bookmarkEnd w:id="48"/>
      <w:r>
        <w:rPr>
          <w:color w:val="auto"/>
          <w:highlight w:val="none"/>
        </w:rPr>
      </w:r>
      <w:bookmarkEnd w:id="49"/>
      <w:r>
        <w:rPr>
          <w:rFonts w:hint="eastAsia" w:hAnsi="宋体" w:cs="宋体"/>
          <w:color w:val="auto"/>
          <w:szCs w:val="24"/>
          <w:highlight w:val="none"/>
          <w:lang w:val="en-US" w:eastAsia="zh-CN"/>
        </w:rPr>
        <w:t xml:space="preserve">黄祥、戴婷 </w:t>
      </w:r>
      <w:r>
        <w:rPr>
          <w:rFonts w:hint="eastAsia" w:hAnsi="宋体" w:cs="宋体"/>
          <w:color w:val="auto"/>
          <w:szCs w:val="24"/>
          <w:highlight w:val="none"/>
        </w:rPr>
        <w:t xml:space="preserve">025-52306140</w:t>
      </w:r>
      <w:r>
        <w:rPr>
          <w:rFonts w:hint="eastAsia" w:hAnsi="宋体" w:cs="宋体"/>
          <w:color w:val="auto"/>
          <w:szCs w:val="24"/>
          <w:highlight w:val="none"/>
          <w:lang w:eastAsia="zh-CN"/>
        </w:rPr>
        <w:t xml:space="preserve">、025-52</w:t>
      </w:r>
      <w:r>
        <w:rPr>
          <w:rFonts w:hint="eastAsia" w:hAnsi="宋体" w:cs="宋体"/>
          <w:color w:val="auto"/>
          <w:szCs w:val="24"/>
          <w:highlight w:val="none"/>
          <w:lang w:val="en-US" w:eastAsia="zh-CN"/>
        </w:rPr>
        <w:t xml:space="preserve">278761 </w:t>
      </w:r>
      <w:r>
        <w:rPr>
          <w:color w:val="auto"/>
          <w:highlight w:val="none"/>
        </w:rPr>
      </w:r>
      <w:r/>
    </w:p>
    <w:p>
      <w:pPr>
        <w:pStyle w:val="1049"/>
        <w:ind w:firstLine="720"/>
        <w:spacing w:before="0" w:beforeAutospacing="0" w:after="0" w:afterAutospacing="0" w:line="312" w:lineRule="auto"/>
        <w:rPr>
          <w:rFonts w:hint="eastAsia" w:hAnsi="宋体" w:eastAsia="宋体" w:cs="宋体"/>
          <w:color w:val="auto"/>
          <w:szCs w:val="24"/>
          <w:highlight w:val="none"/>
        </w:rPr>
        <w:outlineLvl w:val="1"/>
      </w:pPr>
      <w:r>
        <w:rPr>
          <w:color w:val="auto"/>
          <w:highlight w:val="none"/>
        </w:rPr>
      </w:r>
      <w:bookmarkStart w:id="50" w:name="_Toc2685"/>
      <w:r>
        <w:rPr>
          <w:color w:val="auto"/>
          <w:highlight w:val="none"/>
        </w:rPr>
      </w:r>
      <w:bookmarkStart w:id="51" w:name="_Toc23093"/>
      <w:r>
        <w:rPr>
          <w:rFonts w:hint="eastAsia" w:hAnsi="宋体" w:cs="宋体"/>
          <w:color w:val="auto"/>
          <w:szCs w:val="24"/>
          <w:highlight w:val="none"/>
        </w:rPr>
        <w:t xml:space="preserve">传  真：025-5227876</w:t>
      </w:r>
      <w:bookmarkEnd w:id="50"/>
      <w:r>
        <w:rPr>
          <w:color w:val="auto"/>
          <w:highlight w:val="none"/>
        </w:rPr>
      </w:r>
      <w:bookmarkEnd w:id="51"/>
      <w:r>
        <w:rPr>
          <w:rFonts w:hint="eastAsia" w:hAnsi="宋体" w:cs="宋体"/>
          <w:color w:val="auto"/>
          <w:szCs w:val="24"/>
          <w:highlight w:val="none"/>
          <w:lang w:val="en-US" w:eastAsia="zh-CN"/>
        </w:rPr>
        <w:t xml:space="preserve">1</w:t>
      </w:r>
      <w:r>
        <w:rPr>
          <w:color w:val="auto"/>
          <w:highlight w:val="none"/>
        </w:rPr>
      </w:r>
      <w:r/>
    </w:p>
    <w:p>
      <w:pPr>
        <w:pStyle w:val="1049"/>
        <w:ind w:firstLine="720"/>
        <w:spacing w:before="0" w:beforeAutospacing="0" w:after="0" w:afterAutospacing="0" w:line="312" w:lineRule="auto"/>
        <w:rPr>
          <w:rFonts w:hint="eastAsia" w:hAnsi="宋体" w:cs="宋体"/>
          <w:color w:val="auto"/>
          <w:szCs w:val="24"/>
          <w:highlight w:val="none"/>
        </w:rPr>
        <w:outlineLvl w:val="1"/>
      </w:pPr>
      <w:r>
        <w:rPr>
          <w:color w:val="auto"/>
          <w:highlight w:val="none"/>
        </w:rPr>
      </w:r>
      <w:bookmarkStart w:id="52" w:name="_Toc21139"/>
      <w:r>
        <w:rPr>
          <w:color w:val="auto"/>
          <w:highlight w:val="none"/>
        </w:rPr>
      </w:r>
      <w:bookmarkStart w:id="53" w:name="_Toc4597"/>
      <w:r>
        <w:rPr>
          <w:rFonts w:hint="eastAsia" w:hAnsi="宋体" w:cs="宋体"/>
          <w:color w:val="auto"/>
          <w:szCs w:val="24"/>
          <w:highlight w:val="none"/>
        </w:rPr>
        <w:t xml:space="preserve">3.项目联系方式</w:t>
      </w:r>
      <w:bookmarkEnd w:id="52"/>
      <w:r>
        <w:rPr>
          <w:color w:val="auto"/>
          <w:highlight w:val="none"/>
        </w:rPr>
      </w:r>
      <w:bookmarkEnd w:id="53"/>
      <w:r>
        <w:rPr>
          <w:color w:val="auto"/>
          <w:highlight w:val="none"/>
        </w:rPr>
      </w:r>
      <w:r/>
    </w:p>
    <w:p>
      <w:pPr>
        <w:pStyle w:val="1049"/>
        <w:ind w:firstLine="720"/>
        <w:spacing w:before="0" w:beforeAutospacing="0" w:after="0" w:afterAutospacing="0" w:line="312" w:lineRule="auto"/>
        <w:rPr>
          <w:rFonts w:hint="eastAsia" w:hAnsi="宋体" w:eastAsia="宋体" w:cs="宋体"/>
          <w:color w:val="auto"/>
          <w:szCs w:val="24"/>
          <w:highlight w:val="none"/>
        </w:rPr>
        <w:outlineLvl w:val="1"/>
      </w:pPr>
      <w:r>
        <w:rPr>
          <w:color w:val="auto"/>
          <w:highlight w:val="none"/>
        </w:rPr>
      </w:r>
      <w:bookmarkStart w:id="54" w:name="_Toc23478"/>
      <w:r>
        <w:rPr>
          <w:color w:val="auto"/>
          <w:highlight w:val="none"/>
        </w:rPr>
      </w:r>
      <w:bookmarkStart w:id="55" w:name="_Toc18816"/>
      <w:r>
        <w:rPr>
          <w:rFonts w:hint="eastAsia" w:hAnsi="宋体" w:cs="宋体"/>
          <w:color w:val="auto"/>
          <w:szCs w:val="24"/>
          <w:highlight w:val="none"/>
        </w:rPr>
        <w:t xml:space="preserve">项目联系人：</w:t>
      </w:r>
      <w:bookmarkEnd w:id="54"/>
      <w:r>
        <w:rPr>
          <w:color w:val="auto"/>
          <w:highlight w:val="none"/>
        </w:rPr>
      </w:r>
      <w:bookmarkEnd w:id="55"/>
      <w:r>
        <w:rPr>
          <w:rFonts w:hint="eastAsia" w:hAnsi="宋体" w:cs="宋体"/>
          <w:color w:val="auto"/>
          <w:szCs w:val="24"/>
          <w:highlight w:val="none"/>
          <w:lang w:val="en-US" w:eastAsia="zh-CN"/>
        </w:rPr>
        <w:t xml:space="preserve">黄祥</w:t>
      </w:r>
      <w:r>
        <w:rPr>
          <w:color w:val="auto"/>
          <w:highlight w:val="none"/>
        </w:rPr>
      </w:r>
      <w:r/>
    </w:p>
    <w:p>
      <w:pPr>
        <w:pStyle w:val="1049"/>
        <w:ind w:firstLine="720"/>
        <w:spacing w:before="0" w:beforeAutospacing="0" w:after="0" w:afterAutospacing="0" w:line="312" w:lineRule="auto"/>
        <w:rPr>
          <w:rFonts w:hint="default" w:hAnsi="宋体" w:eastAsia="宋体" w:cs="宋体"/>
          <w:color w:val="auto"/>
          <w:szCs w:val="24"/>
          <w:highlight w:val="none"/>
        </w:rPr>
        <w:outlineLvl w:val="1"/>
      </w:pPr>
      <w:r>
        <w:rPr>
          <w:color w:val="auto"/>
          <w:highlight w:val="none"/>
        </w:rPr>
      </w:r>
      <w:bookmarkStart w:id="56" w:name="_Toc13399"/>
      <w:r>
        <w:rPr>
          <w:color w:val="auto"/>
          <w:highlight w:val="none"/>
        </w:rPr>
      </w:r>
      <w:bookmarkStart w:id="57" w:name="_Toc12073"/>
      <w:r>
        <w:rPr>
          <w:rFonts w:hint="eastAsia" w:hAnsi="宋体" w:cs="宋体"/>
          <w:color w:val="auto"/>
          <w:szCs w:val="24"/>
          <w:highlight w:val="none"/>
        </w:rPr>
        <w:t xml:space="preserve">电话：</w:t>
      </w:r>
      <w:bookmarkEnd w:id="39"/>
      <w:r>
        <w:rPr>
          <w:color w:val="auto"/>
          <w:highlight w:val="none"/>
        </w:rPr>
      </w:r>
      <w:bookmarkEnd w:id="56"/>
      <w:r>
        <w:rPr>
          <w:color w:val="auto"/>
          <w:highlight w:val="none"/>
        </w:rPr>
      </w:r>
      <w:bookmarkEnd w:id="57"/>
      <w:r>
        <w:rPr>
          <w:rFonts w:hint="eastAsia" w:hAnsi="宋体" w:cs="宋体"/>
          <w:color w:val="auto"/>
          <w:szCs w:val="24"/>
          <w:highlight w:val="none"/>
          <w:lang w:val="en-US" w:eastAsia="zh-CN"/>
        </w:rPr>
        <w:t xml:space="preserve">17368581598</w:t>
      </w:r>
      <w:r>
        <w:rPr>
          <w:color w:val="auto"/>
          <w:highlight w:val="none"/>
        </w:rPr>
      </w:r>
      <w:r/>
    </w:p>
    <w:p>
      <w:pPr>
        <w:pStyle w:val="8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p>
      <w:pPr>
        <w:pStyle w:val="782"/>
        <w:jc w:val="both"/>
        <w:rPr>
          <w:rFonts w:hint="eastAsia" w:ascii="宋体" w:hAnsi="宋体" w:eastAsia="宋体" w:cs="宋体"/>
          <w:b/>
          <w:color w:val="auto"/>
          <w:sz w:val="44"/>
          <w:szCs w:val="44"/>
          <w:highlight w:val="none"/>
        </w:rPr>
        <w:outlineLvl w:val="0"/>
      </w:pPr>
      <w:r>
        <w:rPr>
          <w:color w:val="auto"/>
          <w:highlight w:val="none"/>
        </w:rPr>
      </w:r>
      <w:bookmarkStart w:id="58" w:name="_Toc7212"/>
      <w:r>
        <w:rPr>
          <w:rFonts w:hint="eastAsia" w:ascii="宋体" w:hAnsi="宋体" w:eastAsia="宋体" w:cs="宋体"/>
          <w:b/>
          <w:color w:val="auto"/>
          <w:sz w:val="44"/>
          <w:szCs w:val="44"/>
          <w:highlight w:val="none"/>
          <w:lang w:val="en-US" w:eastAsia="zh-CN"/>
        </w:rPr>
        <w:t xml:space="preserve">            </w:t>
      </w:r>
      <w:bookmarkStart w:id="59" w:name="_Toc10498"/>
      <w:r>
        <w:rPr>
          <w:color w:val="auto"/>
          <w:highlight w:val="none"/>
        </w:rPr>
      </w:r>
      <w:r/>
    </w:p>
    <w:p>
      <w:pP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lang w:val="en-US" w:eastAsia="zh-CN"/>
        </w:rPr>
        <w:br w:type="page" w:clear="all"/>
      </w:r>
      <w:r>
        <w:rPr>
          <w:color w:val="auto"/>
          <w:highlight w:val="none"/>
        </w:rPr>
      </w:r>
      <w:r/>
    </w:p>
    <w:p>
      <w:pPr>
        <w:pStyle w:val="782"/>
        <w:jc w:val="center"/>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t xml:space="preserve">第二部分  投标人须知</w:t>
      </w:r>
      <w:bookmarkEnd w:id="58"/>
      <w:r>
        <w:rPr>
          <w:color w:val="auto"/>
          <w:highlight w:val="none"/>
        </w:rPr>
      </w:r>
      <w:bookmarkEnd w:id="59"/>
      <w:r>
        <w:rPr>
          <w:color w:val="auto"/>
          <w:highlight w:val="none"/>
        </w:rPr>
      </w:r>
      <w:r/>
    </w:p>
    <w:p>
      <w:pPr>
        <w:pStyle w:val="985"/>
        <w:jc w:val="center"/>
        <w:keepLines w:val="0"/>
        <w:keepNext w:val="0"/>
        <w:spacing w:before="0" w:after="0" w:line="240" w:lineRule="auto"/>
        <w:rPr>
          <w:rFonts w:hint="eastAsia" w:ascii="宋体" w:hAnsi="宋体" w:eastAsia="宋体" w:cs="宋体"/>
          <w:color w:val="auto"/>
          <w:highlight w:val="none"/>
        </w:rPr>
      </w:pPr>
      <w:r>
        <w:rPr>
          <w:color w:val="auto"/>
          <w:highlight w:val="none"/>
        </w:rPr>
      </w:r>
      <w:bookmarkStart w:id="60" w:name="_Toc10216"/>
      <w:r>
        <w:rPr>
          <w:color w:val="auto"/>
          <w:highlight w:val="none"/>
        </w:rPr>
      </w:r>
      <w:bookmarkStart w:id="61" w:name="_Toc514054471"/>
      <w:r>
        <w:rPr>
          <w:color w:val="auto"/>
          <w:highlight w:val="none"/>
        </w:rPr>
      </w:r>
      <w:bookmarkStart w:id="62" w:name="_Toc17705"/>
      <w:r>
        <w:rPr>
          <w:color w:val="auto"/>
          <w:highlight w:val="none"/>
        </w:rPr>
      </w:r>
      <w:bookmarkStart w:id="63" w:name="_Toc17216"/>
      <w:r>
        <w:rPr>
          <w:rFonts w:hint="eastAsia" w:ascii="宋体" w:hAnsi="宋体" w:eastAsia="宋体" w:cs="宋体"/>
          <w:color w:val="auto"/>
          <w:highlight w:val="none"/>
        </w:rPr>
        <w:t xml:space="preserve">投标人须知前附表</w:t>
      </w:r>
      <w:bookmarkEnd w:id="60"/>
      <w:r>
        <w:rPr>
          <w:color w:val="auto"/>
          <w:highlight w:val="none"/>
        </w:rPr>
      </w:r>
      <w:bookmarkEnd w:id="61"/>
      <w:r>
        <w:rPr>
          <w:color w:val="auto"/>
          <w:highlight w:val="none"/>
        </w:rPr>
      </w:r>
      <w:bookmarkEnd w:id="62"/>
      <w:r>
        <w:rPr>
          <w:color w:val="auto"/>
          <w:highlight w:val="none"/>
        </w:rPr>
      </w:r>
      <w:bookmarkEnd w:id="63"/>
      <w:r>
        <w:rPr>
          <w:color w:val="auto"/>
          <w:highlight w:val="none"/>
        </w:rPr>
      </w:r>
      <w:r/>
    </w:p>
    <w:tbl>
      <w:tblPr>
        <w:tblStyle w:val="792"/>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519"/>
        <w:gridCol w:w="6297"/>
      </w:tblGrid>
      <w:tr>
        <w:trPr>
          <w:trHeight w:val="90"/>
        </w:trPr>
        <w:tc>
          <w:tcPr>
            <w:tcW w:w="1043"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rPr>
                <w:color w:val="auto"/>
                <w:highlight w:val="none"/>
              </w:rPr>
            </w:r>
            <w:r/>
          </w:p>
        </w:tc>
        <w:tc>
          <w:tcPr>
            <w:tcW w:w="2519" w:type="dxa"/>
            <w:vAlign w:val="center"/>
            <w:textDirection w:val="lrTb"/>
            <w:noWrap w:val="false"/>
          </w:tcPr>
          <w:p>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内容</w:t>
            </w:r>
            <w:r>
              <w:rPr>
                <w:color w:val="auto"/>
                <w:highlight w:val="none"/>
              </w:rPr>
            </w:r>
            <w:r/>
          </w:p>
        </w:tc>
        <w:tc>
          <w:tcPr>
            <w:tcW w:w="6297"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说明及要求</w:t>
            </w:r>
            <w:r>
              <w:rPr>
                <w:color w:val="auto"/>
                <w:highlight w:val="none"/>
              </w:rPr>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color w:val="auto"/>
                <w:highlight w:val="none"/>
              </w:rPr>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特别说明</w:t>
            </w:r>
            <w:r>
              <w:rPr>
                <w:color w:val="auto"/>
                <w:highlight w:val="none"/>
              </w:rPr>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若有内容与投标人须知前附表内容不一致时，以投标人须知前附表为准。</w:t>
            </w:r>
            <w:r>
              <w:rPr>
                <w:color w:val="auto"/>
                <w:highlight w:val="none"/>
              </w:rPr>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color w:val="auto"/>
                <w:highlight w:val="none"/>
              </w:rPr>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投标保证金</w:t>
            </w:r>
            <w:r>
              <w:rPr>
                <w:color w:val="auto"/>
                <w:highlight w:val="none"/>
              </w:rPr>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本项目不收取投标保证金</w:t>
            </w:r>
            <w:r>
              <w:rPr>
                <w:color w:val="auto"/>
                <w:highlight w:val="none"/>
              </w:rPr>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color w:val="auto"/>
                <w:highlight w:val="none"/>
              </w:rPr>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rPr>
                <w:color w:val="auto"/>
                <w:highlight w:val="none"/>
              </w:rPr>
            </w:r>
            <w:r/>
          </w:p>
        </w:tc>
        <w:tc>
          <w:tcPr>
            <w:tcW w:w="6297" w:type="dxa"/>
            <w:vAlign w:val="center"/>
            <w:textDirection w:val="lrTb"/>
            <w:noWrap w:val="false"/>
          </w:tcPr>
          <w:p>
            <w:pPr>
              <w:widowControl/>
              <w:rPr>
                <w:rFonts w:hint="eastAsia" w:ascii="宋体" w:hAnsi="宋体" w:cs="宋体"/>
                <w:color w:val="auto"/>
                <w:sz w:val="24"/>
                <w:szCs w:val="24"/>
                <w:highlight w:val="none"/>
              </w:rPr>
            </w:pPr>
            <w:r>
              <w:rPr>
                <w:color w:val="auto"/>
                <w:highlight w:val="none"/>
              </w:rPr>
            </w:r>
            <w:bookmarkStart w:id="64" w:name="EBd40b5fb42f2944a3b45e579ce3941f02"/>
            <w:r>
              <w:rPr>
                <w:rFonts w:hint="eastAsia" w:ascii="宋体" w:hAnsi="宋体" w:cs="宋体"/>
                <w:color w:val="auto"/>
                <w:sz w:val="24"/>
                <w:szCs w:val="24"/>
                <w:highlight w:val="none"/>
              </w:rPr>
              <w:t xml:space="preserve">90</w:t>
            </w:r>
            <w:bookmarkEnd w:id="64"/>
            <w:r>
              <w:rPr>
                <w:rFonts w:hint="eastAsia" w:ascii="宋体" w:hAnsi="宋体" w:cs="宋体"/>
                <w:color w:val="auto"/>
                <w:sz w:val="24"/>
                <w:szCs w:val="24"/>
                <w:highlight w:val="none"/>
              </w:rPr>
              <w:t xml:space="preserve">日（从提交投标文件截止之日起算）</w:t>
            </w:r>
            <w:r>
              <w:rPr>
                <w:color w:val="auto"/>
                <w:highlight w:val="none"/>
              </w:rPr>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color w:val="auto"/>
                <w:highlight w:val="none"/>
              </w:rPr>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评标办法</w:t>
            </w:r>
            <w:r>
              <w:rPr>
                <w:color w:val="auto"/>
                <w:highlight w:val="none"/>
              </w:rPr>
            </w:r>
            <w:r/>
          </w:p>
        </w:tc>
        <w:tc>
          <w:tcPr>
            <w:tcW w:w="6297"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综合评分法</w:t>
            </w:r>
            <w:r>
              <w:rPr>
                <w:color w:val="auto"/>
                <w:highlight w:val="none"/>
              </w:rPr>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具体评标办法详见招标文件第三部分。</w:t>
            </w:r>
            <w:r>
              <w:rPr>
                <w:color w:val="auto"/>
                <w:highlight w:val="none"/>
              </w:rPr>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评标委员会按照招标文件规定的评标办法和标准，确定各投标人经评审后的得分，并按得分由高到低进行排序。</w:t>
            </w:r>
            <w:r>
              <w:rPr>
                <w:color w:val="auto"/>
                <w:highlight w:val="none"/>
              </w:rPr>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color w:val="auto"/>
                <w:highlight w:val="none"/>
              </w:rPr>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中标通知书领取</w:t>
            </w:r>
            <w:r>
              <w:rPr>
                <w:color w:val="auto"/>
                <w:highlight w:val="none"/>
              </w:rPr>
            </w:r>
            <w:r/>
          </w:p>
        </w:tc>
        <w:tc>
          <w:tcPr>
            <w:tcW w:w="6297"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领取地址：南京市中华路50号弘业大厦10楼</w:t>
            </w:r>
            <w:r>
              <w:rPr>
                <w:color w:val="auto"/>
                <w:highlight w:val="none"/>
              </w:rPr>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需提供材料：中标服务费缴纳截图</w:t>
            </w:r>
            <w:r>
              <w:rPr>
                <w:color w:val="auto"/>
                <w:highlight w:val="none"/>
              </w:rPr>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color w:val="auto"/>
                <w:highlight w:val="none"/>
              </w:rPr>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中标服务费的收取</w:t>
            </w:r>
            <w:r>
              <w:rPr>
                <w:color w:val="auto"/>
                <w:highlight w:val="none"/>
              </w:rPr>
            </w:r>
            <w:r/>
          </w:p>
        </w:tc>
        <w:tc>
          <w:tcPr>
            <w:tcW w:w="6297"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本项目中标服务费按“《江苏省招标代理服务收费的指导意见》（苏招协 [2022]002号）收费标准”</w:t>
            </w:r>
            <w:r>
              <w:rPr>
                <w:rFonts w:hint="eastAsia" w:ascii="宋体" w:hAnsi="宋体" w:cs="宋体"/>
                <w:color w:val="auto"/>
                <w:sz w:val="24"/>
                <w:szCs w:val="24"/>
                <w:highlight w:val="none"/>
                <w:lang w:val="en-US" w:eastAsia="zh-CN"/>
              </w:rPr>
              <w:t xml:space="preserve">差额累进</w:t>
            </w:r>
            <w:r>
              <w:rPr>
                <w:rFonts w:hint="eastAsia" w:ascii="宋体" w:hAnsi="宋体" w:cs="宋体"/>
                <w:color w:val="auto"/>
                <w:sz w:val="24"/>
                <w:szCs w:val="24"/>
                <w:highlight w:val="none"/>
              </w:rPr>
              <w:t xml:space="preserve">计算后45.00%</w:t>
            </w:r>
            <w:r>
              <w:rPr>
                <w:rFonts w:hint="eastAsia" w:ascii="宋体" w:hAnsi="宋体" w:cs="宋体"/>
                <w:color w:val="auto"/>
                <w:sz w:val="24"/>
                <w:szCs w:val="24"/>
                <w:highlight w:val="none"/>
                <w:lang w:val="en-US" w:eastAsia="zh-CN"/>
              </w:rPr>
              <w:t xml:space="preserve">向中标人</w:t>
            </w:r>
            <w:r>
              <w:rPr>
                <w:rFonts w:hint="eastAsia" w:ascii="宋体" w:hAnsi="宋体" w:cs="宋体"/>
                <w:color w:val="auto"/>
                <w:sz w:val="24"/>
                <w:szCs w:val="24"/>
                <w:highlight w:val="none"/>
              </w:rPr>
              <w:t xml:space="preserve">收取。</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采购人与采购代理机构协议约定</w:t>
            </w:r>
            <w:r>
              <w:rPr>
                <w:rFonts w:hint="eastAsia" w:ascii="宋体" w:hAnsi="宋体" w:cs="宋体"/>
                <w:color w:val="auto"/>
                <w:sz w:val="24"/>
                <w:szCs w:val="24"/>
                <w:highlight w:val="none"/>
                <w:lang w:eastAsia="zh-CN"/>
              </w:rPr>
              <w:t xml:space="preserve">）</w:t>
            </w:r>
            <w:r>
              <w:rPr>
                <w:color w:val="auto"/>
                <w:highlight w:val="none"/>
              </w:rPr>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账户信息：</w:t>
            </w:r>
            <w:r>
              <w:rPr>
                <w:color w:val="auto"/>
                <w:highlight w:val="none"/>
              </w:rPr>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户    名：江苏弘业国际技术工程有限公司</w:t>
            </w:r>
            <w:r>
              <w:rPr>
                <w:color w:val="auto"/>
                <w:highlight w:val="none"/>
              </w:rPr>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开户银行：中国银行南京市中华路支行   </w:t>
            </w:r>
            <w:r>
              <w:rPr>
                <w:color w:val="auto"/>
                <w:highlight w:val="none"/>
              </w:rPr>
            </w:r>
            <w:r/>
          </w:p>
          <w:p>
            <w:pPr>
              <w:widowControl/>
              <w:rPr>
                <w:rFonts w:hint="eastAsia" w:ascii="宋体" w:hAnsi="宋体" w:cs="宋体"/>
                <w:color w:val="auto"/>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账    号：527460884999</w:t>
            </w:r>
            <w:r>
              <w:rPr>
                <w:color w:val="auto"/>
                <w:highlight w:val="none"/>
              </w:rPr>
            </w:r>
            <w:r/>
          </w:p>
        </w:tc>
      </w:tr>
      <w:tr>
        <w:trPr>
          <w:trHeight w:val="405"/>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rPr>
                <w:color w:val="auto"/>
                <w:highlight w:val="none"/>
              </w:rPr>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履约保证金</w:t>
            </w:r>
            <w:r>
              <w:rPr>
                <w:color w:val="auto"/>
                <w:highlight w:val="none"/>
              </w:rPr>
            </w:r>
            <w:r/>
          </w:p>
        </w:tc>
        <w:tc>
          <w:tcPr>
            <w:tcW w:w="6297" w:type="dxa"/>
            <w:vAlign w:val="center"/>
            <w:textDirection w:val="lrTb"/>
            <w:noWrap w:val="false"/>
          </w:tcPr>
          <w:p>
            <w:pPr>
              <w:rPr>
                <w:rFonts w:hint="eastAsia" w:ascii="宋体" w:hAnsi="宋体" w:cs="宋体"/>
                <w:color w:val="auto"/>
                <w:highlight w:val="none"/>
              </w:rPr>
            </w:pPr>
            <w:r>
              <w:rPr>
                <w:rFonts w:hint="eastAsia" w:ascii="宋体" w:hAnsi="宋体" w:cs="宋体"/>
                <w:color w:val="auto"/>
                <w:sz w:val="24"/>
                <w:szCs w:val="24"/>
                <w:highlight w:val="none"/>
              </w:rPr>
              <w:t xml:space="preserve">本项目不适用。</w:t>
            </w:r>
            <w:r>
              <w:rPr>
                <w:color w:val="auto"/>
                <w:highlight w:val="none"/>
              </w:rPr>
            </w:r>
            <w:r/>
          </w:p>
        </w:tc>
      </w:tr>
      <w:tr>
        <w:trPr>
          <w:trHeight w:val="518"/>
        </w:trPr>
        <w:tc>
          <w:tcPr>
            <w:tcW w:w="1043" w:type="dxa"/>
            <w:vAlign w:val="center"/>
            <w:textDirection w:val="lrTb"/>
            <w:noWrap w:val="false"/>
          </w:tcPr>
          <w:p>
            <w:pPr>
              <w:jc w:val="center"/>
              <w:rPr>
                <w:rFonts w:hint="eastAsia" w:ascii="宋体" w:hAnsi="宋体" w:cs="宋体"/>
                <w:color w:val="auto"/>
                <w:sz w:val="24"/>
                <w:szCs w:val="24"/>
                <w:highlight w:val="none"/>
              </w:rPr>
            </w:pPr>
            <w:r>
              <w:rPr>
                <w:color w:val="auto"/>
                <w:highlight w:val="none"/>
              </w:rPr>
            </w:r>
            <w:bookmarkStart w:id="65" w:name="_Toc514054472"/>
            <w:r>
              <w:rPr>
                <w:color w:val="auto"/>
                <w:highlight w:val="none"/>
              </w:rPr>
            </w:r>
            <w:bookmarkStart w:id="66" w:name="_Toc25522"/>
            <w:r>
              <w:rPr>
                <w:rFonts w:hint="eastAsia" w:ascii="宋体" w:hAnsi="宋体" w:cs="宋体"/>
                <w:color w:val="auto"/>
                <w:sz w:val="24"/>
                <w:szCs w:val="24"/>
                <w:highlight w:val="none"/>
              </w:rPr>
              <w:t xml:space="preserve">8</w:t>
            </w:r>
            <w:r>
              <w:rPr>
                <w:color w:val="auto"/>
                <w:highlight w:val="none"/>
              </w:rPr>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采购标的所属行业</w:t>
            </w:r>
            <w:r>
              <w:rPr>
                <w:color w:val="auto"/>
                <w:highlight w:val="none"/>
              </w:rPr>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本项目采购标的对应的行业主要为</w:t>
            </w:r>
            <w:r>
              <w:rPr>
                <w:rFonts w:hint="eastAsia" w:ascii="宋体" w:hAnsi="宋体" w:cs="宋体"/>
                <w:color w:val="auto"/>
                <w:sz w:val="24"/>
                <w:szCs w:val="24"/>
                <w:highlight w:val="none"/>
                <w:u w:val="single"/>
              </w:rPr>
              <w:t xml:space="preserve">工业</w:t>
            </w:r>
            <w:r>
              <w:rPr>
                <w:rFonts w:hint="eastAsia" w:ascii="宋体" w:hAnsi="宋体" w:cs="宋体"/>
                <w:color w:val="auto"/>
                <w:sz w:val="24"/>
                <w:szCs w:val="24"/>
                <w:highlight w:val="none"/>
              </w:rPr>
              <w:t xml:space="preserve">。</w:t>
            </w:r>
            <w:r>
              <w:rPr>
                <w:color w:val="auto"/>
                <w:highlight w:val="none"/>
              </w:rPr>
            </w:r>
            <w:r/>
          </w:p>
        </w:tc>
      </w:tr>
    </w:tbl>
    <w:p>
      <w:pPr>
        <w:pStyle w:val="1389"/>
        <w:rPr>
          <w:rFonts w:hint="eastAsia" w:ascii="宋体" w:hAnsi="宋体" w:eastAsia="宋体" w:cs="宋体"/>
          <w:color w:val="auto"/>
          <w:highlight w:val="none"/>
        </w:rPr>
        <w:outlineLvl w:val="1"/>
      </w:pPr>
      <w:r>
        <w:rPr>
          <w:color w:val="auto"/>
          <w:highlight w:val="none"/>
        </w:rPr>
      </w:r>
      <w:bookmarkStart w:id="67" w:name="_Toc22298"/>
      <w:r>
        <w:rPr>
          <w:color w:val="auto"/>
          <w:highlight w:val="none"/>
        </w:rPr>
      </w:r>
      <w:bookmarkStart w:id="68" w:name="_Toc20458"/>
      <w:r>
        <w:rPr>
          <w:rFonts w:hint="eastAsia" w:ascii="宋体" w:hAnsi="宋体" w:eastAsia="宋体" w:cs="宋体"/>
          <w:color w:val="auto"/>
          <w:highlight w:val="none"/>
        </w:rPr>
        <w:t xml:space="preserve">一、总 则</w:t>
      </w:r>
      <w:bookmarkEnd w:id="65"/>
      <w:r>
        <w:rPr>
          <w:color w:val="auto"/>
          <w:highlight w:val="none"/>
        </w:rPr>
      </w:r>
      <w:bookmarkEnd w:id="66"/>
      <w:r>
        <w:rPr>
          <w:color w:val="auto"/>
          <w:highlight w:val="none"/>
        </w:rPr>
      </w:r>
      <w:bookmarkEnd w:id="67"/>
      <w:r>
        <w:rPr>
          <w:color w:val="auto"/>
          <w:highlight w:val="none"/>
        </w:rPr>
      </w:r>
      <w:bookmarkEnd w:id="68"/>
      <w:r>
        <w:rPr>
          <w:color w:val="auto"/>
          <w:highlight w:val="none"/>
        </w:rPr>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1、招标方式</w:t>
      </w:r>
      <w:r>
        <w:rPr>
          <w:color w:val="auto"/>
          <w:highlight w:val="none"/>
        </w:rPr>
      </w:r>
      <w:r/>
    </w:p>
    <w:p>
      <w:pPr>
        <w:pStyle w:val="1014"/>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本次招标采取公开招标方式。</w:t>
      </w:r>
      <w:r>
        <w:rPr>
          <w:color w:val="auto"/>
          <w:highlight w:val="none"/>
        </w:rPr>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2、合格的投标人</w:t>
      </w:r>
      <w:r>
        <w:rPr>
          <w:color w:val="auto"/>
          <w:highlight w:val="none"/>
        </w:rPr>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2.1合格的投标人必须是有能力按照本招标文件规定的要求提供货物和相关服务，且具有独立承担民事等法律责任的法人或其它经济组织等。</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合格的投标人必须符合招标文件第一部分《招标公告》第二条及须知前附表相关规定，且具备独立完成本项目的能力，中标后不得转包、不得违法分包。所有核心设备的供货、安装、调试、维修及技术服务均需由中标人自行完成；如需委托第三方完成辅助性工作的，应当提前经采购人书面同意，且中标人应当就第三方的工作成果向采购人承担全部连带责任。</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2.3合格的投标人应遵守《中华人民共和国政府采购法》、《中华人民共和国政府采购法实施条例》、《政府采购货物和服务招标投标管理办法》等法律、行政法规、部门规章和规范性文件。</w:t>
      </w:r>
      <w:r>
        <w:rPr>
          <w:color w:val="auto"/>
          <w:highlight w:val="none"/>
        </w:rPr>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3、适用法律</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本次招标及由本次招标产生的合同受中华人民共和国的相关法律、法规制约和保护。</w:t>
      </w:r>
      <w:r>
        <w:rPr>
          <w:color w:val="auto"/>
          <w:highlight w:val="none"/>
        </w:rPr>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4、投标费用</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投标人应自行承担所有参加投标有关的费用。</w:t>
      </w:r>
      <w:r>
        <w:rPr>
          <w:color w:val="auto"/>
          <w:highlight w:val="none"/>
        </w:rPr>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5、招标文件的约束力</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投标人一旦参加本项目投标，即被认为接受了本招标文件的所有条件和规定。</w:t>
      </w:r>
      <w:r>
        <w:rPr>
          <w:color w:val="auto"/>
          <w:highlight w:val="none"/>
        </w:rPr>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6、相同品牌产品投标</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6.1、采用最低评标价法的采购项目，提供相同品牌产品的不同投标人参加同一合同项下投标的，以其中通过资格审查、符合性审查且报价最低的参加评标；报价相同的，由采购人采取随机抽取方式确定，其他投标无效。</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r>
        <w:rPr>
          <w:color w:val="auto"/>
          <w:highlight w:val="none"/>
        </w:rPr>
      </w:r>
      <w:r/>
    </w:p>
    <w:p>
      <w:pPr>
        <w:ind w:firstLine="480"/>
        <w:spacing w:line="500" w:lineRule="exact"/>
        <w:rPr>
          <w:rFonts w:hint="eastAsia" w:ascii="宋体" w:hAnsi="宋体" w:eastAsia="宋体" w:cs="宋体"/>
          <w:color w:val="auto"/>
          <w:sz w:val="24"/>
          <w:highlight w:val="none"/>
        </w:rPr>
      </w:pPr>
      <w:r>
        <w:rPr>
          <w:rFonts w:hint="eastAsia" w:ascii="宋体" w:hAnsi="宋体" w:cs="宋体"/>
          <w:color w:val="auto"/>
          <w:sz w:val="24"/>
          <w:highlight w:val="none"/>
        </w:rPr>
        <w:t xml:space="preserve">6.3、非单一产品采购项目，采购人确定核心产品，并在招标文件中载明。多家投标人提供的核心产品品牌全部相同的，按前两款规定处理。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本项目不适用</w:t>
      </w:r>
      <w:r>
        <w:rPr>
          <w:rFonts w:hint="eastAsia" w:ascii="宋体" w:hAnsi="宋体" w:cs="宋体"/>
          <w:color w:val="auto"/>
          <w:sz w:val="24"/>
          <w:highlight w:val="none"/>
          <w:lang w:eastAsia="zh-CN"/>
        </w:rPr>
        <w:t xml:space="preserve">）</w:t>
      </w:r>
      <w:r>
        <w:rPr>
          <w:color w:val="auto"/>
          <w:highlight w:val="none"/>
        </w:rPr>
      </w:r>
      <w:r/>
    </w:p>
    <w:p>
      <w:pPr>
        <w:pStyle w:val="1389"/>
        <w:rPr>
          <w:rFonts w:hint="eastAsia" w:ascii="宋体" w:hAnsi="宋体" w:eastAsia="宋体" w:cs="宋体"/>
          <w:color w:val="auto"/>
          <w:highlight w:val="none"/>
        </w:rPr>
        <w:outlineLvl w:val="1"/>
      </w:pPr>
      <w:r>
        <w:rPr>
          <w:color w:val="auto"/>
          <w:highlight w:val="none"/>
        </w:rPr>
      </w:r>
      <w:bookmarkStart w:id="69" w:name="_Toc21335"/>
      <w:r>
        <w:rPr>
          <w:color w:val="auto"/>
          <w:highlight w:val="none"/>
        </w:rPr>
      </w:r>
      <w:bookmarkStart w:id="70" w:name="_Toc514054473"/>
      <w:r>
        <w:rPr>
          <w:color w:val="auto"/>
          <w:highlight w:val="none"/>
        </w:rPr>
      </w:r>
      <w:bookmarkStart w:id="71" w:name="_Toc17916"/>
      <w:r>
        <w:rPr>
          <w:color w:val="auto"/>
          <w:highlight w:val="none"/>
        </w:rPr>
      </w:r>
      <w:bookmarkStart w:id="72" w:name="_Toc30610"/>
      <w:r>
        <w:rPr>
          <w:rFonts w:hint="eastAsia" w:ascii="宋体" w:hAnsi="宋体" w:eastAsia="宋体" w:cs="宋体"/>
          <w:color w:val="auto"/>
          <w:highlight w:val="none"/>
        </w:rPr>
        <w:t xml:space="preserve">二、招标文件</w:t>
      </w:r>
      <w:bookmarkEnd w:id="69"/>
      <w:r>
        <w:rPr>
          <w:color w:val="auto"/>
          <w:highlight w:val="none"/>
        </w:rPr>
      </w:r>
      <w:bookmarkEnd w:id="70"/>
      <w:r>
        <w:rPr>
          <w:color w:val="auto"/>
          <w:highlight w:val="none"/>
        </w:rPr>
      </w:r>
      <w:bookmarkEnd w:id="71"/>
      <w:r>
        <w:rPr>
          <w:color w:val="auto"/>
          <w:highlight w:val="none"/>
        </w:rPr>
      </w:r>
      <w:bookmarkEnd w:id="72"/>
      <w:r>
        <w:rPr>
          <w:color w:val="auto"/>
          <w:highlight w:val="none"/>
        </w:rPr>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7、招标文件构成</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第一部分：招标公告；</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第二部分：投标人须知； </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第三部分：评标方法和标准；</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第四部分：采购需求；</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第五部分：合同格式及条款；</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第六部分：投标文件格式。</w:t>
      </w:r>
      <w:r>
        <w:rPr>
          <w:color w:val="auto"/>
          <w:highlight w:val="none"/>
        </w:rPr>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8、招标文件的澄清</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任何要求对招标文件澄清的投标人，均应在法律法规规定的时间内提出，采购代理机构对规定时间内收到的澄清要求予以答复，答复不包括问题的来源。</w:t>
      </w:r>
      <w:r>
        <w:rPr>
          <w:color w:val="auto"/>
          <w:highlight w:val="none"/>
        </w:rPr>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9、招标文件的修改</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9.1在投标文件接收截止日期15日前，采购代理机构可以更正公告或补充文件的形式对招标文件进行修改。</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9.2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 </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9.3为使投标人有充分的时间对招标文件的修改部分进行分析、研究，采购代理机构有权推迟投标文件接收截止日期和开标日期，并将此变更通知所有已获取招标文件的投标人。</w:t>
      </w:r>
      <w:r>
        <w:rPr>
          <w:color w:val="auto"/>
          <w:highlight w:val="none"/>
        </w:rPr>
      </w:r>
      <w:r/>
    </w:p>
    <w:p>
      <w:pPr>
        <w:ind w:firstLine="480"/>
        <w:spacing w:line="500" w:lineRule="exact"/>
        <w:rPr>
          <w:rFonts w:hint="eastAsia" w:ascii="宋体" w:hAnsi="宋体" w:cs="宋体"/>
          <w:color w:val="auto"/>
          <w:highlight w:val="none"/>
        </w:rPr>
      </w:pPr>
      <w:r>
        <w:rPr>
          <w:rFonts w:hint="eastAsia" w:ascii="宋体" w:hAnsi="宋体" w:cs="宋体"/>
          <w:color w:val="auto"/>
          <w:sz w:val="24"/>
          <w:highlight w:val="none"/>
        </w:rPr>
        <w:t xml:space="preserve">9.4采购代理机构发出的所有补充、修改和变更文件均作为招标文件的组成部分，与招标文件具有同等法律效力。 </w:t>
      </w:r>
      <w:bookmarkStart w:id="73" w:name="EB453bde7f4ddc418fae2aad9fbcd82554"/>
      <w:r>
        <w:rPr>
          <w:rFonts w:hint="eastAsia" w:ascii="宋体" w:hAnsi="宋体" w:cs="宋体"/>
          <w:color w:val="auto"/>
          <w:sz w:val="20"/>
          <w:highlight w:val="none"/>
        </w:rPr>
        <w:t xml:space="preserve"> </w:t>
      </w:r>
      <w:bookmarkEnd w:id="73"/>
      <w:r>
        <w:rPr>
          <w:color w:val="auto"/>
          <w:highlight w:val="none"/>
        </w:rPr>
      </w:r>
      <w:bookmarkStart w:id="74" w:name="EBec71fc1696a240c4b620fe1e00b2ce58"/>
      <w:r>
        <w:rPr>
          <w:rFonts w:hint="eastAsia" w:ascii="宋体" w:hAnsi="宋体" w:cs="宋体"/>
          <w:color w:val="auto"/>
          <w:sz w:val="20"/>
          <w:highlight w:val="none"/>
        </w:rPr>
        <w:t xml:space="preserve"> </w:t>
      </w:r>
      <w:bookmarkEnd w:id="74"/>
      <w:r>
        <w:rPr>
          <w:color w:val="auto"/>
          <w:highlight w:val="none"/>
        </w:rPr>
      </w:r>
      <w:r/>
    </w:p>
    <w:p>
      <w:pPr>
        <w:pStyle w:val="1389"/>
        <w:rPr>
          <w:rFonts w:hint="eastAsia" w:ascii="宋体" w:hAnsi="宋体" w:eastAsia="宋体" w:cs="宋体"/>
          <w:color w:val="auto"/>
          <w:highlight w:val="none"/>
        </w:rPr>
        <w:outlineLvl w:val="1"/>
      </w:pPr>
      <w:r>
        <w:rPr>
          <w:color w:val="auto"/>
          <w:highlight w:val="none"/>
        </w:rPr>
      </w:r>
      <w:bookmarkStart w:id="75" w:name="_Toc20227"/>
      <w:r>
        <w:rPr>
          <w:color w:val="auto"/>
          <w:highlight w:val="none"/>
        </w:rPr>
      </w:r>
      <w:bookmarkStart w:id="76" w:name="_Toc26871"/>
      <w:r>
        <w:rPr>
          <w:color w:val="auto"/>
          <w:highlight w:val="none"/>
        </w:rPr>
      </w:r>
      <w:bookmarkStart w:id="77" w:name="_Toc26908"/>
      <w:r>
        <w:rPr>
          <w:color w:val="auto"/>
          <w:highlight w:val="none"/>
        </w:rPr>
      </w:r>
      <w:bookmarkStart w:id="78" w:name="_Toc514054474"/>
      <w:r>
        <w:rPr>
          <w:rFonts w:hint="eastAsia" w:ascii="宋体" w:hAnsi="宋体" w:eastAsia="宋体" w:cs="宋体"/>
          <w:color w:val="auto"/>
          <w:highlight w:val="none"/>
        </w:rPr>
        <w:t xml:space="preserve">三、投标文件的编制</w:t>
      </w:r>
      <w:bookmarkEnd w:id="75"/>
      <w:r>
        <w:rPr>
          <w:color w:val="auto"/>
          <w:highlight w:val="none"/>
        </w:rPr>
      </w:r>
      <w:bookmarkEnd w:id="76"/>
      <w:r>
        <w:rPr>
          <w:color w:val="auto"/>
          <w:highlight w:val="none"/>
        </w:rPr>
      </w:r>
      <w:bookmarkEnd w:id="77"/>
      <w:r>
        <w:rPr>
          <w:color w:val="auto"/>
          <w:highlight w:val="none"/>
        </w:rPr>
      </w:r>
      <w:bookmarkEnd w:id="78"/>
      <w:r>
        <w:rPr>
          <w:color w:val="auto"/>
          <w:highlight w:val="none"/>
        </w:rPr>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10、投标文件的编制要求</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10.2投标文件应当对招标文件有关交货期、投标有效期、质量要求、技术标准和要求、招标范围、付款方式等实质性内容作出响应。</w:t>
      </w:r>
      <w:r>
        <w:rPr>
          <w:color w:val="auto"/>
          <w:highlight w:val="none"/>
        </w:rPr>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11、投标文件构成</w:t>
      </w:r>
      <w:r>
        <w:rPr>
          <w:color w:val="auto"/>
          <w:highlight w:val="none"/>
        </w:rPr>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11.1资格证明文件；</w:t>
      </w:r>
      <w:r>
        <w:rPr>
          <w:color w:val="auto"/>
          <w:highlight w:val="none"/>
        </w:rPr>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11.1.1具有独立承担民事责任的能力（法人或者其他组织的营业执照等证明文件，自然人的身份证明）；</w:t>
      </w:r>
      <w:r>
        <w:rPr>
          <w:color w:val="auto"/>
          <w:highlight w:val="none"/>
        </w:rPr>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11.1.2 具有良好的商业信誉和健全的财务会计制度（提供2026年</w:t>
      </w:r>
      <w:r>
        <w:rPr>
          <w:rFonts w:hint="eastAsia" w:ascii="宋体" w:hAnsi="宋体" w:cs="宋体"/>
          <w:bCs/>
          <w:color w:val="auto"/>
          <w:sz w:val="24"/>
          <w:szCs w:val="24"/>
          <w:highlight w:val="none"/>
          <w:lang w:val="en-US" w:eastAsia="zh-CN"/>
        </w:rPr>
        <w:t xml:space="preserve">5</w:t>
      </w:r>
      <w:r>
        <w:rPr>
          <w:rFonts w:hint="eastAsia" w:ascii="宋体" w:hAnsi="宋体" w:cs="宋体"/>
          <w:bCs/>
          <w:color w:val="auto"/>
          <w:sz w:val="24"/>
          <w:szCs w:val="24"/>
          <w:highlight w:val="none"/>
        </w:rPr>
        <w:t xml:space="preserve">月-2026年</w:t>
      </w:r>
      <w:r>
        <w:rPr>
          <w:rFonts w:hint="eastAsia" w:ascii="宋体" w:hAnsi="宋体" w:cs="宋体"/>
          <w:bCs/>
          <w:color w:val="auto"/>
          <w:sz w:val="24"/>
          <w:szCs w:val="24"/>
          <w:highlight w:val="none"/>
          <w:lang w:val="en-US" w:eastAsia="zh-CN"/>
        </w:rPr>
        <w:t xml:space="preserve">10</w:t>
      </w:r>
      <w:r>
        <w:rPr>
          <w:rFonts w:hint="eastAsia" w:ascii="宋体" w:hAnsi="宋体" w:cs="宋体"/>
          <w:bCs/>
          <w:color w:val="auto"/>
          <w:sz w:val="24"/>
          <w:szCs w:val="24"/>
          <w:highlight w:val="none"/>
        </w:rPr>
        <w:t xml:space="preserve">月内任意一月份的财务状况报告（至少包括资产负债表或利润表）（法人或者其他组织成立未满三个月的可以不提供），或2026年</w:t>
      </w:r>
      <w:r>
        <w:rPr>
          <w:rFonts w:hint="eastAsia" w:ascii="宋体" w:hAnsi="宋体" w:cs="宋体"/>
          <w:bCs/>
          <w:color w:val="auto"/>
          <w:sz w:val="24"/>
          <w:szCs w:val="24"/>
          <w:highlight w:val="none"/>
          <w:lang w:val="en-US" w:eastAsia="zh-CN"/>
        </w:rPr>
        <w:t xml:space="preserve">5</w:t>
      </w:r>
      <w:r>
        <w:rPr>
          <w:rFonts w:hint="eastAsia" w:ascii="宋体" w:hAnsi="宋体" w:cs="宋体"/>
          <w:bCs/>
          <w:color w:val="auto"/>
          <w:sz w:val="24"/>
          <w:szCs w:val="24"/>
          <w:highlight w:val="none"/>
        </w:rPr>
        <w:t xml:space="preserve">月-2026年</w:t>
      </w:r>
      <w:r>
        <w:rPr>
          <w:rFonts w:hint="eastAsia" w:ascii="宋体" w:hAnsi="宋体" w:cs="宋体"/>
          <w:bCs/>
          <w:color w:val="auto"/>
          <w:sz w:val="24"/>
          <w:szCs w:val="24"/>
          <w:highlight w:val="none"/>
          <w:lang w:val="en-US" w:eastAsia="zh-CN"/>
        </w:rPr>
        <w:t xml:space="preserve">10</w:t>
      </w:r>
      <w:r>
        <w:rPr>
          <w:rFonts w:hint="eastAsia" w:ascii="宋体" w:hAnsi="宋体" w:cs="宋体"/>
          <w:bCs/>
          <w:color w:val="auto"/>
          <w:sz w:val="24"/>
          <w:szCs w:val="24"/>
          <w:highlight w:val="none"/>
        </w:rPr>
        <w:t xml:space="preserve">月内其银行出具的资信证书（复印件），或202</w:t>
      </w:r>
      <w:r>
        <w:rPr>
          <w:rFonts w:hint="eastAsia" w:ascii="宋体" w:hAnsi="宋体" w:cs="宋体"/>
          <w:bCs/>
          <w:color w:val="auto"/>
          <w:sz w:val="24"/>
          <w:szCs w:val="24"/>
          <w:highlight w:val="none"/>
          <w:lang w:val="en-US" w:eastAsia="zh-CN"/>
        </w:rPr>
        <w:t xml:space="preserve">5</w:t>
      </w:r>
      <w:r>
        <w:rPr>
          <w:rFonts w:hint="eastAsia" w:ascii="宋体" w:hAnsi="宋体" w:cs="宋体"/>
          <w:bCs/>
          <w:color w:val="auto"/>
          <w:sz w:val="24"/>
          <w:szCs w:val="24"/>
          <w:highlight w:val="none"/>
        </w:rPr>
        <w:t xml:space="preserve">年度经审计的财务报告复印件加盖公章）</w:t>
      </w:r>
      <w:r>
        <w:rPr>
          <w:color w:val="auto"/>
          <w:highlight w:val="none"/>
        </w:rPr>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11.1.3具有履行合同所必需的设备和专业技术能力（提供书面声明）；</w:t>
      </w:r>
      <w:r>
        <w:rPr>
          <w:color w:val="auto"/>
          <w:highlight w:val="none"/>
        </w:rPr>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11.1.4 有依法缴纳税收和社会保障资金的良好记录（参加本次政府采购活动前6个月内（即2026年</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月-2026年</w:t>
      </w: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月期间）至少一个月缴纳税收及缴纳社会保障资金的证明材料，投标人依法享受缓缴、免缴税收、社会保障资金的，需提供证明材料）；</w:t>
      </w:r>
      <w:r>
        <w:rPr>
          <w:color w:val="auto"/>
          <w:highlight w:val="none"/>
        </w:rPr>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11.1.5 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rPr>
          <w:color w:val="auto"/>
          <w:highlight w:val="none"/>
        </w:rPr>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11.1.6法律、行政法规规定的其他条件；</w:t>
      </w:r>
      <w:r>
        <w:rPr>
          <w:color w:val="auto"/>
          <w:highlight w:val="none"/>
        </w:rPr>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11.1.7</w:t>
      </w:r>
      <w:r>
        <w:rPr>
          <w:rFonts w:hint="eastAsia" w:ascii="宋体" w:hAnsi="宋体" w:cs="宋体"/>
          <w:bCs/>
          <w:color w:val="auto"/>
          <w:sz w:val="24"/>
          <w:szCs w:val="24"/>
          <w:highlight w:val="none"/>
        </w:rPr>
        <w:t xml:space="preserve">如投标产品为医疗器械：</w:t>
      </w:r>
      <w:r>
        <w:rPr>
          <w:color w:val="auto"/>
          <w:highlight w:val="none"/>
        </w:rPr>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11.1.7.</w:t>
      </w:r>
      <w:r>
        <w:rPr>
          <w:rFonts w:hint="eastAsia" w:ascii="宋体" w:hAnsi="宋体" w:cs="宋体"/>
          <w:bCs/>
          <w:color w:val="auto"/>
          <w:sz w:val="24"/>
          <w:szCs w:val="24"/>
          <w:highlight w:val="none"/>
        </w:rPr>
        <w:t xml:space="preserve">1投标人须</w:t>
      </w:r>
      <w:r>
        <w:rPr>
          <w:rFonts w:hint="eastAsia" w:ascii="宋体" w:hAnsi="宋体" w:cs="宋体"/>
          <w:bCs/>
          <w:color w:val="auto"/>
          <w:sz w:val="24"/>
          <w:szCs w:val="24"/>
          <w:highlight w:val="none"/>
          <w:lang w:val="en-US" w:eastAsia="zh-CN"/>
        </w:rPr>
        <w:t xml:space="preserve">根据投标产品类别，</w:t>
      </w:r>
      <w:r>
        <w:rPr>
          <w:rFonts w:hint="eastAsia" w:ascii="宋体" w:hAnsi="宋体" w:cs="宋体"/>
          <w:bCs/>
          <w:color w:val="auto"/>
          <w:sz w:val="24"/>
          <w:szCs w:val="24"/>
          <w:highlight w:val="none"/>
        </w:rPr>
        <w:t xml:space="preserve">提供有效的医疗器械产品注册证或产品备案凭证，投标时提供复印件加盖公章。</w:t>
      </w:r>
      <w:r>
        <w:rPr>
          <w:color w:val="auto"/>
          <w:highlight w:val="none"/>
        </w:rPr>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11.1.7.2若投标人为代理商，</w:t>
      </w:r>
      <w:r>
        <w:rPr>
          <w:rFonts w:hint="eastAsia" w:ascii="宋体" w:hAnsi="宋体" w:cs="宋体"/>
          <w:bCs/>
          <w:color w:val="auto"/>
          <w:sz w:val="24"/>
          <w:szCs w:val="24"/>
          <w:highlight w:val="none"/>
        </w:rPr>
        <w:t xml:space="preserve">须</w:t>
      </w:r>
      <w:r>
        <w:rPr>
          <w:rFonts w:hint="eastAsia" w:ascii="宋体" w:hAnsi="宋体" w:cs="宋体"/>
          <w:bCs/>
          <w:color w:val="auto"/>
          <w:sz w:val="24"/>
          <w:szCs w:val="24"/>
          <w:highlight w:val="none"/>
          <w:lang w:val="en-US" w:eastAsia="zh-CN"/>
        </w:rPr>
        <w:t xml:space="preserve">根据投标产品类别，提供有效的《医疗器械经营许可证》或医疗器械经营备案凭证，投标时提供复印件加盖公章。</w:t>
      </w:r>
      <w:r>
        <w:rPr>
          <w:color w:val="auto"/>
          <w:highlight w:val="none"/>
        </w:rPr>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11.1.7.3 医疗器械生产企业投标本企业产品的，须提供《医疗器械生产许可证》，投标时提供复印件加盖公章。</w:t>
      </w:r>
      <w:r>
        <w:rPr>
          <w:color w:val="auto"/>
          <w:highlight w:val="none"/>
        </w:rPr>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8 </w:t>
      </w:r>
      <w:r>
        <w:rPr>
          <w:rFonts w:hint="eastAsia" w:ascii="宋体" w:hAnsi="宋体" w:cs="宋体"/>
          <w:bCs/>
          <w:color w:val="auto"/>
          <w:sz w:val="24"/>
          <w:szCs w:val="24"/>
          <w:highlight w:val="none"/>
        </w:rPr>
        <w:t xml:space="preserve">拒绝下述供应商参加本次采购活动的情形：</w:t>
      </w:r>
      <w:r>
        <w:rPr>
          <w:color w:val="auto"/>
          <w:highlight w:val="none"/>
        </w:rPr>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8</w:t>
      </w: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供应商单位负责人为同一人或者存在直接控股、管理关系的不同供应商，不得参加同一合同项下的政府采购活动。</w:t>
      </w:r>
      <w:r>
        <w:rPr>
          <w:color w:val="auto"/>
          <w:highlight w:val="none"/>
        </w:rPr>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8</w:t>
      </w: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凡为采购项目提供整体设计、规范编制或者项目管理、监理、检测等服务的供应商，不得再参加本项目的采购活动。</w:t>
      </w:r>
      <w:r>
        <w:rPr>
          <w:color w:val="auto"/>
          <w:highlight w:val="none"/>
        </w:rPr>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8</w:t>
      </w:r>
      <w:r>
        <w:rPr>
          <w:rFonts w:hint="eastAsia" w:ascii="宋体" w:hAnsi="宋体" w:cs="宋体"/>
          <w:bCs/>
          <w:color w:val="auto"/>
          <w:sz w:val="24"/>
          <w:szCs w:val="24"/>
          <w:highlight w:val="none"/>
        </w:rPr>
        <w:t xml:space="preserve">.3</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拒绝列入失信被执行人、重大税收违法案件当事人名单、政府采购严重违法失信行为记录名单的供应商参与政府采购活动。</w:t>
      </w:r>
      <w:r>
        <w:rPr>
          <w:color w:val="auto"/>
          <w:highlight w:val="none"/>
        </w:rPr>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11.2投标函；</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bCs/>
          <w:color w:val="auto"/>
          <w:sz w:val="24"/>
          <w:szCs w:val="24"/>
          <w:highlight w:val="none"/>
        </w:rPr>
        <w:t xml:space="preserve">11.3</w:t>
      </w:r>
      <w:r>
        <w:rPr>
          <w:rFonts w:hint="eastAsia" w:ascii="宋体" w:hAnsi="宋体" w:cs="宋体"/>
          <w:color w:val="auto"/>
          <w:sz w:val="24"/>
          <w:highlight w:val="none"/>
        </w:rPr>
        <w:t xml:space="preserve">报价文件</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11.3.1开标一览表；</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11.3.2明细报价表。</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11.4技术文件</w:t>
      </w:r>
      <w:r>
        <w:rPr>
          <w:color w:val="auto"/>
          <w:highlight w:val="none"/>
        </w:rPr>
      </w:r>
      <w:r/>
    </w:p>
    <w:p>
      <w:pPr>
        <w:ind w:firstLine="480"/>
        <w:spacing w:line="500" w:lineRule="exact"/>
        <w:rPr>
          <w:rFonts w:hint="eastAsia" w:ascii="宋体" w:hAnsi="宋体" w:cs="宋体"/>
          <w:color w:val="auto"/>
          <w:sz w:val="24"/>
          <w:highlight w:val="none"/>
        </w:rPr>
      </w:pPr>
      <w:r>
        <w:rPr>
          <w:color w:val="auto"/>
          <w:highlight w:val="none"/>
        </w:rPr>
      </w:r>
      <w:bookmarkStart w:id="79" w:name="EB7f6b24a996964930b08d6b290b36e3fd"/>
      <w:r>
        <w:rPr>
          <w:rFonts w:hint="eastAsia" w:ascii="宋体" w:hAnsi="宋体" w:cs="宋体"/>
          <w:color w:val="auto"/>
          <w:sz w:val="24"/>
          <w:highlight w:val="none"/>
        </w:rPr>
        <w:t xml:space="preserve">11.4.1技术响应偏差表</w:t>
      </w:r>
      <w:bookmarkEnd w:id="79"/>
      <w:r>
        <w:rPr>
          <w:rFonts w:hint="eastAsia" w:ascii="宋体" w:hAnsi="宋体" w:cs="宋体"/>
          <w:color w:val="auto"/>
          <w:sz w:val="24"/>
          <w:highlight w:val="none"/>
        </w:rPr>
        <w:t xml:space="preserve">。</w:t>
      </w:r>
      <w:r>
        <w:rPr>
          <w:color w:val="auto"/>
          <w:highlight w:val="none"/>
        </w:rPr>
      </w:r>
      <w:r/>
    </w:p>
    <w:p>
      <w:pPr>
        <w:ind w:firstLine="480"/>
        <w:spacing w:line="500" w:lineRule="exact"/>
        <w:rPr>
          <w:rFonts w:hint="eastAsia" w:ascii="宋体" w:hAnsi="宋体" w:cs="宋体"/>
          <w:bCs/>
          <w:color w:val="auto"/>
          <w:sz w:val="24"/>
          <w:szCs w:val="24"/>
          <w:highlight w:val="none"/>
        </w:rPr>
      </w:pPr>
      <w:r>
        <w:rPr>
          <w:rFonts w:hint="eastAsia" w:ascii="宋体" w:hAnsi="宋体" w:cs="宋体"/>
          <w:color w:val="auto"/>
          <w:sz w:val="24"/>
          <w:highlight w:val="none"/>
        </w:rPr>
        <w:t xml:space="preserve">11.4.2</w:t>
      </w:r>
      <w:r>
        <w:rPr>
          <w:rFonts w:hint="eastAsia" w:ascii="宋体" w:hAnsi="宋体" w:cs="宋体"/>
          <w:bCs/>
          <w:color w:val="auto"/>
          <w:sz w:val="24"/>
          <w:szCs w:val="24"/>
          <w:highlight w:val="none"/>
        </w:rPr>
        <w:t xml:space="preserve">其他技术文件（根据评分点自行提供）</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11.5商务文件</w:t>
      </w:r>
      <w:r>
        <w:rPr>
          <w:color w:val="auto"/>
          <w:highlight w:val="none"/>
        </w:rPr>
      </w:r>
      <w:r/>
    </w:p>
    <w:p>
      <w:pPr>
        <w:ind w:firstLine="480"/>
        <w:spacing w:line="500" w:lineRule="exact"/>
        <w:rPr>
          <w:rFonts w:hint="eastAsia" w:ascii="宋体" w:hAnsi="宋体" w:cs="宋体"/>
          <w:color w:val="auto"/>
          <w:sz w:val="24"/>
          <w:highlight w:val="none"/>
        </w:rPr>
      </w:pPr>
      <w:r>
        <w:rPr>
          <w:color w:val="auto"/>
          <w:highlight w:val="none"/>
        </w:rPr>
      </w:r>
      <w:bookmarkStart w:id="80" w:name="EBdc2c24f6358343e896cd43bd6621a619"/>
      <w:r>
        <w:rPr>
          <w:rFonts w:hint="eastAsia" w:ascii="宋体" w:hAnsi="宋体" w:cs="宋体"/>
          <w:color w:val="auto"/>
          <w:sz w:val="24"/>
          <w:highlight w:val="none"/>
        </w:rPr>
        <w:t xml:space="preserve">11.5.1商务响应偏差表；</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11.5.2投标人承担类似项目业绩一览表</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11.5.3其他商务文件</w:t>
      </w:r>
      <w:r>
        <w:rPr>
          <w:rFonts w:hint="eastAsia" w:ascii="宋体" w:hAnsi="宋体" w:cs="宋体"/>
          <w:bCs/>
          <w:color w:val="auto"/>
          <w:sz w:val="24"/>
          <w:szCs w:val="24"/>
          <w:highlight w:val="none"/>
        </w:rPr>
        <w:t xml:space="preserve">（根据评分点自行提供）</w:t>
      </w:r>
      <w:r>
        <w:rPr>
          <w:rFonts w:hint="eastAsia" w:ascii="宋体" w:hAnsi="宋体" w:cs="宋体"/>
          <w:color w:val="auto"/>
          <w:sz w:val="24"/>
          <w:highlight w:val="none"/>
        </w:rPr>
        <w:t xml:space="preserve">。</w:t>
      </w:r>
      <w:bookmarkEnd w:id="80"/>
      <w:r>
        <w:rPr>
          <w:color w:val="auto"/>
          <w:highlight w:val="none"/>
        </w:rPr>
      </w:r>
      <w:r/>
    </w:p>
    <w:p>
      <w:pPr>
        <w:numPr>
          <w:ilvl w:val="0"/>
          <w:numId w:val="6"/>
        </w:num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投标文件构成资料为非中文时应提供中文译版，并以中文为准，否则可视为未提供；</w:t>
      </w:r>
      <w:r>
        <w:rPr>
          <w:color w:val="auto"/>
          <w:highlight w:val="none"/>
        </w:rPr>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13、投标报价</w:t>
      </w:r>
      <w:r>
        <w:rPr>
          <w:color w:val="auto"/>
          <w:highlight w:val="none"/>
        </w:rPr>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13.1本项目不接受备选的投标方案或有选择的报价，只允许有一个报价。投标报价内容包括：</w:t>
      </w:r>
      <w:bookmarkStart w:id="81" w:name="EB54dd097a55df4796bd5f9b6bdf2ddc40"/>
      <w:r>
        <w:rPr>
          <w:rFonts w:hint="eastAsia" w:ascii="宋体" w:hAnsi="宋体" w:cs="宋体"/>
          <w:color w:val="auto"/>
          <w:sz w:val="24"/>
          <w:highlight w:val="none"/>
        </w:rPr>
        <w:t xml:space="preserve">人工费（工资、社保、公积金、制服、福利费、高温费）、管理服务费、税金以及交付使用过程中涉及到的其他一切费用。</w:t>
      </w:r>
      <w:bookmarkEnd w:id="81"/>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13.3报价注意事项：</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13.3.1价格一律以人民币计算；</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13.3.2投标人报价时应充分考虑所有可能影响到报价的因素，一旦评标结束最终中标，如发生漏、缺、少项，都将被认为是中标人的报价让利行为，损失自负。</w:t>
      </w:r>
      <w:r>
        <w:rPr>
          <w:color w:val="auto"/>
          <w:highlight w:val="none"/>
        </w:rPr>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14、投标保证金</w:t>
      </w:r>
      <w:r>
        <w:rPr>
          <w:color w:val="auto"/>
          <w:highlight w:val="none"/>
        </w:rPr>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本项目不收取投标保证金。</w:t>
      </w:r>
      <w:r>
        <w:rPr>
          <w:color w:val="auto"/>
          <w:highlight w:val="none"/>
        </w:rPr>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15.招标代理服务费</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15.1采购项目招标代理服务收费按“《江苏省招标代理服务收费的指导意见》（苏招协 [2022]002号）收费标准”</w:t>
      </w:r>
      <w:r>
        <w:rPr>
          <w:rFonts w:hint="eastAsia" w:ascii="宋体" w:hAnsi="宋体" w:cs="宋体"/>
          <w:color w:val="auto"/>
          <w:sz w:val="24"/>
          <w:highlight w:val="none"/>
          <w:lang w:val="en-US" w:eastAsia="zh-CN"/>
        </w:rPr>
        <w:t xml:space="preserve">差额累进</w:t>
      </w:r>
      <w:r>
        <w:rPr>
          <w:rFonts w:hint="eastAsia" w:ascii="宋体" w:hAnsi="宋体" w:cs="宋体"/>
          <w:color w:val="auto"/>
          <w:sz w:val="24"/>
          <w:highlight w:val="none"/>
        </w:rPr>
        <w:t xml:space="preserve">计算后45.00%</w:t>
      </w:r>
      <w:r>
        <w:rPr>
          <w:rFonts w:hint="eastAsia" w:ascii="宋体" w:hAnsi="宋体" w:cs="宋体"/>
          <w:color w:val="auto"/>
          <w:sz w:val="24"/>
          <w:highlight w:val="none"/>
          <w:lang w:val="en-US" w:eastAsia="zh-CN"/>
        </w:rPr>
        <w:t xml:space="preserve">向中标人</w:t>
      </w:r>
      <w:r>
        <w:rPr>
          <w:rFonts w:hint="eastAsia" w:ascii="宋体" w:hAnsi="宋体" w:cs="宋体"/>
          <w:color w:val="auto"/>
          <w:sz w:val="24"/>
          <w:highlight w:val="none"/>
        </w:rPr>
        <w:t xml:space="preserve">收取。</w:t>
      </w:r>
      <w:r>
        <w:rPr>
          <w:color w:val="auto"/>
          <w:highlight w:val="none"/>
        </w:rPr>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16、投标有效期</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16.1在投标人须知前附表规定的投标有效期内，投标人不得要求撤销或者修改其投标文件。 </w:t>
      </w:r>
      <w:r>
        <w:rPr>
          <w:color w:val="auto"/>
          <w:highlight w:val="none"/>
        </w:rPr>
      </w:r>
      <w:r/>
    </w:p>
    <w:p>
      <w:pPr>
        <w:ind w:firstLine="480"/>
        <w:spacing w:line="500" w:lineRule="exact"/>
        <w:rPr>
          <w:rFonts w:hint="eastAsia" w:ascii="宋体" w:hAnsi="宋体" w:cs="宋体"/>
          <w:color w:val="auto"/>
          <w:highlight w:val="none"/>
        </w:rPr>
      </w:pPr>
      <w:r>
        <w:rPr>
          <w:rFonts w:hint="eastAsia" w:ascii="宋体" w:hAnsi="宋体" w:cs="宋体"/>
          <w:color w:val="auto"/>
          <w:sz w:val="24"/>
          <w:highlight w:val="non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rPr>
          <w:rFonts w:hint="eastAsia" w:ascii="宋体" w:hAnsi="宋体" w:cs="宋体"/>
          <w:color w:val="auto"/>
          <w:sz w:val="20"/>
          <w:highlight w:val="none"/>
        </w:rPr>
        <w:t xml:space="preserve">   </w:t>
      </w:r>
      <w:bookmarkStart w:id="82" w:name="EB12ed6b870f334fa092f7ed1f9a9dbab8"/>
      <w:r>
        <w:rPr>
          <w:rFonts w:hint="eastAsia" w:ascii="宋体" w:hAnsi="宋体" w:cs="宋体"/>
          <w:color w:val="auto"/>
          <w:sz w:val="20"/>
          <w:highlight w:val="none"/>
        </w:rPr>
        <w:t xml:space="preserve"> </w:t>
      </w:r>
      <w:bookmarkEnd w:id="82"/>
      <w:r>
        <w:rPr>
          <w:color w:val="auto"/>
          <w:highlight w:val="none"/>
        </w:rPr>
      </w:r>
      <w:bookmarkStart w:id="83" w:name="EB5d36e8077cc64e309c0c0f0cd8a6f496"/>
      <w:r>
        <w:rPr>
          <w:rFonts w:hint="eastAsia" w:ascii="宋体" w:hAnsi="宋体" w:cs="宋体"/>
          <w:color w:val="auto"/>
          <w:sz w:val="20"/>
          <w:highlight w:val="none"/>
        </w:rPr>
        <w:t xml:space="preserve"> </w:t>
      </w:r>
      <w:bookmarkEnd w:id="83"/>
      <w:r>
        <w:rPr>
          <w:color w:val="auto"/>
          <w:highlight w:val="none"/>
        </w:rPr>
      </w:r>
      <w:r/>
    </w:p>
    <w:p>
      <w:pPr>
        <w:pStyle w:val="1389"/>
        <w:rPr>
          <w:rFonts w:hint="eastAsia" w:ascii="宋体" w:hAnsi="宋体" w:eastAsia="宋体" w:cs="宋体"/>
          <w:color w:val="auto"/>
          <w:highlight w:val="none"/>
        </w:rPr>
        <w:outlineLvl w:val="1"/>
      </w:pPr>
      <w:r>
        <w:rPr>
          <w:color w:val="auto"/>
          <w:highlight w:val="none"/>
        </w:rPr>
      </w:r>
      <w:bookmarkStart w:id="84" w:name="_Toc26211"/>
      <w:r>
        <w:rPr>
          <w:color w:val="auto"/>
          <w:highlight w:val="none"/>
        </w:rPr>
      </w:r>
      <w:bookmarkStart w:id="85" w:name="_Toc9292"/>
      <w:r>
        <w:rPr>
          <w:color w:val="auto"/>
          <w:highlight w:val="none"/>
        </w:rPr>
      </w:r>
      <w:bookmarkStart w:id="86" w:name="_Toc514054475"/>
      <w:r>
        <w:rPr>
          <w:color w:val="auto"/>
          <w:highlight w:val="none"/>
        </w:rPr>
      </w:r>
      <w:bookmarkStart w:id="87" w:name="_Toc5409"/>
      <w:r>
        <w:rPr>
          <w:rFonts w:hint="eastAsia" w:ascii="宋体" w:hAnsi="宋体" w:eastAsia="宋体" w:cs="宋体"/>
          <w:color w:val="auto"/>
          <w:highlight w:val="none"/>
        </w:rPr>
        <w:t xml:space="preserve">四、投标文件的提交</w:t>
      </w:r>
      <w:bookmarkEnd w:id="84"/>
      <w:r>
        <w:rPr>
          <w:color w:val="auto"/>
          <w:highlight w:val="none"/>
        </w:rPr>
      </w:r>
      <w:bookmarkEnd w:id="85"/>
      <w:r>
        <w:rPr>
          <w:color w:val="auto"/>
          <w:highlight w:val="none"/>
        </w:rPr>
      </w:r>
      <w:bookmarkEnd w:id="86"/>
      <w:r>
        <w:rPr>
          <w:color w:val="auto"/>
          <w:highlight w:val="none"/>
        </w:rPr>
      </w:r>
      <w:bookmarkEnd w:id="87"/>
      <w:r>
        <w:rPr>
          <w:color w:val="auto"/>
          <w:highlight w:val="none"/>
        </w:rPr>
      </w:r>
      <w:r/>
    </w:p>
    <w:p>
      <w:pPr>
        <w:ind w:firstLine="482"/>
        <w:spacing w:line="500" w:lineRule="exact"/>
        <w:rPr>
          <w:rFonts w:hint="eastAsia" w:ascii="宋体" w:hAnsi="宋体" w:cs="宋体"/>
          <w:b/>
          <w:color w:val="auto"/>
          <w:sz w:val="24"/>
          <w:highlight w:val="none"/>
        </w:rPr>
        <w:outlineLvl w:val="2"/>
      </w:pPr>
      <w:r>
        <w:rPr>
          <w:color w:val="auto"/>
          <w:highlight w:val="none"/>
        </w:rPr>
      </w:r>
      <w:bookmarkStart w:id="88" w:name="_Toc514054476"/>
      <w:r>
        <w:rPr>
          <w:color w:val="auto"/>
          <w:highlight w:val="none"/>
        </w:rPr>
      </w:r>
      <w:bookmarkStart w:id="89" w:name="_Toc11452"/>
      <w:r>
        <w:rPr>
          <w:rFonts w:hint="eastAsia" w:ascii="宋体" w:hAnsi="宋体" w:cs="宋体"/>
          <w:b/>
          <w:color w:val="auto"/>
          <w:sz w:val="24"/>
          <w:highlight w:val="none"/>
        </w:rPr>
        <w:t xml:space="preserve">17.1、投标文件的提交</w:t>
      </w:r>
      <w:r>
        <w:rPr>
          <w:color w:val="auto"/>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17.1.1 电子投标文件的递交</w:t>
      </w:r>
      <w:r>
        <w:rPr>
          <w:color w:val="auto"/>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投标人应当按照《操作手册》规定，在投标截止时间前制作并上传电子投标文件。</w:t>
      </w:r>
      <w:bookmarkStart w:id="90" w:name="_Toc20823298"/>
      <w:r>
        <w:rPr>
          <w:color w:val="auto"/>
          <w:highlight w:val="none"/>
        </w:rPr>
      </w:r>
      <w:bookmarkEnd w:id="90"/>
      <w:r>
        <w:rPr>
          <w:color w:val="auto"/>
          <w:highlight w:val="none"/>
        </w:rPr>
      </w:r>
      <w:bookmarkStart w:id="91" w:name="_Toc16938542"/>
      <w:r>
        <w:rPr>
          <w:color w:val="auto"/>
          <w:highlight w:val="none"/>
        </w:rPr>
      </w:r>
      <w:bookmarkEnd w:id="91"/>
      <w:r>
        <w:rPr>
          <w:color w:val="auto"/>
          <w:highlight w:val="none"/>
        </w:rPr>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17.2、投标截止时间</w:t>
      </w:r>
      <w:r>
        <w:rPr>
          <w:color w:val="auto"/>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17.2.1投标人上传电子投标文件的时间不得迟于招标公告中规定的投标截止时间。</w:t>
      </w:r>
      <w:r>
        <w:rPr>
          <w:color w:val="auto"/>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投标人应充分考虑到网络环境、网络带宽等风险因素，如因投标人自身原因造成的电子投标文件上传不成功的按照本招标文件第二部分第18.1.2条 规定做无效投标处理。</w:t>
      </w:r>
      <w:r>
        <w:rPr>
          <w:color w:val="auto"/>
          <w:highlight w:val="none"/>
        </w:rPr>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17.2.2采购代理机构可以按照规定，通过修改招标文件酌情延长投标截止时间，在此情况下，投标人的所有权利和义务以及投标人受制的截止时间均应以延长后新的截止时间为准。</w:t>
      </w:r>
      <w:r>
        <w:rPr>
          <w:color w:val="auto"/>
          <w:highlight w:val="none"/>
        </w:rPr>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17.3、投标文件被拒绝接收的情形</w:t>
      </w:r>
      <w:r>
        <w:rPr>
          <w:color w:val="auto"/>
          <w:highlight w:val="none"/>
        </w:rPr>
      </w:r>
      <w:r/>
    </w:p>
    <w:p>
      <w:pPr>
        <w:ind w:firstLine="480"/>
        <w:spacing w:line="520" w:lineRule="exact"/>
        <w:rPr>
          <w:rFonts w:hint="eastAsia" w:ascii="宋体" w:hAnsi="宋体" w:cs="宋体"/>
          <w:color w:val="auto"/>
          <w:sz w:val="20"/>
          <w:highlight w:val="none"/>
        </w:rPr>
      </w:pPr>
      <w:r>
        <w:rPr>
          <w:rFonts w:hint="eastAsia" w:ascii="宋体" w:hAnsi="宋体" w:cs="宋体"/>
          <w:color w:val="auto"/>
          <w:sz w:val="24"/>
          <w:highlight w:val="none"/>
        </w:rPr>
        <w:t xml:space="preserve">17.3.1</w:t>
      </w:r>
      <w:bookmarkStart w:id="92" w:name="EB200c38d7a1c345f29b604b38d510a951"/>
      <w:r>
        <w:rPr>
          <w:rFonts w:hint="eastAsia" w:ascii="宋体" w:hAnsi="宋体" w:cs="宋体"/>
          <w:color w:val="auto"/>
          <w:sz w:val="24"/>
          <w:highlight w:val="none"/>
        </w:rPr>
        <w:t xml:space="preserve">采购代理机构拒绝接收在其规定的投标截止时间后上传的任何投标文件。</w:t>
      </w:r>
      <w:r>
        <w:rPr>
          <w:rFonts w:hint="eastAsia" w:ascii="宋体" w:hAnsi="宋体" w:cs="宋体"/>
          <w:color w:val="auto"/>
          <w:sz w:val="20"/>
          <w:highlight w:val="none"/>
        </w:rPr>
        <w:t xml:space="preserve"> </w:t>
      </w:r>
      <w:bookmarkEnd w:id="92"/>
      <w:r>
        <w:rPr>
          <w:color w:val="auto"/>
          <w:highlight w:val="none"/>
        </w:rPr>
      </w:r>
      <w:r/>
    </w:p>
    <w:p>
      <w:pPr>
        <w:ind w:firstLine="480"/>
        <w:spacing w:line="520" w:lineRule="exact"/>
        <w:rPr>
          <w:rFonts w:hint="eastAsia" w:ascii="宋体" w:hAnsi="宋体" w:cs="宋体"/>
          <w:b/>
          <w:bCs/>
          <w:color w:val="auto"/>
          <w:sz w:val="24"/>
          <w:highlight w:val="none"/>
        </w:rPr>
        <w:outlineLvl w:val="2"/>
      </w:pPr>
      <w:r>
        <w:rPr>
          <w:color w:val="auto"/>
          <w:highlight w:val="none"/>
        </w:rPr>
      </w:r>
      <w:bookmarkStart w:id="93" w:name="_Toc513029228"/>
      <w:r>
        <w:rPr>
          <w:color w:val="auto"/>
          <w:highlight w:val="none"/>
        </w:rPr>
      </w:r>
      <w:bookmarkStart w:id="94" w:name="_Toc16938544"/>
      <w:r>
        <w:rPr>
          <w:color w:val="auto"/>
          <w:highlight w:val="none"/>
        </w:rPr>
      </w:r>
      <w:bookmarkStart w:id="95" w:name="_Toc20823300"/>
      <w:r>
        <w:rPr>
          <w:rFonts w:hint="eastAsia" w:ascii="宋体" w:hAnsi="宋体" w:cs="宋体"/>
          <w:b/>
          <w:bCs/>
          <w:color w:val="auto"/>
          <w:sz w:val="24"/>
          <w:highlight w:val="none"/>
        </w:rPr>
        <w:t xml:space="preserve">17.4、投标文件的撤回和修改</w:t>
      </w:r>
      <w:bookmarkEnd w:id="93"/>
      <w:r>
        <w:rPr>
          <w:color w:val="auto"/>
          <w:highlight w:val="none"/>
        </w:rPr>
      </w:r>
      <w:bookmarkEnd w:id="94"/>
      <w:r>
        <w:rPr>
          <w:color w:val="auto"/>
          <w:highlight w:val="none"/>
        </w:rPr>
      </w:r>
      <w:bookmarkEnd w:id="95"/>
      <w:r>
        <w:rPr>
          <w:color w:val="auto"/>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17.4.1投标文件的撤回</w:t>
      </w:r>
      <w:r>
        <w:rPr>
          <w:color w:val="auto"/>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17.4.1.1电子投标文件的撤回</w:t>
      </w:r>
      <w:r>
        <w:rPr>
          <w:color w:val="auto"/>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投标人可在投标截止时间前，撤回其电子投标文件，具体操作方法见《操作手册》。</w:t>
      </w:r>
      <w:r>
        <w:rPr>
          <w:color w:val="auto"/>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17.4.1.2投标人撤回电子投标文件，则认为其不再参与本项目投标活动。</w:t>
      </w:r>
      <w:r>
        <w:rPr>
          <w:color w:val="auto"/>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 投标文件的修改</w:t>
      </w:r>
      <w:r>
        <w:rPr>
          <w:color w:val="auto"/>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17.4.2.1投标人可在投标截止时间前，对其电子投标文件进行修改，具体操作方法见《操作手册》。</w:t>
      </w:r>
      <w:r>
        <w:rPr>
          <w:color w:val="auto"/>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17.4.2.2在投标截止时间之后，投标人不得对其电子投标文件作任何修改。</w:t>
      </w:r>
      <w:r>
        <w:rPr>
          <w:color w:val="auto"/>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17.4.3在投标截止时间至招标文件中规定的投标有效期满之间的这段时间内，投标人不得撤回其投标。</w:t>
      </w:r>
      <w:r>
        <w:rPr>
          <w:color w:val="auto"/>
          <w:highlight w:val="none"/>
        </w:rPr>
      </w:r>
      <w:r/>
    </w:p>
    <w:p>
      <w:pPr>
        <w:pStyle w:val="1389"/>
        <w:rPr>
          <w:rFonts w:hint="eastAsia" w:ascii="宋体" w:hAnsi="宋体" w:eastAsia="宋体" w:cs="宋体"/>
          <w:color w:val="auto"/>
          <w:highlight w:val="none"/>
        </w:rPr>
        <w:outlineLvl w:val="1"/>
      </w:pPr>
      <w:r>
        <w:rPr>
          <w:color w:val="auto"/>
          <w:highlight w:val="none"/>
        </w:rPr>
      </w:r>
      <w:bookmarkStart w:id="96" w:name="_Toc30306"/>
      <w:r>
        <w:rPr>
          <w:color w:val="auto"/>
          <w:highlight w:val="none"/>
        </w:rPr>
      </w:r>
      <w:bookmarkStart w:id="97" w:name="_Toc27625"/>
      <w:r>
        <w:rPr>
          <w:rFonts w:hint="eastAsia" w:ascii="宋体" w:hAnsi="宋体" w:eastAsia="宋体" w:cs="宋体"/>
          <w:color w:val="auto"/>
          <w:highlight w:val="none"/>
        </w:rPr>
        <w:t xml:space="preserve">五、无效标、投标被拒绝、串通投标认定条款</w:t>
      </w:r>
      <w:bookmarkEnd w:id="88"/>
      <w:r>
        <w:rPr>
          <w:color w:val="auto"/>
          <w:highlight w:val="none"/>
        </w:rPr>
      </w:r>
      <w:bookmarkEnd w:id="89"/>
      <w:r>
        <w:rPr>
          <w:color w:val="auto"/>
          <w:highlight w:val="none"/>
        </w:rPr>
      </w:r>
      <w:bookmarkEnd w:id="96"/>
      <w:r>
        <w:rPr>
          <w:color w:val="auto"/>
          <w:highlight w:val="none"/>
        </w:rPr>
      </w:r>
      <w:bookmarkEnd w:id="97"/>
      <w:r>
        <w:rPr>
          <w:color w:val="auto"/>
          <w:highlight w:val="none"/>
        </w:rPr>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18、以下情形将视为无效投标</w:t>
      </w:r>
      <w:bookmarkStart w:id="98" w:name="EB94942e5430df4fb8a077f3cf7667f212"/>
      <w:r>
        <w:rPr>
          <w:color w:val="auto"/>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18.1.1投标人在苏采云系统规定的时间内未成功解密电子投标文件的。</w:t>
      </w:r>
      <w:r>
        <w:rPr>
          <w:color w:val="auto"/>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18.1.2投标人未按照招标文件要求上传电子投标文件的。</w:t>
      </w:r>
      <w:r>
        <w:rPr>
          <w:color w:val="auto"/>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18.1.3同一投标人提交两个（含两个）以上不同的投标报价的。</w:t>
      </w:r>
      <w:r>
        <w:rPr>
          <w:color w:val="auto"/>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18.1.4投标人不具备招标文件中规定资格要求的（18.1.5投标人的报价超过了采购预算或最高限价的。</w:t>
      </w:r>
      <w:r>
        <w:rPr>
          <w:color w:val="auto"/>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18.1.6未通过符合性审查的。</w:t>
      </w:r>
      <w:r>
        <w:rPr>
          <w:color w:val="auto"/>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18.1.7不符合招标文件中规定的实质性要求和条件的。</w:t>
      </w:r>
      <w:r>
        <w:rPr>
          <w:rFonts w:hint="eastAsia" w:ascii="宋体" w:hAnsi="宋体" w:cs="宋体"/>
          <w:color w:val="auto"/>
          <w:sz w:val="24"/>
          <w:highlight w:val="none"/>
          <w:lang w:eastAsia="zh-CN"/>
        </w:rPr>
        <w:t xml:space="preserve">（（本招标文件中实质性要求和条件包括但不限于加注以文字表明的实质性要求和标注“★”的内容均为实质性要求</w:t>
      </w:r>
      <w:r>
        <w:rPr>
          <w:rFonts w:hint="eastAsia" w:ascii="宋体" w:hAnsi="宋体" w:cs="宋体"/>
          <w:color w:val="auto"/>
          <w:sz w:val="24"/>
          <w:highlight w:val="none"/>
        </w:rPr>
        <w:t xml:space="preserve">）。</w:t>
      </w:r>
      <w:r>
        <w:rPr>
          <w:color w:val="auto"/>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color w:val="auto"/>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18.1.9投标文件含有采购人不能接受的附加条件的。</w:t>
      </w:r>
      <w:r>
        <w:rPr>
          <w:color w:val="auto"/>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color w:val="auto"/>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18.1.11本项目采购产品如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color w:val="auto"/>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18.1.12投标人所投标产品不符合招标文件中所列国家强制性标准的；</w:t>
      </w:r>
      <w:r>
        <w:rPr>
          <w:color w:val="auto"/>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投标文件未按照招标文件要求加盖公章的。</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投标文件含有采购人不能接受的附加条件的；</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投标人有本招标文件规定的恶意串通投标情形的；</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其他法律、法规及本招标文件规定的属无效投标的情形。</w:t>
      </w:r>
      <w:bookmarkEnd w:id="98"/>
      <w:r>
        <w:rPr>
          <w:color w:val="auto"/>
          <w:highlight w:val="none"/>
        </w:rPr>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19、以下情形投标将被拒绝</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19.1符合专业条件的供应商或者对招标文件作实质响应的供应商不足三家的（20条规定情形除外）；</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19.2出现影响采购公正的违法、违规行为的；</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19.3因重大变故，采购任务取消的。</w:t>
      </w:r>
      <w:r>
        <w:rPr>
          <w:color w:val="auto"/>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19.4评标委员会认定招标文件存在歧义、重大缺陷导致评审工作无法进行。</w:t>
      </w:r>
      <w:r>
        <w:rPr>
          <w:color w:val="auto"/>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19.5因苏采云系统故障原因造成开标不成功的。</w:t>
      </w:r>
      <w:r>
        <w:rPr>
          <w:color w:val="auto"/>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19.6投标截止时间结束后参加投标的供应商不足三家的处理：</w:t>
      </w:r>
      <w:r>
        <w:rPr>
          <w:color w:val="auto"/>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19.7如出现投标截止时间结束后参加投标的供应商或者在评标期间对招标文件做出实质响应的供应商不足三家情况，按政府采购相关规定执行。</w:t>
      </w:r>
      <w:r>
        <w:rPr>
          <w:color w:val="auto"/>
          <w:highlight w:val="none"/>
        </w:rPr>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20、投标人不足三家情形处理</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投标截止后投标人不足3家或者通过资格审查或符合性审查的投标人不足3家的，除采购任务取消情形外，按财政部令第87号第四十三条条款进行处理。</w:t>
      </w:r>
      <w:r>
        <w:rPr>
          <w:color w:val="auto"/>
          <w:highlight w:val="none"/>
        </w:rPr>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21、凡有以下情形者，一经查实，取消中标候选人资格条款</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21.1提供虚假材料谋取中标的；</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21.2采取不正当手段诋毁、排挤其他投标人的；</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21.3与采购人、其他投标人或者采购代理机构恶意串通的；</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21.4向采购人、采购代理机构行贿或者提供其他不正当利益的；</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21.5未在规定时间内与采购人签订采购合同的；</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21.6法律、法规规定的其它情况。</w:t>
      </w:r>
      <w:r>
        <w:rPr>
          <w:color w:val="auto"/>
          <w:highlight w:val="none"/>
        </w:rPr>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22、恶意串通投标的情形</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22.1供应商直接或间接从采购人或采购代理机构处获得其他供应商的投标情况，并修改其投标文件；</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22.2评审活动开始前供应商直接或间接从采购人或采购代理机构处获得评标委员会组成人员情况；</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22.3供应商接受采购人或采购代理机构授意撤换、修改投标文件；</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22.4供应商之间协商投标报价、技术方案等投标文件实质性内容；</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22.5属于同一集团、协会、商会等组织成员的供应商按照该组织要求协同投标；</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22.6供应商之间事先约定由某一特定供应商中标、成交；</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22.7供应商之间商定部分供应商放弃投标或者放弃中标、成交；</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22.8供应商与采购人或采购代理机构之间、供应商相互之间为谋求特定供应商中标成交或者排斥其他供应商的其他串通行为；</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22.9不同投标人的投标文件由同一单位或者个人编制；</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22.10不同投标人委托同一单位或者个人办理投标事宜；</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22.11不同投标人的投标文件载明的项目管理成员或者联系人员为同一人；</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22.12不同投标人的投标文件异常一致或者投标报价呈规律性差异；</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22.13不同投标人的投标文件相互混装；</w:t>
      </w:r>
      <w:r>
        <w:rPr>
          <w:color w:val="auto"/>
          <w:highlight w:val="none"/>
        </w:rPr>
      </w:r>
      <w:r/>
    </w:p>
    <w:p>
      <w:pPr>
        <w:pStyle w:val="1389"/>
        <w:rPr>
          <w:rFonts w:hint="eastAsia" w:ascii="宋体" w:hAnsi="宋体" w:eastAsia="宋体" w:cs="宋体"/>
          <w:color w:val="auto"/>
          <w:highlight w:val="none"/>
        </w:rPr>
        <w:outlineLvl w:val="1"/>
      </w:pPr>
      <w:r>
        <w:rPr>
          <w:color w:val="auto"/>
          <w:highlight w:val="none"/>
        </w:rPr>
      </w:r>
      <w:bookmarkStart w:id="99" w:name="_Toc514054477"/>
      <w:r>
        <w:rPr>
          <w:color w:val="auto"/>
          <w:highlight w:val="none"/>
        </w:rPr>
      </w:r>
      <w:bookmarkStart w:id="100" w:name="_Toc13553"/>
      <w:r>
        <w:rPr>
          <w:color w:val="auto"/>
          <w:highlight w:val="none"/>
        </w:rPr>
      </w:r>
      <w:bookmarkStart w:id="101" w:name="_Toc11517"/>
      <w:r>
        <w:rPr>
          <w:color w:val="auto"/>
          <w:highlight w:val="none"/>
        </w:rPr>
      </w:r>
      <w:bookmarkStart w:id="102" w:name="_Toc29013"/>
      <w:r>
        <w:rPr>
          <w:rFonts w:hint="eastAsia" w:ascii="宋体" w:hAnsi="宋体" w:eastAsia="宋体" w:cs="宋体"/>
          <w:color w:val="auto"/>
          <w:highlight w:val="none"/>
        </w:rPr>
        <w:t xml:space="preserve">六、开标、资格审查、评标程序</w:t>
      </w:r>
      <w:bookmarkEnd w:id="99"/>
      <w:r>
        <w:rPr>
          <w:color w:val="auto"/>
          <w:highlight w:val="none"/>
        </w:rPr>
      </w:r>
      <w:bookmarkEnd w:id="100"/>
      <w:r>
        <w:rPr>
          <w:color w:val="auto"/>
          <w:highlight w:val="none"/>
        </w:rPr>
      </w:r>
      <w:bookmarkEnd w:id="101"/>
      <w:r>
        <w:rPr>
          <w:color w:val="auto"/>
          <w:highlight w:val="none"/>
        </w:rPr>
      </w:r>
      <w:bookmarkEnd w:id="102"/>
      <w:r>
        <w:rPr>
          <w:color w:val="auto"/>
          <w:highlight w:val="none"/>
        </w:rPr>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23、开标会议</w:t>
      </w:r>
      <w:r>
        <w:rPr>
          <w:color w:val="auto"/>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23.1采购代理机构将在招标公告中规定的时间和地点组织公开开标。投标人应当按照《操作手册》规定，参加开标活动和在苏采云系统规定的时间内对投标文件进行解密。</w:t>
      </w:r>
      <w:r>
        <w:rPr>
          <w:color w:val="auto"/>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23.2开标仪式由采购代理机构组织。苏采云系统将自动对项目进行开标，并宣布各投标人名称和投标价格。</w:t>
      </w:r>
      <w:r>
        <w:rPr>
          <w:color w:val="auto"/>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23.3投标人在开标过程中涉及到的投标文件解密、开标结果确认等工作，应按照《操作手册》规定执行。</w:t>
      </w:r>
      <w:r>
        <w:rPr>
          <w:color w:val="auto"/>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23.4投标人如果对开标过程和开标记录有疑义，应当根据《操作手册》规定提出，如苏采云系统中《开标记录表》宣布后规定时间内未提出的，视同认可开标结果。</w:t>
      </w:r>
      <w:r>
        <w:rPr>
          <w:color w:val="auto"/>
          <w:highlight w:val="none"/>
        </w:rPr>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24、资格审查</w:t>
      </w:r>
      <w:r>
        <w:rPr>
          <w:color w:val="auto"/>
          <w:highlight w:val="none"/>
        </w:rPr>
      </w:r>
      <w:r/>
    </w:p>
    <w:p>
      <w:pPr>
        <w:ind w:firstLine="480"/>
        <w:spacing w:line="500" w:lineRule="exact"/>
        <w:rPr>
          <w:rFonts w:hint="eastAsia" w:ascii="宋体" w:hAnsi="宋体" w:cs="宋体"/>
          <w:color w:val="auto"/>
          <w:sz w:val="24"/>
          <w:highlight w:val="none"/>
        </w:rPr>
      </w:pPr>
      <w:r>
        <w:rPr>
          <w:color w:val="auto"/>
          <w:highlight w:val="none"/>
        </w:rPr>
      </w:r>
      <w:bookmarkStart w:id="103" w:name="EBa9c0a2c9e523494487594c65b2a92370"/>
      <w:r>
        <w:rPr>
          <w:rFonts w:hint="eastAsia" w:ascii="宋体" w:hAnsi="宋体" w:cs="宋体"/>
          <w:color w:val="auto"/>
          <w:sz w:val="24"/>
          <w:highlight w:val="none"/>
        </w:rPr>
        <w:t xml:space="preserve">开标结束后，采购人或经采购人委托的采购代理机构依法据招标文件规定对投标人的资格证明文件等进行审查。</w:t>
      </w:r>
      <w:bookmarkEnd w:id="103"/>
      <w:r>
        <w:rPr>
          <w:color w:val="auto"/>
          <w:highlight w:val="none"/>
        </w:rPr>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25、评标委员会</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采购人应根据本项目的特点依法组建评标委员会。评标委员会负责具体评标事务，对资格审查合格的投标人进行评标，并独立履行相关职责。</w:t>
      </w:r>
      <w:r>
        <w:rPr>
          <w:color w:val="auto"/>
          <w:highlight w:val="none"/>
        </w:rPr>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26、评标原则</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“公平、公正、客观、择优”为评标的基本原则，评标委员会将根据这一原则，公正、平等地对待各投标人。</w:t>
      </w:r>
      <w:r>
        <w:rPr>
          <w:color w:val="auto"/>
          <w:highlight w:val="none"/>
        </w:rPr>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27、评标过程的保密与公正</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27.1凡是与审查、澄清、评价和比较投标的有关资料以及授标建议等，采购人、评委、采购代理机构均不得向投标人或与评标无关的其他人员透露。</w:t>
      </w:r>
      <w:r>
        <w:rPr>
          <w:color w:val="auto"/>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27.2在评标过程中，投标人不得以任何行为影响评标过程，否则其投标文件将被作为无效投标文件。</w:t>
      </w:r>
      <w:r>
        <w:rPr>
          <w:color w:val="auto"/>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27.3采购代理机构和评标委员会不向未中标的投标人解释未中标原因，也不公布评标过程中的相关细节。</w:t>
      </w:r>
      <w:r>
        <w:rPr>
          <w:color w:val="auto"/>
          <w:highlight w:val="none"/>
        </w:rPr>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27.4采用综合评分法的项目，未中标的投标人可于中标结果公告</w:t>
      </w:r>
      <w:r>
        <w:rPr>
          <w:rFonts w:hint="eastAsia" w:ascii="宋体" w:hAnsi="宋体" w:cs="宋体"/>
          <w:color w:val="auto"/>
          <w:sz w:val="24"/>
          <w:highlight w:val="none"/>
          <w:lang w:val="en-US" w:eastAsia="zh-CN"/>
        </w:rPr>
        <w:t xml:space="preserve">发布</w:t>
      </w:r>
      <w:r>
        <w:rPr>
          <w:rFonts w:hint="eastAsia" w:ascii="宋体" w:hAnsi="宋体" w:cs="宋体"/>
          <w:color w:val="auto"/>
          <w:sz w:val="24"/>
          <w:highlight w:val="none"/>
        </w:rPr>
        <w:t xml:space="preserve">之日起通过苏采云系统查看自己的评审得分及排序情况。</w:t>
      </w:r>
      <w:r>
        <w:rPr>
          <w:color w:val="auto"/>
          <w:highlight w:val="none"/>
        </w:rPr>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28、评标程序</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104" w:name="EB48e5ba2667fe4390bf237677a47020dd"/>
      <w:r>
        <w:rPr>
          <w:rFonts w:hint="eastAsia" w:ascii="宋体" w:hAnsi="宋体" w:cs="宋体"/>
          <w:color w:val="auto"/>
          <w:sz w:val="24"/>
          <w:highlight w:val="none"/>
        </w:rPr>
        <w:t xml:space="preserve">所谓重大偏离是指投标人投标文件中所述设备质量、技术规格、数量、交货期和服务等明显不能满足招标文件要求。</w:t>
      </w:r>
      <w:bookmarkEnd w:id="104"/>
      <w:r>
        <w:rPr>
          <w:rFonts w:hint="eastAsia" w:ascii="宋体" w:hAnsi="宋体" w:cs="宋体"/>
          <w:color w:val="auto"/>
          <w:sz w:val="24"/>
          <w:highlight w:val="none"/>
        </w:rPr>
        <w:t xml:space="preserve">重大偏离的认定须经评标委员会三分之二以上同意。</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28.2澄清有关问题。</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评标委员会并非对每个投标人都做澄清要求。</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28.2.3接到评委会澄清、说明和补正要求的投标人如未按规定做出澄清、说明和补正，其风险由投标人自行承担。</w:t>
      </w:r>
      <w:r>
        <w:rPr>
          <w:color w:val="auto"/>
          <w:highlight w:val="none"/>
        </w:rPr>
      </w:r>
      <w:r/>
    </w:p>
    <w:p>
      <w:pPr>
        <w:ind w:firstLine="60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28.2.4投标文件报价出现前后不一致的，除招标文件另有规定外，按照下列规定修正：</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①投标文件中开标一览表（报价表）内容与投标文件中相应内容不一致的，以开标一览表（报价表）为准；</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②大写金额和小写金额不一致的，以大写金额为准；</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③单价金额小数点或者百分比有明显错位的，以开标一览表的总价为准，并修改单价；</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④总价金额与按单价汇总金额不一致的，以单价金额计算结果为准。</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同时出现两种以上不一致的，按照前款规定的顺序修正。修正后的报价，经投标人确认后产生约束力，投标人不确认的，其投标无效。</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28.4比较。评标委员会将按招标文件中规定的评标方法和标准，对符合性检查合格的投标文件进行商务和技术评比。</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28.5推荐中标候选人。评标委员会按照招标文件中规定的评标方法和标准推荐中标候选人。</w:t>
      </w:r>
      <w:bookmarkStart w:id="105" w:name="EB66024636071342209da8bda483232040"/>
      <w:r>
        <w:rPr>
          <w:rFonts w:hint="eastAsia" w:ascii="宋体" w:hAnsi="宋体" w:cs="宋体"/>
          <w:color w:val="auto"/>
          <w:sz w:val="24"/>
          <w:highlight w:val="none"/>
        </w:rPr>
        <w:t xml:space="preserve"> </w:t>
      </w:r>
      <w:bookmarkEnd w:id="105"/>
      <w:r>
        <w:rPr>
          <w:color w:val="auto"/>
          <w:highlight w:val="none"/>
        </w:rPr>
      </w:r>
      <w:r/>
    </w:p>
    <w:p>
      <w:pPr>
        <w:numPr>
          <w:ilvl w:val="0"/>
          <w:numId w:val="7"/>
        </w:numPr>
        <w:ind w:firstLine="482"/>
        <w:spacing w:line="500" w:lineRule="exact"/>
        <w:rPr>
          <w:rFonts w:hint="eastAsia" w:ascii="宋体" w:hAnsi="宋体" w:cs="宋体"/>
          <w:b/>
          <w:bCs/>
          <w:color w:val="auto"/>
          <w:sz w:val="24"/>
          <w:highlight w:val="none"/>
        </w:rPr>
      </w:pPr>
      <w:r>
        <w:rPr>
          <w:color w:val="auto"/>
          <w:highlight w:val="none"/>
        </w:rPr>
      </w:r>
      <w:bookmarkStart w:id="106" w:name="EBf6bd108017b14bde8ec3ea4804c87c27"/>
      <w:r>
        <w:rPr>
          <w:rFonts w:hint="eastAsia" w:ascii="宋体" w:hAnsi="宋体" w:cs="宋体"/>
          <w:b/>
          <w:bCs/>
          <w:color w:val="auto"/>
          <w:sz w:val="24"/>
          <w:highlight w:val="none"/>
        </w:rPr>
        <w:t xml:space="preserve">政府采购政策功能落实</w:t>
      </w:r>
      <w:r>
        <w:rPr>
          <w:color w:val="auto"/>
          <w:highlight w:val="none"/>
        </w:rPr>
      </w:r>
      <w:r/>
    </w:p>
    <w:p>
      <w:pPr>
        <w:ind w:firstLine="480"/>
        <w:spacing w:line="500" w:lineRule="exact"/>
        <w:rPr>
          <w:rFonts w:hint="eastAsia" w:ascii="宋体" w:hAnsi="宋体" w:eastAsia="宋体" w:cs="宋体"/>
          <w:color w:val="auto"/>
          <w:sz w:val="24"/>
          <w:szCs w:val="24"/>
          <w:highlight w:val="none"/>
        </w:rPr>
      </w:pPr>
      <w:r>
        <w:rPr>
          <w:color w:val="auto"/>
          <w:highlight w:val="none"/>
        </w:rPr>
      </w:r>
      <w:bookmarkStart w:id="107" w:name="EBd9bc59d5f2ed4fb8a64ee2e373d8cc72"/>
      <w:r>
        <w:rPr>
          <w:color w:val="auto"/>
          <w:highlight w:val="none"/>
        </w:rPr>
      </w:r>
      <w:bookmarkStart w:id="108" w:name="_Toc23173"/>
      <w:r>
        <w:rPr>
          <w:color w:val="auto"/>
          <w:highlight w:val="none"/>
        </w:rPr>
      </w:r>
      <w:bookmarkStart w:id="109" w:name="_Toc81493168"/>
      <w:r>
        <w:rPr>
          <w:color w:val="auto"/>
          <w:highlight w:val="none"/>
        </w:rPr>
      </w:r>
      <w:bookmarkStart w:id="110" w:name="_Toc9744"/>
      <w:r>
        <w:rPr>
          <w:color w:val="auto"/>
          <w:highlight w:val="none"/>
        </w:rPr>
      </w:r>
      <w:bookmarkStart w:id="111" w:name="_Toc5167"/>
      <w:r>
        <w:rPr>
          <w:color w:val="auto"/>
          <w:highlight w:val="none"/>
        </w:rPr>
      </w:r>
      <w:bookmarkStart w:id="112" w:name="_Toc514054478"/>
      <w:r>
        <w:rPr>
          <w:rFonts w:hint="eastAsia" w:ascii="宋体" w:hAnsi="宋体" w:eastAsia="宋体" w:cs="宋体"/>
          <w:color w:val="auto"/>
          <w:sz w:val="24"/>
          <w:szCs w:val="24"/>
          <w:highlight w:val="none"/>
        </w:rPr>
        <w:t xml:space="preserve">29.1 政府采购促进中小企业发展，在政府采购活动中，供应商提供的货物、工程或者服务符合下列情形的，享受中小企业扶持政策：</w:t>
      </w:r>
      <w:r>
        <w:rPr>
          <w:color w:val="auto"/>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（1）在货物采购项目中，货物由中小企业制造，即货物由中小企业生产且使用该中小企业商号或者注册商标；</w:t>
      </w:r>
      <w:r>
        <w:rPr>
          <w:color w:val="auto"/>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（2）在工程采购项目中，工程由中小企业承建，即工程施工单位为中小企业；</w:t>
      </w:r>
      <w:r>
        <w:rPr>
          <w:color w:val="auto"/>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（3）在服务采购项目中，服务由中小企业承接，即提供服务的人员为中小企业依照《中华人民共和国劳动合同法》订立劳动合同的从业人员。</w:t>
      </w:r>
      <w:r>
        <w:rPr>
          <w:color w:val="auto"/>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在货物采购项目中，供应商提供的货物既有中小企业制造货物，也有大型企业制造货物的，不享受中小企业扶持政策。</w:t>
      </w:r>
      <w:r>
        <w:rPr>
          <w:color w:val="auto"/>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r>
        <w:rPr>
          <w:color w:val="auto"/>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中小企业供应商参加政府采购活动，应当出具《中小企业声明函》（格式见后附件），否则不得享受相关中小企业扶持政策。</w:t>
      </w:r>
      <w:r>
        <w:rPr>
          <w:color w:val="auto"/>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中小企业，是指在中华人民共和国境内依法设立，依据国务院批准的中小企业划分标准（详见《关于印发中小企业划型标准规定的通知》</w:t>
      </w:r>
      <w:r>
        <w:rPr>
          <w:color w:val="auto"/>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color w:val="auto"/>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rPr>
          <w:color w:val="auto"/>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color w:val="auto"/>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color w:val="auto"/>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提供的产品属于信息安全产品的，供应商应当选择经国家认证的信息安全产品投标，并提供由中国信息安全认证中心按国家标准认证颁发的有效认证证书复印件。</w:t>
      </w:r>
      <w:r>
        <w:rPr>
          <w:color w:val="auto"/>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 提供的产品属于政府强制采购节能产品的，供应商应当选择依据国家标准中二级能效（水效）指标认证的节能产品投标，并提供有效的节能产品认证证书复印件。</w:t>
      </w:r>
      <w:bookmarkEnd w:id="107"/>
      <w:r>
        <w:rPr>
          <w:color w:val="auto"/>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29.7提供的产品属于环境标志产品的,供应商应当选择依据相关标准的最新版本认证的环境标志产品投标,并提供有效的环境标志产品认证证书复印件。 </w:t>
      </w:r>
      <w:r>
        <w:rPr>
          <w:color w:val="auto"/>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29.8进口产品政策</w:t>
      </w:r>
      <w:r>
        <w:rPr>
          <w:color w:val="auto"/>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（1）除招标公告载明接受进口产品参加外，不允许进口产品参加。进口产品认定依照《财政部关于政府采购进口产品管理有关问题的通知》（财办库〔2008〕248号）的规定。</w:t>
      </w:r>
      <w:r>
        <w:rPr>
          <w:color w:val="auto"/>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（2）允许进口产品参加的，满足需求的国内产品可以参加。</w:t>
      </w:r>
      <w:r>
        <w:rPr>
          <w:color w:val="auto"/>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（3）允许进口产品参加的，优先采购向我国企业转让技术、与我国企业签订消化吸收再创新方案的供应商的进口产品。</w:t>
      </w:r>
      <w:r>
        <w:rPr>
          <w:color w:val="auto"/>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29.9落实政府采购“财办库〔2020〕123号《关于印发《商品包装政府采购需求标准（试行）》、《快递包装政府采购需求标准（试行）》的通知》”执行。</w:t>
      </w:r>
      <w:r>
        <w:rPr>
          <w:color w:val="auto"/>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29.10支持乡村产业振兴管理：落实《关于运用政府采购政策支持乡村产业振兴的通知》（财库〔2021〕19号）有关要求。</w:t>
      </w:r>
      <w:r>
        <w:rPr>
          <w:color w:val="auto"/>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29.11创新产品采购</w:t>
      </w:r>
      <w:r>
        <w:rPr>
          <w:color w:val="auto"/>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优先采购各级政府部门公开发布的有效期内的创新产品、首台套等《目录》内的创新产品。创新产品自进入《目录》起2年内视同具备相应销售业绩。</w:t>
      </w:r>
      <w:r>
        <w:rPr>
          <w:color w:val="auto"/>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29.12 网络产品、市场准入类产品采购</w:t>
      </w:r>
      <w:r>
        <w:rPr>
          <w:color w:val="auto"/>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29.12.1本项目</w:t>
      </w:r>
      <w:r>
        <w:rPr>
          <w:rFonts w:hint="eastAsia" w:ascii="宋体" w:hAnsi="宋体" w:eastAsia="宋体" w:cs="宋体"/>
          <w:color w:val="auto"/>
          <w:sz w:val="24"/>
          <w:szCs w:val="24"/>
          <w:highlight w:val="none"/>
        </w:rPr>
        <w:t xml:space="preserve">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网络关键设备和网络安全专用产品目录〉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rPr>
          <w:color w:val="auto"/>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29.12.2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rPr>
          <w:color w:val="auto"/>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29.13落实《关于在全省政府采购领域推行电子履约保函（保险）的通知》（苏财购〔2023〕150号）。</w:t>
      </w:r>
      <w:r>
        <w:rPr>
          <w:color w:val="auto"/>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29.14政府采购中实施本国产品标准及相关政策：</w:t>
      </w:r>
      <w:r>
        <w:rPr>
          <w:color w:val="auto"/>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29.14.1.本项目对采购本国产品给予政策支持。</w:t>
      </w:r>
      <w:r>
        <w:rPr>
          <w:color w:val="auto"/>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29.14.2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auto"/>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29.14.3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auto"/>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29.15评审委员会启动异常低价投标审查的情形和具体要求，包括：</w:t>
      </w:r>
      <w:r>
        <w:rPr>
          <w:color w:val="auto"/>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（一）评审过程中出现下列情形之一的评审委员会应当启动异常低价投标（响应）审查程序：</w:t>
      </w:r>
      <w:r>
        <w:rPr>
          <w:color w:val="auto"/>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1.投标报价低于全部通过符合性审查供应商投标报价平均值50%的，即投标报价&lt;全部通过符合性审查供应商投标报价平均值×50%；</w:t>
      </w:r>
      <w:r>
        <w:rPr>
          <w:color w:val="auto"/>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2.投标报价低于通过符合性审查的次低报价供应商投标报价50%的，即投标报价&lt;通过符合性审查的次低报价供应商投标报价×50%；</w:t>
      </w:r>
      <w:r>
        <w:rPr>
          <w:color w:val="auto"/>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3.投标报价低于采购项目最高限价45%的，即投标报价&lt;采购项目最高限价×45%；</w:t>
      </w:r>
      <w:r>
        <w:rPr>
          <w:color w:val="auto"/>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4.评审委员会基于专业判断，认为供应商报价过低，有可能影响产品质量或者不能诚信履约的其他情形。</w:t>
      </w:r>
      <w:r>
        <w:rPr>
          <w:color w:val="auto"/>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评审委员会启动异常低价投标审查后，属于前述第1项至第4项情形的，相关供应商应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rPr>
          <w:color w:val="auto"/>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rPr>
          <w:color w:val="auto"/>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color w:val="auto"/>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w:t>
      </w:r>
      <w:r>
        <w:rPr>
          <w:color w:val="auto"/>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29.16未按要求提供相关材料的，不享受相关政策。</w:t>
      </w:r>
      <w:r>
        <w:rPr>
          <w:color w:val="auto"/>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29.17在本项目政府采购活动过程中，如果所执行的标准有更新的，按照最新标准执行。</w:t>
      </w:r>
      <w:r>
        <w:rPr>
          <w:color w:val="auto"/>
          <w:highlight w:val="none"/>
        </w:rPr>
      </w:r>
      <w:r/>
    </w:p>
    <w:p>
      <w:pPr>
        <w:pStyle w:val="1389"/>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七、中标及合同签订</w:t>
      </w:r>
      <w:bookmarkEnd w:id="108"/>
      <w:r>
        <w:rPr>
          <w:color w:val="auto"/>
          <w:highlight w:val="none"/>
        </w:rPr>
      </w:r>
      <w:bookmarkEnd w:id="109"/>
      <w:r>
        <w:rPr>
          <w:color w:val="auto"/>
          <w:highlight w:val="none"/>
        </w:rPr>
      </w:r>
      <w:bookmarkEnd w:id="110"/>
      <w:r>
        <w:rPr>
          <w:color w:val="auto"/>
          <w:highlight w:val="none"/>
        </w:rPr>
      </w:r>
      <w:bookmarkEnd w:id="111"/>
      <w:r>
        <w:rPr>
          <w:color w:val="auto"/>
          <w:highlight w:val="none"/>
        </w:rPr>
      </w:r>
      <w:bookmarkEnd w:id="112"/>
      <w:r>
        <w:rPr>
          <w:color w:val="auto"/>
          <w:highlight w:val="none"/>
        </w:rPr>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30、标后审查</w:t>
      </w:r>
      <w:r>
        <w:rPr>
          <w:color w:val="auto"/>
          <w:highlight w:val="none"/>
        </w:rPr>
      </w:r>
      <w:r/>
    </w:p>
    <w:p>
      <w:pPr>
        <w:ind w:firstLine="480"/>
        <w:spacing w:line="500" w:lineRule="exact"/>
        <w:rPr>
          <w:rFonts w:hint="eastAsia" w:ascii="宋体" w:hAnsi="宋体" w:cs="宋体"/>
          <w:color w:val="auto"/>
          <w:sz w:val="24"/>
          <w:highlight w:val="none"/>
        </w:rPr>
      </w:pPr>
      <w:r>
        <w:rPr>
          <w:color w:val="auto"/>
          <w:highlight w:val="none"/>
        </w:rPr>
      </w:r>
      <w:bookmarkStart w:id="113" w:name="EB17cdacdfdd1244abbb73389fe0bfffe7"/>
      <w:r>
        <w:rPr>
          <w:rFonts w:hint="eastAsia" w:ascii="宋体" w:hAnsi="宋体" w:cs="宋体"/>
          <w:color w:val="auto"/>
          <w:sz w:val="24"/>
          <w:highlight w:val="none"/>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113"/>
      <w:r>
        <w:rPr>
          <w:color w:val="auto"/>
          <w:highlight w:val="none"/>
        </w:rPr>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31、确定中标人</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31.1采购人应当自收到评标报告之日起5个工作日内，在评标报告确定的中标候选人名单中按顺序确定中标人。中标候选人并列的，由采购人在相关部门监督下通过随机抽取的方式确定。</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31.2 在中标结果公告届满之前，中标人被列为失信被执行人的，取消其中标资格，并重新确定中标人。</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31.3采购人不得通过对样品进行检测、对供应商进行考察等方式改变评审结果。</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rPr>
          <w:color w:val="auto"/>
          <w:highlight w:val="none"/>
        </w:rPr>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32、中标通知书</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32.1中标结果在财政部门指定信息媒体上发布公告，招标代理机构将向中标人发出中标通知书。</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32.2中标人应及时到招标代理机构领取中标通知书，中标通知书是签订合同的依据和组成部分。</w:t>
      </w:r>
      <w:r>
        <w:rPr>
          <w:color w:val="auto"/>
          <w:highlight w:val="none"/>
        </w:rPr>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33、签订合同</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33.1中标人与采购人应当在中标通知书发出之日起30日内签订采购合同，并将合同送采购代理机构登记。招标文件、中标人的投标文件以及评标过程中有关澄清文件均作为合同附件。</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33.2中标人无正当理由未在规定时间内与采购人签订合同的，采购人有权建议取消其中标资格，监管部门将对其依法处理。</w:t>
      </w:r>
      <w:r>
        <w:rPr>
          <w:color w:val="auto"/>
          <w:highlight w:val="none"/>
        </w:rPr>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34、履约保证金</w:t>
      </w:r>
      <w:r>
        <w:rPr>
          <w:color w:val="auto"/>
          <w:highlight w:val="none"/>
        </w:rPr>
      </w:r>
      <w:r/>
    </w:p>
    <w:p>
      <w:pPr>
        <w:ind w:firstLine="480"/>
        <w:rPr>
          <w:rFonts w:hint="eastAsia" w:ascii="宋体" w:hAnsi="宋体" w:cs="宋体"/>
          <w:color w:val="auto"/>
          <w:sz w:val="24"/>
          <w:szCs w:val="24"/>
          <w:highlight w:val="none"/>
        </w:rPr>
      </w:pPr>
      <w:r>
        <w:rPr>
          <w:color w:val="auto"/>
          <w:highlight w:val="none"/>
        </w:rPr>
      </w:r>
      <w:bookmarkStart w:id="114" w:name="EB3094b551b51c42ca93e0255d679fb06f"/>
      <w:r>
        <w:rPr>
          <w:rFonts w:hint="eastAsia" w:ascii="宋体" w:hAnsi="宋体" w:cs="宋体"/>
          <w:color w:val="auto"/>
          <w:sz w:val="24"/>
          <w:szCs w:val="24"/>
          <w:highlight w:val="none"/>
        </w:rPr>
        <w:t xml:space="preserve">见前附表。 </w:t>
      </w:r>
      <w:bookmarkEnd w:id="114"/>
      <w:r>
        <w:rPr>
          <w:color w:val="auto"/>
          <w:highlight w:val="none"/>
        </w:rPr>
      </w:r>
      <w:bookmarkStart w:id="115" w:name="EB0d6067c6e00d44b1ad5603550c455e87"/>
      <w:r>
        <w:rPr>
          <w:rFonts w:hint="eastAsia" w:ascii="宋体" w:hAnsi="宋体" w:cs="宋体"/>
          <w:color w:val="auto"/>
          <w:sz w:val="24"/>
          <w:szCs w:val="24"/>
          <w:highlight w:val="none"/>
        </w:rPr>
        <w:t xml:space="preserve"> </w:t>
      </w:r>
      <w:bookmarkEnd w:id="115"/>
      <w:r>
        <w:rPr>
          <w:color w:val="auto"/>
          <w:highlight w:val="none"/>
        </w:rPr>
      </w:r>
      <w:r/>
    </w:p>
    <w:p>
      <w:pPr>
        <w:pStyle w:val="1389"/>
        <w:rPr>
          <w:rFonts w:hint="eastAsia" w:ascii="宋体" w:hAnsi="宋体" w:eastAsia="宋体" w:cs="宋体"/>
          <w:color w:val="auto"/>
          <w:highlight w:val="none"/>
        </w:rPr>
        <w:outlineLvl w:val="1"/>
      </w:pPr>
      <w:r>
        <w:rPr>
          <w:color w:val="auto"/>
          <w:highlight w:val="none"/>
        </w:rPr>
      </w:r>
      <w:bookmarkStart w:id="116" w:name="_Toc81493169"/>
      <w:r>
        <w:rPr>
          <w:color w:val="auto"/>
          <w:highlight w:val="none"/>
        </w:rPr>
      </w:r>
      <w:bookmarkStart w:id="117" w:name="_Toc14752"/>
      <w:r>
        <w:rPr>
          <w:color w:val="auto"/>
          <w:highlight w:val="none"/>
        </w:rPr>
      </w:r>
      <w:bookmarkStart w:id="118" w:name="_Toc25599"/>
      <w:r>
        <w:rPr>
          <w:color w:val="auto"/>
          <w:highlight w:val="none"/>
        </w:rPr>
      </w:r>
      <w:bookmarkStart w:id="119" w:name="_Toc31894"/>
      <w:r>
        <w:rPr>
          <w:color w:val="auto"/>
          <w:highlight w:val="none"/>
        </w:rPr>
      </w:r>
      <w:bookmarkStart w:id="120" w:name="_Toc514054479"/>
      <w:r>
        <w:rPr>
          <w:rFonts w:hint="eastAsia" w:ascii="宋体" w:hAnsi="宋体" w:eastAsia="宋体" w:cs="宋体"/>
          <w:color w:val="auto"/>
          <w:highlight w:val="none"/>
        </w:rPr>
        <w:t xml:space="preserve">八、验收及付款</w:t>
      </w:r>
      <w:bookmarkEnd w:id="116"/>
      <w:r>
        <w:rPr>
          <w:color w:val="auto"/>
          <w:highlight w:val="none"/>
        </w:rPr>
      </w:r>
      <w:bookmarkEnd w:id="117"/>
      <w:r>
        <w:rPr>
          <w:color w:val="auto"/>
          <w:highlight w:val="none"/>
        </w:rPr>
      </w:r>
      <w:bookmarkEnd w:id="118"/>
      <w:r>
        <w:rPr>
          <w:color w:val="auto"/>
          <w:highlight w:val="none"/>
        </w:rPr>
      </w:r>
      <w:bookmarkEnd w:id="119"/>
      <w:r>
        <w:rPr>
          <w:color w:val="auto"/>
          <w:highlight w:val="none"/>
        </w:rPr>
      </w:r>
      <w:bookmarkEnd w:id="120"/>
      <w:r>
        <w:rPr>
          <w:color w:val="auto"/>
          <w:highlight w:val="none"/>
        </w:rPr>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35、验收</w:t>
      </w:r>
      <w:r>
        <w:rPr>
          <w:color w:val="auto"/>
          <w:highlight w:val="none"/>
        </w:rPr>
      </w:r>
      <w:r/>
    </w:p>
    <w:p>
      <w:pPr>
        <w:ind w:firstLine="480"/>
        <w:spacing w:line="500" w:lineRule="exact"/>
        <w:rPr>
          <w:rFonts w:hint="eastAsia" w:ascii="宋体" w:hAnsi="宋体" w:cs="宋体"/>
          <w:color w:val="auto"/>
          <w:sz w:val="24"/>
          <w:highlight w:val="none"/>
        </w:rPr>
      </w:pPr>
      <w:r>
        <w:rPr>
          <w:color w:val="auto"/>
          <w:highlight w:val="none"/>
        </w:rPr>
      </w:r>
      <w:bookmarkStart w:id="121" w:name="EBbbb2492ed6b84c9193a6bb6f72a512f3"/>
      <w:r>
        <w:rPr>
          <w:rFonts w:hint="eastAsia" w:ascii="宋体" w:hAnsi="宋体" w:cs="宋体"/>
          <w:color w:val="auto"/>
          <w:sz w:val="24"/>
          <w:highlight w:val="none"/>
        </w:rPr>
        <w:t xml:space="preserve">35.1由</w:t>
      </w:r>
      <w:r>
        <w:rPr>
          <w:rFonts w:hint="eastAsia" w:ascii="宋体" w:hAnsi="宋体" w:cs="宋体"/>
          <w:color w:val="auto"/>
          <w:sz w:val="24"/>
          <w:highlight w:val="none"/>
          <w:lang w:val="en-US" w:eastAsia="zh-CN"/>
        </w:rPr>
        <w:t xml:space="preserve">最终用户</w:t>
      </w:r>
      <w:r>
        <w:rPr>
          <w:rFonts w:hint="eastAsia" w:ascii="宋体" w:hAnsi="宋体" w:cs="宋体"/>
          <w:color w:val="auto"/>
          <w:sz w:val="24"/>
          <w:highlight w:val="none"/>
        </w:rPr>
        <w:t xml:space="preserve">组织验收，中标人配合。</w:t>
      </w:r>
      <w:bookmarkEnd w:id="121"/>
      <w:r>
        <w:rPr>
          <w:color w:val="auto"/>
          <w:highlight w:val="none"/>
        </w:rPr>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36、付款</w:t>
      </w:r>
      <w:r>
        <w:rPr>
          <w:color w:val="auto"/>
          <w:highlight w:val="none"/>
        </w:rPr>
      </w:r>
      <w:r/>
    </w:p>
    <w:p>
      <w:pPr>
        <w:ind w:firstLine="480"/>
        <w:spacing w:line="500" w:lineRule="exact"/>
        <w:rPr>
          <w:rFonts w:hint="eastAsia" w:ascii="宋体" w:hAnsi="宋体" w:cs="宋体"/>
          <w:color w:val="auto"/>
          <w:sz w:val="24"/>
          <w:highlight w:val="none"/>
        </w:rPr>
      </w:pPr>
      <w:r>
        <w:rPr>
          <w:color w:val="auto"/>
          <w:highlight w:val="none"/>
        </w:rPr>
      </w:r>
      <w:bookmarkStart w:id="122" w:name="EBf0da31fab3a04ad0893de83144a87b34"/>
      <w:r>
        <w:rPr>
          <w:rFonts w:hint="eastAsia" w:ascii="宋体" w:hAnsi="宋体" w:cs="宋体"/>
          <w:color w:val="auto"/>
          <w:sz w:val="24"/>
          <w:highlight w:val="none"/>
        </w:rPr>
        <w:t xml:space="preserve">36.1</w:t>
      </w:r>
      <w:bookmarkEnd w:id="122"/>
      <w:r>
        <w:rPr>
          <w:rFonts w:hint="eastAsia" w:ascii="宋体" w:hAnsi="宋体" w:cs="宋体"/>
          <w:color w:val="auto"/>
          <w:sz w:val="24"/>
          <w:highlight w:val="none"/>
        </w:rPr>
        <w:t xml:space="preserve"> 采购人按招标文件要求办理采购款支付手续。</w:t>
      </w:r>
      <w:r>
        <w:rPr>
          <w:color w:val="auto"/>
          <w:highlight w:val="none"/>
        </w:rPr>
      </w:r>
      <w:r/>
    </w:p>
    <w:p>
      <w:pPr>
        <w:pStyle w:val="1389"/>
        <w:rPr>
          <w:rFonts w:hint="eastAsia" w:ascii="宋体" w:hAnsi="宋体" w:eastAsia="宋体" w:cs="宋体"/>
          <w:color w:val="auto"/>
          <w:highlight w:val="none"/>
        </w:rPr>
        <w:outlineLvl w:val="1"/>
      </w:pPr>
      <w:r>
        <w:rPr>
          <w:color w:val="auto"/>
          <w:highlight w:val="none"/>
        </w:rPr>
      </w:r>
      <w:bookmarkStart w:id="123" w:name="_Toc10945"/>
      <w:r>
        <w:rPr>
          <w:color w:val="auto"/>
          <w:highlight w:val="none"/>
        </w:rPr>
      </w:r>
      <w:bookmarkStart w:id="124" w:name="_Toc81493170"/>
      <w:r>
        <w:rPr>
          <w:color w:val="auto"/>
          <w:highlight w:val="none"/>
        </w:rPr>
      </w:r>
      <w:bookmarkStart w:id="125" w:name="_Toc31322"/>
      <w:r>
        <w:rPr>
          <w:color w:val="auto"/>
          <w:highlight w:val="none"/>
        </w:rPr>
      </w:r>
      <w:bookmarkStart w:id="126" w:name="_Toc514054480"/>
      <w:r>
        <w:rPr>
          <w:color w:val="auto"/>
          <w:highlight w:val="none"/>
        </w:rPr>
      </w:r>
      <w:bookmarkStart w:id="127" w:name="_Toc26939"/>
      <w:r>
        <w:rPr>
          <w:rFonts w:hint="eastAsia" w:ascii="宋体" w:hAnsi="宋体" w:eastAsia="宋体" w:cs="宋体"/>
          <w:color w:val="auto"/>
          <w:highlight w:val="none"/>
        </w:rPr>
        <w:t xml:space="preserve">九、质疑与投诉</w:t>
      </w:r>
      <w:bookmarkEnd w:id="123"/>
      <w:r>
        <w:rPr>
          <w:color w:val="auto"/>
          <w:highlight w:val="none"/>
        </w:rPr>
      </w:r>
      <w:bookmarkEnd w:id="124"/>
      <w:r>
        <w:rPr>
          <w:color w:val="auto"/>
          <w:highlight w:val="none"/>
        </w:rPr>
      </w:r>
      <w:bookmarkEnd w:id="125"/>
      <w:r>
        <w:rPr>
          <w:color w:val="auto"/>
          <w:highlight w:val="none"/>
        </w:rPr>
      </w:r>
      <w:bookmarkEnd w:id="126"/>
      <w:r>
        <w:rPr>
          <w:color w:val="auto"/>
          <w:highlight w:val="none"/>
        </w:rPr>
      </w:r>
      <w:bookmarkEnd w:id="127"/>
      <w:r>
        <w:rPr>
          <w:color w:val="auto"/>
          <w:highlight w:val="none"/>
        </w:rPr>
      </w:r>
      <w:r/>
    </w:p>
    <w:p>
      <w:pPr>
        <w:ind w:firstLine="422"/>
        <w:spacing w:line="500" w:lineRule="exact"/>
        <w:rPr>
          <w:rFonts w:hint="eastAsia" w:ascii="宋体" w:hAnsi="宋体" w:cs="宋体"/>
          <w:b/>
          <w:color w:val="auto"/>
          <w:highlight w:val="none"/>
        </w:rPr>
      </w:pPr>
      <w:r>
        <w:rPr>
          <w:rFonts w:hint="eastAsia" w:ascii="宋体" w:hAnsi="宋体" w:cs="宋体"/>
          <w:b/>
          <w:color w:val="auto"/>
          <w:highlight w:val="none"/>
        </w:rPr>
        <w:t xml:space="preserve">37、质疑与投诉</w:t>
      </w:r>
      <w:r>
        <w:rPr>
          <w:color w:val="auto"/>
          <w:highlight w:val="none"/>
        </w:rPr>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rPr>
          <w:color w:val="auto"/>
          <w:highlight w:val="none"/>
        </w:rPr>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37.2供应商应知其权益受到损害之日，是指：</w:t>
      </w:r>
      <w:r>
        <w:rPr>
          <w:color w:val="auto"/>
          <w:highlight w:val="none"/>
        </w:rPr>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（1）对本项目采购文件提出质疑的，采购文件公告期限届满之日；</w:t>
      </w:r>
      <w:r>
        <w:rPr>
          <w:color w:val="auto"/>
          <w:highlight w:val="none"/>
        </w:rPr>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（2）对本项目采购过程提出质疑的，为各采购程序环节结束之日；</w:t>
      </w:r>
      <w:r>
        <w:rPr>
          <w:color w:val="auto"/>
          <w:highlight w:val="none"/>
        </w:rPr>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（3）对本项目中标或者成交结果提出质疑的，为中标或者成交结果公告期限届满之日。</w:t>
      </w:r>
      <w:r>
        <w:rPr>
          <w:color w:val="auto"/>
          <w:highlight w:val="none"/>
        </w:rPr>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rPr>
          <w:color w:val="auto"/>
          <w:highlight w:val="none"/>
        </w:rPr>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37.4供应商提出质疑应当提交质疑函和必要的证明材料。质疑函的必备内容：</w:t>
      </w:r>
      <w:r>
        <w:rPr>
          <w:color w:val="auto"/>
          <w:highlight w:val="none"/>
        </w:rPr>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（1）供应商的姓名或者名称、地址、邮编、联系人及联系电话；</w:t>
      </w:r>
      <w:r>
        <w:rPr>
          <w:color w:val="auto"/>
          <w:highlight w:val="none"/>
        </w:rPr>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（2）质疑项目的名称、编号；</w:t>
      </w:r>
      <w:r>
        <w:rPr>
          <w:color w:val="auto"/>
          <w:highlight w:val="none"/>
        </w:rPr>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（3）具体、明确的质疑事项和质疑事项相关的请求；</w:t>
      </w:r>
      <w:r>
        <w:rPr>
          <w:color w:val="auto"/>
          <w:highlight w:val="none"/>
        </w:rPr>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（4）事实依据；</w:t>
      </w:r>
      <w:r>
        <w:rPr>
          <w:color w:val="auto"/>
          <w:highlight w:val="none"/>
        </w:rPr>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（5）必要的法律依据；</w:t>
      </w:r>
      <w:r>
        <w:rPr>
          <w:color w:val="auto"/>
          <w:highlight w:val="none"/>
        </w:rPr>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（6）提出质疑的日期；</w:t>
      </w:r>
      <w:r>
        <w:rPr>
          <w:color w:val="auto"/>
          <w:highlight w:val="none"/>
        </w:rPr>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（7）供应商为自然人的，由本人签字；供应商为法人或者其他组织的，应当由法定代表人、主要负责人，或者其授权代表签字或者盖章，并加盖公章。</w:t>
      </w:r>
      <w:r>
        <w:rPr>
          <w:color w:val="auto"/>
          <w:highlight w:val="none"/>
        </w:rPr>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rPr>
          <w:color w:val="auto"/>
          <w:highlight w:val="none"/>
        </w:rPr>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37.5以联合体形式参加政府采购活动的，其质疑应当由组成联合体的所有供应商共同提出。</w:t>
      </w:r>
      <w:r>
        <w:rPr>
          <w:color w:val="auto"/>
          <w:highlight w:val="none"/>
        </w:rPr>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rPr>
          <w:color w:val="auto"/>
          <w:highlight w:val="none"/>
        </w:rPr>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37.7采购人、采购代理机构在收到质疑函后7个工作日内作出答复，并以书面形式通知质疑供应商和其他有关供应商，但质疑答复的内容不涉及商业秘密。</w:t>
      </w:r>
      <w:r>
        <w:rPr>
          <w:color w:val="auto"/>
          <w:highlight w:val="none"/>
        </w:rPr>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37.8质疑供应商对采购人、采购代理机构的答复不满意，或者采购人、采购代理机构未在规定时间内作出答复的，可以在答复期满后15个工作日内向同级财政部门提起投诉。</w:t>
      </w:r>
      <w:r>
        <w:rPr>
          <w:color w:val="auto"/>
          <w:highlight w:val="none"/>
        </w:rPr>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37.9供应商捏造事实、提供虚假材料或者以非法手段取得证明材料进行投诉的，由财政部门列入不良行为记录名单，禁止其1至3年内参加政府采购活动。 </w:t>
      </w:r>
      <w:bookmarkEnd w:id="106"/>
      <w:r>
        <w:rPr>
          <w:color w:val="auto"/>
          <w:highlight w:val="none"/>
        </w:rPr>
      </w:r>
      <w:r/>
    </w:p>
    <w:p>
      <w:pPr>
        <w:pStyle w:val="1389"/>
        <w:rPr>
          <w:rFonts w:hint="eastAsia" w:ascii="宋体" w:hAnsi="宋体" w:eastAsia="宋体" w:cs="宋体"/>
          <w:color w:val="auto"/>
          <w:highlight w:val="none"/>
        </w:rPr>
        <w:outlineLvl w:val="1"/>
      </w:pPr>
      <w:r>
        <w:rPr>
          <w:color w:val="auto"/>
          <w:highlight w:val="none"/>
        </w:rPr>
      </w:r>
      <w:bookmarkStart w:id="128" w:name="_Toc16938558"/>
      <w:r>
        <w:rPr>
          <w:color w:val="auto"/>
          <w:highlight w:val="none"/>
        </w:rPr>
      </w:r>
      <w:bookmarkStart w:id="129" w:name="_Toc513029242"/>
      <w:r>
        <w:rPr>
          <w:color w:val="auto"/>
          <w:highlight w:val="none"/>
        </w:rPr>
      </w:r>
      <w:bookmarkStart w:id="130" w:name="_Toc32340"/>
      <w:r>
        <w:rPr>
          <w:color w:val="auto"/>
          <w:highlight w:val="none"/>
        </w:rPr>
      </w:r>
      <w:bookmarkStart w:id="131" w:name="_Toc120614221"/>
      <w:r>
        <w:rPr>
          <w:color w:val="auto"/>
          <w:highlight w:val="none"/>
        </w:rPr>
      </w:r>
      <w:bookmarkStart w:id="132" w:name="_Toc20823314"/>
      <w:r>
        <w:rPr>
          <w:color w:val="auto"/>
          <w:highlight w:val="none"/>
        </w:rPr>
      </w:r>
      <w:bookmarkStart w:id="133" w:name="_Toc26968"/>
      <w:r>
        <w:rPr>
          <w:color w:val="auto"/>
          <w:highlight w:val="none"/>
        </w:rPr>
      </w:r>
      <w:bookmarkStart w:id="134" w:name="_Toc479757207"/>
      <w:r>
        <w:rPr>
          <w:rFonts w:hint="eastAsia" w:ascii="宋体" w:hAnsi="宋体" w:eastAsia="宋体" w:cs="宋体"/>
          <w:color w:val="auto"/>
          <w:highlight w:val="none"/>
        </w:rPr>
        <w:t xml:space="preserve">十、政府采购履约资金扶持政策</w:t>
      </w:r>
      <w:bookmarkEnd w:id="128"/>
      <w:r>
        <w:rPr>
          <w:color w:val="auto"/>
          <w:highlight w:val="none"/>
        </w:rPr>
      </w:r>
      <w:bookmarkEnd w:id="129"/>
      <w:r>
        <w:rPr>
          <w:color w:val="auto"/>
          <w:highlight w:val="none"/>
        </w:rPr>
      </w:r>
      <w:bookmarkEnd w:id="130"/>
      <w:r>
        <w:rPr>
          <w:color w:val="auto"/>
          <w:highlight w:val="none"/>
        </w:rPr>
      </w:r>
      <w:bookmarkEnd w:id="131"/>
      <w:r>
        <w:rPr>
          <w:color w:val="auto"/>
          <w:highlight w:val="none"/>
        </w:rPr>
      </w:r>
      <w:bookmarkEnd w:id="132"/>
      <w:r>
        <w:rPr>
          <w:color w:val="auto"/>
          <w:highlight w:val="none"/>
        </w:rPr>
      </w:r>
      <w:bookmarkEnd w:id="133"/>
      <w:r>
        <w:rPr>
          <w:color w:val="auto"/>
          <w:highlight w:val="none"/>
        </w:rPr>
      </w:r>
      <w:bookmarkEnd w:id="134"/>
      <w:r>
        <w:rPr>
          <w:color w:val="auto"/>
          <w:highlight w:val="none"/>
        </w:rPr>
      </w:r>
      <w:r/>
    </w:p>
    <w:p>
      <w:pPr>
        <w:pStyle w:val="1003"/>
        <w:rPr>
          <w:rFonts w:hint="eastAsia" w:hAnsi="宋体" w:cs="宋体"/>
          <w:color w:val="auto"/>
          <w:szCs w:val="24"/>
          <w:highlight w:val="none"/>
        </w:rPr>
      </w:pPr>
      <w:r>
        <w:rPr>
          <w:rFonts w:hint="eastAsia" w:hAnsi="宋体" w:cs="宋体"/>
          <w:color w:val="auto"/>
          <w:szCs w:val="24"/>
          <w:highlight w:val="none"/>
        </w:rPr>
        <w:t xml:space="preserve">中标人可凭政府采购合同办理融资贷款，详情请见江苏政府采购网“政采贷”专栏。</w:t>
      </w:r>
      <w:r>
        <w:rPr>
          <w:color w:val="auto"/>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rPr>
          <w:color w:val="auto"/>
          <w:highlight w:val="none"/>
        </w:rPr>
      </w:r>
      <w:r/>
    </w:p>
    <w:p>
      <w:pPr>
        <w:pStyle w:val="782"/>
        <w:jc w:val="center"/>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br w:type="page" w:clear="all"/>
      </w:r>
      <w:bookmarkStart w:id="135" w:name="_Toc28399"/>
      <w:r>
        <w:rPr>
          <w:color w:val="auto"/>
          <w:highlight w:val="none"/>
        </w:rPr>
      </w:r>
      <w:bookmarkStart w:id="136" w:name="_Toc2112"/>
      <w:r>
        <w:rPr>
          <w:rFonts w:hint="eastAsia" w:ascii="宋体" w:hAnsi="宋体" w:cs="宋体"/>
          <w:b/>
          <w:color w:val="auto"/>
          <w:sz w:val="44"/>
          <w:szCs w:val="44"/>
          <w:highlight w:val="none"/>
        </w:rPr>
        <w:t xml:space="preserve">第三部分  评标方法和标准</w:t>
      </w:r>
      <w:bookmarkEnd w:id="135"/>
      <w:r>
        <w:rPr>
          <w:color w:val="auto"/>
          <w:highlight w:val="none"/>
        </w:rPr>
      </w:r>
      <w:bookmarkEnd w:id="136"/>
      <w:r>
        <w:rPr>
          <w:color w:val="auto"/>
          <w:highlight w:val="none"/>
        </w:rPr>
      </w:r>
      <w:r/>
    </w:p>
    <w:p>
      <w:pPr>
        <w:ind w:firstLine="643"/>
        <w:spacing w:before="156" w:after="156"/>
        <w:rPr>
          <w:rFonts w:hint="eastAsia" w:ascii="宋体" w:hAnsi="宋体" w:cs="宋体"/>
          <w:b/>
          <w:color w:val="auto"/>
          <w:sz w:val="32"/>
          <w:szCs w:val="32"/>
          <w:highlight w:val="none"/>
        </w:rPr>
        <w:outlineLvl w:val="1"/>
      </w:pPr>
      <w:r>
        <w:rPr>
          <w:color w:val="auto"/>
          <w:highlight w:val="none"/>
        </w:rPr>
      </w:r>
      <w:bookmarkStart w:id="137" w:name="_Toc12296"/>
      <w:r>
        <w:rPr>
          <w:color w:val="auto"/>
          <w:highlight w:val="none"/>
        </w:rPr>
      </w:r>
      <w:bookmarkStart w:id="138" w:name="_Toc4647"/>
      <w:r>
        <w:rPr>
          <w:color w:val="auto"/>
          <w:highlight w:val="none"/>
        </w:rPr>
      </w:r>
      <w:bookmarkStart w:id="139" w:name="_Toc24217_WPSOffice_Level2"/>
      <w:r>
        <w:rPr>
          <w:color w:val="auto"/>
          <w:highlight w:val="none"/>
        </w:rPr>
      </w:r>
      <w:bookmarkStart w:id="140" w:name="_Toc17445"/>
      <w:r>
        <w:rPr>
          <w:rFonts w:hint="eastAsia" w:ascii="宋体" w:hAnsi="宋体" w:cs="宋体"/>
          <w:b/>
          <w:color w:val="auto"/>
          <w:sz w:val="32"/>
          <w:szCs w:val="32"/>
          <w:highlight w:val="none"/>
        </w:rPr>
        <w:t xml:space="preserve">一、资格审查</w:t>
      </w:r>
      <w:bookmarkEnd w:id="137"/>
      <w:r>
        <w:rPr>
          <w:color w:val="auto"/>
          <w:highlight w:val="none"/>
        </w:rPr>
      </w:r>
      <w:bookmarkEnd w:id="138"/>
      <w:r>
        <w:rPr>
          <w:color w:val="auto"/>
          <w:highlight w:val="none"/>
        </w:rPr>
      </w:r>
      <w:bookmarkEnd w:id="139"/>
      <w:r>
        <w:rPr>
          <w:color w:val="auto"/>
          <w:highlight w:val="none"/>
        </w:rPr>
      </w:r>
      <w:bookmarkEnd w:id="140"/>
      <w:r>
        <w:rPr>
          <w:color w:val="auto"/>
          <w:highlight w:val="none"/>
        </w:rPr>
      </w:r>
      <w:r/>
    </w:p>
    <w:p>
      <w:pPr>
        <w:ind w:firstLine="420"/>
        <w:rPr>
          <w:rFonts w:hint="eastAsia" w:ascii="宋体" w:hAnsi="宋体" w:cs="宋体"/>
          <w:color w:val="auto"/>
          <w:sz w:val="24"/>
          <w:highlight w:val="none"/>
        </w:rPr>
      </w:pPr>
      <w:r>
        <w:rPr>
          <w:rFonts w:hint="eastAsia" w:ascii="宋体" w:hAnsi="宋体" w:cs="宋体"/>
          <w:color w:val="auto"/>
          <w:sz w:val="24"/>
          <w:highlight w:val="none"/>
        </w:rPr>
        <w:t xml:space="preserve">采购人按照下列指标对各投标人的资格进行审查，未通过审查的为无效标，不参与评标。</w:t>
      </w:r>
      <w:r>
        <w:rPr>
          <w:color w:val="auto"/>
          <w:highlight w:val="none"/>
        </w:rPr>
      </w:r>
      <w:r/>
    </w:p>
    <w:tbl>
      <w:tblPr>
        <w:tblStyle w:val="792"/>
        <w:tblW w:w="0" w:type="auto"/>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28"/>
        <w:gridCol w:w="4335"/>
      </w:tblGrid>
      <w:tr>
        <w:trPr/>
        <w:tc>
          <w:tcPr>
            <w:tcW w:w="482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资格审查因素</w:t>
            </w:r>
            <w:r>
              <w:rPr>
                <w:color w:val="auto"/>
                <w:highlight w:val="none"/>
              </w:rPr>
            </w:r>
            <w:r/>
          </w:p>
        </w:tc>
        <w:tc>
          <w:tcPr>
            <w:tcW w:w="433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审查标准</w:t>
            </w:r>
            <w:r>
              <w:rPr>
                <w:color w:val="auto"/>
                <w:highlight w:val="none"/>
              </w:rPr>
            </w:r>
            <w:r/>
          </w:p>
        </w:tc>
      </w:tr>
      <w:tr>
        <w:trPr>
          <w:trHeight w:val="288"/>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具有独立承担民事责任的能力</w:t>
            </w:r>
            <w:r>
              <w:rPr>
                <w:color w:val="auto"/>
                <w:highlight w:val="none"/>
              </w:rPr>
            </w:r>
            <w:r/>
          </w:p>
        </w:tc>
        <w:tc>
          <w:tcPr>
            <w:tcW w:w="4335" w:type="dxa"/>
            <w:vAlign w:val="center"/>
            <w:vMerge w:val="restart"/>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符合招标文件第11条“投标文件构成”的要求</w:t>
            </w:r>
            <w:r>
              <w:rPr>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具有良好的商业信誉和健全的财务会计制度</w:t>
            </w:r>
            <w:r>
              <w:rPr>
                <w:color w:val="auto"/>
                <w:highlight w:val="none"/>
              </w:rPr>
            </w:r>
            <w:r/>
          </w:p>
        </w:tc>
        <w:tc>
          <w:tcPr>
            <w:tcW w:w="4335" w:type="dxa"/>
            <w:vAlign w:val="center"/>
            <w:vMerge w:val="continue"/>
            <w:textDirection w:val="lrTb"/>
            <w:noWrap w:val="false"/>
          </w:tcPr>
          <w:p>
            <w:pPr>
              <w:jc w:val="left"/>
              <w:rPr>
                <w:rFonts w:hint="eastAsia" w:ascii="宋体" w:hAnsi="宋体" w:cs="宋体"/>
                <w:color w:val="000000"/>
                <w:highlight w:val="none"/>
              </w:rPr>
            </w:pPr>
            <w:r>
              <w:rPr>
                <w:rFonts w:hint="eastAsia" w:ascii="宋体" w:hAnsi="宋体" w:cs="宋体"/>
                <w:color w:val="000000"/>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具有履行合同所必需的设备和专业技术能力</w:t>
            </w:r>
            <w:r>
              <w:rPr>
                <w:color w:val="auto"/>
                <w:highlight w:val="none"/>
              </w:rPr>
            </w:r>
            <w:r/>
          </w:p>
        </w:tc>
        <w:tc>
          <w:tcPr>
            <w:tcW w:w="4335" w:type="dxa"/>
            <w:vAlign w:val="center"/>
            <w:vMerge w:val="continue"/>
            <w:textDirection w:val="lrTb"/>
            <w:noWrap w:val="false"/>
          </w:tcPr>
          <w:p>
            <w:pPr>
              <w:jc w:val="left"/>
              <w:rPr>
                <w:rFonts w:hint="eastAsia" w:ascii="宋体" w:hAnsi="宋体" w:cs="宋体"/>
                <w:color w:val="000000"/>
                <w:highlight w:val="none"/>
              </w:rPr>
            </w:pPr>
            <w:r>
              <w:rPr>
                <w:rFonts w:hint="eastAsia" w:ascii="宋体" w:hAnsi="宋体" w:cs="宋体"/>
                <w:color w:val="000000"/>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有依法缴纳税收和社会保障资金的良好记录</w:t>
            </w:r>
            <w:r>
              <w:rPr>
                <w:color w:val="auto"/>
                <w:highlight w:val="none"/>
              </w:rPr>
            </w:r>
            <w:r/>
          </w:p>
        </w:tc>
        <w:tc>
          <w:tcPr>
            <w:tcW w:w="4335" w:type="dxa"/>
            <w:vAlign w:val="center"/>
            <w:vMerge w:val="continue"/>
            <w:textDirection w:val="lrTb"/>
            <w:noWrap w:val="false"/>
          </w:tcPr>
          <w:p>
            <w:pPr>
              <w:jc w:val="left"/>
              <w:rPr>
                <w:rFonts w:hint="eastAsia" w:ascii="宋体" w:hAnsi="宋体" w:cs="宋体"/>
                <w:color w:val="000000"/>
                <w:highlight w:val="none"/>
              </w:rPr>
            </w:pPr>
            <w:r>
              <w:rPr>
                <w:rFonts w:hint="eastAsia" w:ascii="宋体" w:hAnsi="宋体" w:cs="宋体"/>
                <w:color w:val="000000"/>
                <w:highlight w:val="none"/>
              </w:rPr>
            </w:r>
            <w:r/>
          </w:p>
        </w:tc>
      </w:tr>
      <w:tr>
        <w:trPr>
          <w:trHeight w:val="90"/>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无重大违法行为声明</w:t>
            </w:r>
            <w:r>
              <w:rPr>
                <w:color w:val="auto"/>
                <w:highlight w:val="none"/>
              </w:rPr>
            </w:r>
            <w:r/>
          </w:p>
        </w:tc>
        <w:tc>
          <w:tcPr>
            <w:tcW w:w="4335" w:type="dxa"/>
            <w:vAlign w:val="center"/>
            <w:vMerge w:val="continue"/>
            <w:textDirection w:val="lrTb"/>
            <w:noWrap w:val="false"/>
          </w:tcPr>
          <w:p>
            <w:pPr>
              <w:jc w:val="left"/>
              <w:rPr>
                <w:rFonts w:hint="eastAsia" w:ascii="宋体" w:hAnsi="宋体" w:cs="宋体"/>
                <w:color w:val="000000"/>
                <w:highlight w:val="none"/>
              </w:rPr>
            </w:pPr>
            <w:r>
              <w:rPr>
                <w:rFonts w:hint="eastAsia" w:ascii="宋体" w:hAnsi="宋体" w:cs="宋体"/>
                <w:color w:val="000000"/>
                <w:highlight w:val="none"/>
              </w:rPr>
            </w:r>
            <w:r/>
          </w:p>
        </w:tc>
      </w:tr>
      <w:tr>
        <w:trPr>
          <w:trHeight w:val="287"/>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法律、行政法规规定的其他条件</w:t>
            </w:r>
            <w:r>
              <w:rPr>
                <w:color w:val="auto"/>
                <w:highlight w:val="none"/>
              </w:rPr>
            </w:r>
            <w:r/>
          </w:p>
        </w:tc>
        <w:tc>
          <w:tcPr>
            <w:tcW w:w="4335" w:type="dxa"/>
            <w:vAlign w:val="center"/>
            <w:vMerge w:val="continue"/>
            <w:textDirection w:val="lrTb"/>
            <w:noWrap w:val="false"/>
          </w:tcPr>
          <w:p>
            <w:pPr>
              <w:jc w:val="left"/>
              <w:rPr>
                <w:rFonts w:hint="eastAsia" w:ascii="宋体" w:hAnsi="宋体" w:cs="宋体"/>
                <w:color w:val="000000"/>
                <w:highlight w:val="none"/>
              </w:rPr>
            </w:pPr>
            <w:r>
              <w:rPr>
                <w:rFonts w:hint="eastAsia" w:ascii="宋体" w:hAnsi="宋体" w:cs="宋体"/>
                <w:color w:val="000000"/>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符合联合体规定</w:t>
            </w:r>
            <w:r>
              <w:rPr>
                <w:color w:val="auto"/>
                <w:highlight w:val="none"/>
              </w:rPr>
            </w:r>
            <w:r/>
          </w:p>
        </w:tc>
        <w:tc>
          <w:tcPr>
            <w:tcW w:w="433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rPr>
                <w:color w:val="auto"/>
                <w:highlight w:val="none"/>
              </w:rPr>
            </w:r>
            <w:r/>
          </w:p>
        </w:tc>
      </w:tr>
      <w:tr>
        <w:trPr/>
        <w:tc>
          <w:tcPr>
            <w:tcW w:w="4828" w:type="dxa"/>
            <w:vAlign w:val="center"/>
            <w:textDirection w:val="lrTb"/>
            <w:noWrap w:val="false"/>
          </w:tcPr>
          <w:p>
            <w:pPr>
              <w:jc w:val="left"/>
              <w:rPr>
                <w:rFonts w:hint="default" w:ascii="宋体" w:hAnsi="宋体" w:eastAsia="宋体" w:cs="宋体"/>
                <w:color w:val="auto"/>
                <w:highlight w:val="none"/>
              </w:rPr>
            </w:pPr>
            <w:r>
              <w:rPr>
                <w:rFonts w:hint="eastAsia" w:ascii="宋体" w:hAnsi="宋体" w:cs="宋体"/>
                <w:color w:val="auto"/>
                <w:highlight w:val="none"/>
              </w:rPr>
              <w:t xml:space="preserve">特定资格要求</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如有）</w:t>
            </w:r>
            <w:r>
              <w:rPr>
                <w:color w:val="auto"/>
                <w:highlight w:val="none"/>
              </w:rPr>
            </w:r>
            <w:r/>
          </w:p>
        </w:tc>
        <w:tc>
          <w:tcPr>
            <w:tcW w:w="433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rPr>
                <w:color w:val="auto"/>
                <w:highlight w:val="none"/>
              </w:rPr>
            </w:r>
            <w:r/>
          </w:p>
        </w:tc>
      </w:tr>
    </w:tbl>
    <w:p>
      <w:pPr>
        <w:ind w:firstLine="643"/>
        <w:spacing w:before="156" w:after="156"/>
        <w:rPr>
          <w:rFonts w:hint="eastAsia" w:ascii="宋体" w:hAnsi="宋体" w:cs="宋体"/>
          <w:b/>
          <w:color w:val="auto"/>
          <w:sz w:val="32"/>
          <w:szCs w:val="32"/>
          <w:highlight w:val="none"/>
        </w:rPr>
        <w:outlineLvl w:val="1"/>
      </w:pPr>
      <w:r>
        <w:rPr>
          <w:color w:val="auto"/>
          <w:highlight w:val="none"/>
        </w:rPr>
      </w:r>
      <w:bookmarkStart w:id="141" w:name="_Toc18818"/>
      <w:r>
        <w:rPr>
          <w:color w:val="auto"/>
          <w:highlight w:val="none"/>
        </w:rPr>
      </w:r>
      <w:bookmarkStart w:id="142" w:name="_Toc17529"/>
      <w:r>
        <w:rPr>
          <w:rFonts w:hint="eastAsia" w:ascii="宋体" w:hAnsi="宋体" w:cs="宋体"/>
          <w:b/>
          <w:color w:val="auto"/>
          <w:sz w:val="32"/>
          <w:szCs w:val="32"/>
          <w:highlight w:val="none"/>
        </w:rPr>
        <w:t xml:space="preserve">二、符合性审查</w:t>
      </w:r>
      <w:bookmarkEnd w:id="141"/>
      <w:r>
        <w:rPr>
          <w:color w:val="auto"/>
          <w:highlight w:val="none"/>
        </w:rPr>
      </w:r>
      <w:bookmarkEnd w:id="142"/>
      <w:r>
        <w:rPr>
          <w:color w:val="auto"/>
          <w:highlight w:val="none"/>
        </w:rPr>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符合性审查是指依据招标文件的规定，从商务和技术角度对投标文件的有效性和完整性进行审查，以确定是否对招标文件的实质性要求做出响应。</w:t>
      </w:r>
      <w:r>
        <w:rPr>
          <w:color w:val="auto"/>
          <w:highlight w:val="none"/>
        </w:rPr>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未通过审查的为无效标，不再参与评审。</w:t>
      </w:r>
      <w:r>
        <w:rPr>
          <w:color w:val="auto"/>
          <w:highlight w:val="none"/>
        </w:rPr>
      </w:r>
      <w:r/>
    </w:p>
    <w:tbl>
      <w:tblPr>
        <w:tblStyle w:val="792"/>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995"/>
        <w:gridCol w:w="3177"/>
      </w:tblGrid>
      <w:tr>
        <w:trPr/>
        <w:tc>
          <w:tcPr>
            <w:tcW w:w="599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符合性审查因素</w:t>
            </w:r>
            <w:r>
              <w:rPr>
                <w:color w:val="auto"/>
                <w:highlight w:val="none"/>
              </w:rPr>
            </w:r>
            <w:r/>
          </w:p>
        </w:tc>
        <w:tc>
          <w:tcPr>
            <w:tcW w:w="3177"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审查标准</w:t>
            </w:r>
            <w:r>
              <w:rPr>
                <w:color w:val="auto"/>
                <w:highlight w:val="none"/>
              </w:rPr>
            </w:r>
            <w:r/>
          </w:p>
        </w:tc>
      </w:tr>
      <w:tr>
        <w:trPr>
          <w:trHeight w:val="90"/>
        </w:trPr>
        <w:tc>
          <w:tcPr>
            <w:tcW w:w="599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投标函</w:t>
            </w:r>
            <w:r>
              <w:rPr>
                <w:color w:val="auto"/>
                <w:highlight w:val="none"/>
              </w:rPr>
            </w:r>
            <w:r/>
          </w:p>
        </w:tc>
        <w:tc>
          <w:tcPr>
            <w:tcW w:w="3177"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符合招标文件的要求</w:t>
            </w:r>
            <w:r>
              <w:rPr>
                <w:color w:val="auto"/>
                <w:highlight w:val="none"/>
              </w:rPr>
            </w:r>
            <w:r/>
          </w:p>
        </w:tc>
      </w:tr>
      <w:tr>
        <w:trPr>
          <w:trHeight w:val="287"/>
        </w:trPr>
        <w:tc>
          <w:tcPr>
            <w:tcW w:w="599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法定代表人身份证明或授权委托书</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rPr>
                <w:color w:val="auto"/>
                <w:highlight w:val="none"/>
              </w:rPr>
            </w:r>
            <w:r/>
          </w:p>
        </w:tc>
        <w:tc>
          <w:tcPr>
            <w:tcW w:w="3177"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符合招标文件的要求</w:t>
            </w:r>
            <w:r>
              <w:rPr>
                <w:color w:val="auto"/>
                <w:highlight w:val="none"/>
              </w:rPr>
            </w:r>
            <w:r/>
          </w:p>
        </w:tc>
      </w:tr>
      <w:tr>
        <w:trPr>
          <w:trHeight w:val="287"/>
        </w:trPr>
        <w:tc>
          <w:tcPr>
            <w:tcW w:w="599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签署和盖章符合要求</w:t>
            </w:r>
            <w:r>
              <w:rPr>
                <w:color w:val="auto"/>
                <w:highlight w:val="none"/>
              </w:rPr>
            </w:r>
            <w:r/>
          </w:p>
        </w:tc>
        <w:tc>
          <w:tcPr>
            <w:tcW w:w="3177"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rPr>
                <w:color w:val="auto"/>
                <w:highlight w:val="none"/>
              </w:rPr>
            </w:r>
            <w:r/>
          </w:p>
        </w:tc>
      </w:tr>
      <w:tr>
        <w:trPr/>
        <w:tc>
          <w:tcPr>
            <w:tcW w:w="599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开标一览表及投标报价 </w:t>
            </w:r>
            <w:r>
              <w:rPr>
                <w:color w:val="auto"/>
                <w:highlight w:val="none"/>
              </w:rPr>
            </w:r>
            <w:r/>
          </w:p>
        </w:tc>
        <w:tc>
          <w:tcPr>
            <w:tcW w:w="3177"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格式、填写要求符合招标文件规定（报价未超过预算或最高限价）</w:t>
            </w:r>
            <w:r>
              <w:rPr>
                <w:color w:val="auto"/>
                <w:highlight w:val="none"/>
              </w:rPr>
            </w:r>
            <w:r/>
          </w:p>
        </w:tc>
      </w:tr>
      <w:tr>
        <w:trPr/>
        <w:tc>
          <w:tcPr>
            <w:tcW w:w="599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投标文件对招标文件的实质性条款的响应性</w:t>
            </w:r>
            <w:r>
              <w:rPr>
                <w:color w:val="auto"/>
                <w:highlight w:val="none"/>
              </w:rPr>
            </w:r>
            <w:r/>
          </w:p>
        </w:tc>
        <w:tc>
          <w:tcPr>
            <w:tcW w:w="3177"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rPr>
                <w:color w:val="auto"/>
                <w:highlight w:val="none"/>
              </w:rPr>
            </w:r>
            <w:r/>
          </w:p>
        </w:tc>
      </w:tr>
    </w:tbl>
    <w:p>
      <w:pPr>
        <w:rPr>
          <w:rFonts w:hint="eastAsia" w:ascii="宋体" w:hAnsi="宋体" w:cs="宋体"/>
          <w:b/>
          <w:color w:val="auto"/>
          <w:sz w:val="32"/>
          <w:szCs w:val="32"/>
          <w:highlight w:val="none"/>
        </w:rPr>
        <w:outlineLvl w:val="1"/>
      </w:pPr>
      <w:r>
        <w:rPr>
          <w:rFonts w:hint="eastAsia" w:ascii="宋体" w:hAnsi="宋体" w:cs="宋体"/>
          <w:color w:val="auto"/>
          <w:sz w:val="20"/>
          <w:highlight w:val="none"/>
        </w:rPr>
        <w:t xml:space="preserve">  </w:t>
      </w:r>
      <w:bookmarkStart w:id="143" w:name="_Toc11959"/>
      <w:r>
        <w:rPr>
          <w:rFonts w:hint="eastAsia" w:ascii="宋体" w:hAnsi="宋体" w:cs="宋体"/>
          <w:color w:val="auto"/>
          <w:sz w:val="20"/>
          <w:highlight w:val="none"/>
        </w:rPr>
        <w:t xml:space="preserve">   </w:t>
      </w:r>
      <w:bookmarkStart w:id="144" w:name="_Toc17823"/>
      <w:r>
        <w:rPr>
          <w:color w:val="auto"/>
          <w:highlight w:val="none"/>
        </w:rPr>
      </w:r>
      <w:bookmarkStart w:id="145" w:name="_Toc3702"/>
      <w:r>
        <w:rPr>
          <w:rFonts w:hint="eastAsia" w:ascii="宋体" w:hAnsi="宋体" w:cs="宋体"/>
          <w:b/>
          <w:color w:val="auto"/>
          <w:sz w:val="32"/>
          <w:szCs w:val="32"/>
          <w:highlight w:val="none"/>
        </w:rPr>
        <w:t xml:space="preserve">三、评分办法—综合评分法</w:t>
      </w:r>
      <w:bookmarkEnd w:id="143"/>
      <w:r>
        <w:rPr>
          <w:color w:val="auto"/>
          <w:highlight w:val="none"/>
        </w:rPr>
      </w:r>
      <w:bookmarkEnd w:id="144"/>
      <w:r>
        <w:rPr>
          <w:color w:val="auto"/>
          <w:highlight w:val="none"/>
        </w:rPr>
      </w:r>
      <w:bookmarkEnd w:id="145"/>
      <w:r>
        <w:rPr>
          <w:color w:val="auto"/>
          <w:highlight w:val="none"/>
        </w:rPr>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服务方案得分高优先；</w:t>
      </w:r>
      <w:r>
        <w:rPr>
          <w:rFonts w:hint="eastAsia" w:ascii="宋体" w:hAnsi="宋体" w:cs="宋体"/>
          <w:color w:val="auto"/>
          <w:sz w:val="24"/>
          <w:highlight w:val="none"/>
        </w:rPr>
        <w:t xml:space="preserve">评分、报价、方案得分均相同时，由评标委员会通过投票的排序。 </w:t>
      </w:r>
      <w:r>
        <w:rPr>
          <w:color w:val="auto"/>
          <w:highlight w:val="none"/>
        </w:rPr>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评标委员会根据评审后投标人排序推荐中标候选人。投标文件满足招标文件全部实质性要求，且评审后排序第一的投标人为第一中标候选人，依次类推。</w:t>
      </w:r>
      <w:r>
        <w:rPr>
          <w:color w:val="auto"/>
          <w:highlight w:val="none"/>
        </w:rPr>
      </w:r>
      <w:r/>
    </w:p>
    <w:p>
      <w:pPr>
        <w:ind w:firstLine="420"/>
        <w:spacing w:line="360" w:lineRule="auto"/>
        <w:rPr>
          <w:rFonts w:hint="eastAsia" w:ascii="宋体" w:hAnsi="宋体" w:cs="宋体"/>
          <w:color w:val="auto"/>
          <w:sz w:val="20"/>
          <w:highlight w:val="none"/>
        </w:rPr>
      </w:pPr>
      <w:r>
        <w:rPr>
          <w:rFonts w:hint="eastAsia" w:ascii="宋体" w:hAnsi="宋体" w:cs="宋体"/>
          <w:color w:val="auto"/>
          <w:sz w:val="24"/>
          <w:highlight w:val="none"/>
        </w:rPr>
        <w:t xml:space="preserve">综合评分保留至小数点后两位。</w:t>
      </w:r>
      <w:r>
        <w:rPr>
          <w:rFonts w:hint="eastAsia" w:ascii="宋体" w:hAnsi="宋体" w:cs="宋体"/>
          <w:color w:val="auto"/>
          <w:highlight w:val="none"/>
        </w:rPr>
        <w:t xml:space="preserve"> </w:t>
      </w:r>
      <w:r>
        <w:rPr>
          <w:rFonts w:hint="eastAsia" w:ascii="宋体" w:hAnsi="宋体" w:cs="宋体"/>
          <w:color w:val="auto"/>
          <w:sz w:val="20"/>
          <w:highlight w:val="none"/>
        </w:rPr>
        <w:t xml:space="preserve"> </w:t>
      </w:r>
      <w:r>
        <w:rPr>
          <w:color w:val="auto"/>
          <w:highlight w:val="none"/>
        </w:rPr>
      </w:r>
      <w:r/>
    </w:p>
    <w:p>
      <w:pPr>
        <w:ind w:firstLine="420"/>
        <w:spacing w:line="360" w:lineRule="auto"/>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numPr>
          <w:ilvl w:val="0"/>
          <w:numId w:val="8"/>
        </w:numPr>
        <w:ind w:left="100" w:firstLine="0"/>
        <w:rPr>
          <w:rFonts w:hint="eastAsia" w:ascii="宋体" w:hAnsi="宋体" w:cs="宋体"/>
          <w:color w:val="auto"/>
          <w:sz w:val="24"/>
          <w:highlight w:val="none"/>
        </w:rPr>
      </w:pPr>
      <w:r>
        <w:rPr>
          <w:rFonts w:hint="eastAsia" w:ascii="宋体" w:hAnsi="宋体" w:cs="宋体"/>
          <w:color w:val="auto"/>
          <w:sz w:val="24"/>
          <w:highlight w:val="none"/>
        </w:rPr>
        <w:t xml:space="preserve">详细评审。评标委员会按照招标文件规定的评分标准，对各投标文件进行详细评审打分。评标委员会组长对各评审专家的打分情况进行复核无误后汇总，形成评审报告。</w:t>
      </w:r>
      <w:r>
        <w:rPr>
          <w:color w:val="auto"/>
          <w:highlight w:val="none"/>
        </w:rPr>
      </w:r>
      <w:r/>
    </w:p>
    <w:tbl>
      <w:tblPr>
        <w:tblStyle w:val="792"/>
        <w:tblW w:w="9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6"/>
        <w:gridCol w:w="7799"/>
      </w:tblGrid>
      <w:tr>
        <w:trPr>
          <w:jc w:val="center"/>
          <w:trHeight w:val="260"/>
        </w:trPr>
        <w:tc>
          <w:tcPr>
            <w:tcW w:w="1396" w:type="dxa"/>
            <w:vAlign w:val="center"/>
            <w:textDirection w:val="lrTb"/>
            <w:noWrap w:val="false"/>
          </w:tcPr>
          <w:p>
            <w:pPr>
              <w:jc w:val="center"/>
              <w:spacing w:line="360" w:lineRule="auto"/>
              <w:rPr>
                <w:rFonts w:ascii="宋体" w:hAnsi="宋体" w:eastAsia="宋体" w:cs="宋体"/>
                <w:color w:val="auto"/>
                <w:szCs w:val="21"/>
                <w:highlight w:val="none"/>
              </w:rPr>
            </w:pPr>
            <w:r>
              <w:rPr>
                <w:color w:val="auto"/>
                <w:highlight w:val="none"/>
              </w:rPr>
            </w:r>
            <w:bookmarkStart w:id="146" w:name="_Toc514054481"/>
            <w:r>
              <w:rPr>
                <w:rFonts w:ascii="宋体" w:hAnsi="宋体" w:eastAsia="宋体" w:cs="宋体"/>
                <w:color w:val="auto"/>
                <w:szCs w:val="21"/>
                <w:highlight w:val="none"/>
              </w:rPr>
              <w:t xml:space="preserve">评审因素</w:t>
            </w:r>
            <w:r>
              <w:rPr>
                <w:color w:val="auto"/>
                <w:highlight w:val="none"/>
              </w:rPr>
            </w:r>
            <w:r/>
          </w:p>
        </w:tc>
        <w:tc>
          <w:tcPr>
            <w:tcW w:w="7799" w:type="dxa"/>
            <w:vAlign w:val="center"/>
            <w:textDirection w:val="lrTb"/>
            <w:noWrap w:val="false"/>
          </w:tcPr>
          <w:p>
            <w:pPr>
              <w:jc w:val="center"/>
              <w:spacing w:line="360" w:lineRule="auto"/>
              <w:rPr>
                <w:rFonts w:ascii="宋体" w:hAnsi="宋体" w:eastAsia="宋体" w:cs="宋体"/>
                <w:color w:val="auto"/>
                <w:szCs w:val="21"/>
                <w:highlight w:val="none"/>
              </w:rPr>
            </w:pPr>
            <w:r>
              <w:rPr>
                <w:rFonts w:ascii="宋体" w:hAnsi="宋体" w:eastAsia="宋体" w:cs="宋体"/>
                <w:color w:val="auto"/>
                <w:szCs w:val="21"/>
                <w:highlight w:val="none"/>
              </w:rPr>
              <w:t xml:space="preserve">评审标准</w:t>
            </w:r>
            <w:r>
              <w:rPr>
                <w:color w:val="auto"/>
                <w:highlight w:val="none"/>
              </w:rPr>
            </w:r>
            <w:r/>
          </w:p>
        </w:tc>
      </w:tr>
      <w:tr>
        <w:trPr>
          <w:jc w:val="center"/>
          <w:trHeight w:val="766"/>
        </w:trPr>
        <w:tc>
          <w:tcPr>
            <w:tcW w:w="1396" w:type="dxa"/>
            <w:vAlign w:val="center"/>
            <w:textDirection w:val="lrTb"/>
            <w:noWrap w:val="false"/>
          </w:tcPr>
          <w:p>
            <w:pPr>
              <w:jc w:val="center"/>
              <w:spacing w:line="360" w:lineRule="auto"/>
              <w:rPr>
                <w:rFonts w:ascii="宋体" w:hAnsi="宋体" w:eastAsia="宋体" w:cs="宋体"/>
                <w:color w:val="auto"/>
                <w:szCs w:val="21"/>
                <w:highlight w:val="none"/>
              </w:rPr>
            </w:pPr>
            <w:r>
              <w:rPr>
                <w:rFonts w:ascii="宋体" w:hAnsi="宋体" w:eastAsia="宋体" w:cs="宋体"/>
                <w:color w:val="auto"/>
                <w:szCs w:val="21"/>
                <w:highlight w:val="none"/>
              </w:rPr>
              <w:t xml:space="preserve">价格部分</w:t>
            </w:r>
            <w:r>
              <w:rPr>
                <w:color w:val="auto"/>
                <w:highlight w:val="none"/>
              </w:rPr>
            </w:r>
            <w:r/>
          </w:p>
          <w:p>
            <w:pPr>
              <w:jc w:val="center"/>
              <w:spacing w:line="360" w:lineRule="auto"/>
              <w:rPr>
                <w:rFonts w:ascii="宋体" w:hAnsi="宋体" w:eastAsia="宋体" w:cs="宋体"/>
                <w:color w:val="auto"/>
                <w:szCs w:val="21"/>
                <w:highlight w:val="none"/>
              </w:rPr>
            </w:pPr>
            <w:r>
              <w:rPr>
                <w:rFonts w:ascii="宋体" w:hAnsi="宋体" w:eastAsia="宋体" w:cs="宋体"/>
                <w:color w:val="auto"/>
                <w:szCs w:val="21"/>
                <w:highlight w:val="none"/>
              </w:rPr>
              <w:t xml:space="preserve">（30分）</w:t>
            </w:r>
            <w:r>
              <w:rPr>
                <w:color w:val="auto"/>
                <w:highlight w:val="none"/>
              </w:rPr>
            </w:r>
            <w:r/>
          </w:p>
        </w:tc>
        <w:tc>
          <w:tcPr>
            <w:tcW w:w="7799" w:type="dxa"/>
            <w:vAlign w:val="center"/>
            <w:textDirection w:val="lrTb"/>
            <w:noWrap w:val="false"/>
          </w:tcPr>
          <w:p>
            <w:pPr>
              <w:spacing w:line="360" w:lineRule="auto"/>
              <w:rPr>
                <w:rFonts w:ascii="宋体" w:hAnsi="宋体" w:eastAsia="宋体" w:cs="宋体"/>
                <w:color w:val="auto"/>
                <w:szCs w:val="21"/>
                <w:highlight w:val="none"/>
              </w:rPr>
            </w:pPr>
            <w:r>
              <w:rPr>
                <w:rFonts w:ascii="宋体" w:hAnsi="宋体" w:eastAsia="宋体" w:cs="宋体"/>
                <w:color w:val="auto"/>
                <w:szCs w:val="21"/>
                <w:highlight w:val="none"/>
              </w:rPr>
              <w:t xml:space="preserve">价格分采用低价优先法计算，即满足招标文件要求且投标报价最低的报价为评标基准价，其价格分为满分30分。其他投标人的价格分按照下列公式计算：投标报价得分=（评标基准价/各投标人的投标报价）×30。</w:t>
            </w:r>
            <w:r>
              <w:rPr>
                <w:color w:val="auto"/>
                <w:highlight w:val="none"/>
              </w:rPr>
            </w:r>
            <w:r/>
          </w:p>
        </w:tc>
      </w:tr>
      <w:tr>
        <w:trPr>
          <w:jc w:val="center"/>
          <w:trHeight w:val="766"/>
        </w:trPr>
        <w:tc>
          <w:tcPr>
            <w:tcW w:w="1396" w:type="dxa"/>
            <w:vAlign w:val="center"/>
            <w:textDirection w:val="lrTb"/>
            <w:noWrap w:val="false"/>
          </w:tcPr>
          <w:p>
            <w:pPr>
              <w:jc w:val="center"/>
              <w:spacing w:line="360" w:lineRule="auto"/>
              <w:rPr>
                <w:rFonts w:ascii="宋体" w:hAnsi="宋体" w:eastAsia="宋体" w:cs="宋体"/>
                <w:color w:val="auto"/>
                <w:szCs w:val="21"/>
                <w:highlight w:val="none"/>
              </w:rPr>
            </w:pPr>
            <w:r>
              <w:rPr>
                <w:rFonts w:ascii="宋体" w:hAnsi="宋体" w:eastAsia="宋体" w:cs="宋体"/>
                <w:color w:val="auto"/>
                <w:szCs w:val="21"/>
                <w:highlight w:val="none"/>
              </w:rPr>
              <w:t xml:space="preserve">技术响应</w:t>
            </w:r>
            <w:r>
              <w:rPr>
                <w:color w:val="auto"/>
                <w:highlight w:val="none"/>
              </w:rPr>
            </w:r>
            <w:r/>
          </w:p>
          <w:p>
            <w:pPr>
              <w:jc w:val="center"/>
              <w:spacing w:line="360" w:lineRule="auto"/>
              <w:rPr>
                <w:rFonts w:ascii="宋体" w:hAnsi="宋体" w:eastAsia="宋体" w:cs="宋体"/>
                <w:color w:val="auto"/>
                <w:szCs w:val="21"/>
                <w:highlight w:val="none"/>
              </w:rPr>
            </w:pPr>
            <w:r>
              <w:rPr>
                <w:rFonts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30</w:t>
            </w:r>
            <w:r>
              <w:rPr>
                <w:rFonts w:ascii="宋体" w:hAnsi="宋体" w:eastAsia="宋体" w:cs="宋体"/>
                <w:color w:val="auto"/>
                <w:szCs w:val="21"/>
                <w:highlight w:val="none"/>
              </w:rPr>
              <w:t xml:space="preserve">分）</w:t>
            </w:r>
            <w:r>
              <w:rPr>
                <w:rFonts w:hint="eastAsia" w:ascii="宋体" w:hAnsi="宋体" w:eastAsia="宋体" w:cs="宋体"/>
                <w:color w:val="auto"/>
                <w:szCs w:val="21"/>
                <w:highlight w:val="none"/>
              </w:rPr>
              <w:t xml:space="preserve">6个三角，9个五角星，12个普通</w:t>
            </w:r>
            <w:r>
              <w:rPr>
                <w:color w:val="auto"/>
                <w:highlight w:val="none"/>
              </w:rPr>
            </w:r>
            <w:r/>
          </w:p>
        </w:tc>
        <w:tc>
          <w:tcPr>
            <w:tcW w:w="7799" w:type="dxa"/>
            <w:vAlign w:val="center"/>
            <w:textDirection w:val="lrTb"/>
            <w:noWrap w:val="false"/>
          </w:tcPr>
          <w:p>
            <w:pPr>
              <w:spacing w:line="360" w:lineRule="auto"/>
              <w:rPr>
                <w:rFonts w:ascii="宋体" w:hAnsi="宋体" w:eastAsia="宋体" w:cs="宋体"/>
                <w:color w:val="auto"/>
                <w:szCs w:val="21"/>
                <w:highlight w:val="none"/>
              </w:rPr>
            </w:pPr>
            <w:r>
              <w:rPr>
                <w:rFonts w:ascii="宋体" w:hAnsi="宋体" w:eastAsia="宋体" w:cs="宋体"/>
                <w:color w:val="auto"/>
                <w:szCs w:val="21"/>
                <w:highlight w:val="none"/>
              </w:rPr>
              <w:t xml:space="preserve">技术参数响应全部满足招标文件技术需求的，得满分</w:t>
            </w:r>
            <w:r>
              <w:rPr>
                <w:rFonts w:hint="eastAsia" w:ascii="宋体" w:hAnsi="宋体" w:cs="宋体"/>
                <w:color w:val="auto"/>
                <w:szCs w:val="21"/>
                <w:highlight w:val="none"/>
                <w:lang w:val="en-US" w:eastAsia="zh-CN"/>
              </w:rPr>
              <w:t xml:space="preserve">30</w:t>
            </w:r>
            <w:r>
              <w:rPr>
                <w:rFonts w:ascii="宋体" w:hAnsi="宋体" w:eastAsia="宋体" w:cs="宋体"/>
                <w:color w:val="auto"/>
                <w:szCs w:val="21"/>
                <w:highlight w:val="none"/>
              </w:rPr>
              <w:t xml:space="preserve">分；正偏离不加分；招标文件技术需求中标注“★”的为关键参数，有一项负偏离将导致投标被否决；招标文件技术需求中标注“▲”的为重要参数，负偏离一项扣</w:t>
            </w:r>
            <w:r>
              <w:rPr>
                <w:rFonts w:hint="eastAsia" w:ascii="宋体" w:hAnsi="宋体" w:cs="宋体"/>
                <w:color w:val="auto"/>
                <w:szCs w:val="21"/>
                <w:highlight w:val="none"/>
                <w:lang w:val="en-US" w:eastAsia="zh-CN"/>
              </w:rPr>
              <w:t xml:space="preserve">3</w:t>
            </w:r>
            <w:r>
              <w:rPr>
                <w:rFonts w:ascii="宋体" w:hAnsi="宋体" w:eastAsia="宋体" w:cs="宋体"/>
                <w:color w:val="auto"/>
                <w:szCs w:val="21"/>
                <w:highlight w:val="none"/>
              </w:rPr>
              <w:t xml:space="preserve">分；其它非“★”、“▲”的为</w:t>
            </w:r>
            <w:r>
              <w:rPr>
                <w:rFonts w:hint="eastAsia" w:ascii="宋体" w:hAnsi="宋体" w:eastAsia="宋体" w:cs="宋体"/>
                <w:color w:val="auto"/>
                <w:szCs w:val="21"/>
                <w:highlight w:val="none"/>
              </w:rPr>
              <w:t xml:space="preserve">一般</w:t>
            </w:r>
            <w:r>
              <w:rPr>
                <w:rFonts w:ascii="宋体" w:hAnsi="宋体" w:eastAsia="宋体" w:cs="宋体"/>
                <w:color w:val="auto"/>
                <w:szCs w:val="21"/>
                <w:highlight w:val="none"/>
              </w:rPr>
              <w:t xml:space="preserve">参数</w:t>
            </w:r>
            <w:r>
              <w:rPr>
                <w:rFonts w:hint="eastAsia" w:ascii="宋体" w:hAnsi="宋体" w:eastAsia="宋体" w:cs="宋体"/>
                <w:color w:val="auto"/>
                <w:szCs w:val="21"/>
                <w:highlight w:val="none"/>
              </w:rPr>
              <w:t xml:space="preserve">，</w:t>
            </w:r>
            <w:r>
              <w:rPr>
                <w:rFonts w:ascii="宋体" w:hAnsi="宋体" w:eastAsia="宋体" w:cs="宋体"/>
                <w:color w:val="auto"/>
                <w:szCs w:val="21"/>
                <w:highlight w:val="none"/>
              </w:rPr>
              <w:t xml:space="preserve">负偏离一项扣</w:t>
            </w:r>
            <w:r>
              <w:rPr>
                <w:rFonts w:hint="eastAsia" w:ascii="宋体" w:hAnsi="宋体" w:eastAsia="宋体" w:cs="宋体"/>
                <w:color w:val="auto"/>
                <w:szCs w:val="21"/>
                <w:highlight w:val="none"/>
              </w:rPr>
              <w:t xml:space="preserve">1</w:t>
            </w:r>
            <w:r>
              <w:rPr>
                <w:rFonts w:ascii="宋体" w:hAnsi="宋体" w:eastAsia="宋体" w:cs="宋体"/>
                <w:color w:val="auto"/>
                <w:szCs w:val="21"/>
                <w:highlight w:val="none"/>
              </w:rPr>
              <w:t xml:space="preserve">分，扣完为止。</w:t>
            </w:r>
            <w:r>
              <w:rPr>
                <w:color w:val="auto"/>
                <w:highlight w:val="none"/>
              </w:rPr>
            </w:r>
            <w:r/>
          </w:p>
          <w:p>
            <w:pPr>
              <w:spacing w:line="360" w:lineRule="auto"/>
              <w:rPr>
                <w:rFonts w:ascii="宋体" w:hAnsi="宋体" w:eastAsia="宋体" w:cs="宋体"/>
                <w:color w:val="auto"/>
                <w:szCs w:val="21"/>
                <w:highlight w:val="none"/>
              </w:rPr>
            </w:pPr>
            <w:r>
              <w:rPr>
                <w:rFonts w:ascii="宋体" w:hAnsi="宋体" w:eastAsia="宋体" w:cs="宋体"/>
                <w:color w:val="auto"/>
                <w:szCs w:val="21"/>
                <w:highlight w:val="none"/>
              </w:rPr>
              <w:t xml:space="preserve">注：</w:t>
            </w:r>
            <w:r>
              <w:rPr>
                <w:color w:val="auto"/>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（1）技术需求须逐条响应；</w:t>
            </w:r>
            <w:r>
              <w:rPr>
                <w:color w:val="auto"/>
                <w:highlight w:val="none"/>
              </w:rPr>
            </w:r>
            <w:r/>
          </w:p>
          <w:p>
            <w:pP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（2）技术需求响应应有技术支持证明文件，如技术需求中有明确证明材料要求，则提供对应证明材料，“★”、“▲”参数如技术需求中未明确要求提供何种证明材料的</w:t>
            </w:r>
            <w:r>
              <w:rPr>
                <w:rFonts w:hint="eastAsia" w:ascii="宋体" w:hAnsi="宋体" w:eastAsia="宋体" w:cs="宋体"/>
                <w:color w:val="auto"/>
                <w:szCs w:val="21"/>
                <w:highlight w:val="none"/>
              </w:rPr>
              <w:t xml:space="preserve">，投标人应自行提供证明材料；自行提供的证明材料应是下列证明文件中的任意一种：①提供设备在社会上公开发布的带技术参数的宣传彩页；②提供互联网上下载打印的彩页截图，必须标明详细的查询网址并加盖生产厂商印章，方可为有效货物技术证明；③医疗器械经注册的检验报告（完整的）；④技术白皮书/原厂盖章技术说明。⑤经现场评审委员会评议后认可的证明材料。证明材料以中文为准，如为英文材料，应提供对应准确翻译件；同时应在证明材料中以勾线、画框等形式明确标注出技术需求在材料中的位置，并在响应偏离表中标明准确页码，否则将被视为负偏离。</w:t>
            </w:r>
            <w:r>
              <w:rPr>
                <w:color w:val="auto"/>
                <w:highlight w:val="none"/>
              </w:rPr>
            </w:r>
            <w:r/>
          </w:p>
        </w:tc>
      </w:tr>
      <w:tr>
        <w:trPr>
          <w:jc w:val="center"/>
          <w:trHeight w:val="766"/>
        </w:trPr>
        <w:tc>
          <w:tcPr>
            <w:tcW w:w="139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产品综合评价</w:t>
            </w:r>
            <w:r>
              <w:rPr>
                <w:color w:val="auto"/>
                <w:highlight w:val="none"/>
              </w:rPr>
            </w:r>
            <w:r/>
          </w:p>
          <w:p>
            <w:pPr>
              <w:jc w:val="cente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分）</w:t>
            </w:r>
            <w:r>
              <w:rPr>
                <w:color w:val="auto"/>
                <w:highlight w:val="none"/>
              </w:rPr>
            </w:r>
            <w:r/>
          </w:p>
        </w:tc>
        <w:tc>
          <w:tcPr>
            <w:tcW w:w="7799"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应提供产品设计、制造工艺及材质方案，方案应至少包含①产品设计；②产品制造工艺；③产品材质等方面；④产品易用性等方面，投标人可提供产品彩页、产品技术宣传白皮书、产品检测报告等任意一种相关证明材料辅以相关文字介绍。评委会根据投标人提供的方案内容进行综合评审： </w:t>
            </w:r>
            <w:r>
              <w:rPr>
                <w:color w:val="auto"/>
                <w:highlight w:val="none"/>
              </w:rPr>
            </w:r>
            <w:r/>
          </w:p>
          <w:p>
            <w:pPr>
              <w:spacing w:line="360" w:lineRule="auto"/>
              <w:rPr>
                <w:rFonts w:hint="eastAsia" w:ascii="宋体" w:hAnsi="宋体" w:eastAsia="宋体" w:cs="宋体"/>
                <w:color w:val="auto"/>
                <w:szCs w:val="21"/>
                <w:highlight w:val="none"/>
              </w:rPr>
            </w:pPr>
            <w:r>
              <w:rPr>
                <w:color w:val="auto"/>
                <w:highlight w:val="none"/>
              </w:rPr>
            </w:r>
            <w:bookmarkStart w:id="147" w:name="OLE_LINK4"/>
            <w:r>
              <w:rPr>
                <w:rFonts w:hint="eastAsia" w:ascii="宋体" w:hAnsi="宋体" w:eastAsia="宋体" w:cs="宋体"/>
                <w:color w:val="auto"/>
                <w:szCs w:val="21"/>
                <w:highlight w:val="none"/>
              </w:rPr>
              <w:t xml:space="preserve">（1）方案所述内容完整详实，清晰描述相关内容的得</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分，方案基本完整，对相关内容均有表述的得</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分，完整性有缺陷或未提供不得分；</w:t>
            </w:r>
            <w:r>
              <w:rPr>
                <w:color w:val="auto"/>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（2）经评审，方案具备较强合理性的得</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分，方案具备一定合理性的得</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分，方案合理性有缺陷或未提供不得分；</w:t>
            </w:r>
            <w:r>
              <w:rPr>
                <w:color w:val="auto"/>
                <w:highlight w:val="none"/>
              </w:rPr>
            </w:r>
            <w:r/>
          </w:p>
          <w:p>
            <w:pP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（3）经评审，方案具备较强针对性且切实可行的得</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分，方案具备一定针对性及可行性的得1分，方案针对性或可行性有缺陷或未提供不得分。</w:t>
            </w:r>
            <w:bookmarkEnd w:id="147"/>
            <w:r>
              <w:rPr>
                <w:color w:val="auto"/>
                <w:highlight w:val="none"/>
              </w:rPr>
            </w:r>
            <w:r/>
          </w:p>
        </w:tc>
      </w:tr>
      <w:tr>
        <w:trPr>
          <w:jc w:val="center"/>
          <w:trHeight w:val="274"/>
        </w:trPr>
        <w:tc>
          <w:tcPr>
            <w:tcW w:w="1396" w:type="dxa"/>
            <w:vAlign w:val="center"/>
            <w:textDirection w:val="lrTb"/>
            <w:noWrap w:val="false"/>
          </w:tcPr>
          <w:p>
            <w:pPr>
              <w:jc w:val="center"/>
              <w:rPr>
                <w:rFonts w:hint="eastAsia" w:ascii="宋体" w:hAnsi="宋体" w:eastAsia="宋体" w:cs="宋体"/>
                <w:b/>
                <w:bCs/>
                <w:color w:val="auto"/>
                <w:szCs w:val="21"/>
                <w:highlight w:val="none"/>
              </w:rPr>
            </w:pPr>
            <w:r>
              <w:rPr>
                <w:rFonts w:hint="eastAsia" w:ascii="宋体" w:hAnsi="宋体" w:eastAsia="宋体" w:cs="宋体"/>
                <w:bCs/>
                <w:color w:val="auto"/>
                <w:szCs w:val="21"/>
                <w:highlight w:val="none"/>
              </w:rPr>
              <w:t xml:space="preserve">设备到货、安装、调试方案</w:t>
            </w:r>
            <w:r>
              <w:rPr>
                <w:color w:val="auto"/>
                <w:highlight w:val="none"/>
              </w:rPr>
            </w:r>
            <w:r/>
          </w:p>
          <w:p>
            <w:pPr>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分）</w:t>
            </w:r>
            <w:r>
              <w:rPr>
                <w:color w:val="auto"/>
                <w:highlight w:val="none"/>
              </w:rPr>
            </w:r>
            <w:r/>
          </w:p>
        </w:tc>
        <w:tc>
          <w:tcPr>
            <w:tcW w:w="7799" w:type="dxa"/>
            <w:vAlign w:val="center"/>
            <w:textDirection w:val="lrTb"/>
            <w:noWrap w:val="false"/>
          </w:tcPr>
          <w:p>
            <w:pPr>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方案应为投标人针对本项目采购标的，结合自身经验，提供的详细方案，方案应至少包含①设备出厂检验、包装，出厂质量控制；②运输、保险、货期保障、卸货；③安装调试流程、注意要点、人员配备、与采购人沟通配合等方面。评委会根据投标人提供的方案内容进行综合评审：</w:t>
            </w:r>
            <w:r>
              <w:rPr>
                <w:color w:val="auto"/>
                <w:highlight w:val="none"/>
              </w:rPr>
            </w:r>
            <w:r/>
          </w:p>
          <w:p>
            <w:pPr>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（1）方案所述内容完整详实，清晰描述相关内容的得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分，方案基本完整，对相关内容均有表述的得</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分，完整性有缺陷或未提供不得分；</w:t>
            </w:r>
            <w:r>
              <w:rPr>
                <w:color w:val="auto"/>
                <w:highlight w:val="none"/>
              </w:rPr>
            </w:r>
            <w:r/>
          </w:p>
          <w:p>
            <w:pPr>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（2）经评审，方案具备较强合理性的得2分，方案具备一定合理性的得1分，方案合理性有缺陷或未提供不得分；</w:t>
            </w:r>
            <w:r>
              <w:rPr>
                <w:color w:val="auto"/>
                <w:highlight w:val="none"/>
              </w:rPr>
            </w:r>
            <w:r/>
          </w:p>
          <w:p>
            <w:pP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（3）经评审，方案具备较强针对性且切实可行的得2分，方案具备一定针对性及可行性的得1分，方案针对性或可行性有缺陷或未提供不得分。</w:t>
            </w:r>
            <w:r>
              <w:rPr>
                <w:color w:val="auto"/>
                <w:highlight w:val="none"/>
              </w:rPr>
            </w:r>
            <w:r/>
          </w:p>
        </w:tc>
      </w:tr>
      <w:tr>
        <w:trPr>
          <w:jc w:val="center"/>
          <w:trHeight w:val="274"/>
        </w:trPr>
        <w:tc>
          <w:tcPr>
            <w:tcW w:w="1396" w:type="dxa"/>
            <w:vAlign w:val="center"/>
            <w:textDirection w:val="lrTb"/>
            <w:noWrap w:val="false"/>
          </w:tcPr>
          <w:p>
            <w:pPr>
              <w:jc w:val="center"/>
              <w:rPr>
                <w:rFonts w:hint="eastAsia" w:ascii="宋体" w:hAnsi="宋体" w:eastAsia="宋体" w:cs="宋体"/>
                <w:b/>
                <w:bCs/>
                <w:color w:val="auto"/>
                <w:szCs w:val="21"/>
                <w:highlight w:val="none"/>
              </w:rPr>
            </w:pPr>
            <w:r>
              <w:rPr>
                <w:rFonts w:hint="eastAsia" w:ascii="宋体" w:hAnsi="宋体" w:eastAsia="宋体" w:cs="宋体"/>
                <w:bCs/>
                <w:color w:val="auto"/>
                <w:szCs w:val="21"/>
                <w:highlight w:val="none"/>
              </w:rPr>
              <w:t xml:space="preserve">培训方案</w:t>
            </w:r>
            <w:r>
              <w:rPr>
                <w:color w:val="auto"/>
                <w:highlight w:val="none"/>
              </w:rPr>
            </w:r>
            <w:r/>
          </w:p>
          <w:p>
            <w:pPr>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分）</w:t>
            </w:r>
            <w:r>
              <w:rPr>
                <w:color w:val="auto"/>
                <w:highlight w:val="none"/>
              </w:rPr>
            </w:r>
            <w:r/>
          </w:p>
        </w:tc>
        <w:tc>
          <w:tcPr>
            <w:tcW w:w="7799" w:type="dxa"/>
            <w:vAlign w:val="center"/>
            <w:textDirection w:val="lrTb"/>
            <w:noWrap w:val="false"/>
          </w:tcPr>
          <w:p>
            <w:pPr>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投标人应提供培训方案，方案应至少包含①人员操作培训；②维修保养培训；③进阶培训、学习方案。评委会根据投标人提供的方案内容进行综合评审：</w:t>
            </w:r>
            <w:r>
              <w:rPr>
                <w:color w:val="auto"/>
                <w:highlight w:val="none"/>
              </w:rPr>
            </w:r>
            <w:r/>
          </w:p>
          <w:p>
            <w:pPr>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（1）方案所述内容完整详实，清晰描述相关内容的得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分，方案基本完整，对相关内容均有表述的得</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分，完整性有缺陷或未提供不得分；</w:t>
            </w:r>
            <w:r>
              <w:rPr>
                <w:color w:val="auto"/>
                <w:highlight w:val="none"/>
              </w:rPr>
            </w:r>
            <w:r/>
          </w:p>
          <w:p>
            <w:pPr>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（2）经评审，方案具备较强合理性的得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分，方案具备一定合理性的得</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分，方案合理性有缺陷或未提供不得分；</w:t>
            </w:r>
            <w:r>
              <w:rPr>
                <w:color w:val="auto"/>
                <w:highlight w:val="none"/>
              </w:rPr>
            </w:r>
            <w:r/>
          </w:p>
          <w:p>
            <w:pP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（3）经评审，方案具备较强针对性且切实可行的得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分，方案具备一定针对性及可行性的得</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分，方案针对性或可行性有缺陷或未提供不得分。</w:t>
            </w:r>
            <w:r>
              <w:rPr>
                <w:color w:val="auto"/>
                <w:highlight w:val="none"/>
              </w:rPr>
            </w:r>
            <w:r/>
          </w:p>
        </w:tc>
      </w:tr>
      <w:tr>
        <w:trPr>
          <w:jc w:val="center"/>
          <w:trHeight w:val="772"/>
        </w:trPr>
        <w:tc>
          <w:tcPr>
            <w:tcW w:w="1396" w:type="dxa"/>
            <w:vAlign w:val="center"/>
            <w:textDirection w:val="lrTb"/>
            <w:noWrap w:val="false"/>
          </w:tcPr>
          <w:p>
            <w:pPr>
              <w:jc w:val="center"/>
              <w:spacing w:line="360" w:lineRule="auto"/>
              <w:rPr>
                <w:rFonts w:hint="default" w:ascii="宋体" w:hAnsi="宋体" w:eastAsia="宋体" w:cs="宋体"/>
                <w:b/>
                <w:color w:val="auto"/>
                <w:szCs w:val="21"/>
                <w:highlight w:val="none"/>
              </w:rPr>
            </w:pPr>
            <w:r>
              <w:rPr>
                <w:rFonts w:hint="eastAsia" w:ascii="宋体" w:hAnsi="宋体" w:eastAsia="宋体" w:cs="宋体"/>
                <w:color w:val="auto"/>
                <w:szCs w:val="21"/>
                <w:highlight w:val="none"/>
              </w:rPr>
              <w:t xml:space="preserve">售后服务实施方案</w:t>
            </w:r>
            <w:r>
              <w:rPr>
                <w:color w:val="auto"/>
                <w:highlight w:val="none"/>
              </w:rPr>
            </w:r>
            <w:r/>
          </w:p>
          <w:p>
            <w:pPr>
              <w:jc w:val="cente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w:t>
            </w:r>
            <w:r>
              <w:rPr>
                <w:color w:val="auto"/>
                <w:highlight w:val="none"/>
              </w:rPr>
            </w:r>
            <w:r/>
          </w:p>
        </w:tc>
        <w:tc>
          <w:tcPr>
            <w:tcW w:w="7799" w:type="dxa"/>
            <w:vAlign w:val="center"/>
            <w:textDirection w:val="lrTb"/>
            <w:noWrap w:val="false"/>
          </w:tcPr>
          <w:p>
            <w:pPr>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投标人应提供售后服务方案，方案应至少包含①质保期内售后服务（质保延长、响应时间，回访巡检方案、故障解决措施、技术人员保障等）；②服务能力（服务网点、维修网点设置情况以及技术人员安排情况）；③出保后售后服务（响应时间，故障解决措施、技术人员保障、维护保养要点、备品配件价格、</w:t>
            </w:r>
            <w:r>
              <w:rPr>
                <w:rFonts w:ascii="宋体" w:hAnsi="宋体" w:eastAsia="宋体" w:cs="宋体"/>
                <w:color w:val="auto"/>
                <w:szCs w:val="21"/>
                <w:highlight w:val="none"/>
              </w:rPr>
              <w:t xml:space="preserve">出保后每年维保费</w:t>
            </w:r>
            <w:r>
              <w:rPr>
                <w:rFonts w:hint="eastAsia" w:ascii="宋体" w:hAnsi="宋体" w:eastAsia="宋体" w:cs="宋体"/>
                <w:color w:val="auto"/>
                <w:szCs w:val="21"/>
                <w:highlight w:val="none"/>
              </w:rPr>
              <w:t xml:space="preserve">等）。评委会根据投标人提供的方案内容进行综合评审：</w:t>
            </w:r>
            <w:r>
              <w:rPr>
                <w:color w:val="auto"/>
                <w:highlight w:val="none"/>
              </w:rPr>
            </w:r>
            <w:r/>
          </w:p>
          <w:p>
            <w:pPr>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（1）方案所述内容完整详实，清晰描述相关内容的得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分，方案基本完整，对相关内容均有表述的得</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分，完整性有缺陷或未提供不得分；</w:t>
            </w:r>
            <w:r>
              <w:rPr>
                <w:color w:val="auto"/>
                <w:highlight w:val="none"/>
              </w:rPr>
            </w:r>
            <w:r/>
          </w:p>
          <w:p>
            <w:pPr>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（2）经评审，方案具备较强合理性的得2分，方案具备一定合理性的得1分，方案合理性有缺陷或未提供不得分；</w:t>
            </w:r>
            <w:r>
              <w:rPr>
                <w:color w:val="auto"/>
                <w:highlight w:val="none"/>
              </w:rPr>
            </w:r>
            <w:r/>
          </w:p>
          <w:p>
            <w:pP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（3）经评审，方案具备较强针对性且切实可行的得</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分，方案具备一定针对性及可行性的得</w:t>
            </w:r>
            <w:r>
              <w:rPr>
                <w:rFonts w:hint="eastAsia" w:ascii="宋体" w:hAnsi="宋体" w:cs="宋体"/>
                <w:color w:val="auto"/>
                <w:szCs w:val="21"/>
                <w:highlight w:val="none"/>
                <w:lang w:val="en-US" w:eastAsia="zh-CN"/>
              </w:rPr>
              <w:t xml:space="preserve">0.5</w:t>
            </w:r>
            <w:r>
              <w:rPr>
                <w:rFonts w:hint="eastAsia" w:ascii="宋体" w:hAnsi="宋体" w:eastAsia="宋体" w:cs="宋体"/>
                <w:color w:val="auto"/>
                <w:szCs w:val="21"/>
                <w:highlight w:val="none"/>
              </w:rPr>
              <w:t xml:space="preserve">分，方案针对性或可行性有缺陷或未提供不得分。</w:t>
            </w:r>
            <w:r>
              <w:rPr>
                <w:color w:val="auto"/>
                <w:highlight w:val="none"/>
              </w:rPr>
            </w:r>
            <w:r/>
          </w:p>
        </w:tc>
      </w:tr>
      <w:tr>
        <w:trPr>
          <w:jc w:val="center"/>
          <w:trHeight w:val="772"/>
        </w:trPr>
        <w:tc>
          <w:tcPr>
            <w:gridSpan w:val="2"/>
            <w:tcW w:w="9195" w:type="dxa"/>
            <w:vAlign w:val="center"/>
            <w:textDirection w:val="lrTb"/>
            <w:noWrap w:val="false"/>
          </w:tcPr>
          <w:p>
            <w:pPr>
              <w:spacing w:line="360" w:lineRule="auto"/>
              <w:rPr>
                <w:rFonts w:ascii="宋体" w:hAnsi="宋体" w:eastAsia="宋体" w:cs="宋体"/>
                <w:color w:val="auto"/>
                <w:szCs w:val="21"/>
                <w:highlight w:val="none"/>
              </w:rPr>
            </w:pPr>
            <w:r>
              <w:rPr>
                <w:rFonts w:ascii="宋体" w:hAnsi="宋体" w:eastAsia="宋体" w:cs="宋体"/>
                <w:color w:val="auto"/>
                <w:szCs w:val="21"/>
                <w:highlight w:val="none"/>
              </w:rPr>
              <w:t xml:space="preserve">注：“合理性”是指内容符合项目特点，同时不存在逻辑漏洞、常识错误、前后矛盾等情形；“针对性”是指针对本项目采购需求结合实际情况所提出的具体措施及方案，且具备可行性；“缺陷”是指涉及的规范及标准错误、地点区域错误、内容缺项、表述不完整等情形。</w:t>
            </w:r>
            <w:r>
              <w:rPr>
                <w:color w:val="auto"/>
                <w:highlight w:val="none"/>
              </w:rPr>
            </w:r>
            <w:r/>
          </w:p>
        </w:tc>
      </w:tr>
      <w:tr>
        <w:trPr>
          <w:jc w:val="center"/>
          <w:trHeight w:val="772"/>
        </w:trPr>
        <w:tc>
          <w:tcPr>
            <w:tcW w:w="1396" w:type="dxa"/>
            <w:vAlign w:val="center"/>
            <w:textDirection w:val="lrTb"/>
            <w:noWrap w:val="false"/>
          </w:tcPr>
          <w:p>
            <w:pPr>
              <w:jc w:val="center"/>
              <w:spacing w:line="360" w:lineRule="auto"/>
              <w:rPr>
                <w:rFonts w:ascii="宋体" w:hAnsi="宋体" w:eastAsia="宋体" w:cs="宋体"/>
                <w:color w:val="auto"/>
                <w:szCs w:val="21"/>
                <w:highlight w:val="none"/>
              </w:rPr>
            </w:pPr>
            <w:r>
              <w:rPr>
                <w:rFonts w:ascii="宋体" w:hAnsi="宋体" w:eastAsia="宋体" w:cs="宋体"/>
                <w:color w:val="auto"/>
                <w:szCs w:val="21"/>
                <w:highlight w:val="none"/>
              </w:rPr>
              <w:t xml:space="preserve">业绩</w:t>
            </w:r>
            <w:r>
              <w:rPr>
                <w:color w:val="auto"/>
                <w:highlight w:val="none"/>
              </w:rPr>
            </w:r>
            <w:r/>
          </w:p>
          <w:p>
            <w:pPr>
              <w:jc w:val="center"/>
              <w:spacing w:line="360" w:lineRule="auto"/>
              <w:rPr>
                <w:rFonts w:ascii="宋体" w:hAnsi="宋体" w:eastAsia="宋体" w:cs="宋体"/>
                <w:color w:val="auto"/>
                <w:szCs w:val="21"/>
                <w:highlight w:val="none"/>
              </w:rPr>
            </w:pPr>
            <w:r>
              <w:rPr>
                <w:rFonts w:ascii="宋体" w:hAnsi="宋体" w:eastAsia="宋体" w:cs="宋体"/>
                <w:color w:val="auto"/>
                <w:szCs w:val="21"/>
                <w:highlight w:val="none"/>
              </w:rPr>
              <w:t xml:space="preserve">（</w:t>
            </w:r>
            <w:r>
              <w:rPr>
                <w:rFonts w:hint="eastAsia" w:ascii="宋体" w:hAnsi="宋体" w:eastAsia="宋体" w:cs="宋体"/>
                <w:color w:val="auto"/>
                <w:szCs w:val="21"/>
                <w:highlight w:val="none"/>
              </w:rPr>
              <w:t xml:space="preserve">5</w:t>
            </w:r>
            <w:r>
              <w:rPr>
                <w:rFonts w:ascii="宋体" w:hAnsi="宋体" w:eastAsia="宋体" w:cs="宋体"/>
                <w:color w:val="auto"/>
                <w:szCs w:val="21"/>
                <w:highlight w:val="none"/>
              </w:rPr>
              <w:t xml:space="preserve">分）</w:t>
            </w:r>
            <w:r>
              <w:rPr>
                <w:color w:val="auto"/>
                <w:highlight w:val="none"/>
              </w:rPr>
            </w:r>
            <w:r/>
          </w:p>
        </w:tc>
        <w:tc>
          <w:tcPr>
            <w:tcW w:w="7799" w:type="dxa"/>
            <w:vAlign w:val="center"/>
            <w:textDirection w:val="lrTb"/>
            <w:noWrap w:val="false"/>
          </w:tcPr>
          <w:p>
            <w:pPr>
              <w:spacing w:line="360" w:lineRule="auto"/>
              <w:rPr>
                <w:rFonts w:ascii="宋体" w:hAnsi="宋体" w:eastAsia="宋体" w:cs="宋体"/>
                <w:b/>
                <w:bCs/>
                <w:color w:val="auto"/>
                <w:szCs w:val="21"/>
                <w:highlight w:val="none"/>
              </w:rPr>
            </w:pPr>
            <w:r>
              <w:rPr>
                <w:rFonts w:ascii="宋体" w:hAnsi="宋体" w:eastAsia="宋体" w:cs="宋体"/>
                <w:color w:val="auto"/>
                <w:szCs w:val="21"/>
                <w:highlight w:val="none"/>
              </w:rPr>
              <w:t xml:space="preserve">提供自2023年01月01日至今与本次所投产品</w:t>
            </w:r>
            <w:r>
              <w:rPr>
                <w:rFonts w:hint="eastAsia" w:ascii="宋体" w:hAnsi="宋体" w:eastAsia="宋体" w:cs="宋体"/>
                <w:color w:val="auto"/>
                <w:szCs w:val="21"/>
                <w:highlight w:val="none"/>
                <w:lang w:val="en-US" w:eastAsia="zh-CN"/>
              </w:rPr>
              <w:t xml:space="preserve">类似</w:t>
            </w:r>
            <w:r>
              <w:rPr>
                <w:rFonts w:ascii="宋体" w:hAnsi="宋体" w:eastAsia="宋体" w:cs="宋体"/>
                <w:color w:val="auto"/>
                <w:szCs w:val="21"/>
                <w:highlight w:val="none"/>
              </w:rPr>
              <w:t xml:space="preserve">业绩合同，每提供一份得</w:t>
            </w:r>
            <w:r>
              <w:rPr>
                <w:rFonts w:hint="eastAsia" w:ascii="宋体" w:hAnsi="宋体" w:eastAsia="宋体" w:cs="宋体"/>
                <w:color w:val="auto"/>
                <w:szCs w:val="21"/>
                <w:highlight w:val="none"/>
                <w:lang w:val="en-US" w:eastAsia="zh-CN"/>
              </w:rPr>
              <w:t xml:space="preserve">1</w:t>
            </w:r>
            <w:r>
              <w:rPr>
                <w:rFonts w:ascii="宋体" w:hAnsi="宋体" w:eastAsia="宋体" w:cs="宋体"/>
                <w:color w:val="auto"/>
                <w:szCs w:val="21"/>
                <w:highlight w:val="none"/>
              </w:rPr>
              <w:t xml:space="preserve">分，本项最高得</w:t>
            </w:r>
            <w:r>
              <w:rPr>
                <w:rFonts w:hint="eastAsia" w:ascii="宋体" w:hAnsi="宋体" w:eastAsia="宋体" w:cs="宋体"/>
                <w:color w:val="auto"/>
                <w:szCs w:val="21"/>
                <w:highlight w:val="none"/>
              </w:rPr>
              <w:t xml:space="preserve">5</w:t>
            </w:r>
            <w:r>
              <w:rPr>
                <w:rFonts w:ascii="宋体" w:hAnsi="宋体" w:eastAsia="宋体" w:cs="宋体"/>
                <w:color w:val="auto"/>
                <w:szCs w:val="21"/>
                <w:highlight w:val="none"/>
              </w:rPr>
              <w:t xml:space="preserve">分。（提供合同复印件，时间以合同签订时间为准，不提供或提供不全不得分）</w:t>
            </w:r>
            <w:r>
              <w:rPr>
                <w:color w:val="auto"/>
                <w:highlight w:val="none"/>
              </w:rPr>
            </w:r>
            <w:r/>
          </w:p>
        </w:tc>
      </w:tr>
      <w:tr>
        <w:trPr>
          <w:jc w:val="center"/>
          <w:trHeight w:val="772"/>
        </w:trPr>
        <w:tc>
          <w:tcPr>
            <w:shd w:val="clear" w:color="auto" w:fill="auto"/>
            <w:tcW w:w="139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质保期</w:t>
            </w:r>
            <w:r>
              <w:rPr>
                <w:color w:val="auto"/>
                <w:highlight w:val="none"/>
              </w:rPr>
            </w:r>
            <w:r/>
          </w:p>
          <w:p>
            <w:pPr>
              <w:jc w:val="center"/>
              <w:spacing w:line="360" w:lineRule="auto"/>
              <w:rPr>
                <w:rFonts w:hint="default" w:ascii="宋体" w:hAnsi="宋体" w:eastAsia="宋体" w:cs="宋体"/>
                <w:color w:val="auto"/>
                <w:sz w:val="21"/>
                <w:szCs w:val="21"/>
                <w:highlight w:val="none"/>
              </w:rPr>
            </w:pPr>
            <w:r>
              <w:rPr>
                <w:rFonts w:hint="eastAsia" w:ascii="宋体" w:hAnsi="宋体" w:cs="宋体"/>
                <w:color w:val="auto"/>
                <w:szCs w:val="21"/>
                <w:highlight w:val="none"/>
                <w:lang w:val="en-US" w:eastAsia="zh-CN"/>
              </w:rPr>
              <w:t xml:space="preserve">（4分）</w:t>
            </w:r>
            <w:r>
              <w:rPr>
                <w:color w:val="auto"/>
                <w:highlight w:val="none"/>
              </w:rPr>
            </w:r>
            <w:r/>
          </w:p>
        </w:tc>
        <w:tc>
          <w:tcPr>
            <w:shd w:val="clear" w:color="auto" w:fill="auto"/>
            <w:tcW w:w="7799" w:type="dxa"/>
            <w:vAlign w:val="center"/>
            <w:textDirection w:val="lrTb"/>
            <w:noWrap w:val="false"/>
          </w:tcPr>
          <w:p>
            <w:pPr>
              <w:spacing w:line="360" w:lineRule="auto"/>
              <w:rPr>
                <w:rFonts w:ascii="宋体" w:hAnsi="宋体" w:eastAsia="宋体" w:cs="宋体"/>
                <w:color w:val="auto"/>
                <w:sz w:val="21"/>
                <w:szCs w:val="21"/>
                <w:highlight w:val="none"/>
              </w:rPr>
            </w:pPr>
            <w:r>
              <w:rPr>
                <w:rFonts w:hint="eastAsia" w:ascii="宋体" w:hAnsi="宋体" w:eastAsia="宋体" w:cs="宋体"/>
                <w:color w:val="auto"/>
                <w:szCs w:val="21"/>
                <w:highlight w:val="none"/>
              </w:rPr>
              <w:t xml:space="preserve">在满足招标文件要求的质保</w:t>
            </w:r>
            <w:r>
              <w:rPr>
                <w:rFonts w:hint="eastAsia" w:ascii="宋体" w:hAnsi="宋体" w:cs="宋体"/>
                <w:color w:val="auto"/>
                <w:szCs w:val="21"/>
                <w:highlight w:val="none"/>
                <w:lang w:val="en-US" w:eastAsia="zh-CN"/>
              </w:rPr>
              <w:t xml:space="preserve">年限</w:t>
            </w:r>
            <w:r>
              <w:rPr>
                <w:rFonts w:hint="eastAsia" w:ascii="宋体" w:hAnsi="宋体" w:eastAsia="宋体" w:cs="宋体"/>
                <w:color w:val="auto"/>
                <w:szCs w:val="21"/>
                <w:highlight w:val="none"/>
              </w:rPr>
              <w:t xml:space="preserve">基础上，投标人响应的</w:t>
            </w:r>
            <w:r>
              <w:rPr>
                <w:rFonts w:hint="eastAsia" w:ascii="宋体" w:hAnsi="宋体" w:cs="宋体"/>
                <w:color w:val="auto"/>
                <w:szCs w:val="21"/>
                <w:highlight w:val="none"/>
                <w:lang w:val="en-US" w:eastAsia="zh-CN"/>
              </w:rPr>
              <w:t xml:space="preserve">原厂</w:t>
            </w:r>
            <w:r>
              <w:rPr>
                <w:rFonts w:hint="eastAsia" w:ascii="宋体" w:hAnsi="宋体" w:eastAsia="宋体" w:cs="宋体"/>
                <w:color w:val="auto"/>
                <w:szCs w:val="21"/>
                <w:highlight w:val="none"/>
              </w:rPr>
              <w:t xml:space="preserve">质保时间每增</w:t>
            </w:r>
            <w:r>
              <w:rPr>
                <w:rFonts w:hint="eastAsia" w:ascii="宋体" w:hAnsi="宋体" w:cs="宋体"/>
                <w:color w:val="auto"/>
                <w:szCs w:val="21"/>
                <w:highlight w:val="none"/>
                <w:lang w:val="en-US" w:eastAsia="zh-CN"/>
              </w:rPr>
              <w:t xml:space="preserve">1年</w:t>
            </w:r>
            <w:r>
              <w:rPr>
                <w:rFonts w:hint="eastAsia" w:ascii="宋体" w:hAnsi="宋体" w:eastAsia="宋体" w:cs="宋体"/>
                <w:color w:val="auto"/>
                <w:szCs w:val="21"/>
                <w:highlight w:val="none"/>
              </w:rPr>
              <w:t xml:space="preserve">得</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分，本项最高得</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分。（提供承诺函加盖投标单位公章）</w:t>
            </w:r>
            <w:r>
              <w:rPr>
                <w:color w:val="auto"/>
                <w:highlight w:val="none"/>
              </w:rPr>
            </w:r>
            <w:r/>
          </w:p>
        </w:tc>
      </w:tr>
      <w:tr>
        <w:trPr>
          <w:jc w:val="center"/>
          <w:trHeight w:val="772"/>
        </w:trPr>
        <w:tc>
          <w:tcPr>
            <w:tcW w:w="139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全生命周期维保价格</w:t>
            </w:r>
            <w:r>
              <w:rPr>
                <w:color w:val="auto"/>
                <w:highlight w:val="none"/>
              </w:rPr>
            </w:r>
            <w:r/>
          </w:p>
          <w:p>
            <w:pPr>
              <w:jc w:val="center"/>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（3分）</w:t>
            </w:r>
            <w:r>
              <w:rPr>
                <w:color w:val="auto"/>
                <w:highlight w:val="none"/>
              </w:rPr>
            </w:r>
            <w:r/>
          </w:p>
        </w:tc>
        <w:tc>
          <w:tcPr>
            <w:tcW w:w="7799"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投标人承诺在响应的质保期满后，每年</w:t>
            </w:r>
            <w:r>
              <w:rPr>
                <w:rFonts w:hint="eastAsia" w:ascii="宋体" w:hAnsi="宋体" w:eastAsia="宋体" w:cs="宋体"/>
                <w:color w:val="auto"/>
                <w:szCs w:val="21"/>
                <w:highlight w:val="none"/>
                <w:lang w:val="en-US" w:eastAsia="zh-CN"/>
              </w:rPr>
              <w:t xml:space="preserve">原厂</w:t>
            </w:r>
            <w:r>
              <w:rPr>
                <w:rFonts w:hint="eastAsia" w:ascii="宋体" w:hAnsi="宋体" w:eastAsia="宋体" w:cs="宋体"/>
                <w:color w:val="auto"/>
                <w:szCs w:val="21"/>
                <w:highlight w:val="none"/>
              </w:rPr>
              <w:t xml:space="preserve">维保费用不得超过本项目合同签订总金额的</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%。每下浮一个%（百分比）得1分，最多得3分。</w:t>
            </w:r>
            <w:r>
              <w:rPr>
                <w:rFonts w:hint="eastAsia" w:ascii="宋体" w:hAnsi="宋体" w:eastAsia="宋体" w:cs="宋体"/>
                <w:color w:val="auto"/>
                <w:szCs w:val="21"/>
                <w:highlight w:val="none"/>
                <w:lang w:eastAsia="zh-CN"/>
              </w:rPr>
              <w:t xml:space="preserve">（投标人须承诺在中标后由原厂出具承诺函）</w:t>
            </w:r>
            <w:r>
              <w:rPr>
                <w:color w:val="auto"/>
                <w:highlight w:val="none"/>
              </w:rPr>
            </w:r>
            <w:r/>
          </w:p>
        </w:tc>
      </w:tr>
      <w:tr>
        <w:trPr>
          <w:jc w:val="center"/>
          <w:trHeight w:val="772"/>
        </w:trPr>
        <w:tc>
          <w:tcPr>
            <w:tcW w:w="1396" w:type="dxa"/>
            <w:vAlign w:val="center"/>
            <w:textDirection w:val="lrTb"/>
            <w:noWrap w:val="false"/>
          </w:tcPr>
          <w:p>
            <w:pPr>
              <w:jc w:val="center"/>
              <w:spacing w:line="360" w:lineRule="auto"/>
              <w:rPr>
                <w:rFonts w:ascii="宋体" w:hAnsi="宋体" w:eastAsia="宋体" w:cs="宋体"/>
                <w:color w:val="auto"/>
                <w:szCs w:val="21"/>
                <w:highlight w:val="none"/>
              </w:rPr>
            </w:pPr>
            <w:r>
              <w:rPr>
                <w:rFonts w:hint="eastAsia" w:ascii="宋体" w:hAnsi="宋体" w:eastAsia="宋体" w:cs="Times New Roman"/>
                <w:bCs/>
                <w:color w:val="auto"/>
                <w:szCs w:val="24"/>
                <w:highlight w:val="none"/>
              </w:rPr>
              <w:t xml:space="preserve">节能产品（0.5分）</w:t>
            </w:r>
            <w:r>
              <w:rPr>
                <w:color w:val="auto"/>
                <w:highlight w:val="none"/>
              </w:rPr>
            </w:r>
            <w:r/>
          </w:p>
        </w:tc>
        <w:tc>
          <w:tcPr>
            <w:tcW w:w="7799" w:type="dxa"/>
            <w:vAlign w:val="center"/>
            <w:textDirection w:val="lrTb"/>
            <w:noWrap w:val="false"/>
          </w:tcPr>
          <w:p>
            <w:pPr>
              <w:spacing w:line="360" w:lineRule="auto"/>
              <w:rPr>
                <w:rFonts w:ascii="宋体" w:hAnsi="宋体" w:eastAsia="宋体" w:cs="宋体"/>
                <w:color w:val="auto"/>
                <w:szCs w:val="21"/>
                <w:highlight w:val="none"/>
              </w:rPr>
            </w:pPr>
            <w:r>
              <w:rPr>
                <w:rFonts w:hint="eastAsia" w:ascii="宋体" w:hAnsi="宋体" w:eastAsia="宋体" w:cs="Times New Roman"/>
                <w:bCs/>
                <w:color w:val="auto"/>
                <w:szCs w:val="24"/>
                <w:highlight w:val="none"/>
              </w:rPr>
              <w:t xml:space="preserve">投标产品属于财政部、国家发改委公布的“节能产品品目清单”范围内的，投标人提供国家确定的认证机构出具的、处于有效期之内的该节能产品认证证书复印件，符合要求的，得0.5分。如投标产品均属于政府强制采购节能产品品目清单范围内，本项不得分。特别说明：投标人需提供节能产品证书并标识出产品型号，如未提供，将不予认可。</w:t>
            </w:r>
            <w:r>
              <w:rPr>
                <w:color w:val="auto"/>
                <w:highlight w:val="none"/>
              </w:rPr>
            </w:r>
            <w:r/>
          </w:p>
        </w:tc>
      </w:tr>
      <w:tr>
        <w:trPr>
          <w:jc w:val="center"/>
          <w:trHeight w:val="772"/>
        </w:trPr>
        <w:tc>
          <w:tcPr>
            <w:tcW w:w="1396" w:type="dxa"/>
            <w:vAlign w:val="center"/>
            <w:textDirection w:val="lrTb"/>
            <w:noWrap w:val="false"/>
          </w:tcPr>
          <w:p>
            <w:pPr>
              <w:jc w:val="center"/>
              <w:spacing w:line="360" w:lineRule="auto"/>
              <w:rPr>
                <w:rFonts w:ascii="宋体" w:hAnsi="宋体" w:eastAsia="宋体" w:cs="宋体"/>
                <w:color w:val="auto"/>
                <w:szCs w:val="21"/>
                <w:highlight w:val="none"/>
              </w:rPr>
            </w:pPr>
            <w:r>
              <w:rPr>
                <w:rFonts w:hint="eastAsia" w:ascii="宋体" w:hAnsi="宋体" w:eastAsia="宋体" w:cs="Times New Roman"/>
                <w:bCs/>
                <w:color w:val="auto"/>
                <w:szCs w:val="24"/>
                <w:highlight w:val="none"/>
              </w:rPr>
              <w:t xml:space="preserve">环境标志产品（0.5分）</w:t>
            </w:r>
            <w:r>
              <w:rPr>
                <w:color w:val="auto"/>
                <w:highlight w:val="none"/>
              </w:rPr>
            </w:r>
            <w:r/>
          </w:p>
        </w:tc>
        <w:tc>
          <w:tcPr>
            <w:tcW w:w="7799" w:type="dxa"/>
            <w:vAlign w:val="center"/>
            <w:textDirection w:val="lrTb"/>
            <w:noWrap w:val="false"/>
          </w:tcPr>
          <w:p>
            <w:pPr>
              <w:spacing w:line="360" w:lineRule="auto"/>
              <w:rPr>
                <w:rFonts w:ascii="宋体" w:hAnsi="宋体" w:eastAsia="宋体" w:cs="宋体"/>
                <w:color w:val="auto"/>
                <w:szCs w:val="21"/>
                <w:highlight w:val="none"/>
              </w:rPr>
            </w:pPr>
            <w:r>
              <w:rPr>
                <w:color w:val="auto"/>
                <w:highlight w:val="none"/>
              </w:rPr>
            </w:r>
            <w:bookmarkStart w:id="148" w:name="OLE_LINK46"/>
            <w:r>
              <w:rPr>
                <w:rFonts w:hint="eastAsia" w:ascii="宋体" w:hAnsi="宋体" w:eastAsia="宋体" w:cs="Times New Roman"/>
                <w:bCs/>
                <w:color w:val="auto"/>
                <w:szCs w:val="24"/>
                <w:highlight w:val="none"/>
              </w:rPr>
              <w:t xml:space="preserve">投标产品属于财政部、生态环境部公布的“环境标志产品品目清单”范围内的，投标人提供国家确定的认证机构出具的、处于有效期内的该环保产品认证证书复印件，符合要求的，得0.5分。特别说明：投标人需提供环境标志产品证书并标识出产品型号，如未提供，将不予认可。</w:t>
            </w:r>
            <w:bookmarkEnd w:id="148"/>
            <w:r>
              <w:rPr>
                <w:color w:val="auto"/>
                <w:highlight w:val="none"/>
              </w:rPr>
            </w:r>
            <w:r/>
          </w:p>
        </w:tc>
      </w:tr>
    </w:tbl>
    <w:p>
      <w:pPr>
        <w:ind w:right="-1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p>
      <w:pPr>
        <w:ind w:right="-1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说明：</w:t>
      </w:r>
      <w:r>
        <w:rPr>
          <w:color w:val="auto"/>
          <w:highlight w:val="none"/>
        </w:rPr>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（1）小微企业的价格扣除</w:t>
      </w:r>
      <w:r>
        <w:rPr>
          <w:color w:val="auto"/>
          <w:highlight w:val="none"/>
        </w:rPr>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（1.1）对于未预留份额专门面向中小企业采购的采购项目或预留份额项目中的非预留部分采购包，给予小微企业报价</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0%的价格扣除。</w:t>
      </w:r>
      <w:r>
        <w:rPr>
          <w:color w:val="auto"/>
          <w:highlight w:val="none"/>
        </w:rPr>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（1.2）价格扣除比例或者价格分加分比例对小型企业和微型企业同等对待，不作区分。</w:t>
      </w:r>
      <w:r>
        <w:rPr>
          <w:color w:val="auto"/>
          <w:highlight w:val="none"/>
        </w:rPr>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（2）监狱和戒毒企业的价格扣除</w:t>
      </w:r>
      <w:r>
        <w:rPr>
          <w:color w:val="auto"/>
          <w:highlight w:val="none"/>
        </w:rPr>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（2.1）本项目对监狱和戒毒企业（简称监狱企业），给予</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0%的价格扣除，用扣除后的价格参与评审。</w:t>
      </w:r>
      <w:r>
        <w:rPr>
          <w:color w:val="auto"/>
          <w:highlight w:val="none"/>
        </w:rPr>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（2.2）监狱企业需提供由省级以上监狱管理局、戒毒管理局（含新疆生产建设兵团）出具的属于监狱企业的证明文件。</w:t>
      </w:r>
      <w:r>
        <w:rPr>
          <w:color w:val="auto"/>
          <w:highlight w:val="none"/>
        </w:rPr>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（2.3）监狱企业标准请参照《关于政府采购支持监狱企业发展有关问题的通知》（财库[2014]68号）。</w:t>
      </w:r>
      <w:r>
        <w:rPr>
          <w:color w:val="auto"/>
          <w:highlight w:val="none"/>
        </w:rPr>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（3）残疾人福利性单位的价格扣除</w:t>
      </w:r>
      <w:r>
        <w:rPr>
          <w:color w:val="auto"/>
          <w:highlight w:val="none"/>
        </w:rPr>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（3.1）本项目对残疾人福利性单位，给予</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0%的价格扣除，用扣除后的价格参与评审。</w:t>
      </w:r>
      <w:r>
        <w:rPr>
          <w:color w:val="auto"/>
          <w:highlight w:val="none"/>
        </w:rPr>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（3.2）残疾人福利单位需按照招标文件的要求提供《残疾人福利性单位声明函》。</w:t>
      </w:r>
      <w:r>
        <w:rPr>
          <w:color w:val="auto"/>
          <w:highlight w:val="none"/>
        </w:rPr>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（3.3）残疾人福利单位标准请参照《关于促进残疾人就业政府采购政策的通知》（财库〔2017〕141号）。</w:t>
      </w:r>
      <w:r>
        <w:rPr>
          <w:color w:val="auto"/>
          <w:highlight w:val="none"/>
        </w:rPr>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（4）监狱企业、残疾人福利单位属于小型、微型企业的，不重复享受政策。</w:t>
      </w:r>
      <w:r>
        <w:rPr>
          <w:color w:val="auto"/>
          <w:highlight w:val="none"/>
        </w:rPr>
      </w:r>
      <w:r/>
    </w:p>
    <w:p>
      <w:pPr>
        <w:ind w:firstLine="42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eastAsia="zh-CN"/>
        </w:rPr>
        <w:t xml:space="preserve">采购本国产品的支持政策</w:t>
      </w:r>
      <w:r>
        <w:rPr>
          <w:color w:val="auto"/>
          <w:highlight w:val="none"/>
        </w:rPr>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w:t>
      </w:r>
      <w:r>
        <w:rPr>
          <w:color w:val="auto"/>
          <w:highlight w:val="none"/>
        </w:rPr>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auto"/>
          <w:highlight w:val="none"/>
        </w:rPr>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.3 供应商需按照招标文件的要求提供《关于符合本国产品标准的声明函》（以下简称《声明函》），如不提供将不享受本国产品价格评审优惠。</w:t>
      </w:r>
      <w:r>
        <w:rPr>
          <w:color w:val="auto"/>
          <w:highlight w:val="none"/>
        </w:rPr>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.4 供应商需在《声明函》中逐一、准确填写产品名称、厂名、生产厂址三项信息（《声明函》中用</w:t>
      </w:r>
      <w:r>
        <w:rPr>
          <w:rFonts w:hint="eastAsia" w:ascii="宋体" w:hAnsi="宋体"/>
          <w:color w:val="auto"/>
          <w:sz w:val="24"/>
          <w:szCs w:val="24"/>
          <w:highlight w:val="none"/>
          <w:lang w:val="en-US" w:eastAsia="zh-CN"/>
        </w:rPr>
        <w:t xml:space="preserve">横线</w:t>
      </w:r>
      <w:r>
        <w:rPr>
          <w:rFonts w:hint="eastAsia" w:ascii="宋体" w:hAnsi="宋体"/>
          <w:strike/>
          <w:color w:val="auto"/>
          <w:sz w:val="24"/>
          <w:szCs w:val="24"/>
          <w:highlight w:val="none"/>
          <w:lang w:val="en-US" w:eastAsia="zh-CN"/>
        </w:rPr>
        <w:t xml:space="preserve">     </w:t>
      </w:r>
      <w:r>
        <w:rPr>
          <w:rFonts w:hint="eastAsia" w:ascii="宋体" w:hAnsi="宋体"/>
          <w:color w:val="auto"/>
          <w:sz w:val="24"/>
          <w:szCs w:val="24"/>
          <w:highlight w:val="none"/>
        </w:rPr>
        <w:t xml:space="preserve">划除的地方无需填写），三项信息中任意一项未填写的视为该项产品不符合本国产品标准，不享受本国产品价格评审优惠。</w:t>
      </w:r>
      <w:r>
        <w:rPr>
          <w:color w:val="auto"/>
          <w:highlight w:val="none"/>
        </w:rPr>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auto"/>
          <w:highlight w:val="none"/>
        </w:rPr>
      </w:r>
      <w:r/>
    </w:p>
    <w:p>
      <w:pPr>
        <w:ind w:left="719" w:right="-10" w:hanging="24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所有认证、证明和业绩均以复印件加盖公章作为依据（文件中明确要求原件的除外），原件标后备查</w:t>
      </w:r>
      <w:r>
        <w:rPr>
          <w:rFonts w:hint="eastAsia" w:ascii="宋体" w:hAnsi="宋体"/>
          <w:color w:val="auto"/>
          <w:sz w:val="24"/>
          <w:szCs w:val="24"/>
          <w:highlight w:val="none"/>
        </w:rPr>
        <w:t xml:space="preserve">。</w:t>
      </w:r>
      <w:r>
        <w:rPr>
          <w:color w:val="auto"/>
          <w:highlight w:val="none"/>
        </w:rPr>
      </w:r>
      <w:r/>
    </w:p>
    <w:p>
      <w:pPr>
        <w:ind w:right="-10" w:firstLine="482"/>
        <w:spacing w:line="360" w:lineRule="auto"/>
        <w:rPr>
          <w:rFonts w:ascii="宋体" w:hAnsi="宋体"/>
          <w:b/>
          <w:color w:val="auto"/>
          <w:sz w:val="24"/>
          <w:szCs w:val="24"/>
          <w:highlight w:val="none"/>
        </w:rPr>
      </w:pPr>
      <w:r>
        <w:rPr>
          <w:rFonts w:hint="eastAsia" w:ascii="宋体" w:hAnsi="宋体" w:eastAsia="宋体"/>
          <w:b/>
          <w:color w:val="auto"/>
          <w:sz w:val="24"/>
          <w:szCs w:val="24"/>
          <w:highlight w:val="none"/>
          <w:lang w:val="en-US" w:eastAsia="zh-CN"/>
        </w:rPr>
        <w:t xml:space="preserve">3</w:t>
      </w:r>
      <w:r>
        <w:rPr>
          <w:rFonts w:hint="eastAsia" w:ascii="宋体" w:hAnsi="宋体"/>
          <w:b/>
          <w:color w:val="auto"/>
          <w:sz w:val="24"/>
          <w:szCs w:val="24"/>
          <w:highlight w:val="none"/>
        </w:rPr>
        <w:t xml:space="preserve">、评标结果。</w:t>
      </w:r>
      <w:r>
        <w:rPr>
          <w:rFonts w:hint="eastAsia" w:ascii="宋体" w:hAnsi="宋体"/>
          <w:color w:val="auto"/>
          <w:sz w:val="24"/>
          <w:szCs w:val="24"/>
          <w:highlight w:val="none"/>
        </w:rPr>
        <w:t xml:space="preserve">评标委员会按照本办法规定推荐中标候选人，并形成评标报告。</w:t>
      </w:r>
      <w:r>
        <w:rPr>
          <w:color w:val="auto"/>
          <w:highlight w:val="none"/>
        </w:rPr>
      </w:r>
      <w:r/>
    </w:p>
    <w:p>
      <w:pPr>
        <w:jc w:val="both"/>
        <w:rPr>
          <w:rStyle w:val="861"/>
          <w:rFonts w:hint="eastAsia"/>
          <w:b w:val="0"/>
          <w:bCs w:val="0"/>
          <w:color w:val="auto"/>
          <w:highlight w:val="none"/>
        </w:rPr>
        <w:outlineLvl w:val="0"/>
      </w:pPr>
      <w:r>
        <w:rPr>
          <w:rFonts w:hint="eastAsia"/>
          <w:b w:val="0"/>
          <w:bCs w:val="0"/>
          <w:color w:val="auto"/>
          <w:highlight w:val="none"/>
        </w:rPr>
      </w:r>
      <w:r>
        <w:rPr>
          <w:color w:val="auto"/>
          <w:highlight w:val="none"/>
        </w:rPr>
      </w:r>
      <w:r/>
    </w:p>
    <w:p>
      <w:pPr>
        <w:rPr>
          <w:rStyle w:val="861"/>
          <w:rFonts w:hint="eastAsia"/>
          <w:b w:val="0"/>
          <w:bCs w:val="0"/>
          <w:color w:val="auto"/>
          <w:highlight w:val="none"/>
        </w:rPr>
      </w:pPr>
      <w:r>
        <w:rPr>
          <w:rStyle w:val="861"/>
          <w:rFonts w:hint="eastAsia"/>
          <w:b w:val="0"/>
          <w:bCs w:val="0"/>
          <w:color w:val="auto"/>
          <w:highlight w:val="none"/>
        </w:rPr>
        <w:br w:type="page" w:clear="all"/>
      </w:r>
      <w:r>
        <w:rPr>
          <w:color w:val="auto"/>
          <w:highlight w:val="none"/>
        </w:rPr>
      </w:r>
      <w:r/>
    </w:p>
    <w:p>
      <w:pPr>
        <w:jc w:val="center"/>
        <w:rPr>
          <w:rStyle w:val="861"/>
          <w:rFonts w:hint="eastAsia"/>
          <w:b w:val="0"/>
          <w:bCs w:val="0"/>
          <w:color w:val="auto"/>
          <w:highlight w:val="none"/>
        </w:rPr>
        <w:outlineLvl w:val="0"/>
      </w:pPr>
      <w:r>
        <w:rPr>
          <w:rFonts w:hint="eastAsia"/>
          <w:b w:val="0"/>
          <w:bCs w:val="0"/>
          <w:color w:val="auto"/>
          <w:highlight w:val="none"/>
        </w:rPr>
      </w:r>
      <w:r>
        <w:rPr>
          <w:color w:val="auto"/>
          <w:highlight w:val="none"/>
        </w:rPr>
      </w:r>
      <w:r/>
    </w:p>
    <w:p>
      <w:pPr>
        <w:numPr>
          <w:ilvl w:val="0"/>
          <w:numId w:val="9"/>
        </w:numPr>
        <w:ind w:left="3270" w:firstLine="0"/>
        <w:jc w:val="both"/>
        <w:rPr>
          <w:rStyle w:val="861"/>
          <w:rFonts w:hint="eastAsia"/>
          <w:b w:val="0"/>
          <w:bCs w:val="0"/>
          <w:color w:val="auto"/>
          <w:highlight w:val="none"/>
        </w:rPr>
        <w:outlineLvl w:val="0"/>
      </w:pPr>
      <w:r>
        <w:rPr>
          <w:color w:val="auto"/>
          <w:highlight w:val="none"/>
        </w:rPr>
      </w:r>
      <w:bookmarkStart w:id="149" w:name="_Toc23169"/>
      <w:r>
        <w:rPr>
          <w:color w:val="auto"/>
          <w:highlight w:val="none"/>
        </w:rPr>
      </w:r>
      <w:bookmarkStart w:id="150" w:name="_Toc8891"/>
      <w:r>
        <w:rPr>
          <w:rStyle w:val="861"/>
          <w:rFonts w:hint="eastAsia"/>
          <w:b w:val="0"/>
          <w:bCs w:val="0"/>
          <w:color w:val="auto"/>
          <w:highlight w:val="none"/>
        </w:rPr>
        <w:t xml:space="preserve">采购需求</w:t>
      </w:r>
      <w:bookmarkEnd w:id="146"/>
      <w:r>
        <w:rPr>
          <w:color w:val="auto"/>
          <w:highlight w:val="none"/>
        </w:rPr>
      </w:r>
      <w:bookmarkEnd w:id="149"/>
      <w:r>
        <w:rPr>
          <w:color w:val="auto"/>
          <w:highlight w:val="none"/>
        </w:rPr>
      </w:r>
      <w:bookmarkEnd w:id="150"/>
      <w:r>
        <w:rPr>
          <w:color w:val="auto"/>
          <w:highlight w:val="none"/>
        </w:rPr>
      </w:r>
      <w:bookmarkStart w:id="151" w:name="_Toc514054482"/>
      <w:r>
        <w:rPr>
          <w:color w:val="auto"/>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color w:val="auto"/>
          <w:highlight w:val="none"/>
        </w:rPr>
      </w:r>
      <w:bookmarkStart w:id="152" w:name="_Toc311"/>
      <w:r>
        <w:rPr>
          <w:color w:val="auto"/>
          <w:highlight w:val="none"/>
        </w:rPr>
      </w:r>
      <w:bookmarkStart w:id="153" w:name="_Toc32119"/>
      <w:r>
        <w:rPr>
          <w:rFonts w:hint="eastAsia" w:ascii="宋体" w:hAnsi="宋体" w:eastAsia="宋体" w:cs="宋体"/>
          <w:b/>
          <w:bCs/>
          <w:color w:val="auto"/>
          <w:sz w:val="24"/>
          <w:szCs w:val="24"/>
          <w:highlight w:val="none"/>
        </w:rPr>
        <w:t xml:space="preserve">*注：技术需求中如有“★”指标，则“★”指标必须全部满足，任意一项“★”不满足将导致投标文件被否决。</w:t>
      </w:r>
      <w:r>
        <w:rPr>
          <w:color w:val="auto"/>
          <w:highlight w:val="none"/>
        </w:rPr>
      </w:r>
      <w:r/>
    </w:p>
    <w:p>
      <w:pPr>
        <w:ind w:firstLine="482"/>
        <w:jc w:val="both"/>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一、</w:t>
      </w:r>
      <w:r>
        <w:rPr>
          <w:rFonts w:hint="eastAsia" w:ascii="宋体" w:hAnsi="宋体" w:eastAsia="宋体" w:cs="宋体"/>
          <w:b/>
          <w:bCs w:val="0"/>
          <w:color w:val="auto"/>
          <w:sz w:val="24"/>
          <w:szCs w:val="24"/>
          <w:highlight w:val="none"/>
          <w:lang w:val="en-US" w:eastAsia="zh-CN"/>
        </w:rPr>
        <w:t xml:space="preserve">项目概况</w:t>
      </w:r>
      <w:r>
        <w:rPr>
          <w:color w:val="auto"/>
          <w:highlight w:val="none"/>
        </w:rPr>
      </w:r>
      <w:r/>
    </w:p>
    <w:tbl>
      <w:tblPr>
        <w:tblStyle w:val="79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0"/>
        <w:gridCol w:w="1407"/>
        <w:gridCol w:w="3395"/>
        <w:gridCol w:w="916"/>
        <w:gridCol w:w="1830"/>
      </w:tblGrid>
      <w:tr>
        <w:trPr>
          <w:jc w:val="center"/>
          <w:trHeight w:val="454" w:hRule="exact"/>
        </w:trPr>
        <w:tc>
          <w:tcPr>
            <w:tcW w:w="930"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rPr>
                <w:color w:val="auto"/>
                <w:highlight w:val="none"/>
              </w:rPr>
            </w:r>
            <w:r/>
          </w:p>
        </w:tc>
        <w:tc>
          <w:tcPr>
            <w:tcW w:w="140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设备名称</w:t>
            </w:r>
            <w:r>
              <w:rPr>
                <w:color w:val="auto"/>
                <w:highlight w:val="none"/>
              </w:rPr>
            </w:r>
            <w:r/>
          </w:p>
        </w:tc>
        <w:tc>
          <w:tcPr>
            <w:tcW w:w="3395"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最终用户（目的地）</w:t>
            </w:r>
            <w:r>
              <w:rPr>
                <w:color w:val="auto"/>
                <w:highlight w:val="none"/>
              </w:rPr>
            </w:r>
            <w:r/>
          </w:p>
        </w:tc>
        <w:tc>
          <w:tcPr>
            <w:tcW w:w="916"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数量</w:t>
            </w:r>
            <w:r>
              <w:rPr>
                <w:color w:val="auto"/>
                <w:highlight w:val="none"/>
              </w:rPr>
            </w:r>
            <w:r/>
          </w:p>
        </w:tc>
        <w:tc>
          <w:tcPr>
            <w:tcW w:w="1830"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交货期</w:t>
            </w:r>
            <w:r>
              <w:rPr>
                <w:color w:val="auto"/>
                <w:highlight w:val="none"/>
              </w:rPr>
            </w:r>
            <w:r/>
          </w:p>
        </w:tc>
      </w:tr>
      <w:tr>
        <w:trPr>
          <w:jc w:val="center"/>
          <w:trHeight w:val="879" w:hRule="exact"/>
        </w:trPr>
        <w:tc>
          <w:tcPr>
            <w:tcW w:w="930"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color w:val="auto"/>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r>
            <w:r>
              <w:rPr>
                <w:color w:val="auto"/>
                <w:highlight w:val="none"/>
              </w:rPr>
            </w:r>
            <w:r/>
          </w:p>
        </w:tc>
        <w:tc>
          <w:tcPr>
            <w:tcW w:w="1407" w:type="dxa"/>
            <w:vAlign w:val="center"/>
            <w:vMerge w:val="restar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血透机</w:t>
            </w:r>
            <w:r>
              <w:rPr>
                <w:color w:val="auto"/>
                <w:highlight w:val="none"/>
              </w:rPr>
            </w:r>
            <w:r/>
          </w:p>
          <w:p>
            <w:pPr>
              <w:jc w:val="center"/>
              <w:rPr>
                <w:rFonts w:hint="default" w:ascii="宋体" w:hAnsi="宋体" w:cs="宋体"/>
                <w:color w:val="auto"/>
                <w:sz w:val="24"/>
                <w:szCs w:val="24"/>
                <w:highlight w:val="none"/>
              </w:rPr>
            </w:pPr>
            <w:r>
              <w:rPr>
                <w:rFonts w:hint="default" w:ascii="宋体" w:hAnsi="宋体" w:cs="宋体"/>
                <w:color w:val="auto"/>
                <w:sz w:val="24"/>
                <w:szCs w:val="24"/>
                <w:highlight w:val="none"/>
                <w:lang w:val="en-US" w:eastAsia="zh-CN"/>
              </w:rPr>
            </w:r>
            <w:r>
              <w:rPr>
                <w:color w:val="auto"/>
                <w:highlight w:val="none"/>
              </w:rPr>
            </w:r>
            <w:r/>
          </w:p>
        </w:tc>
        <w:tc>
          <w:tcPr>
            <w:tcW w:w="3395" w:type="dxa"/>
            <w:vAlign w:val="center"/>
            <w:textDirection w:val="lrTb"/>
            <w:noWrap w:val="false"/>
          </w:tcPr>
          <w:p>
            <w:pPr>
              <w:jc w:val="center"/>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扬州市江都人民医院</w:t>
            </w:r>
            <w:r>
              <w:rPr>
                <w:color w:val="auto"/>
                <w:highlight w:val="none"/>
              </w:rPr>
            </w:r>
            <w:r/>
          </w:p>
        </w:tc>
        <w:tc>
          <w:tcPr>
            <w:tcW w:w="916" w:type="dxa"/>
            <w:vAlign w:val="center"/>
            <w:textDirection w:val="lrTb"/>
            <w:noWrap w:val="false"/>
          </w:tcPr>
          <w:p>
            <w:pPr>
              <w:jc w:val="center"/>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5台</w:t>
            </w:r>
            <w:r>
              <w:rPr>
                <w:color w:val="auto"/>
                <w:highlight w:val="none"/>
              </w:rPr>
            </w:r>
            <w:r/>
          </w:p>
        </w:tc>
        <w:tc>
          <w:tcPr>
            <w:tcW w:w="1830" w:type="dxa"/>
            <w:vAlign w:val="center"/>
            <w:textDirection w:val="lrTb"/>
            <w:noWrap w:val="false"/>
          </w:tcPr>
          <w:p>
            <w:pPr>
              <w:jc w:val="center"/>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合同签订后一个月</w:t>
            </w:r>
            <w:r>
              <w:rPr>
                <w:color w:val="auto"/>
                <w:highlight w:val="none"/>
              </w:rPr>
            </w:r>
            <w:r/>
          </w:p>
        </w:tc>
      </w:tr>
      <w:tr>
        <w:trPr>
          <w:jc w:val="center"/>
          <w:trHeight w:val="879" w:hRule="exact"/>
        </w:trPr>
        <w:tc>
          <w:tcPr>
            <w:tcW w:w="930" w:type="dxa"/>
            <w:vAlign w:val="center"/>
            <w:vMerge w:val="continue"/>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07" w:type="dxa"/>
            <w:vAlign w:val="center"/>
            <w:vMerge w:val="continue"/>
            <w:textDirection w:val="lrTb"/>
            <w:noWrap w:val="false"/>
          </w:tcPr>
          <w:p>
            <w:pPr>
              <w:jc w:val="center"/>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r>
            <w:r/>
          </w:p>
        </w:tc>
        <w:tc>
          <w:tcPr>
            <w:tcW w:w="3395" w:type="dxa"/>
            <w:vAlign w:val="center"/>
            <w:textDirection w:val="lrTb"/>
            <w:noWrap w:val="false"/>
          </w:tcPr>
          <w:p>
            <w:pPr>
              <w:jc w:val="center"/>
              <w:rPr>
                <w:rFonts w:hint="default"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高邮市人民医院</w:t>
            </w:r>
            <w:r>
              <w:rPr>
                <w:color w:val="auto"/>
                <w:highlight w:val="none"/>
              </w:rPr>
            </w:r>
            <w:r/>
          </w:p>
        </w:tc>
        <w:tc>
          <w:tcPr>
            <w:tcW w:w="916" w:type="dxa"/>
            <w:vAlign w:val="center"/>
            <w:textDirection w:val="lrTb"/>
            <w:noWrap w:val="false"/>
          </w:tcPr>
          <w:p>
            <w:pPr>
              <w:jc w:val="center"/>
              <w:rPr>
                <w:rFonts w:hint="default"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4台</w:t>
            </w:r>
            <w:r>
              <w:rPr>
                <w:color w:val="auto"/>
                <w:highlight w:val="none"/>
              </w:rPr>
            </w:r>
            <w:r/>
          </w:p>
        </w:tc>
        <w:tc>
          <w:tcPr>
            <w:tcW w:w="183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合同签订后一个月</w:t>
            </w:r>
            <w:r>
              <w:rPr>
                <w:color w:val="auto"/>
                <w:highlight w:val="none"/>
              </w:rPr>
            </w:r>
            <w:r/>
          </w:p>
        </w:tc>
      </w:tr>
      <w:tr>
        <w:trPr>
          <w:jc w:val="center"/>
          <w:trHeight w:val="879" w:hRule="exact"/>
        </w:trPr>
        <w:tc>
          <w:tcPr>
            <w:tcW w:w="930" w:type="dxa"/>
            <w:vAlign w:val="center"/>
            <w:vMerge w:val="continue"/>
            <w:textDirection w:val="lrTb"/>
            <w:noWrap w:val="false"/>
          </w:tcPr>
          <w:p>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tc>
        <w:tc>
          <w:tcPr>
            <w:tcW w:w="1407" w:type="dxa"/>
            <w:vAlign w:val="center"/>
            <w:vMerge w:val="continue"/>
            <w:textDirection w:val="lrTb"/>
            <w:noWrap w:val="false"/>
          </w:tcPr>
          <w:p>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tc>
        <w:tc>
          <w:tcPr>
            <w:tcW w:w="339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高邮市中西医结合医院</w:t>
            </w:r>
            <w:r>
              <w:rPr>
                <w:color w:val="auto"/>
                <w:highlight w:val="none"/>
              </w:rPr>
            </w:r>
            <w:r/>
          </w:p>
        </w:tc>
        <w:tc>
          <w:tcPr>
            <w:tcW w:w="916" w:type="dxa"/>
            <w:vAlign w:val="center"/>
            <w:textDirection w:val="lrTb"/>
            <w:noWrap w:val="false"/>
          </w:tcPr>
          <w:p>
            <w:pPr>
              <w:jc w:val="center"/>
              <w:rPr>
                <w:rFonts w:hint="default"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6台</w:t>
            </w:r>
            <w:r>
              <w:rPr>
                <w:color w:val="auto"/>
                <w:highlight w:val="none"/>
              </w:rPr>
            </w:r>
            <w:r/>
          </w:p>
        </w:tc>
        <w:tc>
          <w:tcPr>
            <w:tcW w:w="183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合同签订后一个月</w:t>
            </w:r>
            <w:r>
              <w:rPr>
                <w:color w:val="auto"/>
                <w:highlight w:val="none"/>
              </w:rPr>
            </w:r>
            <w:r/>
          </w:p>
        </w:tc>
      </w:tr>
    </w:tbl>
    <w:p>
      <w:pPr>
        <w:ind w:right="-1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r>
      <w:r>
        <w:rPr>
          <w:color w:val="auto"/>
          <w:highlight w:val="none"/>
        </w:rPr>
      </w:r>
      <w:r/>
    </w:p>
    <w:p>
      <w:pPr>
        <w:ind w:firstLine="482"/>
        <w:jc w:val="both"/>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rPr>
        <w:t xml:space="preserve">、技术、商务要求</w:t>
      </w:r>
      <w:r>
        <w:rPr>
          <w:color w:val="auto"/>
          <w:highlight w:val="none"/>
        </w:rPr>
      </w:r>
      <w:r/>
    </w:p>
    <w:p>
      <w:pPr>
        <w:jc w:val="both"/>
        <w:spacing w:line="360" w:lineRule="auto"/>
        <w:rPr>
          <w:rFonts w:hint="eastAsia" w:ascii="宋体" w:hAnsi="Times New Roman" w:eastAsia="宋体" w:cs="宋体"/>
          <w:b/>
          <w:bCs/>
          <w:color w:val="auto"/>
          <w:sz w:val="24"/>
          <w:szCs w:val="24"/>
          <w:highlight w:val="none"/>
        </w:rPr>
      </w:pPr>
      <w:r>
        <w:rPr>
          <w:rFonts w:hint="eastAsia" w:ascii="宋体" w:hAnsi="Times New Roman" w:eastAsia="宋体" w:cs="宋体"/>
          <w:b/>
          <w:bCs/>
          <w:color w:val="auto"/>
          <w:sz w:val="24"/>
          <w:szCs w:val="24"/>
          <w:highlight w:val="none"/>
          <w:lang w:val="zh-CN"/>
        </w:rPr>
        <w:t xml:space="preserve">（</w:t>
      </w:r>
      <w:r>
        <w:rPr>
          <w:rFonts w:hint="eastAsia" w:ascii="宋体" w:hAnsi="Times New Roman" w:eastAsia="宋体" w:cs="宋体"/>
          <w:b/>
          <w:bCs/>
          <w:color w:val="auto"/>
          <w:sz w:val="24"/>
          <w:szCs w:val="24"/>
          <w:highlight w:val="none"/>
          <w:lang w:val="en-US" w:eastAsia="zh-CN"/>
        </w:rPr>
        <w:t xml:space="preserve">一</w:t>
      </w:r>
      <w:r>
        <w:rPr>
          <w:rFonts w:hint="eastAsia" w:ascii="宋体" w:hAnsi="Times New Roman" w:eastAsia="宋体" w:cs="宋体"/>
          <w:b/>
          <w:bCs/>
          <w:color w:val="auto"/>
          <w:sz w:val="24"/>
          <w:szCs w:val="24"/>
          <w:highlight w:val="none"/>
          <w:lang w:val="zh-CN"/>
        </w:rPr>
        <w:t xml:space="preserve">）</w:t>
      </w:r>
      <w:r>
        <w:rPr>
          <w:rFonts w:hint="eastAsia" w:ascii="宋体" w:hAnsi="Times New Roman" w:eastAsia="宋体" w:cs="宋体"/>
          <w:b/>
          <w:bCs/>
          <w:color w:val="auto"/>
          <w:sz w:val="24"/>
          <w:szCs w:val="24"/>
          <w:highlight w:val="none"/>
          <w:lang w:val="en-US" w:eastAsia="zh-CN"/>
        </w:rPr>
        <w:t xml:space="preserve">技术参数</w:t>
      </w:r>
      <w:r>
        <w:rPr>
          <w:color w:val="auto"/>
          <w:highlight w:val="none"/>
        </w:rPr>
      </w:r>
      <w:r/>
    </w:p>
    <w:p>
      <w:pPr>
        <w:ind w:firstLine="480"/>
        <w:jc w:val="both"/>
        <w:spacing w:line="360" w:lineRule="auto"/>
        <w:rPr>
          <w:rFonts w:hint="eastAsia" w:ascii="宋体" w:hAnsi="Times New Roman" w:eastAsia="宋体" w:cs="宋体"/>
          <w:color w:val="auto"/>
          <w:sz w:val="24"/>
          <w:szCs w:val="24"/>
          <w:highlight w:val="none"/>
        </w:rPr>
      </w:pPr>
      <w:r>
        <w:rPr>
          <w:rFonts w:hint="eastAsia" w:ascii="宋体" w:hAnsi="Times New Roman" w:eastAsia="宋体" w:cs="宋体"/>
          <w:color w:val="auto"/>
          <w:sz w:val="24"/>
          <w:szCs w:val="24"/>
          <w:highlight w:val="none"/>
          <w:lang w:val="zh-CN"/>
        </w:rPr>
        <w:t xml:space="preserve">★1、具备多种透析模式：包含但不限于碳酸氢盐/醋酸盐/单纯超滤/双针/单针。</w:t>
      </w:r>
      <w:r>
        <w:rPr>
          <w:color w:val="auto"/>
          <w:highlight w:val="none"/>
        </w:rPr>
      </w:r>
      <w:r/>
    </w:p>
    <w:p>
      <w:pPr>
        <w:ind w:firstLine="480"/>
        <w:jc w:val="both"/>
        <w:spacing w:line="360" w:lineRule="auto"/>
        <w:rPr>
          <w:rFonts w:hint="eastAsia" w:ascii="宋体" w:hAnsi="Times New Roman" w:eastAsia="宋体" w:cs="宋体"/>
          <w:color w:val="auto"/>
          <w:sz w:val="24"/>
          <w:szCs w:val="24"/>
          <w:highlight w:val="none"/>
        </w:rPr>
      </w:pPr>
      <w:r>
        <w:rPr>
          <w:rFonts w:hint="eastAsia" w:ascii="宋体" w:hAnsi="Times New Roman" w:eastAsia="宋体" w:cs="宋体"/>
          <w:color w:val="auto"/>
          <w:sz w:val="24"/>
          <w:szCs w:val="24"/>
          <w:highlight w:val="none"/>
          <w:lang w:val="zh-CN"/>
        </w:rPr>
        <w:t xml:space="preserve">▲2、每次透析治疗前，设备具备检查安全系统的自动测试。自动测试是必须的，不可跳过。</w:t>
      </w:r>
      <w:r>
        <w:rPr>
          <w:color w:val="auto"/>
          <w:highlight w:val="none"/>
        </w:rPr>
      </w:r>
      <w:r/>
    </w:p>
    <w:p>
      <w:pPr>
        <w:ind w:firstLine="480"/>
        <w:jc w:val="both"/>
        <w:spacing w:line="360" w:lineRule="auto"/>
        <w:rPr>
          <w:rFonts w:hint="eastAsia" w:ascii="宋体" w:hAnsi="Times New Roman" w:eastAsia="宋体" w:cs="宋体"/>
          <w:color w:val="auto"/>
          <w:sz w:val="24"/>
          <w:szCs w:val="24"/>
          <w:highlight w:val="none"/>
        </w:rPr>
      </w:pPr>
      <w:r>
        <w:rPr>
          <w:rFonts w:hint="eastAsia" w:ascii="宋体" w:hAnsi="Times New Roman" w:eastAsia="宋体" w:cs="宋体"/>
          <w:color w:val="auto"/>
          <w:sz w:val="24"/>
          <w:szCs w:val="24"/>
          <w:highlight w:val="none"/>
          <w:lang w:val="zh-CN"/>
        </w:rPr>
        <w:t xml:space="preserve">▲3、治疗过程中进行周期性≤30min的压力保持测试，以检测封闭系统是否存在渗漏。</w:t>
      </w:r>
      <w:r>
        <w:rPr>
          <w:color w:val="auto"/>
          <w:highlight w:val="none"/>
        </w:rPr>
      </w:r>
      <w:r/>
    </w:p>
    <w:p>
      <w:pPr>
        <w:ind w:firstLine="480"/>
        <w:jc w:val="both"/>
        <w:spacing w:line="360" w:lineRule="auto"/>
        <w:rPr>
          <w:rFonts w:hint="eastAsia" w:ascii="宋体" w:hAnsi="Times New Roman" w:eastAsia="宋体" w:cs="宋体"/>
          <w:color w:val="auto"/>
          <w:sz w:val="24"/>
          <w:szCs w:val="24"/>
          <w:highlight w:val="none"/>
        </w:rPr>
      </w:pPr>
      <w:r>
        <w:rPr>
          <w:rFonts w:hint="eastAsia" w:ascii="宋体" w:hAnsi="Times New Roman" w:eastAsia="宋体" w:cs="宋体"/>
          <w:color w:val="auto"/>
          <w:sz w:val="24"/>
          <w:szCs w:val="24"/>
          <w:highlight w:val="none"/>
          <w:lang w:val="zh-CN"/>
        </w:rPr>
        <w:t xml:space="preserve">4、透析液流速可以根据有效血流速自动调节。体积比例混合配比透析液。</w:t>
      </w:r>
      <w:r>
        <w:rPr>
          <w:color w:val="auto"/>
          <w:highlight w:val="none"/>
        </w:rPr>
      </w:r>
      <w:r/>
    </w:p>
    <w:p>
      <w:pPr>
        <w:ind w:firstLine="480"/>
        <w:jc w:val="both"/>
        <w:spacing w:line="360" w:lineRule="auto"/>
        <w:rPr>
          <w:rFonts w:hint="eastAsia" w:ascii="宋体" w:hAnsi="Times New Roman" w:eastAsia="宋体" w:cs="宋体"/>
          <w:color w:val="auto"/>
          <w:sz w:val="24"/>
          <w:szCs w:val="24"/>
          <w:highlight w:val="none"/>
        </w:rPr>
      </w:pPr>
      <w:r>
        <w:rPr>
          <w:rFonts w:hint="eastAsia" w:ascii="宋体" w:hAnsi="Times New Roman" w:eastAsia="宋体" w:cs="宋体"/>
          <w:color w:val="auto"/>
          <w:sz w:val="24"/>
          <w:szCs w:val="24"/>
          <w:highlight w:val="none"/>
          <w:lang w:val="zh-CN"/>
        </w:rPr>
        <w:t xml:space="preserve">5、具备透析液过滤器膜完整性测试功能。</w:t>
      </w:r>
      <w:r>
        <w:rPr>
          <w:color w:val="auto"/>
          <w:highlight w:val="none"/>
        </w:rPr>
      </w:r>
      <w:r/>
    </w:p>
    <w:p>
      <w:pPr>
        <w:ind w:firstLine="480"/>
        <w:jc w:val="both"/>
        <w:spacing w:line="360" w:lineRule="auto"/>
        <w:rPr>
          <w:rFonts w:hint="eastAsia" w:ascii="宋体" w:hAnsi="Times New Roman" w:eastAsia="宋体" w:cs="宋体"/>
          <w:color w:val="auto"/>
          <w:sz w:val="24"/>
          <w:szCs w:val="24"/>
          <w:highlight w:val="none"/>
        </w:rPr>
      </w:pPr>
      <w:r>
        <w:rPr>
          <w:rFonts w:hint="eastAsia" w:ascii="宋体" w:hAnsi="Times New Roman" w:eastAsia="宋体" w:cs="宋体"/>
          <w:color w:val="auto"/>
          <w:sz w:val="24"/>
          <w:szCs w:val="24"/>
          <w:highlight w:val="none"/>
          <w:lang w:val="zh-CN"/>
        </w:rPr>
        <w:t xml:space="preserve">6、具备可编程控制钠和超滤曲线。</w:t>
      </w:r>
      <w:r>
        <w:rPr>
          <w:color w:val="auto"/>
          <w:highlight w:val="none"/>
        </w:rPr>
      </w:r>
      <w:r/>
    </w:p>
    <w:p>
      <w:pPr>
        <w:ind w:firstLine="480"/>
        <w:jc w:val="both"/>
        <w:spacing w:line="360" w:lineRule="auto"/>
        <w:rPr>
          <w:rFonts w:hint="eastAsia" w:ascii="宋体" w:hAnsi="Times New Roman" w:eastAsia="宋体" w:cs="宋体"/>
          <w:color w:val="auto"/>
          <w:sz w:val="24"/>
          <w:szCs w:val="24"/>
          <w:highlight w:val="none"/>
        </w:rPr>
      </w:pPr>
      <w:r>
        <w:rPr>
          <w:rFonts w:hint="eastAsia" w:ascii="宋体" w:hAnsi="Times New Roman" w:eastAsia="宋体" w:cs="宋体"/>
          <w:color w:val="auto"/>
          <w:sz w:val="24"/>
          <w:szCs w:val="24"/>
          <w:highlight w:val="none"/>
          <w:lang w:val="zh-CN"/>
        </w:rPr>
        <w:t xml:space="preserve">★7、具备空气检测功能：静脉壶处具备超声传导检测，静脉夹处具备光学探测器，有双重监测系统。</w:t>
      </w:r>
      <w:r>
        <w:rPr>
          <w:color w:val="auto"/>
          <w:highlight w:val="none"/>
        </w:rPr>
      </w:r>
      <w:r/>
    </w:p>
    <w:p>
      <w:pPr>
        <w:ind w:firstLine="480"/>
        <w:jc w:val="both"/>
        <w:spacing w:line="360" w:lineRule="auto"/>
        <w:rPr>
          <w:rFonts w:hint="eastAsia" w:ascii="宋体" w:hAnsi="Times New Roman" w:eastAsia="宋体" w:cs="宋体"/>
          <w:color w:val="auto"/>
          <w:sz w:val="24"/>
          <w:szCs w:val="24"/>
          <w:highlight w:val="none"/>
        </w:rPr>
      </w:pPr>
      <w:r>
        <w:rPr>
          <w:rFonts w:hint="eastAsia" w:ascii="宋体" w:hAnsi="Times New Roman" w:eastAsia="宋体" w:cs="宋体"/>
          <w:color w:val="auto"/>
          <w:sz w:val="24"/>
          <w:szCs w:val="24"/>
          <w:highlight w:val="none"/>
          <w:lang w:val="zh-CN"/>
        </w:rPr>
        <w:t xml:space="preserve">▲8、血路管径连续可调，范围</w:t>
      </w:r>
      <w:r>
        <w:rPr>
          <w:rFonts w:hint="eastAsia" w:ascii="宋体" w:cs="宋体"/>
          <w:color w:val="auto"/>
          <w:sz w:val="24"/>
          <w:szCs w:val="24"/>
          <w:highlight w:val="none"/>
          <w:lang w:val="en-US" w:eastAsia="zh-CN"/>
        </w:rPr>
        <w:t xml:space="preserve">应包括</w:t>
      </w:r>
      <w:r>
        <w:rPr>
          <w:rFonts w:hint="eastAsia" w:ascii="宋体" w:hAnsi="Times New Roman" w:eastAsia="宋体" w:cs="宋体"/>
          <w:color w:val="auto"/>
          <w:sz w:val="24"/>
          <w:szCs w:val="24"/>
          <w:highlight w:val="none"/>
          <w:lang w:val="zh-CN"/>
        </w:rPr>
        <w:t xml:space="preserve">2-10mm。</w:t>
      </w:r>
      <w:r>
        <w:rPr>
          <w:color w:val="auto"/>
          <w:highlight w:val="none"/>
        </w:rPr>
      </w:r>
      <w:r/>
    </w:p>
    <w:p>
      <w:pPr>
        <w:ind w:firstLine="480"/>
        <w:jc w:val="both"/>
        <w:spacing w:line="360" w:lineRule="auto"/>
        <w:rPr>
          <w:rFonts w:hint="eastAsia" w:ascii="宋体" w:hAnsi="Times New Roman" w:eastAsia="宋体" w:cs="宋体"/>
          <w:color w:val="auto"/>
          <w:sz w:val="24"/>
          <w:szCs w:val="24"/>
          <w:highlight w:val="none"/>
        </w:rPr>
      </w:pPr>
      <w:r>
        <w:rPr>
          <w:rFonts w:hint="eastAsia" w:ascii="宋体" w:hAnsi="Times New Roman" w:eastAsia="宋体" w:cs="宋体"/>
          <w:color w:val="auto"/>
          <w:sz w:val="24"/>
          <w:szCs w:val="24"/>
          <w:highlight w:val="none"/>
          <w:lang w:val="zh-CN"/>
        </w:rPr>
        <w:t xml:space="preserve">★9、漏血探测器在透析液最大流量800ml/min时，精度为漏血量＜0.5ml/min。</w:t>
      </w:r>
      <w:r>
        <w:rPr>
          <w:color w:val="auto"/>
          <w:highlight w:val="none"/>
        </w:rPr>
      </w:r>
      <w:r/>
    </w:p>
    <w:p>
      <w:pPr>
        <w:ind w:firstLine="480"/>
        <w:jc w:val="both"/>
        <w:spacing w:line="360" w:lineRule="auto"/>
        <w:rPr>
          <w:rFonts w:hint="eastAsia" w:ascii="宋体" w:hAnsi="Times New Roman" w:eastAsia="宋体" w:cs="宋体"/>
          <w:color w:val="auto"/>
          <w:sz w:val="24"/>
          <w:szCs w:val="24"/>
          <w:highlight w:val="none"/>
        </w:rPr>
      </w:pPr>
      <w:r>
        <w:rPr>
          <w:rFonts w:hint="eastAsia" w:ascii="宋体" w:hAnsi="Times New Roman" w:eastAsia="宋体" w:cs="宋体"/>
          <w:color w:val="auto"/>
          <w:sz w:val="24"/>
          <w:szCs w:val="24"/>
          <w:highlight w:val="none"/>
          <w:lang w:val="zh-CN"/>
        </w:rPr>
        <w:t xml:space="preserve">★10、血泵流速</w:t>
      </w:r>
      <w:r>
        <w:rPr>
          <w:rFonts w:hint="eastAsia" w:ascii="宋体" w:cs="宋体"/>
          <w:color w:val="auto"/>
          <w:sz w:val="24"/>
          <w:szCs w:val="24"/>
          <w:highlight w:val="none"/>
          <w:lang w:val="en-US" w:eastAsia="zh-CN"/>
        </w:rPr>
        <w:t xml:space="preserve">应包括</w:t>
      </w:r>
      <w:r>
        <w:rPr>
          <w:rFonts w:hint="eastAsia" w:ascii="宋体" w:hAnsi="Times New Roman" w:eastAsia="宋体" w:cs="宋体"/>
          <w:color w:val="auto"/>
          <w:sz w:val="24"/>
          <w:szCs w:val="24"/>
          <w:highlight w:val="none"/>
          <w:lang w:val="zh-CN"/>
        </w:rPr>
        <w:t xml:space="preserve">：15～600ml/min，分辨率5ml/min。显示有效血流速。</w:t>
      </w:r>
      <w:r>
        <w:rPr>
          <w:color w:val="auto"/>
          <w:highlight w:val="none"/>
        </w:rPr>
      </w:r>
      <w:r/>
    </w:p>
    <w:p>
      <w:pPr>
        <w:ind w:firstLine="480"/>
        <w:jc w:val="both"/>
        <w:spacing w:line="360" w:lineRule="auto"/>
        <w:rPr>
          <w:rFonts w:hint="eastAsia" w:ascii="宋体" w:hAnsi="Times New Roman" w:eastAsia="宋体" w:cs="宋体"/>
          <w:color w:val="auto"/>
          <w:sz w:val="24"/>
          <w:szCs w:val="24"/>
          <w:highlight w:val="none"/>
        </w:rPr>
      </w:pPr>
      <w:r>
        <w:rPr>
          <w:rFonts w:hint="eastAsia" w:ascii="宋体" w:hAnsi="Times New Roman" w:eastAsia="宋体" w:cs="宋体"/>
          <w:color w:val="auto"/>
          <w:sz w:val="24"/>
          <w:szCs w:val="24"/>
          <w:highlight w:val="none"/>
          <w:lang w:val="zh-CN"/>
        </w:rPr>
        <w:t xml:space="preserve">11、透析液温度可调范围</w:t>
      </w:r>
      <w:r>
        <w:rPr>
          <w:rFonts w:hint="eastAsia" w:ascii="宋体" w:cs="宋体"/>
          <w:color w:val="auto"/>
          <w:sz w:val="24"/>
          <w:szCs w:val="24"/>
          <w:highlight w:val="none"/>
          <w:lang w:val="en-US" w:eastAsia="zh-CN"/>
        </w:rPr>
        <w:t xml:space="preserve">应包括</w:t>
      </w:r>
      <w:r>
        <w:rPr>
          <w:rFonts w:hint="eastAsia" w:ascii="宋体" w:hAnsi="Times New Roman" w:eastAsia="宋体" w:cs="宋体"/>
          <w:color w:val="auto"/>
          <w:sz w:val="24"/>
          <w:szCs w:val="24"/>
          <w:highlight w:val="none"/>
          <w:lang w:val="zh-CN"/>
        </w:rPr>
        <w:t xml:space="preserve">：35℃～39℃。具有超温报警功能，高温报警限值不超过40℃，低温报警限值不低于33℃；</w:t>
      </w:r>
      <w:r>
        <w:rPr>
          <w:color w:val="auto"/>
          <w:highlight w:val="none"/>
        </w:rPr>
      </w:r>
      <w:r/>
    </w:p>
    <w:p>
      <w:pPr>
        <w:ind w:firstLine="480"/>
        <w:jc w:val="both"/>
        <w:spacing w:line="360" w:lineRule="auto"/>
        <w:rPr>
          <w:rFonts w:hint="eastAsia" w:ascii="宋体" w:hAnsi="Times New Roman" w:eastAsia="宋体" w:cs="宋体"/>
          <w:color w:val="auto"/>
          <w:sz w:val="24"/>
          <w:szCs w:val="24"/>
          <w:highlight w:val="none"/>
        </w:rPr>
      </w:pPr>
      <w:r>
        <w:rPr>
          <w:rFonts w:hint="eastAsia" w:ascii="宋体" w:hAnsi="Times New Roman" w:eastAsia="宋体" w:cs="宋体"/>
          <w:color w:val="auto"/>
          <w:sz w:val="24"/>
          <w:szCs w:val="24"/>
          <w:highlight w:val="none"/>
          <w:lang w:val="zh-CN"/>
        </w:rPr>
        <w:t xml:space="preserve">12、肝素泵流量</w:t>
      </w:r>
      <w:r>
        <w:rPr>
          <w:rFonts w:hint="eastAsia" w:ascii="宋体" w:cs="宋体"/>
          <w:color w:val="auto"/>
          <w:sz w:val="24"/>
          <w:szCs w:val="24"/>
          <w:highlight w:val="none"/>
          <w:lang w:val="en-US" w:eastAsia="zh-CN"/>
        </w:rPr>
        <w:t xml:space="preserve">应包括</w:t>
      </w:r>
      <w:r>
        <w:rPr>
          <w:rFonts w:hint="eastAsia" w:ascii="宋体" w:hAnsi="Times New Roman" w:eastAsia="宋体" w:cs="宋体"/>
          <w:color w:val="auto"/>
          <w:sz w:val="24"/>
          <w:szCs w:val="24"/>
          <w:highlight w:val="none"/>
          <w:lang w:val="zh-CN"/>
        </w:rPr>
        <w:t xml:space="preserve">：最大单剂注射量0.1-10ml/h ，并有大剂量追加功能，单次最大追加剂量5ml/次。</w:t>
      </w:r>
      <w:r>
        <w:rPr>
          <w:color w:val="auto"/>
          <w:highlight w:val="none"/>
        </w:rPr>
      </w:r>
      <w:r/>
    </w:p>
    <w:p>
      <w:pPr>
        <w:ind w:firstLine="480"/>
        <w:jc w:val="both"/>
        <w:spacing w:line="360" w:lineRule="auto"/>
        <w:rPr>
          <w:rFonts w:hint="eastAsia" w:ascii="宋体" w:hAnsi="Times New Roman" w:eastAsia="宋体" w:cs="宋体"/>
          <w:color w:val="auto"/>
          <w:sz w:val="24"/>
          <w:szCs w:val="24"/>
          <w:highlight w:val="none"/>
        </w:rPr>
      </w:pPr>
      <w:r>
        <w:rPr>
          <w:rFonts w:hint="eastAsia" w:ascii="宋体" w:hAnsi="Times New Roman" w:eastAsia="宋体" w:cs="宋体"/>
          <w:color w:val="auto"/>
          <w:sz w:val="24"/>
          <w:szCs w:val="24"/>
          <w:highlight w:val="none"/>
          <w:lang w:val="zh-CN"/>
        </w:rPr>
        <w:t xml:space="preserve">▲13、静脉压力监测范围</w:t>
      </w:r>
      <w:r>
        <w:rPr>
          <w:rFonts w:hint="eastAsia" w:ascii="宋体" w:cs="宋体"/>
          <w:color w:val="auto"/>
          <w:sz w:val="24"/>
          <w:szCs w:val="24"/>
          <w:highlight w:val="none"/>
          <w:lang w:val="en-US" w:eastAsia="zh-CN"/>
        </w:rPr>
        <w:t xml:space="preserve">应包括</w:t>
      </w:r>
      <w:r>
        <w:rPr>
          <w:rFonts w:hint="eastAsia" w:ascii="宋体" w:hAnsi="Times New Roman" w:eastAsia="宋体" w:cs="宋体"/>
          <w:color w:val="auto"/>
          <w:sz w:val="24"/>
          <w:szCs w:val="24"/>
          <w:highlight w:val="none"/>
          <w:lang w:val="zh-CN"/>
        </w:rPr>
        <w:t xml:space="preserve">：-60mmHg～+520mmHg，精确度±10mmHg。动脉压力监测范围：-300mmHg～+280mmHg，精确度±10mmHg。跨膜压监测范围-60mmHg～+520mmHg，有跨膜压自动跟踪报警功能。</w:t>
      </w:r>
      <w:r>
        <w:rPr>
          <w:color w:val="auto"/>
          <w:highlight w:val="none"/>
        </w:rPr>
      </w:r>
      <w:r/>
    </w:p>
    <w:p>
      <w:pPr>
        <w:ind w:firstLine="480"/>
        <w:jc w:val="both"/>
        <w:spacing w:line="360" w:lineRule="auto"/>
        <w:rPr>
          <w:rFonts w:hint="default" w:ascii="宋体" w:hAnsi="Times New Roman" w:eastAsia="宋体" w:cs="宋体"/>
          <w:color w:val="auto"/>
          <w:sz w:val="24"/>
          <w:szCs w:val="24"/>
          <w:highlight w:val="none"/>
        </w:rPr>
      </w:pPr>
      <w:r>
        <w:rPr>
          <w:rFonts w:hint="eastAsia" w:ascii="宋体" w:hAnsi="Times New Roman" w:eastAsia="宋体" w:cs="宋体"/>
          <w:color w:val="auto"/>
          <w:sz w:val="24"/>
          <w:szCs w:val="24"/>
          <w:highlight w:val="none"/>
          <w:lang w:val="zh-CN"/>
        </w:rPr>
        <w:t xml:space="preserve">★14、超滤率</w:t>
      </w:r>
      <w:r>
        <w:rPr>
          <w:rFonts w:hint="eastAsia" w:ascii="宋体" w:cs="宋体"/>
          <w:color w:val="auto"/>
          <w:sz w:val="24"/>
          <w:szCs w:val="24"/>
          <w:highlight w:val="none"/>
          <w:lang w:val="en-US" w:eastAsia="zh-CN"/>
        </w:rPr>
        <w:t xml:space="preserve">应包括</w:t>
      </w:r>
      <w:r>
        <w:rPr>
          <w:rFonts w:hint="eastAsia" w:ascii="宋体" w:hAnsi="Times New Roman" w:eastAsia="宋体" w:cs="宋体"/>
          <w:color w:val="auto"/>
          <w:sz w:val="24"/>
          <w:szCs w:val="24"/>
          <w:highlight w:val="none"/>
          <w:lang w:val="zh-CN"/>
        </w:rPr>
        <w:t xml:space="preserve">：0～4000ml/h，可调。分辨率：1 ml/h。泵容量精确度：±1%。可实现零超滤。</w:t>
      </w:r>
      <w:r>
        <w:rPr>
          <w:rFonts w:hint="default" w:ascii="宋体" w:hAnsi="Times New Roman" w:eastAsia="宋体" w:cs="宋体"/>
          <w:color w:val="auto"/>
          <w:sz w:val="24"/>
          <w:szCs w:val="24"/>
          <w:highlight w:val="none"/>
          <w:lang w:val="en-AU"/>
        </w:rPr>
        <w:t xml:space="preserve">(</w:t>
      </w:r>
      <w:r>
        <w:rPr>
          <w:rFonts w:hint="eastAsia" w:ascii="宋体" w:hAnsi="Times New Roman" w:eastAsia="宋体" w:cs="宋体"/>
          <w:color w:val="auto"/>
          <w:sz w:val="24"/>
          <w:szCs w:val="24"/>
          <w:highlight w:val="none"/>
          <w:lang w:val="en-US" w:eastAsia="zh-CN"/>
        </w:rPr>
        <w:t xml:space="preserve">核实</w:t>
      </w:r>
      <w:r>
        <w:rPr>
          <w:rFonts w:hint="default" w:ascii="宋体" w:hAnsi="Times New Roman" w:eastAsia="宋体" w:cs="宋体"/>
          <w:color w:val="auto"/>
          <w:sz w:val="24"/>
          <w:szCs w:val="24"/>
          <w:highlight w:val="none"/>
          <w:lang w:val="en-AU"/>
        </w:rPr>
        <w:t xml:space="preserve">)</w:t>
      </w:r>
      <w:r>
        <w:rPr>
          <w:color w:val="auto"/>
          <w:highlight w:val="none"/>
        </w:rPr>
      </w:r>
      <w:r/>
    </w:p>
    <w:p>
      <w:pPr>
        <w:ind w:firstLine="480"/>
        <w:jc w:val="both"/>
        <w:spacing w:line="360" w:lineRule="auto"/>
        <w:rPr>
          <w:rFonts w:hint="eastAsia" w:ascii="宋体" w:hAnsi="Times New Roman" w:eastAsia="宋体" w:cs="宋体"/>
          <w:color w:val="auto"/>
          <w:sz w:val="24"/>
          <w:szCs w:val="24"/>
          <w:highlight w:val="none"/>
        </w:rPr>
      </w:pPr>
      <w:r>
        <w:rPr>
          <w:rFonts w:hint="eastAsia" w:ascii="宋体" w:hAnsi="Times New Roman" w:eastAsia="宋体" w:cs="宋体"/>
          <w:color w:val="auto"/>
          <w:sz w:val="24"/>
          <w:szCs w:val="24"/>
          <w:highlight w:val="none"/>
          <w:lang w:val="zh-CN"/>
        </w:rPr>
        <w:t xml:space="preserve">★15、电导度范围</w:t>
      </w:r>
      <w:r>
        <w:rPr>
          <w:rFonts w:hint="eastAsia" w:ascii="宋体" w:hAnsi="Times New Roman" w:eastAsia="宋体" w:cs="宋体"/>
          <w:color w:val="auto"/>
          <w:sz w:val="24"/>
          <w:szCs w:val="24"/>
          <w:highlight w:val="none"/>
          <w:lang w:val="en-US" w:eastAsia="zh-CN"/>
        </w:rPr>
        <w:t xml:space="preserve">应包括</w:t>
      </w:r>
      <w:r>
        <w:rPr>
          <w:rFonts w:hint="eastAsia" w:ascii="宋体" w:hAnsi="Times New Roman" w:eastAsia="宋体" w:cs="宋体"/>
          <w:color w:val="auto"/>
          <w:sz w:val="24"/>
          <w:szCs w:val="24"/>
          <w:highlight w:val="none"/>
          <w:lang w:val="zh-CN"/>
        </w:rPr>
        <w:t xml:space="preserve">：12.8-15.7mS/cm，精确度±0.1mS/cm。</w:t>
      </w:r>
      <w:r>
        <w:rPr>
          <w:color w:val="auto"/>
          <w:highlight w:val="none"/>
        </w:rPr>
      </w:r>
      <w:r/>
    </w:p>
    <w:p>
      <w:pPr>
        <w:ind w:firstLine="480"/>
        <w:jc w:val="both"/>
        <w:spacing w:line="360" w:lineRule="auto"/>
        <w:rPr>
          <w:rFonts w:hint="eastAsia" w:ascii="宋体" w:hAnsi="Times New Roman" w:eastAsia="宋体" w:cs="宋体"/>
          <w:color w:val="auto"/>
          <w:sz w:val="24"/>
          <w:szCs w:val="24"/>
          <w:highlight w:val="none"/>
        </w:rPr>
      </w:pPr>
      <w:r>
        <w:rPr>
          <w:rFonts w:hint="eastAsia" w:ascii="宋体" w:hAnsi="Times New Roman" w:eastAsia="宋体" w:cs="宋体"/>
          <w:color w:val="auto"/>
          <w:sz w:val="24"/>
          <w:szCs w:val="24"/>
          <w:highlight w:val="none"/>
          <w:lang w:val="zh-CN"/>
        </w:rPr>
        <w:t xml:space="preserve">16、设备高度≤140cm，宽度≤50cm，深度≤70cm。</w:t>
      </w:r>
      <w:r>
        <w:rPr>
          <w:color w:val="auto"/>
          <w:highlight w:val="none"/>
        </w:rPr>
      </w:r>
      <w:r/>
    </w:p>
    <w:p>
      <w:pPr>
        <w:jc w:val="both"/>
        <w:spacing w:line="360" w:lineRule="auto"/>
        <w:rPr>
          <w:rFonts w:hint="eastAsia" w:ascii="宋体" w:hAnsi="Times New Roman" w:eastAsia="宋体" w:cs="宋体"/>
          <w:b/>
          <w:bCs/>
          <w:color w:val="auto"/>
          <w:sz w:val="24"/>
          <w:szCs w:val="24"/>
          <w:highlight w:val="none"/>
        </w:rPr>
      </w:pPr>
      <w:r>
        <w:rPr>
          <w:rFonts w:hint="eastAsia" w:ascii="宋体" w:hAnsi="Times New Roman" w:eastAsia="宋体" w:cs="宋体"/>
          <w:b/>
          <w:bCs/>
          <w:color w:val="auto"/>
          <w:sz w:val="24"/>
          <w:szCs w:val="24"/>
          <w:highlight w:val="none"/>
          <w:lang w:val="zh-CN"/>
        </w:rPr>
        <w:t xml:space="preserve">（二）</w:t>
      </w:r>
      <w:r>
        <w:rPr>
          <w:rFonts w:hint="eastAsia" w:ascii="宋体" w:hAnsi="Times New Roman" w:eastAsia="宋体" w:cs="宋体"/>
          <w:b/>
          <w:bCs/>
          <w:color w:val="auto"/>
          <w:sz w:val="24"/>
          <w:szCs w:val="24"/>
          <w:highlight w:val="none"/>
          <w:lang w:val="zh-CN"/>
        </w:rPr>
        <w:tab/>
      </w:r>
      <w:r>
        <w:rPr>
          <w:rFonts w:hint="eastAsia" w:ascii="宋体" w:hAnsi="Times New Roman" w:eastAsia="宋体" w:cs="宋体"/>
          <w:b/>
          <w:bCs/>
          <w:color w:val="auto"/>
          <w:sz w:val="24"/>
          <w:szCs w:val="24"/>
          <w:highlight w:val="none"/>
          <w:lang w:val="zh-CN"/>
        </w:rPr>
        <w:t xml:space="preserve">配置要求</w:t>
      </w:r>
      <w:r>
        <w:rPr>
          <w:color w:val="auto"/>
          <w:highlight w:val="none"/>
        </w:rPr>
      </w:r>
      <w:r/>
    </w:p>
    <w:p>
      <w:pPr>
        <w:ind w:firstLine="480"/>
        <w:jc w:val="both"/>
        <w:spacing w:line="360" w:lineRule="auto"/>
        <w:rPr>
          <w:rFonts w:hint="eastAsia" w:ascii="宋体" w:hAnsi="Times New Roman" w:eastAsia="宋体" w:cs="宋体"/>
          <w:color w:val="auto"/>
          <w:sz w:val="24"/>
          <w:szCs w:val="24"/>
          <w:highlight w:val="none"/>
        </w:rPr>
      </w:pPr>
      <w:r>
        <w:rPr>
          <w:rFonts w:hint="eastAsia" w:ascii="宋体" w:hAnsi="Times New Roman" w:eastAsia="宋体" w:cs="宋体"/>
          <w:color w:val="auto"/>
          <w:sz w:val="24"/>
          <w:szCs w:val="24"/>
          <w:highlight w:val="none"/>
          <w:lang w:val="zh-CN"/>
        </w:rPr>
        <w:t xml:space="preserve">1、具备内嵌式碳酸氢盐干粉接口</w:t>
      </w:r>
      <w:r>
        <w:rPr>
          <w:color w:val="auto"/>
          <w:highlight w:val="none"/>
        </w:rPr>
      </w:r>
      <w:r/>
    </w:p>
    <w:p>
      <w:pPr>
        <w:ind w:firstLine="480"/>
        <w:jc w:val="both"/>
        <w:spacing w:line="360" w:lineRule="auto"/>
        <w:rPr>
          <w:rFonts w:hint="eastAsia" w:ascii="宋体" w:hAnsi="Times New Roman" w:eastAsia="宋体" w:cs="宋体"/>
          <w:color w:val="auto"/>
          <w:sz w:val="24"/>
          <w:szCs w:val="24"/>
          <w:highlight w:val="none"/>
        </w:rPr>
      </w:pPr>
      <w:r>
        <w:rPr>
          <w:rFonts w:hint="eastAsia" w:ascii="宋体" w:hAnsi="Times New Roman" w:eastAsia="宋体" w:cs="宋体"/>
          <w:color w:val="auto"/>
          <w:sz w:val="24"/>
          <w:szCs w:val="24"/>
          <w:highlight w:val="none"/>
          <w:lang w:val="zh-CN"/>
        </w:rPr>
        <w:t xml:space="preserve">2、具备计算机网络系统接口</w:t>
      </w:r>
      <w:r>
        <w:rPr>
          <w:color w:val="auto"/>
          <w:highlight w:val="none"/>
        </w:rPr>
      </w:r>
      <w:r/>
    </w:p>
    <w:p>
      <w:pPr>
        <w:ind w:firstLine="480"/>
        <w:jc w:val="both"/>
        <w:spacing w:line="360" w:lineRule="auto"/>
        <w:rPr>
          <w:rFonts w:hint="eastAsia" w:ascii="宋体" w:hAnsi="Times New Roman" w:eastAsia="宋体" w:cs="宋体"/>
          <w:color w:val="auto"/>
          <w:sz w:val="24"/>
          <w:szCs w:val="24"/>
          <w:highlight w:val="none"/>
        </w:rPr>
      </w:pPr>
      <w:r>
        <w:rPr>
          <w:rFonts w:hint="eastAsia" w:ascii="宋体" w:hAnsi="Times New Roman" w:eastAsia="宋体" w:cs="宋体"/>
          <w:color w:val="auto"/>
          <w:sz w:val="24"/>
          <w:szCs w:val="24"/>
          <w:highlight w:val="none"/>
          <w:lang w:val="zh-CN"/>
        </w:rPr>
        <w:t xml:space="preserve">3、具备透析液过滤器接口系统</w:t>
      </w:r>
      <w:r>
        <w:rPr>
          <w:color w:val="auto"/>
          <w:highlight w:val="none"/>
        </w:rPr>
      </w:r>
      <w:r/>
    </w:p>
    <w:p>
      <w:pPr>
        <w:ind w:firstLine="480"/>
        <w:jc w:val="both"/>
        <w:spacing w:line="360" w:lineRule="auto"/>
        <w:rPr>
          <w:rFonts w:hint="eastAsia" w:ascii="宋体" w:hAnsi="Times New Roman" w:eastAsia="宋体" w:cs="宋体"/>
          <w:color w:val="auto"/>
          <w:sz w:val="24"/>
          <w:szCs w:val="24"/>
          <w:highlight w:val="none"/>
        </w:rPr>
      </w:pPr>
      <w:r>
        <w:rPr>
          <w:rFonts w:hint="eastAsia" w:ascii="宋体" w:hAnsi="Times New Roman" w:eastAsia="宋体" w:cs="宋体"/>
          <w:color w:val="auto"/>
          <w:sz w:val="24"/>
          <w:szCs w:val="24"/>
          <w:highlight w:val="none"/>
          <w:lang w:val="zh-CN"/>
        </w:rPr>
        <w:t xml:space="preserve">4、≥10英寸高分辨率彩色液晶显示屏，中文界面</w:t>
      </w:r>
      <w:r>
        <w:rPr>
          <w:color w:val="auto"/>
          <w:highlight w:val="none"/>
        </w:rPr>
      </w:r>
      <w:r/>
    </w:p>
    <w:p>
      <w:pPr>
        <w:ind w:firstLine="480"/>
        <w:jc w:val="both"/>
        <w:spacing w:line="360" w:lineRule="auto"/>
        <w:rPr>
          <w:rFonts w:hint="eastAsia" w:ascii="宋体" w:hAnsi="Times New Roman" w:eastAsia="宋体" w:cs="宋体"/>
          <w:color w:val="auto"/>
          <w:sz w:val="24"/>
          <w:szCs w:val="24"/>
          <w:highlight w:val="none"/>
        </w:rPr>
      </w:pPr>
      <w:r>
        <w:rPr>
          <w:rFonts w:hint="eastAsia" w:ascii="宋体" w:hAnsi="Times New Roman" w:eastAsia="宋体" w:cs="宋体"/>
          <w:color w:val="auto"/>
          <w:sz w:val="24"/>
          <w:szCs w:val="24"/>
          <w:highlight w:val="none"/>
          <w:lang w:val="zh-CN"/>
        </w:rPr>
        <w:t xml:space="preserve">▲5、具备在线血压监测功能</w:t>
      </w:r>
      <w:r>
        <w:rPr>
          <w:color w:val="auto"/>
          <w:highlight w:val="none"/>
        </w:rPr>
      </w:r>
      <w:r/>
    </w:p>
    <w:p>
      <w:pPr>
        <w:ind w:firstLine="480"/>
        <w:jc w:val="both"/>
        <w:spacing w:line="360" w:lineRule="auto"/>
        <w:rPr>
          <w:rFonts w:hint="eastAsia" w:ascii="宋体" w:hAnsi="Times New Roman" w:eastAsia="宋体" w:cs="宋体"/>
          <w:color w:val="auto"/>
          <w:sz w:val="24"/>
          <w:szCs w:val="24"/>
          <w:highlight w:val="none"/>
        </w:rPr>
      </w:pPr>
      <w:r>
        <w:rPr>
          <w:rFonts w:hint="eastAsia" w:ascii="宋体" w:hAnsi="Times New Roman" w:eastAsia="宋体" w:cs="宋体"/>
          <w:color w:val="auto"/>
          <w:sz w:val="24"/>
          <w:szCs w:val="24"/>
          <w:highlight w:val="none"/>
          <w:lang w:val="zh-CN"/>
        </w:rPr>
        <w:t xml:space="preserve">★6、具备在线血容量监测功能</w:t>
      </w:r>
      <w:r>
        <w:rPr>
          <w:color w:val="auto"/>
          <w:highlight w:val="none"/>
        </w:rPr>
      </w:r>
      <w:r/>
    </w:p>
    <w:p>
      <w:pPr>
        <w:numPr>
          <w:ilvl w:val="0"/>
          <w:numId w:val="0"/>
        </w:numPr>
        <w:ind w:firstLine="480"/>
        <w:jc w:val="both"/>
        <w:spacing w:line="360" w:lineRule="auto"/>
        <w:rPr>
          <w:rFonts w:hint="eastAsia" w:ascii="宋体" w:cs="宋体"/>
          <w:color w:val="auto"/>
          <w:sz w:val="24"/>
          <w:szCs w:val="24"/>
          <w:highlight w:val="none"/>
        </w:rPr>
      </w:pPr>
      <w:r>
        <w:rPr>
          <w:rFonts w:hint="eastAsia" w:ascii="宋体" w:hAnsi="Times New Roman" w:eastAsia="宋体" w:cs="宋体"/>
          <w:color w:val="auto"/>
          <w:sz w:val="24"/>
          <w:szCs w:val="24"/>
          <w:highlight w:val="none"/>
          <w:lang w:val="en-US" w:eastAsia="zh-CN" w:bidi="ar-SA"/>
        </w:rPr>
        <w:t xml:space="preserve">▲7、</w:t>
      </w:r>
      <w:r>
        <w:rPr>
          <w:rFonts w:hint="eastAsia" w:ascii="宋体" w:cs="宋体"/>
          <w:color w:val="auto"/>
          <w:sz w:val="24"/>
          <w:szCs w:val="24"/>
          <w:highlight w:val="none"/>
          <w:lang w:val="en-US" w:eastAsia="zh-CN"/>
        </w:rPr>
        <w:t xml:space="preserve">具备血温监测功能</w:t>
      </w:r>
      <w:r>
        <w:rPr>
          <w:color w:val="auto"/>
          <w:highlight w:val="none"/>
        </w:rPr>
      </w:r>
      <w:r/>
    </w:p>
    <w:p>
      <w:pPr>
        <w:numPr>
          <w:ilvl w:val="0"/>
          <w:numId w:val="0"/>
        </w:numPr>
        <w:ind w:firstLine="480"/>
        <w:jc w:val="both"/>
        <w:spacing w:line="360" w:lineRule="auto"/>
        <w:rPr>
          <w:rFonts w:hint="default" w:ascii="宋体" w:cs="宋体"/>
          <w:color w:val="auto"/>
          <w:sz w:val="24"/>
          <w:szCs w:val="24"/>
          <w:highlight w:val="none"/>
        </w:rPr>
      </w:pPr>
      <w:r>
        <w:rPr>
          <w:rFonts w:hint="eastAsia" w:ascii="宋体" w:hAnsi="Times New Roman" w:eastAsia="宋体" w:cs="宋体"/>
          <w:color w:val="auto"/>
          <w:sz w:val="24"/>
          <w:szCs w:val="24"/>
          <w:highlight w:val="none"/>
          <w:lang w:val="zh-CN"/>
        </w:rPr>
        <w:t xml:space="preserve">★</w:t>
      </w:r>
      <w:r>
        <w:rPr>
          <w:rFonts w:hint="eastAsia" w:ascii="宋体" w:hAnsi="Times New Roman" w:eastAsia="宋体" w:cs="宋体"/>
          <w:color w:val="auto"/>
          <w:sz w:val="24"/>
          <w:szCs w:val="24"/>
          <w:highlight w:val="none"/>
          <w:lang w:val="en-US" w:eastAsia="zh-CN"/>
        </w:rPr>
        <w:t xml:space="preserve">8、</w:t>
      </w:r>
      <w:r>
        <w:rPr>
          <w:rFonts w:hint="eastAsia" w:ascii="宋体" w:cs="宋体"/>
          <w:color w:val="auto"/>
          <w:sz w:val="24"/>
          <w:szCs w:val="24"/>
          <w:highlight w:val="none"/>
          <w:lang w:val="en-US" w:eastAsia="zh-CN"/>
        </w:rPr>
        <w:t xml:space="preserve">具备在线清除率监测模块：可实时持续监测体内尿素清除率（K），透析剂量（KtV）.血浆钠浓度。</w:t>
      </w:r>
      <w:r>
        <w:rPr>
          <w:color w:val="auto"/>
          <w:highlight w:val="none"/>
        </w:rPr>
      </w:r>
      <w:r/>
    </w:p>
    <w:p>
      <w:pPr>
        <w:jc w:val="both"/>
        <w:spacing w:line="360" w:lineRule="auto"/>
        <w:rPr>
          <w:rFonts w:hint="eastAsia" w:ascii="宋体" w:hAnsi="Times New Roman" w:eastAsia="宋体" w:cs="宋体"/>
          <w:b/>
          <w:bCs/>
          <w:color w:val="auto"/>
          <w:sz w:val="24"/>
          <w:szCs w:val="24"/>
          <w:highlight w:val="none"/>
        </w:rPr>
      </w:pPr>
      <w:r>
        <w:rPr>
          <w:rFonts w:hint="eastAsia" w:ascii="宋体" w:hAnsi="Times New Roman" w:eastAsia="宋体" w:cs="宋体"/>
          <w:b/>
          <w:bCs/>
          <w:color w:val="auto"/>
          <w:sz w:val="24"/>
          <w:szCs w:val="24"/>
          <w:highlight w:val="none"/>
          <w:lang w:val="zh-CN"/>
        </w:rPr>
        <w:t xml:space="preserve">（三）</w:t>
      </w:r>
      <w:r>
        <w:rPr>
          <w:rFonts w:hint="eastAsia" w:ascii="宋体" w:hAnsi="Times New Roman" w:eastAsia="宋体" w:cs="宋体"/>
          <w:b/>
          <w:bCs/>
          <w:color w:val="auto"/>
          <w:sz w:val="24"/>
          <w:szCs w:val="24"/>
          <w:highlight w:val="none"/>
          <w:lang w:val="zh-CN"/>
        </w:rPr>
        <w:tab/>
      </w:r>
      <w:r>
        <w:rPr>
          <w:rFonts w:hint="eastAsia" w:ascii="宋体" w:hAnsi="Times New Roman" w:eastAsia="宋体" w:cs="宋体"/>
          <w:b/>
          <w:bCs/>
          <w:color w:val="auto"/>
          <w:sz w:val="24"/>
          <w:szCs w:val="24"/>
          <w:highlight w:val="none"/>
          <w:lang w:val="zh-CN"/>
        </w:rPr>
        <w:t xml:space="preserve">其它要求</w:t>
      </w:r>
      <w:r>
        <w:rPr>
          <w:color w:val="auto"/>
          <w:highlight w:val="none"/>
        </w:rPr>
      </w:r>
      <w:r/>
    </w:p>
    <w:p>
      <w:pPr>
        <w:ind w:firstLine="480"/>
        <w:jc w:val="both"/>
        <w:spacing w:line="360" w:lineRule="auto"/>
        <w:rPr>
          <w:rFonts w:hint="eastAsia" w:ascii="宋体" w:hAnsi="Times New Roman" w:eastAsia="宋体" w:cs="宋体"/>
          <w:color w:val="auto"/>
          <w:sz w:val="24"/>
          <w:szCs w:val="24"/>
          <w:highlight w:val="none"/>
        </w:rPr>
      </w:pPr>
      <w:r>
        <w:rPr>
          <w:rFonts w:hint="eastAsia" w:ascii="宋体" w:hAnsi="Times New Roman" w:eastAsia="宋体" w:cs="宋体"/>
          <w:color w:val="auto"/>
          <w:sz w:val="24"/>
          <w:szCs w:val="24"/>
          <w:highlight w:val="none"/>
          <w:lang w:val="zh-CN"/>
        </w:rPr>
        <w:t xml:space="preserve">1、平均透析能耗≤1kWh</w:t>
      </w:r>
      <w:r>
        <w:rPr>
          <w:color w:val="auto"/>
          <w:highlight w:val="none"/>
        </w:rPr>
      </w:r>
      <w:r/>
    </w:p>
    <w:p>
      <w:pPr>
        <w:ind w:firstLine="480"/>
        <w:jc w:val="both"/>
        <w:spacing w:line="360" w:lineRule="auto"/>
        <w:rPr>
          <w:rFonts w:hint="eastAsia" w:ascii="宋体" w:hAnsi="Times New Roman" w:eastAsia="宋体" w:cs="宋体"/>
          <w:color w:val="auto"/>
          <w:sz w:val="24"/>
          <w:szCs w:val="24"/>
          <w:highlight w:val="none"/>
        </w:rPr>
      </w:pPr>
      <w:r>
        <w:rPr>
          <w:rFonts w:hint="eastAsia" w:ascii="宋体" w:cs="宋体"/>
          <w:color w:val="auto"/>
          <w:sz w:val="24"/>
          <w:szCs w:val="24"/>
          <w:highlight w:val="none"/>
          <w:lang w:val="en-US" w:eastAsia="zh-CN"/>
        </w:rPr>
        <w:t xml:space="preserve">★2、具备同品牌透析液过滤器</w:t>
      </w:r>
      <w:r>
        <w:rPr>
          <w:color w:val="auto"/>
          <w:highlight w:val="none"/>
        </w:rPr>
      </w:r>
      <w:r/>
    </w:p>
    <w:p>
      <w:pPr>
        <w:numPr>
          <w:ilvl w:val="0"/>
          <w:numId w:val="0"/>
        </w:numPr>
        <w:ind w:firstLine="480"/>
        <w:jc w:val="both"/>
        <w:spacing w:line="360" w:lineRule="auto"/>
        <w:rPr>
          <w:rFonts w:hint="eastAsia" w:ascii="宋体" w:hAnsi="Times New Roman" w:eastAsia="宋体" w:cs="宋体"/>
          <w:color w:val="auto"/>
          <w:sz w:val="24"/>
          <w:szCs w:val="24"/>
          <w:highlight w:val="none"/>
        </w:rPr>
      </w:pPr>
      <w:r>
        <w:rPr>
          <w:rFonts w:hint="eastAsia" w:ascii="宋体" w:cs="宋体"/>
          <w:color w:val="auto"/>
          <w:sz w:val="24"/>
          <w:szCs w:val="24"/>
          <w:highlight w:val="none"/>
          <w:lang w:val="en-US" w:eastAsia="zh-CN" w:bidi="ar-SA"/>
        </w:rPr>
        <w:t xml:space="preserve">3</w:t>
      </w:r>
      <w:r>
        <w:rPr>
          <w:rFonts w:hint="eastAsia" w:ascii="宋体" w:hAnsi="Times New Roman" w:eastAsia="宋体" w:cs="宋体"/>
          <w:color w:val="auto"/>
          <w:sz w:val="24"/>
          <w:szCs w:val="24"/>
          <w:highlight w:val="none"/>
          <w:lang w:val="zh-CN" w:eastAsia="zh-CN" w:bidi="ar-SA"/>
        </w:rPr>
        <w:t xml:space="preserve">、</w:t>
      </w:r>
      <w:r>
        <w:rPr>
          <w:rFonts w:hint="eastAsia" w:ascii="宋体" w:hAnsi="Times New Roman" w:eastAsia="宋体" w:cs="宋体"/>
          <w:color w:val="auto"/>
          <w:sz w:val="24"/>
          <w:szCs w:val="24"/>
          <w:highlight w:val="none"/>
          <w:lang w:val="zh-CN"/>
        </w:rPr>
        <w:t xml:space="preserve">设备使用年限≥10年。</w:t>
      </w:r>
      <w:r>
        <w:rPr>
          <w:color w:val="auto"/>
          <w:highlight w:val="none"/>
        </w:rPr>
      </w:r>
      <w:r/>
    </w:p>
    <w:p>
      <w:pPr>
        <w:numPr>
          <w:ilvl w:val="0"/>
          <w:numId w:val="0"/>
        </w:numPr>
        <w:jc w:val="both"/>
        <w:spacing w:line="360" w:lineRule="auto"/>
        <w:rPr>
          <w:rFonts w:hint="eastAsia" w:ascii="宋体" w:hAnsi="Times New Roman" w:eastAsia="宋体" w:cs="宋体"/>
          <w:color w:val="auto"/>
          <w:sz w:val="24"/>
          <w:szCs w:val="24"/>
          <w:highlight w:val="none"/>
        </w:rPr>
      </w:pPr>
      <w:r>
        <w:rPr>
          <w:rFonts w:hint="eastAsia" w:ascii="宋体" w:hAnsi="Times New Roman" w:eastAsia="宋体" w:cs="宋体"/>
          <w:color w:val="auto"/>
          <w:sz w:val="24"/>
          <w:szCs w:val="24"/>
          <w:highlight w:val="none"/>
          <w:lang w:val="en-US" w:eastAsia="zh-CN"/>
        </w:rPr>
      </w:r>
      <w:r>
        <w:rPr>
          <w:color w:val="auto"/>
          <w:highlight w:val="none"/>
        </w:rPr>
      </w:r>
      <w:r/>
    </w:p>
    <w:p>
      <w:pPr>
        <w:jc w:val="both"/>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r>
      <w:r>
        <w:rPr>
          <w:color w:val="auto"/>
          <w:highlight w:val="none"/>
        </w:rPr>
      </w:r>
      <w:r/>
    </w:p>
    <w:p>
      <w:pPr>
        <w:jc w:val="both"/>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★（二）、商务要求：</w:t>
      </w:r>
      <w:r>
        <w:rPr>
          <w:color w:val="auto"/>
          <w:highlight w:val="none"/>
        </w:rPr>
      </w:r>
      <w:r/>
    </w:p>
    <w:p>
      <w:pPr>
        <w:numPr>
          <w:ilvl w:val="0"/>
          <w:numId w:val="10"/>
        </w:numPr>
        <w:ind w:firstLine="48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付款方式：合同签订后，中标人须在向最终用户开具等额合法有效发票，最终用户收到发票后20个工作日内支付合同总额的30%；设备安装、调试并经双方联合验收合格，且中标人向最终用户开具等额合法有效发票的，最终用户在收到发票后20个工作日内支付合同总额的65%；验收合格满一年，中标人向最终用户开具等额合法有效发票，最终用户在收到发票后20个工作日内支付剩余5%。中标人未按期提供合法有效发票的，最终用户付款期限相应顺延，且不承担逾期付款责任。(符合《保障中小企业款项支付条例》规定情形的，按该条例规定付款。)</w:t>
      </w:r>
      <w:r>
        <w:rPr>
          <w:color w:val="auto"/>
          <w:highlight w:val="none"/>
        </w:rPr>
      </w:r>
      <w:r/>
    </w:p>
    <w:p>
      <w:pPr>
        <w:numPr>
          <w:ilvl w:val="0"/>
          <w:numId w:val="0"/>
        </w:numPr>
        <w:ind w:firstLine="48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2、税：本项目执行中相关的一切税费均由中标单位负担。</w:t>
      </w:r>
      <w:r>
        <w:rPr>
          <w:color w:val="auto"/>
          <w:highlight w:val="none"/>
        </w:rPr>
      </w:r>
      <w:r/>
    </w:p>
    <w:p>
      <w:pPr>
        <w:ind w:firstLine="48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3、交货期（含安装调试）：接医院通知后</w:t>
      </w:r>
      <w:r>
        <w:rPr>
          <w:rFonts w:hint="eastAsia" w:ascii="宋体" w:hAnsi="宋体" w:cs="宋体"/>
          <w:b w:val="0"/>
          <w:bCs/>
          <w:color w:val="auto"/>
          <w:sz w:val="24"/>
          <w:szCs w:val="24"/>
          <w:highlight w:val="none"/>
          <w:lang w:val="en-US" w:eastAsia="zh-CN"/>
        </w:rPr>
        <w:t xml:space="preserve">一个月</w:t>
      </w:r>
      <w:r>
        <w:rPr>
          <w:rFonts w:hint="eastAsia" w:ascii="宋体" w:hAnsi="宋体" w:eastAsia="宋体" w:cs="宋体"/>
          <w:b w:val="0"/>
          <w:bCs/>
          <w:color w:val="auto"/>
          <w:sz w:val="24"/>
          <w:szCs w:val="24"/>
          <w:highlight w:val="none"/>
          <w:lang w:val="en-US" w:eastAsia="zh-CN"/>
        </w:rPr>
        <w:t xml:space="preserve">内运抵现场</w:t>
      </w:r>
      <w:r>
        <w:rPr>
          <w:color w:val="auto"/>
          <w:highlight w:val="none"/>
        </w:rPr>
      </w:r>
      <w:r/>
    </w:p>
    <w:p>
      <w:pPr>
        <w:ind w:firstLine="480"/>
        <w:jc w:val="both"/>
        <w:spacing w:line="360" w:lineRule="auto"/>
        <w:rPr>
          <w:rFonts w:hint="default"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4、质保期要求：</w:t>
      </w:r>
      <w:r>
        <w:rPr>
          <w:rFonts w:hint="eastAsia" w:ascii="宋体" w:hAnsi="宋体" w:cs="宋体"/>
          <w:b w:val="0"/>
          <w:bCs/>
          <w:color w:val="auto"/>
          <w:sz w:val="24"/>
          <w:szCs w:val="24"/>
          <w:highlight w:val="none"/>
          <w:lang w:val="en-US" w:eastAsia="zh-CN"/>
        </w:rPr>
        <w:t xml:space="preserve">免费原厂质保3</w:t>
      </w:r>
      <w:r>
        <w:rPr>
          <w:rFonts w:hint="eastAsia" w:ascii="宋体" w:hAnsi="宋体" w:eastAsia="宋体" w:cs="宋体"/>
          <w:b w:val="0"/>
          <w:bCs/>
          <w:color w:val="auto"/>
          <w:sz w:val="24"/>
          <w:szCs w:val="24"/>
          <w:highlight w:val="none"/>
          <w:lang w:val="en-US" w:eastAsia="zh-CN"/>
        </w:rPr>
        <w:t xml:space="preserve">年，软件终身升级</w:t>
      </w:r>
      <w:r>
        <w:rPr>
          <w:rFonts w:hint="eastAsia" w:ascii="宋体" w:hAnsi="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en-US" w:eastAsia="zh-CN"/>
        </w:rPr>
        <w:t xml:space="preserve">鼓励延长，</w:t>
      </w:r>
      <w:r>
        <w:rPr>
          <w:rFonts w:hint="eastAsia" w:ascii="宋体" w:hAnsi="宋体" w:cs="宋体"/>
          <w:b w:val="0"/>
          <w:bCs/>
          <w:color w:val="auto"/>
          <w:sz w:val="24"/>
          <w:szCs w:val="24"/>
          <w:highlight w:val="none"/>
          <w:lang w:val="en-US" w:eastAsia="zh-CN"/>
        </w:rPr>
        <w:t xml:space="preserve">提供</w:t>
      </w:r>
      <w:r>
        <w:rPr>
          <w:rFonts w:hint="eastAsia" w:ascii="宋体" w:hAnsi="宋体" w:eastAsia="宋体" w:cs="宋体"/>
          <w:b w:val="0"/>
          <w:bCs/>
          <w:color w:val="auto"/>
          <w:sz w:val="24"/>
          <w:szCs w:val="24"/>
          <w:highlight w:val="none"/>
          <w:lang w:val="en-US" w:eastAsia="zh-CN"/>
        </w:rPr>
        <w:t xml:space="preserve">质保</w:t>
      </w:r>
      <w:r>
        <w:rPr>
          <w:rFonts w:hint="eastAsia" w:ascii="宋体" w:hAnsi="宋体" w:cs="宋体"/>
          <w:b w:val="0"/>
          <w:bCs/>
          <w:color w:val="auto"/>
          <w:sz w:val="24"/>
          <w:szCs w:val="24"/>
          <w:highlight w:val="none"/>
          <w:lang w:val="en-US" w:eastAsia="zh-CN"/>
        </w:rPr>
        <w:t xml:space="preserve">承诺函</w:t>
      </w:r>
      <w:bookmarkEnd w:id="152"/>
      <w:r>
        <w:rPr>
          <w:color w:val="auto"/>
        </w:rPr>
      </w:r>
      <w:bookmarkEnd w:id="153"/>
      <w:r>
        <w:rPr>
          <w:color w:val="auto"/>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4.1.在质保期内设备免费保修，并确保设备保修期内开机率不低于95%，如设备故障停机率超过5%（一年按365天计算，每年18天），每超过1天，保修期延长14天。</w:t>
      </w:r>
      <w:r>
        <w:rPr>
          <w:color w:val="auto"/>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4.2.质保期外投标人或生产厂家承诺对本设备终身负责维修。</w:t>
      </w:r>
      <w:r>
        <w:rPr>
          <w:color w:val="auto"/>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4.3.所有第三方产品免费质保期需单独列出，如无特殊说明均视为和投标主机享有相同质保期。</w:t>
      </w:r>
      <w:r>
        <w:rPr>
          <w:color w:val="auto"/>
          <w:highlight w:val="none"/>
        </w:rPr>
      </w:r>
      <w:r/>
    </w:p>
    <w:p>
      <w:pPr>
        <w:ind w:firstLine="480"/>
        <w:spacing w:line="360" w:lineRule="auto"/>
        <w:rPr>
          <w:rFonts w:hint="eastAsia" w:ascii="宋体" w:hAnsi="宋体" w:eastAsia="宋体" w:cs="宋体"/>
          <w:bCs/>
          <w:color w:val="auto"/>
          <w:sz w:val="24"/>
          <w:szCs w:val="24"/>
          <w:highlight w:val="none"/>
        </w:rPr>
      </w:pPr>
      <w:r>
        <w:rPr>
          <w:color w:val="auto"/>
          <w:highlight w:val="none"/>
        </w:rPr>
      </w:r>
      <w:bookmarkStart w:id="154" w:name="OLE_LINK1"/>
      <w:r>
        <w:rPr>
          <w:rFonts w:hint="eastAsia" w:ascii="宋体" w:hAnsi="宋体" w:eastAsia="宋体" w:cs="宋体"/>
          <w:bCs/>
          <w:color w:val="auto"/>
          <w:sz w:val="24"/>
          <w:szCs w:val="24"/>
          <w:highlight w:val="none"/>
        </w:rPr>
        <w:t xml:space="preserve">5、实施方案</w:t>
      </w:r>
      <w:r>
        <w:rPr>
          <w:color w:val="auto"/>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5.1.安装要求：</w:t>
      </w:r>
      <w:r>
        <w:rPr>
          <w:color w:val="auto"/>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（1）中标人应提供详细的设备使用环境要求，全面负责机房布局、水、电、空调等的设计并提供图纸资料，并充分协助最终用户做好机房的准备工作（如必要的话）。</w:t>
      </w:r>
      <w:r>
        <w:rPr>
          <w:color w:val="auto"/>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（2）所提供设备应符合中国电网制式要求；应说明最小安装面积和特殊要求（如地板抬高、专用机房等）；需免费提供配电箱到设备所需的电源线和地线；需免费提供安装设备所需的顶、地结构件和相关附件。</w:t>
      </w:r>
      <w:r>
        <w:rPr>
          <w:color w:val="auto"/>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设备到货时间，请投标人至少提前三天通知最终用户临床医学工程处，以便最终用户安排好相关收货工作。设备到达最终用户时，投标人代表必须随机到达，由投标人负责卸货并搬运至最终用户指定的地点，待设备搬运完毕后，双方办理交接手续。如未按上述规定执行，造成的一切后果全部由投标人承担。</w:t>
      </w:r>
      <w:r>
        <w:rPr>
          <w:color w:val="auto"/>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（4）设备安装时，投标人负责设备的免费安装和调试，但投标人必须事先与最终用户临床医学工程处联系，并与临床医学工程处共同参与，否则引起的一切责任由投标人承担。</w:t>
      </w:r>
      <w:r>
        <w:rPr>
          <w:color w:val="auto"/>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（5）标书中没有列出的标准配置的硬件和软件也必须提供（无论是标准配置或选配件）。标书中所有配置、软件和技术资料都必须随主机到达；不能随主机到达的请注明产地及到达时间。</w:t>
      </w:r>
      <w:r>
        <w:rPr>
          <w:color w:val="auto"/>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（6）本项目所采购产品如需与其他系统对接时，必须免费提供技术支持。</w:t>
      </w:r>
      <w:r>
        <w:rPr>
          <w:color w:val="auto"/>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（7）负责维修设备的人员要求严格遵守最终用户的规章制度、工作程序及标准。</w:t>
      </w:r>
      <w:r>
        <w:rPr>
          <w:color w:val="auto"/>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5.2.验收要求：</w:t>
      </w:r>
      <w:r>
        <w:rPr>
          <w:color w:val="auto"/>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（1）设备安装后，投标人应配合最终用户按厂方技术参数、国家标准等进行质量验收。若有歧义，最终用户有权委托国内有资质的单位对该设备进行质量检测，费用由投标人承担。</w:t>
      </w:r>
      <w:r>
        <w:rPr>
          <w:color w:val="auto"/>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（2）设备安装调试完成后，中标</w:t>
      </w:r>
      <w:r>
        <w:rPr>
          <w:rFonts w:hint="eastAsia" w:ascii="宋体" w:hAnsi="宋体" w:eastAsia="宋体" w:cs="宋体"/>
          <w:bCs/>
          <w:color w:val="auto"/>
          <w:sz w:val="24"/>
          <w:szCs w:val="24"/>
          <w:highlight w:val="none"/>
        </w:rPr>
        <w:t xml:space="preserve">人应当提交书面验收申请，最终用户自收到申请之日起15个工作日内组织验收，验收标准以招标文件技术要求、投标文件响应参数、国家及行业相关强制性标准为准。最终用户在上述期限内未书面提出异议的，视为验收合格。中标人逾期未提交验收申请的，采购人有权自行启动验收程序；设备投入使用满30日且无质量问题的，视为验收合格。验收过程中发现设备存在质量瑕疵、参数不符、功能缺失等问题的，中标人应当在10个工作日内完成整改并重新申请验收，整改期间视为逾期交付，并按照合同约定承担违约责任。免费质保期自设备安装完成并验收合格之日起计算。</w:t>
      </w:r>
      <w:r>
        <w:rPr>
          <w:color w:val="auto"/>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（3）投标人所供设备如验收不合格，根据最终用户的要求，投标人必须无条件换货或退货，由此引起的一切损失由投标人承担。</w:t>
      </w:r>
      <w:r>
        <w:rPr>
          <w:color w:val="auto"/>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5.3.售后服务</w:t>
      </w:r>
      <w:r>
        <w:rPr>
          <w:color w:val="auto"/>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设备发生故障，投标人在接到最终用户报修电话后4小时内到达最终用户现场，48小时内修复或免费提供备用机，否则最终用户可自行采取必要的措施，由此产生的风险和费用由投标人承担。设备故障报修响应次数达到3次/月或半年累计达到10次的，最终用户有权要求中标人免费更换同型号全新核心部件，更换后核心部件质保期重新计算；中标人未按要求及时修复或提供备用机，导致最终用户产生诊疗损失、患者索赔的，全部损失由中标人承担。如有特殊情况，中标人应立即电话通知最终用户不能响应的原因，在获得最终用户同意后，才可推迟响应时间。</w:t>
      </w:r>
      <w:r>
        <w:rPr>
          <w:color w:val="auto"/>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注明维修配件的仓库地址。承诺产品的备件送达期限为国内2天、国外4天。如所提供设备停产后，备件供应期限为10年。投标人未按合同约定提供备件供应或停产后备件供应不足10年的，每逾期一日，投标人应按合同总价款的1‰向最终用户支付违约金。</w:t>
      </w:r>
      <w:r>
        <w:rPr>
          <w:color w:val="auto"/>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（3）免费提供安装、校正、调试等必要的维修工具、调试设备和专用模型；免费提供维修系统（含基本维修软件、检测软件、报错系统）、系统恢复盘或GHOST恢复软件。各种软件均应有备份盘。</w:t>
      </w:r>
      <w:r>
        <w:rPr>
          <w:color w:val="auto"/>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（4）提供设备免费保养，保修期内一年至少2次设备现场维护保养。</w:t>
      </w:r>
      <w:r>
        <w:rPr>
          <w:color w:val="auto"/>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（5）如投标人提供的设备设有维修软件密码，免费提供维修密码,并保证无条件地为最终用户永久免费打开。</w:t>
      </w:r>
      <w:r>
        <w:rPr>
          <w:color w:val="auto"/>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（6）系统软件终身免费升级。</w:t>
      </w:r>
      <w:r>
        <w:rPr>
          <w:color w:val="auto"/>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（7）质保期最后一年更换的配件，从更换之日起享有一年的免费质保期。</w:t>
      </w:r>
      <w:r>
        <w:rPr>
          <w:color w:val="auto"/>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（8）维修配件供应停产后需保证10年。</w:t>
      </w:r>
      <w:r>
        <w:rPr>
          <w:color w:val="auto"/>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无论在保修期内还是保修期外，投标人或生产厂家必须上门维修。投标人工程师至最终用户维修本设备，须事先与最终用户临床工程处取得联系，做好相应登记；在维修过程中与最终用户工程师共同完成维修工作。否则引起的一切责任由投标人负责。</w:t>
      </w:r>
      <w:r>
        <w:rPr>
          <w:color w:val="auto"/>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（10）维修完成后，只收取配件成本费，免收人工费和其它工时杂费。</w:t>
      </w:r>
      <w:r>
        <w:rPr>
          <w:color w:val="auto"/>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6、培训计划</w:t>
      </w:r>
      <w:r>
        <w:rPr>
          <w:color w:val="auto"/>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在安装过程中或安装结束后，投标人工程师或有关人员有义务对最终用户工程师和操作人员进行现场维修、保养、操作培训并提供快捷操作指南（塑胶封好，挂在设备上），解答最终用户的人员提出的问题。</w:t>
      </w:r>
      <w:r>
        <w:rPr>
          <w:color w:val="auto"/>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免费提供全套技术资料（维修说明书包括详细电路图、操作说明书及光盘），提供中文操作手册和快速操作指南，并提供电子版（中英文均可），提供电路版位置图、检测、调试方法、故障代码等（电子版或光盘）。如技术资料不全，最终用户有权不支付货款。</w:t>
      </w:r>
      <w:r>
        <w:rPr>
          <w:color w:val="auto"/>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（3）提供详细的项目培训计划，如提供操作培训计划和维修培训计划,必要时提供正规培训班培训，确保操作人员掌握完成日常工作所需的基本操作方法，工程师掌握基本的维护保养操作技术为止。</w:t>
      </w:r>
      <w:r>
        <w:rPr>
          <w:color w:val="auto"/>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7、应急响应：</w:t>
      </w:r>
      <w:r>
        <w:rPr>
          <w:color w:val="auto"/>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（1）投标人或生产厂家需提供服务方案，至少包括：设有维修站和维修工程师，具备7*24小时维修服务客服电话。</w:t>
      </w:r>
      <w:r>
        <w:rPr>
          <w:color w:val="auto"/>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8、配件耗材情况：（如有）</w:t>
      </w:r>
      <w:r>
        <w:rPr>
          <w:color w:val="auto"/>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（1）列出配置清单及分项报价，并提供订货号。进口产品需提供主机及部件的详细报关和商检单据。</w:t>
      </w:r>
      <w:r>
        <w:rPr>
          <w:color w:val="auto"/>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（2）列出保修期内不能免费提供的耗材等清单和价格，未列出的视为免费保修范围内产品。</w:t>
      </w:r>
      <w:r>
        <w:rPr>
          <w:color w:val="auto"/>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（3）列出保修期外主要配件和耗材的清单和价格及质保期。</w:t>
      </w:r>
      <w:r>
        <w:rPr>
          <w:color w:val="auto"/>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9、项目报价要求</w:t>
      </w:r>
      <w:r>
        <w:rPr>
          <w:color w:val="auto"/>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所有投标价格均为人民币报价。包括产品费用、实施费用、安装调试费用等所有费用。报价表格式见“第六章 投标文件参考格式”</w:t>
      </w:r>
      <w:r>
        <w:rPr>
          <w:color w:val="auto"/>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10、项目其他要求</w:t>
      </w:r>
      <w:r>
        <w:rPr>
          <w:color w:val="auto"/>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的产品必须全新并严格保持原包装，否则造成的一切损失由投标人承担。由于设备质量问题引起的医疗事故和纠纷，投标人承担全部法律和经济责任。所投标系统所有的部分必须是全新产品，不能有循环使用的部件。</w:t>
      </w:r>
      <w:r>
        <w:rPr>
          <w:color w:val="auto"/>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（2）招标文件中要求的软件和各项功能如需硬件或其他技术支持的，必须列明且免费提供。</w:t>
      </w:r>
      <w:r>
        <w:rPr>
          <w:color w:val="auto"/>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（3）投标投标人在偏离的条款中也应列明该条款里投标人所能提供的最优配置。</w:t>
      </w:r>
      <w:r>
        <w:rPr>
          <w:color w:val="auto"/>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列明投标产品的品牌、产地、规格型号、产品总价、分项报价、配置清单（提供订货号）（包括标准件及所有选购件，若为选购件请单独报价，并注明是否包含在总价中）、技术参数及原厂技术参数、设备彩页。</w:t>
      </w:r>
      <w:r>
        <w:rPr>
          <w:color w:val="auto"/>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（5）所有附属设备、第三方产品或加配设备如需要注册证，应对此进行承诺并在合同签订前提供对应材料。</w:t>
      </w:r>
      <w:r>
        <w:rPr>
          <w:color w:val="auto"/>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（6）投标人必须保证最终用户在使用、接受本项目货物和服务或其任何一部分时不涉及任何第三方提出侵犯其专利权、版权、商标权和工业设计权等知识产权的纠纷。一旦出现，由投标人负全部责任。</w:t>
      </w:r>
      <w:r>
        <w:rPr>
          <w:color w:val="auto"/>
          <w:highlight w:val="none"/>
        </w:rPr>
      </w:r>
      <w:r/>
    </w:p>
    <w:p>
      <w:pPr>
        <w:ind w:firstLine="480"/>
        <w:spacing w:line="360" w:lineRule="auto"/>
        <w:rPr>
          <w:rFonts w:hint="eastAsia"/>
          <w:color w:val="auto"/>
          <w:highlight w:val="none"/>
        </w:rPr>
      </w:pPr>
      <w:r>
        <w:rPr>
          <w:rFonts w:hint="eastAsia" w:ascii="宋体" w:hAnsi="宋体" w:eastAsia="宋体" w:cs="宋体"/>
          <w:bCs/>
          <w:color w:val="auto"/>
          <w:sz w:val="24"/>
          <w:szCs w:val="24"/>
          <w:highlight w:val="none"/>
        </w:rPr>
        <w:t xml:space="preserve">（7）其他未提及事项必须符合法律法规及相关政策文件等规定。</w:t>
      </w:r>
      <w:bookmarkEnd w:id="154"/>
      <w:r>
        <w:rPr>
          <w:rFonts w:hint="eastAsia"/>
          <w:color w:val="auto"/>
          <w:highlight w:val="none"/>
        </w:rPr>
        <w:t xml:space="preserve"> </w:t>
      </w:r>
      <w:bookmarkStart w:id="155" w:name="_Toc10059"/>
      <w:r>
        <w:rPr>
          <w:color w:val="auto"/>
          <w:highlight w:val="none"/>
        </w:rPr>
      </w:r>
      <w:r/>
    </w:p>
    <w:p>
      <w:pPr>
        <w:rPr>
          <w:rFonts w:hint="eastAsia"/>
          <w:color w:val="auto"/>
          <w:highlight w:val="none"/>
        </w:rPr>
      </w:pPr>
      <w:r>
        <w:rPr>
          <w:rFonts w:hint="eastAsia"/>
          <w:color w:val="auto"/>
          <w:highlight w:val="none"/>
        </w:rPr>
        <w:br w:type="page" w:clear="all"/>
      </w:r>
      <w:r>
        <w:rPr>
          <w:color w:val="auto"/>
          <w:highlight w:val="none"/>
        </w:rPr>
      </w:r>
      <w:r/>
    </w:p>
    <w:p>
      <w:pPr>
        <w:pStyle w:val="782"/>
        <w:jc w:val="center"/>
        <w:rPr>
          <w:rFonts w:hint="eastAsia" w:ascii="宋体" w:hAnsi="宋体" w:cs="宋体"/>
          <w:b/>
          <w:color w:val="auto"/>
          <w:sz w:val="44"/>
          <w:szCs w:val="44"/>
          <w:highlight w:val="none"/>
        </w:rPr>
        <w:outlineLvl w:val="0"/>
      </w:pPr>
      <w:r>
        <w:rPr>
          <w:rFonts w:hint="eastAsia" w:eastAsia="宋体"/>
          <w:color w:val="auto"/>
          <w:highlight w:val="none"/>
          <w:lang w:val="en-US" w:eastAsia="zh-CN"/>
        </w:rPr>
        <w:t xml:space="preserve">第五部分 </w:t>
      </w:r>
      <w:r>
        <w:rPr>
          <w:rFonts w:hint="eastAsia"/>
          <w:color w:val="auto"/>
          <w:highlight w:val="none"/>
        </w:rPr>
        <w:t xml:space="preserve">合同格式及条款</w:t>
      </w:r>
      <w:bookmarkEnd w:id="151"/>
      <w:r>
        <w:rPr>
          <w:color w:val="auto"/>
          <w:highlight w:val="none"/>
        </w:rPr>
      </w:r>
      <w:bookmarkEnd w:id="155"/>
      <w:r>
        <w:rPr>
          <w:color w:val="auto"/>
          <w:highlight w:val="none"/>
        </w:rPr>
      </w:r>
      <w:r/>
    </w:p>
    <w:p>
      <w:pPr>
        <w:jc w:val="left"/>
        <w:spacing w:line="360" w:lineRule="auto"/>
        <w:widowControl/>
        <w:rPr>
          <w:rFonts w:ascii="Times New Roman" w:hAnsi="宋体" w:eastAsia="Times New Roman" w:cs="Times New Roman"/>
          <w:color w:val="auto"/>
          <w:sz w:val="36"/>
          <w:szCs w:val="36"/>
          <w:highlight w:val="none"/>
        </w:rPr>
      </w:pPr>
      <w:r>
        <w:rPr>
          <w:rFonts w:hint="eastAsia" w:ascii="Times New Roman" w:hAnsi="宋体" w:eastAsia="Times New Roman" w:cs="Times New Roman"/>
          <w:bCs/>
          <w:color w:val="auto"/>
          <w:sz w:val="24"/>
          <w:szCs w:val="24"/>
          <w:highlight w:val="none"/>
        </w:rPr>
        <w:t xml:space="preserve">注：本合同仅为合同的参考文本，合同签订双方可根据项目的具体要求进行修订，但不得更改实质性要求。</w:t>
      </w:r>
      <w:r>
        <w:rPr>
          <w:color w:val="auto"/>
          <w:highlight w:val="none"/>
        </w:rPr>
      </w:r>
      <w:r/>
    </w:p>
    <w:p>
      <w:pPr>
        <w:jc w:val="center"/>
        <w:keepLines/>
        <w:keepNext/>
        <w:spacing w:before="260" w:after="140" w:line="348" w:lineRule="auto"/>
        <w:rPr>
          <w:rFonts w:hint="eastAsia" w:ascii="宋体" w:hAnsi="宋体" w:eastAsia="宋体" w:cs="Times New Roman"/>
          <w:b/>
          <w:color w:val="auto"/>
          <w:sz w:val="32"/>
          <w:szCs w:val="24"/>
          <w:highlight w:val="none"/>
        </w:rPr>
        <w:outlineLvl w:val="1"/>
      </w:pPr>
      <w:r>
        <w:rPr>
          <w:rFonts w:hint="eastAsia" w:ascii="宋体" w:hAnsi="宋体" w:eastAsia="宋体" w:cs="Times New Roman"/>
          <w:b/>
          <w:color w:val="auto"/>
          <w:sz w:val="32"/>
          <w:szCs w:val="24"/>
          <w:highlight w:val="none"/>
        </w:rPr>
        <w:t xml:space="preserve">合  同</w:t>
      </w:r>
      <w:r>
        <w:rPr>
          <w:color w:val="auto"/>
          <w:highlight w:val="none"/>
        </w:rPr>
      </w:r>
      <w:r/>
    </w:p>
    <w:p>
      <w:pPr>
        <w:jc w:val="left"/>
        <w:spacing w:line="348" w:lineRule="auto"/>
        <w:widowControl/>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甲方：</w:t>
      </w:r>
      <w:r>
        <w:rPr>
          <w:color w:val="auto"/>
          <w:highlight w:val="none"/>
        </w:rPr>
      </w:r>
      <w:r/>
    </w:p>
    <w:p>
      <w:pPr>
        <w:jc w:val="left"/>
        <w:spacing w:line="348" w:lineRule="auto"/>
        <w:widowControl/>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乙方：</w:t>
      </w:r>
      <w:r>
        <w:rPr>
          <w:color w:val="auto"/>
          <w:highlight w:val="none"/>
        </w:rPr>
      </w:r>
      <w:r/>
    </w:p>
    <w:p>
      <w:pPr>
        <w:jc w:val="left"/>
        <w:spacing w:line="348" w:lineRule="auto"/>
        <w:widowControl/>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ab/>
      </w:r>
      <w:r>
        <w:rPr>
          <w:rFonts w:hint="eastAsia" w:ascii="Times New Roman" w:hAnsi="宋体" w:eastAsia="Times New Roman" w:cs="Times New Roman"/>
          <w:color w:val="auto"/>
          <w:sz w:val="24"/>
          <w:szCs w:val="24"/>
          <w:highlight w:val="none"/>
        </w:rPr>
        <w:t xml:space="preserve">经公开招标（项目编号：</w:t>
      </w:r>
      <w:r>
        <w:rPr>
          <w:rFonts w:hint="eastAsia" w:ascii="Times New Roman" w:hAnsi="宋体" w:eastAsia="Times New Roman" w:cs="Times New Roman"/>
          <w:color w:val="auto"/>
          <w:sz w:val="24"/>
          <w:szCs w:val="24"/>
          <w:highlight w:val="none"/>
          <w:u w:val="single"/>
        </w:rPr>
        <w:t xml:space="preserve">                             </w:t>
      </w:r>
      <w:r>
        <w:rPr>
          <w:rFonts w:hint="eastAsia" w:ascii="Times New Roman" w:hAnsi="宋体" w:eastAsia="Times New Roman" w:cs="Times New Roman"/>
          <w:color w:val="auto"/>
          <w:sz w:val="24"/>
          <w:szCs w:val="24"/>
          <w:highlight w:val="none"/>
        </w:rPr>
        <w:t xml:space="preserve">）及甲、乙双方协商，就乙方销售给甲方设备，特订立本合同。</w:t>
      </w:r>
      <w:r>
        <w:rPr>
          <w:color w:val="auto"/>
          <w:highlight w:val="none"/>
        </w:rPr>
      </w:r>
      <w:r/>
    </w:p>
    <w:p>
      <w:pPr>
        <w:ind w:firstLine="480"/>
        <w:jc w:val="left"/>
        <w:spacing w:line="360" w:lineRule="auto"/>
        <w:widowControl/>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一、设备名称、型号、数量和价格</w:t>
      </w:r>
      <w:r>
        <w:rPr>
          <w:color w:val="auto"/>
          <w:highlight w:val="none"/>
        </w:rPr>
      </w:r>
      <w:r/>
    </w:p>
    <w:tbl>
      <w:tblPr>
        <w:tblStyle w:val="792"/>
        <w:tblW w:w="9211" w:type="dxa"/>
        <w:tblInd w:w="0" w:type="dxa"/>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57"/>
        <w:gridCol w:w="1842"/>
        <w:gridCol w:w="1418"/>
        <w:gridCol w:w="992"/>
        <w:gridCol w:w="1418"/>
        <w:gridCol w:w="1984"/>
      </w:tblGrid>
      <w:tr>
        <w:trPr>
          <w:cantSplit/>
          <w:trHeight w:val="419" w:hRule="exact"/>
        </w:trPr>
        <w:tc>
          <w:tcPr>
            <w:tcW w:w="1557" w:type="dxa"/>
            <w:vAlign w:val="center"/>
            <w:textDirection w:val="lrTb"/>
            <w:noWrap w:val="false"/>
          </w:tcPr>
          <w:p>
            <w:pPr>
              <w:ind w:firstLine="480"/>
              <w:jc w:val="center"/>
              <w:spacing w:line="360" w:lineRule="auto"/>
              <w:widowControl/>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设备名称</w:t>
            </w:r>
            <w:r>
              <w:rPr>
                <w:color w:val="auto"/>
                <w:highlight w:val="none"/>
              </w:rPr>
            </w:r>
            <w:r/>
          </w:p>
        </w:tc>
        <w:tc>
          <w:tcPr>
            <w:tcW w:w="1842" w:type="dxa"/>
            <w:vAlign w:val="center"/>
            <w:textDirection w:val="lrTb"/>
            <w:noWrap w:val="false"/>
          </w:tcPr>
          <w:p>
            <w:pPr>
              <w:ind w:firstLine="480"/>
              <w:jc w:val="center"/>
              <w:spacing w:line="360" w:lineRule="auto"/>
              <w:widowControl/>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生产厂家</w:t>
            </w:r>
            <w:r>
              <w:rPr>
                <w:color w:val="auto"/>
                <w:highlight w:val="none"/>
              </w:rPr>
            </w:r>
            <w:r/>
          </w:p>
        </w:tc>
        <w:tc>
          <w:tcPr>
            <w:tcW w:w="1418" w:type="dxa"/>
            <w:vAlign w:val="center"/>
            <w:textDirection w:val="lrTb"/>
            <w:noWrap w:val="false"/>
          </w:tcPr>
          <w:p>
            <w:pPr>
              <w:ind w:firstLine="480"/>
              <w:jc w:val="center"/>
              <w:spacing w:line="360" w:lineRule="auto"/>
              <w:widowControl/>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规格型号</w:t>
            </w:r>
            <w:r>
              <w:rPr>
                <w:color w:val="auto"/>
                <w:highlight w:val="none"/>
              </w:rPr>
            </w:r>
            <w:r/>
          </w:p>
        </w:tc>
        <w:tc>
          <w:tcPr>
            <w:tcW w:w="992" w:type="dxa"/>
            <w:vAlign w:val="center"/>
            <w:textDirection w:val="lrTb"/>
            <w:noWrap w:val="false"/>
          </w:tcPr>
          <w:p>
            <w:pPr>
              <w:ind w:firstLine="480"/>
              <w:jc w:val="center"/>
              <w:spacing w:line="360" w:lineRule="auto"/>
              <w:widowControl/>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数量</w:t>
            </w:r>
            <w:r>
              <w:rPr>
                <w:color w:val="auto"/>
                <w:highlight w:val="none"/>
              </w:rPr>
            </w:r>
            <w:r/>
          </w:p>
        </w:tc>
        <w:tc>
          <w:tcPr>
            <w:tcW w:w="1418" w:type="dxa"/>
            <w:vAlign w:val="center"/>
            <w:textDirection w:val="lrTb"/>
            <w:noWrap w:val="false"/>
          </w:tcPr>
          <w:p>
            <w:pPr>
              <w:ind w:firstLine="480"/>
              <w:jc w:val="center"/>
              <w:spacing w:line="360" w:lineRule="auto"/>
              <w:widowControl/>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单价（元）</w:t>
            </w:r>
            <w:r>
              <w:rPr>
                <w:color w:val="auto"/>
                <w:highlight w:val="none"/>
              </w:rPr>
            </w:r>
            <w:r/>
          </w:p>
        </w:tc>
        <w:tc>
          <w:tcPr>
            <w:tcW w:w="1984" w:type="dxa"/>
            <w:vAlign w:val="center"/>
            <w:textDirection w:val="lrTb"/>
            <w:noWrap w:val="false"/>
          </w:tcPr>
          <w:p>
            <w:pPr>
              <w:ind w:firstLine="480"/>
              <w:jc w:val="center"/>
              <w:spacing w:line="360" w:lineRule="auto"/>
              <w:widowControl/>
              <w:rPr>
                <w:rFonts w:ascii="Times New Roman" w:hAnsi="宋体" w:eastAsia="Times New Roman" w:cs="Times New Roman"/>
                <w:color w:val="auto"/>
                <w:sz w:val="24"/>
                <w:szCs w:val="24"/>
                <w:highlight w:val="none"/>
                <w:u w:val="single"/>
              </w:rPr>
            </w:pPr>
            <w:r>
              <w:rPr>
                <w:rFonts w:hint="eastAsia" w:ascii="Times New Roman" w:hAnsi="宋体" w:eastAsia="Times New Roman" w:cs="Times New Roman"/>
                <w:color w:val="auto"/>
                <w:sz w:val="24"/>
                <w:szCs w:val="24"/>
                <w:highlight w:val="none"/>
              </w:rPr>
              <w:t xml:space="preserve">成交总价（元）</w:t>
            </w:r>
            <w:r>
              <w:rPr>
                <w:color w:val="auto"/>
                <w:highlight w:val="none"/>
              </w:rPr>
            </w:r>
            <w:r/>
          </w:p>
        </w:tc>
      </w:tr>
      <w:tr>
        <w:trPr>
          <w:cantSplit/>
          <w:trHeight w:val="879" w:hRule="exact"/>
        </w:trPr>
        <w:tc>
          <w:tcPr>
            <w:tcW w:w="1557" w:type="dxa"/>
            <w:vAlign w:val="center"/>
            <w:textDirection w:val="lrTb"/>
            <w:noWrap w:val="false"/>
          </w:tcPr>
          <w:p>
            <w:pPr>
              <w:ind w:firstLine="480"/>
              <w:jc w:val="center"/>
              <w:spacing w:line="360" w:lineRule="auto"/>
              <w:widowControl/>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 </w:t>
            </w:r>
            <w:r>
              <w:rPr>
                <w:color w:val="auto"/>
                <w:highlight w:val="none"/>
              </w:rPr>
            </w:r>
            <w:r/>
          </w:p>
        </w:tc>
        <w:tc>
          <w:tcPr>
            <w:tcW w:w="1842" w:type="dxa"/>
            <w:vAlign w:val="center"/>
            <w:textDirection w:val="lrTb"/>
            <w:noWrap w:val="false"/>
          </w:tcPr>
          <w:p>
            <w:pPr>
              <w:ind w:firstLine="480"/>
              <w:jc w:val="center"/>
              <w:spacing w:line="360" w:lineRule="auto"/>
              <w:widowControl/>
              <w:rPr>
                <w:rFonts w:ascii="Times New Roman" w:hAnsi="宋体" w:eastAsia="Times New Roman" w:cs="Times New Roman"/>
                <w:color w:val="auto"/>
                <w:sz w:val="24"/>
                <w:szCs w:val="24"/>
                <w:highlight w:val="none"/>
              </w:rPr>
            </w:pPr>
            <w:r>
              <w:rPr>
                <w:rFonts w:ascii="Times New Roman" w:hAnsi="宋体" w:eastAsia="Times New Roman" w:cs="Times New Roman"/>
                <w:color w:val="auto"/>
                <w:sz w:val="24"/>
                <w:szCs w:val="24"/>
                <w:highlight w:val="none"/>
              </w:rPr>
            </w:r>
            <w:r>
              <w:rPr>
                <w:color w:val="auto"/>
                <w:highlight w:val="none"/>
              </w:rPr>
            </w:r>
            <w:r/>
          </w:p>
        </w:tc>
        <w:tc>
          <w:tcPr>
            <w:tcW w:w="1418" w:type="dxa"/>
            <w:vAlign w:val="center"/>
            <w:textDirection w:val="lrTb"/>
            <w:noWrap w:val="false"/>
          </w:tcPr>
          <w:p>
            <w:pPr>
              <w:ind w:firstLine="480"/>
              <w:jc w:val="center"/>
              <w:spacing w:line="360" w:lineRule="auto"/>
              <w:widowControl/>
              <w:rPr>
                <w:rFonts w:ascii="Times New Roman" w:hAnsi="宋体" w:eastAsia="Times New Roman" w:cs="Times New Roman"/>
                <w:color w:val="auto"/>
                <w:sz w:val="24"/>
                <w:szCs w:val="24"/>
                <w:highlight w:val="none"/>
              </w:rPr>
            </w:pPr>
            <w:r>
              <w:rPr>
                <w:rFonts w:ascii="Times New Roman" w:hAnsi="宋体" w:eastAsia="Times New Roman" w:cs="Times New Roman"/>
                <w:color w:val="auto"/>
                <w:sz w:val="24"/>
                <w:szCs w:val="24"/>
                <w:highlight w:val="none"/>
              </w:rPr>
            </w:r>
            <w:r>
              <w:rPr>
                <w:color w:val="auto"/>
                <w:highlight w:val="none"/>
              </w:rPr>
            </w:r>
            <w:r/>
          </w:p>
        </w:tc>
        <w:tc>
          <w:tcPr>
            <w:tcW w:w="992" w:type="dxa"/>
            <w:vAlign w:val="center"/>
            <w:textDirection w:val="lrTb"/>
            <w:noWrap w:val="false"/>
          </w:tcPr>
          <w:p>
            <w:pPr>
              <w:ind w:firstLine="480"/>
              <w:jc w:val="center"/>
              <w:spacing w:line="360" w:lineRule="auto"/>
              <w:widowControl/>
              <w:rPr>
                <w:rFonts w:ascii="Times New Roman" w:hAnsi="宋体" w:eastAsia="Times New Roman" w:cs="Times New Roman"/>
                <w:color w:val="auto"/>
                <w:sz w:val="24"/>
                <w:szCs w:val="24"/>
                <w:highlight w:val="none"/>
              </w:rPr>
            </w:pPr>
            <w:r>
              <w:rPr>
                <w:rFonts w:ascii="Times New Roman" w:hAnsi="宋体" w:eastAsia="Times New Roman" w:cs="Times New Roman"/>
                <w:color w:val="auto"/>
                <w:sz w:val="24"/>
                <w:szCs w:val="24"/>
                <w:highlight w:val="none"/>
              </w:rPr>
            </w:r>
            <w:r>
              <w:rPr>
                <w:color w:val="auto"/>
                <w:highlight w:val="none"/>
              </w:rPr>
            </w:r>
            <w:r/>
          </w:p>
        </w:tc>
        <w:tc>
          <w:tcPr>
            <w:tcW w:w="1418" w:type="dxa"/>
            <w:vAlign w:val="center"/>
            <w:textDirection w:val="lrTb"/>
            <w:noWrap w:val="false"/>
          </w:tcPr>
          <w:p>
            <w:pPr>
              <w:ind w:firstLine="480"/>
              <w:jc w:val="center"/>
              <w:spacing w:line="360" w:lineRule="auto"/>
              <w:widowControl/>
              <w:rPr>
                <w:rFonts w:ascii="Times New Roman" w:hAnsi="宋体" w:eastAsia="Times New Roman" w:cs="Times New Roman"/>
                <w:color w:val="auto"/>
                <w:sz w:val="24"/>
                <w:szCs w:val="24"/>
                <w:highlight w:val="none"/>
              </w:rPr>
            </w:pPr>
            <w:r>
              <w:rPr>
                <w:rFonts w:ascii="Times New Roman" w:hAnsi="宋体" w:eastAsia="Times New Roman" w:cs="Times New Roman"/>
                <w:color w:val="auto"/>
                <w:sz w:val="24"/>
                <w:szCs w:val="24"/>
                <w:highlight w:val="none"/>
              </w:rPr>
            </w:r>
            <w:r>
              <w:rPr>
                <w:color w:val="auto"/>
                <w:highlight w:val="none"/>
              </w:rPr>
            </w:r>
            <w:r/>
          </w:p>
        </w:tc>
        <w:tc>
          <w:tcPr>
            <w:tcW w:w="1984" w:type="dxa"/>
            <w:vAlign w:val="center"/>
            <w:textDirection w:val="lrTb"/>
            <w:noWrap w:val="false"/>
          </w:tcPr>
          <w:p>
            <w:pPr>
              <w:ind w:firstLine="480"/>
              <w:jc w:val="center"/>
              <w:spacing w:line="360" w:lineRule="auto"/>
              <w:widowControl/>
              <w:rPr>
                <w:rFonts w:ascii="Times New Roman" w:hAnsi="宋体" w:eastAsia="Times New Roman" w:cs="Times New Roman"/>
                <w:color w:val="auto"/>
                <w:sz w:val="24"/>
                <w:szCs w:val="24"/>
                <w:highlight w:val="none"/>
              </w:rPr>
            </w:pPr>
            <w:r>
              <w:rPr>
                <w:rFonts w:ascii="Times New Roman" w:hAnsi="宋体" w:eastAsia="Times New Roman" w:cs="Times New Roman"/>
                <w:color w:val="auto"/>
                <w:sz w:val="24"/>
                <w:szCs w:val="24"/>
                <w:highlight w:val="none"/>
              </w:rPr>
            </w:r>
            <w:r>
              <w:rPr>
                <w:color w:val="auto"/>
                <w:highlight w:val="none"/>
              </w:rPr>
            </w:r>
            <w:r/>
          </w:p>
        </w:tc>
      </w:tr>
      <w:tr>
        <w:trPr>
          <w:trHeight w:val="419" w:hRule="exact"/>
        </w:trPr>
        <w:tc>
          <w:tcPr>
            <w:gridSpan w:val="4"/>
            <w:tcW w:w="5809" w:type="dxa"/>
            <w:vAlign w:val="center"/>
            <w:textDirection w:val="lrTb"/>
            <w:noWrap w:val="false"/>
          </w:tcPr>
          <w:p>
            <w:pPr>
              <w:ind w:firstLine="480"/>
              <w:jc w:val="left"/>
              <w:spacing w:line="360" w:lineRule="auto"/>
              <w:widowControl/>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总计（大写）：</w:t>
            </w:r>
            <w:r>
              <w:rPr>
                <w:color w:val="auto"/>
                <w:highlight w:val="none"/>
              </w:rPr>
            </w:r>
            <w:r/>
          </w:p>
        </w:tc>
        <w:tc>
          <w:tcPr>
            <w:gridSpan w:val="2"/>
            <w:tcW w:w="3402" w:type="dxa"/>
            <w:vAlign w:val="center"/>
            <w:textDirection w:val="lrTb"/>
            <w:noWrap w:val="false"/>
          </w:tcPr>
          <w:p>
            <w:pPr>
              <w:ind w:firstLine="480"/>
              <w:jc w:val="center"/>
              <w:spacing w:line="360" w:lineRule="auto"/>
              <w:widowControl/>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（小写）： </w:t>
            </w:r>
            <w:r>
              <w:rPr>
                <w:color w:val="auto"/>
                <w:highlight w:val="none"/>
              </w:rPr>
            </w:r>
            <w:r/>
          </w:p>
        </w:tc>
      </w:tr>
    </w:tbl>
    <w:p>
      <w:pPr>
        <w:numPr>
          <w:ilvl w:val="255"/>
          <w:numId w:val="0"/>
        </w:numPr>
        <w:ind w:firstLine="480"/>
        <w:spacing w:line="360" w:lineRule="auto"/>
        <w:rPr>
          <w:rFonts w:ascii="Calibri" w:hAnsi="宋体" w:eastAsia="Times New Roman" w:cs="Times New Roman"/>
          <w:color w:val="auto"/>
          <w:sz w:val="24"/>
          <w:highlight w:val="none"/>
        </w:rPr>
      </w:pPr>
      <w:r>
        <w:rPr>
          <w:rFonts w:hint="eastAsia" w:ascii="Calibri" w:hAnsi="宋体" w:eastAsia="Times New Roman" w:cs="Times New Roman"/>
          <w:color w:val="auto"/>
          <w:sz w:val="24"/>
          <w:highlight w:val="none"/>
        </w:rPr>
        <w:t xml:space="preserve">二、设备详细配置清单见乙方的投标文件及承诺书（项目编号：_________）。</w:t>
      </w:r>
      <w:r>
        <w:rPr>
          <w:color w:val="auto"/>
          <w:highlight w:val="none"/>
        </w:rPr>
      </w:r>
      <w:r/>
    </w:p>
    <w:p>
      <w:pPr>
        <w:ind w:firstLine="480"/>
        <w:spacing w:line="360" w:lineRule="auto"/>
        <w:widowControl/>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三、付款方式：</w:t>
      </w:r>
      <w:r>
        <w:rPr>
          <w:rFonts w:hint="eastAsia" w:ascii="宋体" w:hAnsi="宋体" w:eastAsia="宋体" w:cs="宋体"/>
          <w:bCs/>
          <w:color w:val="auto"/>
          <w:sz w:val="24"/>
          <w:szCs w:val="24"/>
          <w:highlight w:val="none"/>
        </w:rPr>
        <w:t xml:space="preserve">合同签订后，乙方须向甲方开具等额合法有效发票，甲方收到发票后20个工作日内支付合同总额的30%；设备安装、调试并经双方联合验收合格，且乙方向甲方开具等额合法有效发票的，甲方在收到发票后20个工作日内支付合同总额的65%；验收合格满一年，乙方向甲方开具等额合法有效发票的，甲方在收到发票后20个工作日内支付剩余5%。乙方未按期提供合法有效发票的，甲方付款期限相应顺延，且不承担逾期付款责任。（</w:t>
      </w:r>
      <w:r>
        <w:rPr>
          <w:rFonts w:ascii="宋体" w:hAnsi="宋体" w:eastAsia="宋体" w:cs="宋体"/>
          <w:bCs/>
          <w:color w:val="auto"/>
          <w:sz w:val="24"/>
          <w:szCs w:val="24"/>
          <w:highlight w:val="none"/>
        </w:rPr>
        <w:t xml:space="preserve">符合《保障中小企业款项支付条例》规定情形的，按该条例规定付款</w:t>
      </w:r>
      <w:r>
        <w:rPr>
          <w:rFonts w:hint="eastAsia" w:ascii="宋体" w:hAnsi="宋体" w:eastAsia="宋体" w:cs="宋体"/>
          <w:bCs/>
          <w:color w:val="auto"/>
          <w:sz w:val="24"/>
          <w:szCs w:val="24"/>
          <w:highlight w:val="none"/>
        </w:rPr>
        <w:t xml:space="preserve">） </w:t>
      </w:r>
      <w:r>
        <w:rPr>
          <w:rFonts w:hint="eastAsia" w:ascii="Times New Roman" w:hAnsi="宋体" w:eastAsia="Times New Roman" w:cs="Times New Roman"/>
          <w:color w:val="auto"/>
          <w:sz w:val="24"/>
          <w:szCs w:val="24"/>
          <w:highlight w:val="none"/>
        </w:rPr>
        <w:t xml:space="preserve">    </w:t>
      </w:r>
      <w:r>
        <w:rPr>
          <w:color w:val="auto"/>
          <w:highlight w:val="none"/>
        </w:rPr>
      </w:r>
      <w:r/>
    </w:p>
    <w:p>
      <w:pPr>
        <w:ind w:left="420"/>
        <w:spacing w:line="360" w:lineRule="auto"/>
        <w:widowControl/>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四、交货期及交货地点：合同生效之日起</w:t>
      </w:r>
      <w:r>
        <w:rPr>
          <w:rFonts w:hint="eastAsia" w:ascii="Times New Roman" w:hAnsi="宋体" w:eastAsia="Times New Roman" w:cs="Times New Roman"/>
          <w:color w:val="auto"/>
          <w:sz w:val="24"/>
          <w:szCs w:val="24"/>
          <w:highlight w:val="none"/>
          <w:u w:val="single"/>
        </w:rPr>
        <w:t xml:space="preserve">       </w:t>
      </w:r>
      <w:r>
        <w:rPr>
          <w:rFonts w:hint="eastAsia" w:ascii="Times New Roman" w:hAnsi="宋体" w:eastAsia="Times New Roman" w:cs="Times New Roman"/>
          <w:color w:val="auto"/>
          <w:sz w:val="24"/>
          <w:szCs w:val="24"/>
          <w:highlight w:val="none"/>
        </w:rPr>
        <w:t xml:space="preserve">天之内货物运抵甲方指定的医院机房。</w:t>
      </w:r>
      <w:r>
        <w:rPr>
          <w:color w:val="auto"/>
          <w:highlight w:val="none"/>
        </w:rPr>
      </w:r>
      <w:r/>
    </w:p>
    <w:p>
      <w:pPr>
        <w:ind w:firstLine="480"/>
        <w:spacing w:line="360" w:lineRule="auto"/>
        <w:widowControl/>
        <w:rPr>
          <w:rFonts w:ascii="Times New Roman" w:hAnsi="宋体" w:cs="Times New Roman" w:eastAsiaTheme="minorEastAsia"/>
          <w:color w:val="auto"/>
          <w:sz w:val="24"/>
          <w:szCs w:val="24"/>
          <w:highlight w:val="none"/>
        </w:rPr>
      </w:pPr>
      <w:r>
        <w:rPr>
          <w:rFonts w:hint="eastAsia" w:ascii="Times New Roman" w:hAnsi="宋体" w:eastAsia="Times New Roman" w:cs="Times New Roman"/>
          <w:color w:val="auto"/>
          <w:sz w:val="24"/>
          <w:szCs w:val="24"/>
          <w:highlight w:val="none"/>
        </w:rPr>
        <w:t xml:space="preserve">五、上述设备免费保修</w:t>
      </w:r>
      <w:r>
        <w:rPr>
          <w:rFonts w:hint="eastAsia" w:ascii="Times New Roman" w:hAnsi="宋体" w:eastAsia="Times New Roman" w:cs="Times New Roman"/>
          <w:color w:val="auto"/>
          <w:sz w:val="24"/>
          <w:szCs w:val="24"/>
          <w:highlight w:val="none"/>
          <w:u w:val="single"/>
        </w:rPr>
        <w:t xml:space="preserve">    </w:t>
      </w:r>
      <w:r>
        <w:rPr>
          <w:rFonts w:hint="eastAsia" w:ascii="Times New Roman" w:hAnsi="宋体" w:eastAsia="Times New Roman" w:cs="Times New Roman"/>
          <w:color w:val="auto"/>
          <w:sz w:val="24"/>
          <w:szCs w:val="24"/>
          <w:highlight w:val="none"/>
        </w:rPr>
        <w:t xml:space="preserve">个月。并确保设备保修期内开机率为9</w:t>
      </w:r>
      <w:r>
        <w:rPr>
          <w:rFonts w:ascii="Times New Roman" w:hAnsi="宋体" w:eastAsia="Times New Roman" w:cs="Times New Roman"/>
          <w:color w:val="auto"/>
          <w:sz w:val="24"/>
          <w:szCs w:val="24"/>
          <w:highlight w:val="none"/>
        </w:rPr>
        <w:t xml:space="preserve">5</w:t>
      </w:r>
      <w:r>
        <w:rPr>
          <w:rFonts w:hint="eastAsia" w:ascii="Times New Roman" w:hAnsi="宋体" w:eastAsia="Times New Roman" w:cs="Times New Roman"/>
          <w:color w:val="auto"/>
          <w:sz w:val="24"/>
          <w:szCs w:val="24"/>
          <w:highlight w:val="none"/>
        </w:rPr>
        <w:t xml:space="preserve">%，如设备故障停机率超过</w:t>
      </w:r>
      <w:r>
        <w:rPr>
          <w:rFonts w:ascii="Times New Roman" w:hAnsi="宋体" w:eastAsia="Times New Roman" w:cs="Times New Roman"/>
          <w:color w:val="auto"/>
          <w:sz w:val="24"/>
          <w:szCs w:val="24"/>
          <w:highlight w:val="none"/>
        </w:rPr>
        <w:t xml:space="preserve">5</w:t>
      </w:r>
      <w:r>
        <w:rPr>
          <w:rFonts w:hint="eastAsia" w:ascii="Times New Roman" w:hAnsi="宋体" w:eastAsia="Times New Roman" w:cs="Times New Roman"/>
          <w:color w:val="auto"/>
          <w:sz w:val="24"/>
          <w:szCs w:val="24"/>
          <w:highlight w:val="none"/>
        </w:rPr>
        <w:t xml:space="preserve">%（一年按</w:t>
      </w:r>
      <w:r>
        <w:rPr>
          <w:rFonts w:ascii="Times New Roman" w:hAnsi="宋体" w:eastAsia="Times New Roman" w:cs="Times New Roman"/>
          <w:color w:val="auto"/>
          <w:sz w:val="24"/>
          <w:szCs w:val="24"/>
          <w:highlight w:val="none"/>
        </w:rPr>
        <w:t xml:space="preserve">365</w:t>
      </w:r>
      <w:r>
        <w:rPr>
          <w:rFonts w:hint="eastAsia" w:ascii="Times New Roman" w:hAnsi="宋体" w:eastAsia="Times New Roman" w:cs="Times New Roman"/>
          <w:color w:val="auto"/>
          <w:sz w:val="24"/>
          <w:szCs w:val="24"/>
          <w:highlight w:val="none"/>
        </w:rPr>
        <w:t xml:space="preserve">天计算，每年</w:t>
      </w:r>
      <w:r>
        <w:rPr>
          <w:rFonts w:ascii="Times New Roman" w:hAnsi="宋体" w:eastAsia="Times New Roman" w:cs="Times New Roman"/>
          <w:color w:val="auto"/>
          <w:sz w:val="24"/>
          <w:szCs w:val="24"/>
          <w:highlight w:val="none"/>
        </w:rPr>
        <w:t xml:space="preserve">18</w:t>
      </w:r>
      <w:r>
        <w:rPr>
          <w:rFonts w:hint="eastAsia" w:ascii="Times New Roman" w:hAnsi="宋体" w:eastAsia="Times New Roman" w:cs="Times New Roman"/>
          <w:color w:val="auto"/>
          <w:sz w:val="24"/>
          <w:szCs w:val="24"/>
          <w:highlight w:val="none"/>
        </w:rPr>
        <w:t xml:space="preserve">天），每超过一天，保修期延长14天。质保期内设备累计停机超过30天的，甲方有权要求乙方免费更换核心部件或直接退货退款，乙方须另行支付合同总金额10%的违约金。保修期外乙方对本设备终身负责维修。</w:t>
      </w:r>
      <w:r>
        <w:rPr>
          <w:color w:val="auto"/>
          <w:highlight w:val="none"/>
        </w:rPr>
      </w:r>
      <w:r/>
    </w:p>
    <w:p>
      <w:pPr>
        <w:ind w:firstLine="48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乙方保证所供设备型号是最新的，且是用上等材料和工艺制成，全新，并严格保持原包装，否则造成的一切损失由乙方负全部责任。由于设备质量问题引起的医疗事故和纠纷，乙方承担全部的法律和经济责任。因乙方提供的设备存在质量缺陷导致医疗事故或纠纷的，乙方应承担全部法律和经济责任，包括但不限于患者赔偿、甲方声誉损失、行政处罚等；乙方应在甲方通知后</w:t>
      </w:r>
      <w:r>
        <w:rPr>
          <w:rFonts w:ascii="Times New Roman" w:hAnsi="宋体" w:eastAsia="Times New Roman" w:cs="Times New Roman"/>
          <w:color w:val="auto"/>
          <w:sz w:val="24"/>
          <w:szCs w:val="24"/>
          <w:highlight w:val="none"/>
        </w:rPr>
        <w:t xml:space="preserve">5</w:t>
      </w:r>
      <w:r>
        <w:rPr>
          <w:rFonts w:hint="eastAsia" w:ascii="宋体" w:hAnsi="宋体" w:eastAsia="宋体" w:cs="宋体"/>
          <w:color w:val="auto"/>
          <w:sz w:val="24"/>
          <w:szCs w:val="24"/>
          <w:highlight w:val="none"/>
        </w:rPr>
        <w:t xml:space="preserve">日内出面处理，否则甲方有权自行处理并从应付乙方款项中直接扣除相关费用。</w:t>
      </w:r>
      <w:r>
        <w:rPr>
          <w:color w:val="auto"/>
          <w:highlight w:val="none"/>
        </w:rPr>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七、乙方应保证甲方在使用、接受本合同货物和服务或其任何一部分时不涉及任何第三方提出侵犯其专利权、版权、商标权和工业设计权等知识产权的纠纷。</w:t>
      </w:r>
      <w:r>
        <w:rPr>
          <w:rFonts w:ascii="宋体" w:hAnsi="宋体" w:eastAsia="宋体" w:cs="宋体"/>
          <w:color w:val="auto"/>
          <w:sz w:val="24"/>
          <w:szCs w:val="24"/>
          <w:highlight w:val="none"/>
        </w:rPr>
        <w:t xml:space="preserve">一旦出现，由乙方负全部责任。乙方违反本合同关于知识产权保证的约定，导致甲方遭受任何第三方知识产权侵权主张的，乙方应承担甲方因此产生的全部费用，包括但不限于赔偿金、诉讼费、律师费、鉴定费等，并赔偿甲方因此遭受的全部损失。</w:t>
      </w:r>
      <w:r>
        <w:rPr>
          <w:color w:val="auto"/>
          <w:highlight w:val="none"/>
        </w:rPr>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八、乙方保证向甲方提供的设备满足中国国家标准或相关行业标准。根据国家规定，如需要提供3C认证证书和标记的设备及有关配置，必须提供上述证书和标记。</w:t>
      </w:r>
      <w:r>
        <w:rPr>
          <w:color w:val="auto"/>
          <w:highlight w:val="none"/>
        </w:rPr>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w:t>
      </w:r>
      <w:r>
        <w:rPr>
          <w:rFonts w:ascii="宋体" w:hAnsi="宋体" w:eastAsia="宋体" w:cs="宋体"/>
          <w:color w:val="auto"/>
          <w:sz w:val="24"/>
          <w:szCs w:val="24"/>
          <w:highlight w:val="none"/>
        </w:rPr>
        <w:t xml:space="preserve">乙方所供设备如验收不合格，根据甲方的要求，乙方必须无条件换货或退货，由此引起的一切损失由乙方承担。乙方交付的设备经验收不合格的，甲方有权要求乙方在15日内完成更换或修复；逾期未完成更换或修复的，甲方有权选择退货，乙方应在收到退货通知后10日内退还甲方已支付的全部款项，并按合同总额的20%向甲方支付违约金，同时赔偿甲方全部损失。</w:t>
      </w:r>
      <w:r>
        <w:rPr>
          <w:color w:val="auto"/>
          <w:highlight w:val="none"/>
        </w:rPr>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设备安装后，设备安装调试完成后，乙方应于3个工作日内书面申请验收，甲方收到申请后15个工作日内组织联合验收；若乙方未按时申请，甲方有权自行组织验收，验收结果对乙方有效。若验收存在歧义，甲方有权委托国内有资质的单位进行质量检测，费用由乙方承担。</w:t>
      </w:r>
      <w:r>
        <w:rPr>
          <w:color w:val="auto"/>
          <w:highlight w:val="none"/>
        </w:rPr>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十一、特别提</w:t>
      </w:r>
      <w:r>
        <w:rPr>
          <w:rFonts w:hint="eastAsia" w:ascii="宋体" w:hAnsi="宋体" w:eastAsia="宋体" w:cs="宋体"/>
          <w:color w:val="auto"/>
          <w:sz w:val="24"/>
          <w:szCs w:val="24"/>
          <w:highlight w:val="none"/>
        </w:rPr>
        <w:t xml:space="preserve">醒条款：a、所提供医疗器械产品注册证必须真实有效；b、所提供设备上的中文品名、型号及产品说明书所注适用范围必须与医疗器械产品注册证所标明的完全一致；c、发票上所列品名与型号必须与合同所列品名与型号完全一致；d、其他未提及事项必须符合国家药品监督管理局的相关规定。e、设备到货时间，请乙方至少提前三天通知甲方采购员，以便甲方安排好相关收货工作。设备到达甲方医院时，乙方代表必须随机到达，由乙方负责卸货并搬运至甲方指定的地点，待设备搬运完毕后，甲乙双方办理交接手续。如未按上述条款执行，造成的一切后果全部由乙方承担。</w:t>
      </w:r>
      <w:r>
        <w:rPr>
          <w:color w:val="auto"/>
          <w:highlight w:val="none"/>
        </w:rPr>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十二、服务条款：</w:t>
      </w:r>
      <w:r>
        <w:rPr>
          <w:color w:val="auto"/>
          <w:highlight w:val="none"/>
        </w:rPr>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1.乙方免费提前为甲方提供设备安装图纸，并充分协助甲方做好机房的准备工作（如必要的话）。</w:t>
      </w:r>
      <w:r>
        <w:rPr>
          <w:color w:val="auto"/>
          <w:highlight w:val="none"/>
        </w:rPr>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设备安装时，乙方负责设备的免费安装和调试，但乙方必须事先与甲方的临床医学工程处联系，并与临床医学工程处共同参与，否则引起的一切责任由乙方承担。乙方不得将本合同项下任何义务分包、转包给第三方，否则甲方有权单方解除合同，乙方须退还全部已收款项并支付合同总金额20%的违约金。</w:t>
      </w:r>
      <w:r>
        <w:rPr>
          <w:color w:val="auto"/>
          <w:highlight w:val="none"/>
        </w:rPr>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逾期交付货物的，每逾期一天，乙方向甲方偿付货款总额万分之五的违约金，如乙方逾期交货达10天，甲方有权单方解除合同。乙方应于甲方解除合同之日起3日内退还甲方已支付的全部款项，并另行支付合同总金额20%的违约金；违约金不足以弥补甲方损失的，乙方还应足额赔偿甲方因此遭受的全部损失。因不可抗力、政府管制、重大交通中断等非因乙方原因导致不能按期交货的，乙方应在该情形发生后24小时内向甲方提交书面说明及证明材料，经甲方书面同意后方可推迟交货，推迟期限最长不得超过5日。</w:t>
      </w:r>
      <w:r>
        <w:rPr>
          <w:color w:val="auto"/>
          <w:highlight w:val="none"/>
        </w:rPr>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ascii="宋体" w:hAnsi="宋体" w:eastAsia="宋体" w:cs="宋体"/>
          <w:color w:val="auto"/>
          <w:sz w:val="24"/>
          <w:szCs w:val="24"/>
          <w:highlight w:val="none"/>
        </w:rPr>
        <w:t xml:space="preserve">设备安装、调试结束后，甲方收到乙方验收申请之日起15个工作日内组织联合验收，逾期未组织验收的，视为验收合格。乙方免费派工程师到达现场协助验收工作。保修期自甲方验收合格之日起计算，保修期外发生故障的，乙方修复后仅收取配件费，免收人工费及其他工时杂费。</w:t>
      </w:r>
      <w:r>
        <w:rPr>
          <w:color w:val="auto"/>
          <w:highlight w:val="none"/>
        </w:rPr>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5.如设备发生故障，乙方在接到甲方报修电话后</w:t>
      </w:r>
      <w:r>
        <w:rPr>
          <w:rFonts w:hint="eastAsia" w:ascii="宋体" w:hAnsi="宋体" w:eastAsia="宋体" w:cs="宋体"/>
          <w:color w:val="auto"/>
          <w:sz w:val="24"/>
          <w:szCs w:val="24"/>
          <w:highlight w:val="none"/>
        </w:rPr>
        <w:t xml:space="preserve">4小时内到达甲方现场，并在48小时内修复或免费提供合格备用机；逾期未修复且未提供合格备用机的，每逾期1天，乙方应按合同总金额的万分之五向甲方支付违约金。甲方有权自行采取必要的措施，由此产生的风险和费用由乙方承担。累计发生3次逾期未修复且未提供合格备用机情形的，甲方有权单方解除合同，乙方应退还甲方已支付的全部款项，并赔偿甲方因此遭受的全部损失。因不可抗力或甲方原因确实无法按期响应的，乙方应立即电话通知甲方，并在24小时内提交书面说明及相关证明材料，经甲方书面同意后方可推迟响应，且推迟期限最长不得超过24小时。</w:t>
      </w:r>
      <w:r>
        <w:rPr>
          <w:color w:val="auto"/>
          <w:highlight w:val="none"/>
        </w:rPr>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无论在保修期内还是保修期外，乙方必须上门维修，乙方工程师至甲方维修本设备，必须事先与甲方临床医学工程处取得联系，并做相应登记；在维修过程中与甲方工程师共同完成维修工作。否则引起的一切责任由乙方负责。</w:t>
      </w:r>
      <w:r>
        <w:rPr>
          <w:color w:val="auto"/>
          <w:highlight w:val="none"/>
        </w:rPr>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7.如设备软件升级，乙方负责终身免费软件升级。</w:t>
      </w:r>
      <w:r>
        <w:rPr>
          <w:color w:val="auto"/>
          <w:highlight w:val="none"/>
        </w:rPr>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8.乙方免费提供全套技术资料（维修说明书包括详细电路图、操作说明书及光盘），如技术资料不全，甲方有权不支付货款。</w:t>
      </w:r>
      <w:r>
        <w:rPr>
          <w:color w:val="auto"/>
          <w:highlight w:val="none"/>
        </w:rPr>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技术培训：在安装过程中或安装结束后，乙方工程师或有关人员有义务对甲方工程师和操作人员进行现场维修、保养、操作培训并提供快捷操作指南（塑胶封好，挂在设备上），解答甲方人员提出的问题。必要时提供正规培训班培训，确保操作人员掌握完成日常工作所需的基本操作方法为止，工程师掌握基本的维护保养操作技术为止。详见乙方的投标文件。</w:t>
      </w:r>
      <w:r>
        <w:rPr>
          <w:rFonts w:ascii="宋体" w:hAnsi="宋体" w:eastAsia="宋体" w:cs="宋体"/>
          <w:color w:val="auto"/>
          <w:sz w:val="24"/>
          <w:szCs w:val="24"/>
          <w:highlight w:val="none"/>
        </w:rPr>
        <w:t xml:space="preserve">乙方未按合同约定提供培训、技术资料、维修密码、软件升级等售后服务的，每发生一次，乙方应向甲方支付合同总价款1%的违约金；累计发生三次以上的，甲方有权解除合同，并要求乙方赔偿全部损失。</w:t>
      </w:r>
      <w:r>
        <w:rPr>
          <w:color w:val="auto"/>
          <w:highlight w:val="none"/>
        </w:rPr>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10.如乙方提供的设备设有维修软件密码，乙方保证无条件地为甲方永久免费打开。</w:t>
      </w:r>
      <w:r>
        <w:rPr>
          <w:color w:val="auto"/>
          <w:highlight w:val="none"/>
        </w:rPr>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11.项目编号：               的招投标文件及有关附件包括乙方在投标文件及相关承诺中作出的优惠条件、技术指标、服务承诺和其他承诺，均为本合同不可分割的组成部分，与本合同具有同等法律效力。乙方未经甲方书面同意，将本合同项下义务分包或转包的，甲方有权解除合同，乙方应退还已收取的全部款项并支付合同总额20%的违约金。上述文件及附件与本合同约定不一致的，以本合同约定为准；本合同未作约定的，以对甲方有利的约定为准。</w:t>
      </w:r>
      <w:r>
        <w:rPr>
          <w:color w:val="auto"/>
          <w:highlight w:val="none"/>
        </w:rPr>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乙方所提供的设备及其售后服务应遵守中国网络安全及数据安全相关法律法规（包括但不限于《网络安全法》《数据安全法》《个人信息保护法》），符合《医疗卫生机构网络安全管理办法》的要求。乙方违反本合同关于网络安全及数据安全法律法规的约定，导致甲方遭受行政处罚、民事赔偿或声誉损失的，乙方应承担全部赔偿责任，包括但不限于罚款、赔偿金及甲方为消除影响所支出的合理费用。 </w:t>
      </w:r>
      <w:r>
        <w:rPr>
          <w:color w:val="auto"/>
          <w:highlight w:val="none"/>
        </w:rPr>
      </w:r>
      <w:r/>
    </w:p>
    <w:p>
      <w:pPr>
        <w:ind w:firstLine="48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如中标人存在逾期交付、设备验收不合格、售后服务不达标、未按约定提供技术资料、数据安全不达标等任一违约情形的，甲方有权中止支付相应款项，直至中标人完成整改并承担相应违约责任，且甲方中止付款不视为违约，无需承担任何责任。</w:t>
      </w:r>
      <w:r>
        <w:rPr>
          <w:color w:val="auto"/>
          <w:highlight w:val="none"/>
        </w:rPr>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rPr>
          <w:rFonts w:ascii="宋体" w:hAnsi="宋体" w:eastAsia="宋体" w:cs="宋体"/>
          <w:color w:val="auto"/>
          <w:sz w:val="24"/>
          <w:szCs w:val="24"/>
          <w:highlight w:val="none"/>
        </w:rPr>
        <w:t xml:space="preserve">乙方未按合同约定提供售后服务的，包括但不限于未在4小时内到达现场、未在48小时内修复或提供备用机、未按约定进行维护保养、未免费提供软件升级等，每违反一次，乙方应向甲方支付合同总额1%的违约金；累计违反超过5次的，甲方有权解除合同并要求乙方赔偿全部损失。</w:t>
      </w:r>
      <w:r>
        <w:rPr>
          <w:color w:val="auto"/>
          <w:highlight w:val="none"/>
        </w:rPr>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合同变更与解除：除本合同另有约定外，任何一方不得擅自变更或解除本合同。如需变更，须经双方书面协商一致；如乙方出现逾期交货、验收不合格、设备故障停机率超标、售后服务响应迟延等违约情形，甲方有权单方解除合同，解除通知送达乙方之日起生效，乙方应承担相应违约责任。</w:t>
      </w:r>
      <w:r>
        <w:rPr>
          <w:color w:val="auto"/>
          <w:highlight w:val="none"/>
        </w:rPr>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本合同履约过程中，如发生任何争议，双方协商解决；如不能协商解决，向扬州仲裁委员会申请仲裁。双方确认本合同尾部载明的地址为各自的有效送达地址，任何书面通知按该地址邮寄即视为送达；若一方变更地址，需提前7个工作日书面通知对方，否则按原地址送达仍有效。</w:t>
      </w:r>
      <w:r>
        <w:rPr>
          <w:color w:val="auto"/>
          <w:highlight w:val="none"/>
        </w:rPr>
      </w:r>
      <w:r/>
    </w:p>
    <w:p>
      <w:pPr>
        <w:ind w:firstLine="480"/>
        <w:spacing w:line="360" w:lineRule="auto"/>
        <w:widowControl/>
        <w:rPr>
          <w:rFonts w:ascii="Times New Roman" w:hAnsi="宋体" w:eastAsia="Times New Roman" w:cs="Times New Roman"/>
          <w:color w:val="auto"/>
          <w:sz w:val="24"/>
          <w:szCs w:val="24"/>
          <w:highlight w:val="none"/>
        </w:rPr>
      </w:pPr>
      <w:r>
        <w:rPr>
          <w:rFonts w:hint="eastAsia" w:ascii="宋体" w:hAnsi="宋体" w:eastAsia="宋体" w:cs="宋体"/>
          <w:color w:val="auto"/>
          <w:sz w:val="24"/>
          <w:szCs w:val="24"/>
          <w:highlight w:val="none"/>
        </w:rPr>
        <w:t xml:space="preserve">17.本合同一式四份，自双方签字盖章之日起生效，甲方执三份，乙方执一份。</w:t>
      </w:r>
      <w:r>
        <w:rPr>
          <w:color w:val="auto"/>
          <w:highlight w:val="none"/>
        </w:rPr>
      </w:r>
      <w:r/>
    </w:p>
    <w:p>
      <w:pPr>
        <w:jc w:val="left"/>
        <w:spacing w:line="360" w:lineRule="auto"/>
        <w:widowControl/>
        <w:rPr>
          <w:rFonts w:ascii="Times New Roman" w:hAnsi="宋体" w:eastAsia="Times New Roman" w:cs="Times New Roman"/>
          <w:color w:val="auto"/>
          <w:sz w:val="24"/>
          <w:szCs w:val="24"/>
          <w:highlight w:val="none"/>
        </w:rPr>
      </w:pPr>
      <w:r>
        <w:rPr>
          <w:rFonts w:ascii="Times New Roman" w:hAnsi="宋体" w:eastAsia="Times New Roman" w:cs="Times New Roman"/>
          <w:color w:val="auto"/>
          <w:sz w:val="24"/>
          <w:szCs w:val="24"/>
          <w:highlight w:val="none"/>
        </w:rPr>
      </w:r>
      <w:r>
        <w:rPr>
          <w:color w:val="auto"/>
          <w:highlight w:val="none"/>
        </w:rPr>
      </w:r>
      <w:r/>
    </w:p>
    <w:p>
      <w:pPr>
        <w:ind w:firstLine="200"/>
        <w:jc w:val="left"/>
        <w:spacing w:line="360" w:lineRule="auto"/>
        <w:widowControl/>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甲方（盖章）：             </w:t>
      </w:r>
      <w:r>
        <w:rPr>
          <w:rFonts w:hint="eastAsia" w:ascii="Times New Roman" w:hAnsi="宋体" w:eastAsia="宋体" w:cs="Times New Roman"/>
          <w:color w:val="auto"/>
          <w:sz w:val="24"/>
          <w:szCs w:val="24"/>
          <w:highlight w:val="none"/>
        </w:rPr>
        <w:t xml:space="preserve">               </w:t>
      </w:r>
      <w:r>
        <w:rPr>
          <w:rFonts w:hint="eastAsia" w:ascii="Times New Roman" w:hAnsi="宋体" w:eastAsia="Times New Roman" w:cs="Times New Roman"/>
          <w:color w:val="auto"/>
          <w:sz w:val="24"/>
          <w:szCs w:val="24"/>
          <w:highlight w:val="none"/>
        </w:rPr>
        <w:t xml:space="preserve">乙方（盖章）： </w:t>
      </w:r>
      <w:r>
        <w:rPr>
          <w:color w:val="auto"/>
          <w:highlight w:val="none"/>
        </w:rPr>
      </w:r>
      <w:r/>
    </w:p>
    <w:p>
      <w:pPr>
        <w:ind w:firstLine="200"/>
        <w:jc w:val="left"/>
        <w:spacing w:line="360" w:lineRule="auto"/>
        <w:widowControl/>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地址：</w:t>
      </w:r>
      <w:r>
        <w:rPr>
          <w:rFonts w:hint="eastAsia" w:ascii="Times New Roman" w:hAnsi="宋体" w:eastAsia="宋体" w:cs="Times New Roman"/>
          <w:color w:val="auto"/>
          <w:sz w:val="24"/>
          <w:szCs w:val="24"/>
          <w:highlight w:val="none"/>
        </w:rPr>
        <w:t xml:space="preserve">                              </w:t>
      </w:r>
      <w:r>
        <w:rPr>
          <w:rFonts w:hint="eastAsia" w:ascii="Times New Roman" w:hAnsi="宋体" w:eastAsia="Times New Roman" w:cs="Times New Roman"/>
          <w:color w:val="auto"/>
          <w:sz w:val="24"/>
          <w:szCs w:val="24"/>
          <w:highlight w:val="none"/>
        </w:rPr>
        <w:t xml:space="preserve">      地址： </w:t>
      </w:r>
      <w:r>
        <w:rPr>
          <w:color w:val="auto"/>
          <w:highlight w:val="none"/>
        </w:rPr>
      </w:r>
      <w:r/>
    </w:p>
    <w:p>
      <w:pPr>
        <w:ind w:firstLine="200"/>
        <w:jc w:val="left"/>
        <w:spacing w:line="360" w:lineRule="auto"/>
        <w:widowControl/>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法定代表人（或授权人）：                  法定代表人（或授权人）：</w:t>
      </w:r>
      <w:r>
        <w:rPr>
          <w:color w:val="auto"/>
          <w:highlight w:val="none"/>
        </w:rPr>
      </w:r>
      <w:r/>
    </w:p>
    <w:p>
      <w:pPr>
        <w:ind w:firstLine="200"/>
        <w:jc w:val="left"/>
        <w:spacing w:line="360" w:lineRule="auto"/>
        <w:widowControl/>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部门负责人：                            </w:t>
      </w:r>
      <w:r>
        <w:rPr>
          <w:rFonts w:hint="eastAsia" w:ascii="Times New Roman" w:hAnsi="宋体" w:cs="Times New Roman" w:eastAsiaTheme="minorEastAsia"/>
          <w:color w:val="auto"/>
          <w:sz w:val="24"/>
          <w:szCs w:val="24"/>
          <w:highlight w:val="none"/>
        </w:rPr>
        <w:t xml:space="preserve">  </w:t>
      </w:r>
      <w:r>
        <w:rPr>
          <w:rFonts w:hint="eastAsia" w:ascii="Times New Roman" w:hAnsi="宋体" w:eastAsia="Times New Roman" w:cs="Times New Roman"/>
          <w:color w:val="auto"/>
          <w:sz w:val="24"/>
          <w:szCs w:val="24"/>
          <w:highlight w:val="none"/>
        </w:rPr>
        <w:t xml:space="preserve">开户行名称：</w:t>
      </w:r>
      <w:r>
        <w:rPr>
          <w:color w:val="auto"/>
          <w:highlight w:val="none"/>
        </w:rPr>
      </w:r>
      <w:r/>
    </w:p>
    <w:p>
      <w:pPr>
        <w:ind w:firstLine="200"/>
        <w:jc w:val="left"/>
        <w:spacing w:line="360" w:lineRule="auto"/>
        <w:widowControl/>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                                      </w:t>
      </w:r>
      <w:r>
        <w:rPr>
          <w:rFonts w:hint="eastAsia" w:ascii="Times New Roman" w:hAnsi="宋体" w:cs="Times New Roman" w:eastAsiaTheme="minorEastAsia"/>
          <w:color w:val="auto"/>
          <w:sz w:val="24"/>
          <w:szCs w:val="24"/>
          <w:highlight w:val="none"/>
        </w:rPr>
        <w:t xml:space="preserve">    </w:t>
      </w:r>
      <w:r>
        <w:rPr>
          <w:rFonts w:hint="eastAsia" w:ascii="Times New Roman" w:hAnsi="宋体" w:eastAsia="Times New Roman" w:cs="Times New Roman"/>
          <w:color w:val="auto"/>
          <w:sz w:val="24"/>
          <w:szCs w:val="24"/>
          <w:highlight w:val="none"/>
        </w:rPr>
        <w:t xml:space="preserve">开户行账号：</w:t>
      </w:r>
      <w:r>
        <w:rPr>
          <w:color w:val="auto"/>
          <w:highlight w:val="none"/>
        </w:rPr>
      </w:r>
      <w:r/>
    </w:p>
    <w:p>
      <w:pPr>
        <w:ind w:firstLine="200"/>
        <w:jc w:val="left"/>
        <w:spacing w:line="360" w:lineRule="auto"/>
        <w:widowControl/>
        <w:rPr>
          <w:rFonts w:hint="eastAsia" w:ascii="Times New Roman" w:hAnsi="宋体" w:cs="Times New Roman" w:eastAsiaTheme="minorEastAsia"/>
          <w:color w:val="auto"/>
          <w:sz w:val="24"/>
          <w:szCs w:val="24"/>
          <w:highlight w:val="none"/>
        </w:rPr>
      </w:pPr>
      <w:r>
        <w:rPr>
          <w:rFonts w:hint="eastAsia" w:ascii="Times New Roman" w:hAnsi="宋体" w:eastAsia="Times New Roman" w:cs="Times New Roman"/>
          <w:color w:val="auto"/>
          <w:sz w:val="24"/>
          <w:szCs w:val="24"/>
          <w:highlight w:val="none"/>
        </w:rPr>
        <w:t xml:space="preserve">经办人:                               </w:t>
      </w:r>
      <w:r>
        <w:rPr>
          <w:rFonts w:hint="eastAsia" w:ascii="Times New Roman" w:hAnsi="宋体" w:cs="Times New Roman" w:eastAsiaTheme="minorEastAsia"/>
          <w:color w:val="auto"/>
          <w:sz w:val="24"/>
          <w:szCs w:val="24"/>
          <w:highlight w:val="none"/>
        </w:rPr>
        <w:t xml:space="preserve">    </w:t>
      </w:r>
      <w:r>
        <w:rPr>
          <w:rFonts w:hint="eastAsia" w:ascii="Times New Roman" w:hAnsi="宋体" w:eastAsia="Times New Roman" w:cs="Times New Roman"/>
          <w:color w:val="auto"/>
          <w:sz w:val="24"/>
          <w:szCs w:val="24"/>
          <w:highlight w:val="none"/>
        </w:rPr>
        <w:t xml:space="preserve"> 经办人:    </w:t>
      </w:r>
      <w:r>
        <w:rPr>
          <w:color w:val="auto"/>
          <w:highlight w:val="none"/>
        </w:rPr>
      </w:r>
      <w:r/>
    </w:p>
    <w:p>
      <w:pPr>
        <w:jc w:val="left"/>
        <w:spacing w:after="0"/>
        <w:widowControl/>
        <w:rPr>
          <w:rFonts w:ascii="楷体_GB2312" w:hAnsi="Arial" w:eastAsia="楷体_GB2312" w:cs="Times New Roman"/>
          <w:color w:val="auto"/>
          <w:sz w:val="28"/>
          <w:szCs w:val="28"/>
          <w:highlight w:val="none"/>
        </w:rPr>
      </w:pPr>
      <w:r>
        <w:rPr>
          <w:rFonts w:hint="eastAsia" w:ascii="宋体" w:hAnsi="宋体" w:eastAsia="宋体" w:cs="宋体"/>
          <w:color w:val="auto"/>
          <w:sz w:val="24"/>
          <w:szCs w:val="24"/>
          <w:highlight w:val="none"/>
        </w:rPr>
        <w:t xml:space="preserve">签订日期：</w:t>
      </w:r>
      <w:r>
        <w:rPr>
          <w:rFonts w:hint="eastAsia" w:ascii="Times New Roman" w:hAnsi="宋体" w:eastAsia="Times New Roman" w:cs="宋体"/>
          <w:color w:val="auto"/>
          <w:sz w:val="24"/>
          <w:szCs w:val="24"/>
          <w:highlight w:val="none"/>
        </w:rPr>
        <w:t xml:space="preserve">____</w:t>
      </w:r>
      <w:r>
        <w:rPr>
          <w:rFonts w:hint="eastAsia" w:ascii="宋体" w:hAnsi="宋体" w:eastAsia="宋体" w:cs="宋体"/>
          <w:color w:val="auto"/>
          <w:sz w:val="24"/>
          <w:szCs w:val="24"/>
          <w:highlight w:val="none"/>
        </w:rPr>
        <w:t xml:space="preserve">年</w:t>
      </w:r>
      <w:r>
        <w:rPr>
          <w:rFonts w:hint="eastAsia" w:ascii="Times New Roman" w:hAnsi="宋体" w:eastAsia="Times New Roman" w:cs="宋体"/>
          <w:color w:val="auto"/>
          <w:sz w:val="24"/>
          <w:szCs w:val="24"/>
          <w:highlight w:val="none"/>
        </w:rPr>
        <w:t xml:space="preserve">__ </w:t>
      </w:r>
      <w:r>
        <w:rPr>
          <w:rFonts w:hint="eastAsia" w:ascii="宋体" w:hAnsi="宋体" w:eastAsia="宋体" w:cs="宋体"/>
          <w:color w:val="auto"/>
          <w:sz w:val="24"/>
          <w:szCs w:val="24"/>
          <w:highlight w:val="none"/>
        </w:rPr>
        <w:t xml:space="preserve">月</w:t>
      </w:r>
      <w:r>
        <w:rPr>
          <w:rFonts w:hint="eastAsia" w:ascii="Times New Roman" w:hAnsi="宋体" w:eastAsia="Times New Roman" w:cs="宋体"/>
          <w:color w:val="auto"/>
          <w:sz w:val="24"/>
          <w:szCs w:val="24"/>
          <w:highlight w:val="none"/>
        </w:rPr>
        <w:t xml:space="preserve">__</w:t>
      </w:r>
      <w:r>
        <w:rPr>
          <w:rFonts w:hint="eastAsia" w:ascii="宋体" w:hAnsi="宋体" w:eastAsia="宋体" w:cs="宋体"/>
          <w:color w:val="auto"/>
          <w:sz w:val="24"/>
          <w:szCs w:val="24"/>
          <w:highlight w:val="none"/>
        </w:rPr>
        <w:t xml:space="preserve">日</w:t>
      </w:r>
      <w:r>
        <w:rPr>
          <w:rFonts w:hint="eastAsia" w:ascii="Times New Roman" w:hAnsi="宋体" w:eastAsia="Times New Roman" w:cs="宋体"/>
          <w:color w:val="auto"/>
          <w:sz w:val="24"/>
          <w:szCs w:val="24"/>
          <w:highlight w:val="none"/>
        </w:rPr>
        <w:t xml:space="preserve">                 </w:t>
      </w:r>
      <w:r>
        <w:rPr>
          <w:rFonts w:hint="eastAsia" w:ascii="宋体" w:hAnsi="宋体" w:eastAsia="宋体" w:cs="宋体"/>
          <w:color w:val="auto"/>
          <w:sz w:val="24"/>
          <w:szCs w:val="24"/>
          <w:highlight w:val="none"/>
        </w:rPr>
        <w:t xml:space="preserve">签订日期：</w:t>
      </w:r>
      <w:r>
        <w:rPr>
          <w:rFonts w:hint="eastAsia" w:ascii="Times New Roman" w:hAnsi="宋体" w:eastAsia="Times New Roman" w:cs="宋体"/>
          <w:color w:val="auto"/>
          <w:sz w:val="24"/>
          <w:szCs w:val="24"/>
          <w:highlight w:val="none"/>
        </w:rPr>
        <w:t xml:space="preserve">____</w:t>
      </w:r>
      <w:r>
        <w:rPr>
          <w:rFonts w:hint="eastAsia" w:ascii="宋体" w:hAnsi="宋体" w:eastAsia="宋体" w:cs="宋体"/>
          <w:color w:val="auto"/>
          <w:sz w:val="24"/>
          <w:szCs w:val="24"/>
          <w:highlight w:val="none"/>
        </w:rPr>
        <w:t xml:space="preserve">年</w:t>
      </w:r>
      <w:r>
        <w:rPr>
          <w:rFonts w:hint="eastAsia" w:ascii="Times New Roman" w:hAnsi="宋体" w:eastAsia="Times New Roman" w:cs="宋体"/>
          <w:color w:val="auto"/>
          <w:sz w:val="24"/>
          <w:szCs w:val="24"/>
          <w:highlight w:val="none"/>
        </w:rPr>
        <w:t xml:space="preserve">__</w:t>
      </w:r>
      <w:r>
        <w:rPr>
          <w:rFonts w:hint="eastAsia" w:ascii="宋体" w:hAnsi="宋体" w:eastAsia="宋体" w:cs="宋体"/>
          <w:color w:val="auto"/>
          <w:sz w:val="24"/>
          <w:szCs w:val="24"/>
          <w:highlight w:val="none"/>
        </w:rPr>
        <w:t xml:space="preserve">月</w:t>
      </w:r>
      <w:r>
        <w:rPr>
          <w:rFonts w:hint="eastAsia" w:ascii="Times New Roman" w:hAnsi="宋体" w:eastAsia="Times New Roman" w:cs="宋体"/>
          <w:color w:val="auto"/>
          <w:sz w:val="24"/>
          <w:szCs w:val="24"/>
          <w:highlight w:val="none"/>
        </w:rPr>
        <w:t xml:space="preserve">__</w:t>
      </w:r>
      <w:r>
        <w:rPr>
          <w:rFonts w:hint="eastAsia" w:ascii="宋体" w:hAnsi="宋体" w:eastAsia="宋体" w:cs="宋体"/>
          <w:color w:val="auto"/>
          <w:sz w:val="24"/>
          <w:szCs w:val="24"/>
          <w:highlight w:val="none"/>
        </w:rPr>
        <w:t xml:space="preserve">日</w:t>
      </w:r>
      <w:r>
        <w:rPr>
          <w:rFonts w:hint="eastAsia" w:ascii="楷体_GB2312" w:hAnsi="宋体" w:eastAsia="楷体_GB2312" w:cs="宋体"/>
          <w:bCs/>
          <w:color w:val="auto"/>
          <w:sz w:val="44"/>
          <w:szCs w:val="28"/>
          <w:highlight w:val="none"/>
        </w:rPr>
        <w:br w:type="page" w:clear="all"/>
      </w:r>
      <w:r>
        <w:rPr>
          <w:color w:val="auto"/>
          <w:highlight w:val="none"/>
        </w:rPr>
      </w:r>
      <w:r/>
    </w:p>
    <w:p>
      <w:pPr>
        <w:pStyle w:val="782"/>
        <w:jc w:val="center"/>
        <w:keepLines/>
        <w:keepNext/>
        <w:pageBreakBefore/>
        <w:rPr>
          <w:rFonts w:hint="eastAsia"/>
          <w:color w:val="auto"/>
          <w:highlight w:val="none"/>
        </w:rPr>
        <w:outlineLvl w:val="0"/>
      </w:pPr>
      <w:r>
        <w:rPr>
          <w:color w:val="auto"/>
          <w:highlight w:val="none"/>
        </w:rPr>
      </w:r>
      <w:bookmarkStart w:id="156" w:name="_Toc514054483"/>
      <w:r>
        <w:rPr>
          <w:color w:val="auto"/>
          <w:highlight w:val="none"/>
        </w:rPr>
      </w:r>
      <w:bookmarkStart w:id="157" w:name="_Toc29724"/>
      <w:r>
        <w:rPr>
          <w:color w:val="auto"/>
          <w:highlight w:val="none"/>
        </w:rPr>
      </w:r>
      <w:bookmarkStart w:id="158" w:name="_Toc26546"/>
      <w:r>
        <w:rPr>
          <w:rFonts w:hint="eastAsia"/>
          <w:color w:val="auto"/>
          <w:highlight w:val="none"/>
        </w:rPr>
        <w:t xml:space="preserve">第六部分  投标文件格式</w:t>
      </w:r>
      <w:bookmarkEnd w:id="156"/>
      <w:r>
        <w:rPr>
          <w:color w:val="auto"/>
          <w:highlight w:val="none"/>
        </w:rPr>
      </w:r>
      <w:bookmarkEnd w:id="157"/>
      <w:r>
        <w:rPr>
          <w:color w:val="auto"/>
          <w:highlight w:val="none"/>
        </w:rPr>
      </w:r>
      <w:bookmarkEnd w:id="158"/>
      <w:r>
        <w:rPr>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rPr>
          <w:color w:val="auto"/>
          <w:highlight w:val="none"/>
        </w:rPr>
      </w:r>
      <w:r/>
    </w:p>
    <w:p>
      <w:pPr>
        <w:jc w:val="left"/>
        <w:spacing w:line="360" w:lineRule="auto"/>
        <w:widowControl/>
        <w:rPr>
          <w:rFonts w:hint="eastAsia" w:ascii="仿宋" w:hAnsi="仿宋" w:eastAsia="仿宋" w:cs="宋体"/>
          <w:b/>
          <w:bCs/>
          <w:color w:val="auto"/>
          <w:sz w:val="24"/>
          <w:szCs w:val="28"/>
          <w:highlight w:val="none"/>
        </w:rPr>
      </w:pPr>
      <w:r>
        <w:rPr>
          <w:color w:val="auto"/>
          <w:highlight w:val="none"/>
        </w:rPr>
      </w:r>
      <w:bookmarkStart w:id="159" w:name="_Toc26779"/>
      <w:r>
        <w:rPr>
          <w:color w:val="auto"/>
          <w:highlight w:val="none"/>
        </w:rPr>
      </w:r>
      <w:bookmarkStart w:id="160" w:name="_Toc21788"/>
      <w:r>
        <w:rPr>
          <w:color w:val="auto"/>
          <w:highlight w:val="none"/>
        </w:rPr>
      </w:r>
      <w:bookmarkStart w:id="161" w:name="_Toc16009"/>
      <w:r>
        <w:rPr>
          <w:color w:val="auto"/>
          <w:highlight w:val="none"/>
        </w:rPr>
      </w:r>
      <w:bookmarkStart w:id="162" w:name="_Toc514054484"/>
      <w:r>
        <w:rPr>
          <w:rFonts w:hint="eastAsia" w:ascii="仿宋" w:hAnsi="仿宋" w:eastAsia="仿宋" w:cs="宋体"/>
          <w:b/>
          <w:bCs/>
          <w:color w:val="auto"/>
          <w:sz w:val="24"/>
          <w:szCs w:val="28"/>
          <w:highlight w:val="none"/>
        </w:rPr>
        <w:t xml:space="preserve">投标文件格式使用注意事项：</w:t>
      </w:r>
      <w:r>
        <w:rPr>
          <w:color w:val="auto"/>
          <w:highlight w:val="none"/>
        </w:rPr>
      </w:r>
      <w:r/>
    </w:p>
    <w:p>
      <w:pPr>
        <w:numPr>
          <w:ilvl w:val="0"/>
          <w:numId w:val="11"/>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投标文件编制时应使用的模板已在本部分列明，招标文件要求提供但未提供模板的，格式自拟。</w:t>
      </w:r>
      <w:r>
        <w:rPr>
          <w:color w:val="auto"/>
          <w:highlight w:val="none"/>
        </w:rPr>
      </w:r>
      <w:r/>
    </w:p>
    <w:p>
      <w:pPr>
        <w:numPr>
          <w:ilvl w:val="0"/>
          <w:numId w:val="11"/>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模板没有先后顺序，在使用模板时模板名称对应苏采云系统目录名称。</w:t>
      </w:r>
      <w:r>
        <w:rPr>
          <w:color w:val="auto"/>
          <w:highlight w:val="none"/>
        </w:rPr>
      </w:r>
      <w:r/>
    </w:p>
    <w:p>
      <w:pPr>
        <w:numPr>
          <w:ilvl w:val="0"/>
          <w:numId w:val="11"/>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招标文件中提供的投标文件格式与苏采云系统内不一致的，以苏采云系统的格式为准。</w:t>
      </w:r>
      <w:r>
        <w:rPr>
          <w:color w:val="auto"/>
          <w:highlight w:val="none"/>
        </w:rPr>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r>
      <w:r>
        <w:rPr>
          <w:color w:val="auto"/>
          <w:highlight w:val="none"/>
        </w:rPr>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br w:type="page" w:clear="all"/>
      </w:r>
      <w:r>
        <w:rPr>
          <w:color w:val="auto"/>
          <w:highlight w:val="none"/>
        </w:rPr>
      </w:r>
      <w:r/>
    </w:p>
    <w:p>
      <w:pPr>
        <w:jc w:val="left"/>
        <w:widowControl/>
        <w:rPr>
          <w:rFonts w:hint="eastAsia" w:ascii="宋体" w:hAnsi="宋体" w:cs="宋体"/>
          <w:b/>
          <w:color w:val="auto"/>
          <w:sz w:val="32"/>
          <w:szCs w:val="24"/>
          <w:highlight w:val="none"/>
        </w:rPr>
      </w:pPr>
      <w:r>
        <w:rPr>
          <w:rFonts w:hint="eastAsia" w:ascii="宋体" w:hAnsi="宋体" w:cs="宋体"/>
          <w:b/>
          <w:color w:val="auto"/>
          <w:sz w:val="32"/>
          <w:szCs w:val="24"/>
          <w:highlight w:val="none"/>
        </w:rPr>
      </w:r>
      <w:r>
        <w:rPr>
          <w:color w:val="auto"/>
          <w:highlight w:val="none"/>
        </w:rPr>
      </w:r>
      <w:r/>
    </w:p>
    <w:p>
      <w:pPr>
        <w:pStyle w:val="1280"/>
        <w:ind w:firstLine="321"/>
        <w:jc w:val="center"/>
        <w:rPr>
          <w:rFonts w:hint="eastAsia" w:ascii="宋体" w:hAnsi="宋体" w:eastAsia="宋体" w:cs="宋体"/>
          <w:color w:val="auto"/>
          <w:highlight w:val="none"/>
        </w:rPr>
        <w:outlineLvl w:val="1"/>
      </w:pPr>
      <w:r>
        <w:rPr>
          <w:color w:val="auto"/>
          <w:highlight w:val="none"/>
        </w:rPr>
      </w:r>
      <w:bookmarkStart w:id="163" w:name="_Toc15407"/>
      <w:r>
        <w:rPr>
          <w:rFonts w:hint="eastAsia" w:ascii="宋体" w:hAnsi="宋体" w:eastAsia="宋体" w:cs="宋体"/>
          <w:color w:val="auto"/>
          <w:highlight w:val="none"/>
        </w:rPr>
        <w:t xml:space="preserve">封面</w:t>
      </w:r>
      <w:bookmarkEnd w:id="159"/>
      <w:r>
        <w:rPr>
          <w:color w:val="auto"/>
          <w:highlight w:val="none"/>
        </w:rPr>
      </w:r>
      <w:bookmarkEnd w:id="160"/>
      <w:r>
        <w:rPr>
          <w:color w:val="auto"/>
          <w:highlight w:val="none"/>
        </w:rPr>
      </w:r>
      <w:bookmarkEnd w:id="161"/>
      <w:r>
        <w:rPr>
          <w:color w:val="auto"/>
          <w:highlight w:val="none"/>
        </w:rPr>
      </w:r>
      <w:bookmarkEnd w:id="162"/>
      <w:r>
        <w:rPr>
          <w:color w:val="auto"/>
          <w:highlight w:val="none"/>
        </w:rPr>
      </w:r>
      <w:bookmarkEnd w:id="163"/>
      <w:r>
        <w:rPr>
          <w:color w:val="auto"/>
          <w:highlight w:val="none"/>
        </w:rPr>
      </w:r>
      <w:r/>
    </w:p>
    <w:p>
      <w:pPr>
        <w:pStyle w:val="1145"/>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rPr>
          <w:color w:val="auto"/>
          <w:highlight w:val="none"/>
        </w:rPr>
      </w:r>
      <w:r/>
    </w:p>
    <w:p>
      <w:pPr>
        <w:pStyle w:val="1145"/>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rPr>
          <w:color w:val="auto"/>
          <w:highlight w:val="none"/>
        </w:rPr>
      </w:r>
      <w:r/>
    </w:p>
    <w:p>
      <w:pPr>
        <w:pStyle w:val="1145"/>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rPr>
          <w:color w:val="auto"/>
          <w:highlight w:val="none"/>
        </w:rPr>
      </w:r>
      <w:r/>
    </w:p>
    <w:p>
      <w:pPr>
        <w:pStyle w:val="1145"/>
        <w:jc w:val="center"/>
        <w:rPr>
          <w:rFonts w:hint="eastAsia" w:ascii="宋体" w:hAnsi="宋体" w:cs="宋体"/>
          <w:color w:val="auto"/>
          <w:sz w:val="52"/>
          <w:szCs w:val="52"/>
          <w:highlight w:val="none"/>
        </w:rPr>
      </w:pPr>
      <w:r>
        <w:rPr>
          <w:rFonts w:hint="eastAsia" w:ascii="宋体" w:hAnsi="宋体" w:cs="宋体"/>
          <w:color w:val="auto"/>
          <w:sz w:val="52"/>
          <w:szCs w:val="52"/>
          <w:highlight w:val="none"/>
        </w:rPr>
      </w:r>
      <w:r>
        <w:rPr>
          <w:color w:val="auto"/>
          <w:highlight w:val="none"/>
        </w:rPr>
      </w:r>
      <w:r/>
    </w:p>
    <w:p>
      <w:pPr>
        <w:pStyle w:val="1145"/>
        <w:jc w:val="center"/>
        <w:rPr>
          <w:rFonts w:hint="eastAsia" w:ascii="宋体" w:hAnsi="宋体" w:cs="宋体"/>
          <w:color w:val="auto"/>
          <w:sz w:val="28"/>
          <w:szCs w:val="28"/>
          <w:highlight w:val="none"/>
        </w:rPr>
      </w:pPr>
      <w:r>
        <w:rPr>
          <w:rFonts w:hint="eastAsia" w:ascii="宋体" w:hAnsi="宋体" w:cs="宋体"/>
          <w:color w:val="auto"/>
          <w:sz w:val="72"/>
          <w:szCs w:val="72"/>
          <w:highlight w:val="none"/>
        </w:rPr>
        <w:t xml:space="preserve">投 标 文 件</w:t>
      </w:r>
      <w:r>
        <w:rPr>
          <w:color w:val="auto"/>
          <w:highlight w:val="none"/>
        </w:rPr>
      </w:r>
      <w:r/>
    </w:p>
    <w:p>
      <w:pPr>
        <w:pStyle w:val="1145"/>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rPr>
          <w:color w:val="auto"/>
          <w:highlight w:val="none"/>
        </w:rPr>
      </w:r>
      <w:r/>
    </w:p>
    <w:p>
      <w:pPr>
        <w:pStyle w:val="1145"/>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rPr>
          <w:color w:val="auto"/>
          <w:highlight w:val="none"/>
        </w:rPr>
      </w:r>
      <w:r/>
    </w:p>
    <w:p>
      <w:pPr>
        <w:pStyle w:val="1145"/>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rPr>
          <w:color w:val="auto"/>
          <w:highlight w:val="none"/>
        </w:rPr>
      </w:r>
      <w:r/>
    </w:p>
    <w:p>
      <w:pPr>
        <w:pStyle w:val="1145"/>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rPr>
          <w:color w:val="auto"/>
          <w:highlight w:val="none"/>
        </w:rPr>
      </w:r>
      <w:r/>
    </w:p>
    <w:p>
      <w:pPr>
        <w:pStyle w:val="1145"/>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rPr>
          <w:color w:val="auto"/>
          <w:highlight w:val="none"/>
        </w:rPr>
      </w:r>
      <w:r/>
    </w:p>
    <w:p>
      <w:pPr>
        <w:pStyle w:val="1049"/>
        <w:ind w:firstLine="723"/>
        <w:jc w:val="both"/>
        <w:rPr>
          <w:rFonts w:hint="eastAsia" w:hAnsi="宋体" w:cs="宋体"/>
          <w:color w:val="auto"/>
          <w:highlight w:val="none"/>
        </w:rPr>
      </w:pPr>
      <w:r>
        <w:rPr>
          <w:rFonts w:hint="eastAsia" w:hAnsi="宋体" w:cs="宋体"/>
          <w:b/>
          <w:color w:val="auto"/>
          <w:sz w:val="36"/>
          <w:szCs w:val="36"/>
          <w:highlight w:val="none"/>
        </w:rPr>
        <w:t xml:space="preserve">项</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目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名</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称：</w:t>
      </w:r>
      <w:r>
        <w:rPr>
          <w:rFonts w:hint="eastAsia" w:hAnsi="宋体" w:cs="宋体"/>
          <w:b/>
          <w:color w:val="auto"/>
          <w:sz w:val="36"/>
          <w:szCs w:val="36"/>
          <w:highlight w:val="none"/>
          <w:u w:val="single"/>
        </w:rPr>
        <w:t xml:space="preserve">               </w:t>
      </w:r>
      <w:r>
        <w:rPr>
          <w:color w:val="auto"/>
          <w:highlight w:val="none"/>
        </w:rPr>
      </w:r>
      <w:r/>
    </w:p>
    <w:p>
      <w:pPr>
        <w:pStyle w:val="1049"/>
        <w:ind w:firstLine="723"/>
        <w:jc w:val="both"/>
        <w:rPr>
          <w:rFonts w:hint="eastAsia" w:hAnsi="宋体" w:cs="宋体"/>
          <w:b/>
          <w:color w:val="auto"/>
          <w:sz w:val="36"/>
          <w:szCs w:val="36"/>
          <w:highlight w:val="none"/>
          <w:u w:val="single"/>
        </w:rPr>
      </w:pPr>
      <w:r>
        <w:rPr>
          <w:rFonts w:hint="eastAsia" w:hAnsi="宋体" w:cs="宋体"/>
          <w:b/>
          <w:color w:val="auto"/>
          <w:sz w:val="36"/>
          <w:szCs w:val="36"/>
          <w:highlight w:val="none"/>
        </w:rPr>
        <w:t xml:space="preserve">项</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目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编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号：</w:t>
      </w:r>
      <w:r>
        <w:rPr>
          <w:rFonts w:hint="eastAsia" w:hAnsi="宋体" w:cs="宋体"/>
          <w:b/>
          <w:color w:val="auto"/>
          <w:sz w:val="36"/>
          <w:szCs w:val="36"/>
          <w:highlight w:val="none"/>
          <w:u w:val="single"/>
        </w:rPr>
        <w:t xml:space="preserve">               </w:t>
      </w:r>
      <w:r>
        <w:rPr>
          <w:color w:val="auto"/>
          <w:highlight w:val="none"/>
        </w:rPr>
      </w:r>
      <w:r/>
    </w:p>
    <w:p>
      <w:pPr>
        <w:pStyle w:val="1049"/>
        <w:ind w:firstLine="723"/>
        <w:jc w:val="both"/>
        <w:rPr>
          <w:rFonts w:hint="eastAsia" w:hAnsi="宋体" w:cs="宋体"/>
          <w:color w:val="auto"/>
          <w:highlight w:val="none"/>
        </w:rPr>
      </w:pPr>
      <w:r>
        <w:rPr>
          <w:rFonts w:hint="eastAsia" w:hAnsi="宋体" w:cs="宋体"/>
          <w:b/>
          <w:color w:val="auto"/>
          <w:sz w:val="36"/>
          <w:szCs w:val="36"/>
          <w:highlight w:val="none"/>
        </w:rPr>
        <w:t xml:space="preserve">投</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标</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人</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名</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称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u w:val="single"/>
        </w:rPr>
        <w:t xml:space="preserve">（加盖CA电子公章）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rPr>
          <w:color w:val="auto"/>
          <w:highlight w:val="none"/>
        </w:rPr>
      </w:r>
      <w:r/>
    </w:p>
    <w:p>
      <w:pPr>
        <w:pStyle w:val="1049"/>
        <w:ind w:firstLine="723"/>
        <w:jc w:val="both"/>
        <w:rPr>
          <w:rFonts w:hint="eastAsia" w:hAnsi="宋体" w:cs="宋体"/>
          <w:color w:val="auto"/>
          <w:highlight w:val="none"/>
        </w:rPr>
      </w:pPr>
      <w:r>
        <w:rPr>
          <w:rFonts w:hint="eastAsia" w:hAnsi="宋体" w:cs="宋体"/>
          <w:b/>
          <w:color w:val="auto"/>
          <w:sz w:val="36"/>
          <w:szCs w:val="36"/>
          <w:highlight w:val="none"/>
        </w:rPr>
        <w:t xml:space="preserve">日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期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u w:val="single"/>
        </w:rPr>
        <w:t xml:space="preserve">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rPr>
          <w:color w:val="auto"/>
          <w:highlight w:val="none"/>
        </w:rPr>
      </w:r>
      <w:r/>
    </w:p>
    <w:p>
      <w:pPr>
        <w:pStyle w:val="1049"/>
        <w:spacing w:line="0" w:lineRule="atLeast"/>
        <w:rPr>
          <w:rFonts w:hint="eastAsia" w:hAnsi="宋体" w:cs="宋体"/>
          <w:color w:val="auto"/>
          <w:highlight w:val="none"/>
        </w:rPr>
      </w:pPr>
      <w:r>
        <w:rPr>
          <w:rFonts w:hint="eastAsia" w:hAnsi="宋体" w:cs="宋体"/>
          <w:color w:val="auto"/>
          <w:highlight w:val="none"/>
        </w:rPr>
        <w:t xml:space="preserve"> </w:t>
      </w:r>
      <w:r>
        <w:rPr>
          <w:color w:val="auto"/>
          <w:highlight w:val="none"/>
        </w:rPr>
      </w:r>
      <w:r/>
    </w:p>
    <w:p>
      <w:pPr>
        <w:pStyle w:val="1049"/>
        <w:jc w:val="both"/>
        <w:spacing w:line="0" w:lineRule="atLeast"/>
        <w:rPr>
          <w:rFonts w:hint="eastAsia" w:hAnsi="宋体" w:cs="宋体"/>
          <w:color w:val="auto"/>
          <w:highlight w:val="none"/>
        </w:rPr>
      </w:pPr>
      <w:r>
        <w:rPr>
          <w:rFonts w:hint="eastAsia" w:hAnsi="宋体" w:cs="宋体"/>
          <w:color w:val="auto"/>
          <w:highlight w:val="none"/>
        </w:rPr>
        <w:t xml:space="preserve"> </w:t>
      </w:r>
      <w:r>
        <w:rPr>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rPr>
          <w:color w:val="auto"/>
          <w:highlight w:val="none"/>
        </w:rPr>
      </w:r>
      <w:r/>
    </w:p>
    <w:p>
      <w:pPr>
        <w:rPr>
          <w:color w:val="auto"/>
          <w:highlight w:val="none"/>
        </w:rPr>
      </w:pPr>
      <w:r>
        <w:rPr>
          <w:rFonts w:hint="eastAsia" w:ascii="宋体" w:hAnsi="宋体" w:cs="宋体"/>
          <w:color w:val="auto"/>
          <w:highlight w:val="none"/>
        </w:rPr>
        <w:br w:type="page" w:clear="all"/>
      </w:r>
      <w:bookmarkStart w:id="164" w:name="_Toc28278"/>
      <w:r>
        <w:rPr>
          <w:color w:val="auto"/>
          <w:highlight w:val="none"/>
        </w:rPr>
      </w:r>
      <w:bookmarkStart w:id="165" w:name="_Toc21292"/>
      <w:r>
        <w:rPr>
          <w:color w:val="auto"/>
          <w:highlight w:val="none"/>
        </w:rPr>
      </w:r>
      <w:bookmarkStart w:id="166" w:name="_Toc11040"/>
      <w:r>
        <w:rPr>
          <w:color w:val="auto"/>
          <w:highlight w:val="none"/>
        </w:rPr>
      </w:r>
      <w:bookmarkStart w:id="167" w:name="_Toc29318"/>
      <w:r>
        <w:rPr>
          <w:color w:val="auto"/>
          <w:highlight w:val="none"/>
        </w:rPr>
      </w:r>
      <w:bookmarkStart w:id="168" w:name="_Toc164203464"/>
      <w:r>
        <w:rPr>
          <w:color w:val="auto"/>
          <w:highlight w:val="none"/>
        </w:rPr>
      </w:r>
      <w:r/>
    </w:p>
    <w:p>
      <w:pPr>
        <w:pStyle w:val="1268"/>
        <w:rPr>
          <w:rFonts w:hint="eastAsia"/>
          <w:color w:val="auto"/>
          <w:highlight w:val="none"/>
        </w:rPr>
        <w:outlineLvl w:val="1"/>
      </w:pPr>
      <w:r>
        <w:rPr>
          <w:color w:val="auto"/>
          <w:highlight w:val="none"/>
        </w:rPr>
      </w:r>
      <w:bookmarkStart w:id="169" w:name="_Toc5742"/>
      <w:r>
        <w:rPr>
          <w:color w:val="auto"/>
          <w:highlight w:val="none"/>
        </w:rPr>
        <w:t xml:space="preserve">一、投标人基本情况</w:t>
      </w:r>
      <w:bookmarkEnd w:id="164"/>
      <w:r>
        <w:rPr>
          <w:color w:val="auto"/>
          <w:highlight w:val="none"/>
        </w:rPr>
      </w:r>
      <w:bookmarkEnd w:id="165"/>
      <w:r>
        <w:rPr>
          <w:color w:val="auto"/>
          <w:highlight w:val="none"/>
        </w:rPr>
      </w:r>
      <w:bookmarkEnd w:id="166"/>
      <w:r>
        <w:rPr>
          <w:color w:val="auto"/>
          <w:highlight w:val="none"/>
        </w:rPr>
      </w:r>
      <w:bookmarkEnd w:id="167"/>
      <w:r>
        <w:rPr>
          <w:color w:val="auto"/>
          <w:highlight w:val="none"/>
        </w:rPr>
      </w:r>
      <w:bookmarkEnd w:id="168"/>
      <w:r>
        <w:rPr>
          <w:color w:val="auto"/>
          <w:highlight w:val="none"/>
        </w:rPr>
      </w:r>
      <w:bookmarkEnd w:id="169"/>
      <w:r>
        <w:rPr>
          <w:color w:val="auto"/>
          <w:highlight w:val="none"/>
        </w:rPr>
      </w:r>
      <w:r/>
    </w:p>
    <w:p>
      <w:pPr>
        <w:jc w:val="center"/>
        <w:rPr>
          <w:color w:val="auto"/>
          <w:sz w:val="44"/>
          <w:szCs w:val="44"/>
          <w:highlight w:val="none"/>
        </w:rPr>
      </w:pPr>
      <w:r>
        <w:rPr>
          <w:rFonts w:hint="eastAsia"/>
          <w:color w:val="auto"/>
          <w:sz w:val="44"/>
          <w:szCs w:val="44"/>
          <w:highlight w:val="none"/>
        </w:rPr>
        <w:t xml:space="preserve">投标人基本情况表</w:t>
      </w:r>
      <w:r>
        <w:rPr>
          <w:color w:val="auto"/>
          <w:highlight w:val="none"/>
        </w:rPr>
      </w:r>
      <w:r/>
    </w:p>
    <w:tbl>
      <w:tblPr>
        <w:tblStyle w:val="79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217"/>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投标人名称</w:t>
            </w:r>
            <w:r>
              <w:rPr>
                <w:color w:val="auto"/>
                <w:highlight w:val="none"/>
              </w:rPr>
            </w:r>
            <w:r/>
          </w:p>
        </w:tc>
        <w:tc>
          <w:tcPr>
            <w:gridSpan w:val="3"/>
            <w:tcW w:w="6998" w:type="dxa"/>
            <w:vAlign w:val="center"/>
            <w:textDirection w:val="lrTb"/>
            <w:noWrap w:val="false"/>
          </w:tcPr>
          <w:p>
            <w:pPr>
              <w:pStyle w:val="1217"/>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rPr>
                <w:color w:val="auto"/>
                <w:highlight w:val="none"/>
              </w:rPr>
            </w:r>
            <w:r/>
          </w:p>
        </w:tc>
      </w:tr>
      <w:tr>
        <w:trPr>
          <w:jc w:val="center"/>
        </w:trPr>
        <w:tc>
          <w:tcPr>
            <w:tcW w:w="1526" w:type="dxa"/>
            <w:vAlign w:val="center"/>
            <w:textDirection w:val="lrTb"/>
            <w:noWrap w:val="false"/>
          </w:tcPr>
          <w:p>
            <w:pPr>
              <w:pStyle w:val="1217"/>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法定代表人</w:t>
            </w:r>
            <w:r>
              <w:rPr>
                <w:color w:val="auto"/>
                <w:highlight w:val="none"/>
              </w:rPr>
            </w:r>
            <w:r/>
          </w:p>
        </w:tc>
        <w:tc>
          <w:tcPr>
            <w:tcW w:w="3118" w:type="dxa"/>
            <w:vAlign w:val="center"/>
            <w:textDirection w:val="lrTb"/>
            <w:noWrap w:val="false"/>
          </w:tcPr>
          <w:p>
            <w:pPr>
              <w:pStyle w:val="1217"/>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rPr>
                <w:color w:val="auto"/>
                <w:highlight w:val="none"/>
              </w:rPr>
            </w:r>
            <w:r/>
          </w:p>
        </w:tc>
        <w:tc>
          <w:tcPr>
            <w:tcW w:w="1276" w:type="dxa"/>
            <w:vAlign w:val="center"/>
            <w:textDirection w:val="lrTb"/>
            <w:noWrap w:val="false"/>
          </w:tcPr>
          <w:p>
            <w:pPr>
              <w:pStyle w:val="1217"/>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注册地区</w:t>
            </w:r>
            <w:r>
              <w:rPr>
                <w:color w:val="auto"/>
                <w:highlight w:val="none"/>
              </w:rPr>
            </w:r>
            <w:r/>
          </w:p>
        </w:tc>
        <w:tc>
          <w:tcPr>
            <w:tcW w:w="2604" w:type="dxa"/>
            <w:vAlign w:val="center"/>
            <w:textDirection w:val="lrTb"/>
            <w:noWrap w:val="false"/>
          </w:tcPr>
          <w:p>
            <w:pPr>
              <w:pStyle w:val="1217"/>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rPr>
                <w:color w:val="auto"/>
                <w:highlight w:val="none"/>
              </w:rPr>
            </w:r>
            <w:r/>
          </w:p>
        </w:tc>
      </w:tr>
      <w:tr>
        <w:trPr>
          <w:jc w:val="center"/>
        </w:trPr>
        <w:tc>
          <w:tcPr>
            <w:tcW w:w="1526" w:type="dxa"/>
            <w:vAlign w:val="center"/>
            <w:textDirection w:val="lrTb"/>
            <w:noWrap w:val="false"/>
          </w:tcPr>
          <w:p>
            <w:pPr>
              <w:pStyle w:val="1217"/>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地址</w:t>
            </w:r>
            <w:r>
              <w:rPr>
                <w:color w:val="auto"/>
                <w:highlight w:val="none"/>
              </w:rPr>
            </w:r>
            <w:r/>
          </w:p>
        </w:tc>
        <w:tc>
          <w:tcPr>
            <w:tcW w:w="3118" w:type="dxa"/>
            <w:vAlign w:val="center"/>
            <w:textDirection w:val="lrTb"/>
            <w:noWrap w:val="false"/>
          </w:tcPr>
          <w:p>
            <w:pPr>
              <w:pStyle w:val="1217"/>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rPr>
                <w:color w:val="auto"/>
                <w:highlight w:val="none"/>
              </w:rPr>
            </w:r>
            <w:r/>
          </w:p>
        </w:tc>
        <w:tc>
          <w:tcPr>
            <w:tcW w:w="1276" w:type="dxa"/>
            <w:vAlign w:val="center"/>
            <w:textDirection w:val="lrTb"/>
            <w:noWrap w:val="false"/>
          </w:tcPr>
          <w:p>
            <w:pPr>
              <w:pStyle w:val="1217"/>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邮政编码</w:t>
            </w:r>
            <w:r>
              <w:rPr>
                <w:color w:val="auto"/>
                <w:highlight w:val="none"/>
              </w:rPr>
            </w:r>
            <w:r/>
          </w:p>
        </w:tc>
        <w:tc>
          <w:tcPr>
            <w:tcW w:w="2604" w:type="dxa"/>
            <w:vAlign w:val="center"/>
            <w:textDirection w:val="lrTb"/>
            <w:noWrap w:val="false"/>
          </w:tcPr>
          <w:p>
            <w:pPr>
              <w:pStyle w:val="1217"/>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rPr>
                <w:color w:val="auto"/>
                <w:highlight w:val="none"/>
              </w:rPr>
            </w:r>
            <w:r/>
          </w:p>
        </w:tc>
      </w:tr>
      <w:tr>
        <w:trPr>
          <w:jc w:val="center"/>
        </w:trPr>
        <w:tc>
          <w:tcPr>
            <w:tcW w:w="1526" w:type="dxa"/>
            <w:vAlign w:val="center"/>
            <w:textDirection w:val="lrTb"/>
            <w:noWrap w:val="false"/>
          </w:tcPr>
          <w:p>
            <w:pPr>
              <w:pStyle w:val="1217"/>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成立时间</w:t>
            </w:r>
            <w:r>
              <w:rPr>
                <w:color w:val="auto"/>
                <w:highlight w:val="none"/>
              </w:rPr>
            </w:r>
            <w:r/>
          </w:p>
        </w:tc>
        <w:tc>
          <w:tcPr>
            <w:tcW w:w="3118" w:type="dxa"/>
            <w:vAlign w:val="center"/>
            <w:textDirection w:val="lrTb"/>
            <w:noWrap w:val="false"/>
          </w:tcPr>
          <w:p>
            <w:pPr>
              <w:pStyle w:val="1217"/>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rPr>
                <w:color w:val="auto"/>
                <w:highlight w:val="none"/>
              </w:rPr>
            </w:r>
            <w:r/>
          </w:p>
        </w:tc>
        <w:tc>
          <w:tcPr>
            <w:tcW w:w="1276" w:type="dxa"/>
            <w:vAlign w:val="center"/>
            <w:textDirection w:val="lrTb"/>
            <w:noWrap w:val="false"/>
          </w:tcPr>
          <w:p>
            <w:pPr>
              <w:pStyle w:val="1217"/>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单位性质</w:t>
            </w:r>
            <w:r>
              <w:rPr>
                <w:color w:val="auto"/>
                <w:highlight w:val="none"/>
              </w:rPr>
            </w:r>
            <w:r/>
          </w:p>
        </w:tc>
        <w:tc>
          <w:tcPr>
            <w:tcW w:w="2604" w:type="dxa"/>
            <w:vAlign w:val="center"/>
            <w:textDirection w:val="lrTb"/>
            <w:noWrap w:val="false"/>
          </w:tcPr>
          <w:p>
            <w:pPr>
              <w:pStyle w:val="1217"/>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rPr>
                <w:color w:val="auto"/>
                <w:highlight w:val="none"/>
              </w:rPr>
            </w:r>
            <w:r/>
          </w:p>
        </w:tc>
      </w:tr>
      <w:tr>
        <w:trPr>
          <w:jc w:val="center"/>
        </w:trPr>
        <w:tc>
          <w:tcPr>
            <w:tcW w:w="1526" w:type="dxa"/>
            <w:vAlign w:val="center"/>
            <w:textDirection w:val="lrTb"/>
            <w:noWrap w:val="false"/>
          </w:tcPr>
          <w:p>
            <w:pPr>
              <w:pStyle w:val="1217"/>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注册号或社会信用代码</w:t>
            </w:r>
            <w:r>
              <w:rPr>
                <w:color w:val="auto"/>
                <w:highlight w:val="none"/>
              </w:rPr>
            </w:r>
            <w:r/>
          </w:p>
        </w:tc>
        <w:tc>
          <w:tcPr>
            <w:tcW w:w="3118" w:type="dxa"/>
            <w:vAlign w:val="center"/>
            <w:textDirection w:val="lrTb"/>
            <w:noWrap w:val="false"/>
          </w:tcPr>
          <w:p>
            <w:pPr>
              <w:pStyle w:val="1217"/>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rPr>
                <w:color w:val="auto"/>
                <w:highlight w:val="none"/>
              </w:rPr>
            </w:r>
            <w:r/>
          </w:p>
        </w:tc>
        <w:tc>
          <w:tcPr>
            <w:tcW w:w="1276" w:type="dxa"/>
            <w:vAlign w:val="center"/>
            <w:textDirection w:val="lrTb"/>
            <w:noWrap w:val="false"/>
          </w:tcPr>
          <w:p>
            <w:pPr>
              <w:pStyle w:val="1217"/>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注册资本（万元）</w:t>
            </w:r>
            <w:r>
              <w:rPr>
                <w:color w:val="auto"/>
                <w:highlight w:val="none"/>
              </w:rPr>
            </w:r>
            <w:r/>
          </w:p>
        </w:tc>
        <w:tc>
          <w:tcPr>
            <w:tcW w:w="2604" w:type="dxa"/>
            <w:vAlign w:val="center"/>
            <w:textDirection w:val="lrTb"/>
            <w:noWrap w:val="false"/>
          </w:tcPr>
          <w:p>
            <w:pPr>
              <w:pStyle w:val="1217"/>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rPr>
                <w:color w:val="auto"/>
                <w:highlight w:val="none"/>
              </w:rPr>
            </w:r>
            <w:r/>
          </w:p>
        </w:tc>
      </w:tr>
      <w:tr>
        <w:trPr>
          <w:jc w:val="center"/>
        </w:trPr>
        <w:tc>
          <w:tcPr>
            <w:tcW w:w="1526" w:type="dxa"/>
            <w:vAlign w:val="center"/>
            <w:textDirection w:val="lrTb"/>
            <w:noWrap w:val="false"/>
          </w:tcPr>
          <w:p>
            <w:pPr>
              <w:pStyle w:val="1217"/>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开户银行</w:t>
            </w:r>
            <w:r>
              <w:rPr>
                <w:color w:val="auto"/>
                <w:highlight w:val="none"/>
              </w:rPr>
            </w:r>
            <w:r/>
          </w:p>
        </w:tc>
        <w:tc>
          <w:tcPr>
            <w:tcW w:w="3118" w:type="dxa"/>
            <w:vAlign w:val="center"/>
            <w:textDirection w:val="lrTb"/>
            <w:noWrap w:val="false"/>
          </w:tcPr>
          <w:p>
            <w:pPr>
              <w:pStyle w:val="1217"/>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rPr>
                <w:color w:val="auto"/>
                <w:highlight w:val="none"/>
              </w:rPr>
            </w:r>
            <w:r/>
          </w:p>
        </w:tc>
        <w:tc>
          <w:tcPr>
            <w:tcW w:w="1276" w:type="dxa"/>
            <w:vAlign w:val="center"/>
            <w:textDirection w:val="lrTb"/>
            <w:noWrap w:val="false"/>
          </w:tcPr>
          <w:p>
            <w:pPr>
              <w:pStyle w:val="1217"/>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账号</w:t>
            </w:r>
            <w:r>
              <w:rPr>
                <w:color w:val="auto"/>
                <w:highlight w:val="none"/>
              </w:rPr>
            </w:r>
            <w:r/>
          </w:p>
        </w:tc>
        <w:tc>
          <w:tcPr>
            <w:tcW w:w="2604" w:type="dxa"/>
            <w:vAlign w:val="center"/>
            <w:textDirection w:val="lrTb"/>
            <w:noWrap w:val="false"/>
          </w:tcPr>
          <w:p>
            <w:pPr>
              <w:pStyle w:val="1217"/>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rPr>
                <w:color w:val="auto"/>
                <w:highlight w:val="none"/>
              </w:rPr>
            </w:r>
            <w:r/>
          </w:p>
        </w:tc>
      </w:tr>
      <w:tr>
        <w:trPr>
          <w:jc w:val="center"/>
        </w:trPr>
        <w:tc>
          <w:tcPr>
            <w:tcW w:w="1526" w:type="dxa"/>
            <w:vAlign w:val="center"/>
            <w:textDirection w:val="lrTb"/>
            <w:noWrap w:val="false"/>
          </w:tcPr>
          <w:p>
            <w:pPr>
              <w:pStyle w:val="1217"/>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联系人</w:t>
            </w:r>
            <w:r>
              <w:rPr>
                <w:color w:val="auto"/>
                <w:highlight w:val="none"/>
              </w:rPr>
            </w:r>
            <w:r/>
          </w:p>
        </w:tc>
        <w:tc>
          <w:tcPr>
            <w:tcW w:w="3118" w:type="dxa"/>
            <w:vAlign w:val="center"/>
            <w:textDirection w:val="lrTb"/>
            <w:noWrap w:val="false"/>
          </w:tcPr>
          <w:p>
            <w:pPr>
              <w:pStyle w:val="1217"/>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rPr>
                <w:color w:val="auto"/>
                <w:highlight w:val="none"/>
              </w:rPr>
            </w:r>
            <w:r/>
          </w:p>
        </w:tc>
        <w:tc>
          <w:tcPr>
            <w:tcW w:w="1276" w:type="dxa"/>
            <w:vAlign w:val="center"/>
            <w:textDirection w:val="lrTb"/>
            <w:noWrap w:val="false"/>
          </w:tcPr>
          <w:p>
            <w:pPr>
              <w:pStyle w:val="1217"/>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联系电话</w:t>
            </w:r>
            <w:r>
              <w:rPr>
                <w:color w:val="auto"/>
                <w:highlight w:val="none"/>
              </w:rPr>
            </w:r>
            <w:r/>
          </w:p>
        </w:tc>
        <w:tc>
          <w:tcPr>
            <w:tcW w:w="2604" w:type="dxa"/>
            <w:vAlign w:val="center"/>
            <w:textDirection w:val="lrTb"/>
            <w:noWrap w:val="false"/>
          </w:tcPr>
          <w:p>
            <w:pPr>
              <w:pStyle w:val="1217"/>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rPr>
                <w:color w:val="auto"/>
                <w:highlight w:val="none"/>
              </w:rPr>
            </w:r>
            <w:r/>
          </w:p>
        </w:tc>
      </w:tr>
      <w:tr>
        <w:trPr>
          <w:jc w:val="center"/>
          <w:trHeight w:val="2376"/>
        </w:trPr>
        <w:tc>
          <w:tcPr>
            <w:tcW w:w="1526" w:type="dxa"/>
            <w:vAlign w:val="center"/>
            <w:textDirection w:val="lrTb"/>
            <w:noWrap w:val="false"/>
          </w:tcPr>
          <w:p>
            <w:pPr>
              <w:pStyle w:val="1217"/>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经营范围</w:t>
            </w:r>
            <w:r>
              <w:rPr>
                <w:color w:val="auto"/>
                <w:highlight w:val="none"/>
              </w:rPr>
            </w:r>
            <w:r/>
          </w:p>
        </w:tc>
        <w:tc>
          <w:tcPr>
            <w:gridSpan w:val="3"/>
            <w:tcW w:w="6998" w:type="dxa"/>
            <w:textDirection w:val="lrTb"/>
            <w:noWrap w:val="false"/>
          </w:tcPr>
          <w:p>
            <w:pPr>
              <w:pStyle w:val="1217"/>
              <w:ind w:firstLine="1433"/>
              <w:spacing w:line="560" w:lineRule="exact"/>
              <w:rPr>
                <w:rFonts w:ascii="仿宋_GB2312" w:eastAsia="仿宋_GB2312"/>
                <w:color w:val="auto"/>
                <w:sz w:val="24"/>
                <w:szCs w:val="24"/>
                <w:highlight w:val="none"/>
              </w:rPr>
            </w:pPr>
            <w:r>
              <w:rPr>
                <w:rFonts w:ascii="仿宋_GB2312" w:eastAsia="仿宋_GB2312"/>
                <w:color w:val="auto"/>
                <w:sz w:val="24"/>
                <w:szCs w:val="24"/>
                <w:highlight w:val="none"/>
              </w:rPr>
            </w:r>
            <w:r>
              <w:rPr>
                <w:color w:val="auto"/>
                <w:highlight w:val="none"/>
              </w:rPr>
            </w:r>
            <w:r/>
          </w:p>
        </w:tc>
      </w:tr>
      <w:tr>
        <w:trPr>
          <w:jc w:val="center"/>
          <w:trHeight w:val="1134"/>
        </w:trPr>
        <w:tc>
          <w:tcPr>
            <w:tcW w:w="1526" w:type="dxa"/>
            <w:vAlign w:val="center"/>
            <w:textDirection w:val="lrTb"/>
            <w:noWrap w:val="false"/>
          </w:tcPr>
          <w:p>
            <w:pPr>
              <w:pStyle w:val="1217"/>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备注</w:t>
            </w:r>
            <w:r>
              <w:rPr>
                <w:color w:val="auto"/>
                <w:highlight w:val="none"/>
              </w:rPr>
            </w:r>
            <w:r/>
          </w:p>
        </w:tc>
        <w:tc>
          <w:tcPr>
            <w:gridSpan w:val="3"/>
            <w:tcW w:w="6998" w:type="dxa"/>
            <w:vAlign w:val="center"/>
            <w:textDirection w:val="lrTb"/>
            <w:noWrap w:val="false"/>
          </w:tcPr>
          <w:p>
            <w:pPr>
              <w:pStyle w:val="1217"/>
              <w:jc w:val="center"/>
              <w:spacing w:line="500" w:lineRule="exact"/>
              <w:rPr>
                <w:rFonts w:ascii="仿宋_GB2312" w:eastAsia="仿宋_GB2312"/>
                <w:color w:val="auto"/>
                <w:sz w:val="24"/>
                <w:szCs w:val="24"/>
                <w:highlight w:val="none"/>
              </w:rPr>
            </w:pPr>
            <w:r>
              <w:rPr>
                <w:rFonts w:ascii="仿宋_GB2312" w:eastAsia="仿宋_GB2312"/>
                <w:color w:val="auto"/>
                <w:sz w:val="24"/>
                <w:szCs w:val="24"/>
                <w:highlight w:val="none"/>
              </w:rPr>
            </w:r>
            <w:r>
              <w:rPr>
                <w:color w:val="auto"/>
                <w:highlight w:val="none"/>
              </w:rPr>
            </w:r>
            <w:r/>
          </w:p>
        </w:tc>
      </w:tr>
    </w:tbl>
    <w:p>
      <w:pPr>
        <w:pStyle w:val="1217"/>
        <w:jc w:val="center"/>
        <w:spacing w:line="560" w:lineRule="exact"/>
        <w:rPr>
          <w:rFonts w:ascii="方正大标宋简体" w:eastAsia="方正大标宋简体"/>
          <w:bCs/>
          <w:color w:val="auto"/>
          <w:sz w:val="32"/>
          <w:szCs w:val="32"/>
          <w:highlight w:val="none"/>
        </w:rPr>
      </w:pPr>
      <w:r>
        <w:rPr>
          <w:rFonts w:ascii="方正大标宋简体" w:eastAsia="方正大标宋简体"/>
          <w:bCs/>
          <w:color w:val="auto"/>
          <w:sz w:val="32"/>
          <w:szCs w:val="32"/>
          <w:highlight w:val="none"/>
        </w:rPr>
      </w:r>
      <w:r>
        <w:rPr>
          <w:color w:val="auto"/>
          <w:highlight w:val="none"/>
        </w:rPr>
      </w:r>
      <w:r/>
    </w:p>
    <w:p>
      <w:pPr>
        <w:pStyle w:val="1256"/>
        <w:rPr>
          <w:rFonts w:hint="eastAsia"/>
          <w:color w:val="auto"/>
          <w:highlight w:val="none"/>
        </w:rPr>
        <w:outlineLvl w:val="1"/>
      </w:pPr>
      <w:r>
        <w:rPr>
          <w:color w:val="auto"/>
          <w:highlight w:val="none"/>
        </w:rPr>
        <w:br w:type="page" w:clear="all"/>
      </w:r>
      <w:bookmarkStart w:id="170" w:name="_Toc164203465"/>
      <w:r>
        <w:rPr>
          <w:color w:val="auto"/>
          <w:highlight w:val="none"/>
        </w:rPr>
      </w:r>
      <w:bookmarkStart w:id="171" w:name="_Toc1147"/>
      <w:r>
        <w:rPr>
          <w:color w:val="auto"/>
          <w:highlight w:val="none"/>
        </w:rPr>
      </w:r>
      <w:bookmarkStart w:id="172" w:name="_Toc15353"/>
      <w:r>
        <w:rPr>
          <w:color w:val="auto"/>
          <w:highlight w:val="none"/>
        </w:rPr>
      </w:r>
      <w:bookmarkStart w:id="173" w:name="_Toc30008"/>
      <w:r>
        <w:rPr>
          <w:color w:val="auto"/>
          <w:highlight w:val="none"/>
        </w:rPr>
      </w:r>
      <w:bookmarkStart w:id="174" w:name="_Toc24265"/>
      <w:r>
        <w:rPr>
          <w:color w:val="auto"/>
          <w:highlight w:val="none"/>
        </w:rPr>
      </w:r>
      <w:bookmarkStart w:id="175" w:name="_Toc13486"/>
      <w:r>
        <w:rPr>
          <w:color w:val="auto"/>
          <w:highlight w:val="none"/>
        </w:rPr>
        <w:t xml:space="preserve">二、投标人资质</w:t>
      </w:r>
      <w:r>
        <w:rPr>
          <w:rFonts w:hint="eastAsia"/>
          <w:color w:val="auto"/>
          <w:highlight w:val="none"/>
        </w:rPr>
        <w:t xml:space="preserve">（按资格要求提供）</w:t>
      </w:r>
      <w:bookmarkEnd w:id="170"/>
      <w:r>
        <w:rPr>
          <w:color w:val="auto"/>
          <w:highlight w:val="none"/>
        </w:rPr>
      </w:r>
      <w:bookmarkEnd w:id="171"/>
      <w:r>
        <w:rPr>
          <w:color w:val="auto"/>
          <w:highlight w:val="none"/>
        </w:rPr>
      </w:r>
      <w:bookmarkEnd w:id="172"/>
      <w:r>
        <w:rPr>
          <w:color w:val="auto"/>
          <w:highlight w:val="none"/>
        </w:rPr>
      </w:r>
      <w:bookmarkEnd w:id="173"/>
      <w:r>
        <w:rPr>
          <w:color w:val="auto"/>
          <w:highlight w:val="none"/>
        </w:rPr>
      </w:r>
      <w:bookmarkEnd w:id="174"/>
      <w:r>
        <w:rPr>
          <w:color w:val="auto"/>
          <w:highlight w:val="none"/>
        </w:rPr>
      </w:r>
      <w:bookmarkEnd w:id="175"/>
      <w:r>
        <w:rPr>
          <w:color w:val="auto"/>
          <w:highlight w:val="none"/>
        </w:rPr>
      </w:r>
      <w:r/>
    </w:p>
    <w:p>
      <w:pPr>
        <w:pStyle w:val="1322"/>
        <w:rPr>
          <w:rFonts w:hint="eastAsia"/>
          <w:color w:val="auto"/>
          <w:highlight w:val="none"/>
        </w:rPr>
      </w:pPr>
      <w:r>
        <w:rPr>
          <w:rFonts w:hint="eastAsia"/>
          <w:color w:val="auto"/>
          <w:highlight w:val="none"/>
        </w:rPr>
        <w:t xml:space="preserve">    </w:t>
      </w:r>
      <w:r>
        <w:rPr>
          <w:color w:val="auto"/>
          <w:highlight w:val="none"/>
        </w:rPr>
      </w:r>
      <w:r/>
    </w:p>
    <w:p>
      <w:pPr>
        <w:pStyle w:val="1322"/>
        <w:rPr>
          <w:rFonts w:hint="eastAsia"/>
          <w:color w:val="auto"/>
          <w:highlight w:val="none"/>
        </w:rPr>
      </w:pPr>
      <w:r>
        <w:rPr>
          <w:rFonts w:hint="eastAsia"/>
          <w:color w:val="auto"/>
          <w:highlight w:val="none"/>
        </w:rPr>
      </w:r>
      <w:r>
        <w:rPr>
          <w:color w:val="auto"/>
          <w:highlight w:val="none"/>
        </w:rPr>
      </w:r>
      <w:r/>
    </w:p>
    <w:p>
      <w:pPr>
        <w:pStyle w:val="1322"/>
        <w:rPr>
          <w:rFonts w:hint="eastAsia"/>
          <w:color w:val="auto"/>
          <w:highlight w:val="none"/>
        </w:rPr>
      </w:pPr>
      <w:r>
        <w:rPr>
          <w:rFonts w:hint="eastAsia"/>
          <w:color w:val="auto"/>
          <w:highlight w:val="none"/>
        </w:rPr>
      </w:r>
      <w:r>
        <w:rPr>
          <w:color w:val="auto"/>
          <w:highlight w:val="none"/>
        </w:rPr>
      </w:r>
      <w:r/>
    </w:p>
    <w:p>
      <w:pPr>
        <w:pStyle w:val="1322"/>
        <w:rPr>
          <w:rFonts w:hint="eastAsia"/>
          <w:color w:val="auto"/>
          <w:highlight w:val="none"/>
        </w:rPr>
      </w:pPr>
      <w:r>
        <w:rPr>
          <w:rFonts w:hint="eastAsia"/>
          <w:color w:val="auto"/>
          <w:highlight w:val="none"/>
        </w:rPr>
      </w:r>
      <w:r>
        <w:rPr>
          <w:color w:val="auto"/>
          <w:highlight w:val="none"/>
        </w:rPr>
      </w:r>
      <w:r/>
    </w:p>
    <w:p>
      <w:pPr>
        <w:pStyle w:val="1322"/>
        <w:rPr>
          <w:rFonts w:hint="eastAsia"/>
          <w:color w:val="auto"/>
          <w:highlight w:val="none"/>
        </w:rPr>
      </w:pPr>
      <w:r>
        <w:rPr>
          <w:rFonts w:hint="eastAsia"/>
          <w:color w:val="auto"/>
          <w:highlight w:val="none"/>
        </w:rPr>
      </w:r>
      <w:r>
        <w:rPr>
          <w:color w:val="auto"/>
          <w:highlight w:val="none"/>
        </w:rPr>
      </w:r>
      <w:r/>
    </w:p>
    <w:p>
      <w:pPr>
        <w:pStyle w:val="1322"/>
        <w:rPr>
          <w:rFonts w:hint="eastAsia"/>
          <w:color w:val="auto"/>
          <w:highlight w:val="none"/>
        </w:rPr>
      </w:pPr>
      <w:r>
        <w:rPr>
          <w:rFonts w:hint="eastAsia"/>
          <w:color w:val="auto"/>
          <w:highlight w:val="none"/>
        </w:rPr>
      </w:r>
      <w:r>
        <w:rPr>
          <w:color w:val="auto"/>
          <w:highlight w:val="none"/>
        </w:rPr>
      </w:r>
      <w:r/>
    </w:p>
    <w:p>
      <w:pPr>
        <w:pStyle w:val="1322"/>
        <w:rPr>
          <w:rFonts w:hint="eastAsia"/>
          <w:color w:val="auto"/>
          <w:highlight w:val="none"/>
        </w:rPr>
      </w:pPr>
      <w:r>
        <w:rPr>
          <w:rFonts w:hint="eastAsia"/>
          <w:color w:val="auto"/>
          <w:highlight w:val="none"/>
        </w:rPr>
      </w:r>
      <w:r>
        <w:rPr>
          <w:color w:val="auto"/>
          <w:highlight w:val="none"/>
        </w:rPr>
      </w:r>
      <w:r/>
    </w:p>
    <w:p>
      <w:pPr>
        <w:pStyle w:val="1322"/>
        <w:rPr>
          <w:rFonts w:hint="eastAsia"/>
          <w:color w:val="auto"/>
          <w:highlight w:val="none"/>
        </w:rPr>
      </w:pPr>
      <w:r>
        <w:rPr>
          <w:rFonts w:hint="eastAsia"/>
          <w:color w:val="auto"/>
          <w:highlight w:val="none"/>
        </w:rPr>
      </w:r>
      <w:r>
        <w:rPr>
          <w:color w:val="auto"/>
          <w:highlight w:val="none"/>
        </w:rPr>
      </w:r>
      <w:r/>
    </w:p>
    <w:p>
      <w:pPr>
        <w:pStyle w:val="1322"/>
        <w:rPr>
          <w:rFonts w:hint="eastAsia"/>
          <w:color w:val="auto"/>
          <w:highlight w:val="none"/>
        </w:rPr>
      </w:pPr>
      <w:r>
        <w:rPr>
          <w:rFonts w:hint="eastAsia"/>
          <w:color w:val="auto"/>
          <w:highlight w:val="none"/>
        </w:rPr>
      </w:r>
      <w:r>
        <w:rPr>
          <w:color w:val="auto"/>
          <w:highlight w:val="none"/>
        </w:rPr>
      </w:r>
      <w:r/>
    </w:p>
    <w:p>
      <w:pPr>
        <w:pStyle w:val="1322"/>
        <w:rPr>
          <w:rFonts w:hint="eastAsia"/>
          <w:color w:val="auto"/>
          <w:highlight w:val="none"/>
        </w:rPr>
      </w:pPr>
      <w:r>
        <w:rPr>
          <w:rFonts w:hint="eastAsia"/>
          <w:color w:val="auto"/>
          <w:highlight w:val="none"/>
        </w:rPr>
      </w:r>
      <w:r>
        <w:rPr>
          <w:color w:val="auto"/>
          <w:highlight w:val="none"/>
        </w:rPr>
      </w:r>
      <w:r/>
    </w:p>
    <w:p>
      <w:pPr>
        <w:pStyle w:val="1322"/>
        <w:rPr>
          <w:rFonts w:hint="eastAsia"/>
          <w:color w:val="auto"/>
          <w:highlight w:val="none"/>
        </w:rPr>
      </w:pPr>
      <w:r>
        <w:rPr>
          <w:rFonts w:hint="eastAsia"/>
          <w:color w:val="auto"/>
          <w:highlight w:val="none"/>
        </w:rPr>
      </w:r>
      <w:r>
        <w:rPr>
          <w:color w:val="auto"/>
          <w:highlight w:val="none"/>
        </w:rPr>
      </w:r>
      <w:r/>
    </w:p>
    <w:p>
      <w:pPr>
        <w:pStyle w:val="1322"/>
        <w:rPr>
          <w:rFonts w:hint="eastAsia"/>
          <w:color w:val="auto"/>
          <w:highlight w:val="none"/>
        </w:rPr>
      </w:pPr>
      <w:r>
        <w:rPr>
          <w:rFonts w:hint="eastAsia"/>
          <w:color w:val="auto"/>
          <w:highlight w:val="none"/>
        </w:rPr>
      </w:r>
      <w:r>
        <w:rPr>
          <w:color w:val="auto"/>
          <w:highlight w:val="none"/>
        </w:rPr>
      </w:r>
      <w:r/>
    </w:p>
    <w:p>
      <w:pPr>
        <w:pStyle w:val="1322"/>
        <w:rPr>
          <w:rFonts w:hint="eastAsia"/>
          <w:color w:val="auto"/>
          <w:highlight w:val="none"/>
        </w:rPr>
      </w:pPr>
      <w:r>
        <w:rPr>
          <w:rFonts w:hint="eastAsia"/>
          <w:color w:val="auto"/>
          <w:highlight w:val="none"/>
        </w:rPr>
      </w:r>
      <w:r>
        <w:rPr>
          <w:color w:val="auto"/>
          <w:highlight w:val="none"/>
        </w:rPr>
      </w:r>
      <w:r/>
    </w:p>
    <w:p>
      <w:pPr>
        <w:rPr>
          <w:color w:val="auto"/>
          <w:highlight w:val="none"/>
        </w:rPr>
      </w:pPr>
      <w:r>
        <w:rPr>
          <w:rFonts w:hint="eastAsia"/>
          <w:color w:val="auto"/>
          <w:highlight w:val="none"/>
        </w:rPr>
        <w:br w:type="page" w:clear="all"/>
      </w:r>
      <w:r>
        <w:rPr>
          <w:color w:val="auto"/>
          <w:highlight w:val="none"/>
        </w:rPr>
      </w:r>
      <w:r/>
    </w:p>
    <w:p>
      <w:pPr>
        <w:pStyle w:val="1322"/>
        <w:rPr>
          <w:rFonts w:hint="eastAsia"/>
          <w:color w:val="auto"/>
          <w:highlight w:val="none"/>
        </w:rPr>
        <w:outlineLvl w:val="1"/>
      </w:pPr>
      <w:r>
        <w:rPr>
          <w:color w:val="auto"/>
          <w:highlight w:val="none"/>
        </w:rPr>
      </w:r>
      <w:bookmarkStart w:id="176" w:name="_Toc18935"/>
      <w:r>
        <w:rPr>
          <w:color w:val="auto"/>
          <w:highlight w:val="none"/>
        </w:rPr>
      </w:r>
      <w:bookmarkStart w:id="177" w:name="_Toc164203466"/>
      <w:r>
        <w:rPr>
          <w:color w:val="auto"/>
          <w:highlight w:val="none"/>
        </w:rPr>
      </w:r>
      <w:bookmarkStart w:id="178" w:name="_Toc4877"/>
      <w:r>
        <w:rPr>
          <w:color w:val="auto"/>
          <w:highlight w:val="none"/>
        </w:rPr>
      </w:r>
      <w:bookmarkStart w:id="179" w:name="_Toc18278"/>
      <w:r>
        <w:rPr>
          <w:color w:val="auto"/>
          <w:highlight w:val="none"/>
        </w:rPr>
      </w:r>
      <w:bookmarkStart w:id="180" w:name="_Toc15822"/>
      <w:r>
        <w:rPr>
          <w:color w:val="auto"/>
          <w:highlight w:val="none"/>
        </w:rPr>
        <w:t xml:space="preserve">三、投标人</w:t>
      </w:r>
      <w:bookmarkEnd w:id="176"/>
      <w:r>
        <w:rPr>
          <w:rFonts w:hint="eastAsia" w:ascii="宋体" w:hAnsi="宋体" w:cs="Arial"/>
          <w:bCs/>
          <w:color w:val="auto"/>
          <w:highlight w:val="none"/>
        </w:rPr>
        <w:t xml:space="preserve">具有良好的商业信誉和健全的财务会计制度</w:t>
      </w:r>
      <w:bookmarkEnd w:id="177"/>
      <w:r>
        <w:rPr>
          <w:color w:val="auto"/>
          <w:highlight w:val="none"/>
        </w:rPr>
      </w:r>
      <w:bookmarkEnd w:id="178"/>
      <w:r>
        <w:rPr>
          <w:color w:val="auto"/>
          <w:highlight w:val="none"/>
        </w:rPr>
      </w:r>
      <w:bookmarkEnd w:id="179"/>
      <w:r>
        <w:rPr>
          <w:color w:val="auto"/>
          <w:highlight w:val="none"/>
        </w:rPr>
      </w:r>
      <w:bookmarkEnd w:id="180"/>
      <w:r>
        <w:rPr>
          <w:color w:val="auto"/>
          <w:highlight w:val="none"/>
        </w:rPr>
      </w:r>
      <w:r/>
    </w:p>
    <w:p>
      <w:pPr>
        <w:pStyle w:val="1379"/>
        <w:rPr>
          <w:color w:val="auto"/>
          <w:highlight w:val="none"/>
        </w:rPr>
      </w:pPr>
      <w:r>
        <w:rPr>
          <w:rFonts w:hint="eastAsia" w:ascii="宋体"/>
          <w:bCs/>
          <w:color w:val="auto"/>
          <w:szCs w:val="32"/>
          <w:highlight w:val="none"/>
        </w:rPr>
        <w:t xml:space="preserve">提供符合招标文件要求的资料</w:t>
      </w:r>
      <w:r>
        <w:rPr>
          <w:color w:val="auto"/>
          <w:highlight w:val="none"/>
        </w:rPr>
      </w:r>
      <w:r/>
    </w:p>
    <w:p>
      <w:pPr>
        <w:pStyle w:val="1416"/>
        <w:rPr>
          <w:rFonts w:hint="eastAsia"/>
          <w:color w:val="auto"/>
          <w:highlight w:val="none"/>
        </w:rPr>
        <w:outlineLvl w:val="1"/>
      </w:pPr>
      <w:r>
        <w:rPr>
          <w:color w:val="auto"/>
          <w:highlight w:val="none"/>
        </w:rPr>
        <w:br w:type="page" w:clear="all"/>
      </w:r>
      <w:bookmarkStart w:id="181" w:name="_Toc11562_WPSOffice_Level2"/>
      <w:r>
        <w:rPr>
          <w:color w:val="auto"/>
          <w:highlight w:val="none"/>
        </w:rPr>
      </w:r>
      <w:bookmarkStart w:id="182" w:name="_Toc514054489"/>
      <w:r>
        <w:rPr>
          <w:color w:val="auto"/>
          <w:highlight w:val="none"/>
        </w:rPr>
      </w:r>
      <w:bookmarkStart w:id="183" w:name="_Toc29626"/>
      <w:r>
        <w:rPr>
          <w:color w:val="auto"/>
          <w:highlight w:val="none"/>
        </w:rPr>
      </w:r>
      <w:bookmarkStart w:id="184" w:name="_Toc26507"/>
      <w:r>
        <w:rPr>
          <w:color w:val="auto"/>
          <w:highlight w:val="none"/>
        </w:rPr>
      </w:r>
      <w:bookmarkStart w:id="185" w:name="_Toc164203467"/>
      <w:r>
        <w:rPr>
          <w:color w:val="auto"/>
          <w:highlight w:val="none"/>
        </w:rPr>
      </w:r>
      <w:bookmarkStart w:id="186" w:name="_Toc1350"/>
      <w:r>
        <w:rPr>
          <w:color w:val="auto"/>
          <w:highlight w:val="none"/>
        </w:rPr>
      </w:r>
      <w:bookmarkStart w:id="187" w:name="_Toc3360"/>
      <w:r>
        <w:rPr>
          <w:color w:val="auto"/>
          <w:highlight w:val="none"/>
        </w:rPr>
        <w:t xml:space="preserve">四、</w:t>
      </w:r>
      <w:bookmarkEnd w:id="181"/>
      <w:r>
        <w:rPr>
          <w:color w:val="auto"/>
          <w:highlight w:val="none"/>
        </w:rPr>
      </w:r>
      <w:bookmarkEnd w:id="182"/>
      <w:r>
        <w:rPr>
          <w:color w:val="auto"/>
          <w:highlight w:val="none"/>
        </w:rPr>
      </w:r>
      <w:bookmarkEnd w:id="183"/>
      <w:r>
        <w:rPr>
          <w:rFonts w:hint="eastAsia" w:ascii="宋体" w:hAnsi="宋体" w:cs="Arial"/>
          <w:bCs/>
          <w:color w:val="auto"/>
          <w:highlight w:val="none"/>
        </w:rPr>
        <w:t xml:space="preserve">具有履行合同所必需的设备和专业技术能力</w:t>
      </w:r>
      <w:bookmarkEnd w:id="184"/>
      <w:r>
        <w:rPr>
          <w:color w:val="auto"/>
          <w:highlight w:val="none"/>
        </w:rPr>
      </w:r>
      <w:bookmarkEnd w:id="185"/>
      <w:r>
        <w:rPr>
          <w:color w:val="auto"/>
          <w:highlight w:val="none"/>
        </w:rPr>
      </w:r>
      <w:bookmarkEnd w:id="186"/>
      <w:r>
        <w:rPr>
          <w:color w:val="auto"/>
          <w:highlight w:val="none"/>
        </w:rPr>
      </w:r>
      <w:bookmarkEnd w:id="187"/>
      <w:r>
        <w:rPr>
          <w:color w:val="auto"/>
          <w:highlight w:val="none"/>
        </w:rPr>
      </w:r>
      <w:r/>
    </w:p>
    <w:p>
      <w:pPr>
        <w:pStyle w:val="1153"/>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r>
      <w:r>
        <w:rPr>
          <w:color w:val="auto"/>
          <w:highlight w:val="none"/>
        </w:rPr>
      </w:r>
      <w:r/>
    </w:p>
    <w:p>
      <w:pPr>
        <w:pStyle w:val="1153"/>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t xml:space="preserve">具备履行合同所必需的设备和专业技术能力的声明</w:t>
      </w:r>
      <w:r>
        <w:rPr>
          <w:color w:val="auto"/>
          <w:highlight w:val="none"/>
        </w:rPr>
      </w:r>
      <w:r/>
    </w:p>
    <w:p>
      <w:pPr>
        <w:pStyle w:val="1153"/>
        <w:spacing w:line="600" w:lineRule="exact"/>
        <w:rPr>
          <w:rFonts w:ascii="仿宋_GB2312" w:eastAsia="仿宋_GB2312"/>
          <w:color w:val="auto"/>
          <w:sz w:val="24"/>
          <w:highlight w:val="none"/>
          <w:u w:val="single"/>
        </w:rPr>
      </w:pPr>
      <w:r>
        <w:rPr>
          <w:rFonts w:ascii="仿宋_GB2312" w:eastAsia="仿宋_GB2312"/>
          <w:color w:val="auto"/>
          <w:sz w:val="24"/>
          <w:highlight w:val="none"/>
          <w:u w:val="single"/>
        </w:rPr>
      </w:r>
      <w:r>
        <w:rPr>
          <w:color w:val="auto"/>
          <w:highlight w:val="none"/>
        </w:rPr>
      </w:r>
      <w:r/>
    </w:p>
    <w:p>
      <w:pPr>
        <w:pStyle w:val="1153"/>
        <w:spacing w:line="600" w:lineRule="exact"/>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t xml:space="preserve">（采购人名称）：</w:t>
      </w:r>
      <w:r>
        <w:rPr>
          <w:color w:val="auto"/>
          <w:highlight w:val="none"/>
        </w:rPr>
      </w:r>
      <w:r/>
    </w:p>
    <w:p>
      <w:pPr>
        <w:pStyle w:val="1153"/>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   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具备履行编号为</w:t>
      </w:r>
      <w:r>
        <w:rPr>
          <w:rFonts w:hint="eastAsia" w:ascii="仿宋_GB2312" w:eastAsia="仿宋_GB2312"/>
          <w:color w:val="auto"/>
          <w:sz w:val="24"/>
          <w:highlight w:val="none"/>
          <w:u w:val="single"/>
        </w:rPr>
        <w:t xml:space="preserve">       号           项目</w:t>
      </w:r>
      <w:r>
        <w:rPr>
          <w:rFonts w:hint="eastAsia" w:ascii="仿宋_GB2312" w:eastAsia="仿宋_GB2312"/>
          <w:color w:val="auto"/>
          <w:sz w:val="24"/>
          <w:highlight w:val="none"/>
        </w:rPr>
        <w:t xml:space="preserve">合同的设备和专业技术能力。</w:t>
      </w:r>
      <w:r>
        <w:rPr>
          <w:color w:val="auto"/>
          <w:highlight w:val="none"/>
        </w:rPr>
      </w:r>
      <w:r/>
    </w:p>
    <w:p>
      <w:pPr>
        <w:pStyle w:val="1153"/>
        <w:ind w:firstLine="48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rPr>
          <w:color w:val="auto"/>
          <w:highlight w:val="none"/>
        </w:rPr>
      </w:r>
      <w:r/>
    </w:p>
    <w:p>
      <w:pPr>
        <w:pStyle w:val="1153"/>
        <w:ind w:firstLine="480"/>
        <w:spacing w:line="60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p>
      <w:pPr>
        <w:pStyle w:val="1153"/>
        <w:jc w:val="center"/>
        <w:spacing w:line="600" w:lineRule="exact"/>
        <w:rPr>
          <w:rFonts w:ascii="宋体"/>
          <w:b/>
          <w:bCs/>
          <w:color w:val="auto"/>
          <w:sz w:val="32"/>
          <w:szCs w:val="32"/>
          <w:highlight w:val="none"/>
        </w:rPr>
      </w:pPr>
      <w:r>
        <w:rPr>
          <w:rFonts w:ascii="宋体"/>
          <w:b/>
          <w:bCs/>
          <w:color w:val="auto"/>
          <w:sz w:val="32"/>
          <w:szCs w:val="32"/>
          <w:highlight w:val="none"/>
        </w:rPr>
      </w:r>
      <w:r>
        <w:rPr>
          <w:color w:val="auto"/>
          <w:highlight w:val="none"/>
        </w:rPr>
      </w:r>
      <w:r/>
    </w:p>
    <w:p>
      <w:pPr>
        <w:pStyle w:val="1146"/>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color w:val="auto"/>
          <w:highlight w:val="none"/>
        </w:rPr>
      </w:r>
      <w:r/>
    </w:p>
    <w:p>
      <w:pPr>
        <w:pStyle w:val="1146"/>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rPr>
          <w:color w:val="auto"/>
          <w:highlight w:val="none"/>
        </w:rPr>
      </w:r>
      <w:r/>
    </w:p>
    <w:p>
      <w:pPr>
        <w:pStyle w:val="1349"/>
        <w:ind w:firstLine="720"/>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rPr>
          <w:color w:val="auto"/>
          <w:highlight w:val="none"/>
        </w:rPr>
      </w:r>
      <w:r/>
    </w:p>
    <w:p>
      <w:pPr>
        <w:pStyle w:val="1161"/>
        <w:spacing w:after="100" w:afterAutospacing="1"/>
        <w:rPr>
          <w:rFonts w:ascii="宋体" w:hAnsi="宋体" w:cs="Arial"/>
          <w:bCs/>
          <w:color w:val="auto"/>
          <w:highlight w:val="none"/>
        </w:rPr>
      </w:pPr>
      <w:r>
        <w:rPr>
          <w:color w:val="auto"/>
          <w:highlight w:val="none"/>
        </w:rPr>
        <w:br w:type="page" w:clear="all"/>
      </w:r>
      <w:bookmarkStart w:id="188" w:name="_Toc514054490"/>
      <w:r>
        <w:rPr>
          <w:color w:val="auto"/>
          <w:highlight w:val="none"/>
        </w:rPr>
      </w:r>
      <w:bookmarkStart w:id="189" w:name="_Toc467_WPSOffice_Level2"/>
      <w:r>
        <w:rPr>
          <w:color w:val="auto"/>
          <w:highlight w:val="none"/>
        </w:rPr>
      </w:r>
      <w:bookmarkStart w:id="190" w:name="_Toc13419"/>
      <w:r>
        <w:rPr>
          <w:color w:val="auto"/>
          <w:highlight w:val="none"/>
        </w:rPr>
      </w:r>
      <w:bookmarkStart w:id="191" w:name="_Toc514054491"/>
      <w:r>
        <w:rPr>
          <w:color w:val="auto"/>
          <w:highlight w:val="none"/>
        </w:rPr>
      </w:r>
      <w:bookmarkStart w:id="192" w:name="_Toc19673"/>
      <w:r>
        <w:rPr>
          <w:color w:val="auto"/>
          <w:highlight w:val="none"/>
        </w:rPr>
      </w:r>
      <w:bookmarkStart w:id="193" w:name="_Toc5571_WPSOffice_Level2"/>
      <w:r>
        <w:rPr>
          <w:color w:val="auto"/>
          <w:highlight w:val="none"/>
        </w:rPr>
      </w:r>
      <w:bookmarkStart w:id="194" w:name="_Toc10808"/>
      <w:r>
        <w:rPr>
          <w:rFonts w:hint="eastAsia" w:ascii="宋体" w:hAnsi="宋体" w:eastAsia="黑体" w:cs="Arial"/>
          <w:b/>
          <w:bCs/>
          <w:color w:val="auto"/>
          <w:sz w:val="32"/>
          <w:highlight w:val="none"/>
        </w:rPr>
        <w:t xml:space="preserve">五、</w:t>
      </w:r>
      <w:bookmarkEnd w:id="188"/>
      <w:r>
        <w:rPr>
          <w:color w:val="auto"/>
          <w:highlight w:val="none"/>
        </w:rPr>
      </w:r>
      <w:bookmarkEnd w:id="189"/>
      <w:r>
        <w:rPr>
          <w:color w:val="auto"/>
          <w:highlight w:val="none"/>
        </w:rPr>
      </w:r>
      <w:bookmarkEnd w:id="190"/>
      <w:r>
        <w:rPr>
          <w:rFonts w:hint="eastAsia" w:ascii="宋体" w:hAnsi="宋体" w:eastAsia="黑体" w:cs="Arial"/>
          <w:b/>
          <w:bCs/>
          <w:color w:val="auto"/>
          <w:sz w:val="32"/>
          <w:highlight w:val="none"/>
        </w:rPr>
        <w:t xml:space="preserve">有依法缴纳税收和社会保障资金的良好记录</w:t>
      </w:r>
      <w:r>
        <w:rPr>
          <w:color w:val="auto"/>
          <w:highlight w:val="none"/>
        </w:rPr>
      </w:r>
      <w:r/>
    </w:p>
    <w:p>
      <w:pPr>
        <w:pStyle w:val="1379"/>
        <w:rPr>
          <w:color w:val="auto"/>
          <w:highlight w:val="none"/>
        </w:rPr>
      </w:pPr>
      <w:r>
        <w:rPr>
          <w:rFonts w:hint="eastAsia" w:ascii="宋体"/>
          <w:bCs/>
          <w:color w:val="auto"/>
          <w:szCs w:val="32"/>
          <w:highlight w:val="none"/>
        </w:rPr>
        <w:t xml:space="preserve">提供符合招标文件要求的资料</w:t>
      </w:r>
      <w:r>
        <w:rPr>
          <w:color w:val="auto"/>
          <w:highlight w:val="none"/>
        </w:rPr>
      </w:r>
      <w:r/>
    </w:p>
    <w:p>
      <w:pPr>
        <w:rPr>
          <w:rFonts w:hint="eastAsia" w:ascii="黑体" w:hAnsi="黑体" w:eastAsia="黑体"/>
          <w:color w:val="auto"/>
          <w:sz w:val="32"/>
          <w:highlight w:val="none"/>
        </w:rPr>
      </w:pPr>
      <w:r>
        <w:rPr>
          <w:color w:val="auto"/>
          <w:highlight w:val="none"/>
        </w:rPr>
        <w:br w:type="page" w:clear="all"/>
      </w:r>
      <w:r>
        <w:rPr>
          <w:color w:val="auto"/>
          <w:highlight w:val="none"/>
        </w:rPr>
      </w:r>
      <w:r/>
    </w:p>
    <w:p>
      <w:pPr>
        <w:pStyle w:val="1180"/>
        <w:rPr>
          <w:rFonts w:hint="eastAsia"/>
          <w:color w:val="auto"/>
          <w:highlight w:val="none"/>
        </w:rPr>
        <w:outlineLvl w:val="1"/>
      </w:pPr>
      <w:r>
        <w:rPr>
          <w:color w:val="auto"/>
          <w:highlight w:val="none"/>
        </w:rPr>
      </w:r>
      <w:bookmarkStart w:id="195" w:name="_Toc164203468"/>
      <w:r>
        <w:rPr>
          <w:color w:val="auto"/>
          <w:highlight w:val="none"/>
        </w:rPr>
      </w:r>
      <w:bookmarkStart w:id="196" w:name="_Toc25541"/>
      <w:r>
        <w:rPr>
          <w:color w:val="auto"/>
          <w:highlight w:val="none"/>
        </w:rPr>
      </w:r>
      <w:bookmarkStart w:id="197" w:name="_Toc16607"/>
      <w:r>
        <w:rPr>
          <w:color w:val="auto"/>
          <w:highlight w:val="none"/>
        </w:rPr>
      </w:r>
      <w:bookmarkStart w:id="198" w:name="_Toc12145"/>
      <w:r>
        <w:rPr>
          <w:color w:val="auto"/>
          <w:highlight w:val="none"/>
        </w:rPr>
        <w:t xml:space="preserve">六、无重大违法行为声明</w:t>
      </w:r>
      <w:bookmarkEnd w:id="191"/>
      <w:r>
        <w:rPr>
          <w:color w:val="auto"/>
          <w:highlight w:val="none"/>
        </w:rPr>
      </w:r>
      <w:bookmarkEnd w:id="192"/>
      <w:r>
        <w:rPr>
          <w:color w:val="auto"/>
          <w:highlight w:val="none"/>
        </w:rPr>
      </w:r>
      <w:bookmarkEnd w:id="193"/>
      <w:r>
        <w:rPr>
          <w:color w:val="auto"/>
          <w:highlight w:val="none"/>
        </w:rPr>
      </w:r>
      <w:bookmarkEnd w:id="194"/>
      <w:r>
        <w:rPr>
          <w:color w:val="auto"/>
          <w:highlight w:val="none"/>
        </w:rPr>
      </w:r>
      <w:bookmarkEnd w:id="195"/>
      <w:r>
        <w:rPr>
          <w:color w:val="auto"/>
          <w:highlight w:val="none"/>
        </w:rPr>
      </w:r>
      <w:bookmarkEnd w:id="196"/>
      <w:r>
        <w:rPr>
          <w:color w:val="auto"/>
          <w:highlight w:val="none"/>
        </w:rPr>
      </w:r>
      <w:bookmarkEnd w:id="197"/>
      <w:r>
        <w:rPr>
          <w:color w:val="auto"/>
          <w:highlight w:val="none"/>
        </w:rPr>
      </w:r>
      <w:bookmarkEnd w:id="198"/>
      <w:r>
        <w:rPr>
          <w:color w:val="auto"/>
          <w:highlight w:val="none"/>
        </w:rPr>
      </w:r>
      <w:r/>
    </w:p>
    <w:p>
      <w:pPr>
        <w:pStyle w:val="1377"/>
        <w:jc w:val="center"/>
        <w:spacing w:line="580" w:lineRule="exact"/>
        <w:tabs>
          <w:tab w:val="left" w:pos="1498" w:leader="none"/>
        </w:tabs>
        <w:rPr>
          <w:b/>
          <w:color w:val="auto"/>
          <w:sz w:val="32"/>
          <w:szCs w:val="32"/>
          <w:highlight w:val="none"/>
        </w:rPr>
      </w:pPr>
      <w:r>
        <w:rPr>
          <w:color w:val="auto"/>
          <w:highlight w:val="none"/>
        </w:rPr>
      </w:r>
      <w:bookmarkStart w:id="199" w:name="_Toc7575_WPSOffice_Level2"/>
      <w:r>
        <w:rPr>
          <w:rFonts w:hint="eastAsia"/>
          <w:b/>
          <w:color w:val="auto"/>
          <w:sz w:val="32"/>
          <w:szCs w:val="32"/>
          <w:highlight w:val="none"/>
        </w:rPr>
        <w:t xml:space="preserve">无重大违法行为声明</w:t>
      </w:r>
      <w:bookmarkEnd w:id="199"/>
      <w:r>
        <w:rPr>
          <w:color w:val="auto"/>
          <w:highlight w:val="none"/>
        </w:rPr>
      </w:r>
      <w:r/>
    </w:p>
    <w:p>
      <w:pPr>
        <w:pStyle w:val="1377"/>
        <w:spacing w:line="600" w:lineRule="exact"/>
        <w:rPr>
          <w:rFonts w:hint="eastAsia" w:ascii="仿宋_GB2312" w:eastAsia="仿宋_GB2312"/>
          <w:color w:val="auto"/>
          <w:sz w:val="24"/>
          <w:highlight w:val="none"/>
          <w:u w:val="single"/>
        </w:rPr>
      </w:pPr>
      <w:r>
        <w:rPr>
          <w:rFonts w:hint="eastAsia" w:ascii="仿宋_GB2312" w:eastAsia="仿宋_GB2312"/>
          <w:color w:val="auto"/>
          <w:sz w:val="24"/>
          <w:highlight w:val="none"/>
          <w:u w:val="none"/>
          <w:lang w:val="en-US" w:eastAsia="zh-CN"/>
        </w:rPr>
        <w:t xml:space="preserve"> （</w:t>
      </w:r>
      <w:r>
        <w:rPr>
          <w:rFonts w:hint="eastAsia" w:ascii="仿宋_GB2312" w:eastAsia="仿宋_GB2312"/>
          <w:color w:val="auto"/>
          <w:sz w:val="24"/>
          <w:highlight w:val="none"/>
          <w:u w:val="single"/>
          <w:lang w:val="en-US" w:eastAsia="zh-CN"/>
        </w:rPr>
        <w:t xml:space="preserve">采购人名称）</w:t>
      </w:r>
      <w:r>
        <w:rPr>
          <w:rFonts w:hint="eastAsia" w:ascii="仿宋_GB2312" w:eastAsia="仿宋_GB2312"/>
          <w:color w:val="auto"/>
          <w:sz w:val="24"/>
          <w:highlight w:val="none"/>
          <w:u w:val="none"/>
          <w:lang w:val="en-US" w:eastAsia="zh-CN"/>
        </w:rPr>
        <w:t xml:space="preserve">：</w:t>
      </w:r>
      <w:r>
        <w:rPr>
          <w:color w:val="auto"/>
          <w:highlight w:val="none"/>
        </w:rPr>
      </w:r>
      <w:r/>
    </w:p>
    <w:p>
      <w:pPr>
        <w:pStyle w:val="1377"/>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在参加编号为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项目的投标活动前3年内，</w:t>
      </w:r>
      <w:r>
        <w:rPr>
          <w:rFonts w:ascii="仿宋_GB2312" w:eastAsia="仿宋_GB2312"/>
          <w:color w:val="auto"/>
          <w:sz w:val="24"/>
          <w:highlight w:val="none"/>
        </w:rPr>
        <w:t xml:space="preserve">在经营活动中没有重大违法记录</w:t>
      </w:r>
      <w:r>
        <w:rPr>
          <w:rFonts w:hint="eastAsia" w:ascii="仿宋_GB2312" w:eastAsia="仿宋_GB2312"/>
          <w:color w:val="auto"/>
          <w:sz w:val="24"/>
          <w:highlight w:val="none"/>
        </w:rPr>
        <w:t xml:space="preserve">。</w:t>
      </w:r>
      <w:r>
        <w:rPr>
          <w:color w:val="auto"/>
          <w:highlight w:val="none"/>
        </w:rPr>
      </w:r>
      <w:r/>
    </w:p>
    <w:p>
      <w:pPr>
        <w:pStyle w:val="1377"/>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rPr>
          <w:color w:val="auto"/>
          <w:highlight w:val="none"/>
        </w:rPr>
      </w:r>
      <w:r/>
    </w:p>
    <w:p>
      <w:pPr>
        <w:pStyle w:val="1377"/>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（说明：《中华人民共和国政府采购法》第二十二条第一款第五项所称重大违法记录，是指供应商因违法经营受到刑事处罚或者责令停产停业、吊销许可证或者执照、较大数额罚款等行政处罚， 其中较大数额罚款指200万元以上的罚款。）</w:t>
      </w:r>
      <w:r>
        <w:rPr>
          <w:color w:val="auto"/>
          <w:highlight w:val="none"/>
        </w:rPr>
      </w:r>
      <w:r/>
    </w:p>
    <w:p>
      <w:pPr>
        <w:pStyle w:val="1377"/>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p>
      <w:pPr>
        <w:pStyle w:val="1377"/>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p>
      <w:pPr>
        <w:pStyle w:val="1146"/>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color w:val="auto"/>
          <w:highlight w:val="none"/>
        </w:rPr>
      </w:r>
      <w:r/>
    </w:p>
    <w:p>
      <w:pPr>
        <w:pStyle w:val="1146"/>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rPr>
          <w:color w:val="auto"/>
          <w:highlight w:val="none"/>
        </w:rPr>
      </w:r>
      <w:r/>
    </w:p>
    <w:p>
      <w:pPr>
        <w:pStyle w:val="1329"/>
        <w:ind w:firstLine="720"/>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rPr>
          <w:color w:val="auto"/>
          <w:highlight w:val="none"/>
        </w:rPr>
      </w:r>
      <w:r/>
    </w:p>
    <w:p>
      <w:pPr>
        <w:rPr>
          <w:rFonts w:hint="eastAsia" w:ascii="仿宋" w:hAnsi="仿宋" w:eastAsia="仿宋" w:cs="仿宋"/>
          <w:color w:val="auto"/>
          <w:sz w:val="24"/>
          <w:highlight w:val="none"/>
        </w:rPr>
      </w:pPr>
      <w:r>
        <w:rPr>
          <w:color w:val="auto"/>
          <w:highlight w:val="none"/>
        </w:rPr>
        <w:br w:type="page" w:clear="all"/>
      </w:r>
      <w:bookmarkStart w:id="200" w:name="_Toc30396"/>
      <w:r>
        <w:rPr>
          <w:color w:val="auto"/>
          <w:highlight w:val="none"/>
        </w:rPr>
      </w:r>
      <w:r/>
    </w:p>
    <w:p>
      <w:pPr>
        <w:rPr>
          <w:rFonts w:hint="eastAsia" w:ascii="仿宋" w:hAnsi="仿宋" w:eastAsia="仿宋" w:cs="仿宋"/>
          <w:color w:val="auto"/>
          <w:sz w:val="24"/>
          <w:szCs w:val="24"/>
          <w:highlight w:val="none"/>
        </w:rPr>
      </w:pPr>
      <w:r>
        <w:rPr>
          <w:color w:val="auto"/>
          <w:highlight w:val="none"/>
        </w:rPr>
      </w:r>
      <w:bookmarkStart w:id="201" w:name="_Toc19202"/>
      <w:r>
        <w:rPr>
          <w:color w:val="auto"/>
          <w:highlight w:val="none"/>
        </w:rPr>
      </w:r>
      <w:r/>
    </w:p>
    <w:p>
      <w:pPr>
        <w:pStyle w:val="1135"/>
        <w:rPr>
          <w:rFonts w:hint="eastAsia" w:eastAsia="黑体" w:cs="Times New Roman"/>
          <w:color w:val="auto"/>
          <w:highlight w:val="none"/>
        </w:rPr>
        <w:outlineLvl w:val="1"/>
      </w:pPr>
      <w:r>
        <w:rPr>
          <w:rFonts w:hint="eastAsia"/>
          <w:color w:val="auto"/>
          <w:highlight w:val="none"/>
          <w:lang w:val="en-US" w:eastAsia="zh-CN"/>
        </w:rPr>
        <w:t xml:space="preserve">七、</w:t>
      </w:r>
      <w:r>
        <w:rPr>
          <w:rFonts w:hint="eastAsia" w:ascii="黑体" w:hAnsi="黑体" w:eastAsia="黑体" w:cs="Times New Roman"/>
          <w:b/>
          <w:bCs w:val="0"/>
          <w:color w:val="auto"/>
          <w:highlight w:val="none"/>
          <w:lang w:val="en-US" w:eastAsia="zh-CN"/>
        </w:rPr>
        <w:t xml:space="preserve">承诺</w:t>
      </w:r>
      <w:r>
        <w:rPr>
          <w:rFonts w:hint="eastAsia" w:ascii="黑体" w:hAnsi="黑体" w:eastAsia="黑体" w:cs="Times New Roman"/>
          <w:b/>
          <w:bCs w:val="0"/>
          <w:color w:val="auto"/>
          <w:highlight w:val="none"/>
        </w:rPr>
        <w:t xml:space="preserve">函</w:t>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pStyle w:val="1175"/>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u w:val="single"/>
        </w:rPr>
        <w:t xml:space="preserve">（采购</w:t>
      </w:r>
      <w:r>
        <w:rPr>
          <w:rFonts w:hint="eastAsia" w:ascii="仿宋_GB2312" w:hAnsi="Times New Roman" w:eastAsia="仿宋_GB2312" w:cs="Times New Roman"/>
          <w:b w:val="0"/>
          <w:bCs w:val="0"/>
          <w:color w:val="auto"/>
          <w:sz w:val="24"/>
          <w:szCs w:val="24"/>
          <w:highlight w:val="none"/>
          <w:u w:val="single"/>
          <w:lang w:val="en-US" w:eastAsia="zh-CN"/>
        </w:rPr>
        <w:t xml:space="preserve">人</w:t>
      </w:r>
      <w:r>
        <w:rPr>
          <w:rFonts w:hint="eastAsia" w:ascii="仿宋_GB2312" w:hAnsi="Times New Roman" w:eastAsia="仿宋_GB2312" w:cs="Times New Roman"/>
          <w:b w:val="0"/>
          <w:bCs w:val="0"/>
          <w:color w:val="auto"/>
          <w:sz w:val="24"/>
          <w:szCs w:val="24"/>
          <w:highlight w:val="none"/>
          <w:u w:val="single"/>
        </w:rPr>
        <w:t xml:space="preserve">名称）</w:t>
      </w:r>
      <w:r>
        <w:rPr>
          <w:rFonts w:hint="eastAsia" w:ascii="仿宋_GB2312" w:hAnsi="Times New Roman" w:eastAsia="仿宋_GB2312" w:cs="Times New Roman"/>
          <w:b w:val="0"/>
          <w:bCs w:val="0"/>
          <w:color w:val="auto"/>
          <w:sz w:val="24"/>
          <w:szCs w:val="24"/>
          <w:highlight w:val="none"/>
          <w:u w:val="none"/>
        </w:rPr>
        <w:t xml:space="preserve">：</w:t>
      </w:r>
      <w:r>
        <w:rPr>
          <w:color w:val="auto"/>
          <w:highlight w:val="none"/>
        </w:rPr>
      </w:r>
      <w:r/>
    </w:p>
    <w:p>
      <w:pPr>
        <w:pStyle w:val="1175"/>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根据已收到的项目编号为</w:t>
      </w:r>
      <w:r>
        <w:rPr>
          <w:rFonts w:hint="eastAsia" w:ascii="仿宋_GB2312" w:hAnsi="Times New Roman" w:eastAsia="仿宋_GB2312" w:cs="Times New Roman"/>
          <w:b w:val="0"/>
          <w:bCs w:val="0"/>
          <w:color w:val="auto"/>
          <w:sz w:val="24"/>
          <w:szCs w:val="24"/>
          <w:highlight w:val="none"/>
          <w:u w:val="single"/>
        </w:rPr>
        <w:t xml:space="preserve">（项目编号）</w:t>
      </w:r>
      <w:r>
        <w:rPr>
          <w:rFonts w:hint="eastAsia" w:ascii="仿宋_GB2312" w:hAnsi="Times New Roman" w:eastAsia="仿宋_GB2312" w:cs="Times New Roman"/>
          <w:b w:val="0"/>
          <w:bCs w:val="0"/>
          <w:color w:val="auto"/>
          <w:sz w:val="24"/>
          <w:szCs w:val="24"/>
          <w:highlight w:val="none"/>
          <w:u w:val="none"/>
        </w:rPr>
        <w:t xml:space="preserve">的</w:t>
      </w:r>
      <w:r>
        <w:rPr>
          <w:rFonts w:hint="eastAsia" w:ascii="仿宋_GB2312" w:hAnsi="Times New Roman" w:eastAsia="仿宋_GB2312" w:cs="Times New Roman"/>
          <w:b w:val="0"/>
          <w:bCs w:val="0"/>
          <w:color w:val="auto"/>
          <w:sz w:val="24"/>
          <w:szCs w:val="24"/>
          <w:highlight w:val="none"/>
          <w:u w:val="single"/>
        </w:rPr>
        <w:t xml:space="preserve">（项目名称）</w:t>
      </w:r>
      <w:r>
        <w:rPr>
          <w:rFonts w:hint="eastAsia" w:ascii="仿宋_GB2312" w:hAnsi="Times New Roman" w:eastAsia="仿宋_GB2312" w:cs="Times New Roman"/>
          <w:b w:val="0"/>
          <w:bCs w:val="0"/>
          <w:color w:val="auto"/>
          <w:sz w:val="24"/>
          <w:szCs w:val="24"/>
          <w:highlight w:val="none"/>
        </w:rPr>
        <w:t xml:space="preserve">的招标文件，我方在参加本项目招投标活动中，特作出如下承诺：</w:t>
      </w:r>
      <w:r>
        <w:rPr>
          <w:color w:val="auto"/>
          <w:highlight w:val="none"/>
        </w:rPr>
      </w:r>
      <w:r/>
    </w:p>
    <w:p>
      <w:pPr>
        <w:pStyle w:val="1175"/>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1.</w:t>
      </w:r>
      <w:r>
        <w:rPr>
          <w:rFonts w:hint="eastAsia" w:ascii="仿宋_GB2312" w:hAnsi="Times New Roman" w:eastAsia="仿宋_GB2312" w:cs="Times New Roman"/>
          <w:b w:val="0"/>
          <w:bCs w:val="0"/>
          <w:color w:val="auto"/>
          <w:sz w:val="24"/>
          <w:szCs w:val="24"/>
          <w:highlight w:val="none"/>
        </w:rPr>
        <w:t xml:space="preserve">本单位与其他参与本项目采购活动的供应商之间，不存在单位负责人为同一人的情况，也不存在直接控股、管理关系。</w:t>
      </w:r>
      <w:r>
        <w:rPr>
          <w:color w:val="auto"/>
          <w:highlight w:val="none"/>
        </w:rPr>
      </w:r>
      <w:r/>
    </w:p>
    <w:p>
      <w:pPr>
        <w:pStyle w:val="1175"/>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2.</w:t>
      </w:r>
      <w:r>
        <w:rPr>
          <w:rFonts w:hint="eastAsia" w:ascii="仿宋_GB2312" w:hAnsi="Times New Roman" w:eastAsia="仿宋_GB2312" w:cs="Times New Roman"/>
          <w:b w:val="0"/>
          <w:bCs w:val="0"/>
          <w:color w:val="auto"/>
          <w:sz w:val="24"/>
          <w:szCs w:val="24"/>
          <w:highlight w:val="none"/>
        </w:rPr>
        <w:t xml:space="preserve">除本项目为单一来源采购项目的情况外，本单位未为本采购项目提供整体设计、规范编制或者项目管理、监理、检测等服务，且不会在本项目中参与上述服务之外的其他采购活动。</w:t>
      </w:r>
      <w:r>
        <w:rPr>
          <w:color w:val="auto"/>
          <w:highlight w:val="none"/>
        </w:rPr>
      </w:r>
      <w:r/>
    </w:p>
    <w:p>
      <w:pPr>
        <w:pStyle w:val="1175"/>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 </w:t>
      </w:r>
      <w:r>
        <w:rPr>
          <w:color w:val="auto"/>
          <w:highlight w:val="none"/>
        </w:rPr>
      </w:r>
      <w:r/>
    </w:p>
    <w:p>
      <w:pPr>
        <w:pStyle w:val="1175"/>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本单位承诺以上内容真实有效，若经查实存在虚假陈述，愿意承担由此产生的一切法律责任和后果，包括但不限于取消参与资格、中标无效等。</w:t>
      </w:r>
      <w:r>
        <w:rPr>
          <w:color w:val="auto"/>
          <w:highlight w:val="none"/>
        </w:rPr>
      </w:r>
      <w:r/>
    </w:p>
    <w:p>
      <w:pPr>
        <w:pStyle w:val="1175"/>
        <w:spacing w:line="360" w:lineRule="auto"/>
        <w:rPr>
          <w:rFonts w:hint="eastAsia" w:ascii="宋体" w:hAnsi="宋体" w:eastAsia="宋体" w:cs="宋体"/>
          <w:b w:val="0"/>
          <w:bCs/>
          <w:color w:val="auto"/>
          <w:sz w:val="24"/>
          <w:szCs w:val="21"/>
          <w:highlight w:val="none"/>
        </w:rPr>
        <w:outlineLvl w:val="1"/>
      </w:pPr>
      <w:r>
        <w:rPr>
          <w:rFonts w:hint="eastAsia" w:ascii="宋体" w:hAnsi="宋体" w:eastAsia="宋体" w:cs="宋体"/>
          <w:b w:val="0"/>
          <w:bCs/>
          <w:color w:val="auto"/>
          <w:sz w:val="24"/>
          <w:szCs w:val="21"/>
          <w:highlight w:val="none"/>
        </w:rPr>
        <w:t xml:space="preserve"> </w:t>
      </w:r>
      <w:r>
        <w:rPr>
          <w:color w:val="auto"/>
          <w:highlight w:val="none"/>
        </w:rPr>
      </w:r>
      <w:r/>
    </w:p>
    <w:p>
      <w:pPr>
        <w:pStyle w:val="1180"/>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r>
      <w:r>
        <w:rPr>
          <w:color w:val="auto"/>
          <w:highlight w:val="none"/>
        </w:rPr>
      </w:r>
      <w:r/>
    </w:p>
    <w:p>
      <w:pPr>
        <w:pStyle w:val="1180"/>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rPr>
          <w:color w:val="auto"/>
          <w:highlight w:val="none"/>
        </w:rPr>
      </w:r>
      <w:r/>
    </w:p>
    <w:p>
      <w:pPr>
        <w:pStyle w:val="1180"/>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rPr>
          <w:color w:val="auto"/>
          <w:highlight w:val="none"/>
        </w:rPr>
      </w:r>
      <w:r/>
    </w:p>
    <w:p>
      <w:pPr>
        <w:rPr>
          <w:bCs/>
          <w:color w:val="auto"/>
          <w:highlight w:val="none"/>
        </w:rPr>
      </w:pPr>
      <w:r>
        <w:rPr>
          <w:bCs/>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rFonts w:hint="eastAsia"/>
          <w:color w:val="auto"/>
          <w:highlight w:val="none"/>
        </w:rPr>
      </w:pPr>
      <w:r>
        <w:rPr>
          <w:rFonts w:hint="eastAsia"/>
          <w:color w:val="auto"/>
          <w:highlight w:val="none"/>
        </w:rPr>
      </w:r>
      <w:r>
        <w:rPr>
          <w:color w:val="auto"/>
          <w:highlight w:val="none"/>
        </w:rPr>
      </w:r>
      <w:r/>
    </w:p>
    <w:p>
      <w:pPr>
        <w:pStyle w:val="1084"/>
        <w:keepLines w:val="0"/>
        <w:keepNext w:val="0"/>
        <w:pageBreakBefore w:val="0"/>
        <w:spacing w:line="520" w:lineRule="exact"/>
        <w:widowControl w:val="off"/>
        <w:rPr>
          <w:rFonts w:hint="eastAsia" w:ascii="宋体" w:hAnsi="宋体" w:eastAsia="宋体" w:cs="宋体"/>
          <w:b/>
          <w:color w:val="auto"/>
          <w:sz w:val="32"/>
          <w:szCs w:val="24"/>
          <w:highlight w:val="none"/>
        </w:rPr>
      </w:pPr>
      <w:r>
        <w:rPr>
          <w:rFonts w:hint="eastAsia" w:hAnsi="宋体" w:cs="宋体"/>
          <w:b/>
          <w:color w:val="auto"/>
          <w:sz w:val="32"/>
          <w:szCs w:val="24"/>
          <w:highlight w:val="none"/>
          <w:lang w:val="en-US" w:eastAsia="zh-CN"/>
        </w:rPr>
        <w:t xml:space="preserve">八、</w:t>
      </w:r>
      <w:r>
        <w:rPr>
          <w:rFonts w:hint="eastAsia"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val="en-US" w:eastAsia="zh-CN"/>
        </w:rPr>
        <w:t xml:space="preserve">文件签署、盖章齐全完整</w:t>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r>
      <w:r>
        <w:rPr>
          <w:color w:val="auto"/>
          <w:highlight w:val="none"/>
        </w:rPr>
      </w:r>
      <w:r/>
    </w:p>
    <w:p>
      <w:pPr>
        <w:pStyle w:val="1153"/>
        <w:jc w:val="center"/>
        <w:spacing w:line="60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eastAsia="zh-CN"/>
        </w:rPr>
        <w:t xml:space="preserve">文件</w:t>
      </w:r>
      <w:r>
        <w:rPr>
          <w:rFonts w:hint="eastAsia" w:ascii="宋体" w:hAnsi="宋体" w:eastAsia="宋体" w:cs="宋体"/>
          <w:b/>
          <w:color w:val="auto"/>
          <w:sz w:val="32"/>
          <w:szCs w:val="24"/>
          <w:highlight w:val="none"/>
        </w:rPr>
        <w:t xml:space="preserve">签署、盖章的声明</w:t>
      </w:r>
      <w:r>
        <w:rPr>
          <w:color w:val="auto"/>
          <w:highlight w:val="none"/>
        </w:rPr>
      </w:r>
      <w:r/>
    </w:p>
    <w:p>
      <w:pPr>
        <w:pStyle w:val="1153"/>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rPr>
          <w:color w:val="auto"/>
          <w:highlight w:val="none"/>
        </w:rPr>
      </w:r>
      <w:r/>
    </w:p>
    <w:p>
      <w:pPr>
        <w:pStyle w:val="1153"/>
        <w:spacing w:line="6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采购</w:t>
      </w:r>
      <w:r>
        <w:rPr>
          <w:rFonts w:hint="eastAsia" w:ascii="仿宋" w:hAnsi="仿宋" w:eastAsia="仿宋" w:cs="仿宋"/>
          <w:b w:val="0"/>
          <w:bCs/>
          <w:color w:val="auto"/>
          <w:sz w:val="24"/>
          <w:szCs w:val="24"/>
          <w:highlight w:val="none"/>
          <w:u w:val="single"/>
          <w:lang w:val="en-US" w:eastAsia="zh-CN"/>
        </w:rPr>
        <w:t xml:space="preserve">人</w:t>
      </w:r>
      <w:r>
        <w:rPr>
          <w:rFonts w:hint="eastAsia" w:ascii="仿宋" w:hAnsi="仿宋" w:eastAsia="仿宋" w:cs="仿宋"/>
          <w:b w:val="0"/>
          <w:bCs/>
          <w:color w:val="auto"/>
          <w:sz w:val="24"/>
          <w:szCs w:val="24"/>
          <w:highlight w:val="none"/>
          <w:u w:val="single"/>
        </w:rPr>
        <w:t xml:space="preserve">名称</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w:t>
      </w:r>
      <w:r>
        <w:rPr>
          <w:color w:val="auto"/>
          <w:highlight w:val="none"/>
        </w:rPr>
      </w:r>
      <w:r/>
    </w:p>
    <w:p>
      <w:pPr>
        <w:pStyle w:val="1153"/>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我司在参加编号为</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项目编号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rPr>
        <w:t xml:space="preserve">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项目名称</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项目</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我司投标</w:t>
      </w:r>
      <w:r>
        <w:rPr>
          <w:rFonts w:hint="eastAsia" w:ascii="仿宋" w:hAnsi="仿宋" w:eastAsia="仿宋" w:cs="仿宋"/>
          <w:bCs/>
          <w:color w:val="auto"/>
          <w:sz w:val="24"/>
          <w:szCs w:val="24"/>
          <w:highlight w:val="none"/>
          <w:lang w:eastAsia="zh-CN"/>
        </w:rPr>
        <w:t xml:space="preserve">文件</w:t>
      </w:r>
      <w:r>
        <w:rPr>
          <w:rFonts w:hint="eastAsia" w:ascii="仿宋" w:hAnsi="仿宋" w:eastAsia="仿宋" w:cs="仿宋"/>
          <w:bCs/>
          <w:color w:val="auto"/>
          <w:sz w:val="24"/>
          <w:szCs w:val="24"/>
          <w:highlight w:val="none"/>
        </w:rPr>
        <w:t xml:space="preserve">签署、盖章符合</w:t>
      </w:r>
      <w:r>
        <w:rPr>
          <w:rFonts w:hint="eastAsia" w:ascii="仿宋" w:hAnsi="仿宋" w:eastAsia="仿宋" w:cs="仿宋"/>
          <w:bCs/>
          <w:color w:val="auto"/>
          <w:sz w:val="24"/>
          <w:szCs w:val="24"/>
          <w:highlight w:val="none"/>
          <w:lang w:val="en-US" w:eastAsia="zh-CN"/>
        </w:rPr>
        <w:t xml:space="preserve">招标文</w:t>
      </w:r>
      <w:r>
        <w:rPr>
          <w:rFonts w:hint="eastAsia" w:ascii="仿宋" w:hAnsi="仿宋" w:eastAsia="仿宋" w:cs="仿宋"/>
          <w:bCs/>
          <w:color w:val="auto"/>
          <w:sz w:val="24"/>
          <w:szCs w:val="24"/>
          <w:highlight w:val="none"/>
          <w:lang w:eastAsia="zh-CN"/>
        </w:rPr>
        <w:t xml:space="preserve">件</w:t>
      </w:r>
      <w:r>
        <w:rPr>
          <w:rFonts w:hint="eastAsia" w:ascii="仿宋" w:hAnsi="仿宋" w:eastAsia="仿宋" w:cs="仿宋"/>
          <w:bCs/>
          <w:color w:val="auto"/>
          <w:sz w:val="24"/>
          <w:szCs w:val="24"/>
          <w:highlight w:val="none"/>
        </w:rPr>
        <w:t xml:space="preserve">规定</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具体报价内容详见投标文件。</w:t>
      </w:r>
      <w:r>
        <w:rPr>
          <w:color w:val="auto"/>
          <w:highlight w:val="none"/>
        </w:rPr>
      </w:r>
      <w:r/>
    </w:p>
    <w:p>
      <w:pPr>
        <w:pStyle w:val="1153"/>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特此声明</w:t>
      </w:r>
      <w:r>
        <w:rPr>
          <w:color w:val="auto"/>
          <w:highlight w:val="none"/>
        </w:rPr>
      </w:r>
      <w:r/>
    </w:p>
    <w:p>
      <w:pPr>
        <w:pStyle w:val="1153"/>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（我司知晓下列处理原则：已提供本声明但投标文件中</w:t>
      </w:r>
      <w:r>
        <w:rPr>
          <w:rFonts w:hint="eastAsia" w:ascii="仿宋" w:hAnsi="仿宋" w:eastAsia="仿宋" w:cs="仿宋"/>
          <w:bCs/>
          <w:color w:val="auto"/>
          <w:sz w:val="24"/>
          <w:szCs w:val="24"/>
          <w:highlight w:val="none"/>
        </w:rPr>
        <w:t xml:space="preserve">签署、盖章</w:t>
      </w:r>
      <w:r>
        <w:rPr>
          <w:rFonts w:hint="eastAsia" w:ascii="仿宋" w:hAnsi="仿宋" w:eastAsia="仿宋" w:cs="仿宋"/>
          <w:bCs/>
          <w:color w:val="auto"/>
          <w:sz w:val="24"/>
          <w:szCs w:val="24"/>
          <w:highlight w:val="none"/>
          <w:lang w:val="en-US" w:eastAsia="zh-CN"/>
        </w:rPr>
        <w:t xml:space="preserve">不符合招标文件规定的，本声明无效，并可能做不符性处理。）</w:t>
      </w:r>
      <w:r>
        <w:rPr>
          <w:color w:val="auto"/>
          <w:highlight w:val="none"/>
        </w:rPr>
      </w:r>
      <w:r/>
    </w:p>
    <w:p>
      <w:pPr>
        <w:pStyle w:val="1153"/>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r>
      <w:r>
        <w:rPr>
          <w:color w:val="auto"/>
          <w:highlight w:val="none"/>
        </w:rPr>
      </w:r>
      <w:r/>
    </w:p>
    <w:p>
      <w:pPr>
        <w:pStyle w:val="1180"/>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rPr>
          <w:color w:val="auto"/>
          <w:highlight w:val="none"/>
        </w:rPr>
      </w:r>
      <w:r/>
    </w:p>
    <w:p>
      <w:pPr>
        <w:pStyle w:val="1180"/>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rPr>
          <w:color w:val="auto"/>
          <w:highlight w:val="none"/>
        </w:rPr>
      </w:r>
      <w:r/>
    </w:p>
    <w:p>
      <w:pPr>
        <w:pStyle w:val="1084"/>
        <w:jc w:val="right"/>
        <w:keepLines w:val="0"/>
        <w:keepNext w:val="0"/>
        <w:pageBreakBefore w:val="0"/>
        <w:spacing w:line="520" w:lineRule="exact"/>
        <w:widowControl w:val="off"/>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lang w:val="en-US" w:eastAsia="zh-CN"/>
        </w:rPr>
      </w:r>
      <w:r>
        <w:rPr>
          <w:color w:val="auto"/>
          <w:highlight w:val="none"/>
        </w:rPr>
      </w:r>
      <w:r/>
    </w:p>
    <w:p>
      <w:pPr>
        <w:jc w:val="righ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r>
      <w:r>
        <w:rPr>
          <w:color w:val="auto"/>
          <w:highlight w:val="none"/>
        </w:rPr>
      </w:r>
      <w:r/>
    </w:p>
    <w:p>
      <w:pPr>
        <w:jc w:val="righ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r>
      <w:r>
        <w:rPr>
          <w:color w:val="auto"/>
          <w:highlight w:val="none"/>
        </w:rPr>
      </w:r>
      <w:r/>
    </w:p>
    <w:p>
      <w:pPr>
        <w:jc w:val="righ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r>
      <w:r>
        <w:rPr>
          <w:color w:val="auto"/>
          <w:highlight w:val="none"/>
        </w:rPr>
      </w:r>
      <w:r/>
    </w:p>
    <w:p>
      <w:pPr>
        <w:jc w:val="righ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r>
      <w:r>
        <w:rPr>
          <w:color w:val="auto"/>
          <w:highlight w:val="none"/>
        </w:rPr>
      </w:r>
      <w:r/>
    </w:p>
    <w:p>
      <w:pPr>
        <w:jc w:val="righ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r>
      <w:r>
        <w:rPr>
          <w:color w:val="auto"/>
          <w:highlight w:val="none"/>
        </w:rPr>
      </w:r>
      <w:r/>
    </w:p>
    <w:p>
      <w:pPr>
        <w:jc w:val="righ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r>
      <w:r>
        <w:rPr>
          <w:color w:val="auto"/>
          <w:highlight w:val="none"/>
        </w:rPr>
      </w:r>
      <w:r/>
    </w:p>
    <w:p>
      <w:pPr>
        <w:jc w:val="righ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r>
      <w:r>
        <w:rPr>
          <w:color w:val="auto"/>
          <w:highlight w:val="none"/>
        </w:rPr>
      </w:r>
      <w:r/>
    </w:p>
    <w:p>
      <w:pPr>
        <w:jc w:val="righ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r>
      <w:r>
        <w:rPr>
          <w:color w:val="auto"/>
          <w:highlight w:val="none"/>
        </w:rPr>
      </w:r>
      <w:r/>
    </w:p>
    <w:p>
      <w:pPr>
        <w:jc w:val="righ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r>
      <w:r>
        <w:rPr>
          <w:color w:val="auto"/>
          <w:highlight w:val="none"/>
        </w:rPr>
      </w:r>
      <w:r/>
    </w:p>
    <w:p>
      <w:pPr>
        <w:jc w:val="righ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r>
      <w:r>
        <w:rPr>
          <w:color w:val="auto"/>
          <w:highlight w:val="none"/>
        </w:rPr>
      </w:r>
      <w:r/>
    </w:p>
    <w:p>
      <w:pPr>
        <w:jc w:val="righ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r>
      <w:r>
        <w:rPr>
          <w:color w:val="auto"/>
          <w:highlight w:val="none"/>
        </w:rPr>
      </w:r>
      <w:r/>
    </w:p>
    <w:p>
      <w:pPr>
        <w:jc w:val="righ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r>
      <w:r>
        <w:rPr>
          <w:color w:val="auto"/>
          <w:highlight w:val="none"/>
        </w:rPr>
      </w:r>
      <w:r/>
    </w:p>
    <w:p>
      <w:pPr>
        <w:jc w:val="both"/>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r>
      <w:r>
        <w:rPr>
          <w:color w:val="auto"/>
          <w:highlight w:val="none"/>
        </w:rPr>
      </w:r>
      <w:r/>
    </w:p>
    <w:p>
      <w:pPr>
        <w:jc w:val="righ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r>
      <w:r>
        <w:rPr>
          <w:color w:val="auto"/>
          <w:highlight w:val="none"/>
        </w:rPr>
      </w:r>
      <w:r/>
    </w:p>
    <w:p>
      <w:pPr>
        <w:pStyle w:val="1377"/>
        <w:rPr>
          <w:rFonts w:hint="eastAsia" w:ascii="宋体" w:hAnsi="宋体" w:eastAsia="宋体" w:cs="宋体"/>
          <w:b/>
          <w:color w:val="auto"/>
          <w:sz w:val="32"/>
          <w:szCs w:val="24"/>
          <w:highlight w:val="none"/>
        </w:rPr>
        <w:outlineLvl w:val="1"/>
      </w:pPr>
      <w:r>
        <w:rPr>
          <w:rFonts w:hint="eastAsia" w:ascii="宋体" w:hAnsi="宋体" w:cs="宋体"/>
          <w:b/>
          <w:color w:val="auto"/>
          <w:sz w:val="32"/>
          <w:szCs w:val="24"/>
          <w:highlight w:val="none"/>
          <w:lang w:val="en-US" w:eastAsia="zh-CN"/>
        </w:rPr>
        <w:t xml:space="preserve">九、</w:t>
      </w:r>
      <w:r>
        <w:rPr>
          <w:rFonts w:hint="eastAsia" w:ascii="宋体" w:hAnsi="宋体" w:eastAsia="宋体" w:cs="宋体"/>
          <w:b/>
          <w:color w:val="auto"/>
          <w:sz w:val="32"/>
          <w:szCs w:val="24"/>
          <w:highlight w:val="none"/>
          <w:lang w:val="en-US" w:eastAsia="zh-CN"/>
        </w:rPr>
        <w:t xml:space="preserve">对实质性条款的响应性</w:t>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r>
      <w:r>
        <w:rPr>
          <w:color w:val="auto"/>
          <w:highlight w:val="none"/>
        </w:rPr>
      </w:r>
      <w:r/>
    </w:p>
    <w:p>
      <w:pPr>
        <w:pStyle w:val="1153"/>
        <w:jc w:val="center"/>
        <w:spacing w:line="60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对实质性条款的响应</w:t>
      </w:r>
      <w:r>
        <w:rPr>
          <w:rFonts w:hint="eastAsia" w:ascii="宋体" w:hAnsi="宋体" w:eastAsia="宋体" w:cs="宋体"/>
          <w:b/>
          <w:color w:val="auto"/>
          <w:sz w:val="32"/>
          <w:szCs w:val="24"/>
          <w:highlight w:val="none"/>
          <w:lang w:eastAsia="zh-CN"/>
        </w:rPr>
        <w:t xml:space="preserve">的</w:t>
      </w:r>
      <w:r>
        <w:rPr>
          <w:rFonts w:hint="eastAsia" w:ascii="宋体" w:hAnsi="宋体" w:eastAsia="宋体" w:cs="宋体"/>
          <w:b/>
          <w:color w:val="auto"/>
          <w:sz w:val="32"/>
          <w:szCs w:val="24"/>
          <w:highlight w:val="none"/>
        </w:rPr>
        <w:t xml:space="preserve">声明</w:t>
      </w:r>
      <w:r>
        <w:rPr>
          <w:color w:val="auto"/>
          <w:highlight w:val="none"/>
        </w:rPr>
      </w:r>
      <w:r/>
    </w:p>
    <w:p>
      <w:pPr>
        <w:pStyle w:val="1153"/>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rPr>
          <w:color w:val="auto"/>
          <w:highlight w:val="none"/>
        </w:rPr>
      </w:r>
      <w:r/>
    </w:p>
    <w:p>
      <w:pPr>
        <w:pStyle w:val="1153"/>
        <w:spacing w:line="600" w:lineRule="exact"/>
        <w:rPr>
          <w:rFonts w:hint="eastAsia" w:ascii="宋体" w:hAnsi="宋体" w:eastAsia="宋体" w:cs="宋体"/>
          <w:bCs/>
          <w:color w:val="auto"/>
          <w:sz w:val="24"/>
          <w:szCs w:val="20"/>
          <w:highlight w:val="none"/>
        </w:rPr>
      </w:pP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采购</w:t>
      </w:r>
      <w:r>
        <w:rPr>
          <w:rFonts w:hint="eastAsia" w:ascii="宋体" w:hAnsi="宋体" w:cs="宋体"/>
          <w:b w:val="0"/>
          <w:bCs/>
          <w:color w:val="auto"/>
          <w:sz w:val="24"/>
          <w:szCs w:val="24"/>
          <w:highlight w:val="none"/>
          <w:u w:val="single"/>
          <w:lang w:val="en-US" w:eastAsia="zh-CN"/>
        </w:rPr>
        <w:t xml:space="preserve">人</w:t>
      </w:r>
      <w:r>
        <w:rPr>
          <w:rFonts w:hint="eastAsia" w:ascii="宋体" w:hAnsi="宋体" w:eastAsia="宋体" w:cs="宋体"/>
          <w:b w:val="0"/>
          <w:bCs/>
          <w:color w:val="auto"/>
          <w:sz w:val="24"/>
          <w:szCs w:val="24"/>
          <w:highlight w:val="none"/>
          <w:u w:val="single"/>
        </w:rPr>
        <w:t xml:space="preserve">名称</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Cs/>
          <w:color w:val="auto"/>
          <w:sz w:val="24"/>
          <w:szCs w:val="20"/>
          <w:highlight w:val="none"/>
        </w:rPr>
        <w:t xml:space="preserve">：</w:t>
      </w:r>
      <w:r>
        <w:rPr>
          <w:color w:val="auto"/>
          <w:highlight w:val="none"/>
        </w:rPr>
      </w:r>
      <w:r/>
    </w:p>
    <w:p>
      <w:pPr>
        <w:pStyle w:val="1153"/>
        <w:ind w:firstLine="480"/>
        <w:spacing w:line="600" w:lineRule="exact"/>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我司在参加编号为</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项目编号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rPr>
        <w:t xml:space="preserve">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项目名称</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rPr>
        <w:t xml:space="preserve">项目</w:t>
      </w:r>
      <w:r>
        <w:rPr>
          <w:rFonts w:hint="eastAsia" w:ascii="宋体" w:hAnsi="宋体" w:eastAsia="宋体" w:cs="宋体"/>
          <w:bCs/>
          <w:color w:val="auto"/>
          <w:sz w:val="24"/>
          <w:szCs w:val="20"/>
          <w:highlight w:val="none"/>
          <w:lang w:eastAsia="zh-CN"/>
        </w:rPr>
        <w:t xml:space="preserve">，</w:t>
      </w:r>
      <w:r>
        <w:rPr>
          <w:rFonts w:hint="eastAsia" w:ascii="宋体" w:hAnsi="宋体" w:eastAsia="宋体" w:cs="宋体"/>
          <w:bCs/>
          <w:color w:val="auto"/>
          <w:sz w:val="24"/>
          <w:szCs w:val="20"/>
          <w:highlight w:val="none"/>
          <w:lang w:val="en-US" w:eastAsia="zh-CN"/>
        </w:rPr>
        <w:t xml:space="preserve">我司投标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要求，对实质性条款</w:t>
      </w:r>
      <w:r>
        <w:rPr>
          <w:rFonts w:hint="eastAsia" w:ascii="宋体" w:hAnsi="宋体" w:eastAsia="宋体" w:cs="宋体"/>
          <w:bCs/>
          <w:color w:val="auto"/>
          <w:sz w:val="24"/>
          <w:szCs w:val="20"/>
          <w:highlight w:val="none"/>
          <w:lang w:val="en-US" w:eastAsia="zh-CN"/>
        </w:rPr>
        <w:t xml:space="preserve">完全响应</w:t>
      </w:r>
      <w:r>
        <w:rPr>
          <w:rFonts w:hint="eastAsia" w:ascii="宋体" w:hAnsi="宋体" w:eastAsia="宋体" w:cs="宋体"/>
          <w:bCs/>
          <w:color w:val="auto"/>
          <w:sz w:val="24"/>
          <w:szCs w:val="20"/>
          <w:highlight w:val="none"/>
        </w:rPr>
        <w:t xml:space="preserve">并且不存在重大偏离，</w:t>
      </w:r>
      <w:r>
        <w:rPr>
          <w:rFonts w:hint="eastAsia" w:ascii="宋体" w:hAnsi="宋体" w:eastAsia="宋体" w:cs="宋体"/>
          <w:bCs/>
          <w:color w:val="auto"/>
          <w:sz w:val="24"/>
          <w:szCs w:val="20"/>
          <w:highlight w:val="none"/>
          <w:lang w:val="en-US" w:eastAsia="zh-CN"/>
        </w:rPr>
        <w:t xml:space="preserve">具体内容详见投标文件。</w:t>
      </w:r>
      <w:r>
        <w:rPr>
          <w:color w:val="auto"/>
          <w:highlight w:val="none"/>
        </w:rPr>
      </w:r>
      <w:r/>
    </w:p>
    <w:p>
      <w:pPr>
        <w:pStyle w:val="1153"/>
        <w:ind w:firstLine="480"/>
        <w:spacing w:line="600" w:lineRule="exact"/>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特此声明</w:t>
      </w:r>
      <w:r>
        <w:rPr>
          <w:color w:val="auto"/>
          <w:highlight w:val="none"/>
        </w:rPr>
      </w:r>
      <w:r/>
    </w:p>
    <w:p>
      <w:pPr>
        <w:pStyle w:val="1153"/>
        <w:ind w:firstLine="480"/>
        <w:spacing w:line="600" w:lineRule="exact"/>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lang w:val="en-US" w:eastAsia="zh-CN"/>
        </w:rPr>
        <w:t xml:space="preserve">（我司知晓下列处理原则：已提供本声明但投标文件不</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w:t>
      </w:r>
      <w:r>
        <w:rPr>
          <w:rFonts w:hint="eastAsia" w:ascii="宋体" w:hAnsi="宋体" w:eastAsia="宋体" w:cs="宋体"/>
          <w:bCs/>
          <w:color w:val="auto"/>
          <w:sz w:val="24"/>
          <w:szCs w:val="20"/>
          <w:highlight w:val="none"/>
          <w:lang w:val="en-US" w:eastAsia="zh-CN"/>
        </w:rPr>
        <w:t xml:space="preserve">或</w:t>
      </w:r>
      <w:r>
        <w:rPr>
          <w:rFonts w:hint="eastAsia" w:ascii="宋体" w:hAnsi="宋体" w:eastAsia="宋体" w:cs="宋体"/>
          <w:bCs/>
          <w:color w:val="auto"/>
          <w:sz w:val="24"/>
          <w:szCs w:val="20"/>
          <w:highlight w:val="none"/>
        </w:rPr>
        <w:t xml:space="preserve">存在重大偏离</w:t>
      </w:r>
      <w:r>
        <w:rPr>
          <w:rFonts w:hint="eastAsia" w:ascii="宋体" w:hAnsi="宋体" w:eastAsia="宋体" w:cs="宋体"/>
          <w:bCs/>
          <w:color w:val="auto"/>
          <w:sz w:val="24"/>
          <w:szCs w:val="20"/>
          <w:highlight w:val="none"/>
          <w:lang w:val="en-US" w:eastAsia="zh-CN"/>
        </w:rPr>
        <w:t xml:space="preserve">的，本声明无效，并可能做不符性处理。）</w:t>
      </w:r>
      <w:r>
        <w:rPr>
          <w:color w:val="auto"/>
          <w:highlight w:val="none"/>
        </w:rPr>
      </w:r>
      <w:r/>
    </w:p>
    <w:p>
      <w:pPr>
        <w:pStyle w:val="1153"/>
        <w:ind w:firstLine="480"/>
        <w:spacing w:line="600" w:lineRule="exact"/>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lang w:val="en-US" w:eastAsia="zh-CN"/>
        </w:rPr>
      </w:r>
      <w:r>
        <w:rPr>
          <w:color w:val="auto"/>
          <w:highlight w:val="none"/>
        </w:rPr>
      </w:r>
      <w:r/>
    </w:p>
    <w:p>
      <w:pPr>
        <w:pStyle w:val="1180"/>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rPr>
          <w:color w:val="auto"/>
          <w:highlight w:val="none"/>
        </w:rPr>
      </w:r>
      <w:r/>
    </w:p>
    <w:p>
      <w:pPr>
        <w:pStyle w:val="1180"/>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rPr>
          <w:color w:val="auto"/>
          <w:highlight w:val="none"/>
        </w:rPr>
      </w:r>
      <w:r/>
    </w:p>
    <w:p>
      <w:pPr>
        <w:pStyle w:val="1180"/>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p>
      <w:pPr>
        <w:pStyle w:val="1180"/>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p>
      <w:pPr>
        <w:pStyle w:val="1180"/>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p>
      <w:pPr>
        <w:pStyle w:val="1180"/>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p>
      <w:pPr>
        <w:pStyle w:val="1180"/>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p>
      <w:pPr>
        <w:pStyle w:val="1180"/>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p>
      <w:pPr>
        <w:pStyle w:val="1180"/>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p>
      <w:pPr>
        <w:pStyle w:val="1180"/>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p>
      <w:pPr>
        <w:pStyle w:val="1180"/>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p>
      <w:pPr>
        <w:pStyle w:val="1180"/>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p>
      <w:pPr>
        <w:pStyle w:val="1180"/>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p>
      <w:pPr>
        <w:pStyle w:val="118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p>
      <w:pPr>
        <w:pStyle w:val="1135"/>
        <w:rPr>
          <w:rFonts w:hint="eastAsia"/>
          <w:color w:val="auto"/>
          <w:highlight w:val="none"/>
        </w:rPr>
        <w:outlineLvl w:val="1"/>
      </w:pPr>
      <w:r>
        <w:rPr>
          <w:color w:val="auto"/>
          <w:highlight w:val="none"/>
        </w:rPr>
      </w:r>
      <w:bookmarkStart w:id="202" w:name="_Toc20806"/>
      <w:r>
        <w:rPr>
          <w:color w:val="auto"/>
          <w:highlight w:val="none"/>
        </w:rPr>
      </w:r>
      <w:bookmarkStart w:id="203" w:name="_Toc164203469"/>
      <w:r>
        <w:rPr>
          <w:color w:val="auto"/>
          <w:highlight w:val="none"/>
        </w:rPr>
      </w:r>
      <w:bookmarkStart w:id="204" w:name="_Toc26700"/>
      <w:r>
        <w:rPr>
          <w:color w:val="auto"/>
          <w:highlight w:val="none"/>
        </w:rPr>
      </w:r>
      <w:bookmarkStart w:id="205" w:name="_Toc28775"/>
      <w:r>
        <w:rPr>
          <w:rFonts w:hint="eastAsia"/>
          <w:color w:val="auto"/>
          <w:highlight w:val="none"/>
          <w:lang w:val="en-US" w:eastAsia="zh-CN"/>
        </w:rPr>
        <w:t xml:space="preserve">十</w:t>
      </w:r>
      <w:r>
        <w:rPr>
          <w:color w:val="auto"/>
          <w:highlight w:val="none"/>
        </w:rPr>
        <w:t xml:space="preserve">、投标函</w:t>
      </w:r>
      <w:bookmarkEnd w:id="200"/>
      <w:r>
        <w:rPr>
          <w:color w:val="auto"/>
          <w:highlight w:val="none"/>
        </w:rPr>
      </w:r>
      <w:bookmarkEnd w:id="201"/>
      <w:r>
        <w:rPr>
          <w:color w:val="auto"/>
          <w:highlight w:val="none"/>
        </w:rPr>
      </w:r>
      <w:bookmarkEnd w:id="202"/>
      <w:r>
        <w:rPr>
          <w:color w:val="auto"/>
          <w:highlight w:val="none"/>
        </w:rPr>
      </w:r>
      <w:bookmarkEnd w:id="203"/>
      <w:r>
        <w:rPr>
          <w:color w:val="auto"/>
          <w:highlight w:val="none"/>
        </w:rPr>
      </w:r>
      <w:bookmarkEnd w:id="204"/>
      <w:r>
        <w:rPr>
          <w:color w:val="auto"/>
          <w:highlight w:val="none"/>
        </w:rPr>
      </w:r>
      <w:bookmarkEnd w:id="205"/>
      <w:r>
        <w:rPr>
          <w:color w:val="auto"/>
          <w:highlight w:val="none"/>
        </w:rPr>
      </w:r>
      <w:r/>
    </w:p>
    <w:p>
      <w:pPr>
        <w:pStyle w:val="1215"/>
        <w:spacing w:line="580" w:lineRule="exact"/>
        <w:tabs>
          <w:tab w:val="left" w:pos="1498" w:leader="none"/>
        </w:tabs>
        <w:rPr>
          <w:rFonts w:ascii="仿宋_GB2312" w:eastAsia="仿宋_GB2312"/>
          <w:color w:val="auto"/>
          <w:sz w:val="24"/>
          <w:szCs w:val="22"/>
          <w:highlight w:val="none"/>
        </w:rPr>
      </w:pPr>
      <w:r>
        <w:rPr>
          <w:color w:val="auto"/>
          <w:highlight w:val="none"/>
        </w:rPr>
      </w:r>
      <w:bookmarkStart w:id="206" w:name="_Toc19604"/>
      <w:r>
        <w:rPr>
          <w:color w:val="auto"/>
          <w:highlight w:val="none"/>
        </w:rPr>
      </w:r>
      <w:bookmarkStart w:id="207" w:name="_Toc22395"/>
      <w:r>
        <w:rPr>
          <w:rFonts w:hint="eastAsia"/>
          <w:color w:val="auto"/>
          <w:sz w:val="24"/>
          <w:highlight w:val="none"/>
          <w:u w:val="single"/>
        </w:rPr>
        <w:t xml:space="preserve">                      </w:t>
      </w:r>
      <w:r>
        <w:rPr>
          <w:rFonts w:hint="eastAsia" w:ascii="仿宋_GB2312" w:eastAsia="仿宋_GB2312"/>
          <w:color w:val="auto"/>
          <w:sz w:val="24"/>
          <w:highlight w:val="none"/>
        </w:rPr>
        <w:t xml:space="preserve">：</w:t>
      </w:r>
      <w:r>
        <w:rPr>
          <w:color w:val="auto"/>
          <w:highlight w:val="none"/>
        </w:rPr>
      </w:r>
      <w:r/>
    </w:p>
    <w:p>
      <w:pPr>
        <w:pStyle w:val="1215"/>
        <w:ind w:firstLine="480"/>
        <w:spacing w:line="360" w:lineRule="exact"/>
        <w:tabs>
          <w:tab w:val="left" w:pos="1498" w:leader="none"/>
        </w:tabs>
        <w:rPr>
          <w:rFonts w:ascii="仿宋_GB2312" w:eastAsia="仿宋_GB2312"/>
          <w:color w:val="auto"/>
          <w:sz w:val="24"/>
          <w:highlight w:val="none"/>
        </w:rPr>
      </w:pPr>
      <w:r>
        <w:rPr>
          <w:rFonts w:hint="eastAsia"/>
          <w:color w:val="auto"/>
          <w:sz w:val="24"/>
          <w:highlight w:val="none"/>
        </w:rPr>
        <w:t xml:space="preserve"> </w:t>
      </w:r>
      <w:r>
        <w:rPr>
          <w:rFonts w:hint="eastAsia" w:ascii="仿宋_GB2312" w:eastAsia="仿宋_GB2312"/>
          <w:color w:val="auto"/>
          <w:sz w:val="24"/>
          <w:highlight w:val="none"/>
        </w:rPr>
        <w:t xml:space="preserve">经研究，我们决定参加项目编号为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,项目名称为：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，包号</w:t>
      </w:r>
      <w:r>
        <w:rPr>
          <w:rFonts w:hint="eastAsia" w:ascii="仿宋_GB2312" w:eastAsia="仿宋_GB2312"/>
          <w:color w:val="auto"/>
          <w:sz w:val="24"/>
          <w:highlight w:val="none"/>
          <w:lang w:eastAsia="zh-CN"/>
        </w:rPr>
        <w:t xml:space="preserve">（</w:t>
      </w:r>
      <w:r>
        <w:rPr>
          <w:rFonts w:hint="eastAsia" w:ascii="仿宋_GB2312" w:eastAsia="仿宋_GB2312"/>
          <w:color w:val="auto"/>
          <w:sz w:val="24"/>
          <w:highlight w:val="none"/>
          <w:lang w:val="en-US" w:eastAsia="zh-CN"/>
        </w:rPr>
        <w:t xml:space="preserve">如有）</w:t>
      </w:r>
      <w:r>
        <w:rPr>
          <w:rFonts w:hint="eastAsia" w:ascii="仿宋_GB2312" w:eastAsia="仿宋_GB2312"/>
          <w:color w:val="auto"/>
          <w:sz w:val="24"/>
          <w:highlight w:val="none"/>
        </w:rPr>
        <w:t xml:space="preserve">为</w:t>
      </w:r>
      <w:r>
        <w:rPr>
          <w:rFonts w:hint="eastAsia" w:ascii="仿宋_GB2312" w:eastAsia="仿宋_GB2312"/>
          <w:color w:val="auto"/>
          <w:sz w:val="24"/>
          <w:highlight w:val="none"/>
          <w:u w:val="single"/>
          <w:lang w:val="en-US" w:eastAsia="zh-CN"/>
        </w:rPr>
        <w:t xml:space="preserve">  </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的招标活动并投标，为此，我方郑重声明以下诸点，并负法律责任。</w:t>
      </w:r>
      <w:r>
        <w:rPr>
          <w:color w:val="auto"/>
          <w:highlight w:val="none"/>
        </w:rPr>
      </w:r>
      <w:r/>
    </w:p>
    <w:p>
      <w:pPr>
        <w:pStyle w:val="1215"/>
        <w:numPr>
          <w:ilvl w:val="0"/>
          <w:numId w:val="12"/>
        </w:numPr>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经研究招标文件的全部内容后，我方愿按招标文件的规定要求提供所有货物和服务；</w:t>
      </w:r>
      <w:r>
        <w:rPr>
          <w:color w:val="auto"/>
          <w:highlight w:val="none"/>
        </w:rPr>
      </w:r>
      <w:r/>
    </w:p>
    <w:p>
      <w:pPr>
        <w:pStyle w:val="1215"/>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二、</w:t>
      </w:r>
      <w:r>
        <w:rPr>
          <w:rFonts w:hint="eastAsia" w:ascii="仿宋_GB2312" w:eastAsia="仿宋_GB2312"/>
          <w:b/>
          <w:bCs/>
          <w:color w:val="auto"/>
          <w:sz w:val="24"/>
          <w:highlight w:val="none"/>
        </w:rPr>
        <w:t xml:space="preserve">我方没有为本采购项目提供整体设计、规范编制，以及项目管理、监理、检测等服务。 </w:t>
      </w:r>
      <w:r>
        <w:rPr>
          <w:color w:val="auto"/>
          <w:highlight w:val="none"/>
        </w:rPr>
      </w:r>
      <w:r/>
    </w:p>
    <w:p>
      <w:pPr>
        <w:pStyle w:val="1215"/>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三、我方与参与本次采购活动的其他投标人的法定代表人或委托代理人</w:t>
      </w:r>
      <w:r>
        <w:rPr>
          <w:rFonts w:hint="eastAsia" w:ascii="仿宋_GB2312" w:eastAsia="仿宋_GB2312"/>
          <w:b/>
          <w:bCs/>
          <w:color w:val="auto"/>
          <w:sz w:val="24"/>
          <w:highlight w:val="none"/>
        </w:rPr>
        <w:t xml:space="preserve">无夫妻、直系血亲关系； </w:t>
      </w:r>
      <w:r>
        <w:rPr>
          <w:color w:val="auto"/>
          <w:highlight w:val="none"/>
        </w:rPr>
      </w:r>
      <w:r/>
    </w:p>
    <w:p>
      <w:pPr>
        <w:pStyle w:val="1215"/>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四、我方与参与本次采购活动的其他投标人的负责人</w:t>
      </w:r>
      <w:r>
        <w:rPr>
          <w:rFonts w:hint="eastAsia" w:ascii="仿宋_GB2312" w:eastAsia="仿宋_GB2312"/>
          <w:b/>
          <w:bCs/>
          <w:color w:val="auto"/>
          <w:sz w:val="24"/>
          <w:highlight w:val="none"/>
        </w:rPr>
        <w:t xml:space="preserve">不是同一人，也不存在直接控股、管理关系。 </w:t>
      </w:r>
      <w:r>
        <w:rPr>
          <w:color w:val="auto"/>
          <w:highlight w:val="none"/>
        </w:rPr>
      </w:r>
      <w:r/>
    </w:p>
    <w:p>
      <w:pPr>
        <w:pStyle w:val="1215"/>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五、我们理解，最低报价不是中标的唯一条件，你们有选择中标人的权利；</w:t>
      </w:r>
      <w:r>
        <w:rPr>
          <w:color w:val="auto"/>
          <w:highlight w:val="none"/>
        </w:rPr>
      </w:r>
      <w:r/>
    </w:p>
    <w:p>
      <w:pPr>
        <w:pStyle w:val="1215"/>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rPr>
          <w:color w:val="auto"/>
          <w:highlight w:val="none"/>
        </w:rPr>
      </w:r>
      <w:r/>
    </w:p>
    <w:p>
      <w:pPr>
        <w:pStyle w:val="1215"/>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七、一旦我方中标，我方将根据招标文件的规定，严格按照《中华人民共和国民法典》履行自己的责任和义务，并保证于我方承诺的期限内完成项目规定的所有内容。</w:t>
      </w:r>
      <w:r>
        <w:rPr>
          <w:color w:val="auto"/>
          <w:highlight w:val="none"/>
        </w:rPr>
      </w:r>
      <w:r/>
    </w:p>
    <w:p>
      <w:pPr>
        <w:pStyle w:val="124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八、我方同意遵守贵方有关招标投标的各项规定；</w:t>
      </w:r>
      <w:r>
        <w:rPr>
          <w:color w:val="auto"/>
          <w:highlight w:val="none"/>
        </w:rPr>
      </w:r>
      <w:r/>
    </w:p>
    <w:p>
      <w:pPr>
        <w:pStyle w:val="124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九、我方响应招标文件规定的投标有效期。</w:t>
      </w:r>
      <w:r>
        <w:rPr>
          <w:color w:val="auto"/>
          <w:highlight w:val="none"/>
        </w:rPr>
      </w:r>
      <w:r/>
    </w:p>
    <w:p>
      <w:pPr>
        <w:pStyle w:val="1247"/>
        <w:ind w:firstLine="482"/>
        <w:spacing w:line="360" w:lineRule="exact"/>
        <w:tabs>
          <w:tab w:val="left" w:pos="1498" w:leader="none"/>
        </w:tabs>
        <w:rPr>
          <w:rFonts w:ascii="仿宋_GB2312" w:eastAsia="仿宋_GB2312"/>
          <w:b/>
          <w:bCs/>
          <w:color w:val="auto"/>
          <w:sz w:val="24"/>
          <w:highlight w:val="none"/>
        </w:rPr>
      </w:pPr>
      <w:r>
        <w:rPr>
          <w:rFonts w:hint="eastAsia" w:ascii="仿宋_GB2312" w:eastAsia="仿宋_GB2312"/>
          <w:b/>
          <w:bCs/>
          <w:color w:val="auto"/>
          <w:sz w:val="24"/>
          <w:highlight w:val="none"/>
        </w:rPr>
        <w:t xml:space="preserve">十、我司承诺若获得中标资格，我司保证在领取中标通知书前按照招标文件约定的标准，向采购代理机构一次性缴纳中标服务费。</w:t>
      </w:r>
      <w:r>
        <w:rPr>
          <w:color w:val="auto"/>
          <w:highlight w:val="none"/>
        </w:rPr>
      </w:r>
      <w:r/>
    </w:p>
    <w:p>
      <w:pPr>
        <w:pStyle w:val="124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十一、我方决不提供虚假材料谋取中标、决不采取不正当手段诋毁、排挤其他投标人、决不与采购人、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rPr>
          <w:color w:val="auto"/>
          <w:highlight w:val="none"/>
        </w:rPr>
      </w:r>
      <w:r/>
    </w:p>
    <w:p>
      <w:pPr>
        <w:pStyle w:val="124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十二、与本投标有关的正式联系方式为： </w:t>
      </w:r>
      <w:r>
        <w:rPr>
          <w:color w:val="auto"/>
          <w:highlight w:val="none"/>
        </w:rPr>
      </w:r>
      <w:r/>
    </w:p>
    <w:p>
      <w:pPr>
        <w:pStyle w:val="124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联系人：</w:t>
      </w:r>
      <w:r>
        <w:rPr>
          <w:rFonts w:hint="eastAsia" w:ascii="仿宋_GB2312" w:eastAsia="仿宋_GB2312"/>
          <w:color w:val="auto"/>
          <w:sz w:val="24"/>
          <w:highlight w:val="none"/>
          <w:u w:val="single"/>
        </w:rPr>
        <w:t xml:space="preserve">               </w:t>
      </w:r>
      <w:r>
        <w:rPr>
          <w:color w:val="auto"/>
          <w:highlight w:val="none"/>
        </w:rPr>
      </w:r>
      <w:r/>
    </w:p>
    <w:p>
      <w:pPr>
        <w:pStyle w:val="1247"/>
        <w:ind w:firstLine="480"/>
        <w:spacing w:line="360" w:lineRule="exact"/>
        <w:tabs>
          <w:tab w:val="left" w:pos="1498" w:leader="none"/>
        </w:tabs>
        <w:rPr>
          <w:rFonts w:ascii="仿宋_GB2312" w:eastAsia="仿宋_GB2312"/>
          <w:color w:val="auto"/>
          <w:sz w:val="24"/>
          <w:highlight w:val="none"/>
          <w:u w:val="single"/>
        </w:rPr>
      </w:pPr>
      <w:r>
        <w:rPr>
          <w:rFonts w:hint="eastAsia" w:ascii="仿宋_GB2312" w:eastAsia="仿宋_GB2312"/>
          <w:color w:val="auto"/>
          <w:sz w:val="24"/>
          <w:highlight w:val="none"/>
        </w:rPr>
        <w:t xml:space="preserve">地址：</w:t>
      </w:r>
      <w:r>
        <w:rPr>
          <w:rFonts w:hint="eastAsia" w:ascii="仿宋_GB2312" w:eastAsia="仿宋_GB2312"/>
          <w:color w:val="auto"/>
          <w:sz w:val="24"/>
          <w:highlight w:val="none"/>
          <w:u w:val="single"/>
        </w:rPr>
        <w:t xml:space="preserve">                 </w:t>
      </w:r>
      <w:r>
        <w:rPr>
          <w:color w:val="auto"/>
          <w:highlight w:val="none"/>
        </w:rPr>
      </w:r>
      <w:r/>
    </w:p>
    <w:p>
      <w:pPr>
        <w:pStyle w:val="124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电话：</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rPr>
          <w:color w:val="auto"/>
          <w:highlight w:val="none"/>
        </w:rPr>
      </w:r>
      <w:r/>
    </w:p>
    <w:p>
      <w:pPr>
        <w:pStyle w:val="124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十三、我方正式开户银行和帐号为： </w:t>
      </w:r>
      <w:r>
        <w:rPr>
          <w:color w:val="auto"/>
          <w:highlight w:val="none"/>
        </w:rPr>
      </w:r>
      <w:r/>
    </w:p>
    <w:p>
      <w:pPr>
        <w:pStyle w:val="124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开户银行：</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rPr>
          <w:color w:val="auto"/>
          <w:highlight w:val="none"/>
        </w:rPr>
      </w:r>
      <w:r/>
    </w:p>
    <w:p>
      <w:pPr>
        <w:pStyle w:val="124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银行账号：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rPr>
          <w:color w:val="auto"/>
          <w:highlight w:val="none"/>
        </w:rPr>
      </w:r>
      <w:r/>
    </w:p>
    <w:p>
      <w:pPr>
        <w:pStyle w:val="124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投标人名称：</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 </w:t>
      </w:r>
      <w:r>
        <w:rPr>
          <w:color w:val="auto"/>
          <w:highlight w:val="none"/>
        </w:rPr>
      </w:r>
      <w:r/>
    </w:p>
    <w:p>
      <w:pPr>
        <w:pStyle w:val="124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日 期： 年 月 日</w:t>
      </w:r>
      <w:r>
        <w:rPr>
          <w:color w:val="auto"/>
          <w:highlight w:val="none"/>
        </w:rPr>
      </w:r>
      <w:r/>
    </w:p>
    <w:p>
      <w:pPr>
        <w:pStyle w:val="1135"/>
        <w:rPr>
          <w:rFonts w:hint="eastAsia"/>
          <w:color w:val="auto"/>
          <w:highlight w:val="none"/>
        </w:rPr>
        <w:outlineLvl w:val="1"/>
      </w:pPr>
      <w:r>
        <w:rPr>
          <w:rFonts w:hint="eastAsia" w:ascii="仿宋_GB2312" w:hAnsi="Times New Roman" w:eastAsia="仿宋_GB2312"/>
          <w:color w:val="auto"/>
          <w:sz w:val="24"/>
          <w:highlight w:val="none"/>
        </w:rPr>
        <w:br w:type="page" w:clear="all"/>
      </w:r>
      <w:bookmarkStart w:id="208" w:name="_Toc14010"/>
      <w:r>
        <w:rPr>
          <w:color w:val="auto"/>
          <w:highlight w:val="none"/>
        </w:rPr>
      </w:r>
      <w:bookmarkStart w:id="209" w:name="_Toc10914"/>
      <w:r>
        <w:rPr>
          <w:color w:val="auto"/>
          <w:highlight w:val="none"/>
        </w:rPr>
      </w:r>
      <w:bookmarkStart w:id="210" w:name="_Toc12153"/>
      <w:r>
        <w:rPr>
          <w:color w:val="auto"/>
          <w:highlight w:val="none"/>
        </w:rPr>
      </w:r>
      <w:bookmarkStart w:id="211" w:name="_Toc164203470"/>
      <w:r>
        <w:rPr>
          <w:rFonts w:hint="eastAsia"/>
          <w:color w:val="auto"/>
          <w:highlight w:val="none"/>
          <w:lang w:val="en-US" w:eastAsia="zh-CN"/>
        </w:rPr>
        <w:t xml:space="preserve">十一</w:t>
      </w:r>
      <w:r>
        <w:rPr>
          <w:rFonts w:hint="eastAsia"/>
          <w:color w:val="auto"/>
          <w:highlight w:val="none"/>
        </w:rPr>
        <w:t xml:space="preserve">、法定代表人身份证明或授权委托书</w:t>
      </w:r>
      <w:bookmarkEnd w:id="206"/>
      <w:r>
        <w:rPr>
          <w:color w:val="auto"/>
          <w:highlight w:val="none"/>
        </w:rPr>
      </w:r>
      <w:bookmarkEnd w:id="207"/>
      <w:r>
        <w:rPr>
          <w:color w:val="auto"/>
          <w:highlight w:val="none"/>
        </w:rPr>
      </w:r>
      <w:bookmarkEnd w:id="208"/>
      <w:r>
        <w:rPr>
          <w:color w:val="auto"/>
          <w:highlight w:val="none"/>
        </w:rPr>
      </w:r>
      <w:bookmarkEnd w:id="209"/>
      <w:r>
        <w:rPr>
          <w:color w:val="auto"/>
          <w:highlight w:val="none"/>
        </w:rPr>
      </w:r>
      <w:bookmarkEnd w:id="210"/>
      <w:r>
        <w:rPr>
          <w:color w:val="auto"/>
          <w:highlight w:val="none"/>
        </w:rPr>
      </w:r>
      <w:bookmarkEnd w:id="211"/>
      <w:r>
        <w:rPr>
          <w:color w:val="auto"/>
          <w:highlight w:val="none"/>
        </w:rPr>
      </w:r>
      <w:r/>
    </w:p>
    <w:p>
      <w:pPr>
        <w:pStyle w:val="1378"/>
        <w:jc w:val="center"/>
        <w:spacing w:line="560" w:lineRule="exact"/>
        <w:rPr>
          <w:rFonts w:ascii="宋体"/>
          <w:b/>
          <w:bCs/>
          <w:color w:val="auto"/>
          <w:sz w:val="32"/>
          <w:szCs w:val="32"/>
          <w:highlight w:val="none"/>
        </w:rPr>
      </w:pPr>
      <w:r>
        <w:rPr>
          <w:rFonts w:ascii="宋体"/>
          <w:b/>
          <w:bCs/>
          <w:color w:val="auto"/>
          <w:sz w:val="32"/>
          <w:szCs w:val="32"/>
          <w:highlight w:val="none"/>
        </w:rPr>
        <w:t xml:space="preserve">法定代表人身份证明</w:t>
      </w:r>
      <w:r>
        <w:rPr>
          <w:color w:val="auto"/>
          <w:highlight w:val="none"/>
        </w:rPr>
      </w:r>
      <w:r/>
    </w:p>
    <w:p>
      <w:pPr>
        <w:pStyle w:val="1281"/>
        <w:spacing w:line="480" w:lineRule="exact"/>
        <w:rPr>
          <w:rFonts w:eastAsia="仿宋_GB2312"/>
          <w:color w:val="auto"/>
          <w:sz w:val="24"/>
          <w:highlight w:val="none"/>
        </w:rPr>
      </w:pPr>
      <w:r>
        <w:rPr>
          <w:rFonts w:eastAsia="仿宋_GB2312"/>
          <w:color w:val="auto"/>
          <w:sz w:val="24"/>
          <w:highlight w:val="none"/>
        </w:rPr>
      </w:r>
      <w:r>
        <w:rPr>
          <w:color w:val="auto"/>
          <w:highlight w:val="none"/>
        </w:rPr>
      </w:r>
      <w:r/>
    </w:p>
    <w:p>
      <w:pPr>
        <w:pStyle w:val="1281"/>
        <w:spacing w:line="480" w:lineRule="exact"/>
        <w:rPr>
          <w:rFonts w:eastAsia="仿宋_GB2312"/>
          <w:color w:val="auto"/>
          <w:sz w:val="24"/>
          <w:highlight w:val="none"/>
        </w:rPr>
      </w:pPr>
      <w:r>
        <w:rPr>
          <w:rFonts w:hint="eastAsia" w:eastAsia="仿宋_GB2312"/>
          <w:color w:val="auto"/>
          <w:sz w:val="24"/>
          <w:highlight w:val="none"/>
        </w:rPr>
        <w:t xml:space="preserve">供应商</w:t>
      </w:r>
      <w:r>
        <w:rPr>
          <w:rFonts w:eastAsia="仿宋_GB2312"/>
          <w:color w:val="auto"/>
          <w:sz w:val="24"/>
          <w:highlight w:val="none"/>
        </w:rPr>
        <w:t xml:space="preserve">名称：</w:t>
      </w:r>
      <w:r>
        <w:rPr>
          <w:rFonts w:eastAsia="仿宋_GB2312"/>
          <w:color w:val="auto"/>
          <w:sz w:val="24"/>
          <w:highlight w:val="none"/>
          <w:u w:val="single"/>
        </w:rPr>
        <w:t xml:space="preserve">                            </w:t>
      </w:r>
      <w:r>
        <w:rPr>
          <w:rFonts w:eastAsia="仿宋_GB2312"/>
          <w:color w:val="auto"/>
          <w:sz w:val="24"/>
          <w:highlight w:val="none"/>
        </w:rPr>
        <w:t xml:space="preserve"> </w:t>
      </w:r>
      <w:r>
        <w:rPr>
          <w:color w:val="auto"/>
          <w:highlight w:val="none"/>
        </w:rPr>
      </w:r>
      <w:r/>
    </w:p>
    <w:p>
      <w:pPr>
        <w:pStyle w:val="1281"/>
        <w:spacing w:line="480" w:lineRule="exact"/>
        <w:rPr>
          <w:rFonts w:eastAsia="仿宋_GB2312"/>
          <w:color w:val="auto"/>
          <w:sz w:val="24"/>
          <w:highlight w:val="none"/>
        </w:rPr>
      </w:pPr>
      <w:r>
        <w:rPr>
          <w:rFonts w:eastAsia="仿宋_GB2312"/>
          <w:color w:val="auto"/>
          <w:sz w:val="24"/>
          <w:highlight w:val="none"/>
        </w:rPr>
        <w:t xml:space="preserve">单位性质：</w:t>
      </w:r>
      <w:r>
        <w:rPr>
          <w:rFonts w:eastAsia="仿宋_GB2312"/>
          <w:color w:val="auto"/>
          <w:sz w:val="24"/>
          <w:highlight w:val="none"/>
          <w:u w:val="single"/>
        </w:rPr>
        <w:t xml:space="preserve">                               </w:t>
      </w:r>
      <w:r>
        <w:rPr>
          <w:rFonts w:eastAsia="仿宋_GB2312"/>
          <w:color w:val="auto"/>
          <w:sz w:val="24"/>
          <w:highlight w:val="none"/>
        </w:rPr>
        <w:t xml:space="preserve"> </w:t>
      </w:r>
      <w:r>
        <w:rPr>
          <w:color w:val="auto"/>
          <w:highlight w:val="none"/>
        </w:rPr>
      </w:r>
      <w:r/>
    </w:p>
    <w:p>
      <w:pPr>
        <w:pStyle w:val="1281"/>
        <w:spacing w:line="480" w:lineRule="exact"/>
        <w:rPr>
          <w:rFonts w:eastAsia="仿宋_GB2312"/>
          <w:color w:val="auto"/>
          <w:sz w:val="24"/>
          <w:highlight w:val="none"/>
        </w:rPr>
      </w:pPr>
      <w:r>
        <w:rPr>
          <w:rFonts w:eastAsia="仿宋_GB2312"/>
          <w:color w:val="auto"/>
          <w:sz w:val="24"/>
          <w:highlight w:val="none"/>
        </w:rPr>
        <w:t xml:space="preserve">地址：</w:t>
      </w:r>
      <w:r>
        <w:rPr>
          <w:rFonts w:eastAsia="仿宋_GB2312"/>
          <w:color w:val="auto"/>
          <w:sz w:val="24"/>
          <w:highlight w:val="none"/>
          <w:u w:val="single"/>
        </w:rPr>
        <w:t xml:space="preserve">                                   </w:t>
      </w:r>
      <w:r>
        <w:rPr>
          <w:color w:val="auto"/>
          <w:highlight w:val="none"/>
        </w:rPr>
      </w:r>
      <w:r/>
    </w:p>
    <w:p>
      <w:pPr>
        <w:pStyle w:val="1281"/>
        <w:spacing w:line="480" w:lineRule="exact"/>
        <w:rPr>
          <w:rFonts w:eastAsia="仿宋_GB2312"/>
          <w:color w:val="auto"/>
          <w:sz w:val="24"/>
          <w:highlight w:val="none"/>
        </w:rPr>
      </w:pPr>
      <w:r>
        <w:rPr>
          <w:rFonts w:eastAsia="仿宋_GB2312"/>
          <w:color w:val="auto"/>
          <w:sz w:val="24"/>
          <w:highlight w:val="none"/>
        </w:rPr>
        <w:t xml:space="preserve">成立时间：</w:t>
      </w:r>
      <w:r>
        <w:rPr>
          <w:rFonts w:eastAsia="仿宋_GB2312"/>
          <w:color w:val="auto"/>
          <w:sz w:val="24"/>
          <w:highlight w:val="none"/>
          <w:u w:val="single"/>
        </w:rPr>
        <w:t xml:space="preserve">         </w:t>
      </w:r>
      <w:r>
        <w:rPr>
          <w:rFonts w:eastAsia="仿宋_GB2312"/>
          <w:color w:val="auto"/>
          <w:sz w:val="24"/>
          <w:highlight w:val="none"/>
        </w:rPr>
        <w:t xml:space="preserve"> 年</w:t>
      </w:r>
      <w:r>
        <w:rPr>
          <w:rFonts w:eastAsia="仿宋_GB2312"/>
          <w:color w:val="auto"/>
          <w:sz w:val="24"/>
          <w:highlight w:val="none"/>
          <w:u w:val="single"/>
        </w:rPr>
        <w:t xml:space="preserve">       </w:t>
      </w:r>
      <w:r>
        <w:rPr>
          <w:rFonts w:eastAsia="仿宋_GB2312"/>
          <w:color w:val="auto"/>
          <w:sz w:val="24"/>
          <w:highlight w:val="none"/>
        </w:rPr>
        <w:t xml:space="preserve"> 月</w:t>
      </w:r>
      <w:r>
        <w:rPr>
          <w:rFonts w:eastAsia="仿宋_GB2312"/>
          <w:color w:val="auto"/>
          <w:sz w:val="24"/>
          <w:highlight w:val="none"/>
          <w:u w:val="single"/>
        </w:rPr>
        <w:t xml:space="preserve">       </w:t>
      </w:r>
      <w:r>
        <w:rPr>
          <w:rFonts w:eastAsia="仿宋_GB2312"/>
          <w:color w:val="auto"/>
          <w:sz w:val="24"/>
          <w:highlight w:val="none"/>
        </w:rPr>
        <w:t xml:space="preserve"> 日</w:t>
      </w:r>
      <w:r>
        <w:rPr>
          <w:color w:val="auto"/>
          <w:highlight w:val="none"/>
        </w:rPr>
      </w:r>
      <w:r/>
    </w:p>
    <w:p>
      <w:pPr>
        <w:pStyle w:val="1281"/>
        <w:spacing w:line="480" w:lineRule="exact"/>
        <w:rPr>
          <w:rFonts w:eastAsia="仿宋_GB2312"/>
          <w:color w:val="auto"/>
          <w:sz w:val="24"/>
          <w:highlight w:val="none"/>
        </w:rPr>
      </w:pPr>
      <w:r>
        <w:rPr>
          <w:rFonts w:eastAsia="仿宋_GB2312"/>
          <w:color w:val="auto"/>
          <w:sz w:val="24"/>
          <w:highlight w:val="none"/>
        </w:rPr>
        <w:t xml:space="preserve">经营期限：</w:t>
      </w:r>
      <w:r>
        <w:rPr>
          <w:rFonts w:eastAsia="仿宋_GB2312"/>
          <w:color w:val="auto"/>
          <w:sz w:val="24"/>
          <w:highlight w:val="none"/>
          <w:u w:val="single"/>
        </w:rPr>
        <w:t xml:space="preserve">                               </w:t>
      </w:r>
      <w:r>
        <w:rPr>
          <w:color w:val="auto"/>
          <w:highlight w:val="none"/>
        </w:rPr>
      </w:r>
      <w:r/>
    </w:p>
    <w:p>
      <w:pPr>
        <w:pStyle w:val="1281"/>
        <w:spacing w:line="480" w:lineRule="exact"/>
        <w:rPr>
          <w:rFonts w:eastAsia="仿宋_GB2312"/>
          <w:color w:val="auto"/>
          <w:sz w:val="24"/>
          <w:highlight w:val="none"/>
        </w:rPr>
      </w:pPr>
      <w:r>
        <w:rPr>
          <w:rFonts w:eastAsia="仿宋_GB2312"/>
          <w:color w:val="auto"/>
          <w:sz w:val="24"/>
          <w:highlight w:val="none"/>
        </w:rPr>
        <w:t xml:space="preserve">姓名：</w:t>
      </w:r>
      <w:r>
        <w:rPr>
          <w:rFonts w:eastAsia="仿宋_GB2312"/>
          <w:color w:val="auto"/>
          <w:sz w:val="24"/>
          <w:highlight w:val="none"/>
          <w:u w:val="single"/>
        </w:rPr>
        <w:t xml:space="preserve">        </w:t>
      </w:r>
      <w:r>
        <w:rPr>
          <w:rFonts w:eastAsia="仿宋_GB2312"/>
          <w:color w:val="auto"/>
          <w:sz w:val="24"/>
          <w:highlight w:val="none"/>
        </w:rPr>
        <w:t xml:space="preserve"> 性别：</w:t>
      </w:r>
      <w:r>
        <w:rPr>
          <w:rFonts w:eastAsia="仿宋_GB2312"/>
          <w:color w:val="auto"/>
          <w:sz w:val="24"/>
          <w:highlight w:val="none"/>
          <w:u w:val="single"/>
        </w:rPr>
        <w:t xml:space="preserve">         </w:t>
      </w:r>
      <w:r>
        <w:rPr>
          <w:rFonts w:eastAsia="仿宋_GB2312"/>
          <w:color w:val="auto"/>
          <w:sz w:val="24"/>
          <w:highlight w:val="none"/>
        </w:rPr>
        <w:t xml:space="preserve"> 年龄：</w:t>
      </w:r>
      <w:r>
        <w:rPr>
          <w:rFonts w:eastAsia="仿宋_GB2312"/>
          <w:color w:val="auto"/>
          <w:sz w:val="24"/>
          <w:highlight w:val="none"/>
          <w:u w:val="single"/>
        </w:rPr>
        <w:t xml:space="preserve">        </w:t>
      </w:r>
      <w:r>
        <w:rPr>
          <w:rFonts w:eastAsia="仿宋_GB2312"/>
          <w:color w:val="auto"/>
          <w:sz w:val="24"/>
          <w:highlight w:val="none"/>
        </w:rPr>
        <w:t xml:space="preserve">职务：</w:t>
      </w:r>
      <w:r>
        <w:rPr>
          <w:rFonts w:eastAsia="仿宋_GB2312"/>
          <w:color w:val="auto"/>
          <w:sz w:val="24"/>
          <w:highlight w:val="none"/>
          <w:u w:val="single"/>
        </w:rPr>
        <w:t xml:space="preserve">        </w:t>
      </w:r>
      <w:r>
        <w:rPr>
          <w:rFonts w:eastAsia="仿宋_GB2312"/>
          <w:color w:val="auto"/>
          <w:sz w:val="24"/>
          <w:highlight w:val="none"/>
        </w:rPr>
        <w:t xml:space="preserve">系</w:t>
      </w:r>
      <w:r>
        <w:rPr>
          <w:color w:val="auto"/>
          <w:highlight w:val="none"/>
        </w:rPr>
      </w:r>
      <w:r/>
    </w:p>
    <w:p>
      <w:pPr>
        <w:pStyle w:val="1281"/>
        <w:spacing w:line="480" w:lineRule="exact"/>
        <w:rPr>
          <w:rFonts w:eastAsia="仿宋_GB2312"/>
          <w:color w:val="auto"/>
          <w:sz w:val="24"/>
          <w:highlight w:val="none"/>
        </w:rPr>
      </w:pPr>
      <w:r>
        <w:rPr>
          <w:rFonts w:eastAsia="仿宋_GB2312"/>
          <w:color w:val="auto"/>
          <w:sz w:val="24"/>
          <w:highlight w:val="none"/>
          <w:u w:val="single"/>
        </w:rPr>
        <w:t xml:space="preserve">                             </w:t>
      </w:r>
      <w:r>
        <w:rPr>
          <w:rFonts w:eastAsia="仿宋_GB2312"/>
          <w:color w:val="auto"/>
          <w:sz w:val="24"/>
          <w:highlight w:val="none"/>
        </w:rPr>
        <w:t xml:space="preserve"> （投标人名称）的法定代表人。</w:t>
      </w:r>
      <w:r>
        <w:rPr>
          <w:color w:val="auto"/>
          <w:highlight w:val="none"/>
        </w:rPr>
      </w:r>
      <w:r/>
    </w:p>
    <w:p>
      <w:pPr>
        <w:pStyle w:val="1281"/>
        <w:ind w:firstLine="480"/>
        <w:spacing w:line="480" w:lineRule="exact"/>
        <w:rPr>
          <w:rFonts w:eastAsia="仿宋_GB2312"/>
          <w:color w:val="auto"/>
          <w:sz w:val="24"/>
          <w:highlight w:val="none"/>
        </w:rPr>
      </w:pPr>
      <w:r>
        <w:rPr>
          <w:rFonts w:eastAsia="仿宋_GB2312"/>
          <w:color w:val="auto"/>
          <w:sz w:val="24"/>
          <w:highlight w:val="none"/>
        </w:rPr>
        <w:t xml:space="preserve">特此证明。</w:t>
      </w:r>
      <w:r>
        <w:rPr>
          <w:color w:val="auto"/>
          <w:highlight w:val="none"/>
        </w:rPr>
      </w:r>
      <w:r/>
    </w:p>
    <w:p>
      <w:pPr>
        <w:pStyle w:val="1409"/>
        <w:spacing w:line="600" w:lineRule="exact"/>
        <w:rPr>
          <w:rFonts w:eastAsia="仿宋_GB2312"/>
          <w:color w:val="auto"/>
          <w:sz w:val="24"/>
          <w:highlight w:val="none"/>
        </w:rPr>
      </w:pPr>
      <w:r>
        <w:rPr>
          <w:rFonts w:hint="eastAsia" w:ascii="仿宋_GB2312" w:eastAsia="仿宋_GB2312"/>
          <w:b/>
          <w:color w:val="auto"/>
          <w:sz w:val="24"/>
          <w:highlight w:val="none"/>
        </w:rPr>
        <w:t xml:space="preserve">（法定代表人出席开标会议的提供，未出席的可不提供。附法定代表人身份证、扫描件。）</w:t>
      </w:r>
      <w:r>
        <w:rPr>
          <w:rFonts w:eastAsia="仿宋_GB2312"/>
          <w:color w:val="auto"/>
          <w:sz w:val="24"/>
          <w:highlight w:val="none"/>
        </w:rPr>
        <w:t xml:space="preserve">               </w:t>
      </w:r>
      <w:r>
        <w:rPr>
          <w:color w:val="auto"/>
          <w:highlight w:val="none"/>
        </w:rPr>
      </w:r>
      <w:r/>
    </w:p>
    <w:p>
      <w:pPr>
        <w:pStyle w:val="1281"/>
        <w:jc w:val="right"/>
        <w:spacing w:line="480" w:lineRule="exact"/>
        <w:rPr>
          <w:rFonts w:eastAsia="仿宋_GB2312"/>
          <w:color w:val="auto"/>
          <w:sz w:val="24"/>
          <w:highlight w:val="none"/>
        </w:rPr>
      </w:pPr>
      <w:r>
        <w:rPr>
          <w:rFonts w:eastAsia="仿宋_GB2312"/>
          <w:color w:val="auto"/>
          <w:sz w:val="24"/>
          <w:highlight w:val="none"/>
        </w:rPr>
      </w:r>
      <w:r>
        <w:rPr>
          <w:color w:val="auto"/>
          <w:highlight w:val="none"/>
        </w:rPr>
      </w:r>
      <w:r/>
    </w:p>
    <w:p>
      <w:pPr>
        <w:pStyle w:val="1281"/>
        <w:jc w:val="right"/>
        <w:spacing w:line="480" w:lineRule="exact"/>
        <w:rPr>
          <w:rFonts w:eastAsia="仿宋_GB2312"/>
          <w:color w:val="auto"/>
          <w:sz w:val="24"/>
          <w:highlight w:val="none"/>
        </w:rPr>
      </w:pPr>
      <w:r>
        <w:rPr>
          <w:rFonts w:eastAsia="仿宋_GB2312"/>
          <w:color w:val="auto"/>
          <w:sz w:val="24"/>
          <w:highlight w:val="none"/>
        </w:rPr>
      </w:r>
      <w:r>
        <w:rPr>
          <w:color w:val="auto"/>
          <w:highlight w:val="none"/>
        </w:rPr>
      </w:r>
      <w:r/>
    </w:p>
    <w:p>
      <w:pPr>
        <w:pStyle w:val="1409"/>
        <w:ind w:firstLine="445"/>
        <w:jc w:val="right"/>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w:t>
      </w:r>
      <w:r>
        <w:rPr>
          <w:color w:val="auto"/>
          <w:highlight w:val="none"/>
        </w:rPr>
      </w:r>
      <w:r/>
    </w:p>
    <w:p>
      <w:pPr>
        <w:pStyle w:val="1378"/>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rPr>
          <w:color w:val="auto"/>
          <w:highlight w:val="none"/>
        </w:rPr>
      </w:r>
      <w:r/>
    </w:p>
    <w:p>
      <w:pPr>
        <w:pStyle w:val="1300"/>
        <w:ind w:firstLine="989"/>
        <w:jc w:val="right"/>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rPr>
          <w:color w:val="auto"/>
          <w:highlight w:val="none"/>
        </w:rPr>
      </w:r>
      <w:r/>
    </w:p>
    <w:p>
      <w:pPr>
        <w:pStyle w:val="1378"/>
        <w:jc w:val="center"/>
        <w:spacing w:line="560" w:lineRule="exact"/>
        <w:rPr>
          <w:rFonts w:ascii="宋体"/>
          <w:b/>
          <w:bCs/>
          <w:color w:val="auto"/>
          <w:sz w:val="32"/>
          <w:szCs w:val="32"/>
          <w:highlight w:val="none"/>
        </w:rPr>
      </w:pPr>
      <w:r>
        <w:rPr>
          <w:rFonts w:ascii="仿宋_GB2312" w:eastAsia="仿宋_GB2312"/>
          <w:color w:val="auto"/>
          <w:sz w:val="24"/>
          <w:highlight w:val="none"/>
        </w:rPr>
        <w:br w:type="page" w:clear="all"/>
      </w:r>
      <w:r>
        <w:rPr>
          <w:rFonts w:hint="eastAsia" w:ascii="宋体"/>
          <w:b/>
          <w:bCs/>
          <w:color w:val="auto"/>
          <w:sz w:val="32"/>
          <w:szCs w:val="32"/>
          <w:highlight w:val="none"/>
        </w:rPr>
        <w:t xml:space="preserve">法定代表人授权委托书</w:t>
      </w:r>
      <w:r>
        <w:rPr>
          <w:color w:val="auto"/>
          <w:highlight w:val="none"/>
        </w:rPr>
      </w:r>
      <w:r/>
    </w:p>
    <w:p>
      <w:pPr>
        <w:pStyle w:val="1378"/>
        <w:spacing w:line="600" w:lineRule="exact"/>
        <w:rPr>
          <w:rFonts w:ascii="方正大标宋简体" w:eastAsia="方正大标宋简体"/>
          <w:color w:val="auto"/>
          <w:sz w:val="32"/>
          <w:highlight w:val="none"/>
        </w:rPr>
      </w:pPr>
      <w:r>
        <w:rPr>
          <w:rFonts w:ascii="方正大标宋简体" w:eastAsia="方正大标宋简体"/>
          <w:color w:val="auto"/>
          <w:sz w:val="32"/>
          <w:highlight w:val="none"/>
        </w:rPr>
      </w:r>
      <w:r>
        <w:rPr>
          <w:color w:val="auto"/>
          <w:highlight w:val="none"/>
        </w:rPr>
      </w:r>
      <w:r/>
    </w:p>
    <w:p>
      <w:pPr>
        <w:spacing w:line="500" w:lineRule="exact"/>
        <w:rPr>
          <w:rFonts w:hint="eastAsia" w:ascii="仿宋" w:hAnsi="仿宋" w:eastAsia="仿宋" w:cs="仿宋"/>
          <w:color w:val="auto"/>
          <w:sz w:val="24"/>
          <w:szCs w:val="24"/>
          <w:highlight w:val="none"/>
        </w:rPr>
      </w:pPr>
      <w:r>
        <w:rPr>
          <w:color w:val="auto"/>
          <w:highlight w:val="none"/>
        </w:rPr>
      </w:r>
      <w:bookmarkStart w:id="212" w:name="_Toc24999"/>
      <w:r>
        <w:rPr>
          <w:color w:val="auto"/>
          <w:highlight w:val="none"/>
        </w:rPr>
      </w:r>
      <w:bookmarkStart w:id="213" w:name="_Toc12853"/>
      <w:r>
        <w:rPr>
          <w:color w:val="auto"/>
          <w:highlight w:val="none"/>
        </w:rPr>
      </w:r>
      <w:bookmarkStart w:id="214" w:name="_Toc5779"/>
      <w:r>
        <w:rPr>
          <w:color w:val="auto"/>
          <w:highlight w:val="none"/>
        </w:rPr>
      </w:r>
      <w:bookmarkStart w:id="215" w:name="_Toc18616"/>
      <w:r>
        <w:rPr>
          <w:color w:val="auto"/>
          <w:highlight w:val="none"/>
        </w:rPr>
      </w:r>
      <w:bookmarkStart w:id="216" w:name="_Toc6146"/>
      <w:r>
        <w:rPr>
          <w:color w:val="auto"/>
          <w:highlight w:val="none"/>
        </w:rPr>
      </w:r>
      <w:bookmarkStart w:id="217" w:name="_Toc164203471"/>
      <w:r>
        <w:rPr>
          <w:rFonts w:hint="eastAsia" w:ascii="仿宋" w:hAnsi="仿宋" w:eastAsia="仿宋" w:cs="仿宋"/>
          <w:color w:val="auto"/>
          <w:sz w:val="24"/>
          <w:szCs w:val="24"/>
          <w:highlight w:val="none"/>
        </w:rPr>
        <w:t xml:space="preserve">  本授权委托书声明：我</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（姓名）系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（单位名称）的法定代表人，现授权本单位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（投标人代表）为我的合法代理人，以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（投标单位名称）的名义参加</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（采购人名称）的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（项目名称）的投标。代理人签署的一切文件和处理与之有关的一切事务，我均予以承认。本授权书的有效期自投标开始至合同履行完毕止。</w:t>
      </w:r>
      <w:r>
        <w:rPr>
          <w:color w:val="auto"/>
          <w:highlight w:val="none"/>
        </w:rPr>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代理人无权转委托，特此委托。</w:t>
      </w:r>
      <w:r>
        <w:rPr>
          <w:color w:val="auto"/>
          <w:highlight w:val="none"/>
        </w:rPr>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color w:val="auto"/>
          <w:highlight w:val="none"/>
        </w:rPr>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color w:val="auto"/>
          <w:highlight w:val="none"/>
        </w:rPr>
      </w:r>
      <w:r/>
    </w:p>
    <w:p>
      <w:pPr>
        <w:pStyle w:val="1409"/>
        <w:ind w:firstLine="445"/>
        <w:jc w:val="center"/>
        <w:spacing w:line="700" w:lineRule="exact"/>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w:t>
      </w:r>
      <w:r>
        <w:rPr>
          <w:color w:val="auto"/>
          <w:highlight w:val="none"/>
        </w:rPr>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color w:val="auto"/>
          <w:highlight w:val="none"/>
        </w:rPr>
      </w:r>
      <w:r/>
    </w:p>
    <w:p>
      <w:pPr>
        <w:pStyle w:val="1378"/>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rPr>
          <w:color w:val="auto"/>
          <w:highlight w:val="none"/>
        </w:rPr>
      </w:r>
      <w:r/>
    </w:p>
    <w:p>
      <w:pPr>
        <w:jc w:val="right"/>
        <w:spacing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rPr>
          <w:color w:val="auto"/>
          <w:highlight w:val="none"/>
        </w:rPr>
      </w:r>
      <w:r/>
    </w:p>
    <w:p>
      <w:pPr>
        <w:jc w:val="center"/>
        <w:spacing w:line="5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投标人代表（签字）：</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color w:val="auto"/>
          <w:highlight w:val="none"/>
        </w:rPr>
      </w:r>
      <w:r/>
    </w:p>
    <w:p>
      <w:pPr>
        <w:ind w:left="1275" w:firstLine="1795"/>
        <w:jc w:val="righ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color w:val="auto"/>
          <w:highlight w:val="none"/>
        </w:rPr>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日期：     年   月   日</w:t>
      </w:r>
      <w:r>
        <w:rPr>
          <w:color w:val="auto"/>
          <w:highlight w:val="none"/>
        </w:rPr>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color w:val="auto"/>
          <w:highlight w:val="none"/>
        </w:rPr>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color w:val="auto"/>
          <w:highlight w:val="none"/>
        </w:rPr>
      </w:r>
      <w:r/>
    </w:p>
    <w:p>
      <w:pPr>
        <w:spacing w:line="500" w:lineRule="exact"/>
        <w:rPr>
          <w:rFonts w:hint="eastAsia" w:ascii="仿宋" w:hAnsi="仿宋" w:eastAsia="仿宋" w:cs="仿宋"/>
          <w:color w:val="auto"/>
          <w:sz w:val="24"/>
          <w:szCs w:val="24"/>
          <w:highlight w:val="none"/>
        </w:rPr>
        <w:outlineLvl w:val="0"/>
      </w:pPr>
      <w:r>
        <w:rPr>
          <w:color w:val="auto"/>
          <w:highlight w:val="none"/>
        </w:rPr>
      </w:r>
      <w:bookmarkStart w:id="218" w:name="_Toc29285"/>
      <w:r>
        <w:rPr>
          <w:rFonts w:hint="eastAsia" w:ascii="仿宋" w:hAnsi="仿宋" w:eastAsia="仿宋" w:cs="仿宋"/>
          <w:color w:val="auto"/>
          <w:sz w:val="24"/>
          <w:szCs w:val="24"/>
          <w:highlight w:val="none"/>
        </w:rPr>
        <w:t xml:space="preserve">注：</w:t>
      </w:r>
      <w:bookmarkEnd w:id="218"/>
      <w:r>
        <w:rPr>
          <w:color w:val="auto"/>
          <w:highlight w:val="none"/>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1、需同时提供法定代表人和被授权人身份证复印件，如法定代表人签署文件则无需出具授权书，仅需提供法定代表人身份证复印件；</w:t>
      </w:r>
      <w:r>
        <w:rPr>
          <w:color w:val="auto"/>
          <w:highlight w:val="none"/>
        </w:rPr>
      </w:r>
      <w:r/>
    </w:p>
    <w:p>
      <w:pPr>
        <w:spacing w:line="500" w:lineRule="exact"/>
        <w:rPr>
          <w:rFonts w:hint="eastAsia"/>
          <w:color w:val="auto"/>
          <w:highlight w:val="none"/>
        </w:rPr>
      </w:pPr>
      <w:r>
        <w:rPr>
          <w:rFonts w:hint="eastAsia" w:ascii="仿宋" w:hAnsi="仿宋" w:eastAsia="仿宋" w:cs="仿宋"/>
          <w:bCs/>
          <w:color w:val="auto"/>
          <w:sz w:val="24"/>
          <w:szCs w:val="24"/>
          <w:highlight w:val="none"/>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rPr>
          <w:color w:val="auto"/>
          <w:highlight w:val="none"/>
        </w:rPr>
      </w:r>
      <w:r/>
    </w:p>
    <w:p>
      <w:pPr>
        <w:pStyle w:val="1286"/>
        <w:jc w:val="both"/>
        <w:rPr>
          <w:rFonts w:hint="eastAsia"/>
          <w:color w:val="auto"/>
          <w:highlight w:val="none"/>
        </w:rPr>
        <w:outlineLvl w:val="1"/>
      </w:pPr>
      <w:r>
        <w:rPr>
          <w:rFonts w:hint="eastAsia"/>
          <w:color w:val="auto"/>
          <w:highlight w:val="none"/>
        </w:rPr>
        <w:t xml:space="preserve">十</w:t>
      </w:r>
      <w:r>
        <w:rPr>
          <w:rFonts w:hint="eastAsia"/>
          <w:color w:val="auto"/>
          <w:highlight w:val="none"/>
          <w:lang w:val="en-US" w:eastAsia="zh-CN"/>
        </w:rPr>
        <w:t xml:space="preserve">二</w:t>
      </w:r>
      <w:r>
        <w:rPr>
          <w:color w:val="auto"/>
          <w:highlight w:val="none"/>
        </w:rPr>
        <w:t xml:space="preserve">、开标一览表</w:t>
      </w:r>
      <w:bookmarkEnd w:id="212"/>
      <w:r>
        <w:rPr>
          <w:color w:val="auto"/>
          <w:highlight w:val="none"/>
        </w:rPr>
      </w:r>
      <w:bookmarkEnd w:id="213"/>
      <w:r>
        <w:rPr>
          <w:color w:val="auto"/>
          <w:highlight w:val="none"/>
        </w:rPr>
      </w:r>
      <w:bookmarkEnd w:id="214"/>
      <w:r>
        <w:rPr>
          <w:color w:val="auto"/>
          <w:highlight w:val="none"/>
        </w:rPr>
      </w:r>
      <w:bookmarkEnd w:id="215"/>
      <w:r>
        <w:rPr>
          <w:color w:val="auto"/>
          <w:highlight w:val="none"/>
        </w:rPr>
      </w:r>
      <w:bookmarkEnd w:id="216"/>
      <w:r>
        <w:rPr>
          <w:color w:val="auto"/>
          <w:highlight w:val="none"/>
        </w:rPr>
      </w:r>
      <w:bookmarkEnd w:id="217"/>
      <w:r>
        <w:rPr>
          <w:color w:val="auto"/>
          <w:highlight w:val="none"/>
        </w:rPr>
      </w:r>
      <w:r/>
    </w:p>
    <w:p>
      <w:pPr>
        <w:pStyle w:val="1142"/>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项目编号：</w:t>
      </w:r>
      <w:r>
        <w:rPr>
          <w:color w:val="auto"/>
          <w:highlight w:val="none"/>
        </w:rPr>
      </w:r>
      <w:r/>
    </w:p>
    <w:p>
      <w:pPr>
        <w:pStyle w:val="1142"/>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项目名称：</w:t>
      </w:r>
      <w:r>
        <w:rPr>
          <w:color w:val="auto"/>
          <w:highlight w:val="none"/>
        </w:rPr>
      </w:r>
      <w:r/>
    </w:p>
    <w:tbl>
      <w:tblPr>
        <w:tblStyle w:val="792"/>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49"/>
              <w:jc w:val="both"/>
              <w:rPr>
                <w:rFonts w:hint="default" w:eastAsia="宋体"/>
                <w:color w:val="auto"/>
                <w:highlight w:val="none"/>
              </w:rPr>
            </w:pPr>
            <w:r>
              <w:rPr>
                <w:rFonts w:hint="eastAsia"/>
                <w:color w:val="auto"/>
                <w:highlight w:val="none"/>
              </w:rPr>
              <w:t xml:space="preserve">投标报价</w:t>
            </w:r>
            <w:r>
              <w:rPr>
                <w:rFonts w:hint="eastAsia"/>
                <w:color w:val="auto"/>
                <w:highlight w:val="none"/>
                <w:lang w:val="en-US" w:eastAsia="zh-CN"/>
              </w:rPr>
              <w:t xml:space="preserve">：</w:t>
            </w:r>
            <w:r>
              <w:rPr>
                <w:color w:val="auto"/>
                <w:highlight w:val="none"/>
              </w:rPr>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49"/>
              <w:jc w:val="both"/>
              <w:spacing w:line="0" w:lineRule="atLeast"/>
              <w:rPr>
                <w:color w:val="auto"/>
                <w:highlight w:val="none"/>
              </w:rPr>
            </w:pPr>
            <w:r>
              <w:rPr>
                <w:rFonts w:hint="eastAsia"/>
                <w:color w:val="auto"/>
                <w:highlight w:val="none"/>
              </w:rPr>
              <w:t xml:space="preserve">小写：                 （人民币：元）</w:t>
            </w:r>
            <w:r>
              <w:rPr>
                <w:color w:val="auto"/>
                <w:highlight w:val="none"/>
              </w:rPr>
            </w:r>
            <w:r/>
          </w:p>
        </w:tc>
      </w:tr>
    </w:tbl>
    <w:p>
      <w:pPr>
        <w:pStyle w:val="1142"/>
        <w:spacing w:line="360" w:lineRule="auto"/>
        <w:rPr>
          <w:color w:val="auto"/>
          <w:highlight w:val="none"/>
        </w:rPr>
      </w:pPr>
      <w:r>
        <w:rPr>
          <w:color w:val="auto"/>
          <w:highlight w:val="none"/>
        </w:rPr>
      </w:r>
      <w:r>
        <w:rPr>
          <w:color w:val="auto"/>
          <w:highlight w:val="none"/>
        </w:rPr>
      </w:r>
      <w:r/>
    </w:p>
    <w:p>
      <w:pPr>
        <w:pStyle w:val="1142"/>
        <w:spacing w:line="360" w:lineRule="auto"/>
        <w:rPr>
          <w:rFonts w:ascii="仿宋_GB2312" w:eastAsia="仿宋_GB2312"/>
          <w:color w:val="auto"/>
          <w:szCs w:val="20"/>
          <w:highlight w:val="none"/>
        </w:rPr>
      </w:pPr>
      <w:r>
        <w:rPr>
          <w:rFonts w:hint="eastAsia"/>
          <w:color w:val="auto"/>
          <w:highlight w:val="none"/>
        </w:rPr>
        <w:t xml:space="preserve">日期：  </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rPr>
          <w:color w:val="auto"/>
          <w:highlight w:val="none"/>
        </w:rPr>
      </w:r>
      <w:r/>
    </w:p>
    <w:p>
      <w:pPr>
        <w:pStyle w:val="1146"/>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color w:val="auto"/>
          <w:highlight w:val="none"/>
        </w:rPr>
      </w:r>
      <w:r/>
    </w:p>
    <w:p>
      <w:pPr>
        <w:pStyle w:val="1146"/>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rPr>
          <w:color w:val="auto"/>
          <w:highlight w:val="none"/>
        </w:rPr>
      </w:r>
      <w:r/>
    </w:p>
    <w:p>
      <w:pPr>
        <w:jc w:val="left"/>
        <w:widowControl/>
        <w:rPr>
          <w:rFonts w:hint="eastAsia" w:ascii="黑体" w:hAnsi="黑体" w:eastAsia="黑体"/>
          <w:b/>
          <w:color w:val="auto"/>
          <w:sz w:val="32"/>
          <w:szCs w:val="24"/>
          <w:highlight w:val="none"/>
        </w:rPr>
      </w:pPr>
      <w:r>
        <w:rPr>
          <w:color w:val="auto"/>
          <w:highlight w:val="none"/>
        </w:rPr>
      </w:r>
      <w:bookmarkStart w:id="219" w:name="_Toc24436"/>
      <w:r>
        <w:rPr>
          <w:color w:val="auto"/>
          <w:highlight w:val="none"/>
        </w:rPr>
      </w:r>
      <w:bookmarkStart w:id="220" w:name="_Toc164203472"/>
      <w:r>
        <w:rPr>
          <w:color w:val="auto"/>
          <w:highlight w:val="none"/>
        </w:rPr>
      </w:r>
      <w:bookmarkStart w:id="221" w:name="_Toc8851"/>
      <w:r>
        <w:rPr>
          <w:color w:val="auto"/>
          <w:highlight w:val="none"/>
        </w:rPr>
      </w:r>
      <w:bookmarkStart w:id="222" w:name="_Toc4471"/>
      <w:r>
        <w:rPr>
          <w:color w:val="auto"/>
          <w:highlight w:val="none"/>
        </w:rPr>
      </w:r>
      <w:bookmarkStart w:id="223" w:name="_Toc31564"/>
      <w:r>
        <w:rPr>
          <w:rFonts w:hint="eastAsia"/>
          <w:color w:val="auto"/>
          <w:highlight w:val="none"/>
        </w:rPr>
        <w:br w:type="page" w:clear="all"/>
      </w:r>
      <w:r>
        <w:rPr>
          <w:color w:val="auto"/>
          <w:highlight w:val="none"/>
        </w:rPr>
      </w:r>
      <w:r/>
    </w:p>
    <w:p>
      <w:pPr>
        <w:pStyle w:val="1307"/>
        <w:rPr>
          <w:rFonts w:hint="eastAsia"/>
          <w:color w:val="auto"/>
          <w:highlight w:val="none"/>
        </w:rPr>
        <w:outlineLvl w:val="1"/>
      </w:pPr>
      <w:r>
        <w:rPr>
          <w:color w:val="auto"/>
          <w:highlight w:val="none"/>
        </w:rPr>
      </w:r>
      <w:bookmarkStart w:id="224" w:name="_Toc7189"/>
      <w:r>
        <w:rPr>
          <w:color w:val="auto"/>
          <w:highlight w:val="none"/>
        </w:rPr>
        <w:t xml:space="preserve">十</w:t>
      </w:r>
      <w:r>
        <w:rPr>
          <w:rFonts w:hint="eastAsia"/>
          <w:color w:val="auto"/>
          <w:highlight w:val="none"/>
          <w:lang w:val="en-US" w:eastAsia="zh-CN"/>
        </w:rPr>
        <w:t xml:space="preserve">三</w:t>
      </w:r>
      <w:r>
        <w:rPr>
          <w:color w:val="auto"/>
          <w:highlight w:val="none"/>
        </w:rPr>
        <w:t xml:space="preserve">、明细报价表</w:t>
      </w:r>
      <w:bookmarkEnd w:id="219"/>
      <w:r>
        <w:rPr>
          <w:color w:val="auto"/>
          <w:highlight w:val="none"/>
        </w:rPr>
      </w:r>
      <w:bookmarkEnd w:id="220"/>
      <w:r>
        <w:rPr>
          <w:color w:val="auto"/>
          <w:highlight w:val="none"/>
        </w:rPr>
      </w:r>
      <w:bookmarkEnd w:id="221"/>
      <w:r>
        <w:rPr>
          <w:color w:val="auto"/>
          <w:highlight w:val="none"/>
        </w:rPr>
      </w:r>
      <w:bookmarkEnd w:id="222"/>
      <w:r>
        <w:rPr>
          <w:color w:val="auto"/>
          <w:highlight w:val="none"/>
        </w:rPr>
      </w:r>
      <w:bookmarkEnd w:id="223"/>
      <w:r>
        <w:rPr>
          <w:color w:val="auto"/>
          <w:highlight w:val="none"/>
        </w:rPr>
      </w:r>
      <w:bookmarkEnd w:id="224"/>
      <w:r>
        <w:rPr>
          <w:color w:val="auto"/>
          <w:highlight w:val="none"/>
        </w:rPr>
      </w:r>
      <w:r/>
    </w:p>
    <w:tbl>
      <w:tblPr>
        <w:tblStyle w:val="792"/>
        <w:tblW w:w="97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793"/>
        <w:gridCol w:w="2200"/>
        <w:gridCol w:w="1103"/>
        <w:gridCol w:w="1949"/>
        <w:gridCol w:w="2023"/>
      </w:tblGrid>
      <w:tr>
        <w:trPr>
          <w:cantSplit/>
          <w:jc w:val="center"/>
          <w:trHeight w:val="632"/>
        </w:trPr>
        <w:tc>
          <w:tcPr>
            <w:tcW w:w="656" w:type="dxa"/>
            <w:vAlign w:val="center"/>
            <w:textDirection w:val="lrTb"/>
            <w:noWrap w:val="false"/>
          </w:tcPr>
          <w:p>
            <w:pPr>
              <w:pStyle w:val="1152"/>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rPr>
                <w:color w:val="auto"/>
                <w:highlight w:val="none"/>
              </w:rPr>
            </w:r>
            <w:r/>
          </w:p>
        </w:tc>
        <w:tc>
          <w:tcPr>
            <w:tcW w:w="1793" w:type="dxa"/>
            <w:vAlign w:val="center"/>
            <w:textDirection w:val="lrTb"/>
            <w:noWrap w:val="false"/>
          </w:tcPr>
          <w:p>
            <w:pPr>
              <w:pStyle w:val="1152"/>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货物名称</w:t>
            </w:r>
            <w:r>
              <w:rPr>
                <w:color w:val="auto"/>
                <w:highlight w:val="none"/>
              </w:rPr>
            </w:r>
            <w:r/>
          </w:p>
        </w:tc>
        <w:tc>
          <w:tcPr>
            <w:tcW w:w="2200" w:type="dxa"/>
            <w:vAlign w:val="center"/>
            <w:textDirection w:val="lrTb"/>
            <w:noWrap w:val="false"/>
          </w:tcPr>
          <w:p>
            <w:pPr>
              <w:pStyle w:val="1152"/>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品牌.型号.产地</w:t>
            </w:r>
            <w:r>
              <w:rPr>
                <w:color w:val="auto"/>
                <w:highlight w:val="none"/>
              </w:rPr>
            </w:r>
            <w:r/>
          </w:p>
        </w:tc>
        <w:tc>
          <w:tcPr>
            <w:tcW w:w="1103" w:type="dxa"/>
            <w:vAlign w:val="center"/>
            <w:textDirection w:val="lrTb"/>
            <w:noWrap w:val="false"/>
          </w:tcPr>
          <w:p>
            <w:pPr>
              <w:pStyle w:val="1152"/>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单价</w:t>
            </w:r>
            <w:r>
              <w:rPr>
                <w:color w:val="auto"/>
                <w:highlight w:val="none"/>
              </w:rPr>
            </w:r>
            <w:r/>
          </w:p>
          <w:p>
            <w:pPr>
              <w:pStyle w:val="1152"/>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（元）</w:t>
            </w:r>
            <w:r>
              <w:rPr>
                <w:color w:val="auto"/>
                <w:highlight w:val="none"/>
              </w:rPr>
            </w:r>
            <w:r/>
          </w:p>
        </w:tc>
        <w:tc>
          <w:tcPr>
            <w:tcW w:w="1949" w:type="dxa"/>
            <w:vAlign w:val="center"/>
            <w:textDirection w:val="lrTb"/>
            <w:noWrap w:val="false"/>
          </w:tcPr>
          <w:p>
            <w:pPr>
              <w:pStyle w:val="1152"/>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数量</w:t>
            </w:r>
            <w:r>
              <w:rPr>
                <w:color w:val="auto"/>
                <w:highlight w:val="none"/>
              </w:rPr>
            </w:r>
            <w:r/>
          </w:p>
        </w:tc>
        <w:tc>
          <w:tcPr>
            <w:tcW w:w="2023" w:type="dxa"/>
            <w:vAlign w:val="center"/>
            <w:textDirection w:val="lrTb"/>
            <w:noWrap w:val="false"/>
          </w:tcPr>
          <w:p>
            <w:pPr>
              <w:pStyle w:val="1152"/>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rPr>
                <w:color w:val="auto"/>
                <w:highlight w:val="none"/>
              </w:rPr>
            </w:r>
            <w:r/>
          </w:p>
        </w:tc>
      </w:tr>
      <w:tr>
        <w:trPr>
          <w:cantSplit/>
          <w:jc w:val="center"/>
          <w:trHeight w:val="357"/>
        </w:trPr>
        <w:tc>
          <w:tcPr>
            <w:tcW w:w="656" w:type="dxa"/>
            <w:textDirection w:val="lrTb"/>
            <w:noWrap w:val="false"/>
          </w:tcPr>
          <w:p>
            <w:pPr>
              <w:pStyle w:val="1152"/>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rPr>
                <w:color w:val="auto"/>
                <w:highlight w:val="none"/>
              </w:rPr>
            </w:r>
            <w:r/>
          </w:p>
        </w:tc>
        <w:tc>
          <w:tcPr>
            <w:tcW w:w="1793" w:type="dxa"/>
            <w:textDirection w:val="lrTb"/>
            <w:noWrap w:val="false"/>
          </w:tcPr>
          <w:p>
            <w:pPr>
              <w:pStyle w:val="1152"/>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W w:w="2200" w:type="dxa"/>
            <w:textDirection w:val="lrTb"/>
            <w:noWrap w:val="false"/>
          </w:tcPr>
          <w:p>
            <w:pPr>
              <w:pStyle w:val="1152"/>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W w:w="1103" w:type="dxa"/>
            <w:vAlign w:val="center"/>
            <w:textDirection w:val="lrTb"/>
            <w:noWrap w:val="false"/>
          </w:tcPr>
          <w:p>
            <w:pPr>
              <w:pStyle w:val="115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W w:w="1949" w:type="dxa"/>
            <w:textDirection w:val="lrTb"/>
            <w:noWrap w:val="false"/>
          </w:tcPr>
          <w:p>
            <w:pPr>
              <w:pStyle w:val="1152"/>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W w:w="2023" w:type="dxa"/>
            <w:vAlign w:val="center"/>
            <w:textDirection w:val="lrTb"/>
            <w:noWrap w:val="false"/>
          </w:tcPr>
          <w:p>
            <w:pPr>
              <w:pStyle w:val="115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r>
      <w:tr>
        <w:trPr>
          <w:cantSplit/>
          <w:jc w:val="center"/>
          <w:trHeight w:val="70"/>
        </w:trPr>
        <w:tc>
          <w:tcPr>
            <w:tcW w:w="656" w:type="dxa"/>
            <w:textDirection w:val="lrTb"/>
            <w:noWrap w:val="false"/>
          </w:tcPr>
          <w:p>
            <w:pPr>
              <w:pStyle w:val="1152"/>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rPr>
                <w:color w:val="auto"/>
                <w:highlight w:val="none"/>
              </w:rPr>
            </w:r>
            <w:r/>
          </w:p>
        </w:tc>
        <w:tc>
          <w:tcPr>
            <w:tcW w:w="1793" w:type="dxa"/>
            <w:textDirection w:val="lrTb"/>
            <w:noWrap w:val="false"/>
          </w:tcPr>
          <w:p>
            <w:pPr>
              <w:pStyle w:val="1152"/>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W w:w="2200" w:type="dxa"/>
            <w:textDirection w:val="lrTb"/>
            <w:noWrap w:val="false"/>
          </w:tcPr>
          <w:p>
            <w:pPr>
              <w:pStyle w:val="1152"/>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W w:w="1103" w:type="dxa"/>
            <w:vAlign w:val="center"/>
            <w:textDirection w:val="lrTb"/>
            <w:noWrap w:val="false"/>
          </w:tcPr>
          <w:p>
            <w:pPr>
              <w:pStyle w:val="115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W w:w="1949" w:type="dxa"/>
            <w:textDirection w:val="lrTb"/>
            <w:noWrap w:val="false"/>
          </w:tcPr>
          <w:p>
            <w:pPr>
              <w:pStyle w:val="1152"/>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W w:w="2023" w:type="dxa"/>
            <w:vAlign w:val="center"/>
            <w:textDirection w:val="lrTb"/>
            <w:noWrap w:val="false"/>
          </w:tcPr>
          <w:p>
            <w:pPr>
              <w:pStyle w:val="115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r>
      <w:tr>
        <w:trPr>
          <w:cantSplit/>
          <w:jc w:val="center"/>
          <w:trHeight w:val="70"/>
        </w:trPr>
        <w:tc>
          <w:tcPr>
            <w:tcW w:w="656" w:type="dxa"/>
            <w:textDirection w:val="lrTb"/>
            <w:noWrap w:val="false"/>
          </w:tcPr>
          <w:p>
            <w:pPr>
              <w:pStyle w:val="1152"/>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rPr>
                <w:color w:val="auto"/>
                <w:highlight w:val="none"/>
              </w:rPr>
            </w:r>
            <w:r/>
          </w:p>
        </w:tc>
        <w:tc>
          <w:tcPr>
            <w:tcW w:w="1793" w:type="dxa"/>
            <w:textDirection w:val="lrTb"/>
            <w:noWrap w:val="false"/>
          </w:tcPr>
          <w:p>
            <w:pPr>
              <w:pStyle w:val="1152"/>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W w:w="2200" w:type="dxa"/>
            <w:textDirection w:val="lrTb"/>
            <w:noWrap w:val="false"/>
          </w:tcPr>
          <w:p>
            <w:pPr>
              <w:pStyle w:val="1152"/>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W w:w="1103" w:type="dxa"/>
            <w:vAlign w:val="center"/>
            <w:textDirection w:val="lrTb"/>
            <w:noWrap w:val="false"/>
          </w:tcPr>
          <w:p>
            <w:pPr>
              <w:pStyle w:val="115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W w:w="1949" w:type="dxa"/>
            <w:textDirection w:val="lrTb"/>
            <w:noWrap w:val="false"/>
          </w:tcPr>
          <w:p>
            <w:pPr>
              <w:pStyle w:val="1152"/>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W w:w="2023" w:type="dxa"/>
            <w:vAlign w:val="center"/>
            <w:textDirection w:val="lrTb"/>
            <w:noWrap w:val="false"/>
          </w:tcPr>
          <w:p>
            <w:pPr>
              <w:pStyle w:val="115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r>
      <w:tr>
        <w:trPr>
          <w:cantSplit/>
          <w:jc w:val="center"/>
          <w:trHeight w:val="70"/>
        </w:trPr>
        <w:tc>
          <w:tcPr>
            <w:tcW w:w="656" w:type="dxa"/>
            <w:textDirection w:val="lrTb"/>
            <w:noWrap w:val="false"/>
          </w:tcPr>
          <w:p>
            <w:pPr>
              <w:pStyle w:val="1152"/>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rPr>
                <w:color w:val="auto"/>
                <w:highlight w:val="none"/>
              </w:rPr>
            </w:r>
            <w:r/>
          </w:p>
        </w:tc>
        <w:tc>
          <w:tcPr>
            <w:tcW w:w="1793" w:type="dxa"/>
            <w:textDirection w:val="lrTb"/>
            <w:noWrap w:val="false"/>
          </w:tcPr>
          <w:p>
            <w:pPr>
              <w:pStyle w:val="1152"/>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W w:w="2200" w:type="dxa"/>
            <w:textDirection w:val="lrTb"/>
            <w:noWrap w:val="false"/>
          </w:tcPr>
          <w:p>
            <w:pPr>
              <w:pStyle w:val="1152"/>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W w:w="1103" w:type="dxa"/>
            <w:vAlign w:val="center"/>
            <w:textDirection w:val="lrTb"/>
            <w:noWrap w:val="false"/>
          </w:tcPr>
          <w:p>
            <w:pPr>
              <w:pStyle w:val="115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W w:w="1949" w:type="dxa"/>
            <w:textDirection w:val="lrTb"/>
            <w:noWrap w:val="false"/>
          </w:tcPr>
          <w:p>
            <w:pPr>
              <w:pStyle w:val="1152"/>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W w:w="2023" w:type="dxa"/>
            <w:vAlign w:val="center"/>
            <w:textDirection w:val="lrTb"/>
            <w:noWrap w:val="false"/>
          </w:tcPr>
          <w:p>
            <w:pPr>
              <w:pStyle w:val="115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r>
      <w:tr>
        <w:trPr>
          <w:cantSplit/>
          <w:jc w:val="center"/>
          <w:trHeight w:val="308"/>
        </w:trPr>
        <w:tc>
          <w:tcPr>
            <w:tcW w:w="656" w:type="dxa"/>
            <w:textDirection w:val="lrTb"/>
            <w:noWrap w:val="false"/>
          </w:tcPr>
          <w:p>
            <w:pPr>
              <w:pStyle w:val="1152"/>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rPr>
                <w:color w:val="auto"/>
                <w:highlight w:val="none"/>
              </w:rPr>
            </w:r>
            <w:r/>
          </w:p>
        </w:tc>
        <w:tc>
          <w:tcPr>
            <w:tcW w:w="1793" w:type="dxa"/>
            <w:textDirection w:val="lrTb"/>
            <w:noWrap w:val="false"/>
          </w:tcPr>
          <w:p>
            <w:pPr>
              <w:pStyle w:val="1152"/>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W w:w="2200" w:type="dxa"/>
            <w:textDirection w:val="lrTb"/>
            <w:noWrap w:val="false"/>
          </w:tcPr>
          <w:p>
            <w:pPr>
              <w:pStyle w:val="1152"/>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W w:w="1103" w:type="dxa"/>
            <w:vAlign w:val="center"/>
            <w:textDirection w:val="lrTb"/>
            <w:noWrap w:val="false"/>
          </w:tcPr>
          <w:p>
            <w:pPr>
              <w:pStyle w:val="115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W w:w="1949" w:type="dxa"/>
            <w:textDirection w:val="lrTb"/>
            <w:noWrap w:val="false"/>
          </w:tcPr>
          <w:p>
            <w:pPr>
              <w:pStyle w:val="1152"/>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W w:w="2023" w:type="dxa"/>
            <w:vAlign w:val="center"/>
            <w:textDirection w:val="lrTb"/>
            <w:noWrap w:val="false"/>
          </w:tcPr>
          <w:p>
            <w:pPr>
              <w:pStyle w:val="115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r>
      <w:tr>
        <w:trPr>
          <w:cantSplit/>
          <w:jc w:val="center"/>
          <w:trHeight w:val="165"/>
        </w:trPr>
        <w:tc>
          <w:tcPr>
            <w:tcW w:w="656" w:type="dxa"/>
            <w:vAlign w:val="center"/>
            <w:textDirection w:val="lrTb"/>
            <w:noWrap w:val="false"/>
          </w:tcPr>
          <w:p>
            <w:pPr>
              <w:pStyle w:val="1152"/>
              <w:jc w:val="center"/>
              <w:spacing w:line="560" w:lineRule="exact"/>
              <w:rPr>
                <w:rFonts w:ascii="仿宋_GB2312" w:eastAsia="仿宋_GB2312"/>
                <w:i/>
                <w:iCs/>
                <w:color w:val="auto"/>
                <w:sz w:val="28"/>
                <w:szCs w:val="28"/>
                <w:highlight w:val="none"/>
              </w:rPr>
            </w:pPr>
            <w:r>
              <w:rPr>
                <w:rFonts w:hint="eastAsia" w:ascii="仿宋_GB2312" w:eastAsia="仿宋_GB2312"/>
                <w:i/>
                <w:iCs/>
                <w:color w:val="auto"/>
                <w:sz w:val="28"/>
                <w:szCs w:val="28"/>
                <w:highlight w:val="none"/>
              </w:rPr>
              <w:t xml:space="preserve">…</w:t>
            </w:r>
            <w:r>
              <w:rPr>
                <w:color w:val="auto"/>
                <w:highlight w:val="none"/>
              </w:rPr>
            </w:r>
            <w:r/>
          </w:p>
        </w:tc>
        <w:tc>
          <w:tcPr>
            <w:tcW w:w="1793" w:type="dxa"/>
            <w:vAlign w:val="center"/>
            <w:textDirection w:val="lrTb"/>
            <w:noWrap w:val="false"/>
          </w:tcPr>
          <w:p>
            <w:pPr>
              <w:pStyle w:val="1152"/>
              <w:jc w:val="center"/>
              <w:spacing w:line="560" w:lineRule="exact"/>
              <w:rPr>
                <w:rFonts w:ascii="仿宋_GB2312" w:eastAsia="仿宋_GB2312"/>
                <w:iCs/>
                <w:color w:val="auto"/>
                <w:sz w:val="24"/>
                <w:highlight w:val="none"/>
              </w:rPr>
            </w:pPr>
            <w:r>
              <w:rPr>
                <w:rFonts w:ascii="仿宋_GB2312" w:eastAsia="仿宋_GB2312"/>
                <w:iCs/>
                <w:color w:val="auto"/>
                <w:sz w:val="24"/>
                <w:highlight w:val="none"/>
              </w:rPr>
            </w:r>
            <w:r>
              <w:rPr>
                <w:color w:val="auto"/>
                <w:highlight w:val="none"/>
              </w:rPr>
            </w:r>
            <w:r/>
          </w:p>
        </w:tc>
        <w:tc>
          <w:tcPr>
            <w:tcW w:w="2200" w:type="dxa"/>
            <w:vAlign w:val="center"/>
            <w:textDirection w:val="lrTb"/>
            <w:noWrap w:val="false"/>
          </w:tcPr>
          <w:p>
            <w:pPr>
              <w:pStyle w:val="1152"/>
              <w:jc w:val="center"/>
              <w:spacing w:line="560" w:lineRule="exact"/>
              <w:rPr>
                <w:rFonts w:ascii="仿宋_GB2312" w:eastAsia="仿宋_GB2312"/>
                <w:i/>
                <w:iCs/>
                <w:color w:val="auto"/>
                <w:sz w:val="24"/>
                <w:highlight w:val="none"/>
              </w:rPr>
            </w:pPr>
            <w:r>
              <w:rPr>
                <w:rFonts w:ascii="仿宋_GB2312" w:eastAsia="仿宋_GB2312"/>
                <w:i/>
                <w:iCs/>
                <w:color w:val="auto"/>
                <w:sz w:val="24"/>
                <w:highlight w:val="none"/>
              </w:rPr>
            </w:r>
            <w:r>
              <w:rPr>
                <w:color w:val="auto"/>
                <w:highlight w:val="none"/>
              </w:rPr>
            </w:r>
            <w:r/>
          </w:p>
        </w:tc>
        <w:tc>
          <w:tcPr>
            <w:tcW w:w="1103" w:type="dxa"/>
            <w:vAlign w:val="center"/>
            <w:textDirection w:val="lrTb"/>
            <w:noWrap w:val="false"/>
          </w:tcPr>
          <w:p>
            <w:pPr>
              <w:pStyle w:val="115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W w:w="1949" w:type="dxa"/>
            <w:vAlign w:val="center"/>
            <w:textDirection w:val="lrTb"/>
            <w:noWrap w:val="false"/>
          </w:tcPr>
          <w:p>
            <w:pPr>
              <w:pStyle w:val="115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W w:w="2023" w:type="dxa"/>
            <w:vAlign w:val="center"/>
            <w:textDirection w:val="lrTb"/>
            <w:noWrap w:val="false"/>
          </w:tcPr>
          <w:p>
            <w:pPr>
              <w:pStyle w:val="115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r>
      <w:tr>
        <w:trPr>
          <w:cantSplit/>
          <w:jc w:val="center"/>
          <w:trHeight w:val="165"/>
        </w:trPr>
        <w:tc>
          <w:tcPr>
            <w:tcW w:w="656" w:type="dxa"/>
            <w:vAlign w:val="center"/>
            <w:textDirection w:val="lrTb"/>
            <w:noWrap w:val="false"/>
          </w:tcPr>
          <w:p>
            <w:pPr>
              <w:pStyle w:val="1152"/>
              <w:jc w:val="center"/>
              <w:spacing w:line="560" w:lineRule="exact"/>
              <w:rPr>
                <w:rFonts w:ascii="仿宋_GB2312" w:eastAsia="仿宋_GB2312"/>
                <w:i/>
                <w:iCs/>
                <w:color w:val="auto"/>
                <w:sz w:val="28"/>
                <w:szCs w:val="28"/>
                <w:highlight w:val="none"/>
              </w:rPr>
            </w:pPr>
            <w:r>
              <w:rPr>
                <w:rFonts w:ascii="仿宋_GB2312" w:eastAsia="仿宋_GB2312"/>
                <w:i/>
                <w:iCs/>
                <w:color w:val="auto"/>
                <w:sz w:val="28"/>
                <w:szCs w:val="28"/>
                <w:highlight w:val="none"/>
              </w:rPr>
            </w:r>
            <w:r>
              <w:rPr>
                <w:color w:val="auto"/>
                <w:highlight w:val="none"/>
              </w:rPr>
            </w:r>
            <w:r/>
          </w:p>
        </w:tc>
        <w:tc>
          <w:tcPr>
            <w:gridSpan w:val="2"/>
            <w:tcW w:w="3993" w:type="dxa"/>
            <w:vAlign w:val="center"/>
            <w:textDirection w:val="lrTb"/>
            <w:noWrap w:val="false"/>
          </w:tcPr>
          <w:p>
            <w:pPr>
              <w:pStyle w:val="1152"/>
              <w:jc w:val="center"/>
              <w:spacing w:line="560" w:lineRule="exact"/>
              <w:rPr>
                <w:rFonts w:ascii="仿宋_GB2312" w:eastAsia="仿宋_GB2312"/>
                <w:color w:val="auto"/>
                <w:sz w:val="24"/>
                <w:highlight w:val="none"/>
              </w:rPr>
            </w:pPr>
            <w:r>
              <w:rPr>
                <w:rFonts w:hint="eastAsia" w:ascii="仿宋_GB2312" w:eastAsia="仿宋_GB2312"/>
                <w:iCs/>
                <w:color w:val="auto"/>
                <w:sz w:val="24"/>
                <w:highlight w:val="none"/>
              </w:rPr>
              <w:t xml:space="preserve">合计</w:t>
            </w:r>
            <w:r>
              <w:rPr>
                <w:color w:val="auto"/>
                <w:highlight w:val="none"/>
              </w:rPr>
            </w:r>
            <w:r/>
          </w:p>
        </w:tc>
        <w:tc>
          <w:tcPr>
            <w:gridSpan w:val="3"/>
            <w:tcW w:w="5075" w:type="dxa"/>
            <w:vAlign w:val="center"/>
            <w:textDirection w:val="lrTb"/>
            <w:noWrap w:val="false"/>
          </w:tcPr>
          <w:p>
            <w:pPr>
              <w:pStyle w:val="115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r>
      <w:tr>
        <w:trPr>
          <w:cantSplit/>
          <w:jc w:val="center"/>
          <w:trHeight w:val="470"/>
        </w:trPr>
        <w:tc>
          <w:tcPr>
            <w:gridSpan w:val="2"/>
            <w:tcW w:w="2449" w:type="dxa"/>
            <w:vAlign w:val="center"/>
            <w:textDirection w:val="lrTb"/>
            <w:noWrap w:val="false"/>
          </w:tcPr>
          <w:p>
            <w:pPr>
              <w:pStyle w:val="1152"/>
              <w:jc w:val="center"/>
              <w:spacing w:line="560" w:lineRule="exact"/>
              <w:rPr>
                <w:rFonts w:ascii="仿宋_GB2312" w:eastAsia="仿宋_GB2312"/>
                <w:b/>
                <w:bCs/>
                <w:color w:val="auto"/>
                <w:sz w:val="24"/>
                <w:highlight w:val="none"/>
              </w:rPr>
            </w:pPr>
            <w:r>
              <w:rPr>
                <w:rFonts w:hint="eastAsia" w:ascii="仿宋_GB2312" w:eastAsia="仿宋_GB2312"/>
                <w:b/>
                <w:bCs/>
                <w:color w:val="auto"/>
                <w:sz w:val="28"/>
                <w:szCs w:val="28"/>
                <w:highlight w:val="none"/>
              </w:rPr>
              <w:t xml:space="preserve">投标</w:t>
            </w:r>
            <w:r>
              <w:rPr>
                <w:rFonts w:hint="eastAsia" w:ascii="仿宋_GB2312" w:eastAsia="仿宋_GB2312"/>
                <w:b/>
                <w:bCs/>
                <w:color w:val="auto"/>
                <w:sz w:val="28"/>
                <w:szCs w:val="28"/>
                <w:highlight w:val="none"/>
                <w:lang w:val="en-US" w:eastAsia="zh-CN"/>
              </w:rPr>
              <w:t xml:space="preserve">报价</w:t>
            </w:r>
            <w:r>
              <w:rPr>
                <w:rFonts w:hint="eastAsia" w:ascii="仿宋_GB2312" w:eastAsia="仿宋_GB2312"/>
                <w:b/>
                <w:bCs/>
                <w:color w:val="auto"/>
                <w:sz w:val="28"/>
                <w:szCs w:val="28"/>
                <w:highlight w:val="none"/>
              </w:rPr>
              <w:t xml:space="preserve">总计</w:t>
            </w:r>
            <w:r>
              <w:rPr>
                <w:color w:val="auto"/>
                <w:highlight w:val="none"/>
              </w:rPr>
            </w:r>
            <w:r/>
          </w:p>
        </w:tc>
        <w:tc>
          <w:tcPr>
            <w:gridSpan w:val="4"/>
            <w:tcW w:w="7275" w:type="dxa"/>
            <w:vAlign w:val="center"/>
            <w:textDirection w:val="lrTb"/>
            <w:noWrap w:val="false"/>
          </w:tcPr>
          <w:p>
            <w:pPr>
              <w:pStyle w:val="1152"/>
              <w:spacing w:line="560" w:lineRule="exact"/>
              <w:rPr>
                <w:rFonts w:ascii="仿宋_GB2312" w:eastAsia="仿宋_GB2312"/>
                <w:b/>
                <w:bCs/>
                <w:color w:val="auto"/>
                <w:sz w:val="24"/>
                <w:highlight w:val="none"/>
              </w:rPr>
            </w:pPr>
            <w:r>
              <w:rPr>
                <w:rFonts w:hint="eastAsia" w:ascii="仿宋_GB2312" w:eastAsia="仿宋_GB2312"/>
                <w:b/>
                <w:bCs/>
                <w:color w:val="auto"/>
                <w:sz w:val="24"/>
                <w:highlight w:val="none"/>
              </w:rPr>
              <w:t xml:space="preserve">￥</w:t>
            </w:r>
            <w:r>
              <w:rPr>
                <w:rFonts w:hint="eastAsia" w:ascii="仿宋_GB2312" w:eastAsia="仿宋_GB2312"/>
                <w:b/>
                <w:bCs/>
                <w:color w:val="auto"/>
                <w:sz w:val="24"/>
                <w:highlight w:val="none"/>
                <w:u w:val="single"/>
              </w:rPr>
              <w:t xml:space="preserve">                          </w:t>
            </w:r>
            <w:r>
              <w:rPr>
                <w:color w:val="auto"/>
                <w:highlight w:val="none"/>
              </w:rPr>
            </w:r>
            <w:r/>
          </w:p>
          <w:p>
            <w:pPr>
              <w:pStyle w:val="1152"/>
              <w:spacing w:line="560" w:lineRule="exact"/>
              <w:rPr>
                <w:rFonts w:ascii="仿宋_GB2312" w:eastAsia="仿宋_GB2312"/>
                <w:b/>
                <w:bCs/>
                <w:color w:val="auto"/>
                <w:sz w:val="24"/>
                <w:highlight w:val="none"/>
              </w:rPr>
            </w:pPr>
            <w:r>
              <w:rPr>
                <w:rFonts w:hint="eastAsia" w:ascii="仿宋_GB2312" w:eastAsia="仿宋_GB2312"/>
                <w:b/>
                <w:bCs/>
                <w:color w:val="auto"/>
                <w:sz w:val="24"/>
                <w:highlight w:val="none"/>
              </w:rPr>
              <w:t xml:space="preserve">人民币（大写）：</w:t>
            </w:r>
            <w:r>
              <w:rPr>
                <w:color w:val="auto"/>
                <w:highlight w:val="none"/>
              </w:rPr>
            </w:r>
            <w:r/>
          </w:p>
          <w:p>
            <w:pPr>
              <w:pStyle w:val="1152"/>
              <w:spacing w:line="560" w:lineRule="exact"/>
              <w:rPr>
                <w:rFonts w:ascii="仿宋_GB2312" w:eastAsia="仿宋_GB2312"/>
                <w:b/>
                <w:bCs/>
                <w:color w:val="auto"/>
                <w:sz w:val="24"/>
                <w:highlight w:val="none"/>
              </w:rPr>
            </w:pP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万</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元</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角</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分</w:t>
            </w:r>
            <w:r>
              <w:rPr>
                <w:color w:val="auto"/>
                <w:highlight w:val="none"/>
              </w:rPr>
            </w:r>
            <w:r/>
          </w:p>
        </w:tc>
      </w:tr>
      <w:tr>
        <w:trPr>
          <w:cantSplit/>
          <w:jc w:val="center"/>
          <w:trHeight w:val="470"/>
        </w:trPr>
        <w:tc>
          <w:tcPr>
            <w:gridSpan w:val="6"/>
            <w:tcW w:w="9724" w:type="dxa"/>
            <w:vAlign w:val="center"/>
            <w:textDirection w:val="lrTb"/>
            <w:noWrap w:val="false"/>
          </w:tcPr>
          <w:p>
            <w:pPr>
              <w:pStyle w:val="1152"/>
              <w:spacing w:line="560" w:lineRule="exact"/>
              <w:rPr>
                <w:rFonts w:hint="eastAsia" w:ascii="仿宋_GB2312" w:eastAsia="仿宋_GB2312"/>
                <w:b/>
                <w:bCs/>
                <w:color w:val="auto"/>
                <w:sz w:val="24"/>
                <w:highlight w:val="none"/>
                <w:u w:val="single"/>
              </w:rPr>
            </w:pPr>
            <w:r>
              <w:rPr>
                <w:rFonts w:hint="eastAsia" w:hAnsi="宋体"/>
                <w:bCs/>
                <w:color w:val="auto"/>
                <w:sz w:val="24"/>
                <w:szCs w:val="28"/>
                <w:highlight w:val="none"/>
              </w:rPr>
              <w:t xml:space="preserve">本采购包中提供的符合本国产品标准的产品成本之和占该采购包提供的全部产品成本之和的比例为***%。</w:t>
            </w:r>
            <w:r>
              <w:rPr>
                <w:color w:val="auto"/>
                <w:highlight w:val="none"/>
              </w:rPr>
            </w:r>
            <w:r/>
          </w:p>
        </w:tc>
      </w:tr>
    </w:tbl>
    <w:p>
      <w:pPr>
        <w:pStyle w:val="1146"/>
        <w:ind w:firstLine="629"/>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p>
      <w:pPr>
        <w:pStyle w:val="1146"/>
        <w:ind w:firstLine="560"/>
        <w:keepLines w:val="0"/>
        <w:keepNext w:val="0"/>
        <w:pageBreakBefore w:val="0"/>
        <w:spacing w:line="40" w:lineRule="atLeast"/>
        <w:widowControl w:val="off"/>
        <w:rPr>
          <w:rFonts w:ascii="仿宋_GB2312" w:eastAsia="仿宋_GB2312"/>
          <w:color w:val="auto"/>
          <w:sz w:val="28"/>
          <w:szCs w:val="21"/>
          <w:highlight w:val="none"/>
          <w:u w:val="single"/>
        </w:rPr>
      </w:pPr>
      <w:r>
        <w:rPr>
          <w:rFonts w:hint="eastAsia" w:ascii="仿宋_GB2312" w:eastAsia="仿宋_GB2312"/>
          <w:color w:val="auto"/>
          <w:sz w:val="28"/>
          <w:szCs w:val="21"/>
          <w:highlight w:val="none"/>
        </w:rPr>
        <w:t xml:space="preserve">单位名称：（加盖CA电子公章）</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r>
        <w:rPr>
          <w:color w:val="auto"/>
          <w:highlight w:val="none"/>
        </w:rPr>
      </w:r>
      <w:r/>
    </w:p>
    <w:p>
      <w:pPr>
        <w:pStyle w:val="1146"/>
        <w:ind w:firstLine="560"/>
        <w:keepLines w:val="0"/>
        <w:keepNext w:val="0"/>
        <w:pageBreakBefore w:val="0"/>
        <w:spacing w:line="40" w:lineRule="atLeast"/>
        <w:widowControl w:val="off"/>
        <w:rPr>
          <w:rFonts w:ascii="仿宋_GB2312" w:eastAsia="仿宋_GB2312"/>
          <w:color w:val="auto"/>
          <w:sz w:val="28"/>
          <w:szCs w:val="21"/>
          <w:highlight w:val="none"/>
        </w:rPr>
      </w:pPr>
      <w:r>
        <w:rPr>
          <w:rFonts w:hint="eastAsia" w:ascii="仿宋_GB2312" w:eastAsia="仿宋_GB2312"/>
          <w:color w:val="auto"/>
          <w:sz w:val="28"/>
          <w:szCs w:val="21"/>
          <w:highlight w:val="none"/>
        </w:rPr>
        <w:t xml:space="preserve">法定代表人（或授权代表）：（签字或盖章）</w:t>
      </w:r>
      <w:r>
        <w:rPr>
          <w:rFonts w:hint="eastAsia" w:ascii="仿宋_GB2312" w:eastAsia="仿宋_GB2312"/>
          <w:color w:val="auto"/>
          <w:sz w:val="28"/>
          <w:szCs w:val="21"/>
          <w:highlight w:val="none"/>
          <w:u w:val="single"/>
        </w:rPr>
        <w:t xml:space="preserve">              </w:t>
      </w:r>
      <w:r>
        <w:rPr>
          <w:color w:val="auto"/>
          <w:highlight w:val="none"/>
        </w:rPr>
      </w:r>
      <w:r/>
    </w:p>
    <w:p>
      <w:pPr>
        <w:numPr>
          <w:ilvl w:val="0"/>
          <w:numId w:val="0"/>
        </w:numPr>
        <w:ind w:firstLine="480"/>
        <w:keepLines w:val="0"/>
        <w:keepNext w:val="0"/>
        <w:pageBreakBefore w:val="0"/>
        <w:spacing w:after="120" w:line="40" w:lineRule="atLeast"/>
        <w:widowControl w:val="off"/>
        <w:tabs>
          <w:tab w:val="left" w:pos="840" w:leader="none"/>
        </w:tabs>
        <w:rPr>
          <w:rFonts w:hint="eastAsia" w:ascii="Times New Roman" w:hAnsi="宋体" w:eastAsia="宋体" w:cs="Times New Roman"/>
          <w:bCs/>
          <w:color w:val="auto"/>
          <w:sz w:val="24"/>
          <w:szCs w:val="28"/>
          <w:highlight w:val="none"/>
        </w:rPr>
      </w:pPr>
      <w:r>
        <w:rPr>
          <w:color w:val="auto"/>
          <w:highlight w:val="none"/>
        </w:rPr>
      </w:r>
      <w:bookmarkStart w:id="225" w:name="_Toc27976"/>
      <w:r>
        <w:rPr>
          <w:color w:val="auto"/>
          <w:highlight w:val="none"/>
        </w:rPr>
      </w:r>
      <w:bookmarkStart w:id="226" w:name="_Toc10632"/>
      <w:r>
        <w:rPr>
          <w:color w:val="auto"/>
          <w:highlight w:val="none"/>
        </w:rPr>
      </w:r>
      <w:r/>
    </w:p>
    <w:p>
      <w:pPr>
        <w:ind w:firstLine="480"/>
        <w:keepLines w:val="0"/>
        <w:keepNext w:val="0"/>
        <w:pageBreakBefore w:val="0"/>
        <w:spacing w:after="120" w:line="300" w:lineRule="auto"/>
        <w:widowControl w:val="off"/>
        <w:tabs>
          <w:tab w:val="left" w:pos="840" w:leader="none"/>
        </w:tabs>
        <w:rPr>
          <w:rFonts w:hAnsi="宋体" w:cs="宋体"/>
          <w:bCs/>
          <w:color w:val="auto"/>
          <w:sz w:val="24"/>
          <w:szCs w:val="24"/>
          <w:highlight w:val="none"/>
        </w:rPr>
      </w:pPr>
      <w:r>
        <w:rPr>
          <w:rFonts w:hint="eastAsia" w:hAnsi="宋体" w:cs="宋体"/>
          <w:bCs/>
          <w:color w:val="auto"/>
          <w:sz w:val="24"/>
          <w:szCs w:val="24"/>
          <w:highlight w:val="none"/>
        </w:rPr>
        <w:t xml:space="preserve">注：</w:t>
      </w:r>
      <w:r>
        <w:rPr>
          <w:color w:val="auto"/>
          <w:highlight w:val="none"/>
        </w:rPr>
      </w:r>
      <w:r/>
    </w:p>
    <w:p>
      <w:pPr>
        <w:ind w:firstLine="480"/>
        <w:keepLines w:val="0"/>
        <w:keepNext w:val="0"/>
        <w:pageBreakBefore w:val="0"/>
        <w:spacing w:after="120" w:line="300" w:lineRule="auto"/>
        <w:widowControl w:val="off"/>
        <w:tabs>
          <w:tab w:val="left" w:pos="840" w:leader="none"/>
        </w:tabs>
        <w:rPr>
          <w:rFonts w:hAnsi="宋体" w:cs="宋体"/>
          <w:bCs/>
          <w:color w:val="auto"/>
          <w:sz w:val="24"/>
          <w:szCs w:val="24"/>
          <w:highlight w:val="none"/>
        </w:rPr>
      </w:pPr>
      <w:r>
        <w:rPr>
          <w:rFonts w:hint="eastAsia" w:hAnsi="宋体" w:cs="宋体"/>
          <w:bCs/>
          <w:color w:val="auto"/>
          <w:sz w:val="24"/>
          <w:szCs w:val="24"/>
          <w:highlight w:val="none"/>
        </w:rPr>
        <w:t xml:space="preserve">1、“分项报价表”中“</w:t>
      </w:r>
      <w:r>
        <w:rPr>
          <w:rFonts w:hint="eastAsia" w:ascii="仿宋_GB2312" w:eastAsia="仿宋_GB2312"/>
          <w:b/>
          <w:bCs/>
          <w:color w:val="auto"/>
          <w:sz w:val="28"/>
          <w:szCs w:val="28"/>
          <w:highlight w:val="none"/>
        </w:rPr>
        <w:t xml:space="preserve">投标</w:t>
      </w:r>
      <w:r>
        <w:rPr>
          <w:rFonts w:hint="eastAsia" w:ascii="仿宋_GB2312" w:eastAsia="仿宋_GB2312"/>
          <w:b/>
          <w:bCs/>
          <w:color w:val="auto"/>
          <w:sz w:val="28"/>
          <w:szCs w:val="28"/>
          <w:highlight w:val="none"/>
          <w:lang w:val="en-US" w:eastAsia="zh-CN"/>
        </w:rPr>
        <w:t xml:space="preserve">报价</w:t>
      </w:r>
      <w:r>
        <w:rPr>
          <w:rFonts w:hint="eastAsia" w:ascii="仿宋_GB2312" w:eastAsia="仿宋_GB2312"/>
          <w:b/>
          <w:bCs/>
          <w:color w:val="auto"/>
          <w:sz w:val="28"/>
          <w:szCs w:val="28"/>
          <w:highlight w:val="none"/>
        </w:rPr>
        <w:t xml:space="preserve">总计</w:t>
      </w:r>
      <w:r>
        <w:rPr>
          <w:rFonts w:hint="eastAsia" w:hAnsi="宋体" w:cs="宋体"/>
          <w:bCs/>
          <w:color w:val="auto"/>
          <w:sz w:val="24"/>
          <w:szCs w:val="24"/>
          <w:highlight w:val="none"/>
        </w:rPr>
        <w:t xml:space="preserve">”金额应当与“开标一览表”中“投标报价”金额一致。</w:t>
      </w:r>
      <w:r>
        <w:rPr>
          <w:color w:val="auto"/>
          <w:highlight w:val="none"/>
        </w:rPr>
      </w:r>
      <w:r/>
    </w:p>
    <w:p>
      <w:pPr>
        <w:ind w:firstLine="480"/>
        <w:keepLines w:val="0"/>
        <w:keepNext w:val="0"/>
        <w:pageBreakBefore w:val="0"/>
        <w:spacing w:after="120" w:line="300" w:lineRule="auto"/>
        <w:widowControl w:val="off"/>
        <w:tabs>
          <w:tab w:val="left" w:pos="840" w:leader="none"/>
        </w:tabs>
        <w:rPr>
          <w:rFonts w:hint="eastAsia" w:hAnsi="宋体"/>
          <w:bCs/>
          <w:color w:val="auto"/>
          <w:sz w:val="24"/>
          <w:szCs w:val="24"/>
          <w:highlight w:val="none"/>
        </w:rPr>
      </w:pPr>
      <w:r>
        <w:rPr>
          <w:rFonts w:hint="eastAsia" w:hAnsi="宋体" w:cs="宋体"/>
          <w:bCs/>
          <w:color w:val="auto"/>
          <w:sz w:val="24"/>
          <w:szCs w:val="24"/>
          <w:highlight w:val="none"/>
        </w:rPr>
        <w:t xml:space="preserve">2、</w:t>
      </w:r>
      <w:r>
        <w:rPr>
          <w:rFonts w:hint="eastAsia" w:hAnsi="宋体"/>
          <w:bCs/>
          <w:color w:val="auto"/>
          <w:sz w:val="24"/>
          <w:szCs w:val="24"/>
          <w:highlight w:val="none"/>
        </w:rPr>
        <w:t xml:space="preserve">涉及小型、微型、节能产品、环境标志等</w:t>
      </w:r>
      <w:r>
        <w:rPr>
          <w:rFonts w:hAnsi="宋体"/>
          <w:bCs/>
          <w:color w:val="auto"/>
          <w:sz w:val="24"/>
          <w:szCs w:val="24"/>
          <w:highlight w:val="none"/>
        </w:rPr>
        <w:t xml:space="preserve">享受</w:t>
      </w:r>
      <w:r>
        <w:rPr>
          <w:rFonts w:hint="eastAsia" w:hAnsi="宋体"/>
          <w:bCs/>
          <w:color w:val="auto"/>
          <w:sz w:val="24"/>
          <w:szCs w:val="24"/>
          <w:highlight w:val="none"/>
        </w:rPr>
        <w:t xml:space="preserve">政府</w:t>
      </w:r>
      <w:r>
        <w:rPr>
          <w:rFonts w:hAnsi="宋体"/>
          <w:bCs/>
          <w:color w:val="auto"/>
          <w:sz w:val="24"/>
          <w:szCs w:val="24"/>
          <w:highlight w:val="none"/>
        </w:rPr>
        <w:t xml:space="preserve">采购</w:t>
      </w:r>
      <w:r>
        <w:rPr>
          <w:rFonts w:hint="eastAsia" w:hAnsi="宋体"/>
          <w:bCs/>
          <w:color w:val="auto"/>
          <w:sz w:val="24"/>
          <w:szCs w:val="24"/>
          <w:highlight w:val="none"/>
        </w:rPr>
        <w:t xml:space="preserve">扶持</w:t>
      </w:r>
      <w:r>
        <w:rPr>
          <w:rFonts w:hAnsi="宋体"/>
          <w:bCs/>
          <w:color w:val="auto"/>
          <w:sz w:val="24"/>
          <w:szCs w:val="24"/>
          <w:highlight w:val="none"/>
        </w:rPr>
        <w:t xml:space="preserve">政策</w:t>
      </w:r>
      <w:r>
        <w:rPr>
          <w:rFonts w:hint="eastAsia" w:hAnsi="宋体"/>
          <w:bCs/>
          <w:color w:val="auto"/>
          <w:sz w:val="24"/>
          <w:szCs w:val="24"/>
          <w:highlight w:val="none"/>
        </w:rPr>
        <w:t xml:space="preserve">的</w:t>
      </w:r>
      <w:r>
        <w:rPr>
          <w:rFonts w:hAnsi="宋体"/>
          <w:bCs/>
          <w:color w:val="auto"/>
          <w:sz w:val="24"/>
          <w:szCs w:val="24"/>
          <w:highlight w:val="none"/>
        </w:rPr>
        <w:t xml:space="preserve">项目，需在</w:t>
      </w:r>
      <w:r>
        <w:rPr>
          <w:rFonts w:hint="eastAsia" w:hAnsi="宋体"/>
          <w:bCs/>
          <w:color w:val="auto"/>
          <w:sz w:val="24"/>
          <w:szCs w:val="24"/>
          <w:highlight w:val="none"/>
        </w:rPr>
        <w:t xml:space="preserve">备注中分别明确注明。</w:t>
      </w:r>
      <w:r>
        <w:rPr>
          <w:color w:val="auto"/>
          <w:highlight w:val="none"/>
        </w:rPr>
      </w:r>
      <w:r/>
    </w:p>
    <w:p>
      <w:pPr>
        <w:ind w:firstLine="480"/>
        <w:keepLines w:val="0"/>
        <w:keepNext w:val="0"/>
        <w:pageBreakBefore w:val="0"/>
        <w:spacing w:after="120" w:line="300" w:lineRule="auto"/>
        <w:widowControl w:val="off"/>
        <w:tabs>
          <w:tab w:val="left" w:pos="840" w:leader="none"/>
        </w:tabs>
        <w:rPr>
          <w:rFonts w:hint="eastAsia" w:hAnsi="宋体"/>
          <w:bCs/>
          <w:color w:val="auto"/>
          <w:sz w:val="24"/>
          <w:szCs w:val="24"/>
          <w:highlight w:val="none"/>
        </w:rPr>
      </w:pPr>
      <w:r>
        <w:rPr>
          <w:rFonts w:hint="eastAsia" w:hAnsi="宋体"/>
          <w:bCs/>
          <w:color w:val="auto"/>
          <w:sz w:val="24"/>
          <w:szCs w:val="24"/>
          <w:highlight w:val="none"/>
          <w:lang w:val="en-US" w:eastAsia="zh-CN"/>
        </w:rPr>
        <w:t xml:space="preserve">3、</w:t>
      </w:r>
      <w:r>
        <w:rPr>
          <w:rFonts w:hint="eastAsia" w:hAnsi="宋体"/>
          <w:bCs/>
          <w:color w:val="auto"/>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color w:val="auto"/>
          <w:highlight w:val="none"/>
        </w:rPr>
      </w:r>
      <w:r/>
    </w:p>
    <w:p>
      <w:pPr>
        <w:numPr>
          <w:ilvl w:val="0"/>
          <w:numId w:val="0"/>
        </w:numPr>
        <w:jc w:val="both"/>
        <w:spacing w:after="120" w:line="300" w:lineRule="auto"/>
        <w:widowControl w:val="off"/>
        <w:tabs>
          <w:tab w:val="left" w:pos="840" w:leader="none"/>
        </w:tabs>
        <w:rPr>
          <w:rFonts w:hint="eastAsia" w:hAnsi="宋体"/>
          <w:bCs/>
          <w:color w:val="auto"/>
          <w:highlight w:val="none"/>
        </w:rPr>
      </w:pPr>
      <w:r>
        <w:rPr>
          <w:rFonts w:hint="eastAsia" w:hAnsi="宋体"/>
          <w:bCs/>
          <w:color w:val="auto"/>
          <w:highlight w:val="none"/>
        </w:rPr>
      </w:r>
      <w:r>
        <w:rPr>
          <w:color w:val="auto"/>
          <w:highlight w:val="none"/>
        </w:rPr>
      </w:r>
      <w:r/>
    </w:p>
    <w:p>
      <w:pPr>
        <w:pStyle w:val="1307"/>
        <w:rPr>
          <w:rFonts w:hint="eastAsia"/>
          <w:color w:val="auto"/>
          <w:highlight w:val="none"/>
        </w:rPr>
        <w:outlineLvl w:val="1"/>
      </w:pPr>
      <w:r>
        <w:rPr>
          <w:color w:val="auto"/>
          <w:highlight w:val="none"/>
        </w:rPr>
      </w:r>
      <w:bookmarkStart w:id="227" w:name="_Toc26570"/>
      <w:r>
        <w:rPr>
          <w:color w:val="auto"/>
          <w:highlight w:val="none"/>
        </w:rPr>
      </w:r>
      <w:bookmarkStart w:id="228" w:name="_Toc18680"/>
      <w:r>
        <w:rPr>
          <w:color w:val="auto"/>
          <w:highlight w:val="none"/>
        </w:rPr>
      </w:r>
      <w:bookmarkStart w:id="229" w:name="_Toc164203481"/>
      <w:r>
        <w:rPr>
          <w:color w:val="auto"/>
          <w:highlight w:val="none"/>
        </w:rPr>
      </w:r>
      <w:bookmarkStart w:id="230" w:name="_Toc22253"/>
      <w:r>
        <w:rPr>
          <w:color w:val="auto"/>
          <w:highlight w:val="none"/>
        </w:rPr>
        <w:t xml:space="preserve">十</w:t>
      </w:r>
      <w:r>
        <w:rPr>
          <w:rFonts w:hint="eastAsia"/>
          <w:color w:val="auto"/>
          <w:highlight w:val="none"/>
          <w:lang w:val="en-US" w:eastAsia="zh-CN"/>
        </w:rPr>
        <w:t xml:space="preserve">四</w:t>
      </w:r>
      <w:r>
        <w:rPr>
          <w:color w:val="auto"/>
          <w:highlight w:val="none"/>
        </w:rPr>
        <w:t xml:space="preserve">、中小企业声明函</w:t>
      </w:r>
      <w:bookmarkEnd w:id="225"/>
      <w:r>
        <w:rPr>
          <w:color w:val="auto"/>
          <w:highlight w:val="none"/>
        </w:rPr>
      </w:r>
      <w:bookmarkEnd w:id="226"/>
      <w:r>
        <w:rPr>
          <w:color w:val="auto"/>
          <w:highlight w:val="none"/>
        </w:rPr>
      </w:r>
      <w:bookmarkEnd w:id="227"/>
      <w:r>
        <w:rPr>
          <w:color w:val="auto"/>
          <w:highlight w:val="none"/>
        </w:rPr>
      </w:r>
      <w:bookmarkEnd w:id="228"/>
      <w:r>
        <w:rPr>
          <w:color w:val="auto"/>
          <w:highlight w:val="none"/>
        </w:rPr>
      </w:r>
      <w:bookmarkEnd w:id="229"/>
      <w:r>
        <w:rPr>
          <w:color w:val="auto"/>
          <w:highlight w:val="none"/>
        </w:rPr>
      </w:r>
      <w:bookmarkEnd w:id="230"/>
      <w:r>
        <w:rPr>
          <w:color w:val="auto"/>
          <w:highlight w:val="none"/>
        </w:rPr>
      </w:r>
      <w:r/>
    </w:p>
    <w:p>
      <w:pPr>
        <w:pStyle w:val="1344"/>
        <w:jc w:val="center"/>
        <w:spacing w:line="600" w:lineRule="exact"/>
        <w:rPr>
          <w:rFonts w:hint="eastAsia" w:ascii="宋体" w:hAnsi="宋体" w:cs="宋体"/>
          <w:b/>
          <w:bCs/>
          <w:color w:val="auto"/>
          <w:sz w:val="32"/>
          <w:szCs w:val="32"/>
          <w:highlight w:val="none"/>
        </w:rPr>
      </w:pPr>
      <w:r>
        <w:rPr>
          <w:color w:val="auto"/>
          <w:highlight w:val="none"/>
        </w:rPr>
      </w:r>
      <w:bookmarkStart w:id="231" w:name="_Toc6995_WPSOffice_Level2"/>
      <w:r>
        <w:rPr>
          <w:color w:val="auto"/>
          <w:highlight w:val="none"/>
        </w:rPr>
      </w:r>
      <w:bookmarkStart w:id="232" w:name="_Toc12023"/>
      <w:r>
        <w:rPr>
          <w:color w:val="auto"/>
          <w:highlight w:val="none"/>
        </w:rPr>
      </w:r>
      <w:bookmarkStart w:id="233" w:name="_Toc16234"/>
      <w:r>
        <w:rPr>
          <w:rFonts w:hint="eastAsia" w:ascii="宋体" w:hAnsi="宋体" w:cs="宋体"/>
          <w:b/>
          <w:bCs/>
          <w:color w:val="auto"/>
          <w:sz w:val="32"/>
          <w:szCs w:val="32"/>
          <w:highlight w:val="none"/>
        </w:rPr>
        <w:t xml:space="preserve">中小企业声明函</w:t>
      </w:r>
      <w:bookmarkEnd w:id="231"/>
      <w:r>
        <w:rPr>
          <w:rFonts w:hint="eastAsia" w:ascii="宋体" w:hAnsi="宋体" w:cs="宋体"/>
          <w:b/>
          <w:bCs/>
          <w:color w:val="auto"/>
          <w:sz w:val="32"/>
          <w:szCs w:val="32"/>
          <w:highlight w:val="none"/>
        </w:rPr>
        <w:t xml:space="preserve">（货物）</w:t>
      </w:r>
      <w:r>
        <w:rPr>
          <w:color w:val="auto"/>
          <w:highlight w:val="none"/>
        </w:rPr>
      </w:r>
      <w:r/>
    </w:p>
    <w:p>
      <w:pPr>
        <w:pStyle w:val="797"/>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 （联合体）参加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采购活动，提供的货物全部由符合政策要求的中小企业制造。相关企业 （含联合体中的中小企业、签订分包意向协议的中小企业） 的具体情况如下：</w:t>
      </w:r>
      <w:r>
        <w:rPr>
          <w:color w:val="auto"/>
          <w:highlight w:val="none"/>
        </w:rPr>
      </w:r>
      <w:r/>
    </w:p>
    <w:p>
      <w:pPr>
        <w:pStyle w:val="797"/>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rPr>
          <w:color w:val="auto"/>
          <w:highlight w:val="none"/>
        </w:rPr>
      </w:r>
      <w:r/>
    </w:p>
    <w:p>
      <w:pPr>
        <w:pStyle w:val="797"/>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 企业、□微型企业）</w:t>
      </w:r>
      <w:r>
        <w:rPr>
          <w:rFonts w:hint="eastAsia" w:ascii="宋体" w:hAnsi="宋体" w:eastAsia="宋体" w:cs="宋体"/>
          <w:color w:val="auto"/>
          <w:sz w:val="24"/>
          <w:szCs w:val="24"/>
          <w:highlight w:val="none"/>
        </w:rPr>
        <w:t xml:space="preserve">；</w:t>
      </w:r>
      <w:r>
        <w:rPr>
          <w:color w:val="auto"/>
          <w:highlight w:val="none"/>
        </w:rPr>
      </w:r>
      <w:r/>
    </w:p>
    <w:p>
      <w:pPr>
        <w:pStyle w:val="797"/>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color w:val="auto"/>
          <w:highlight w:val="none"/>
        </w:rPr>
      </w:r>
      <w:r/>
    </w:p>
    <w:p>
      <w:pPr>
        <w:pStyle w:val="797"/>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rPr>
          <w:color w:val="auto"/>
          <w:highlight w:val="none"/>
        </w:rPr>
      </w:r>
      <w:r/>
    </w:p>
    <w:p>
      <w:pPr>
        <w:pStyle w:val="797"/>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rPr>
          <w:color w:val="auto"/>
          <w:highlight w:val="none"/>
        </w:rPr>
      </w:r>
      <w:r/>
    </w:p>
    <w:p>
      <w:pPr>
        <w:ind w:right="180" w:firstLine="360"/>
        <w:jc w:val="righ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单位名称：（</w:t>
      </w:r>
      <w:r>
        <w:rPr>
          <w:rFonts w:hint="eastAsia" w:ascii="宋体" w:hAnsi="宋体" w:eastAsia="宋体"/>
          <w:color w:val="auto"/>
          <w:sz w:val="24"/>
          <w:szCs w:val="24"/>
          <w:highlight w:val="none"/>
        </w:rPr>
        <w:t xml:space="preserve">加盖CA电子公章</w:t>
      </w:r>
      <w:r>
        <w:rPr>
          <w:rFonts w:hint="eastAsia" w:ascii="宋体" w:hAnsi="宋体"/>
          <w:color w:val="auto"/>
          <w:sz w:val="24"/>
          <w:szCs w:val="24"/>
          <w:highlight w:val="none"/>
        </w:rPr>
        <w:t xml:space="preserve">）                 </w:t>
      </w:r>
      <w:r>
        <w:rPr>
          <w:color w:val="auto"/>
          <w:highlight w:val="none"/>
        </w:rPr>
      </w:r>
      <w:r/>
    </w:p>
    <w:p>
      <w:pPr>
        <w:ind w:right="180" w:firstLine="360"/>
        <w:jc w:val="righ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p>
      <w:pPr>
        <w:ind w:right="480" w:firstLine="600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w:t>
      </w:r>
      <w:r>
        <w:rPr>
          <w:color w:val="auto"/>
          <w:highlight w:val="none"/>
        </w:rPr>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rPr>
          <w:color w:val="auto"/>
          <w:highlight w:val="none"/>
        </w:rPr>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1.从业人员、营业收入、资产总额填报上一年度数据，无上一年度数据的新成立企业可不填报。</w:t>
      </w:r>
      <w:r>
        <w:rPr>
          <w:color w:val="auto"/>
          <w:highlight w:val="none"/>
        </w:rPr>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供应商如不提供此声明函，则</w:t>
      </w:r>
      <w:r>
        <w:rPr>
          <w:rFonts w:ascii="宋体" w:hAnsi="宋体"/>
          <w:color w:val="auto"/>
          <w:sz w:val="24"/>
          <w:szCs w:val="24"/>
          <w:highlight w:val="none"/>
        </w:rPr>
        <w:t xml:space="preserve">不能通过资格审查；</w:t>
      </w:r>
      <w:r>
        <w:rPr>
          <w:rFonts w:hint="eastAsia" w:ascii="宋体" w:hAnsi="宋体"/>
          <w:color w:val="auto"/>
          <w:sz w:val="24"/>
          <w:szCs w:val="24"/>
          <w:highlight w:val="none"/>
        </w:rPr>
        <w:t xml:space="preserve">非专门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供应商如不提供此声明函，价格将不做相应扣除。</w:t>
      </w:r>
      <w:r>
        <w:rPr>
          <w:color w:val="auto"/>
          <w:highlight w:val="none"/>
        </w:rPr>
      </w:r>
      <w:r/>
    </w:p>
    <w:p>
      <w:pPr>
        <w:ind w:left="540" w:hanging="1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3.供应商应对照《工业和信息化部、国家统计局、国家发展和改革委员会、</w:t>
      </w:r>
      <w:r>
        <w:rPr>
          <w:color w:val="auto"/>
          <w:highlight w:val="none"/>
        </w:rPr>
      </w:r>
      <w:r/>
    </w:p>
    <w:p>
      <w:pPr>
        <w:contextualSpacing/>
        <w:ind w:firstLine="480"/>
        <w:spacing w:line="360" w:lineRule="auto"/>
        <w:rPr>
          <w:rFonts w:hint="eastAsia" w:hAnsi="宋体" w:cs="宋体"/>
          <w:color w:val="auto"/>
          <w:highlight w:val="none"/>
        </w:rPr>
      </w:pPr>
      <w:r>
        <w:rPr>
          <w:rFonts w:hint="eastAsia" w:ascii="宋体" w:hAnsi="宋体"/>
          <w:color w:val="auto"/>
          <w:sz w:val="24"/>
          <w:szCs w:val="24"/>
          <w:highlight w:val="none"/>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auto"/>
          <w:sz w:val="24"/>
          <w:szCs w:val="24"/>
          <w:highlight w:val="none"/>
        </w:rPr>
        <w:t xml:space="preserve">自行勾选</w:t>
      </w:r>
      <w:r>
        <w:rPr>
          <w:rFonts w:hint="eastAsia" w:ascii="宋体" w:hAnsi="宋体"/>
          <w:color w:val="auto"/>
          <w:sz w:val="24"/>
          <w:szCs w:val="24"/>
          <w:highlight w:val="none"/>
        </w:rPr>
        <w:t xml:space="preserve">制造商</w:t>
      </w:r>
      <w:r>
        <w:rPr>
          <w:rFonts w:ascii="宋体" w:hAnsi="宋体"/>
          <w:color w:val="auto"/>
          <w:sz w:val="24"/>
          <w:szCs w:val="24"/>
          <w:highlight w:val="none"/>
        </w:rPr>
        <w:t xml:space="preserve">的企业</w:t>
      </w:r>
      <w:r>
        <w:rPr>
          <w:rFonts w:hint="eastAsia" w:ascii="宋体" w:hAnsi="宋体"/>
          <w:color w:val="auto"/>
          <w:sz w:val="24"/>
          <w:szCs w:val="24"/>
          <w:highlight w:val="none"/>
        </w:rPr>
        <w:t xml:space="preserve">规模类型</w:t>
      </w:r>
      <w:r>
        <w:rPr>
          <w:rFonts w:ascii="宋体" w:hAnsi="宋体"/>
          <w:color w:val="auto"/>
          <w:sz w:val="24"/>
          <w:szCs w:val="24"/>
          <w:highlight w:val="none"/>
        </w:rPr>
        <w:t xml:space="preserve">。</w:t>
      </w:r>
      <w:r>
        <w:rPr>
          <w:rFonts w:hint="eastAsia" w:ascii="宋体" w:hAnsi="宋体"/>
          <w:color w:val="auto"/>
          <w:sz w:val="24"/>
          <w:szCs w:val="24"/>
          <w:highlight w:val="none"/>
        </w:rPr>
        <w:t xml:space="preserve">  </w:t>
      </w:r>
      <w:r>
        <w:rPr>
          <w:color w:val="auto"/>
          <w:highlight w:val="none"/>
        </w:rPr>
      </w:r>
      <w:r/>
    </w:p>
    <w:p>
      <w:pPr>
        <w:pStyle w:val="797"/>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p>
      <w:pPr>
        <w:ind w:firstLine="4620"/>
        <w:jc w:val="left"/>
        <w:rPr>
          <w:rFonts w:cs="宋体"/>
          <w:color w:val="auto"/>
          <w:highlight w:val="none"/>
        </w:rPr>
      </w:pPr>
      <w:r>
        <w:rPr>
          <w:rFonts w:cs="宋体"/>
          <w:color w:val="auto"/>
          <w:highlight w:val="none"/>
        </w:rPr>
      </w:r>
      <w:r>
        <w:rPr>
          <w:color w:val="auto"/>
          <w:highlight w:val="none"/>
        </w:rPr>
      </w:r>
      <w:r/>
    </w:p>
    <w:p>
      <w:pPr>
        <w:pStyle w:val="985"/>
        <w:jc w:val="center"/>
        <w:spacing w:before="300" w:after="300" w:line="360" w:lineRule="auto"/>
        <w:widowControl/>
        <w:rPr>
          <w:rFonts w:hint="eastAsia" w:ascii="宋体" w:hAnsi="宋体" w:cs="宋体"/>
          <w:color w:val="auto"/>
          <w:sz w:val="21"/>
          <w:szCs w:val="21"/>
          <w:highlight w:val="none"/>
        </w:rPr>
      </w:pPr>
      <w:r>
        <w:rPr>
          <w:color w:val="auto"/>
          <w:highlight w:val="none"/>
        </w:rPr>
      </w:r>
      <w:bookmarkStart w:id="234" w:name="_Toc109304977"/>
      <w:r>
        <w:rPr>
          <w:color w:val="auto"/>
          <w:highlight w:val="none"/>
        </w:rPr>
      </w:r>
      <w:bookmarkStart w:id="235" w:name="_Toc32196"/>
      <w:r>
        <w:rPr>
          <w:rFonts w:hint="eastAsia" w:ascii="宋体" w:hAnsi="宋体" w:cs="宋体"/>
          <w:color w:val="auto"/>
          <w:sz w:val="21"/>
          <w:szCs w:val="21"/>
          <w:highlight w:val="none"/>
        </w:rPr>
        <w:t xml:space="preserve">中小微企业划型标准</w:t>
      </w:r>
      <w:bookmarkEnd w:id="234"/>
      <w:r>
        <w:rPr>
          <w:rFonts w:hint="eastAsia" w:ascii="宋体" w:hAnsi="宋体" w:cs="宋体"/>
          <w:color w:val="auto"/>
          <w:sz w:val="21"/>
          <w:szCs w:val="21"/>
          <w:highlight w:val="none"/>
        </w:rPr>
        <w:t xml:space="preserve"> </w:t>
      </w:r>
      <w:bookmarkEnd w:id="235"/>
      <w:r>
        <w:rPr>
          <w:color w:val="auto"/>
          <w:highlight w:val="none"/>
        </w:rPr>
      </w:r>
      <w:r/>
    </w:p>
    <w:p>
      <w:pPr>
        <w:pStyle w:val="1049"/>
        <w:ind w:firstLine="420"/>
        <w:spacing w:before="300" w:after="452"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中小微企业划型标准如下：</w:t>
      </w:r>
      <w:r>
        <w:rPr>
          <w:color w:val="auto"/>
          <w:highlight w:val="none"/>
        </w:rPr>
      </w:r>
      <w:r/>
    </w:p>
    <w:tbl>
      <w:tblPr>
        <w:tblStyle w:val="792"/>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564"/>
        <w:gridCol w:w="1884"/>
        <w:gridCol w:w="543"/>
        <w:gridCol w:w="2264"/>
        <w:gridCol w:w="1852"/>
        <w:gridCol w:w="1622"/>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行业名称</w:t>
            </w:r>
            <w:r>
              <w:rPr>
                <w:color w:val="auto"/>
                <w:highlight w:val="none"/>
              </w:rPr>
            </w:r>
            <w:r/>
          </w:p>
        </w:tc>
        <w:tc>
          <w:tcPr>
            <w:tcMar>
              <w:left w:w="105" w:type="dxa"/>
              <w:top w:w="0" w:type="dxa"/>
              <w:right w:w="105" w:type="dxa"/>
              <w:bottom w:w="0" w:type="dxa"/>
            </w:tcMar>
            <w:tcW w:w="1618"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指标名称</w:t>
            </w:r>
            <w:r>
              <w:rPr>
                <w:color w:val="auto"/>
                <w:highlight w:val="none"/>
              </w:rPr>
            </w:r>
            <w:r/>
          </w:p>
        </w:tc>
        <w:tc>
          <w:tcPr>
            <w:tcMar>
              <w:left w:w="105" w:type="dxa"/>
              <w:top w:w="0" w:type="dxa"/>
              <w:right w:w="105" w:type="dxa"/>
              <w:bottom w:w="0" w:type="dxa"/>
            </w:tcMar>
            <w:tcW w:w="448"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计量单位</w:t>
            </w:r>
            <w:r>
              <w:rPr>
                <w:color w:val="auto"/>
                <w:highlight w:val="none"/>
              </w:rPr>
            </w:r>
            <w:r/>
          </w:p>
        </w:tc>
        <w:tc>
          <w:tcPr>
            <w:tcMar>
              <w:left w:w="105" w:type="dxa"/>
              <w:top w:w="0" w:type="dxa"/>
              <w:right w:w="105" w:type="dxa"/>
              <w:bottom w:w="0" w:type="dxa"/>
            </w:tcMar>
            <w:tcW w:w="1949"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中型</w:t>
            </w:r>
            <w:r>
              <w:rPr>
                <w:color w:val="auto"/>
                <w:highlight w:val="none"/>
              </w:rPr>
            </w:r>
            <w:r/>
          </w:p>
        </w:tc>
        <w:tc>
          <w:tcPr>
            <w:tcMar>
              <w:left w:w="105" w:type="dxa"/>
              <w:top w:w="0" w:type="dxa"/>
              <w:right w:w="105" w:type="dxa"/>
              <w:bottom w:w="0" w:type="dxa"/>
            </w:tcMar>
            <w:tcW w:w="1590"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小型</w:t>
            </w:r>
            <w:r>
              <w:rPr>
                <w:color w:val="auto"/>
                <w:highlight w:val="none"/>
              </w:rPr>
            </w:r>
            <w:r/>
          </w:p>
        </w:tc>
        <w:tc>
          <w:tcPr>
            <w:tcMar>
              <w:left w:w="105" w:type="dxa"/>
              <w:top w:w="0" w:type="dxa"/>
              <w:right w:w="105" w:type="dxa"/>
              <w:bottom w:w="0" w:type="dxa"/>
            </w:tcMar>
            <w:tcW w:w="1376"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微型</w:t>
            </w:r>
            <w:r>
              <w:rPr>
                <w:color w:val="auto"/>
                <w:highlight w:val="none"/>
              </w:rPr>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农、林、牧、渔</w:t>
            </w:r>
            <w:r>
              <w:rPr>
                <w:color w:val="auto"/>
                <w:highlight w:val="none"/>
              </w:rPr>
            </w:r>
            <w:r/>
          </w:p>
        </w:tc>
        <w:tc>
          <w:tcPr>
            <w:tcMar>
              <w:left w:w="105" w:type="dxa"/>
              <w:top w:w="0" w:type="dxa"/>
              <w:right w:w="105" w:type="dxa"/>
              <w:bottom w:w="0" w:type="dxa"/>
            </w:tcMar>
            <w:tcW w:w="1618"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营业收入（Y）</w:t>
            </w:r>
            <w:r>
              <w:rPr>
                <w:color w:val="auto"/>
                <w:highlight w:val="none"/>
              </w:rPr>
            </w:r>
            <w:r/>
          </w:p>
        </w:tc>
        <w:tc>
          <w:tcPr>
            <w:tcMar>
              <w:left w:w="105" w:type="dxa"/>
              <w:top w:w="0" w:type="dxa"/>
              <w:right w:w="105" w:type="dxa"/>
              <w:bottom w:w="0" w:type="dxa"/>
            </w:tcMar>
            <w:tcW w:w="448" w:type="dxa"/>
            <w:vAlign w:val="center"/>
            <w:textDirection w:val="lrTb"/>
            <w:noWrap w:val="false"/>
          </w:tcPr>
          <w:p>
            <w:pPr>
              <w:pStyle w:val="1049"/>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万元</w:t>
            </w:r>
            <w:r>
              <w:rPr>
                <w:color w:val="auto"/>
                <w:highlight w:val="none"/>
              </w:rPr>
            </w:r>
            <w:r/>
          </w:p>
        </w:tc>
        <w:tc>
          <w:tcPr>
            <w:tcMar>
              <w:left w:w="105" w:type="dxa"/>
              <w:top w:w="0" w:type="dxa"/>
              <w:right w:w="105" w:type="dxa"/>
              <w:bottom w:w="0" w:type="dxa"/>
            </w:tcMar>
            <w:tcW w:w="1949"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500≤Y＜20000</w:t>
            </w:r>
            <w:r>
              <w:rPr>
                <w:color w:val="auto"/>
                <w:highlight w:val="none"/>
              </w:rPr>
            </w:r>
            <w:r/>
          </w:p>
        </w:tc>
        <w:tc>
          <w:tcPr>
            <w:tcMar>
              <w:left w:w="105" w:type="dxa"/>
              <w:top w:w="0" w:type="dxa"/>
              <w:right w:w="105" w:type="dxa"/>
              <w:bottom w:w="0" w:type="dxa"/>
            </w:tcMar>
            <w:tcW w:w="1590"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50≤Y＜500</w:t>
            </w:r>
            <w:r>
              <w:rPr>
                <w:color w:val="auto"/>
                <w:highlight w:val="none"/>
              </w:rPr>
            </w:r>
            <w:r/>
          </w:p>
        </w:tc>
        <w:tc>
          <w:tcPr>
            <w:tcMar>
              <w:left w:w="105" w:type="dxa"/>
              <w:top w:w="0" w:type="dxa"/>
              <w:right w:w="105" w:type="dxa"/>
              <w:bottom w:w="0" w:type="dxa"/>
            </w:tcMar>
            <w:tcW w:w="1376"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Y＜50</w:t>
            </w:r>
            <w:r>
              <w:rPr>
                <w:color w:val="auto"/>
                <w:highlight w:val="none"/>
              </w:rPr>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工业</w:t>
            </w:r>
            <w:r>
              <w:rPr>
                <w:color w:val="auto"/>
                <w:highlight w:val="none"/>
              </w:rPr>
            </w:r>
            <w:r/>
          </w:p>
        </w:tc>
        <w:tc>
          <w:tcPr>
            <w:tcMar>
              <w:left w:w="105" w:type="dxa"/>
              <w:top w:w="0" w:type="dxa"/>
              <w:right w:w="105" w:type="dxa"/>
              <w:bottom w:w="0" w:type="dxa"/>
            </w:tcMar>
            <w:tcW w:w="1618"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从业人员（X）</w:t>
            </w:r>
            <w:r>
              <w:rPr>
                <w:color w:val="auto"/>
                <w:highlight w:val="none"/>
              </w:rPr>
            </w:r>
            <w:r/>
          </w:p>
        </w:tc>
        <w:tc>
          <w:tcPr>
            <w:tcMar>
              <w:left w:w="105" w:type="dxa"/>
              <w:top w:w="0" w:type="dxa"/>
              <w:right w:w="105" w:type="dxa"/>
              <w:bottom w:w="0" w:type="dxa"/>
            </w:tcMar>
            <w:tcW w:w="448" w:type="dxa"/>
            <w:vAlign w:val="center"/>
            <w:textDirection w:val="lrTb"/>
            <w:noWrap w:val="false"/>
          </w:tcPr>
          <w:p>
            <w:pPr>
              <w:pStyle w:val="1049"/>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人</w:t>
            </w:r>
            <w:r>
              <w:rPr>
                <w:color w:val="auto"/>
                <w:highlight w:val="none"/>
              </w:rPr>
            </w:r>
            <w:r/>
          </w:p>
        </w:tc>
        <w:tc>
          <w:tcPr>
            <w:tcMar>
              <w:left w:w="105" w:type="dxa"/>
              <w:top w:w="0" w:type="dxa"/>
              <w:right w:w="105" w:type="dxa"/>
              <w:bottom w:w="0" w:type="dxa"/>
            </w:tcMar>
            <w:tcW w:w="1949"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300≤X＜1000</w:t>
            </w:r>
            <w:r>
              <w:rPr>
                <w:color w:val="auto"/>
                <w:highlight w:val="none"/>
              </w:rPr>
            </w:r>
            <w:r/>
          </w:p>
        </w:tc>
        <w:tc>
          <w:tcPr>
            <w:tcMar>
              <w:left w:w="105" w:type="dxa"/>
              <w:top w:w="0" w:type="dxa"/>
              <w:right w:w="105" w:type="dxa"/>
              <w:bottom w:w="0" w:type="dxa"/>
            </w:tcMar>
            <w:tcW w:w="1590"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20≤X＜300</w:t>
            </w:r>
            <w:r>
              <w:rPr>
                <w:color w:val="auto"/>
                <w:highlight w:val="none"/>
              </w:rPr>
            </w:r>
            <w:r/>
          </w:p>
        </w:tc>
        <w:tc>
          <w:tcPr>
            <w:tcMar>
              <w:left w:w="105" w:type="dxa"/>
              <w:top w:w="0" w:type="dxa"/>
              <w:right w:w="105" w:type="dxa"/>
              <w:bottom w:w="0" w:type="dxa"/>
            </w:tcMar>
            <w:tcW w:w="1376"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X＜20</w:t>
            </w:r>
            <w:r>
              <w:rPr>
                <w:color w:val="auto"/>
                <w:highlight w:val="none"/>
              </w:rPr>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highlight w:val="none"/>
              </w:rPr>
            </w:pPr>
            <w:r>
              <w:rPr>
                <w:rFonts w:cs="宋体"/>
                <w:szCs w:val="21"/>
                <w:highlight w:val="none"/>
              </w:rPr>
            </w:r>
            <w:r/>
          </w:p>
        </w:tc>
        <w:tc>
          <w:tcPr>
            <w:tcMar>
              <w:left w:w="105" w:type="dxa"/>
              <w:top w:w="0" w:type="dxa"/>
              <w:right w:w="105" w:type="dxa"/>
              <w:bottom w:w="0" w:type="dxa"/>
            </w:tcMar>
            <w:tcW w:w="1618"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营业收入（Y）</w:t>
            </w:r>
            <w:r>
              <w:rPr>
                <w:color w:val="auto"/>
                <w:highlight w:val="none"/>
              </w:rPr>
            </w:r>
            <w:r/>
          </w:p>
        </w:tc>
        <w:tc>
          <w:tcPr>
            <w:tcMar>
              <w:left w:w="105" w:type="dxa"/>
              <w:top w:w="0" w:type="dxa"/>
              <w:right w:w="105" w:type="dxa"/>
              <w:bottom w:w="0" w:type="dxa"/>
            </w:tcMar>
            <w:tcW w:w="448" w:type="dxa"/>
            <w:vAlign w:val="center"/>
            <w:textDirection w:val="lrTb"/>
            <w:noWrap w:val="false"/>
          </w:tcPr>
          <w:p>
            <w:pPr>
              <w:pStyle w:val="1049"/>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万元</w:t>
            </w:r>
            <w:r>
              <w:rPr>
                <w:color w:val="auto"/>
                <w:highlight w:val="none"/>
              </w:rPr>
            </w:r>
            <w:r/>
          </w:p>
        </w:tc>
        <w:tc>
          <w:tcPr>
            <w:tcMar>
              <w:left w:w="105" w:type="dxa"/>
              <w:top w:w="0" w:type="dxa"/>
              <w:right w:w="105" w:type="dxa"/>
              <w:bottom w:w="0" w:type="dxa"/>
            </w:tcMar>
            <w:tcW w:w="1949"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2000≤Y＜40000</w:t>
            </w:r>
            <w:r>
              <w:rPr>
                <w:color w:val="auto"/>
                <w:highlight w:val="none"/>
              </w:rPr>
            </w:r>
            <w:r/>
          </w:p>
        </w:tc>
        <w:tc>
          <w:tcPr>
            <w:tcMar>
              <w:left w:w="105" w:type="dxa"/>
              <w:top w:w="0" w:type="dxa"/>
              <w:right w:w="105" w:type="dxa"/>
              <w:bottom w:w="0" w:type="dxa"/>
            </w:tcMar>
            <w:tcW w:w="1590"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300≤Y＜2000</w:t>
            </w:r>
            <w:r>
              <w:rPr>
                <w:color w:val="auto"/>
                <w:highlight w:val="none"/>
              </w:rPr>
            </w:r>
            <w:r/>
          </w:p>
        </w:tc>
        <w:tc>
          <w:tcPr>
            <w:tcMar>
              <w:left w:w="105" w:type="dxa"/>
              <w:top w:w="0" w:type="dxa"/>
              <w:right w:w="105" w:type="dxa"/>
              <w:bottom w:w="0" w:type="dxa"/>
            </w:tcMar>
            <w:tcW w:w="1376"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Y＜300</w:t>
            </w:r>
            <w:r>
              <w:rPr>
                <w:color w:val="auto"/>
                <w:highlight w:val="none"/>
              </w:rPr>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建筑业</w:t>
            </w:r>
            <w:r>
              <w:rPr>
                <w:color w:val="auto"/>
                <w:highlight w:val="none"/>
              </w:rPr>
            </w:r>
            <w:r/>
          </w:p>
        </w:tc>
        <w:tc>
          <w:tcPr>
            <w:tcMar>
              <w:left w:w="105" w:type="dxa"/>
              <w:top w:w="0" w:type="dxa"/>
              <w:right w:w="105" w:type="dxa"/>
              <w:bottom w:w="0" w:type="dxa"/>
            </w:tcMar>
            <w:tcW w:w="1618"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营业收入（Y）</w:t>
            </w:r>
            <w:r>
              <w:rPr>
                <w:color w:val="auto"/>
                <w:highlight w:val="none"/>
              </w:rPr>
            </w:r>
            <w:r/>
          </w:p>
        </w:tc>
        <w:tc>
          <w:tcPr>
            <w:tcMar>
              <w:left w:w="105" w:type="dxa"/>
              <w:top w:w="0" w:type="dxa"/>
              <w:right w:w="105" w:type="dxa"/>
              <w:bottom w:w="0" w:type="dxa"/>
            </w:tcMar>
            <w:tcW w:w="448" w:type="dxa"/>
            <w:vAlign w:val="center"/>
            <w:textDirection w:val="lrTb"/>
            <w:noWrap w:val="false"/>
          </w:tcPr>
          <w:p>
            <w:pPr>
              <w:pStyle w:val="1049"/>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万元</w:t>
            </w:r>
            <w:r>
              <w:rPr>
                <w:color w:val="auto"/>
                <w:highlight w:val="none"/>
              </w:rPr>
            </w:r>
            <w:r/>
          </w:p>
        </w:tc>
        <w:tc>
          <w:tcPr>
            <w:tcMar>
              <w:left w:w="105" w:type="dxa"/>
              <w:top w:w="0" w:type="dxa"/>
              <w:right w:w="105" w:type="dxa"/>
              <w:bottom w:w="0" w:type="dxa"/>
            </w:tcMar>
            <w:tcW w:w="1949"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6000≤Y＜80000</w:t>
            </w:r>
            <w:r>
              <w:rPr>
                <w:color w:val="auto"/>
                <w:highlight w:val="none"/>
              </w:rPr>
            </w:r>
            <w:r/>
          </w:p>
        </w:tc>
        <w:tc>
          <w:tcPr>
            <w:tcMar>
              <w:left w:w="105" w:type="dxa"/>
              <w:top w:w="0" w:type="dxa"/>
              <w:right w:w="105" w:type="dxa"/>
              <w:bottom w:w="0" w:type="dxa"/>
            </w:tcMar>
            <w:tcW w:w="1590"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300≤Y＜6000</w:t>
            </w:r>
            <w:r>
              <w:rPr>
                <w:color w:val="auto"/>
                <w:highlight w:val="none"/>
              </w:rPr>
            </w:r>
            <w:r/>
          </w:p>
        </w:tc>
        <w:tc>
          <w:tcPr>
            <w:tcMar>
              <w:left w:w="105" w:type="dxa"/>
              <w:top w:w="0" w:type="dxa"/>
              <w:right w:w="105" w:type="dxa"/>
              <w:bottom w:w="0" w:type="dxa"/>
            </w:tcMar>
            <w:tcW w:w="1376"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Y＜300</w:t>
            </w:r>
            <w:r>
              <w:rPr>
                <w:color w:val="auto"/>
                <w:highlight w:val="none"/>
              </w:rPr>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highlight w:val="none"/>
              </w:rPr>
            </w:pPr>
            <w:r>
              <w:rPr>
                <w:rFonts w:cs="宋体"/>
                <w:szCs w:val="21"/>
                <w:highlight w:val="none"/>
              </w:rPr>
            </w:r>
            <w:r/>
          </w:p>
        </w:tc>
        <w:tc>
          <w:tcPr>
            <w:tcMar>
              <w:left w:w="105" w:type="dxa"/>
              <w:top w:w="0" w:type="dxa"/>
              <w:right w:w="105" w:type="dxa"/>
              <w:bottom w:w="0" w:type="dxa"/>
            </w:tcMar>
            <w:tcW w:w="1618"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资产总额（Z）</w:t>
            </w:r>
            <w:r>
              <w:rPr>
                <w:color w:val="auto"/>
                <w:highlight w:val="none"/>
              </w:rPr>
            </w:r>
            <w:r/>
          </w:p>
        </w:tc>
        <w:tc>
          <w:tcPr>
            <w:tcMar>
              <w:left w:w="105" w:type="dxa"/>
              <w:top w:w="0" w:type="dxa"/>
              <w:right w:w="105" w:type="dxa"/>
              <w:bottom w:w="0" w:type="dxa"/>
            </w:tcMar>
            <w:tcW w:w="448" w:type="dxa"/>
            <w:vAlign w:val="center"/>
            <w:textDirection w:val="lrTb"/>
            <w:noWrap w:val="false"/>
          </w:tcPr>
          <w:p>
            <w:pPr>
              <w:pStyle w:val="1049"/>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万元</w:t>
            </w:r>
            <w:r>
              <w:rPr>
                <w:color w:val="auto"/>
                <w:highlight w:val="none"/>
              </w:rPr>
            </w:r>
            <w:r/>
          </w:p>
        </w:tc>
        <w:tc>
          <w:tcPr>
            <w:tcMar>
              <w:left w:w="105" w:type="dxa"/>
              <w:top w:w="0" w:type="dxa"/>
              <w:right w:w="105" w:type="dxa"/>
              <w:bottom w:w="0" w:type="dxa"/>
            </w:tcMar>
            <w:tcW w:w="1949"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5000≤Z＜80000</w:t>
            </w:r>
            <w:r>
              <w:rPr>
                <w:color w:val="auto"/>
                <w:highlight w:val="none"/>
              </w:rPr>
            </w:r>
            <w:r/>
          </w:p>
        </w:tc>
        <w:tc>
          <w:tcPr>
            <w:tcMar>
              <w:left w:w="105" w:type="dxa"/>
              <w:top w:w="0" w:type="dxa"/>
              <w:right w:w="105" w:type="dxa"/>
              <w:bottom w:w="0" w:type="dxa"/>
            </w:tcMar>
            <w:tcW w:w="1590"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300≤Z＜5000</w:t>
            </w:r>
            <w:r>
              <w:rPr>
                <w:color w:val="auto"/>
                <w:highlight w:val="none"/>
              </w:rPr>
            </w:r>
            <w:r/>
          </w:p>
        </w:tc>
        <w:tc>
          <w:tcPr>
            <w:tcMar>
              <w:left w:w="105" w:type="dxa"/>
              <w:top w:w="0" w:type="dxa"/>
              <w:right w:w="105" w:type="dxa"/>
              <w:bottom w:w="0" w:type="dxa"/>
            </w:tcMar>
            <w:tcW w:w="1376"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Z＜300</w:t>
            </w:r>
            <w:r>
              <w:rPr>
                <w:color w:val="auto"/>
                <w:highlight w:val="none"/>
              </w:rPr>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批发业</w:t>
            </w:r>
            <w:r>
              <w:rPr>
                <w:color w:val="auto"/>
                <w:highlight w:val="none"/>
              </w:rPr>
            </w:r>
            <w:r/>
          </w:p>
        </w:tc>
        <w:tc>
          <w:tcPr>
            <w:tcMar>
              <w:left w:w="105" w:type="dxa"/>
              <w:top w:w="0" w:type="dxa"/>
              <w:right w:w="105" w:type="dxa"/>
              <w:bottom w:w="0" w:type="dxa"/>
            </w:tcMar>
            <w:tcW w:w="1618"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从业人员（X）</w:t>
            </w:r>
            <w:r>
              <w:rPr>
                <w:color w:val="auto"/>
                <w:highlight w:val="none"/>
              </w:rPr>
            </w:r>
            <w:r/>
          </w:p>
        </w:tc>
        <w:tc>
          <w:tcPr>
            <w:tcMar>
              <w:left w:w="105" w:type="dxa"/>
              <w:top w:w="0" w:type="dxa"/>
              <w:right w:w="105" w:type="dxa"/>
              <w:bottom w:w="0" w:type="dxa"/>
            </w:tcMar>
            <w:tcW w:w="448" w:type="dxa"/>
            <w:vAlign w:val="center"/>
            <w:textDirection w:val="lrTb"/>
            <w:noWrap w:val="false"/>
          </w:tcPr>
          <w:p>
            <w:pPr>
              <w:pStyle w:val="1049"/>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人</w:t>
            </w:r>
            <w:r>
              <w:rPr>
                <w:color w:val="auto"/>
                <w:highlight w:val="none"/>
              </w:rPr>
            </w:r>
            <w:r/>
          </w:p>
        </w:tc>
        <w:tc>
          <w:tcPr>
            <w:tcMar>
              <w:left w:w="105" w:type="dxa"/>
              <w:top w:w="0" w:type="dxa"/>
              <w:right w:w="105" w:type="dxa"/>
              <w:bottom w:w="0" w:type="dxa"/>
            </w:tcMar>
            <w:tcW w:w="1949"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20≤X＜200</w:t>
            </w:r>
            <w:r>
              <w:rPr>
                <w:color w:val="auto"/>
                <w:highlight w:val="none"/>
              </w:rPr>
            </w:r>
            <w:r/>
          </w:p>
        </w:tc>
        <w:tc>
          <w:tcPr>
            <w:tcMar>
              <w:left w:w="105" w:type="dxa"/>
              <w:top w:w="0" w:type="dxa"/>
              <w:right w:w="105" w:type="dxa"/>
              <w:bottom w:w="0" w:type="dxa"/>
            </w:tcMar>
            <w:tcW w:w="1590"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5≤X＜20</w:t>
            </w:r>
            <w:r>
              <w:rPr>
                <w:color w:val="auto"/>
                <w:highlight w:val="none"/>
              </w:rPr>
            </w:r>
            <w:r/>
          </w:p>
        </w:tc>
        <w:tc>
          <w:tcPr>
            <w:tcMar>
              <w:left w:w="105" w:type="dxa"/>
              <w:top w:w="0" w:type="dxa"/>
              <w:right w:w="105" w:type="dxa"/>
              <w:bottom w:w="0" w:type="dxa"/>
            </w:tcMar>
            <w:tcW w:w="1376"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X＜5</w:t>
            </w:r>
            <w:r>
              <w:rPr>
                <w:color w:val="auto"/>
                <w:highlight w:val="none"/>
              </w:rPr>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highlight w:val="none"/>
              </w:rPr>
            </w:pPr>
            <w:r>
              <w:rPr>
                <w:rFonts w:cs="宋体"/>
                <w:szCs w:val="21"/>
                <w:highlight w:val="none"/>
              </w:rPr>
            </w:r>
            <w:r/>
          </w:p>
        </w:tc>
        <w:tc>
          <w:tcPr>
            <w:tcMar>
              <w:left w:w="105" w:type="dxa"/>
              <w:top w:w="0" w:type="dxa"/>
              <w:right w:w="105" w:type="dxa"/>
              <w:bottom w:w="0" w:type="dxa"/>
            </w:tcMar>
            <w:tcW w:w="1618"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营业收入（Y）</w:t>
            </w:r>
            <w:r>
              <w:rPr>
                <w:color w:val="auto"/>
                <w:highlight w:val="none"/>
              </w:rPr>
            </w:r>
            <w:r/>
          </w:p>
        </w:tc>
        <w:tc>
          <w:tcPr>
            <w:tcMar>
              <w:left w:w="105" w:type="dxa"/>
              <w:top w:w="0" w:type="dxa"/>
              <w:right w:w="105" w:type="dxa"/>
              <w:bottom w:w="0" w:type="dxa"/>
            </w:tcMar>
            <w:tcW w:w="448" w:type="dxa"/>
            <w:vAlign w:val="center"/>
            <w:textDirection w:val="lrTb"/>
            <w:noWrap w:val="false"/>
          </w:tcPr>
          <w:p>
            <w:pPr>
              <w:pStyle w:val="1049"/>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万元</w:t>
            </w:r>
            <w:r>
              <w:rPr>
                <w:color w:val="auto"/>
                <w:highlight w:val="none"/>
              </w:rPr>
            </w:r>
            <w:r/>
          </w:p>
        </w:tc>
        <w:tc>
          <w:tcPr>
            <w:tcMar>
              <w:left w:w="105" w:type="dxa"/>
              <w:top w:w="0" w:type="dxa"/>
              <w:right w:w="105" w:type="dxa"/>
              <w:bottom w:w="0" w:type="dxa"/>
            </w:tcMar>
            <w:tcW w:w="1949"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5000≤Y＜40000</w:t>
            </w:r>
            <w:r>
              <w:rPr>
                <w:color w:val="auto"/>
                <w:highlight w:val="none"/>
              </w:rPr>
            </w:r>
            <w:r/>
          </w:p>
        </w:tc>
        <w:tc>
          <w:tcPr>
            <w:tcMar>
              <w:left w:w="105" w:type="dxa"/>
              <w:top w:w="0" w:type="dxa"/>
              <w:right w:w="105" w:type="dxa"/>
              <w:bottom w:w="0" w:type="dxa"/>
            </w:tcMar>
            <w:tcW w:w="1590"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1000≤Y＜5000</w:t>
            </w:r>
            <w:r>
              <w:rPr>
                <w:color w:val="auto"/>
                <w:highlight w:val="none"/>
              </w:rPr>
            </w:r>
            <w:r/>
          </w:p>
        </w:tc>
        <w:tc>
          <w:tcPr>
            <w:tcMar>
              <w:left w:w="105" w:type="dxa"/>
              <w:top w:w="0" w:type="dxa"/>
              <w:right w:w="105" w:type="dxa"/>
              <w:bottom w:w="0" w:type="dxa"/>
            </w:tcMar>
            <w:tcW w:w="1376"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Y＜1000</w:t>
            </w:r>
            <w:r>
              <w:rPr>
                <w:color w:val="auto"/>
                <w:highlight w:val="none"/>
              </w:rPr>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零售业</w:t>
            </w:r>
            <w:r>
              <w:rPr>
                <w:color w:val="auto"/>
                <w:highlight w:val="none"/>
              </w:rPr>
            </w:r>
            <w:r/>
          </w:p>
        </w:tc>
        <w:tc>
          <w:tcPr>
            <w:tcMar>
              <w:left w:w="105" w:type="dxa"/>
              <w:top w:w="0" w:type="dxa"/>
              <w:right w:w="105" w:type="dxa"/>
              <w:bottom w:w="0" w:type="dxa"/>
            </w:tcMar>
            <w:tcW w:w="1618"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从业人员（X）</w:t>
            </w:r>
            <w:r>
              <w:rPr>
                <w:color w:val="auto"/>
                <w:highlight w:val="none"/>
              </w:rPr>
            </w:r>
            <w:r/>
          </w:p>
        </w:tc>
        <w:tc>
          <w:tcPr>
            <w:tcMar>
              <w:left w:w="105" w:type="dxa"/>
              <w:top w:w="0" w:type="dxa"/>
              <w:right w:w="105" w:type="dxa"/>
              <w:bottom w:w="0" w:type="dxa"/>
            </w:tcMar>
            <w:tcW w:w="448" w:type="dxa"/>
            <w:vAlign w:val="center"/>
            <w:textDirection w:val="lrTb"/>
            <w:noWrap w:val="false"/>
          </w:tcPr>
          <w:p>
            <w:pPr>
              <w:pStyle w:val="1049"/>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人</w:t>
            </w:r>
            <w:r>
              <w:rPr>
                <w:color w:val="auto"/>
                <w:highlight w:val="none"/>
              </w:rPr>
            </w:r>
            <w:r/>
          </w:p>
        </w:tc>
        <w:tc>
          <w:tcPr>
            <w:tcMar>
              <w:left w:w="105" w:type="dxa"/>
              <w:top w:w="0" w:type="dxa"/>
              <w:right w:w="105" w:type="dxa"/>
              <w:bottom w:w="0" w:type="dxa"/>
            </w:tcMar>
            <w:tcW w:w="1949"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50≤X＜300</w:t>
            </w:r>
            <w:r>
              <w:rPr>
                <w:color w:val="auto"/>
                <w:highlight w:val="none"/>
              </w:rPr>
            </w:r>
            <w:r/>
          </w:p>
        </w:tc>
        <w:tc>
          <w:tcPr>
            <w:tcMar>
              <w:left w:w="105" w:type="dxa"/>
              <w:top w:w="0" w:type="dxa"/>
              <w:right w:w="105" w:type="dxa"/>
              <w:bottom w:w="0" w:type="dxa"/>
            </w:tcMar>
            <w:tcW w:w="1590"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10≤X＜50</w:t>
            </w:r>
            <w:r>
              <w:rPr>
                <w:color w:val="auto"/>
                <w:highlight w:val="none"/>
              </w:rPr>
            </w:r>
            <w:r/>
          </w:p>
        </w:tc>
        <w:tc>
          <w:tcPr>
            <w:tcMar>
              <w:left w:w="105" w:type="dxa"/>
              <w:top w:w="0" w:type="dxa"/>
              <w:right w:w="105" w:type="dxa"/>
              <w:bottom w:w="0" w:type="dxa"/>
            </w:tcMar>
            <w:tcW w:w="1376"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X＜10</w:t>
            </w:r>
            <w:r>
              <w:rPr>
                <w:color w:val="auto"/>
                <w:highlight w:val="none"/>
              </w:rPr>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highlight w:val="none"/>
              </w:rPr>
            </w:pPr>
            <w:r>
              <w:rPr>
                <w:rFonts w:cs="宋体"/>
                <w:szCs w:val="21"/>
                <w:highlight w:val="none"/>
              </w:rPr>
            </w:r>
            <w:r/>
          </w:p>
        </w:tc>
        <w:tc>
          <w:tcPr>
            <w:tcMar>
              <w:left w:w="105" w:type="dxa"/>
              <w:top w:w="0" w:type="dxa"/>
              <w:right w:w="105" w:type="dxa"/>
              <w:bottom w:w="0" w:type="dxa"/>
            </w:tcMar>
            <w:tcW w:w="1618"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营业收入（Y）</w:t>
            </w:r>
            <w:r>
              <w:rPr>
                <w:color w:val="auto"/>
                <w:highlight w:val="none"/>
              </w:rPr>
            </w:r>
            <w:r/>
          </w:p>
        </w:tc>
        <w:tc>
          <w:tcPr>
            <w:tcMar>
              <w:left w:w="105" w:type="dxa"/>
              <w:top w:w="0" w:type="dxa"/>
              <w:right w:w="105" w:type="dxa"/>
              <w:bottom w:w="0" w:type="dxa"/>
            </w:tcMar>
            <w:tcW w:w="448" w:type="dxa"/>
            <w:vAlign w:val="center"/>
            <w:textDirection w:val="lrTb"/>
            <w:noWrap w:val="false"/>
          </w:tcPr>
          <w:p>
            <w:pPr>
              <w:pStyle w:val="1049"/>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万元</w:t>
            </w:r>
            <w:r>
              <w:rPr>
                <w:color w:val="auto"/>
                <w:highlight w:val="none"/>
              </w:rPr>
            </w:r>
            <w:r/>
          </w:p>
        </w:tc>
        <w:tc>
          <w:tcPr>
            <w:tcMar>
              <w:left w:w="105" w:type="dxa"/>
              <w:top w:w="0" w:type="dxa"/>
              <w:right w:w="105" w:type="dxa"/>
              <w:bottom w:w="0" w:type="dxa"/>
            </w:tcMar>
            <w:tcW w:w="1949"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500≤Y＜20000</w:t>
            </w:r>
            <w:r>
              <w:rPr>
                <w:color w:val="auto"/>
                <w:highlight w:val="none"/>
              </w:rPr>
            </w:r>
            <w:r/>
          </w:p>
        </w:tc>
        <w:tc>
          <w:tcPr>
            <w:tcMar>
              <w:left w:w="105" w:type="dxa"/>
              <w:top w:w="0" w:type="dxa"/>
              <w:right w:w="105" w:type="dxa"/>
              <w:bottom w:w="0" w:type="dxa"/>
            </w:tcMar>
            <w:tcW w:w="1590"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100≤Y＜500</w:t>
            </w:r>
            <w:r>
              <w:rPr>
                <w:color w:val="auto"/>
                <w:highlight w:val="none"/>
              </w:rPr>
            </w:r>
            <w:r/>
          </w:p>
        </w:tc>
        <w:tc>
          <w:tcPr>
            <w:tcMar>
              <w:left w:w="105" w:type="dxa"/>
              <w:top w:w="0" w:type="dxa"/>
              <w:right w:w="105" w:type="dxa"/>
              <w:bottom w:w="0" w:type="dxa"/>
            </w:tcMar>
            <w:tcW w:w="1376"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Y＜100</w:t>
            </w:r>
            <w:r>
              <w:rPr>
                <w:color w:val="auto"/>
                <w:highlight w:val="none"/>
              </w:rPr>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交通运输业</w:t>
            </w:r>
            <w:r>
              <w:rPr>
                <w:color w:val="auto"/>
                <w:highlight w:val="none"/>
              </w:rPr>
            </w:r>
            <w:r/>
          </w:p>
        </w:tc>
        <w:tc>
          <w:tcPr>
            <w:tcMar>
              <w:left w:w="105" w:type="dxa"/>
              <w:top w:w="0" w:type="dxa"/>
              <w:right w:w="105" w:type="dxa"/>
              <w:bottom w:w="0" w:type="dxa"/>
            </w:tcMar>
            <w:tcW w:w="1618"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从业人员（X）</w:t>
            </w:r>
            <w:r>
              <w:rPr>
                <w:color w:val="auto"/>
                <w:highlight w:val="none"/>
              </w:rPr>
            </w:r>
            <w:r/>
          </w:p>
        </w:tc>
        <w:tc>
          <w:tcPr>
            <w:tcMar>
              <w:left w:w="105" w:type="dxa"/>
              <w:top w:w="0" w:type="dxa"/>
              <w:right w:w="105" w:type="dxa"/>
              <w:bottom w:w="0" w:type="dxa"/>
            </w:tcMar>
            <w:tcW w:w="448" w:type="dxa"/>
            <w:vAlign w:val="center"/>
            <w:textDirection w:val="lrTb"/>
            <w:noWrap w:val="false"/>
          </w:tcPr>
          <w:p>
            <w:pPr>
              <w:pStyle w:val="1049"/>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人</w:t>
            </w:r>
            <w:r>
              <w:rPr>
                <w:color w:val="auto"/>
                <w:highlight w:val="none"/>
              </w:rPr>
            </w:r>
            <w:r/>
          </w:p>
        </w:tc>
        <w:tc>
          <w:tcPr>
            <w:tcMar>
              <w:left w:w="105" w:type="dxa"/>
              <w:top w:w="0" w:type="dxa"/>
              <w:right w:w="105" w:type="dxa"/>
              <w:bottom w:w="0" w:type="dxa"/>
            </w:tcMar>
            <w:tcW w:w="1949"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300≤X＜1000</w:t>
            </w:r>
            <w:r>
              <w:rPr>
                <w:color w:val="auto"/>
                <w:highlight w:val="none"/>
              </w:rPr>
            </w:r>
            <w:r/>
          </w:p>
        </w:tc>
        <w:tc>
          <w:tcPr>
            <w:tcMar>
              <w:left w:w="105" w:type="dxa"/>
              <w:top w:w="0" w:type="dxa"/>
              <w:right w:w="105" w:type="dxa"/>
              <w:bottom w:w="0" w:type="dxa"/>
            </w:tcMar>
            <w:tcW w:w="1590"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20≤X＜300</w:t>
            </w:r>
            <w:r>
              <w:rPr>
                <w:color w:val="auto"/>
                <w:highlight w:val="none"/>
              </w:rPr>
            </w:r>
            <w:r/>
          </w:p>
        </w:tc>
        <w:tc>
          <w:tcPr>
            <w:tcMar>
              <w:left w:w="105" w:type="dxa"/>
              <w:top w:w="0" w:type="dxa"/>
              <w:right w:w="105" w:type="dxa"/>
              <w:bottom w:w="0" w:type="dxa"/>
            </w:tcMar>
            <w:tcW w:w="1376"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X＜20</w:t>
            </w:r>
            <w:r>
              <w:rPr>
                <w:color w:val="auto"/>
                <w:highlight w:val="none"/>
              </w:rPr>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highlight w:val="none"/>
              </w:rPr>
            </w:pPr>
            <w:r>
              <w:rPr>
                <w:rFonts w:cs="宋体"/>
                <w:szCs w:val="21"/>
                <w:highlight w:val="none"/>
              </w:rPr>
            </w:r>
            <w:r/>
          </w:p>
        </w:tc>
        <w:tc>
          <w:tcPr>
            <w:tcMar>
              <w:left w:w="105" w:type="dxa"/>
              <w:top w:w="0" w:type="dxa"/>
              <w:right w:w="105" w:type="dxa"/>
              <w:bottom w:w="0" w:type="dxa"/>
            </w:tcMar>
            <w:tcW w:w="1618"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营业收入（Y）</w:t>
            </w:r>
            <w:r>
              <w:rPr>
                <w:color w:val="auto"/>
                <w:highlight w:val="none"/>
              </w:rPr>
            </w:r>
            <w:r/>
          </w:p>
        </w:tc>
        <w:tc>
          <w:tcPr>
            <w:tcMar>
              <w:left w:w="105" w:type="dxa"/>
              <w:top w:w="0" w:type="dxa"/>
              <w:right w:w="105" w:type="dxa"/>
              <w:bottom w:w="0" w:type="dxa"/>
            </w:tcMar>
            <w:tcW w:w="448" w:type="dxa"/>
            <w:vAlign w:val="center"/>
            <w:textDirection w:val="lrTb"/>
            <w:noWrap w:val="false"/>
          </w:tcPr>
          <w:p>
            <w:pPr>
              <w:pStyle w:val="1049"/>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万元</w:t>
            </w:r>
            <w:r>
              <w:rPr>
                <w:color w:val="auto"/>
                <w:highlight w:val="none"/>
              </w:rPr>
            </w:r>
            <w:r/>
          </w:p>
        </w:tc>
        <w:tc>
          <w:tcPr>
            <w:tcMar>
              <w:left w:w="105" w:type="dxa"/>
              <w:top w:w="0" w:type="dxa"/>
              <w:right w:w="105" w:type="dxa"/>
              <w:bottom w:w="0" w:type="dxa"/>
            </w:tcMar>
            <w:tcW w:w="1949"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3000≤Y＜30000</w:t>
            </w:r>
            <w:r>
              <w:rPr>
                <w:color w:val="auto"/>
                <w:highlight w:val="none"/>
              </w:rPr>
            </w:r>
            <w:r/>
          </w:p>
        </w:tc>
        <w:tc>
          <w:tcPr>
            <w:tcMar>
              <w:left w:w="105" w:type="dxa"/>
              <w:top w:w="0" w:type="dxa"/>
              <w:right w:w="105" w:type="dxa"/>
              <w:bottom w:w="0" w:type="dxa"/>
            </w:tcMar>
            <w:tcW w:w="1590"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200≤Y＜3000</w:t>
            </w:r>
            <w:r>
              <w:rPr>
                <w:color w:val="auto"/>
                <w:highlight w:val="none"/>
              </w:rPr>
            </w:r>
            <w:r/>
          </w:p>
        </w:tc>
        <w:tc>
          <w:tcPr>
            <w:tcMar>
              <w:left w:w="105" w:type="dxa"/>
              <w:top w:w="0" w:type="dxa"/>
              <w:right w:w="105" w:type="dxa"/>
              <w:bottom w:w="0" w:type="dxa"/>
            </w:tcMar>
            <w:tcW w:w="1376"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Y＜200</w:t>
            </w:r>
            <w:r>
              <w:rPr>
                <w:color w:val="auto"/>
                <w:highlight w:val="none"/>
              </w:rPr>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仓储业</w:t>
            </w:r>
            <w:r>
              <w:rPr>
                <w:color w:val="auto"/>
                <w:highlight w:val="none"/>
              </w:rPr>
            </w:r>
            <w:r/>
          </w:p>
        </w:tc>
        <w:tc>
          <w:tcPr>
            <w:tcMar>
              <w:left w:w="105" w:type="dxa"/>
              <w:top w:w="0" w:type="dxa"/>
              <w:right w:w="105" w:type="dxa"/>
              <w:bottom w:w="0" w:type="dxa"/>
            </w:tcMar>
            <w:tcW w:w="1618"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从业人员（X）</w:t>
            </w:r>
            <w:r>
              <w:rPr>
                <w:color w:val="auto"/>
                <w:highlight w:val="none"/>
              </w:rPr>
            </w:r>
            <w:r/>
          </w:p>
        </w:tc>
        <w:tc>
          <w:tcPr>
            <w:tcMar>
              <w:left w:w="105" w:type="dxa"/>
              <w:top w:w="0" w:type="dxa"/>
              <w:right w:w="105" w:type="dxa"/>
              <w:bottom w:w="0" w:type="dxa"/>
            </w:tcMar>
            <w:tcW w:w="448" w:type="dxa"/>
            <w:vAlign w:val="center"/>
            <w:textDirection w:val="lrTb"/>
            <w:noWrap w:val="false"/>
          </w:tcPr>
          <w:p>
            <w:pPr>
              <w:pStyle w:val="1049"/>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人</w:t>
            </w:r>
            <w:r>
              <w:rPr>
                <w:color w:val="auto"/>
                <w:highlight w:val="none"/>
              </w:rPr>
            </w:r>
            <w:r/>
          </w:p>
        </w:tc>
        <w:tc>
          <w:tcPr>
            <w:tcMar>
              <w:left w:w="105" w:type="dxa"/>
              <w:top w:w="0" w:type="dxa"/>
              <w:right w:w="105" w:type="dxa"/>
              <w:bottom w:w="0" w:type="dxa"/>
            </w:tcMar>
            <w:tcW w:w="1949"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100≤X＜200</w:t>
            </w:r>
            <w:r>
              <w:rPr>
                <w:color w:val="auto"/>
                <w:highlight w:val="none"/>
              </w:rPr>
            </w:r>
            <w:r/>
          </w:p>
        </w:tc>
        <w:tc>
          <w:tcPr>
            <w:tcMar>
              <w:left w:w="105" w:type="dxa"/>
              <w:top w:w="0" w:type="dxa"/>
              <w:right w:w="105" w:type="dxa"/>
              <w:bottom w:w="0" w:type="dxa"/>
            </w:tcMar>
            <w:tcW w:w="1590"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20≤X＜100</w:t>
            </w:r>
            <w:r>
              <w:rPr>
                <w:color w:val="auto"/>
                <w:highlight w:val="none"/>
              </w:rPr>
            </w:r>
            <w:r/>
          </w:p>
        </w:tc>
        <w:tc>
          <w:tcPr>
            <w:tcMar>
              <w:left w:w="105" w:type="dxa"/>
              <w:top w:w="0" w:type="dxa"/>
              <w:right w:w="105" w:type="dxa"/>
              <w:bottom w:w="0" w:type="dxa"/>
            </w:tcMar>
            <w:tcW w:w="1376"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X＜20</w:t>
            </w:r>
            <w:r>
              <w:rPr>
                <w:color w:val="auto"/>
                <w:highlight w:val="none"/>
              </w:rPr>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highlight w:val="none"/>
              </w:rPr>
            </w:pPr>
            <w:r>
              <w:rPr>
                <w:rFonts w:cs="宋体"/>
                <w:szCs w:val="21"/>
                <w:highlight w:val="none"/>
              </w:rPr>
            </w:r>
            <w:r/>
          </w:p>
        </w:tc>
        <w:tc>
          <w:tcPr>
            <w:tcMar>
              <w:left w:w="105" w:type="dxa"/>
              <w:top w:w="0" w:type="dxa"/>
              <w:right w:w="105" w:type="dxa"/>
              <w:bottom w:w="0" w:type="dxa"/>
            </w:tcMar>
            <w:tcW w:w="1618"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营业收入（Y）</w:t>
            </w:r>
            <w:r>
              <w:rPr>
                <w:color w:val="auto"/>
                <w:highlight w:val="none"/>
              </w:rPr>
            </w:r>
            <w:r/>
          </w:p>
        </w:tc>
        <w:tc>
          <w:tcPr>
            <w:tcMar>
              <w:left w:w="105" w:type="dxa"/>
              <w:top w:w="0" w:type="dxa"/>
              <w:right w:w="105" w:type="dxa"/>
              <w:bottom w:w="0" w:type="dxa"/>
            </w:tcMar>
            <w:tcW w:w="448" w:type="dxa"/>
            <w:vAlign w:val="center"/>
            <w:textDirection w:val="lrTb"/>
            <w:noWrap w:val="false"/>
          </w:tcPr>
          <w:p>
            <w:pPr>
              <w:pStyle w:val="1049"/>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万元</w:t>
            </w:r>
            <w:r>
              <w:rPr>
                <w:color w:val="auto"/>
                <w:highlight w:val="none"/>
              </w:rPr>
            </w:r>
            <w:r/>
          </w:p>
        </w:tc>
        <w:tc>
          <w:tcPr>
            <w:tcMar>
              <w:left w:w="105" w:type="dxa"/>
              <w:top w:w="0" w:type="dxa"/>
              <w:right w:w="105" w:type="dxa"/>
              <w:bottom w:w="0" w:type="dxa"/>
            </w:tcMar>
            <w:tcW w:w="1949"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1000≤Y＜30000</w:t>
            </w:r>
            <w:r>
              <w:rPr>
                <w:color w:val="auto"/>
                <w:highlight w:val="none"/>
              </w:rPr>
            </w:r>
            <w:r/>
          </w:p>
        </w:tc>
        <w:tc>
          <w:tcPr>
            <w:tcMar>
              <w:left w:w="105" w:type="dxa"/>
              <w:top w:w="0" w:type="dxa"/>
              <w:right w:w="105" w:type="dxa"/>
              <w:bottom w:w="0" w:type="dxa"/>
            </w:tcMar>
            <w:tcW w:w="1590"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100≤Y＜1000</w:t>
            </w:r>
            <w:r>
              <w:rPr>
                <w:color w:val="auto"/>
                <w:highlight w:val="none"/>
              </w:rPr>
            </w:r>
            <w:r/>
          </w:p>
        </w:tc>
        <w:tc>
          <w:tcPr>
            <w:tcMar>
              <w:left w:w="105" w:type="dxa"/>
              <w:top w:w="0" w:type="dxa"/>
              <w:right w:w="105" w:type="dxa"/>
              <w:bottom w:w="0" w:type="dxa"/>
            </w:tcMar>
            <w:tcW w:w="1376"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Y＜100</w:t>
            </w:r>
            <w:r>
              <w:rPr>
                <w:color w:val="auto"/>
                <w:highlight w:val="none"/>
              </w:rPr>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邮政业</w:t>
            </w:r>
            <w:r>
              <w:rPr>
                <w:color w:val="auto"/>
                <w:highlight w:val="none"/>
              </w:rPr>
            </w:r>
            <w:r/>
          </w:p>
        </w:tc>
        <w:tc>
          <w:tcPr>
            <w:tcMar>
              <w:left w:w="105" w:type="dxa"/>
              <w:top w:w="0" w:type="dxa"/>
              <w:right w:w="105" w:type="dxa"/>
              <w:bottom w:w="0" w:type="dxa"/>
            </w:tcMar>
            <w:tcW w:w="1618"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从业人员（X）</w:t>
            </w:r>
            <w:r>
              <w:rPr>
                <w:color w:val="auto"/>
                <w:highlight w:val="none"/>
              </w:rPr>
            </w:r>
            <w:r/>
          </w:p>
        </w:tc>
        <w:tc>
          <w:tcPr>
            <w:tcMar>
              <w:left w:w="105" w:type="dxa"/>
              <w:top w:w="0" w:type="dxa"/>
              <w:right w:w="105" w:type="dxa"/>
              <w:bottom w:w="0" w:type="dxa"/>
            </w:tcMar>
            <w:tcW w:w="448" w:type="dxa"/>
            <w:vAlign w:val="center"/>
            <w:textDirection w:val="lrTb"/>
            <w:noWrap w:val="false"/>
          </w:tcPr>
          <w:p>
            <w:pPr>
              <w:pStyle w:val="1049"/>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人</w:t>
            </w:r>
            <w:r>
              <w:rPr>
                <w:color w:val="auto"/>
                <w:highlight w:val="none"/>
              </w:rPr>
            </w:r>
            <w:r/>
          </w:p>
        </w:tc>
        <w:tc>
          <w:tcPr>
            <w:tcMar>
              <w:left w:w="105" w:type="dxa"/>
              <w:top w:w="0" w:type="dxa"/>
              <w:right w:w="105" w:type="dxa"/>
              <w:bottom w:w="0" w:type="dxa"/>
            </w:tcMar>
            <w:tcW w:w="1949"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300≤X＜1000</w:t>
            </w:r>
            <w:r>
              <w:rPr>
                <w:color w:val="auto"/>
                <w:highlight w:val="none"/>
              </w:rPr>
            </w:r>
            <w:r/>
          </w:p>
        </w:tc>
        <w:tc>
          <w:tcPr>
            <w:tcMar>
              <w:left w:w="105" w:type="dxa"/>
              <w:top w:w="0" w:type="dxa"/>
              <w:right w:w="105" w:type="dxa"/>
              <w:bottom w:w="0" w:type="dxa"/>
            </w:tcMar>
            <w:tcW w:w="1590"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20≤X＜300</w:t>
            </w:r>
            <w:r>
              <w:rPr>
                <w:color w:val="auto"/>
                <w:highlight w:val="none"/>
              </w:rPr>
            </w:r>
            <w:r/>
          </w:p>
        </w:tc>
        <w:tc>
          <w:tcPr>
            <w:tcMar>
              <w:left w:w="105" w:type="dxa"/>
              <w:top w:w="0" w:type="dxa"/>
              <w:right w:w="105" w:type="dxa"/>
              <w:bottom w:w="0" w:type="dxa"/>
            </w:tcMar>
            <w:tcW w:w="1376"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X＜20</w:t>
            </w:r>
            <w:r>
              <w:rPr>
                <w:color w:val="auto"/>
                <w:highlight w:val="none"/>
              </w:rPr>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highlight w:val="none"/>
              </w:rPr>
            </w:pPr>
            <w:r>
              <w:rPr>
                <w:rFonts w:cs="宋体"/>
                <w:szCs w:val="21"/>
                <w:highlight w:val="none"/>
              </w:rPr>
            </w:r>
            <w:r/>
          </w:p>
        </w:tc>
        <w:tc>
          <w:tcPr>
            <w:tcMar>
              <w:left w:w="105" w:type="dxa"/>
              <w:top w:w="0" w:type="dxa"/>
              <w:right w:w="105" w:type="dxa"/>
              <w:bottom w:w="0" w:type="dxa"/>
            </w:tcMar>
            <w:tcW w:w="1618"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营业收入（Y）</w:t>
            </w:r>
            <w:r>
              <w:rPr>
                <w:color w:val="auto"/>
                <w:highlight w:val="none"/>
              </w:rPr>
            </w:r>
            <w:r/>
          </w:p>
        </w:tc>
        <w:tc>
          <w:tcPr>
            <w:tcMar>
              <w:left w:w="105" w:type="dxa"/>
              <w:top w:w="0" w:type="dxa"/>
              <w:right w:w="105" w:type="dxa"/>
              <w:bottom w:w="0" w:type="dxa"/>
            </w:tcMar>
            <w:tcW w:w="448" w:type="dxa"/>
            <w:vAlign w:val="center"/>
            <w:textDirection w:val="lrTb"/>
            <w:noWrap w:val="false"/>
          </w:tcPr>
          <w:p>
            <w:pPr>
              <w:pStyle w:val="1049"/>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万元</w:t>
            </w:r>
            <w:r>
              <w:rPr>
                <w:color w:val="auto"/>
                <w:highlight w:val="none"/>
              </w:rPr>
            </w:r>
            <w:r/>
          </w:p>
        </w:tc>
        <w:tc>
          <w:tcPr>
            <w:tcMar>
              <w:left w:w="105" w:type="dxa"/>
              <w:top w:w="0" w:type="dxa"/>
              <w:right w:w="105" w:type="dxa"/>
              <w:bottom w:w="0" w:type="dxa"/>
            </w:tcMar>
            <w:tcW w:w="1949"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2000≤Y＜30000</w:t>
            </w:r>
            <w:r>
              <w:rPr>
                <w:color w:val="auto"/>
                <w:highlight w:val="none"/>
              </w:rPr>
            </w:r>
            <w:r/>
          </w:p>
        </w:tc>
        <w:tc>
          <w:tcPr>
            <w:tcMar>
              <w:left w:w="105" w:type="dxa"/>
              <w:top w:w="0" w:type="dxa"/>
              <w:right w:w="105" w:type="dxa"/>
              <w:bottom w:w="0" w:type="dxa"/>
            </w:tcMar>
            <w:tcW w:w="1590"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100≤Y＜2000</w:t>
            </w:r>
            <w:r>
              <w:rPr>
                <w:color w:val="auto"/>
                <w:highlight w:val="none"/>
              </w:rPr>
            </w:r>
            <w:r/>
          </w:p>
        </w:tc>
        <w:tc>
          <w:tcPr>
            <w:tcMar>
              <w:left w:w="105" w:type="dxa"/>
              <w:top w:w="0" w:type="dxa"/>
              <w:right w:w="105" w:type="dxa"/>
              <w:bottom w:w="0" w:type="dxa"/>
            </w:tcMar>
            <w:tcW w:w="1376"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Y＜100</w:t>
            </w:r>
            <w:r>
              <w:rPr>
                <w:color w:val="auto"/>
                <w:highlight w:val="none"/>
              </w:rPr>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住宿业</w:t>
            </w:r>
            <w:r>
              <w:rPr>
                <w:color w:val="auto"/>
                <w:highlight w:val="none"/>
              </w:rPr>
            </w:r>
            <w:r/>
          </w:p>
        </w:tc>
        <w:tc>
          <w:tcPr>
            <w:tcMar>
              <w:left w:w="105" w:type="dxa"/>
              <w:top w:w="0" w:type="dxa"/>
              <w:right w:w="105" w:type="dxa"/>
              <w:bottom w:w="0" w:type="dxa"/>
            </w:tcMar>
            <w:tcW w:w="1618"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从业人员（X）</w:t>
            </w:r>
            <w:r>
              <w:rPr>
                <w:color w:val="auto"/>
                <w:highlight w:val="none"/>
              </w:rPr>
            </w:r>
            <w:r/>
          </w:p>
        </w:tc>
        <w:tc>
          <w:tcPr>
            <w:tcMar>
              <w:left w:w="105" w:type="dxa"/>
              <w:top w:w="0" w:type="dxa"/>
              <w:right w:w="105" w:type="dxa"/>
              <w:bottom w:w="0" w:type="dxa"/>
            </w:tcMar>
            <w:tcW w:w="448" w:type="dxa"/>
            <w:vAlign w:val="center"/>
            <w:textDirection w:val="lrTb"/>
            <w:noWrap w:val="false"/>
          </w:tcPr>
          <w:p>
            <w:pPr>
              <w:pStyle w:val="1049"/>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人</w:t>
            </w:r>
            <w:r>
              <w:rPr>
                <w:color w:val="auto"/>
                <w:highlight w:val="none"/>
              </w:rPr>
            </w:r>
            <w:r/>
          </w:p>
        </w:tc>
        <w:tc>
          <w:tcPr>
            <w:tcMar>
              <w:left w:w="105" w:type="dxa"/>
              <w:top w:w="0" w:type="dxa"/>
              <w:right w:w="105" w:type="dxa"/>
              <w:bottom w:w="0" w:type="dxa"/>
            </w:tcMar>
            <w:tcW w:w="1949"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100≤X＜300</w:t>
            </w:r>
            <w:r>
              <w:rPr>
                <w:color w:val="auto"/>
                <w:highlight w:val="none"/>
              </w:rPr>
            </w:r>
            <w:r/>
          </w:p>
        </w:tc>
        <w:tc>
          <w:tcPr>
            <w:tcMar>
              <w:left w:w="105" w:type="dxa"/>
              <w:top w:w="0" w:type="dxa"/>
              <w:right w:w="105" w:type="dxa"/>
              <w:bottom w:w="0" w:type="dxa"/>
            </w:tcMar>
            <w:tcW w:w="1590"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10≤X＜100</w:t>
            </w:r>
            <w:r>
              <w:rPr>
                <w:color w:val="auto"/>
                <w:highlight w:val="none"/>
              </w:rPr>
            </w:r>
            <w:r/>
          </w:p>
        </w:tc>
        <w:tc>
          <w:tcPr>
            <w:tcMar>
              <w:left w:w="105" w:type="dxa"/>
              <w:top w:w="0" w:type="dxa"/>
              <w:right w:w="105" w:type="dxa"/>
              <w:bottom w:w="0" w:type="dxa"/>
            </w:tcMar>
            <w:tcW w:w="1376"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X＜10</w:t>
            </w:r>
            <w:r>
              <w:rPr>
                <w:color w:val="auto"/>
                <w:highlight w:val="none"/>
              </w:rPr>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highlight w:val="none"/>
              </w:rPr>
            </w:pPr>
            <w:r>
              <w:rPr>
                <w:rFonts w:cs="宋体"/>
                <w:szCs w:val="21"/>
                <w:highlight w:val="none"/>
              </w:rPr>
            </w:r>
            <w:r/>
          </w:p>
        </w:tc>
        <w:tc>
          <w:tcPr>
            <w:tcMar>
              <w:left w:w="105" w:type="dxa"/>
              <w:top w:w="0" w:type="dxa"/>
              <w:right w:w="105" w:type="dxa"/>
              <w:bottom w:w="0" w:type="dxa"/>
            </w:tcMar>
            <w:tcW w:w="1618"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营业收入（Y）</w:t>
            </w:r>
            <w:r>
              <w:rPr>
                <w:color w:val="auto"/>
                <w:highlight w:val="none"/>
              </w:rPr>
            </w:r>
            <w:r/>
          </w:p>
        </w:tc>
        <w:tc>
          <w:tcPr>
            <w:tcMar>
              <w:left w:w="105" w:type="dxa"/>
              <w:top w:w="0" w:type="dxa"/>
              <w:right w:w="105" w:type="dxa"/>
              <w:bottom w:w="0" w:type="dxa"/>
            </w:tcMar>
            <w:tcW w:w="448" w:type="dxa"/>
            <w:vAlign w:val="center"/>
            <w:textDirection w:val="lrTb"/>
            <w:noWrap w:val="false"/>
          </w:tcPr>
          <w:p>
            <w:pPr>
              <w:pStyle w:val="1049"/>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万元</w:t>
            </w:r>
            <w:r>
              <w:rPr>
                <w:color w:val="auto"/>
                <w:highlight w:val="none"/>
              </w:rPr>
            </w:r>
            <w:r/>
          </w:p>
        </w:tc>
        <w:tc>
          <w:tcPr>
            <w:tcMar>
              <w:left w:w="105" w:type="dxa"/>
              <w:top w:w="0" w:type="dxa"/>
              <w:right w:w="105" w:type="dxa"/>
              <w:bottom w:w="0" w:type="dxa"/>
            </w:tcMar>
            <w:tcW w:w="1949"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2000≤Y＜10000</w:t>
            </w:r>
            <w:r>
              <w:rPr>
                <w:color w:val="auto"/>
                <w:highlight w:val="none"/>
              </w:rPr>
            </w:r>
            <w:r/>
          </w:p>
        </w:tc>
        <w:tc>
          <w:tcPr>
            <w:tcMar>
              <w:left w:w="105" w:type="dxa"/>
              <w:top w:w="0" w:type="dxa"/>
              <w:right w:w="105" w:type="dxa"/>
              <w:bottom w:w="0" w:type="dxa"/>
            </w:tcMar>
            <w:tcW w:w="1590"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100≤Y＜2000</w:t>
            </w:r>
            <w:r>
              <w:rPr>
                <w:color w:val="auto"/>
                <w:highlight w:val="none"/>
              </w:rPr>
            </w:r>
            <w:r/>
          </w:p>
        </w:tc>
        <w:tc>
          <w:tcPr>
            <w:tcMar>
              <w:left w:w="105" w:type="dxa"/>
              <w:top w:w="0" w:type="dxa"/>
              <w:right w:w="105" w:type="dxa"/>
              <w:bottom w:w="0" w:type="dxa"/>
            </w:tcMar>
            <w:tcW w:w="1376"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Y＜100</w:t>
            </w:r>
            <w:r>
              <w:rPr>
                <w:color w:val="auto"/>
                <w:highlight w:val="none"/>
              </w:rPr>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餐饮业</w:t>
            </w:r>
            <w:r>
              <w:rPr>
                <w:color w:val="auto"/>
                <w:highlight w:val="none"/>
              </w:rPr>
            </w:r>
            <w:r/>
          </w:p>
        </w:tc>
        <w:tc>
          <w:tcPr>
            <w:tcMar>
              <w:left w:w="105" w:type="dxa"/>
              <w:top w:w="0" w:type="dxa"/>
              <w:right w:w="105" w:type="dxa"/>
              <w:bottom w:w="0" w:type="dxa"/>
            </w:tcMar>
            <w:tcW w:w="1618"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从业人员（X）</w:t>
            </w:r>
            <w:r>
              <w:rPr>
                <w:color w:val="auto"/>
                <w:highlight w:val="none"/>
              </w:rPr>
            </w:r>
            <w:r/>
          </w:p>
        </w:tc>
        <w:tc>
          <w:tcPr>
            <w:tcMar>
              <w:left w:w="105" w:type="dxa"/>
              <w:top w:w="0" w:type="dxa"/>
              <w:right w:w="105" w:type="dxa"/>
              <w:bottom w:w="0" w:type="dxa"/>
            </w:tcMar>
            <w:tcW w:w="448" w:type="dxa"/>
            <w:vAlign w:val="center"/>
            <w:textDirection w:val="lrTb"/>
            <w:noWrap w:val="false"/>
          </w:tcPr>
          <w:p>
            <w:pPr>
              <w:pStyle w:val="1049"/>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人</w:t>
            </w:r>
            <w:r>
              <w:rPr>
                <w:color w:val="auto"/>
                <w:highlight w:val="none"/>
              </w:rPr>
            </w:r>
            <w:r/>
          </w:p>
        </w:tc>
        <w:tc>
          <w:tcPr>
            <w:tcMar>
              <w:left w:w="105" w:type="dxa"/>
              <w:top w:w="0" w:type="dxa"/>
              <w:right w:w="105" w:type="dxa"/>
              <w:bottom w:w="0" w:type="dxa"/>
            </w:tcMar>
            <w:tcW w:w="1949"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100≤X＜300</w:t>
            </w:r>
            <w:r>
              <w:rPr>
                <w:color w:val="auto"/>
                <w:highlight w:val="none"/>
              </w:rPr>
            </w:r>
            <w:r/>
          </w:p>
        </w:tc>
        <w:tc>
          <w:tcPr>
            <w:tcMar>
              <w:left w:w="105" w:type="dxa"/>
              <w:top w:w="0" w:type="dxa"/>
              <w:right w:w="105" w:type="dxa"/>
              <w:bottom w:w="0" w:type="dxa"/>
            </w:tcMar>
            <w:tcW w:w="1590"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10≤X＜100</w:t>
            </w:r>
            <w:r>
              <w:rPr>
                <w:color w:val="auto"/>
                <w:highlight w:val="none"/>
              </w:rPr>
            </w:r>
            <w:r/>
          </w:p>
        </w:tc>
        <w:tc>
          <w:tcPr>
            <w:tcMar>
              <w:left w:w="105" w:type="dxa"/>
              <w:top w:w="0" w:type="dxa"/>
              <w:right w:w="105" w:type="dxa"/>
              <w:bottom w:w="0" w:type="dxa"/>
            </w:tcMar>
            <w:tcW w:w="1376"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X＜10</w:t>
            </w:r>
            <w:r>
              <w:rPr>
                <w:color w:val="auto"/>
                <w:highlight w:val="none"/>
              </w:rPr>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highlight w:val="none"/>
              </w:rPr>
            </w:pPr>
            <w:r>
              <w:rPr>
                <w:rFonts w:cs="宋体"/>
                <w:szCs w:val="21"/>
                <w:highlight w:val="none"/>
              </w:rPr>
            </w:r>
            <w:r/>
          </w:p>
        </w:tc>
        <w:tc>
          <w:tcPr>
            <w:tcMar>
              <w:left w:w="105" w:type="dxa"/>
              <w:top w:w="0" w:type="dxa"/>
              <w:right w:w="105" w:type="dxa"/>
              <w:bottom w:w="0" w:type="dxa"/>
            </w:tcMar>
            <w:tcW w:w="1618"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营业收入（Y）</w:t>
            </w:r>
            <w:r>
              <w:rPr>
                <w:color w:val="auto"/>
                <w:highlight w:val="none"/>
              </w:rPr>
            </w:r>
            <w:r/>
          </w:p>
        </w:tc>
        <w:tc>
          <w:tcPr>
            <w:tcMar>
              <w:left w:w="105" w:type="dxa"/>
              <w:top w:w="0" w:type="dxa"/>
              <w:right w:w="105" w:type="dxa"/>
              <w:bottom w:w="0" w:type="dxa"/>
            </w:tcMar>
            <w:tcW w:w="448" w:type="dxa"/>
            <w:vAlign w:val="center"/>
            <w:textDirection w:val="lrTb"/>
            <w:noWrap w:val="false"/>
          </w:tcPr>
          <w:p>
            <w:pPr>
              <w:pStyle w:val="1049"/>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万元</w:t>
            </w:r>
            <w:r>
              <w:rPr>
                <w:color w:val="auto"/>
                <w:highlight w:val="none"/>
              </w:rPr>
            </w:r>
            <w:r/>
          </w:p>
        </w:tc>
        <w:tc>
          <w:tcPr>
            <w:tcMar>
              <w:left w:w="105" w:type="dxa"/>
              <w:top w:w="0" w:type="dxa"/>
              <w:right w:w="105" w:type="dxa"/>
              <w:bottom w:w="0" w:type="dxa"/>
            </w:tcMar>
            <w:tcW w:w="1949"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2000≤Y＜10000</w:t>
            </w:r>
            <w:r>
              <w:rPr>
                <w:color w:val="auto"/>
                <w:highlight w:val="none"/>
              </w:rPr>
            </w:r>
            <w:r/>
          </w:p>
        </w:tc>
        <w:tc>
          <w:tcPr>
            <w:tcMar>
              <w:left w:w="105" w:type="dxa"/>
              <w:top w:w="0" w:type="dxa"/>
              <w:right w:w="105" w:type="dxa"/>
              <w:bottom w:w="0" w:type="dxa"/>
            </w:tcMar>
            <w:tcW w:w="1590"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100≤Y＜2000</w:t>
            </w:r>
            <w:r>
              <w:rPr>
                <w:color w:val="auto"/>
                <w:highlight w:val="none"/>
              </w:rPr>
            </w:r>
            <w:r/>
          </w:p>
        </w:tc>
        <w:tc>
          <w:tcPr>
            <w:tcMar>
              <w:left w:w="105" w:type="dxa"/>
              <w:top w:w="0" w:type="dxa"/>
              <w:right w:w="105" w:type="dxa"/>
              <w:bottom w:w="0" w:type="dxa"/>
            </w:tcMar>
            <w:tcW w:w="1376"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Y＜100</w:t>
            </w:r>
            <w:r>
              <w:rPr>
                <w:color w:val="auto"/>
                <w:highlight w:val="none"/>
              </w:rPr>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信息传输业</w:t>
            </w:r>
            <w:r>
              <w:rPr>
                <w:color w:val="auto"/>
                <w:highlight w:val="none"/>
              </w:rPr>
            </w:r>
            <w:r/>
          </w:p>
        </w:tc>
        <w:tc>
          <w:tcPr>
            <w:tcMar>
              <w:left w:w="105" w:type="dxa"/>
              <w:top w:w="0" w:type="dxa"/>
              <w:right w:w="105" w:type="dxa"/>
              <w:bottom w:w="0" w:type="dxa"/>
            </w:tcMar>
            <w:tcW w:w="1618"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从业人员（X）</w:t>
            </w:r>
            <w:r>
              <w:rPr>
                <w:color w:val="auto"/>
                <w:highlight w:val="none"/>
              </w:rPr>
            </w:r>
            <w:r/>
          </w:p>
        </w:tc>
        <w:tc>
          <w:tcPr>
            <w:tcMar>
              <w:left w:w="105" w:type="dxa"/>
              <w:top w:w="0" w:type="dxa"/>
              <w:right w:w="105" w:type="dxa"/>
              <w:bottom w:w="0" w:type="dxa"/>
            </w:tcMar>
            <w:tcW w:w="448" w:type="dxa"/>
            <w:vAlign w:val="center"/>
            <w:textDirection w:val="lrTb"/>
            <w:noWrap w:val="false"/>
          </w:tcPr>
          <w:p>
            <w:pPr>
              <w:pStyle w:val="1049"/>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人</w:t>
            </w:r>
            <w:r>
              <w:rPr>
                <w:color w:val="auto"/>
                <w:highlight w:val="none"/>
              </w:rPr>
            </w:r>
            <w:r/>
          </w:p>
        </w:tc>
        <w:tc>
          <w:tcPr>
            <w:tcMar>
              <w:left w:w="105" w:type="dxa"/>
              <w:top w:w="0" w:type="dxa"/>
              <w:right w:w="105" w:type="dxa"/>
              <w:bottom w:w="0" w:type="dxa"/>
            </w:tcMar>
            <w:tcW w:w="1949"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100≤X＜2000</w:t>
            </w:r>
            <w:r>
              <w:rPr>
                <w:color w:val="auto"/>
                <w:highlight w:val="none"/>
              </w:rPr>
            </w:r>
            <w:r/>
          </w:p>
        </w:tc>
        <w:tc>
          <w:tcPr>
            <w:tcMar>
              <w:left w:w="105" w:type="dxa"/>
              <w:top w:w="0" w:type="dxa"/>
              <w:right w:w="105" w:type="dxa"/>
              <w:bottom w:w="0" w:type="dxa"/>
            </w:tcMar>
            <w:tcW w:w="1590"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10≤X＜100</w:t>
            </w:r>
            <w:r>
              <w:rPr>
                <w:color w:val="auto"/>
                <w:highlight w:val="none"/>
              </w:rPr>
            </w:r>
            <w:r/>
          </w:p>
        </w:tc>
        <w:tc>
          <w:tcPr>
            <w:tcMar>
              <w:left w:w="105" w:type="dxa"/>
              <w:top w:w="0" w:type="dxa"/>
              <w:right w:w="105" w:type="dxa"/>
              <w:bottom w:w="0" w:type="dxa"/>
            </w:tcMar>
            <w:tcW w:w="1376"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X＜10</w:t>
            </w:r>
            <w:r>
              <w:rPr>
                <w:color w:val="auto"/>
                <w:highlight w:val="none"/>
              </w:rPr>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highlight w:val="none"/>
              </w:rPr>
            </w:pPr>
            <w:r>
              <w:rPr>
                <w:rFonts w:cs="宋体"/>
                <w:szCs w:val="21"/>
                <w:highlight w:val="none"/>
              </w:rPr>
            </w:r>
            <w:r/>
          </w:p>
        </w:tc>
        <w:tc>
          <w:tcPr>
            <w:tcMar>
              <w:left w:w="105" w:type="dxa"/>
              <w:top w:w="0" w:type="dxa"/>
              <w:right w:w="105" w:type="dxa"/>
              <w:bottom w:w="0" w:type="dxa"/>
            </w:tcMar>
            <w:tcW w:w="1618"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营业收入（Y）</w:t>
            </w:r>
            <w:r>
              <w:rPr>
                <w:color w:val="auto"/>
                <w:highlight w:val="none"/>
              </w:rPr>
            </w:r>
            <w:r/>
          </w:p>
        </w:tc>
        <w:tc>
          <w:tcPr>
            <w:tcMar>
              <w:left w:w="105" w:type="dxa"/>
              <w:top w:w="0" w:type="dxa"/>
              <w:right w:w="105" w:type="dxa"/>
              <w:bottom w:w="0" w:type="dxa"/>
            </w:tcMar>
            <w:tcW w:w="448" w:type="dxa"/>
            <w:vAlign w:val="center"/>
            <w:textDirection w:val="lrTb"/>
            <w:noWrap w:val="false"/>
          </w:tcPr>
          <w:p>
            <w:pPr>
              <w:pStyle w:val="1049"/>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万元</w:t>
            </w:r>
            <w:r>
              <w:rPr>
                <w:color w:val="auto"/>
                <w:highlight w:val="none"/>
              </w:rPr>
            </w:r>
            <w:r/>
          </w:p>
        </w:tc>
        <w:tc>
          <w:tcPr>
            <w:tcMar>
              <w:left w:w="105" w:type="dxa"/>
              <w:top w:w="0" w:type="dxa"/>
              <w:right w:w="105" w:type="dxa"/>
              <w:bottom w:w="0" w:type="dxa"/>
            </w:tcMar>
            <w:tcW w:w="1949"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1000≤Y＜100000</w:t>
            </w:r>
            <w:r>
              <w:rPr>
                <w:color w:val="auto"/>
                <w:highlight w:val="none"/>
              </w:rPr>
            </w:r>
            <w:r/>
          </w:p>
        </w:tc>
        <w:tc>
          <w:tcPr>
            <w:tcMar>
              <w:left w:w="105" w:type="dxa"/>
              <w:top w:w="0" w:type="dxa"/>
              <w:right w:w="105" w:type="dxa"/>
              <w:bottom w:w="0" w:type="dxa"/>
            </w:tcMar>
            <w:tcW w:w="1590"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100≤Y＜1000</w:t>
            </w:r>
            <w:r>
              <w:rPr>
                <w:color w:val="auto"/>
                <w:highlight w:val="none"/>
              </w:rPr>
            </w:r>
            <w:r/>
          </w:p>
        </w:tc>
        <w:tc>
          <w:tcPr>
            <w:tcMar>
              <w:left w:w="105" w:type="dxa"/>
              <w:top w:w="0" w:type="dxa"/>
              <w:right w:w="105" w:type="dxa"/>
              <w:bottom w:w="0" w:type="dxa"/>
            </w:tcMar>
            <w:tcW w:w="1376"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Y＜100</w:t>
            </w:r>
            <w:r>
              <w:rPr>
                <w:color w:val="auto"/>
                <w:highlight w:val="none"/>
              </w:rPr>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软件和信息技术服务业</w:t>
            </w:r>
            <w:r>
              <w:rPr>
                <w:color w:val="auto"/>
                <w:highlight w:val="none"/>
              </w:rPr>
            </w:r>
            <w:r/>
          </w:p>
        </w:tc>
        <w:tc>
          <w:tcPr>
            <w:tcMar>
              <w:left w:w="105" w:type="dxa"/>
              <w:top w:w="0" w:type="dxa"/>
              <w:right w:w="105" w:type="dxa"/>
              <w:bottom w:w="0" w:type="dxa"/>
            </w:tcMar>
            <w:tcW w:w="1618"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从业人员（X）</w:t>
            </w:r>
            <w:r>
              <w:rPr>
                <w:color w:val="auto"/>
                <w:highlight w:val="none"/>
              </w:rPr>
            </w:r>
            <w:r/>
          </w:p>
        </w:tc>
        <w:tc>
          <w:tcPr>
            <w:tcMar>
              <w:left w:w="105" w:type="dxa"/>
              <w:top w:w="0" w:type="dxa"/>
              <w:right w:w="105" w:type="dxa"/>
              <w:bottom w:w="0" w:type="dxa"/>
            </w:tcMar>
            <w:tcW w:w="448" w:type="dxa"/>
            <w:vAlign w:val="center"/>
            <w:textDirection w:val="lrTb"/>
            <w:noWrap w:val="false"/>
          </w:tcPr>
          <w:p>
            <w:pPr>
              <w:pStyle w:val="1049"/>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人</w:t>
            </w:r>
            <w:r>
              <w:rPr>
                <w:color w:val="auto"/>
                <w:highlight w:val="none"/>
              </w:rPr>
            </w:r>
            <w:r/>
          </w:p>
        </w:tc>
        <w:tc>
          <w:tcPr>
            <w:tcMar>
              <w:left w:w="105" w:type="dxa"/>
              <w:top w:w="0" w:type="dxa"/>
              <w:right w:w="105" w:type="dxa"/>
              <w:bottom w:w="0" w:type="dxa"/>
            </w:tcMar>
            <w:tcW w:w="1949"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100≤X＜300</w:t>
            </w:r>
            <w:r>
              <w:rPr>
                <w:color w:val="auto"/>
                <w:highlight w:val="none"/>
              </w:rPr>
            </w:r>
            <w:r/>
          </w:p>
        </w:tc>
        <w:tc>
          <w:tcPr>
            <w:tcMar>
              <w:left w:w="105" w:type="dxa"/>
              <w:top w:w="0" w:type="dxa"/>
              <w:right w:w="105" w:type="dxa"/>
              <w:bottom w:w="0" w:type="dxa"/>
            </w:tcMar>
            <w:tcW w:w="1590"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10≤X＜100</w:t>
            </w:r>
            <w:r>
              <w:rPr>
                <w:color w:val="auto"/>
                <w:highlight w:val="none"/>
              </w:rPr>
            </w:r>
            <w:r/>
          </w:p>
        </w:tc>
        <w:tc>
          <w:tcPr>
            <w:tcMar>
              <w:left w:w="105" w:type="dxa"/>
              <w:top w:w="0" w:type="dxa"/>
              <w:right w:w="105" w:type="dxa"/>
              <w:bottom w:w="0" w:type="dxa"/>
            </w:tcMar>
            <w:tcW w:w="1376"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X＜10</w:t>
            </w:r>
            <w:r>
              <w:rPr>
                <w:color w:val="auto"/>
                <w:highlight w:val="none"/>
              </w:rPr>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highlight w:val="none"/>
              </w:rPr>
            </w:pPr>
            <w:r>
              <w:rPr>
                <w:rFonts w:cs="宋体"/>
                <w:szCs w:val="21"/>
                <w:highlight w:val="none"/>
              </w:rPr>
            </w:r>
            <w:r/>
          </w:p>
        </w:tc>
        <w:tc>
          <w:tcPr>
            <w:tcMar>
              <w:left w:w="105" w:type="dxa"/>
              <w:top w:w="0" w:type="dxa"/>
              <w:right w:w="105" w:type="dxa"/>
              <w:bottom w:w="0" w:type="dxa"/>
            </w:tcMar>
            <w:tcW w:w="1618"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营业收入（Y）</w:t>
            </w:r>
            <w:r>
              <w:rPr>
                <w:color w:val="auto"/>
                <w:highlight w:val="none"/>
              </w:rPr>
            </w:r>
            <w:r/>
          </w:p>
        </w:tc>
        <w:tc>
          <w:tcPr>
            <w:tcMar>
              <w:left w:w="105" w:type="dxa"/>
              <w:top w:w="0" w:type="dxa"/>
              <w:right w:w="105" w:type="dxa"/>
              <w:bottom w:w="0" w:type="dxa"/>
            </w:tcMar>
            <w:tcW w:w="448" w:type="dxa"/>
            <w:vAlign w:val="center"/>
            <w:textDirection w:val="lrTb"/>
            <w:noWrap w:val="false"/>
          </w:tcPr>
          <w:p>
            <w:pPr>
              <w:pStyle w:val="1049"/>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万元</w:t>
            </w:r>
            <w:r>
              <w:rPr>
                <w:color w:val="auto"/>
                <w:highlight w:val="none"/>
              </w:rPr>
            </w:r>
            <w:r/>
          </w:p>
        </w:tc>
        <w:tc>
          <w:tcPr>
            <w:tcMar>
              <w:left w:w="105" w:type="dxa"/>
              <w:top w:w="0" w:type="dxa"/>
              <w:right w:w="105" w:type="dxa"/>
              <w:bottom w:w="0" w:type="dxa"/>
            </w:tcMar>
            <w:tcW w:w="1949"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1000≤Y＜10000</w:t>
            </w:r>
            <w:r>
              <w:rPr>
                <w:color w:val="auto"/>
                <w:highlight w:val="none"/>
              </w:rPr>
            </w:r>
            <w:r/>
          </w:p>
        </w:tc>
        <w:tc>
          <w:tcPr>
            <w:tcMar>
              <w:left w:w="105" w:type="dxa"/>
              <w:top w:w="0" w:type="dxa"/>
              <w:right w:w="105" w:type="dxa"/>
              <w:bottom w:w="0" w:type="dxa"/>
            </w:tcMar>
            <w:tcW w:w="1590"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50≤Y＜1000</w:t>
            </w:r>
            <w:r>
              <w:rPr>
                <w:color w:val="auto"/>
                <w:highlight w:val="none"/>
              </w:rPr>
            </w:r>
            <w:r/>
          </w:p>
        </w:tc>
        <w:tc>
          <w:tcPr>
            <w:tcMar>
              <w:left w:w="105" w:type="dxa"/>
              <w:top w:w="0" w:type="dxa"/>
              <w:right w:w="105" w:type="dxa"/>
              <w:bottom w:w="0" w:type="dxa"/>
            </w:tcMar>
            <w:tcW w:w="1376"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Y＜50</w:t>
            </w:r>
            <w:r>
              <w:rPr>
                <w:color w:val="auto"/>
                <w:highlight w:val="none"/>
              </w:rPr>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房地产开发经营</w:t>
            </w:r>
            <w:r>
              <w:rPr>
                <w:color w:val="auto"/>
                <w:highlight w:val="none"/>
              </w:rPr>
            </w:r>
            <w:r/>
          </w:p>
        </w:tc>
        <w:tc>
          <w:tcPr>
            <w:tcMar>
              <w:left w:w="105" w:type="dxa"/>
              <w:top w:w="0" w:type="dxa"/>
              <w:right w:w="105" w:type="dxa"/>
              <w:bottom w:w="0" w:type="dxa"/>
            </w:tcMar>
            <w:tcW w:w="1618"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营业收入（Y）</w:t>
            </w:r>
            <w:r>
              <w:rPr>
                <w:color w:val="auto"/>
                <w:highlight w:val="none"/>
              </w:rPr>
            </w:r>
            <w:r/>
          </w:p>
        </w:tc>
        <w:tc>
          <w:tcPr>
            <w:tcMar>
              <w:left w:w="105" w:type="dxa"/>
              <w:top w:w="0" w:type="dxa"/>
              <w:right w:w="105" w:type="dxa"/>
              <w:bottom w:w="0" w:type="dxa"/>
            </w:tcMar>
            <w:tcW w:w="448" w:type="dxa"/>
            <w:vAlign w:val="center"/>
            <w:textDirection w:val="lrTb"/>
            <w:noWrap w:val="false"/>
          </w:tcPr>
          <w:p>
            <w:pPr>
              <w:pStyle w:val="1049"/>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万元</w:t>
            </w:r>
            <w:r>
              <w:rPr>
                <w:color w:val="auto"/>
                <w:highlight w:val="none"/>
              </w:rPr>
            </w:r>
            <w:r/>
          </w:p>
        </w:tc>
        <w:tc>
          <w:tcPr>
            <w:tcMar>
              <w:left w:w="105" w:type="dxa"/>
              <w:top w:w="0" w:type="dxa"/>
              <w:right w:w="105" w:type="dxa"/>
              <w:bottom w:w="0" w:type="dxa"/>
            </w:tcMar>
            <w:tcW w:w="1949"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1000≤Y＜200000</w:t>
            </w:r>
            <w:r>
              <w:rPr>
                <w:color w:val="auto"/>
                <w:highlight w:val="none"/>
              </w:rPr>
            </w:r>
            <w:r/>
          </w:p>
        </w:tc>
        <w:tc>
          <w:tcPr>
            <w:tcMar>
              <w:left w:w="105" w:type="dxa"/>
              <w:top w:w="0" w:type="dxa"/>
              <w:right w:w="105" w:type="dxa"/>
              <w:bottom w:w="0" w:type="dxa"/>
            </w:tcMar>
            <w:tcW w:w="1590"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100≤X＜1000</w:t>
            </w:r>
            <w:r>
              <w:rPr>
                <w:color w:val="auto"/>
                <w:highlight w:val="none"/>
              </w:rPr>
            </w:r>
            <w:r/>
          </w:p>
        </w:tc>
        <w:tc>
          <w:tcPr>
            <w:tcMar>
              <w:left w:w="105" w:type="dxa"/>
              <w:top w:w="0" w:type="dxa"/>
              <w:right w:w="105" w:type="dxa"/>
              <w:bottom w:w="0" w:type="dxa"/>
            </w:tcMar>
            <w:tcW w:w="1376"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X＜100</w:t>
            </w:r>
            <w:r>
              <w:rPr>
                <w:color w:val="auto"/>
                <w:highlight w:val="none"/>
              </w:rPr>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highlight w:val="none"/>
              </w:rPr>
            </w:pPr>
            <w:r>
              <w:rPr>
                <w:rFonts w:cs="宋体"/>
                <w:szCs w:val="21"/>
                <w:highlight w:val="none"/>
              </w:rPr>
            </w:r>
            <w:r/>
          </w:p>
        </w:tc>
        <w:tc>
          <w:tcPr>
            <w:tcMar>
              <w:left w:w="105" w:type="dxa"/>
              <w:top w:w="0" w:type="dxa"/>
              <w:right w:w="105" w:type="dxa"/>
              <w:bottom w:w="0" w:type="dxa"/>
            </w:tcMar>
            <w:tcW w:w="1618"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资产总额（Z）</w:t>
            </w:r>
            <w:r>
              <w:rPr>
                <w:color w:val="auto"/>
                <w:highlight w:val="none"/>
              </w:rPr>
            </w:r>
            <w:r/>
          </w:p>
        </w:tc>
        <w:tc>
          <w:tcPr>
            <w:tcMar>
              <w:left w:w="105" w:type="dxa"/>
              <w:top w:w="0" w:type="dxa"/>
              <w:right w:w="105" w:type="dxa"/>
              <w:bottom w:w="0" w:type="dxa"/>
            </w:tcMar>
            <w:tcW w:w="448" w:type="dxa"/>
            <w:vAlign w:val="center"/>
            <w:textDirection w:val="lrTb"/>
            <w:noWrap w:val="false"/>
          </w:tcPr>
          <w:p>
            <w:pPr>
              <w:pStyle w:val="1049"/>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万元</w:t>
            </w:r>
            <w:r>
              <w:rPr>
                <w:color w:val="auto"/>
                <w:highlight w:val="none"/>
              </w:rPr>
            </w:r>
            <w:r/>
          </w:p>
        </w:tc>
        <w:tc>
          <w:tcPr>
            <w:tcMar>
              <w:left w:w="105" w:type="dxa"/>
              <w:top w:w="0" w:type="dxa"/>
              <w:right w:w="105" w:type="dxa"/>
              <w:bottom w:w="0" w:type="dxa"/>
            </w:tcMar>
            <w:tcW w:w="1949"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5000≤Z＜10000</w:t>
            </w:r>
            <w:r>
              <w:rPr>
                <w:color w:val="auto"/>
                <w:highlight w:val="none"/>
              </w:rPr>
            </w:r>
            <w:r/>
          </w:p>
        </w:tc>
        <w:tc>
          <w:tcPr>
            <w:tcMar>
              <w:left w:w="105" w:type="dxa"/>
              <w:top w:w="0" w:type="dxa"/>
              <w:right w:w="105" w:type="dxa"/>
              <w:bottom w:w="0" w:type="dxa"/>
            </w:tcMar>
            <w:tcW w:w="1590"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2000≤Y＜5000</w:t>
            </w:r>
            <w:r>
              <w:rPr>
                <w:color w:val="auto"/>
                <w:highlight w:val="none"/>
              </w:rPr>
            </w:r>
            <w:r/>
          </w:p>
        </w:tc>
        <w:tc>
          <w:tcPr>
            <w:tcMar>
              <w:left w:w="105" w:type="dxa"/>
              <w:top w:w="0" w:type="dxa"/>
              <w:right w:w="105" w:type="dxa"/>
              <w:bottom w:w="0" w:type="dxa"/>
            </w:tcMar>
            <w:tcW w:w="1376"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Y＜2000</w:t>
            </w:r>
            <w:r>
              <w:rPr>
                <w:color w:val="auto"/>
                <w:highlight w:val="none"/>
              </w:rPr>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物业管理</w:t>
            </w:r>
            <w:r>
              <w:rPr>
                <w:color w:val="auto"/>
                <w:highlight w:val="none"/>
              </w:rPr>
            </w:r>
            <w:r/>
          </w:p>
        </w:tc>
        <w:tc>
          <w:tcPr>
            <w:tcMar>
              <w:left w:w="105" w:type="dxa"/>
              <w:top w:w="0" w:type="dxa"/>
              <w:right w:w="105" w:type="dxa"/>
              <w:bottom w:w="0" w:type="dxa"/>
            </w:tcMar>
            <w:tcW w:w="1618"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从业人员（X）</w:t>
            </w:r>
            <w:r>
              <w:rPr>
                <w:color w:val="auto"/>
                <w:highlight w:val="none"/>
              </w:rPr>
            </w:r>
            <w:r/>
          </w:p>
        </w:tc>
        <w:tc>
          <w:tcPr>
            <w:tcMar>
              <w:left w:w="105" w:type="dxa"/>
              <w:top w:w="0" w:type="dxa"/>
              <w:right w:w="105" w:type="dxa"/>
              <w:bottom w:w="0" w:type="dxa"/>
            </w:tcMar>
            <w:tcW w:w="448" w:type="dxa"/>
            <w:vAlign w:val="center"/>
            <w:textDirection w:val="lrTb"/>
            <w:noWrap w:val="false"/>
          </w:tcPr>
          <w:p>
            <w:pPr>
              <w:pStyle w:val="1049"/>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人</w:t>
            </w:r>
            <w:r>
              <w:rPr>
                <w:color w:val="auto"/>
                <w:highlight w:val="none"/>
              </w:rPr>
            </w:r>
            <w:r/>
          </w:p>
        </w:tc>
        <w:tc>
          <w:tcPr>
            <w:tcMar>
              <w:left w:w="105" w:type="dxa"/>
              <w:top w:w="0" w:type="dxa"/>
              <w:right w:w="105" w:type="dxa"/>
              <w:bottom w:w="0" w:type="dxa"/>
            </w:tcMar>
            <w:tcW w:w="1949"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300≤X＜1000</w:t>
            </w:r>
            <w:r>
              <w:rPr>
                <w:color w:val="auto"/>
                <w:highlight w:val="none"/>
              </w:rPr>
            </w:r>
            <w:r/>
          </w:p>
        </w:tc>
        <w:tc>
          <w:tcPr>
            <w:tcMar>
              <w:left w:w="105" w:type="dxa"/>
              <w:top w:w="0" w:type="dxa"/>
              <w:right w:w="105" w:type="dxa"/>
              <w:bottom w:w="0" w:type="dxa"/>
            </w:tcMar>
            <w:tcW w:w="1590"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100≤X＜300</w:t>
            </w:r>
            <w:r>
              <w:rPr>
                <w:color w:val="auto"/>
                <w:highlight w:val="none"/>
              </w:rPr>
            </w:r>
            <w:r/>
          </w:p>
        </w:tc>
        <w:tc>
          <w:tcPr>
            <w:tcMar>
              <w:left w:w="105" w:type="dxa"/>
              <w:top w:w="0" w:type="dxa"/>
              <w:right w:w="105" w:type="dxa"/>
              <w:bottom w:w="0" w:type="dxa"/>
            </w:tcMar>
            <w:tcW w:w="1376"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X＜100</w:t>
            </w:r>
            <w:r>
              <w:rPr>
                <w:color w:val="auto"/>
                <w:highlight w:val="none"/>
              </w:rPr>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highlight w:val="none"/>
              </w:rPr>
            </w:pPr>
            <w:r>
              <w:rPr>
                <w:rFonts w:cs="宋体"/>
                <w:szCs w:val="21"/>
                <w:highlight w:val="none"/>
              </w:rPr>
            </w:r>
            <w:r/>
          </w:p>
        </w:tc>
        <w:tc>
          <w:tcPr>
            <w:tcMar>
              <w:left w:w="105" w:type="dxa"/>
              <w:top w:w="0" w:type="dxa"/>
              <w:right w:w="105" w:type="dxa"/>
              <w:bottom w:w="0" w:type="dxa"/>
            </w:tcMar>
            <w:tcW w:w="1618"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营业收入（Y）</w:t>
            </w:r>
            <w:r>
              <w:rPr>
                <w:color w:val="auto"/>
                <w:highlight w:val="none"/>
              </w:rPr>
            </w:r>
            <w:r/>
          </w:p>
        </w:tc>
        <w:tc>
          <w:tcPr>
            <w:tcMar>
              <w:left w:w="105" w:type="dxa"/>
              <w:top w:w="0" w:type="dxa"/>
              <w:right w:w="105" w:type="dxa"/>
              <w:bottom w:w="0" w:type="dxa"/>
            </w:tcMar>
            <w:tcW w:w="448" w:type="dxa"/>
            <w:vAlign w:val="center"/>
            <w:textDirection w:val="lrTb"/>
            <w:noWrap w:val="false"/>
          </w:tcPr>
          <w:p>
            <w:pPr>
              <w:pStyle w:val="1049"/>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万元</w:t>
            </w:r>
            <w:r>
              <w:rPr>
                <w:color w:val="auto"/>
                <w:highlight w:val="none"/>
              </w:rPr>
            </w:r>
            <w:r/>
          </w:p>
        </w:tc>
        <w:tc>
          <w:tcPr>
            <w:tcMar>
              <w:left w:w="105" w:type="dxa"/>
              <w:top w:w="0" w:type="dxa"/>
              <w:right w:w="105" w:type="dxa"/>
              <w:bottom w:w="0" w:type="dxa"/>
            </w:tcMar>
            <w:tcW w:w="1949"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1000≤Y＜5000</w:t>
            </w:r>
            <w:r>
              <w:rPr>
                <w:color w:val="auto"/>
                <w:highlight w:val="none"/>
              </w:rPr>
            </w:r>
            <w:r/>
          </w:p>
        </w:tc>
        <w:tc>
          <w:tcPr>
            <w:tcMar>
              <w:left w:w="105" w:type="dxa"/>
              <w:top w:w="0" w:type="dxa"/>
              <w:right w:w="105" w:type="dxa"/>
              <w:bottom w:w="0" w:type="dxa"/>
            </w:tcMar>
            <w:tcW w:w="1590"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500≤Y＜1000</w:t>
            </w:r>
            <w:r>
              <w:rPr>
                <w:color w:val="auto"/>
                <w:highlight w:val="none"/>
              </w:rPr>
            </w:r>
            <w:r/>
          </w:p>
        </w:tc>
        <w:tc>
          <w:tcPr>
            <w:tcMar>
              <w:left w:w="105" w:type="dxa"/>
              <w:top w:w="0" w:type="dxa"/>
              <w:right w:w="105" w:type="dxa"/>
              <w:bottom w:w="0" w:type="dxa"/>
            </w:tcMar>
            <w:tcW w:w="1376"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Y＜500</w:t>
            </w:r>
            <w:r>
              <w:rPr>
                <w:color w:val="auto"/>
                <w:highlight w:val="none"/>
              </w:rPr>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租赁和商务服务业</w:t>
            </w:r>
            <w:r>
              <w:rPr>
                <w:color w:val="auto"/>
                <w:highlight w:val="none"/>
              </w:rPr>
            </w:r>
            <w:r/>
          </w:p>
        </w:tc>
        <w:tc>
          <w:tcPr>
            <w:tcMar>
              <w:left w:w="105" w:type="dxa"/>
              <w:top w:w="0" w:type="dxa"/>
              <w:right w:w="105" w:type="dxa"/>
              <w:bottom w:w="0" w:type="dxa"/>
            </w:tcMar>
            <w:tcW w:w="1618"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从业人员（X）</w:t>
            </w:r>
            <w:r>
              <w:rPr>
                <w:color w:val="auto"/>
                <w:highlight w:val="none"/>
              </w:rPr>
            </w:r>
            <w:r/>
          </w:p>
        </w:tc>
        <w:tc>
          <w:tcPr>
            <w:tcMar>
              <w:left w:w="105" w:type="dxa"/>
              <w:top w:w="0" w:type="dxa"/>
              <w:right w:w="105" w:type="dxa"/>
              <w:bottom w:w="0" w:type="dxa"/>
            </w:tcMar>
            <w:tcW w:w="448" w:type="dxa"/>
            <w:vAlign w:val="center"/>
            <w:textDirection w:val="lrTb"/>
            <w:noWrap w:val="false"/>
          </w:tcPr>
          <w:p>
            <w:pPr>
              <w:pStyle w:val="1049"/>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人</w:t>
            </w:r>
            <w:r>
              <w:rPr>
                <w:color w:val="auto"/>
                <w:highlight w:val="none"/>
              </w:rPr>
            </w:r>
            <w:r/>
          </w:p>
        </w:tc>
        <w:tc>
          <w:tcPr>
            <w:tcMar>
              <w:left w:w="105" w:type="dxa"/>
              <w:top w:w="0" w:type="dxa"/>
              <w:right w:w="105" w:type="dxa"/>
              <w:bottom w:w="0" w:type="dxa"/>
            </w:tcMar>
            <w:tcW w:w="1949"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100≤X＜300</w:t>
            </w:r>
            <w:r>
              <w:rPr>
                <w:color w:val="auto"/>
                <w:highlight w:val="none"/>
              </w:rPr>
            </w:r>
            <w:r/>
          </w:p>
        </w:tc>
        <w:tc>
          <w:tcPr>
            <w:tcMar>
              <w:left w:w="105" w:type="dxa"/>
              <w:top w:w="0" w:type="dxa"/>
              <w:right w:w="105" w:type="dxa"/>
              <w:bottom w:w="0" w:type="dxa"/>
            </w:tcMar>
            <w:tcW w:w="1590"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10≤X＜100</w:t>
            </w:r>
            <w:r>
              <w:rPr>
                <w:color w:val="auto"/>
                <w:highlight w:val="none"/>
              </w:rPr>
            </w:r>
            <w:r/>
          </w:p>
        </w:tc>
        <w:tc>
          <w:tcPr>
            <w:tcMar>
              <w:left w:w="105" w:type="dxa"/>
              <w:top w:w="0" w:type="dxa"/>
              <w:right w:w="105" w:type="dxa"/>
              <w:bottom w:w="0" w:type="dxa"/>
            </w:tcMar>
            <w:tcW w:w="1376"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X＜10</w:t>
            </w:r>
            <w:r>
              <w:rPr>
                <w:color w:val="auto"/>
                <w:highlight w:val="none"/>
              </w:rPr>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highlight w:val="none"/>
              </w:rPr>
            </w:pPr>
            <w:r>
              <w:rPr>
                <w:rFonts w:cs="宋体"/>
                <w:szCs w:val="21"/>
                <w:highlight w:val="none"/>
              </w:rPr>
            </w:r>
            <w:r/>
          </w:p>
        </w:tc>
        <w:tc>
          <w:tcPr>
            <w:tcMar>
              <w:left w:w="105" w:type="dxa"/>
              <w:top w:w="0" w:type="dxa"/>
              <w:right w:w="105" w:type="dxa"/>
              <w:bottom w:w="0" w:type="dxa"/>
            </w:tcMar>
            <w:tcW w:w="1618"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资产总额（Z）</w:t>
            </w:r>
            <w:r>
              <w:rPr>
                <w:color w:val="auto"/>
                <w:highlight w:val="none"/>
              </w:rPr>
            </w:r>
            <w:r/>
          </w:p>
        </w:tc>
        <w:tc>
          <w:tcPr>
            <w:tcMar>
              <w:left w:w="105" w:type="dxa"/>
              <w:top w:w="0" w:type="dxa"/>
              <w:right w:w="105" w:type="dxa"/>
              <w:bottom w:w="0" w:type="dxa"/>
            </w:tcMar>
            <w:tcW w:w="448" w:type="dxa"/>
            <w:vAlign w:val="center"/>
            <w:textDirection w:val="lrTb"/>
            <w:noWrap w:val="false"/>
          </w:tcPr>
          <w:p>
            <w:pPr>
              <w:pStyle w:val="1049"/>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万元</w:t>
            </w:r>
            <w:r>
              <w:rPr>
                <w:color w:val="auto"/>
                <w:highlight w:val="none"/>
              </w:rPr>
            </w:r>
            <w:r/>
          </w:p>
        </w:tc>
        <w:tc>
          <w:tcPr>
            <w:tcMar>
              <w:left w:w="105" w:type="dxa"/>
              <w:top w:w="0" w:type="dxa"/>
              <w:right w:w="105" w:type="dxa"/>
              <w:bottom w:w="0" w:type="dxa"/>
            </w:tcMar>
            <w:tcW w:w="1949"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8000≤Z＜120000</w:t>
            </w:r>
            <w:r>
              <w:rPr>
                <w:color w:val="auto"/>
                <w:highlight w:val="none"/>
              </w:rPr>
            </w:r>
            <w:r/>
          </w:p>
        </w:tc>
        <w:tc>
          <w:tcPr>
            <w:tcMar>
              <w:left w:w="105" w:type="dxa"/>
              <w:top w:w="0" w:type="dxa"/>
              <w:right w:w="105" w:type="dxa"/>
              <w:bottom w:w="0" w:type="dxa"/>
            </w:tcMar>
            <w:tcW w:w="1590"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100≤Z＜8000</w:t>
            </w:r>
            <w:r>
              <w:rPr>
                <w:color w:val="auto"/>
                <w:highlight w:val="none"/>
              </w:rPr>
            </w:r>
            <w:r/>
          </w:p>
        </w:tc>
        <w:tc>
          <w:tcPr>
            <w:tcMar>
              <w:left w:w="105" w:type="dxa"/>
              <w:top w:w="0" w:type="dxa"/>
              <w:right w:w="105" w:type="dxa"/>
              <w:bottom w:w="0" w:type="dxa"/>
            </w:tcMar>
            <w:tcW w:w="1376"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Y＜100</w:t>
            </w:r>
            <w:r>
              <w:rPr>
                <w:color w:val="auto"/>
                <w:highlight w:val="none"/>
              </w:rPr>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其他未列明行业</w:t>
            </w:r>
            <w:r>
              <w:rPr>
                <w:color w:val="auto"/>
                <w:highlight w:val="none"/>
              </w:rPr>
            </w:r>
            <w:r/>
          </w:p>
        </w:tc>
        <w:tc>
          <w:tcPr>
            <w:tcMar>
              <w:left w:w="105" w:type="dxa"/>
              <w:top w:w="0" w:type="dxa"/>
              <w:right w:w="105" w:type="dxa"/>
              <w:bottom w:w="0" w:type="dxa"/>
            </w:tcMar>
            <w:tcW w:w="1618"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从业人员（X）</w:t>
            </w:r>
            <w:r>
              <w:rPr>
                <w:color w:val="auto"/>
                <w:highlight w:val="none"/>
              </w:rPr>
            </w:r>
            <w:r/>
          </w:p>
        </w:tc>
        <w:tc>
          <w:tcPr>
            <w:tcMar>
              <w:left w:w="105" w:type="dxa"/>
              <w:top w:w="0" w:type="dxa"/>
              <w:right w:w="105" w:type="dxa"/>
              <w:bottom w:w="0" w:type="dxa"/>
            </w:tcMar>
            <w:tcW w:w="448" w:type="dxa"/>
            <w:vAlign w:val="center"/>
            <w:textDirection w:val="lrTb"/>
            <w:noWrap w:val="false"/>
          </w:tcPr>
          <w:p>
            <w:pPr>
              <w:pStyle w:val="1049"/>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人</w:t>
            </w:r>
            <w:r>
              <w:rPr>
                <w:color w:val="auto"/>
                <w:highlight w:val="none"/>
              </w:rPr>
            </w:r>
            <w:r/>
          </w:p>
        </w:tc>
        <w:tc>
          <w:tcPr>
            <w:tcMar>
              <w:left w:w="105" w:type="dxa"/>
              <w:top w:w="0" w:type="dxa"/>
              <w:right w:w="105" w:type="dxa"/>
              <w:bottom w:w="0" w:type="dxa"/>
            </w:tcMar>
            <w:tcW w:w="1949"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100≤X＜300</w:t>
            </w:r>
            <w:r>
              <w:rPr>
                <w:color w:val="auto"/>
                <w:highlight w:val="none"/>
              </w:rPr>
            </w:r>
            <w:r/>
          </w:p>
        </w:tc>
        <w:tc>
          <w:tcPr>
            <w:tcMar>
              <w:left w:w="105" w:type="dxa"/>
              <w:top w:w="0" w:type="dxa"/>
              <w:right w:w="105" w:type="dxa"/>
              <w:bottom w:w="0" w:type="dxa"/>
            </w:tcMar>
            <w:tcW w:w="1590"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10≤X＜100</w:t>
            </w:r>
            <w:r>
              <w:rPr>
                <w:color w:val="auto"/>
                <w:highlight w:val="none"/>
              </w:rPr>
            </w:r>
            <w:r/>
          </w:p>
        </w:tc>
        <w:tc>
          <w:tcPr>
            <w:tcMar>
              <w:left w:w="105" w:type="dxa"/>
              <w:top w:w="0" w:type="dxa"/>
              <w:right w:w="105" w:type="dxa"/>
              <w:bottom w:w="0" w:type="dxa"/>
            </w:tcMar>
            <w:tcW w:w="1376" w:type="dxa"/>
            <w:vAlign w:val="center"/>
            <w:textDirection w:val="lrTb"/>
            <w:noWrap w:val="false"/>
          </w:tcPr>
          <w:p>
            <w:pPr>
              <w:pStyle w:val="1049"/>
              <w:jc w:val="center"/>
              <w:spacing w:line="360" w:lineRule="auto"/>
              <w:rPr>
                <w:rFonts w:hint="eastAsia" w:hAnsi="宋体" w:cs="宋体"/>
                <w:color w:val="auto"/>
                <w:sz w:val="21"/>
                <w:szCs w:val="21"/>
                <w:highlight w:val="none"/>
              </w:rPr>
            </w:pPr>
            <w:r>
              <w:rPr>
                <w:rStyle w:val="1057"/>
                <w:rFonts w:hint="eastAsia" w:hAnsi="宋体" w:cs="宋体"/>
                <w:color w:val="auto"/>
                <w:sz w:val="21"/>
                <w:szCs w:val="21"/>
                <w:highlight w:val="none"/>
              </w:rPr>
              <w:t xml:space="preserve">X＜10</w:t>
            </w:r>
            <w:r>
              <w:rPr>
                <w:color w:val="auto"/>
                <w:highlight w:val="none"/>
              </w:rPr>
            </w:r>
            <w:r/>
          </w:p>
        </w:tc>
      </w:tr>
    </w:tbl>
    <w:p>
      <w:pPr>
        <w:pStyle w:val="1049"/>
        <w:ind w:firstLine="420"/>
        <w:spacing w:before="300" w:after="452" w:line="360" w:lineRule="auto"/>
        <w:rPr>
          <w:rStyle w:val="1057"/>
          <w:rFonts w:hint="eastAsia" w:hAnsi="宋体" w:cs="宋体"/>
          <w:color w:val="auto"/>
          <w:sz w:val="21"/>
          <w:szCs w:val="21"/>
          <w:highlight w:val="none"/>
        </w:rPr>
      </w:pPr>
      <w:r>
        <w:rPr>
          <w:rStyle w:val="1057"/>
          <w:rFonts w:hint="eastAsia"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color w:val="auto"/>
          <w:highlight w:val="none"/>
        </w:rPr>
      </w:r>
      <w:r/>
    </w:p>
    <w:p>
      <w:pPr>
        <w:jc w:val="left"/>
        <w:widowControl/>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br w:type="page" w:clear="all"/>
      </w:r>
      <w:r>
        <w:rPr>
          <w:color w:val="auto"/>
          <w:highlight w:val="none"/>
        </w:rPr>
      </w:r>
      <w:r/>
    </w:p>
    <w:p>
      <w:pPr>
        <w:jc w:val="center"/>
        <w:rPr>
          <w:color w:val="auto"/>
          <w:highlight w:val="none"/>
        </w:rPr>
      </w:pPr>
      <w:r>
        <w:rPr>
          <w:rFonts w:hint="eastAsia" w:ascii="黑体" w:hAnsi="黑体" w:eastAsia="黑体"/>
          <w:b/>
          <w:color w:val="auto"/>
          <w:sz w:val="32"/>
          <w:szCs w:val="24"/>
          <w:highlight w:val="none"/>
        </w:rPr>
        <w:t xml:space="preserve">属于监狱企业的证明文件</w:t>
      </w:r>
      <w:r>
        <w:rPr>
          <w:color w:val="auto"/>
          <w:highlight w:val="none"/>
        </w:rPr>
      </w:r>
      <w:r/>
    </w:p>
    <w:p>
      <w:pPr>
        <w:rPr>
          <w:color w:val="auto"/>
          <w:highlight w:val="none"/>
        </w:rPr>
      </w:pPr>
      <w:r>
        <w:rPr>
          <w:rFonts w:hint="eastAsia"/>
          <w:color w:val="auto"/>
          <w:highlight w:val="none"/>
        </w:rPr>
        <w:t xml:space="preserve">（提供由省级以上监狱管理局、戒毒管理局(含新疆生产建设兵团)出具的属于监狱企业的证明文件）</w:t>
      </w:r>
      <w:r>
        <w:rPr>
          <w:color w:val="auto"/>
          <w:highlight w:val="none"/>
        </w:rPr>
      </w:r>
      <w:r/>
    </w:p>
    <w:p>
      <w:pPr>
        <w:rPr>
          <w:color w:val="auto"/>
          <w:highlight w:val="none"/>
        </w:rPr>
      </w:pPr>
      <w:r>
        <w:rPr>
          <w:rFonts w:hint="eastAsia"/>
          <w:color w:val="auto"/>
          <w:highlight w:val="none"/>
        </w:rPr>
        <w:t xml:space="preserve"> </w:t>
      </w:r>
      <w:r>
        <w:rPr>
          <w:color w:val="auto"/>
          <w:highlight w:val="none"/>
        </w:rPr>
      </w:r>
      <w:r/>
    </w:p>
    <w:p>
      <w:pPr>
        <w:rPr>
          <w:color w:val="auto"/>
          <w:highlight w:val="none"/>
        </w:rPr>
      </w:pPr>
      <w:r>
        <w:rPr>
          <w:rFonts w:hint="eastAsia"/>
          <w:color w:val="auto"/>
          <w:highlight w:val="none"/>
        </w:rPr>
        <w:t xml:space="preserve"> </w:t>
      </w:r>
      <w:r>
        <w:rPr>
          <w:color w:val="auto"/>
          <w:highlight w:val="none"/>
        </w:rPr>
      </w:r>
      <w:r/>
    </w:p>
    <w:p>
      <w:pPr>
        <w:rPr>
          <w:color w:val="auto"/>
          <w:highlight w:val="none"/>
        </w:rPr>
      </w:pPr>
      <w:r>
        <w:rPr>
          <w:rFonts w:hint="eastAsia"/>
          <w:color w:val="auto"/>
          <w:highlight w:val="none"/>
        </w:rPr>
        <w:t xml:space="preserve"> </w:t>
      </w:r>
      <w:r>
        <w:rPr>
          <w:color w:val="auto"/>
          <w:highlight w:val="none"/>
        </w:rPr>
      </w:r>
      <w:r/>
    </w:p>
    <w:p>
      <w:pPr>
        <w:jc w:val="center"/>
        <w:rPr>
          <w:color w:val="auto"/>
          <w:highlight w:val="none"/>
        </w:rPr>
      </w:pPr>
      <w:r>
        <w:rPr>
          <w:color w:val="auto"/>
          <w:highlight w:val="none"/>
        </w:rPr>
      </w:r>
      <w:r>
        <w:rPr>
          <w:color w:val="auto"/>
          <w:highlight w:val="none"/>
        </w:rPr>
      </w:r>
      <w:r/>
    </w:p>
    <w:p>
      <w:pPr>
        <w:jc w:val="center"/>
        <w:rPr>
          <w:color w:val="auto"/>
          <w:highlight w:val="none"/>
        </w:rPr>
      </w:pPr>
      <w:r>
        <w:rPr>
          <w:color w:val="auto"/>
          <w:highlight w:val="none"/>
        </w:rPr>
      </w:r>
      <w:r>
        <w:rPr>
          <w:color w:val="auto"/>
          <w:highlight w:val="none"/>
        </w:rPr>
      </w:r>
      <w:r/>
    </w:p>
    <w:p>
      <w:pPr>
        <w:jc w:val="center"/>
        <w:rPr>
          <w:rFonts w:hint="eastAsia" w:ascii="黑体" w:hAnsi="黑体" w:eastAsia="黑体"/>
          <w:b/>
          <w:color w:val="auto"/>
          <w:sz w:val="32"/>
          <w:szCs w:val="24"/>
          <w:highlight w:val="none"/>
        </w:rPr>
      </w:pPr>
      <w:r>
        <w:rPr>
          <w:color w:val="auto"/>
          <w:highlight w:val="none"/>
        </w:rPr>
      </w:r>
      <w:bookmarkStart w:id="236" w:name="_Toc5876"/>
      <w:r>
        <w:rPr>
          <w:color w:val="auto"/>
          <w:highlight w:val="none"/>
        </w:rPr>
      </w:r>
      <w:bookmarkEnd w:id="236"/>
      <w:r>
        <w:rPr>
          <w:rFonts w:hint="eastAsia" w:ascii="黑体" w:hAnsi="黑体" w:eastAsia="黑体"/>
          <w:b/>
          <w:color w:val="auto"/>
          <w:sz w:val="32"/>
          <w:szCs w:val="24"/>
          <w:highlight w:val="none"/>
        </w:rPr>
        <w:t xml:space="preserve">节能产品认证证书</w:t>
      </w:r>
      <w:r>
        <w:rPr>
          <w:color w:val="auto"/>
          <w:highlight w:val="none"/>
        </w:rPr>
      </w:r>
      <w:r/>
    </w:p>
    <w:p>
      <w:pPr>
        <w:rPr>
          <w:color w:val="auto"/>
          <w:highlight w:val="none"/>
        </w:rPr>
      </w:pPr>
      <w:r>
        <w:rPr>
          <w:rFonts w:hint="eastAsia"/>
          <w:color w:val="auto"/>
          <w:highlight w:val="none"/>
        </w:rPr>
        <w:t xml:space="preserve">（提供国家确定的认证机构出具的、处于有效期之内的产品认证证书）</w:t>
      </w:r>
      <w:r>
        <w:rPr>
          <w:color w:val="auto"/>
          <w:highlight w:val="none"/>
        </w:rPr>
      </w:r>
      <w:r/>
    </w:p>
    <w:p>
      <w:pPr>
        <w:rPr>
          <w:color w:val="auto"/>
          <w:highlight w:val="none"/>
        </w:rPr>
      </w:pPr>
      <w:r>
        <w:rPr>
          <w:rFonts w:hint="eastAsia"/>
          <w:color w:val="auto"/>
          <w:highlight w:val="none"/>
        </w:rPr>
        <w:t xml:space="preserve"> </w:t>
      </w:r>
      <w:r>
        <w:rPr>
          <w:color w:val="auto"/>
          <w:highlight w:val="none"/>
        </w:rPr>
      </w:r>
      <w:r/>
    </w:p>
    <w:p>
      <w:pPr>
        <w:rPr>
          <w:color w:val="auto"/>
          <w:highlight w:val="none"/>
        </w:rPr>
      </w:pPr>
      <w:r>
        <w:rPr>
          <w:rFonts w:hint="eastAsia"/>
          <w:color w:val="auto"/>
          <w:highlight w:val="none"/>
        </w:rPr>
        <w:t xml:space="preserve"> </w:t>
      </w:r>
      <w:r>
        <w:rPr>
          <w:color w:val="auto"/>
          <w:highlight w:val="none"/>
        </w:rPr>
      </w:r>
      <w:r/>
    </w:p>
    <w:p>
      <w:pPr>
        <w:rPr>
          <w:color w:val="auto"/>
          <w:highlight w:val="none"/>
        </w:rPr>
      </w:pPr>
      <w:r>
        <w:rPr>
          <w:rFonts w:hint="eastAsia"/>
          <w:color w:val="auto"/>
          <w:highlight w:val="none"/>
        </w:rPr>
        <w:t xml:space="preserve"> </w:t>
      </w:r>
      <w:r>
        <w:rPr>
          <w:color w:val="auto"/>
          <w:highlight w:val="none"/>
        </w:rPr>
      </w:r>
      <w:r/>
    </w:p>
    <w:p>
      <w:pPr>
        <w:rPr>
          <w:color w:val="auto"/>
          <w:highlight w:val="none"/>
        </w:rPr>
      </w:pPr>
      <w:r>
        <w:rPr>
          <w:rFonts w:hint="eastAsia"/>
          <w:color w:val="auto"/>
          <w:highlight w:val="none"/>
        </w:rPr>
        <w:t xml:space="preserve"> </w:t>
      </w:r>
      <w:r>
        <w:rPr>
          <w:color w:val="auto"/>
          <w:highlight w:val="none"/>
        </w:rPr>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rPr>
          <w:color w:val="auto"/>
          <w:highlight w:val="none"/>
        </w:rPr>
      </w:r>
      <w:r/>
    </w:p>
    <w:p>
      <w:pPr>
        <w:jc w:val="center"/>
        <w:rPr>
          <w:rFonts w:hint="eastAsia" w:ascii="黑体" w:hAnsi="黑体" w:eastAsia="黑体"/>
          <w:b/>
          <w:color w:val="auto"/>
          <w:sz w:val="32"/>
          <w:szCs w:val="24"/>
          <w:highlight w:val="none"/>
        </w:rPr>
      </w:pPr>
      <w:r>
        <w:rPr>
          <w:color w:val="auto"/>
          <w:highlight w:val="none"/>
        </w:rPr>
      </w:r>
      <w:bookmarkStart w:id="237" w:name="_Toc16386"/>
      <w:r>
        <w:rPr>
          <w:color w:val="auto"/>
          <w:highlight w:val="none"/>
        </w:rPr>
      </w:r>
      <w:bookmarkEnd w:id="237"/>
      <w:r>
        <w:rPr>
          <w:rFonts w:hint="eastAsia" w:ascii="黑体" w:hAnsi="黑体" w:eastAsia="黑体"/>
          <w:b/>
          <w:color w:val="auto"/>
          <w:sz w:val="32"/>
          <w:szCs w:val="24"/>
          <w:highlight w:val="none"/>
        </w:rPr>
        <w:t xml:space="preserve">环境标志产品认证证书</w:t>
      </w:r>
      <w:r>
        <w:rPr>
          <w:color w:val="auto"/>
          <w:highlight w:val="none"/>
        </w:rPr>
      </w:r>
      <w:r/>
    </w:p>
    <w:p>
      <w:pPr>
        <w:rPr>
          <w:color w:val="auto"/>
          <w:highlight w:val="none"/>
        </w:rPr>
      </w:pPr>
      <w:r>
        <w:rPr>
          <w:rFonts w:hint="eastAsia"/>
          <w:color w:val="auto"/>
          <w:highlight w:val="none"/>
        </w:rPr>
        <w:t xml:space="preserve">（提供国家确定的认证机构出具的、处于有效期之内的产品认证证书）</w:t>
      </w:r>
      <w:r>
        <w:rPr>
          <w:color w:val="auto"/>
          <w:highlight w:val="none"/>
        </w:rPr>
      </w:r>
      <w:r/>
    </w:p>
    <w:p>
      <w:pPr>
        <w:rPr>
          <w:color w:val="auto"/>
          <w:highlight w:val="none"/>
        </w:rPr>
      </w:pPr>
      <w:r>
        <w:rPr>
          <w:rFonts w:hint="eastAsia"/>
          <w:color w:val="auto"/>
          <w:highlight w:val="none"/>
        </w:rPr>
        <w:t xml:space="preserve"> </w:t>
      </w:r>
      <w:r>
        <w:rPr>
          <w:color w:val="auto"/>
          <w:highlight w:val="none"/>
        </w:rPr>
      </w:r>
      <w:r/>
    </w:p>
    <w:p>
      <w:pPr>
        <w:rPr>
          <w:color w:val="auto"/>
          <w:highlight w:val="none"/>
        </w:rPr>
      </w:pPr>
      <w:r>
        <w:rPr>
          <w:rFonts w:hint="eastAsia"/>
          <w:color w:val="auto"/>
          <w:highlight w:val="none"/>
        </w:rPr>
        <w:t xml:space="preserve"> </w:t>
      </w:r>
      <w:r>
        <w:rPr>
          <w:color w:val="auto"/>
          <w:highlight w:val="none"/>
        </w:rPr>
      </w:r>
      <w:r/>
    </w:p>
    <w:p>
      <w:pPr>
        <w:rPr>
          <w:color w:val="auto"/>
          <w:highlight w:val="none"/>
        </w:rPr>
      </w:pPr>
      <w:r>
        <w:rPr>
          <w:rFonts w:hint="eastAsia"/>
          <w:color w:val="auto"/>
          <w:highlight w:val="none"/>
        </w:rPr>
        <w:t xml:space="preserve"> </w:t>
      </w:r>
      <w:r>
        <w:rPr>
          <w:color w:val="auto"/>
          <w:highlight w:val="none"/>
        </w:rPr>
      </w:r>
      <w:r/>
    </w:p>
    <w:p>
      <w:pPr>
        <w:rPr>
          <w:color w:val="auto"/>
          <w:highlight w:val="none"/>
        </w:rPr>
      </w:pPr>
      <w:r>
        <w:rPr>
          <w:rFonts w:hint="eastAsia"/>
          <w:color w:val="auto"/>
          <w:highlight w:val="none"/>
        </w:rPr>
        <w:t xml:space="preserve"> </w:t>
      </w:r>
      <w:r>
        <w:rPr>
          <w:color w:val="auto"/>
          <w:highlight w:val="none"/>
        </w:rPr>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t xml:space="preserve"> </w:t>
      </w:r>
      <w:r>
        <w:rPr>
          <w:color w:val="auto"/>
          <w:highlight w:val="none"/>
        </w:rPr>
      </w:r>
      <w:r/>
    </w:p>
    <w:p>
      <w:pPr>
        <w:jc w:val="center"/>
        <w:rPr>
          <w:rFonts w:hint="eastAsia" w:ascii="黑体" w:hAnsi="黑体" w:eastAsia="黑体"/>
          <w:b/>
          <w:color w:val="auto"/>
          <w:sz w:val="32"/>
          <w:szCs w:val="24"/>
          <w:highlight w:val="none"/>
        </w:rPr>
      </w:pPr>
      <w:r>
        <w:rPr>
          <w:color w:val="auto"/>
          <w:highlight w:val="none"/>
        </w:rPr>
      </w:r>
      <w:bookmarkStart w:id="238" w:name="_Toc1060"/>
      <w:r>
        <w:rPr>
          <w:color w:val="auto"/>
          <w:highlight w:val="none"/>
        </w:rPr>
      </w:r>
      <w:bookmarkEnd w:id="238"/>
      <w:r>
        <w:rPr>
          <w:rFonts w:hint="eastAsia" w:ascii="黑体" w:hAnsi="黑体" w:eastAsia="黑体"/>
          <w:b/>
          <w:color w:val="auto"/>
          <w:sz w:val="32"/>
          <w:szCs w:val="24"/>
          <w:highlight w:val="none"/>
        </w:rPr>
        <w:t xml:space="preserve">进口产品转让技术、消化吸收再创新方案</w:t>
      </w:r>
      <w:r>
        <w:rPr>
          <w:color w:val="auto"/>
          <w:highlight w:val="none"/>
        </w:rPr>
      </w:r>
      <w:r/>
    </w:p>
    <w:p>
      <w:pPr>
        <w:rPr>
          <w:color w:val="auto"/>
          <w:highlight w:val="none"/>
        </w:rPr>
      </w:pPr>
      <w:r>
        <w:rPr>
          <w:rFonts w:hint="eastAsia"/>
          <w:color w:val="auto"/>
          <w:highlight w:val="none"/>
        </w:rPr>
        <w:t xml:space="preserve">（对于允许进口产品参加的项目）</w:t>
      </w:r>
      <w:r>
        <w:rPr>
          <w:color w:val="auto"/>
          <w:highlight w:val="none"/>
        </w:rPr>
      </w:r>
      <w:r/>
    </w:p>
    <w:p>
      <w:pPr>
        <w:rPr>
          <w:rFonts w:hint="eastAsia" w:ascii="黑体" w:hAnsi="黑体" w:eastAsia="黑体"/>
          <w:color w:val="auto"/>
          <w:sz w:val="32"/>
          <w:highlight w:val="none"/>
        </w:rPr>
      </w:pPr>
      <w:r>
        <w:rPr>
          <w:color w:val="auto"/>
          <w:highlight w:val="none"/>
        </w:rPr>
        <w:br w:type="page" w:clear="all"/>
      </w:r>
      <w:r>
        <w:rPr>
          <w:color w:val="auto"/>
          <w:highlight w:val="none"/>
        </w:rPr>
      </w:r>
      <w:r/>
    </w:p>
    <w:p>
      <w:pPr>
        <w:pStyle w:val="1307"/>
        <w:rPr>
          <w:rFonts w:hint="eastAsia" w:cs="Times New Roman"/>
          <w:color w:val="auto"/>
          <w:highlight w:val="none"/>
        </w:rPr>
        <w:outlineLvl w:val="1"/>
      </w:pPr>
      <w:r>
        <w:rPr>
          <w:color w:val="auto"/>
          <w:highlight w:val="none"/>
        </w:rPr>
      </w:r>
      <w:bookmarkStart w:id="239" w:name="_Toc356"/>
      <w:r>
        <w:rPr>
          <w:color w:val="auto"/>
          <w:highlight w:val="none"/>
        </w:rPr>
      </w:r>
      <w:bookmarkStart w:id="240" w:name="_Toc164203482"/>
      <w:r>
        <w:rPr>
          <w:color w:val="auto"/>
          <w:highlight w:val="none"/>
        </w:rPr>
      </w:r>
      <w:bookmarkStart w:id="241" w:name="_Toc15535"/>
      <w:r>
        <w:rPr>
          <w:color w:val="auto"/>
          <w:highlight w:val="none"/>
        </w:rPr>
      </w:r>
      <w:bookmarkStart w:id="242" w:name="_Toc4596"/>
      <w:r>
        <w:rPr>
          <w:rFonts w:hint="eastAsia" w:cs="Times New Roman"/>
          <w:color w:val="auto"/>
          <w:highlight w:val="none"/>
          <w:lang w:val="en-US" w:eastAsia="zh-CN"/>
        </w:rPr>
        <w:t xml:space="preserve">十五、</w:t>
      </w:r>
      <w:r>
        <w:rPr>
          <w:rFonts w:hint="eastAsia" w:cs="Times New Roman"/>
          <w:color w:val="auto"/>
          <w:highlight w:val="none"/>
        </w:rPr>
        <w:t xml:space="preserve">关于符合本国产品标准的声明函（采购包号：</w:t>
      </w:r>
      <w:r>
        <w:rPr>
          <w:rFonts w:hint="eastAsia" w:cs="Times New Roman"/>
          <w:color w:val="auto"/>
          <w:highlight w:val="none"/>
          <w:lang w:val="en-US" w:eastAsia="zh-CN"/>
        </w:rPr>
        <w:t xml:space="preserve">如有</w:t>
      </w:r>
      <w:r>
        <w:rPr>
          <w:rFonts w:hint="eastAsia" w:cs="Times New Roman"/>
          <w:color w:val="auto"/>
          <w:highlight w:val="none"/>
        </w:rPr>
        <w:t xml:space="preserve">）</w:t>
      </w:r>
      <w:r>
        <w:rPr>
          <w:color w:val="auto"/>
          <w:highlight w:val="none"/>
        </w:rPr>
      </w:r>
      <w:r/>
    </w:p>
    <w:p>
      <w:pPr>
        <w:pStyle w:val="815"/>
        <w:ind w:firstLine="420"/>
        <w:spacing w:before="0" w:beforeAutospacing="0" w:after="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rPr>
          <w:color w:val="auto"/>
          <w:highlight w:val="none"/>
        </w:rPr>
      </w:r>
      <w:r/>
    </w:p>
    <w:p>
      <w:pPr>
        <w:pStyle w:val="815"/>
        <w:ind w:firstLine="420"/>
        <w:spacing w:before="0" w:beforeAutospacing="0" w:after="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rPr>
          <w:color w:val="auto"/>
          <w:highlight w:val="none"/>
        </w:rPr>
      </w:r>
      <w:r/>
    </w:p>
    <w:p>
      <w:pPr>
        <w:pStyle w:val="815"/>
        <w:ind w:firstLine="420"/>
        <w:spacing w:before="0" w:beforeAutospacing="0" w:after="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color w:val="auto"/>
          <w:highlight w:val="none"/>
        </w:rPr>
      </w:r>
      <w:r/>
    </w:p>
    <w:p>
      <w:pPr>
        <w:pStyle w:val="815"/>
        <w:numPr>
          <w:ilvl w:val="0"/>
          <w:numId w:val="13"/>
        </w:numPr>
        <w:ind w:firstLine="420"/>
        <w:spacing w:before="30" w:beforeAutospacing="0" w:after="30" w:afterAutospacing="0" w:line="360" w:lineRule="exact"/>
        <w:rPr>
          <w:rFonts w:hint="eastAsia" w:ascii="方正魏碑_GBK" w:hAnsi="方正魏碑_GBK" w:eastAsia="方正魏碑_GBK" w:cs="方正魏碑_GBK"/>
          <w:color w:val="auto"/>
          <w:highlight w:val="none"/>
          <w:shd w:val="clear" w:color="auto" w:fill="ffffff"/>
        </w:rPr>
      </w:pPr>
      <w:r>
        <w:rPr>
          <w:rStyle w:val="820"/>
          <w:rFonts w:hint="eastAsia" w:ascii="方正魏碑_GBK" w:hAnsi="方正魏碑_GBK" w:eastAsia="方正魏碑_GBK" w:cs="方正魏碑_GBK"/>
          <w:i w:val="0"/>
          <w:color w:val="auto"/>
          <w:highlight w:val="none"/>
          <w:u w:val="single"/>
          <w:shd w:val="clear" w:color="auto" w:fill="ffffff"/>
        </w:rPr>
        <w:t xml:space="preserve">（产品名称1）</w:t>
      </w:r>
      <w:r>
        <w:rPr>
          <w:rStyle w:val="820"/>
          <w:rFonts w:hint="eastAsia" w:ascii="方正魏碑_GBK" w:hAnsi="方正魏碑_GBK" w:eastAsia="方正魏碑_GBK" w:cs="方正魏碑_GBK"/>
          <w:i w:val="0"/>
          <w:color w:val="auto"/>
          <w:highlight w:val="none"/>
          <w:shd w:val="clear" w:color="auto" w:fill="ffffff"/>
          <w:vertAlign w:val="superscript"/>
        </w:rPr>
        <w:t xml:space="preserve">1</w:t>
      </w:r>
      <w:r>
        <w:rPr>
          <w:rFonts w:hint="eastAsia" w:ascii="方正魏碑_GBK" w:hAnsi="方正魏碑_GBK" w:eastAsia="方正魏碑_GBK" w:cs="方正魏碑_GBK"/>
          <w:color w:val="auto"/>
          <w:highlight w:val="none"/>
          <w:shd w:val="clear" w:color="auto" w:fill="ffffff"/>
        </w:rPr>
        <w:t xml:space="preserve">，生产厂为</w:t>
      </w:r>
      <w:r>
        <w:rPr>
          <w:rStyle w:val="820"/>
          <w:rFonts w:hint="eastAsia" w:ascii="方正魏碑_GBK" w:hAnsi="方正魏碑_GBK" w:eastAsia="方正魏碑_GBK" w:cs="方正魏碑_GBK"/>
          <w:i w:val="0"/>
          <w:color w:val="auto"/>
          <w:highlight w:val="none"/>
          <w:u w:val="single"/>
          <w:shd w:val="clear" w:color="auto" w:fill="ffffff"/>
        </w:rPr>
        <w:t xml:space="preserve">（厂名）</w:t>
      </w:r>
      <w:r>
        <w:rPr>
          <w:rStyle w:val="820"/>
          <w:rFonts w:hint="eastAsia" w:ascii="方正魏碑_GBK" w:hAnsi="方正魏碑_GBK" w:eastAsia="方正魏碑_GBK" w:cs="方正魏碑_GBK"/>
          <w:i w:val="0"/>
          <w:color w:val="auto"/>
          <w:highlight w:val="none"/>
          <w:shd w:val="clear" w:color="auto" w:fill="ffffff"/>
          <w:vertAlign w:val="superscript"/>
        </w:rPr>
        <w:t xml:space="preserve">2</w:t>
      </w:r>
      <w:r>
        <w:rPr>
          <w:rFonts w:hint="eastAsia" w:ascii="方正魏碑_GBK" w:hAnsi="方正魏碑_GBK" w:eastAsia="方正魏碑_GBK" w:cs="方正魏碑_GBK"/>
          <w:color w:val="auto"/>
          <w:highlight w:val="none"/>
          <w:shd w:val="clear" w:color="auto" w:fill="ffffff"/>
        </w:rPr>
        <w:t xml:space="preserve">，厂址为</w:t>
      </w:r>
      <w:r>
        <w:rPr>
          <w:rStyle w:val="820"/>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Fonts w:hint="eastAsia" w:ascii="方正魏碑_GBK" w:hAnsi="方正魏碑_GBK" w:eastAsia="方正魏碑_GBK" w:cs="方正魏碑_GBK"/>
          <w:color w:val="auto"/>
          <w:highlight w:val="none"/>
          <w:u w:val="single"/>
          <w:shd w:val="clear" w:color="auto" w:fill="ffffff"/>
        </w:rPr>
        <w:t xml:space="preserve"> </w:t>
      </w:r>
      <w:r>
        <w:rPr>
          <w:rStyle w:val="820"/>
          <w:rFonts w:hint="eastAsia" w:ascii="方正魏碑_GBK" w:hAnsi="方正魏碑_GBK" w:eastAsia="方正魏碑_GBK" w:cs="方正魏碑_GBK"/>
          <w:i w:val="0"/>
          <w:color w:val="auto"/>
          <w:highlight w:val="none"/>
          <w:u w:val="single"/>
          <w:shd w:val="clear" w:color="auto" w:fill="ffffff"/>
        </w:rPr>
        <w:t xml:space="preserve">（</w:t>
      </w:r>
      <w:r>
        <w:rPr>
          <w:rStyle w:val="820"/>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820"/>
          <w:rFonts w:hint="eastAsia" w:ascii="方正魏碑_GBK" w:hAnsi="方正魏碑_GBK" w:eastAsia="方正魏碑_GBK" w:cs="方正魏碑_GBK"/>
          <w:i w:val="0"/>
          <w:color w:val="auto"/>
          <w:highlight w:val="none"/>
          <w:u w:val="singl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820"/>
          <w:rFonts w:hint="eastAsia" w:ascii="方正魏碑_GBK" w:hAnsi="方正魏碑_GBK" w:eastAsia="方正魏碑_GBK" w:cs="方正魏碑_GBK"/>
          <w:i w:val="0"/>
          <w:color w:val="auto"/>
          <w:highlight w:val="none"/>
          <w:u w:val="single"/>
          <w:shd w:val="clear" w:color="auto" w:fill="ffffff"/>
        </w:rPr>
        <w:t xml:space="preserve">（</w:t>
      </w:r>
      <w:r>
        <w:rPr>
          <w:rStyle w:val="820"/>
          <w:rFonts w:hint="eastAsia" w:ascii="方正魏碑_GBK" w:hAnsi="方正魏碑_GBK" w:eastAsia="方正魏碑_GBK" w:cs="方正魏碑_GBK"/>
          <w:i w:val="0"/>
          <w:strike/>
          <w:color w:val="auto"/>
          <w:highlight w:val="none"/>
          <w:u w:val="single"/>
          <w:shd w:val="clear" w:color="auto" w:fill="ffffff"/>
        </w:rPr>
        <w:t xml:space="preserve">规定</w:t>
      </w:r>
      <w:r>
        <w:rPr>
          <w:rStyle w:val="820"/>
          <w:rFonts w:ascii="方正魏碑_GBK" w:hAnsi="方正魏碑_GBK" w:eastAsia="方正魏碑_GBK" w:cs="方正魏碑_GBK"/>
          <w:i w:val="0"/>
          <w:strike/>
          <w:color w:val="auto"/>
          <w:highlight w:val="none"/>
          <w:u w:val="single"/>
          <w:shd w:val="clear" w:color="auto" w:fill="ffffff"/>
        </w:rPr>
        <w:t xml:space="preserve">比例</w:t>
      </w:r>
      <w:r>
        <w:rPr>
          <w:rStyle w:val="820"/>
          <w:rFonts w:hint="eastAsia" w:ascii="方正魏碑_GBK" w:hAnsi="方正魏碑_GBK" w:eastAsia="方正魏碑_GBK" w:cs="方正魏碑_GBK"/>
          <w:i w:val="0"/>
          <w:color w:val="auto"/>
          <w:highlight w:val="none"/>
          <w:u w:val="single"/>
          <w:shd w:val="clear" w:color="auto" w:fill="ffffff"/>
        </w:rPr>
        <w:t xml:space="preserve">）</w:t>
      </w:r>
      <w:r>
        <w:rPr>
          <w:rStyle w:val="820"/>
          <w:rFonts w:hint="eastAsia" w:ascii="方正魏碑_GBK" w:hAnsi="方正魏碑_GBK" w:eastAsia="方正魏碑_GBK" w:cs="方正魏碑_GBK"/>
          <w:i w:val="0"/>
          <w:color w:val="auto"/>
          <w:highlight w:val="none"/>
          <w:shd w:val="clear" w:color="auto" w:fill="ffffff"/>
          <w:vertAlign w:val="superscript"/>
        </w:rPr>
        <w:t xml:space="preserve">3</w:t>
      </w:r>
      <w:r>
        <w:rPr>
          <w:rFonts w:hint="eastAsia" w:ascii="方正魏碑_GBK" w:hAnsi="方正魏碑_GBK" w:eastAsia="方正魏碑_GBK" w:cs="方正魏碑_GBK"/>
          <w:color w:val="auto"/>
          <w:highlight w:val="none"/>
          <w:shd w:val="clear" w:color="auto" w:fill="ffffff"/>
        </w:rPr>
        <w:t xml:space="preserve">。</w:t>
      </w:r>
      <w:r>
        <w:rPr>
          <w:rStyle w:val="820"/>
          <w:rFonts w:hint="eastAsia" w:ascii="方正魏碑_GBK" w:hAnsi="方正魏碑_GBK" w:eastAsia="方正魏碑_GBK" w:cs="方正魏碑_GBK"/>
          <w:i w:val="0"/>
          <w:color w:val="auto"/>
          <w:highlight w:val="none"/>
          <w:u w:val="single"/>
          <w:shd w:val="clear" w:color="auto" w:fill="ffffff"/>
        </w:rPr>
        <w:t xml:space="preserve">（</w:t>
      </w:r>
      <w:r>
        <w:rPr>
          <w:rStyle w:val="820"/>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820"/>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820"/>
          <w:rFonts w:hint="eastAsia" w:ascii="方正魏碑_GBK" w:hAnsi="方正魏碑_GBK" w:eastAsia="方正魏碑_GBK" w:cs="方正魏碑_GBK"/>
          <w:i w:val="0"/>
          <w:color w:val="auto"/>
          <w:highlight w:val="none"/>
          <w:u w:val="single"/>
          <w:shd w:val="clear" w:color="auto" w:fill="ffffff"/>
        </w:rPr>
        <w:t xml:space="preserve">（</w:t>
      </w:r>
      <w:r>
        <w:rPr>
          <w:rStyle w:val="820"/>
          <w:rFonts w:hint="eastAsia" w:ascii="方正魏碑_GBK" w:hAnsi="方正魏碑_GBK" w:eastAsia="方正魏碑_GBK" w:cs="方正魏碑_GBK"/>
          <w:i w:val="0"/>
          <w:strike/>
          <w:color w:val="auto"/>
          <w:highlight w:val="none"/>
          <w:u w:val="single"/>
          <w:shd w:val="clear" w:color="auto" w:fill="ffffff"/>
        </w:rPr>
        <w:t xml:space="preserve">关键</w:t>
      </w:r>
      <w:r>
        <w:rPr>
          <w:rStyle w:val="820"/>
          <w:rFonts w:ascii="方正魏碑_GBK" w:hAnsi="方正魏碑_GBK" w:eastAsia="方正魏碑_GBK" w:cs="方正魏碑_GBK"/>
          <w:i w:val="0"/>
          <w:strike/>
          <w:color w:val="auto"/>
          <w:highlight w:val="none"/>
          <w:u w:val="single"/>
          <w:shd w:val="clear" w:color="auto" w:fill="ffffff"/>
        </w:rPr>
        <w:t xml:space="preserve">组件</w:t>
      </w:r>
      <w:r>
        <w:rPr>
          <w:rStyle w:val="820"/>
          <w:rFonts w:hint="eastAsia" w:ascii="方正魏碑_GBK" w:hAnsi="方正魏碑_GBK" w:eastAsia="方正魏碑_GBK" w:cs="方正魏碑_GBK"/>
          <w:i w:val="0"/>
          <w:color w:val="auto"/>
          <w:highlight w:val="none"/>
          <w:u w:val="single"/>
          <w:shd w:val="clear" w:color="auto" w:fill="ffffff"/>
        </w:rPr>
        <w:t xml:space="preserve">）</w:t>
      </w:r>
      <w:r>
        <w:rPr>
          <w:rStyle w:val="820"/>
          <w:rFonts w:hint="eastAsia" w:ascii="方正魏碑_GBK" w:hAnsi="方正魏碑_GBK" w:eastAsia="方正魏碑_GBK" w:cs="方正魏碑_GBK"/>
          <w:i w:val="0"/>
          <w:color w:val="auto"/>
          <w:highlight w:val="none"/>
          <w:shd w:val="clear" w:color="auto" w:fill="ffffff"/>
          <w:vertAlign w:val="superscript"/>
        </w:rPr>
        <w:t xml:space="preserve">4</w:t>
      </w:r>
      <w:r>
        <w:rPr>
          <w:rFonts w:hint="eastAsia" w:ascii="方正魏碑_GBK" w:hAnsi="方正魏碑_GBK" w:eastAsia="方正魏碑_GBK" w:cs="方正魏碑_GBK"/>
          <w:color w:val="auto"/>
          <w:highlight w:val="none"/>
          <w:shd w:val="clear" w:color="auto" w:fill="ffffff"/>
        </w:rPr>
        <w:t xml:space="preserve">在中国境内生产。</w:t>
      </w:r>
      <w:r>
        <w:rPr>
          <w:rStyle w:val="820"/>
          <w:rFonts w:hint="eastAsia" w:ascii="方正魏碑_GBK" w:hAnsi="方正魏碑_GBK" w:eastAsia="方正魏碑_GBK" w:cs="方正魏碑_GBK"/>
          <w:i w:val="0"/>
          <w:color w:val="auto"/>
          <w:highlight w:val="none"/>
          <w:u w:val="single"/>
          <w:shd w:val="clear" w:color="auto" w:fill="ffffff"/>
        </w:rPr>
        <w:t xml:space="preserve">（</w:t>
      </w:r>
      <w:r>
        <w:rPr>
          <w:rStyle w:val="820"/>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820"/>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820"/>
          <w:rFonts w:hint="eastAsia" w:ascii="方正魏碑_GBK" w:hAnsi="方正魏碑_GBK" w:eastAsia="方正魏碑_GBK" w:cs="方正魏碑_GBK"/>
          <w:i w:val="0"/>
          <w:color w:val="auto"/>
          <w:highlight w:val="none"/>
          <w:u w:val="single"/>
          <w:shd w:val="clear" w:color="auto" w:fill="ffffff"/>
        </w:rPr>
        <w:t xml:space="preserve">（</w:t>
      </w:r>
      <w:r>
        <w:rPr>
          <w:rStyle w:val="820"/>
          <w:rFonts w:hint="eastAsia" w:ascii="方正魏碑_GBK" w:hAnsi="方正魏碑_GBK" w:eastAsia="方正魏碑_GBK" w:cs="方正魏碑_GBK"/>
          <w:i w:val="0"/>
          <w:strike/>
          <w:color w:val="auto"/>
          <w:highlight w:val="none"/>
          <w:u w:val="single"/>
          <w:shd w:val="clear" w:color="auto" w:fill="ffffff"/>
        </w:rPr>
        <w:t xml:space="preserve">关键工序</w:t>
      </w:r>
      <w:r>
        <w:rPr>
          <w:rStyle w:val="820"/>
          <w:rFonts w:hint="eastAsia" w:ascii="方正魏碑_GBK" w:hAnsi="方正魏碑_GBK" w:eastAsia="方正魏碑_GBK" w:cs="方正魏碑_GBK"/>
          <w:i w:val="0"/>
          <w:color w:val="auto"/>
          <w:highlight w:val="none"/>
          <w:u w:val="single"/>
          <w:shd w:val="clear" w:color="auto" w:fill="ffffff"/>
        </w:rPr>
        <w:t xml:space="preserve">）</w:t>
      </w:r>
      <w:r>
        <w:rPr>
          <w:rStyle w:val="820"/>
          <w:rFonts w:hint="eastAsia" w:ascii="方正魏碑_GBK" w:hAnsi="方正魏碑_GBK" w:eastAsia="方正魏碑_GBK" w:cs="方正魏碑_GBK"/>
          <w:i w:val="0"/>
          <w:color w:val="auto"/>
          <w:highlight w:val="none"/>
          <w:shd w:val="clear" w:color="auto" w:fill="ffffff"/>
          <w:vertAlign w:val="superscript"/>
        </w:rPr>
        <w:t xml:space="preserve">5</w:t>
      </w:r>
      <w:r>
        <w:rPr>
          <w:rFonts w:hint="eastAsia" w:ascii="方正魏碑_GBK" w:hAnsi="方正魏碑_GBK" w:eastAsia="方正魏碑_GBK" w:cs="方正魏碑_GBK"/>
          <w:color w:val="auto"/>
          <w:highlight w:val="none"/>
          <w:shd w:val="clear" w:color="auto" w:fill="ffffff"/>
        </w:rPr>
        <w:t xml:space="preserve">在中国境内完成。</w:t>
      </w:r>
      <w:r>
        <w:rPr>
          <w:color w:val="auto"/>
          <w:highlight w:val="none"/>
        </w:rPr>
      </w:r>
      <w:r/>
    </w:p>
    <w:p>
      <w:pPr>
        <w:pStyle w:val="815"/>
        <w:numPr>
          <w:ilvl w:val="-1"/>
          <w:numId w:val="0"/>
        </w:numPr>
        <w:ind w:firstLine="0"/>
        <w:spacing w:before="30" w:beforeAutospacing="0" w:after="30" w:afterAutospacing="0" w:line="360" w:lineRule="exact"/>
        <w:rPr>
          <w:rFonts w:hint="eastAsia" w:ascii="方正魏碑_GBK" w:hAnsi="方正魏碑_GBK" w:eastAsia="方正魏碑_GBK" w:cs="方正魏碑_GBK"/>
          <w:color w:val="auto"/>
          <w:highlight w:val="none"/>
          <w:shd w:val="clear" w:color="auto" w:fill="ffffff"/>
        </w:rPr>
      </w:pPr>
      <w:r>
        <w:rPr>
          <w:rFonts w:hint="eastAsia" w:ascii="方正魏碑_GBK" w:hAnsi="方正魏碑_GBK" w:eastAsia="方正魏碑_GBK" w:cs="方正魏碑_GBK"/>
          <w:color w:val="auto"/>
          <w:highlight w:val="none"/>
          <w:shd w:val="clear" w:color="auto" w:fill="ffffff"/>
        </w:rPr>
      </w:r>
      <w:r>
        <w:rPr>
          <w:color w:val="auto"/>
          <w:highlight w:val="none"/>
        </w:rPr>
      </w:r>
      <w:r/>
    </w:p>
    <w:p>
      <w:pPr>
        <w:pStyle w:val="815"/>
        <w:ind w:firstLine="420"/>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2.</w:t>
      </w:r>
      <w:r>
        <w:rPr>
          <w:rStyle w:val="820"/>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，生产厂为</w:t>
      </w:r>
      <w:r>
        <w:rPr>
          <w:rStyle w:val="820"/>
          <w:rFonts w:hint="eastAsia" w:ascii="方正魏碑_GBK" w:hAnsi="方正魏碑_GBK" w:eastAsia="方正魏碑_GBK" w:cs="方正魏碑_GBK"/>
          <w:i w:val="0"/>
          <w:color w:val="auto"/>
          <w:highlight w:val="none"/>
          <w:u w:val="single"/>
          <w:shd w:val="clear" w:color="auto" w:fill="ffffff"/>
        </w:rPr>
        <w:t xml:space="preserve">（厂名）</w:t>
      </w:r>
      <w:r>
        <w:rPr>
          <w:rFonts w:hint="eastAsia" w:ascii="方正魏碑_GBK" w:hAnsi="方正魏碑_GBK" w:eastAsia="方正魏碑_GBK" w:cs="方正魏碑_GBK"/>
          <w:color w:val="auto"/>
          <w:highlight w:val="none"/>
          <w:shd w:val="clear" w:color="auto" w:fill="ffffff"/>
        </w:rPr>
        <w:t xml:space="preserve">，厂址为</w:t>
      </w:r>
      <w:r>
        <w:rPr>
          <w:rStyle w:val="820"/>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Style w:val="820"/>
          <w:rFonts w:hint="eastAsia" w:ascii="方正魏碑_GBK" w:hAnsi="方正魏碑_GBK" w:eastAsia="方正魏碑_GBK" w:cs="方正魏碑_GBK"/>
          <w:i w:val="0"/>
          <w:color w:val="auto"/>
          <w:highlight w:val="none"/>
          <w:u w:val="single"/>
          <w:shd w:val="clear" w:color="auto" w:fill="ffffff"/>
        </w:rPr>
        <w:t xml:space="preserve">（</w:t>
      </w:r>
      <w:r>
        <w:rPr>
          <w:rStyle w:val="820"/>
          <w:rFonts w:hint="eastAsia" w:ascii="方正魏碑_GBK" w:hAnsi="方正魏碑_GBK" w:eastAsia="方正魏碑_GBK" w:cs="方正魏碑_GBK"/>
          <w:i w:val="0"/>
          <w:strike/>
          <w:color w:val="auto"/>
          <w:highlight w:val="none"/>
          <w:u w:val="single"/>
          <w:shd w:val="clear" w:color="auto" w:fill="ffffff"/>
        </w:rPr>
        <w:t xml:space="preserve">产品名称2</w:t>
      </w:r>
      <w:r>
        <w:rPr>
          <w:rStyle w:val="820"/>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820"/>
          <w:rFonts w:hint="eastAsia" w:ascii="方正魏碑_GBK" w:hAnsi="方正魏碑_GBK" w:eastAsia="方正魏碑_GBK" w:cs="方正魏碑_GBK"/>
          <w:i w:val="0"/>
          <w:color w:val="auto"/>
          <w:highlight w:val="none"/>
          <w:u w:val="single"/>
          <w:shd w:val="clear" w:color="auto" w:fill="ffffff"/>
        </w:rPr>
        <w:t xml:space="preserve">（</w:t>
      </w:r>
      <w:r>
        <w:rPr>
          <w:rStyle w:val="820"/>
          <w:rFonts w:hint="eastAsia" w:ascii="方正魏碑_GBK" w:hAnsi="方正魏碑_GBK" w:eastAsia="方正魏碑_GBK" w:cs="方正魏碑_GBK"/>
          <w:i w:val="0"/>
          <w:strike/>
          <w:color w:val="auto"/>
          <w:highlight w:val="none"/>
          <w:u w:val="single"/>
          <w:shd w:val="clear" w:color="auto" w:fill="ffffff"/>
        </w:rPr>
        <w:t xml:space="preserve">规定</w:t>
      </w:r>
      <w:r>
        <w:rPr>
          <w:rStyle w:val="820"/>
          <w:rFonts w:ascii="方正魏碑_GBK" w:hAnsi="方正魏碑_GBK" w:eastAsia="方正魏碑_GBK" w:cs="方正魏碑_GBK"/>
          <w:i w:val="0"/>
          <w:strike/>
          <w:color w:val="auto"/>
          <w:highlight w:val="none"/>
          <w:u w:val="single"/>
          <w:shd w:val="clear" w:color="auto" w:fill="ffffff"/>
        </w:rPr>
        <w:t xml:space="preserve">比例</w:t>
      </w:r>
      <w:r>
        <w:rPr>
          <w:rStyle w:val="820"/>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w:t>
      </w:r>
      <w:r>
        <w:rPr>
          <w:rStyle w:val="820"/>
          <w:rFonts w:hint="eastAsia" w:ascii="方正魏碑_GBK" w:hAnsi="方正魏碑_GBK" w:eastAsia="方正魏碑_GBK" w:cs="方正魏碑_GBK"/>
          <w:i w:val="0"/>
          <w:color w:val="auto"/>
          <w:highlight w:val="none"/>
          <w:u w:val="single"/>
          <w:shd w:val="clear" w:color="auto" w:fill="ffffff"/>
        </w:rPr>
        <w:t xml:space="preserve">（</w:t>
      </w:r>
      <w:r>
        <w:rPr>
          <w:rStyle w:val="820"/>
          <w:rFonts w:hint="eastAsia" w:ascii="方正魏碑_GBK" w:hAnsi="方正魏碑_GBK" w:eastAsia="方正魏碑_GBK" w:cs="方正魏碑_GBK"/>
          <w:i w:val="0"/>
          <w:strike/>
          <w:color w:val="auto"/>
          <w:highlight w:val="none"/>
          <w:u w:val="single"/>
          <w:shd w:val="clear" w:color="auto" w:fill="ffffff"/>
        </w:rPr>
        <w:t xml:space="preserve">产品名称2</w:t>
      </w:r>
      <w:r>
        <w:rPr>
          <w:rStyle w:val="820"/>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820"/>
          <w:rFonts w:hint="eastAsia" w:ascii="方正魏碑_GBK" w:hAnsi="方正魏碑_GBK" w:eastAsia="方正魏碑_GBK" w:cs="方正魏碑_GBK"/>
          <w:i w:val="0"/>
          <w:color w:val="auto"/>
          <w:highlight w:val="none"/>
          <w:u w:val="single"/>
          <w:shd w:val="clear" w:color="auto" w:fill="ffffff"/>
        </w:rPr>
        <w:t xml:space="preserve">（</w:t>
      </w:r>
      <w:r>
        <w:rPr>
          <w:rStyle w:val="820"/>
          <w:rFonts w:hint="eastAsia" w:ascii="方正魏碑_GBK" w:hAnsi="方正魏碑_GBK" w:eastAsia="方正魏碑_GBK" w:cs="方正魏碑_GBK"/>
          <w:i w:val="0"/>
          <w:strike/>
          <w:color w:val="auto"/>
          <w:highlight w:val="none"/>
          <w:u w:val="single"/>
          <w:shd w:val="clear" w:color="auto" w:fill="ffffff"/>
        </w:rPr>
        <w:t xml:space="preserve">关键</w:t>
      </w:r>
      <w:r>
        <w:rPr>
          <w:rStyle w:val="820"/>
          <w:rFonts w:ascii="方正魏碑_GBK" w:hAnsi="方正魏碑_GBK" w:eastAsia="方正魏碑_GBK" w:cs="方正魏碑_GBK"/>
          <w:i w:val="0"/>
          <w:strike/>
          <w:color w:val="auto"/>
          <w:highlight w:val="none"/>
          <w:u w:val="single"/>
          <w:shd w:val="clear" w:color="auto" w:fill="ffffff"/>
        </w:rPr>
        <w:t xml:space="preserve">组件</w:t>
      </w:r>
      <w:r>
        <w:rPr>
          <w:rStyle w:val="820"/>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在中国境内生产。</w:t>
      </w:r>
      <w:r>
        <w:rPr>
          <w:rStyle w:val="820"/>
          <w:rFonts w:hint="eastAsia" w:ascii="方正魏碑_GBK" w:hAnsi="方正魏碑_GBK" w:eastAsia="方正魏碑_GBK" w:cs="方正魏碑_GBK"/>
          <w:i w:val="0"/>
          <w:color w:val="auto"/>
          <w:highlight w:val="none"/>
          <w:u w:val="single"/>
          <w:shd w:val="clear" w:color="auto" w:fill="ffffff"/>
        </w:rPr>
        <w:t xml:space="preserve">（</w:t>
      </w:r>
      <w:r>
        <w:rPr>
          <w:rStyle w:val="820"/>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820"/>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820"/>
          <w:rFonts w:hint="eastAsia" w:ascii="方正魏碑_GBK" w:hAnsi="方正魏碑_GBK" w:eastAsia="方正魏碑_GBK" w:cs="方正魏碑_GBK"/>
          <w:i w:val="0"/>
          <w:color w:val="auto"/>
          <w:highlight w:val="none"/>
          <w:u w:val="single"/>
          <w:shd w:val="clear" w:color="auto" w:fill="ffffff"/>
        </w:rPr>
        <w:t xml:space="preserve">（</w:t>
      </w:r>
      <w:r>
        <w:rPr>
          <w:rStyle w:val="820"/>
          <w:rFonts w:hint="eastAsia" w:ascii="方正魏碑_GBK" w:hAnsi="方正魏碑_GBK" w:eastAsia="方正魏碑_GBK" w:cs="方正魏碑_GBK"/>
          <w:i w:val="0"/>
          <w:strike/>
          <w:color w:val="auto"/>
          <w:highlight w:val="none"/>
          <w:u w:val="single"/>
          <w:shd w:val="clear" w:color="auto" w:fill="ffffff"/>
        </w:rPr>
        <w:t xml:space="preserve">关键工序</w:t>
      </w:r>
      <w:r>
        <w:rPr>
          <w:rStyle w:val="820"/>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在中国境内完成。</w:t>
      </w:r>
      <w:r>
        <w:rPr>
          <w:color w:val="auto"/>
          <w:highlight w:val="none"/>
        </w:rPr>
      </w:r>
      <w:r/>
    </w:p>
    <w:p>
      <w:pPr>
        <w:pStyle w:val="815"/>
        <w:ind w:firstLine="420"/>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w:t>
      </w:r>
      <w:r>
        <w:rPr>
          <w:color w:val="auto"/>
          <w:highlight w:val="none"/>
        </w:rPr>
      </w:r>
      <w:r/>
    </w:p>
    <w:p>
      <w:pPr>
        <w:pStyle w:val="815"/>
        <w:ind w:firstLine="420"/>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本公司（单位）对上述声明内容的真实性负责。如有虚假，愿承担相应法律责任。</w:t>
      </w:r>
      <w:r>
        <w:rPr>
          <w:color w:val="auto"/>
          <w:highlight w:val="none"/>
        </w:rPr>
      </w:r>
      <w:r/>
    </w:p>
    <w:p>
      <w:pPr>
        <w:pStyle w:val="815"/>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r>
      <w:r>
        <w:rPr>
          <w:color w:val="auto"/>
          <w:highlight w:val="none"/>
        </w:rPr>
      </w:r>
      <w:r/>
    </w:p>
    <w:p>
      <w:pPr>
        <w:pStyle w:val="815"/>
        <w:ind w:right="480" w:firstLine="4200"/>
        <w:spacing w:before="30" w:beforeAutospacing="0" w:after="30" w:afterAutospacing="0" w:line="360" w:lineRule="exact"/>
        <w:rPr>
          <w:rFonts w:hint="eastAsia" w:ascii="宋体" w:hAnsi="宋体"/>
          <w:color w:val="auto"/>
          <w:sz w:val="24"/>
          <w:szCs w:val="24"/>
          <w:highlight w:val="none"/>
        </w:rPr>
      </w:pPr>
      <w:r>
        <w:rPr>
          <w:rFonts w:hint="eastAsia" w:ascii="方正魏碑_GBK" w:hAnsi="方正魏碑_GBK" w:eastAsia="方正魏碑_GBK" w:cs="方正魏碑_GBK"/>
          <w:color w:val="auto"/>
          <w:highlight w:val="none"/>
          <w:shd w:val="clear" w:color="auto" w:fill="ffffff"/>
        </w:rPr>
        <w:t xml:space="preserve">公司（单位）名称：　</w:t>
      </w:r>
      <w:r>
        <w:rPr>
          <w:rFonts w:hint="eastAsia" w:ascii="宋体" w:hAnsi="宋体"/>
          <w:color w:val="auto"/>
          <w:sz w:val="24"/>
          <w:szCs w:val="24"/>
          <w:highlight w:val="none"/>
        </w:rPr>
        <w:t xml:space="preserve">（</w:t>
      </w:r>
      <w:r>
        <w:rPr>
          <w:rFonts w:hint="eastAsia" w:ascii="宋体" w:hAnsi="宋体" w:eastAsia="宋体"/>
          <w:color w:val="auto"/>
          <w:sz w:val="24"/>
          <w:szCs w:val="24"/>
          <w:highlight w:val="none"/>
        </w:rPr>
        <w:t xml:space="preserve">加盖CA电子公章</w:t>
      </w:r>
      <w:r>
        <w:rPr>
          <w:rFonts w:hint="eastAsia" w:ascii="宋体" w:hAnsi="宋体"/>
          <w:color w:val="auto"/>
          <w:sz w:val="24"/>
          <w:szCs w:val="24"/>
          <w:highlight w:val="none"/>
        </w:rPr>
        <w:t xml:space="preserve">）  </w:t>
      </w:r>
      <w:r>
        <w:rPr>
          <w:color w:val="auto"/>
          <w:highlight w:val="none"/>
        </w:rPr>
      </w:r>
      <w:r/>
    </w:p>
    <w:p>
      <w:pPr>
        <w:pStyle w:val="815"/>
        <w:ind w:right="480" w:firstLine="3720"/>
        <w:spacing w:before="30" w:beforeAutospacing="0" w:after="30" w:afterAutospacing="0" w:line="360" w:lineRule="exact"/>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p>
      <w:pPr>
        <w:pStyle w:val="815"/>
        <w:jc w:val="center"/>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                    </w:t>
      </w:r>
      <w:r>
        <w:rPr>
          <w:rFonts w:ascii="方正魏碑_GBK" w:hAnsi="方正魏碑_GBK" w:eastAsia="方正魏碑_GBK" w:cs="方正魏碑_GBK"/>
          <w:color w:val="auto"/>
          <w:highlight w:val="non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日期：　   年　  月　  日         </w:t>
      </w:r>
      <w:r>
        <w:rPr>
          <w:color w:val="auto"/>
          <w:highlight w:val="none"/>
        </w:rPr>
      </w:r>
      <w:r/>
    </w:p>
    <w:p>
      <w:pPr>
        <w:pStyle w:val="815"/>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__________________</w:t>
      </w:r>
      <w:r>
        <w:rPr>
          <w:color w:val="auto"/>
          <w:highlight w:val="none"/>
        </w:rPr>
      </w:r>
      <w:r/>
    </w:p>
    <w:p>
      <w:pPr>
        <w:pStyle w:val="815"/>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1.产品如有型号，请在“产品名称”栏一并填写。</w:t>
      </w:r>
      <w:r>
        <w:rPr>
          <w:color w:val="auto"/>
          <w:highlight w:val="none"/>
        </w:rPr>
      </w:r>
      <w:r/>
    </w:p>
    <w:p>
      <w:pPr>
        <w:pStyle w:val="815"/>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2.生产厂名与厂址应与生产厂营业执照载明的相关信息保持一致。</w:t>
      </w:r>
      <w:r>
        <w:rPr>
          <w:color w:val="auto"/>
          <w:highlight w:val="none"/>
        </w:rPr>
      </w:r>
      <w:r/>
    </w:p>
    <w:p>
      <w:pPr>
        <w:pStyle w:val="815"/>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3.该产品的中国境内生产的组件成本占比相关要求实施前，“规定比例”栏可不填，下同。</w:t>
      </w:r>
      <w:r>
        <w:rPr>
          <w:color w:val="auto"/>
          <w:highlight w:val="none"/>
        </w:rPr>
      </w:r>
      <w:r/>
    </w:p>
    <w:p>
      <w:pPr>
        <w:pStyle w:val="815"/>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4.该产品的关键组件要求实施前，“关键组件”栏可不填，下同。</w:t>
      </w:r>
      <w:r>
        <w:rPr>
          <w:color w:val="auto"/>
          <w:highlight w:val="none"/>
        </w:rPr>
      </w:r>
      <w:r/>
    </w:p>
    <w:p>
      <w:pPr>
        <w:pStyle w:val="815"/>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5.该产品的关键工序要求实施前，“关键工序”栏可不填，下同。</w:t>
      </w:r>
      <w:r>
        <w:rPr>
          <w:color w:val="auto"/>
          <w:highlight w:val="none"/>
        </w:rPr>
      </w:r>
      <w:r/>
    </w:p>
    <w:p>
      <w:pPr>
        <w:pStyle w:val="81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6.用</w:t>
      </w:r>
      <w:r>
        <w:rPr>
          <w:rFonts w:hint="eastAsia" w:ascii="方正魏碑_GBK" w:hAnsi="方正魏碑_GBK" w:eastAsia="方正魏碑_GBK" w:cs="方正魏碑_GBK"/>
          <w:color w:val="auto"/>
          <w:sz w:val="22"/>
          <w:highlight w:val="none"/>
          <w:shd w:val="clear" w:color="auto" w:fill="ffffff"/>
          <w:lang w:val="en-US" w:eastAsia="zh-CN"/>
        </w:rPr>
        <w:t xml:space="preserve">横线</w:t>
      </w:r>
      <w:r>
        <w:rPr>
          <w:rFonts w:hint="eastAsia" w:ascii="方正魏碑_GBK" w:hAnsi="方正魏碑_GBK" w:eastAsia="方正魏碑_GBK" w:cs="方正魏碑_GBK"/>
          <w:strike/>
          <w:color w:val="auto"/>
          <w:sz w:val="22"/>
          <w:highlight w:val="none"/>
          <w:shd w:val="clear" w:color="auto" w:fill="ffffff"/>
          <w:lang w:val="en-US" w:eastAsia="zh-CN"/>
        </w:rPr>
        <w:t xml:space="preserve">     </w:t>
      </w:r>
      <w:r>
        <w:rPr>
          <w:rFonts w:hint="eastAsia" w:ascii="方正魏碑_GBK" w:hAnsi="方正魏碑_GBK" w:eastAsia="方正魏碑_GBK" w:cs="方正魏碑_GBK"/>
          <w:color w:val="auto"/>
          <w:sz w:val="22"/>
          <w:highlight w:val="none"/>
          <w:shd w:val="clear" w:color="auto" w:fill="ffffff"/>
        </w:rPr>
        <w:t xml:space="preserve">划除</w:t>
      </w:r>
      <w:r>
        <w:rPr>
          <w:rFonts w:hint="eastAsia" w:ascii="方正魏碑_GBK" w:hAnsi="方正魏碑_GBK" w:eastAsia="方正魏碑_GBK" w:cs="方正魏碑_GBK"/>
          <w:color w:val="auto"/>
          <w:sz w:val="22"/>
          <w:highlight w:val="none"/>
          <w:shd w:val="clear" w:color="auto" w:fill="ffffff"/>
        </w:rPr>
        <w:t xml:space="preserve">的地方无需填写。</w:t>
      </w:r>
      <w:r>
        <w:rPr>
          <w:color w:val="auto"/>
          <w:highlight w:val="none"/>
        </w:rPr>
      </w:r>
      <w:r/>
    </w:p>
    <w:p>
      <w:pPr>
        <w:pStyle w:val="81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rPr>
          <w:color w:val="auto"/>
          <w:highlight w:val="none"/>
        </w:rPr>
      </w:r>
      <w:r/>
    </w:p>
    <w:p>
      <w:pPr>
        <w:pStyle w:val="81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rPr>
          <w:color w:val="auto"/>
          <w:highlight w:val="none"/>
        </w:rPr>
      </w:r>
      <w:r/>
    </w:p>
    <w:p>
      <w:pPr>
        <w:pStyle w:val="81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rPr>
          <w:color w:val="auto"/>
          <w:highlight w:val="none"/>
        </w:rPr>
      </w:r>
      <w:r/>
    </w:p>
    <w:p>
      <w:pPr>
        <w:pStyle w:val="81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rPr>
          <w:color w:val="auto"/>
          <w:highlight w:val="none"/>
        </w:rPr>
      </w:r>
      <w:r/>
    </w:p>
    <w:p>
      <w:pPr>
        <w:pStyle w:val="81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rPr>
          <w:color w:val="auto"/>
          <w:highlight w:val="none"/>
        </w:rPr>
      </w:r>
      <w:r/>
    </w:p>
    <w:p>
      <w:pPr>
        <w:pStyle w:val="81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rPr>
          <w:color w:val="auto"/>
          <w:highlight w:val="none"/>
        </w:rPr>
      </w:r>
      <w:r/>
    </w:p>
    <w:p>
      <w:pPr>
        <w:pStyle w:val="81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rPr>
          <w:color w:val="auto"/>
          <w:highlight w:val="none"/>
        </w:rPr>
      </w:r>
      <w:r/>
    </w:p>
    <w:p>
      <w:pPr>
        <w:pStyle w:val="81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rPr>
          <w:color w:val="auto"/>
          <w:highlight w:val="none"/>
        </w:rPr>
      </w:r>
      <w:r/>
    </w:p>
    <w:p>
      <w:pPr>
        <w:pStyle w:val="81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rPr>
          <w:color w:val="auto"/>
          <w:highlight w:val="none"/>
        </w:rPr>
      </w:r>
      <w:r/>
    </w:p>
    <w:p>
      <w:pPr>
        <w:pStyle w:val="81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rPr>
          <w:color w:val="auto"/>
          <w:highlight w:val="none"/>
        </w:rPr>
      </w:r>
      <w:r/>
    </w:p>
    <w:p>
      <w:pPr>
        <w:pStyle w:val="81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rPr>
          <w:color w:val="auto"/>
          <w:highlight w:val="none"/>
        </w:rPr>
      </w:r>
      <w:r/>
    </w:p>
    <w:p>
      <w:pPr>
        <w:pStyle w:val="81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rPr>
          <w:color w:val="auto"/>
          <w:highlight w:val="none"/>
        </w:rPr>
      </w:r>
      <w:r/>
    </w:p>
    <w:p>
      <w:pPr>
        <w:pStyle w:val="81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rPr>
          <w:color w:val="auto"/>
          <w:highlight w:val="none"/>
        </w:rPr>
      </w:r>
      <w:r/>
    </w:p>
    <w:p>
      <w:pPr>
        <w:pStyle w:val="81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rPr>
          <w:color w:val="auto"/>
          <w:highlight w:val="none"/>
        </w:rPr>
      </w:r>
      <w:r/>
    </w:p>
    <w:p>
      <w:pPr>
        <w:pStyle w:val="81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rPr>
          <w:color w:val="auto"/>
          <w:highlight w:val="none"/>
        </w:rPr>
      </w:r>
      <w:r/>
    </w:p>
    <w:p>
      <w:pPr>
        <w:pStyle w:val="1274"/>
        <w:rPr>
          <w:rFonts w:hint="eastAsia"/>
          <w:color w:val="auto"/>
          <w:highlight w:val="none"/>
        </w:rPr>
        <w:outlineLvl w:val="1"/>
      </w:pPr>
      <w:r>
        <w:rPr>
          <w:color w:val="auto"/>
          <w:highlight w:val="none"/>
        </w:rPr>
        <w:t xml:space="preserve">十</w:t>
      </w:r>
      <w:r>
        <w:rPr>
          <w:rFonts w:hint="eastAsia"/>
          <w:color w:val="auto"/>
          <w:highlight w:val="none"/>
          <w:lang w:val="en-US" w:eastAsia="zh-CN"/>
        </w:rPr>
        <w:t xml:space="preserve">六</w:t>
      </w:r>
      <w:r>
        <w:rPr>
          <w:color w:val="auto"/>
          <w:highlight w:val="none"/>
        </w:rPr>
        <w:t xml:space="preserve">、响应偏差表</w:t>
      </w:r>
      <w:bookmarkEnd w:id="232"/>
      <w:r>
        <w:rPr>
          <w:color w:val="auto"/>
          <w:highlight w:val="none"/>
        </w:rPr>
      </w:r>
      <w:bookmarkEnd w:id="233"/>
      <w:r>
        <w:rPr>
          <w:color w:val="auto"/>
          <w:highlight w:val="none"/>
        </w:rPr>
      </w:r>
      <w:bookmarkEnd w:id="239"/>
      <w:r>
        <w:rPr>
          <w:color w:val="auto"/>
          <w:highlight w:val="none"/>
        </w:rPr>
      </w:r>
      <w:bookmarkEnd w:id="240"/>
      <w:r>
        <w:rPr>
          <w:color w:val="auto"/>
          <w:highlight w:val="none"/>
        </w:rPr>
      </w:r>
      <w:bookmarkEnd w:id="241"/>
      <w:r>
        <w:rPr>
          <w:color w:val="auto"/>
          <w:highlight w:val="none"/>
        </w:rPr>
      </w:r>
      <w:bookmarkEnd w:id="242"/>
      <w:r>
        <w:rPr>
          <w:color w:val="auto"/>
          <w:highlight w:val="none"/>
        </w:rPr>
      </w:r>
      <w:r/>
    </w:p>
    <w:p>
      <w:pPr>
        <w:pStyle w:val="1085"/>
        <w:jc w:val="center"/>
        <w:rPr>
          <w:color w:val="auto"/>
          <w:sz w:val="32"/>
          <w:szCs w:val="32"/>
          <w:highlight w:val="none"/>
        </w:rPr>
      </w:pPr>
      <w:r>
        <w:rPr>
          <w:rFonts w:hint="eastAsia"/>
          <w:color w:val="auto"/>
          <w:sz w:val="32"/>
          <w:szCs w:val="32"/>
          <w:highlight w:val="none"/>
        </w:rPr>
        <w:t xml:space="preserve">（一）技术响应偏差表</w:t>
      </w:r>
      <w:r>
        <w:rPr>
          <w:color w:val="auto"/>
          <w:highlight w:val="none"/>
        </w:rPr>
      </w:r>
      <w:r/>
    </w:p>
    <w:tbl>
      <w:tblPr>
        <w:tblStyle w:val="79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1898"/>
        <w:gridCol w:w="2100"/>
        <w:gridCol w:w="2232"/>
        <w:gridCol w:w="1790"/>
      </w:tblGrid>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85"/>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rPr>
                <w:color w:val="auto"/>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85"/>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rPr>
                <w:color w:val="auto"/>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85"/>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rPr>
                <w:color w:val="auto"/>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85"/>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rPr>
                <w:color w:val="auto"/>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85"/>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rPr>
                <w:color w:val="auto"/>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r>
    </w:tbl>
    <w:p>
      <w:pPr>
        <w:pStyle w:val="1146"/>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color w:val="auto"/>
          <w:highlight w:val="none"/>
        </w:rPr>
      </w:r>
      <w:r/>
    </w:p>
    <w:p>
      <w:pPr>
        <w:pStyle w:val="1146"/>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rPr>
          <w:color w:val="auto"/>
          <w:highlight w:val="none"/>
        </w:rPr>
      </w:r>
      <w:r/>
    </w:p>
    <w:p>
      <w:pPr>
        <w:pStyle w:val="1084"/>
        <w:ind w:firstLine="482"/>
        <w:rPr>
          <w:rFonts w:hint="eastAsia" w:hAnsi="宋体"/>
          <w:b/>
          <w:bCs/>
          <w:color w:val="auto"/>
          <w:sz w:val="24"/>
          <w:szCs w:val="28"/>
          <w:highlight w:val="none"/>
        </w:rPr>
      </w:pPr>
      <w:r>
        <w:rPr>
          <w:rFonts w:hint="eastAsia" w:hAnsi="宋体"/>
          <w:b/>
          <w:bCs/>
          <w:color w:val="auto"/>
          <w:sz w:val="24"/>
          <w:szCs w:val="28"/>
          <w:highlight w:val="none"/>
        </w:rPr>
      </w:r>
      <w:r>
        <w:rPr>
          <w:color w:val="auto"/>
          <w:highlight w:val="none"/>
        </w:rPr>
      </w:r>
      <w:r/>
    </w:p>
    <w:p>
      <w:pPr>
        <w:pStyle w:val="1412"/>
        <w:jc w:val="center"/>
        <w:rPr>
          <w:rFonts w:hint="eastAsia"/>
          <w:color w:val="auto"/>
          <w:highlight w:val="none"/>
        </w:rPr>
      </w:pPr>
      <w:r>
        <w:rPr>
          <w:rFonts w:hint="eastAsia" w:hAnsi="宋体"/>
          <w:b/>
          <w:bCs/>
          <w:color w:val="auto"/>
          <w:sz w:val="24"/>
          <w:szCs w:val="28"/>
          <w:highlight w:val="none"/>
        </w:rPr>
        <w:t xml:space="preserve">注：1.投标人须对照招标文件第四部分“采购需求”，逐条说明所提供货物和服务已对招标文件的技术规格做出了实质性的响应，并申明与技术规格条文的偏差和例外。</w:t>
      </w:r>
      <w:r>
        <w:rPr>
          <w:color w:val="auto"/>
          <w:highlight w:val="none"/>
        </w:rPr>
      </w:r>
      <w:r/>
    </w:p>
    <w:p>
      <w:pPr>
        <w:rPr>
          <w:color w:val="auto"/>
          <w:highlight w:val="none"/>
        </w:rPr>
      </w:pPr>
      <w:r>
        <w:rPr>
          <w:color w:val="auto"/>
          <w:highlight w:val="none"/>
        </w:rPr>
      </w:r>
      <w:bookmarkStart w:id="243" w:name="_Toc9396"/>
      <w:r>
        <w:rPr>
          <w:color w:val="auto"/>
          <w:highlight w:val="none"/>
        </w:rPr>
      </w:r>
      <w:bookmarkStart w:id="244" w:name="_Toc8566"/>
      <w:r>
        <w:rPr>
          <w:color w:val="auto"/>
          <w:highlight w:val="none"/>
        </w:rPr>
        <w:br w:type="page" w:clear="all"/>
      </w:r>
      <w:r>
        <w:rPr>
          <w:color w:val="auto"/>
          <w:highlight w:val="none"/>
        </w:rPr>
      </w:r>
      <w:r/>
    </w:p>
    <w:p>
      <w:pPr>
        <w:pStyle w:val="1085"/>
        <w:jc w:val="center"/>
        <w:rPr>
          <w:color w:val="auto"/>
          <w:sz w:val="32"/>
          <w:szCs w:val="32"/>
          <w:highlight w:val="none"/>
        </w:rPr>
      </w:pPr>
      <w:r>
        <w:rPr>
          <w:rFonts w:hint="eastAsia"/>
          <w:color w:val="auto"/>
          <w:sz w:val="32"/>
          <w:szCs w:val="32"/>
          <w:highlight w:val="none"/>
        </w:rPr>
        <w:t xml:space="preserve">（二）投标商务偏离表</w:t>
      </w:r>
      <w:bookmarkEnd w:id="243"/>
      <w:r>
        <w:rPr>
          <w:color w:val="auto"/>
          <w:highlight w:val="none"/>
        </w:rPr>
      </w:r>
      <w:bookmarkEnd w:id="244"/>
      <w:r>
        <w:rPr>
          <w:color w:val="auto"/>
          <w:highlight w:val="none"/>
        </w:rPr>
      </w:r>
      <w:r/>
    </w:p>
    <w:tbl>
      <w:tblPr>
        <w:tblStyle w:val="79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43"/>
        <w:gridCol w:w="2682"/>
        <w:gridCol w:w="2682"/>
      </w:tblGrid>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85"/>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rPr>
                <w:color w:val="auto"/>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5"/>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rPr>
                <w:color w:val="auto"/>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5"/>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rPr>
                <w:color w:val="auto"/>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r>
    </w:tbl>
    <w:p>
      <w:pPr>
        <w:pStyle w:val="1146"/>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color w:val="auto"/>
          <w:highlight w:val="none"/>
        </w:rPr>
      </w:r>
      <w:r/>
    </w:p>
    <w:p>
      <w:pPr>
        <w:pStyle w:val="1146"/>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rPr>
          <w:color w:val="auto"/>
          <w:highlight w:val="none"/>
        </w:rPr>
      </w:r>
      <w:r/>
    </w:p>
    <w:p>
      <w:pPr>
        <w:pStyle w:val="1084"/>
        <w:ind w:firstLine="482"/>
        <w:rPr>
          <w:rFonts w:hint="eastAsia" w:hAnsi="宋体"/>
          <w:b/>
          <w:bCs/>
          <w:color w:val="auto"/>
          <w:sz w:val="24"/>
          <w:szCs w:val="28"/>
          <w:highlight w:val="none"/>
        </w:rPr>
      </w:pPr>
      <w:r>
        <w:rPr>
          <w:rFonts w:hint="eastAsia" w:hAnsi="宋体"/>
          <w:b/>
          <w:bCs/>
          <w:color w:val="auto"/>
          <w:sz w:val="24"/>
          <w:szCs w:val="28"/>
          <w:highlight w:val="none"/>
        </w:rPr>
      </w:r>
      <w:r>
        <w:rPr>
          <w:color w:val="auto"/>
          <w:highlight w:val="none"/>
        </w:rPr>
      </w:r>
      <w:r/>
    </w:p>
    <w:p>
      <w:pPr>
        <w:ind w:left="210"/>
        <w:spacing w:line="500" w:lineRule="exact"/>
        <w:rPr>
          <w:rFonts w:hAnsi="宋体" w:cs="宋体"/>
          <w:color w:val="auto"/>
          <w:highlight w:val="none"/>
        </w:rPr>
      </w:pPr>
      <w:r>
        <w:rPr>
          <w:rFonts w:hint="eastAsia" w:hAnsi="宋体" w:cs="宋体"/>
          <w:color w:val="auto"/>
          <w:highlight w:val="none"/>
        </w:rPr>
        <w:t xml:space="preserve">注：</w:t>
      </w:r>
      <w:r>
        <w:rPr>
          <w:color w:val="auto"/>
          <w:highlight w:val="none"/>
        </w:rPr>
      </w:r>
      <w:r/>
    </w:p>
    <w:p>
      <w:pPr>
        <w:ind w:left="210"/>
        <w:spacing w:line="360" w:lineRule="auto"/>
        <w:rPr>
          <w:rFonts w:hAnsi="宋体" w:cs="宋体"/>
          <w:b/>
          <w:bCs/>
          <w:i/>
          <w:iCs/>
          <w:color w:val="auto"/>
          <w:highlight w:val="none"/>
        </w:rPr>
      </w:pPr>
      <w:r>
        <w:rPr>
          <w:rFonts w:hint="eastAsia" w:hAnsi="宋体" w:cs="宋体"/>
          <w:color w:val="auto"/>
          <w:highlight w:val="none"/>
        </w:rPr>
        <w:t xml:space="preserve">1、</w:t>
      </w:r>
      <w:r>
        <w:rPr>
          <w:rFonts w:hint="eastAsia" w:hAnsi="宋体" w:cs="宋体"/>
          <w:bCs/>
          <w:color w:val="auto"/>
          <w:highlight w:val="none"/>
        </w:rPr>
        <w:t xml:space="preserve">投标人须对照招标文件</w:t>
      </w:r>
      <w:r>
        <w:rPr>
          <w:rFonts w:hint="eastAsia" w:hAnsi="宋体"/>
          <w:bCs/>
          <w:color w:val="auto"/>
          <w:highlight w:val="none"/>
        </w:rPr>
        <w:t xml:space="preserve">第四部分“采购需求”</w:t>
      </w:r>
      <w:r>
        <w:rPr>
          <w:rFonts w:hint="eastAsia" w:hAnsi="宋体" w:cs="宋体"/>
          <w:bCs/>
          <w:color w:val="auto"/>
          <w:highlight w:val="none"/>
        </w:rPr>
        <w:t xml:space="preserve">中所列商务要求</w:t>
      </w:r>
      <w:r>
        <w:rPr>
          <w:rFonts w:hint="eastAsia" w:hAnsi="宋体" w:cs="宋体"/>
          <w:color w:val="auto"/>
          <w:highlight w:val="none"/>
        </w:rPr>
        <w:t xml:space="preserve">逐条作出响应，</w:t>
      </w:r>
      <w:r>
        <w:rPr>
          <w:rFonts w:hint="eastAsia" w:hAnsi="宋体" w:cs="宋体"/>
          <w:b/>
          <w:bCs/>
          <w:i/>
          <w:iCs/>
          <w:color w:val="auto"/>
          <w:highlight w:val="none"/>
        </w:rPr>
        <w:t xml:space="preserve">而不应以“全部符合”等字样来响应。</w:t>
      </w:r>
      <w:r>
        <w:rPr>
          <w:color w:val="auto"/>
          <w:highlight w:val="none"/>
        </w:rPr>
      </w:r>
      <w:r/>
    </w:p>
    <w:p>
      <w:pPr>
        <w:pStyle w:val="1412"/>
        <w:rPr>
          <w:rFonts w:hint="eastAsia"/>
          <w:color w:val="auto"/>
          <w:highlight w:val="none"/>
        </w:rPr>
        <w:outlineLvl w:val="1"/>
      </w:pPr>
      <w:r>
        <w:rPr>
          <w:color w:val="auto"/>
          <w:highlight w:val="none"/>
        </w:rPr>
        <w:br w:type="page" w:clear="all"/>
      </w:r>
      <w:bookmarkStart w:id="245" w:name="_Toc15828"/>
      <w:r>
        <w:rPr>
          <w:color w:val="auto"/>
          <w:highlight w:val="none"/>
        </w:rPr>
      </w:r>
      <w:bookmarkStart w:id="246" w:name="_Toc26943"/>
      <w:r>
        <w:rPr>
          <w:color w:val="auto"/>
          <w:highlight w:val="none"/>
        </w:rPr>
      </w:r>
      <w:bookmarkEnd w:id="245"/>
      <w:r>
        <w:rPr>
          <w:color w:val="auto"/>
        </w:rPr>
      </w:r>
      <w:bookmarkEnd w:id="246"/>
      <w:r>
        <w:rPr>
          <w:color w:val="auto"/>
          <w:highlight w:val="none"/>
        </w:rPr>
      </w:r>
      <w:r/>
    </w:p>
    <w:p>
      <w:pPr>
        <w:pStyle w:val="1382"/>
        <w:rPr>
          <w:rFonts w:hint="eastAsia"/>
          <w:color w:val="auto"/>
          <w:highlight w:val="none"/>
        </w:rPr>
        <w:outlineLvl w:val="1"/>
      </w:pPr>
      <w:r>
        <w:rPr>
          <w:color w:val="auto"/>
          <w:highlight w:val="none"/>
        </w:rPr>
      </w:r>
      <w:bookmarkStart w:id="247" w:name="_Toc25001_WPSOffice_Level2"/>
      <w:r>
        <w:rPr>
          <w:color w:val="auto"/>
          <w:highlight w:val="none"/>
        </w:rPr>
      </w:r>
      <w:bookmarkStart w:id="248" w:name="_Toc20188"/>
      <w:r>
        <w:rPr>
          <w:color w:val="auto"/>
          <w:highlight w:val="none"/>
        </w:rPr>
      </w:r>
      <w:bookmarkStart w:id="249" w:name="_Toc514054502"/>
      <w:r>
        <w:rPr>
          <w:color w:val="auto"/>
          <w:highlight w:val="none"/>
        </w:rPr>
      </w:r>
      <w:bookmarkStart w:id="250" w:name="_Toc5519"/>
      <w:r>
        <w:rPr>
          <w:color w:val="auto"/>
          <w:highlight w:val="none"/>
        </w:rPr>
      </w:r>
      <w:bookmarkStart w:id="251" w:name="_Toc164203484"/>
      <w:r>
        <w:rPr>
          <w:color w:val="auto"/>
          <w:highlight w:val="none"/>
        </w:rPr>
      </w:r>
      <w:bookmarkStart w:id="252" w:name="_Toc21179"/>
      <w:r>
        <w:rPr>
          <w:color w:val="auto"/>
          <w:highlight w:val="none"/>
        </w:rPr>
      </w:r>
      <w:bookmarkStart w:id="253" w:name="_Toc7579"/>
      <w:r>
        <w:rPr>
          <w:color w:val="auto"/>
          <w:highlight w:val="none"/>
        </w:rPr>
      </w:r>
      <w:bookmarkStart w:id="254" w:name="_Toc109"/>
      <w:r>
        <w:rPr>
          <w:color w:val="auto"/>
          <w:highlight w:val="none"/>
        </w:rPr>
        <w:t xml:space="preserve">十</w:t>
      </w:r>
      <w:r>
        <w:rPr>
          <w:rFonts w:hint="eastAsia"/>
          <w:color w:val="auto"/>
          <w:highlight w:val="none"/>
          <w:lang w:val="en-US" w:eastAsia="zh-CN"/>
        </w:rPr>
        <w:t xml:space="preserve">七</w:t>
      </w:r>
      <w:r>
        <w:rPr>
          <w:color w:val="auto"/>
          <w:highlight w:val="none"/>
        </w:rPr>
        <w:t xml:space="preserve">、</w:t>
      </w:r>
      <w:r>
        <w:rPr>
          <w:rFonts w:hint="eastAsia"/>
          <w:color w:val="auto"/>
          <w:highlight w:val="none"/>
        </w:rPr>
        <w:t xml:space="preserve">服务</w:t>
      </w:r>
      <w:r>
        <w:rPr>
          <w:color w:val="auto"/>
          <w:highlight w:val="none"/>
        </w:rPr>
        <w:t xml:space="preserve">方案</w:t>
      </w:r>
      <w:bookmarkEnd w:id="247"/>
      <w:r>
        <w:rPr>
          <w:color w:val="auto"/>
          <w:highlight w:val="none"/>
        </w:rPr>
      </w:r>
      <w:bookmarkEnd w:id="248"/>
      <w:r>
        <w:rPr>
          <w:color w:val="auto"/>
          <w:highlight w:val="none"/>
        </w:rPr>
      </w:r>
      <w:bookmarkEnd w:id="249"/>
      <w:r>
        <w:rPr>
          <w:color w:val="auto"/>
          <w:highlight w:val="none"/>
        </w:rPr>
      </w:r>
      <w:r/>
    </w:p>
    <w:p>
      <w:pPr>
        <w:pStyle w:val="1220"/>
        <w:jc w:val="center"/>
        <w:spacing w:line="560" w:lineRule="exact"/>
        <w:rPr>
          <w:rFonts w:ascii="宋体"/>
          <w:b/>
          <w:bCs/>
          <w:color w:val="auto"/>
          <w:sz w:val="32"/>
          <w:szCs w:val="32"/>
          <w:highlight w:val="none"/>
        </w:rPr>
      </w:pPr>
      <w:r>
        <w:rPr>
          <w:color w:val="auto"/>
          <w:highlight w:val="none"/>
        </w:rPr>
      </w:r>
      <w:bookmarkStart w:id="255" w:name="_Toc2882_WPSOffice_Level2"/>
      <w:r>
        <w:rPr>
          <w:rFonts w:hint="eastAsia" w:ascii="宋体"/>
          <w:b/>
          <w:bCs/>
          <w:color w:val="auto"/>
          <w:sz w:val="32"/>
          <w:szCs w:val="32"/>
          <w:highlight w:val="none"/>
        </w:rPr>
        <w:t xml:space="preserve">按照招标文件要求，格式自拟</w:t>
      </w:r>
      <w:bookmarkEnd w:id="255"/>
      <w:r>
        <w:rPr>
          <w:color w:val="auto"/>
          <w:highlight w:val="none"/>
        </w:rPr>
      </w:r>
      <w:r/>
    </w:p>
    <w:p>
      <w:pPr>
        <w:jc w:val="left"/>
        <w:widowControl/>
        <w:rPr>
          <w:rFonts w:hint="eastAsia" w:ascii="黑体" w:hAnsi="黑体" w:eastAsia="黑体"/>
          <w:b/>
          <w:color w:val="auto"/>
          <w:sz w:val="32"/>
          <w:szCs w:val="24"/>
          <w:highlight w:val="none"/>
        </w:rPr>
      </w:pPr>
      <w:r>
        <w:rPr>
          <w:rFonts w:hint="eastAsia"/>
          <w:color w:val="auto"/>
          <w:highlight w:val="none"/>
        </w:rPr>
        <w:br w:type="page" w:clear="all"/>
      </w:r>
      <w:r>
        <w:rPr>
          <w:color w:val="auto"/>
          <w:highlight w:val="none"/>
        </w:rPr>
      </w:r>
      <w:r/>
    </w:p>
    <w:p>
      <w:pPr>
        <w:pStyle w:val="1350"/>
        <w:rPr>
          <w:rFonts w:hint="eastAsia"/>
          <w:color w:val="auto"/>
          <w:highlight w:val="none"/>
        </w:rPr>
        <w:outlineLvl w:val="1"/>
      </w:pPr>
      <w:r>
        <w:rPr>
          <w:color w:val="auto"/>
          <w:highlight w:val="none"/>
        </w:rPr>
      </w:r>
      <w:bookmarkStart w:id="256" w:name="_Toc14378"/>
      <w:r>
        <w:rPr>
          <w:color w:val="auto"/>
          <w:highlight w:val="none"/>
        </w:rPr>
        <w:t xml:space="preserve">十</w:t>
      </w:r>
      <w:r>
        <w:rPr>
          <w:rFonts w:hint="eastAsia"/>
          <w:color w:val="auto"/>
          <w:highlight w:val="none"/>
          <w:lang w:val="en-US" w:eastAsia="zh-CN"/>
        </w:rPr>
        <w:t xml:space="preserve">八</w:t>
      </w:r>
      <w:r>
        <w:rPr>
          <w:color w:val="auto"/>
          <w:highlight w:val="none"/>
        </w:rPr>
        <w:t xml:space="preserve">、类似项目业绩一览表</w:t>
      </w:r>
      <w:bookmarkEnd w:id="250"/>
      <w:r>
        <w:rPr>
          <w:color w:val="auto"/>
          <w:highlight w:val="none"/>
        </w:rPr>
      </w:r>
      <w:bookmarkEnd w:id="251"/>
      <w:r>
        <w:rPr>
          <w:color w:val="auto"/>
          <w:highlight w:val="none"/>
        </w:rPr>
      </w:r>
      <w:bookmarkEnd w:id="252"/>
      <w:r>
        <w:rPr>
          <w:color w:val="auto"/>
          <w:highlight w:val="none"/>
        </w:rPr>
      </w:r>
      <w:bookmarkEnd w:id="253"/>
      <w:r>
        <w:rPr>
          <w:color w:val="auto"/>
          <w:highlight w:val="none"/>
        </w:rPr>
      </w:r>
      <w:bookmarkEnd w:id="254"/>
      <w:r>
        <w:rPr>
          <w:color w:val="auto"/>
          <w:highlight w:val="none"/>
        </w:rPr>
      </w:r>
      <w:bookmarkEnd w:id="256"/>
      <w:r>
        <w:rPr>
          <w:color w:val="auto"/>
          <w:highlight w:val="none"/>
        </w:rPr>
      </w:r>
      <w:r/>
    </w:p>
    <w:p>
      <w:pPr>
        <w:pStyle w:val="1263"/>
        <w:jc w:val="center"/>
        <w:rPr>
          <w:b/>
          <w:color w:val="auto"/>
          <w:sz w:val="32"/>
          <w:szCs w:val="32"/>
          <w:highlight w:val="none"/>
        </w:rPr>
      </w:pPr>
      <w:r>
        <w:rPr>
          <w:rFonts w:hint="eastAsia"/>
          <w:b/>
          <w:color w:val="auto"/>
          <w:sz w:val="32"/>
          <w:szCs w:val="32"/>
          <w:highlight w:val="none"/>
        </w:rPr>
        <w:t xml:space="preserve">类似项目业绩一览表</w:t>
      </w:r>
      <w:r>
        <w:rPr>
          <w:color w:val="auto"/>
          <w:highlight w:val="none"/>
        </w:rPr>
      </w:r>
      <w:r/>
    </w:p>
    <w:tbl>
      <w:tblPr>
        <w:tblStyle w:val="79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303"/>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rPr>
                <w:color w:val="auto"/>
                <w:highlight w:val="none"/>
              </w:rPr>
            </w:r>
            <w:r/>
          </w:p>
        </w:tc>
        <w:tc>
          <w:tcPr>
            <w:tcW w:w="3827" w:type="dxa"/>
            <w:vAlign w:val="center"/>
            <w:textDirection w:val="lrTb"/>
            <w:noWrap w:val="false"/>
          </w:tcPr>
          <w:p>
            <w:pPr>
              <w:pStyle w:val="1303"/>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项目名称</w:t>
            </w:r>
            <w:r>
              <w:rPr>
                <w:color w:val="auto"/>
                <w:highlight w:val="none"/>
              </w:rPr>
            </w:r>
            <w:r/>
          </w:p>
        </w:tc>
        <w:tc>
          <w:tcPr>
            <w:tcW w:w="2433" w:type="dxa"/>
            <w:vAlign w:val="center"/>
            <w:textDirection w:val="lrTb"/>
            <w:noWrap w:val="false"/>
          </w:tcPr>
          <w:p>
            <w:pPr>
              <w:pStyle w:val="1303"/>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采购单位</w:t>
            </w:r>
            <w:r>
              <w:rPr>
                <w:color w:val="auto"/>
                <w:highlight w:val="none"/>
              </w:rPr>
            </w:r>
            <w:r/>
          </w:p>
        </w:tc>
        <w:tc>
          <w:tcPr>
            <w:tcW w:w="1395" w:type="dxa"/>
            <w:vAlign w:val="center"/>
            <w:textDirection w:val="lrTb"/>
            <w:noWrap w:val="false"/>
          </w:tcPr>
          <w:p>
            <w:pPr>
              <w:pStyle w:val="1303"/>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合同金额</w:t>
            </w:r>
            <w:r>
              <w:rPr>
                <w:color w:val="auto"/>
                <w:highlight w:val="none"/>
              </w:rPr>
            </w:r>
            <w:r/>
          </w:p>
        </w:tc>
      </w:tr>
      <w:tr>
        <w:trPr>
          <w:jc w:val="center"/>
          <w:trHeight w:val="1510"/>
        </w:trPr>
        <w:tc>
          <w:tcPr>
            <w:tcW w:w="1229" w:type="dxa"/>
            <w:textDirection w:val="lrTb"/>
            <w:noWrap w:val="false"/>
          </w:tcPr>
          <w:p>
            <w:pPr>
              <w:pStyle w:val="130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rPr>
                <w:color w:val="auto"/>
                <w:highlight w:val="none"/>
              </w:rPr>
            </w:r>
            <w:r/>
          </w:p>
        </w:tc>
        <w:tc>
          <w:tcPr>
            <w:tcW w:w="3827" w:type="dxa"/>
            <w:vAlign w:val="center"/>
            <w:textDirection w:val="lrTb"/>
            <w:noWrap w:val="false"/>
          </w:tcPr>
          <w:p>
            <w:pPr>
              <w:pStyle w:val="130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rPr>
                <w:color w:val="auto"/>
                <w:highlight w:val="none"/>
              </w:rPr>
            </w:r>
            <w:r/>
          </w:p>
        </w:tc>
        <w:tc>
          <w:tcPr>
            <w:tcW w:w="2433" w:type="dxa"/>
            <w:vAlign w:val="center"/>
            <w:textDirection w:val="lrTb"/>
            <w:noWrap w:val="false"/>
          </w:tcPr>
          <w:p>
            <w:pPr>
              <w:pStyle w:val="130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rPr>
                <w:color w:val="auto"/>
                <w:highlight w:val="none"/>
              </w:rPr>
            </w:r>
            <w:r/>
          </w:p>
        </w:tc>
        <w:tc>
          <w:tcPr>
            <w:tcW w:w="1395" w:type="dxa"/>
            <w:vAlign w:val="center"/>
            <w:textDirection w:val="lrTb"/>
            <w:noWrap w:val="false"/>
          </w:tcPr>
          <w:p>
            <w:pPr>
              <w:pStyle w:val="130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rPr>
                <w:color w:val="auto"/>
                <w:highlight w:val="none"/>
              </w:rPr>
            </w:r>
            <w:r/>
          </w:p>
        </w:tc>
      </w:tr>
      <w:tr>
        <w:trPr>
          <w:jc w:val="center"/>
          <w:trHeight w:val="1510"/>
        </w:trPr>
        <w:tc>
          <w:tcPr>
            <w:tcW w:w="1229" w:type="dxa"/>
            <w:textDirection w:val="lrTb"/>
            <w:noWrap w:val="false"/>
          </w:tcPr>
          <w:p>
            <w:pPr>
              <w:pStyle w:val="130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rPr>
                <w:color w:val="auto"/>
                <w:highlight w:val="none"/>
              </w:rPr>
            </w:r>
            <w:r/>
          </w:p>
        </w:tc>
        <w:tc>
          <w:tcPr>
            <w:tcW w:w="3827" w:type="dxa"/>
            <w:vAlign w:val="center"/>
            <w:textDirection w:val="lrTb"/>
            <w:noWrap w:val="false"/>
          </w:tcPr>
          <w:p>
            <w:pPr>
              <w:pStyle w:val="130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rPr>
                <w:color w:val="auto"/>
                <w:highlight w:val="none"/>
              </w:rPr>
            </w:r>
            <w:r/>
          </w:p>
        </w:tc>
        <w:tc>
          <w:tcPr>
            <w:tcW w:w="2433" w:type="dxa"/>
            <w:vAlign w:val="center"/>
            <w:textDirection w:val="lrTb"/>
            <w:noWrap w:val="false"/>
          </w:tcPr>
          <w:p>
            <w:pPr>
              <w:pStyle w:val="130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rPr>
                <w:color w:val="auto"/>
                <w:highlight w:val="none"/>
              </w:rPr>
            </w:r>
            <w:r/>
          </w:p>
        </w:tc>
        <w:tc>
          <w:tcPr>
            <w:tcW w:w="1395" w:type="dxa"/>
            <w:vAlign w:val="center"/>
            <w:textDirection w:val="lrTb"/>
            <w:noWrap w:val="false"/>
          </w:tcPr>
          <w:p>
            <w:pPr>
              <w:pStyle w:val="130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rPr>
                <w:color w:val="auto"/>
                <w:highlight w:val="none"/>
              </w:rPr>
            </w:r>
            <w:r/>
          </w:p>
        </w:tc>
      </w:tr>
      <w:tr>
        <w:trPr>
          <w:jc w:val="center"/>
          <w:trHeight w:val="1510"/>
        </w:trPr>
        <w:tc>
          <w:tcPr>
            <w:tcW w:w="1229" w:type="dxa"/>
            <w:textDirection w:val="lrTb"/>
            <w:noWrap w:val="false"/>
          </w:tcPr>
          <w:p>
            <w:pPr>
              <w:pStyle w:val="130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rPr>
                <w:color w:val="auto"/>
                <w:highlight w:val="none"/>
              </w:rPr>
            </w:r>
            <w:r/>
          </w:p>
        </w:tc>
        <w:tc>
          <w:tcPr>
            <w:tcW w:w="3827" w:type="dxa"/>
            <w:vAlign w:val="center"/>
            <w:textDirection w:val="lrTb"/>
            <w:noWrap w:val="false"/>
          </w:tcPr>
          <w:p>
            <w:pPr>
              <w:pStyle w:val="130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rPr>
                <w:color w:val="auto"/>
                <w:highlight w:val="none"/>
              </w:rPr>
            </w:r>
            <w:r/>
          </w:p>
        </w:tc>
        <w:tc>
          <w:tcPr>
            <w:tcW w:w="2433" w:type="dxa"/>
            <w:vAlign w:val="center"/>
            <w:textDirection w:val="lrTb"/>
            <w:noWrap w:val="false"/>
          </w:tcPr>
          <w:p>
            <w:pPr>
              <w:pStyle w:val="130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rPr>
                <w:color w:val="auto"/>
                <w:highlight w:val="none"/>
              </w:rPr>
            </w:r>
            <w:r/>
          </w:p>
        </w:tc>
        <w:tc>
          <w:tcPr>
            <w:tcW w:w="1395" w:type="dxa"/>
            <w:vAlign w:val="center"/>
            <w:textDirection w:val="lrTb"/>
            <w:noWrap w:val="false"/>
          </w:tcPr>
          <w:p>
            <w:pPr>
              <w:pStyle w:val="130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rPr>
                <w:color w:val="auto"/>
                <w:highlight w:val="none"/>
              </w:rPr>
            </w:r>
            <w:r/>
          </w:p>
        </w:tc>
      </w:tr>
      <w:tr>
        <w:trPr>
          <w:jc w:val="center"/>
          <w:trHeight w:val="1525"/>
        </w:trPr>
        <w:tc>
          <w:tcPr>
            <w:tcW w:w="1229" w:type="dxa"/>
            <w:textDirection w:val="lrTb"/>
            <w:noWrap w:val="false"/>
          </w:tcPr>
          <w:p>
            <w:pPr>
              <w:pStyle w:val="130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rPr>
                <w:color w:val="auto"/>
                <w:highlight w:val="none"/>
              </w:rPr>
            </w:r>
            <w:r/>
          </w:p>
        </w:tc>
        <w:tc>
          <w:tcPr>
            <w:tcW w:w="3827" w:type="dxa"/>
            <w:vAlign w:val="center"/>
            <w:textDirection w:val="lrTb"/>
            <w:noWrap w:val="false"/>
          </w:tcPr>
          <w:p>
            <w:pPr>
              <w:pStyle w:val="130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rPr>
                <w:color w:val="auto"/>
                <w:highlight w:val="none"/>
              </w:rPr>
            </w:r>
            <w:r/>
          </w:p>
        </w:tc>
        <w:tc>
          <w:tcPr>
            <w:tcW w:w="2433" w:type="dxa"/>
            <w:vAlign w:val="center"/>
            <w:textDirection w:val="lrTb"/>
            <w:noWrap w:val="false"/>
          </w:tcPr>
          <w:p>
            <w:pPr>
              <w:pStyle w:val="130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rPr>
                <w:color w:val="auto"/>
                <w:highlight w:val="none"/>
              </w:rPr>
            </w:r>
            <w:r/>
          </w:p>
        </w:tc>
        <w:tc>
          <w:tcPr>
            <w:tcW w:w="1395" w:type="dxa"/>
            <w:vAlign w:val="center"/>
            <w:textDirection w:val="lrTb"/>
            <w:noWrap w:val="false"/>
          </w:tcPr>
          <w:p>
            <w:pPr>
              <w:pStyle w:val="130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rPr>
                <w:color w:val="auto"/>
                <w:highlight w:val="none"/>
              </w:rPr>
            </w:r>
            <w:r/>
          </w:p>
        </w:tc>
      </w:tr>
    </w:tbl>
    <w:p>
      <w:pPr>
        <w:pStyle w:val="1250"/>
        <w:rPr>
          <w:color w:val="auto"/>
          <w:highlight w:val="none"/>
        </w:rPr>
        <w:outlineLvl w:val="1"/>
      </w:pPr>
      <w:r>
        <w:rPr>
          <w:color w:val="auto"/>
          <w:highlight w:val="none"/>
        </w:rPr>
        <w:br w:type="page" w:clear="all"/>
      </w:r>
      <w:bookmarkStart w:id="257" w:name="_Toc20255"/>
      <w:r>
        <w:rPr>
          <w:color w:val="auto"/>
          <w:highlight w:val="none"/>
        </w:rPr>
      </w:r>
      <w:bookmarkStart w:id="258" w:name="_Toc15753"/>
      <w:r>
        <w:rPr>
          <w:color w:val="auto"/>
          <w:highlight w:val="none"/>
        </w:rPr>
      </w:r>
      <w:bookmarkStart w:id="259" w:name="_Toc6607"/>
      <w:r>
        <w:rPr>
          <w:color w:val="auto"/>
          <w:highlight w:val="none"/>
        </w:rPr>
      </w:r>
      <w:bookmarkStart w:id="260" w:name="_Toc164203485"/>
      <w:r>
        <w:rPr>
          <w:color w:val="auto"/>
          <w:highlight w:val="none"/>
        </w:rPr>
      </w:r>
      <w:bookmarkStart w:id="261" w:name="_Toc14046"/>
      <w:r>
        <w:rPr>
          <w:color w:val="auto"/>
          <w:highlight w:val="none"/>
        </w:rPr>
      </w:r>
      <w:bookmarkStart w:id="262" w:name="_Toc5295"/>
      <w:r>
        <w:rPr>
          <w:color w:val="auto"/>
          <w:highlight w:val="none"/>
        </w:rPr>
      </w:r>
      <w:r/>
    </w:p>
    <w:p>
      <w:pPr>
        <w:pStyle w:val="1250"/>
        <w:rPr>
          <w:rFonts w:hint="eastAsia"/>
          <w:color w:val="auto"/>
          <w:highlight w:val="none"/>
        </w:rPr>
        <w:outlineLvl w:val="1"/>
      </w:pPr>
      <w:r>
        <w:rPr>
          <w:rFonts w:hint="eastAsia"/>
          <w:color w:val="auto"/>
          <w:highlight w:val="none"/>
          <w:lang w:val="en-US" w:eastAsia="zh-CN"/>
        </w:rPr>
        <w:t xml:space="preserve">十九</w:t>
      </w:r>
      <w:r>
        <w:rPr>
          <w:color w:val="auto"/>
          <w:highlight w:val="none"/>
        </w:rPr>
        <w:t xml:space="preserve">、投标所需其他材料</w:t>
      </w:r>
      <w:bookmarkEnd w:id="257"/>
      <w:r>
        <w:rPr>
          <w:color w:val="auto"/>
          <w:highlight w:val="none"/>
        </w:rPr>
      </w:r>
      <w:bookmarkEnd w:id="258"/>
      <w:r>
        <w:rPr>
          <w:color w:val="auto"/>
          <w:highlight w:val="none"/>
        </w:rPr>
      </w:r>
      <w:bookmarkEnd w:id="259"/>
      <w:r>
        <w:rPr>
          <w:color w:val="auto"/>
          <w:highlight w:val="none"/>
        </w:rPr>
      </w:r>
      <w:bookmarkEnd w:id="260"/>
      <w:r>
        <w:rPr>
          <w:color w:val="auto"/>
          <w:highlight w:val="none"/>
        </w:rPr>
      </w:r>
      <w:bookmarkEnd w:id="261"/>
      <w:r>
        <w:rPr>
          <w:color w:val="auto"/>
          <w:highlight w:val="none"/>
        </w:rPr>
      </w:r>
      <w:bookmarkEnd w:id="262"/>
      <w:r>
        <w:rPr>
          <w:color w:val="auto"/>
          <w:highlight w:val="none"/>
        </w:rPr>
      </w:r>
      <w:r/>
    </w:p>
    <w:p>
      <w:pPr>
        <w:pStyle w:val="1387"/>
        <w:ind w:firstLine="420"/>
        <w:spacing w:line="360" w:lineRule="auto"/>
        <w:rPr>
          <w:color w:val="auto"/>
          <w:highlight w:val="none"/>
        </w:rPr>
      </w:pPr>
      <w:r>
        <w:rPr>
          <w:rFonts w:hint="eastAsia"/>
          <w:color w:val="auto"/>
          <w:highlight w:val="none"/>
        </w:rPr>
        <w:t xml:space="preserve">请在此文档中增加投标所需其他相关内容（包括资格要求、评分办法、采购需求中涉及的证件证明及其它投标人认为有必要提供的资料），如没有请空置。</w:t>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jc w:val="center"/>
        <w:spacing w:line="360" w:lineRule="auto"/>
        <w:rPr>
          <w:rFonts w:hAnsi="宋体" w:cs="宋体"/>
          <w:bCs/>
          <w:color w:val="auto"/>
          <w:sz w:val="44"/>
          <w:szCs w:val="44"/>
          <w:highlight w:val="none"/>
        </w:rPr>
        <w:outlineLvl w:val="0"/>
      </w:pPr>
      <w:r>
        <w:rPr>
          <w:color w:val="auto"/>
          <w:highlight w:val="none"/>
        </w:rPr>
      </w:r>
      <w:bookmarkStart w:id="263" w:name="_Toc3075"/>
      <w:r>
        <w:rPr>
          <w:rFonts w:hint="eastAsia" w:hAnsi="宋体" w:cs="宋体"/>
          <w:bCs/>
          <w:color w:val="auto"/>
          <w:sz w:val="44"/>
          <w:szCs w:val="44"/>
          <w:highlight w:val="none"/>
        </w:rPr>
        <w:t xml:space="preserve">第七</w:t>
      </w:r>
      <w:r>
        <w:rPr>
          <w:rFonts w:hint="eastAsia" w:hAnsi="宋体" w:cs="宋体"/>
          <w:bCs/>
          <w:color w:val="auto"/>
          <w:sz w:val="44"/>
          <w:szCs w:val="44"/>
          <w:highlight w:val="none"/>
          <w:lang w:val="en-US" w:eastAsia="zh-CN"/>
        </w:rPr>
        <w:t xml:space="preserve">部分</w:t>
      </w:r>
      <w:r>
        <w:rPr>
          <w:rFonts w:hint="eastAsia" w:hAnsi="宋体" w:cs="宋体"/>
          <w:bCs/>
          <w:color w:val="auto"/>
          <w:sz w:val="44"/>
          <w:szCs w:val="44"/>
          <w:highlight w:val="none"/>
        </w:rPr>
        <w:t xml:space="preserve">：特别提醒</w:t>
      </w:r>
      <w:bookmarkEnd w:id="263"/>
      <w:r>
        <w:rPr>
          <w:color w:val="auto"/>
          <w:highlight w:val="none"/>
        </w:rPr>
      </w:r>
      <w:r/>
    </w:p>
    <w:p>
      <w:pPr>
        <w:jc w:val="center"/>
        <w:spacing w:line="360" w:lineRule="auto"/>
        <w:rPr>
          <w:rFonts w:hAnsi="宋体" w:cs="宋体"/>
          <w:bCs/>
          <w:color w:val="auto"/>
          <w:sz w:val="44"/>
          <w:szCs w:val="44"/>
          <w:highlight w:val="none"/>
        </w:rPr>
        <w:outlineLvl w:val="0"/>
      </w:pPr>
      <w:r>
        <w:rPr>
          <w:color w:val="auto"/>
          <w:highlight w:val="none"/>
        </w:rPr>
      </w:r>
      <w:bookmarkStart w:id="264" w:name="_Toc31159"/>
      <w:r>
        <w:rPr>
          <w:rFonts w:hint="eastAsia" w:hAnsi="宋体" w:cs="宋体"/>
          <w:bCs/>
          <w:color w:val="auto"/>
          <w:sz w:val="44"/>
          <w:szCs w:val="44"/>
          <w:highlight w:val="none"/>
        </w:rPr>
        <w:t xml:space="preserve">（有关围标串标情形的判定）</w:t>
      </w:r>
      <w:bookmarkEnd w:id="264"/>
      <w:r>
        <w:rPr>
          <w:color w:val="auto"/>
          <w:highlight w:val="none"/>
        </w:rPr>
      </w:r>
      <w:r/>
    </w:p>
    <w:p>
      <w:pPr>
        <w:spacing w:line="360" w:lineRule="auto"/>
        <w:rPr>
          <w:rFonts w:hAnsi="宋体"/>
          <w:bCs/>
          <w:color w:val="auto"/>
          <w:sz w:val="32"/>
          <w:szCs w:val="32"/>
          <w:highlight w:val="none"/>
        </w:rPr>
      </w:pPr>
      <w:r>
        <w:rPr>
          <w:rFonts w:hAnsi="宋体"/>
          <w:bCs/>
          <w:color w:val="auto"/>
          <w:sz w:val="32"/>
          <w:szCs w:val="32"/>
          <w:highlight w:val="none"/>
        </w:rPr>
      </w:r>
      <w:r>
        <w:rPr>
          <w:color w:val="auto"/>
          <w:highlight w:val="none"/>
        </w:rPr>
      </w:r>
      <w:r/>
    </w:p>
    <w:p>
      <w:pPr>
        <w:spacing w:line="360" w:lineRule="auto"/>
        <w:tabs>
          <w:tab w:val="left" w:pos="3965" w:leader="none"/>
        </w:tabs>
        <w:rPr>
          <w:rFonts w:hint="eastAsia" w:hAnsi="宋体" w:eastAsia="宋体"/>
          <w:bCs/>
          <w:color w:val="auto"/>
          <w:sz w:val="32"/>
          <w:szCs w:val="32"/>
          <w:highlight w:val="none"/>
        </w:rPr>
      </w:pPr>
      <w:r>
        <w:rPr>
          <w:rFonts w:hint="eastAsia" w:hAnsi="宋体"/>
          <w:bCs/>
          <w:color w:val="auto"/>
          <w:sz w:val="32"/>
          <w:szCs w:val="32"/>
          <w:highlight w:val="none"/>
        </w:rPr>
        <w:t xml:space="preserve">各投标人：</w:t>
      </w:r>
      <w:r>
        <w:rPr>
          <w:rFonts w:hint="eastAsia" w:hAnsi="宋体"/>
          <w:bCs/>
          <w:color w:val="auto"/>
          <w:sz w:val="32"/>
          <w:szCs w:val="32"/>
          <w:highlight w:val="none"/>
          <w:lang w:eastAsia="zh-CN"/>
        </w:rPr>
        <w:tab/>
      </w:r>
      <w:r>
        <w:rPr>
          <w:color w:val="auto"/>
          <w:highlight w:val="none"/>
        </w:rPr>
      </w:r>
      <w:r/>
    </w:p>
    <w:p>
      <w:pPr>
        <w:ind w:firstLine="480"/>
        <w:spacing w:line="360" w:lineRule="auto"/>
        <w:rPr>
          <w:rFonts w:hAnsi="宋体"/>
          <w:color w:val="auto"/>
          <w:highlight w:val="none"/>
        </w:rPr>
      </w:pPr>
      <w:r>
        <w:rPr>
          <w:rFonts w:hint="eastAsia" w:hAnsi="宋体"/>
          <w:color w:val="auto"/>
          <w:highlight w:val="none"/>
        </w:rPr>
        <w:t xml:space="preserve">评标委员会将对投标人提交的投标/响应文件进行评审，在评审过程中如发现投标人存在以下情形：</w:t>
      </w:r>
      <w:r>
        <w:rPr>
          <w:color w:val="auto"/>
          <w:highlight w:val="none"/>
        </w:rPr>
      </w:r>
      <w:r/>
    </w:p>
    <w:p>
      <w:pPr>
        <w:ind w:firstLine="420"/>
        <w:spacing w:line="360" w:lineRule="auto"/>
        <w:rPr>
          <w:rFonts w:hAnsi="宋体" w:cs="宋体"/>
          <w:color w:val="auto"/>
          <w:highlight w:val="none"/>
        </w:rPr>
      </w:pPr>
      <w:r>
        <w:rPr>
          <w:rFonts w:hint="eastAsia" w:hAnsi="宋体" w:cs="宋体"/>
          <w:color w:val="auto"/>
          <w:highlight w:val="none"/>
        </w:rPr>
        <w:t xml:space="preserve">1.</w:t>
      </w:r>
      <w:r>
        <w:rPr>
          <w:rFonts w:hAnsi="宋体" w:cs="宋体"/>
          <w:color w:val="auto"/>
          <w:highlight w:val="none"/>
        </w:rPr>
        <w:t xml:space="preserve">投标人之间协商投标报价</w:t>
      </w:r>
      <w:r>
        <w:rPr>
          <w:rFonts w:hint="eastAsia" w:hAnsi="宋体" w:cs="宋体"/>
          <w:color w:val="auto"/>
          <w:highlight w:val="none"/>
        </w:rPr>
        <w:t xml:space="preserve">、技术方案</w:t>
      </w:r>
      <w:r>
        <w:rPr>
          <w:rFonts w:hAnsi="宋体" w:cs="宋体"/>
          <w:color w:val="auto"/>
          <w:highlight w:val="none"/>
        </w:rPr>
        <w:t xml:space="preserve">等投标文件的实质性内容；</w:t>
      </w:r>
      <w:r>
        <w:rPr>
          <w:color w:val="auto"/>
          <w:highlight w:val="none"/>
        </w:rPr>
      </w:r>
      <w:r/>
    </w:p>
    <w:p>
      <w:pPr>
        <w:ind w:firstLine="420"/>
        <w:spacing w:line="360" w:lineRule="auto"/>
        <w:rPr>
          <w:rFonts w:hAnsi="宋体" w:cs="宋体"/>
          <w:color w:val="auto"/>
          <w:highlight w:val="none"/>
        </w:rPr>
      </w:pPr>
      <w:r>
        <w:rPr>
          <w:rFonts w:hint="eastAsia" w:hAnsi="宋体" w:cs="宋体"/>
          <w:color w:val="auto"/>
          <w:highlight w:val="none"/>
        </w:rPr>
        <w:t xml:space="preserve">2.</w:t>
      </w:r>
      <w:r>
        <w:rPr>
          <w:rFonts w:hAnsi="宋体" w:cs="宋体"/>
          <w:color w:val="auto"/>
          <w:highlight w:val="none"/>
        </w:rPr>
        <w:t xml:space="preserve">属于同一集团、协会、商会等组织成员的投标人按照该组织要求协同</w:t>
      </w:r>
      <w:r>
        <w:rPr>
          <w:rFonts w:hint="eastAsia" w:hAnsi="宋体" w:cs="宋体"/>
          <w:color w:val="auto"/>
          <w:highlight w:val="none"/>
        </w:rPr>
        <w:t xml:space="preserve">参加投标</w:t>
      </w:r>
      <w:r>
        <w:rPr>
          <w:rFonts w:hAnsi="宋体" w:cs="宋体"/>
          <w:color w:val="auto"/>
          <w:highlight w:val="none"/>
        </w:rPr>
        <w:t xml:space="preserve">；</w:t>
      </w:r>
      <w:r>
        <w:rPr>
          <w:color w:val="auto"/>
          <w:highlight w:val="none"/>
        </w:rPr>
      </w:r>
      <w:r/>
    </w:p>
    <w:p>
      <w:pPr>
        <w:ind w:firstLine="420"/>
        <w:spacing w:line="360" w:lineRule="auto"/>
        <w:rPr>
          <w:rFonts w:hAnsi="宋体" w:cs="宋体"/>
          <w:color w:val="auto"/>
          <w:highlight w:val="none"/>
        </w:rPr>
      </w:pPr>
      <w:r>
        <w:rPr>
          <w:rFonts w:hint="eastAsia" w:hAnsi="宋体" w:cs="宋体"/>
          <w:color w:val="auto"/>
          <w:highlight w:val="none"/>
        </w:rPr>
        <w:t xml:space="preserve">3.</w:t>
      </w:r>
      <w:r>
        <w:rPr>
          <w:rFonts w:hAnsi="宋体" w:cs="宋体"/>
          <w:color w:val="auto"/>
          <w:highlight w:val="none"/>
        </w:rPr>
        <w:t xml:space="preserve">投标人之间</w:t>
      </w:r>
      <w:r>
        <w:rPr>
          <w:rFonts w:hint="eastAsia" w:hAnsi="宋体" w:cs="宋体"/>
          <w:color w:val="auto"/>
          <w:highlight w:val="none"/>
        </w:rPr>
        <w:t xml:space="preserve">事先约定由某一特定投标人</w:t>
      </w:r>
      <w:r>
        <w:rPr>
          <w:rFonts w:hAnsi="宋体" w:cs="宋体"/>
          <w:color w:val="auto"/>
          <w:highlight w:val="none"/>
        </w:rPr>
        <w:t xml:space="preserve">中标； </w:t>
      </w:r>
      <w:r>
        <w:rPr>
          <w:color w:val="auto"/>
          <w:highlight w:val="none"/>
        </w:rPr>
      </w:r>
      <w:r/>
    </w:p>
    <w:p>
      <w:pPr>
        <w:ind w:firstLine="420"/>
        <w:spacing w:line="360" w:lineRule="auto"/>
        <w:rPr>
          <w:rFonts w:hAnsi="宋体" w:cs="宋体"/>
          <w:color w:val="auto"/>
          <w:highlight w:val="none"/>
        </w:rPr>
      </w:pPr>
      <w:r>
        <w:rPr>
          <w:rFonts w:hint="eastAsia" w:hAnsi="宋体" w:cs="宋体"/>
          <w:color w:val="auto"/>
          <w:highlight w:val="none"/>
        </w:rPr>
        <w:t xml:space="preserve">4.</w:t>
      </w:r>
      <w:r>
        <w:rPr>
          <w:rFonts w:hint="eastAsia"/>
          <w:color w:val="auto"/>
          <w:highlight w:val="none"/>
        </w:rPr>
        <w:t xml:space="preserve">投标人</w:t>
      </w:r>
      <w:r>
        <w:rPr>
          <w:rFonts w:hint="eastAsia" w:hAnsi="宋体" w:cs="宋体"/>
          <w:color w:val="auto"/>
          <w:highlight w:val="none"/>
        </w:rPr>
        <w:t xml:space="preserve">之间商定部分投标人放弃参加投标或者放弃中标</w:t>
      </w:r>
      <w:r>
        <w:rPr>
          <w:rFonts w:hAnsi="宋体" w:cs="宋体"/>
          <w:color w:val="auto"/>
          <w:highlight w:val="none"/>
        </w:rPr>
        <w:t xml:space="preserve">； </w:t>
      </w:r>
      <w:r>
        <w:rPr>
          <w:color w:val="auto"/>
          <w:highlight w:val="none"/>
        </w:rPr>
      </w:r>
      <w:r/>
    </w:p>
    <w:p>
      <w:pPr>
        <w:ind w:firstLine="420"/>
        <w:spacing w:line="360" w:lineRule="auto"/>
        <w:rPr>
          <w:rFonts w:hAnsi="宋体" w:cs="Arial"/>
          <w:color w:val="auto"/>
          <w:highlight w:val="none"/>
        </w:rPr>
      </w:pPr>
      <w:r>
        <w:rPr>
          <w:rFonts w:hint="eastAsia" w:hAnsi="宋体" w:cs="宋体"/>
          <w:color w:val="auto"/>
          <w:highlight w:val="none"/>
        </w:rPr>
        <w:t xml:space="preserve">5.</w:t>
      </w:r>
      <w:r>
        <w:rPr>
          <w:rFonts w:hAnsi="宋体" w:cs="宋体"/>
          <w:color w:val="auto"/>
          <w:highlight w:val="none"/>
        </w:rPr>
        <w:t xml:space="preserve">投标人之间为谋取中标或者排斥特定投标人而采取的其他联合行动。</w:t>
      </w:r>
      <w:r>
        <w:rPr>
          <w:color w:val="auto"/>
          <w:highlight w:val="none"/>
        </w:rPr>
      </w:r>
      <w:r/>
    </w:p>
    <w:p>
      <w:pPr>
        <w:ind w:firstLine="420"/>
        <w:spacing w:line="360" w:lineRule="auto"/>
        <w:rPr>
          <w:rFonts w:hAnsi="宋体" w:cs="Arial"/>
          <w:color w:val="auto"/>
          <w:highlight w:val="none"/>
        </w:rPr>
      </w:pPr>
      <w:r>
        <w:rPr>
          <w:rFonts w:hint="eastAsia" w:hAnsi="宋体" w:cs="Arial"/>
          <w:color w:val="auto"/>
          <w:highlight w:val="none"/>
        </w:rPr>
        <w:t xml:space="preserve">6.</w:t>
      </w:r>
      <w:r>
        <w:rPr>
          <w:rFonts w:hAnsi="宋体" w:cs="Arial"/>
          <w:color w:val="auto"/>
          <w:highlight w:val="none"/>
        </w:rPr>
        <w:t xml:space="preserve">不同投标人的投标文件由同一单位或者个人编制；</w:t>
      </w:r>
      <w:r>
        <w:rPr>
          <w:color w:val="auto"/>
          <w:highlight w:val="none"/>
        </w:rPr>
      </w:r>
      <w:r/>
    </w:p>
    <w:p>
      <w:pPr>
        <w:ind w:firstLine="420"/>
        <w:spacing w:line="360" w:lineRule="auto"/>
        <w:rPr>
          <w:rFonts w:hAnsi="宋体" w:cs="Arial"/>
          <w:color w:val="auto"/>
          <w:highlight w:val="none"/>
        </w:rPr>
      </w:pPr>
      <w:r>
        <w:rPr>
          <w:rFonts w:hint="eastAsia" w:hAnsi="宋体" w:cs="Arial"/>
          <w:color w:val="auto"/>
          <w:highlight w:val="none"/>
        </w:rPr>
        <w:t xml:space="preserve">7.</w:t>
      </w:r>
      <w:r>
        <w:rPr>
          <w:rFonts w:hAnsi="宋体" w:cs="Arial"/>
          <w:color w:val="auto"/>
          <w:highlight w:val="none"/>
        </w:rPr>
        <w:t xml:space="preserve">不同投标人委托同一单位或者个人办理投标事宜； </w:t>
      </w:r>
      <w:r>
        <w:rPr>
          <w:color w:val="auto"/>
          <w:highlight w:val="none"/>
        </w:rPr>
      </w:r>
      <w:r/>
    </w:p>
    <w:p>
      <w:pPr>
        <w:ind w:firstLine="420"/>
        <w:spacing w:line="360" w:lineRule="auto"/>
        <w:rPr>
          <w:rFonts w:hAnsi="宋体" w:cs="Arial"/>
          <w:color w:val="auto"/>
          <w:highlight w:val="none"/>
        </w:rPr>
      </w:pPr>
      <w:r>
        <w:rPr>
          <w:rFonts w:hint="eastAsia" w:hAnsi="宋体" w:cs="Arial"/>
          <w:color w:val="auto"/>
          <w:highlight w:val="none"/>
        </w:rPr>
        <w:t xml:space="preserve">8.</w:t>
      </w:r>
      <w:r>
        <w:rPr>
          <w:rFonts w:hAnsi="宋体" w:cs="Arial"/>
          <w:color w:val="auto"/>
          <w:highlight w:val="none"/>
        </w:rPr>
        <w:t xml:space="preserve">不同投标人的投标文件载明的项目管理成员或者联系人员为同一人；</w:t>
      </w:r>
      <w:r>
        <w:rPr>
          <w:color w:val="auto"/>
          <w:highlight w:val="none"/>
        </w:rPr>
      </w:r>
      <w:r/>
    </w:p>
    <w:p>
      <w:pPr>
        <w:ind w:firstLine="420"/>
        <w:spacing w:line="360" w:lineRule="auto"/>
        <w:rPr>
          <w:rFonts w:hAnsi="宋体" w:cs="Arial"/>
          <w:color w:val="auto"/>
          <w:highlight w:val="none"/>
        </w:rPr>
      </w:pPr>
      <w:r>
        <w:rPr>
          <w:rFonts w:hint="eastAsia" w:hAnsi="宋体" w:cs="Arial"/>
          <w:color w:val="auto"/>
          <w:highlight w:val="none"/>
        </w:rPr>
        <w:t xml:space="preserve">9.</w:t>
      </w:r>
      <w:r>
        <w:rPr>
          <w:rFonts w:hAnsi="宋体" w:cs="Arial"/>
          <w:color w:val="auto"/>
          <w:highlight w:val="none"/>
        </w:rPr>
        <w:t xml:space="preserve">不同投标人的投标文件异常一致或者投标报价呈规律性差异； </w:t>
      </w:r>
      <w:r>
        <w:rPr>
          <w:color w:val="auto"/>
          <w:highlight w:val="none"/>
        </w:rPr>
      </w:r>
      <w:r/>
    </w:p>
    <w:p>
      <w:pPr>
        <w:ind w:firstLine="420"/>
        <w:spacing w:line="360" w:lineRule="auto"/>
        <w:rPr>
          <w:rFonts w:hAnsi="宋体" w:cs="Arial"/>
          <w:color w:val="auto"/>
          <w:highlight w:val="none"/>
        </w:rPr>
      </w:pPr>
      <w:r>
        <w:rPr>
          <w:rFonts w:hint="eastAsia" w:hAnsi="宋体" w:cs="Arial"/>
          <w:color w:val="auto"/>
          <w:highlight w:val="none"/>
        </w:rPr>
        <w:t xml:space="preserve">10.</w:t>
      </w:r>
      <w:r>
        <w:rPr>
          <w:rFonts w:hAnsi="宋体" w:cs="Arial"/>
          <w:color w:val="auto"/>
          <w:highlight w:val="none"/>
        </w:rPr>
        <w:t xml:space="preserve">不同投标人的投标文件相互混装；</w:t>
      </w:r>
      <w:r>
        <w:rPr>
          <w:color w:val="auto"/>
          <w:highlight w:val="none"/>
        </w:rPr>
      </w:r>
      <w:r/>
    </w:p>
    <w:p>
      <w:pPr>
        <w:ind w:firstLine="420"/>
        <w:spacing w:line="360" w:lineRule="auto"/>
        <w:rPr>
          <w:rFonts w:hAnsi="宋体" w:cs="Arial"/>
          <w:color w:val="auto"/>
          <w:highlight w:val="none"/>
        </w:rPr>
      </w:pPr>
      <w:r>
        <w:rPr>
          <w:rFonts w:hint="eastAsia" w:hAnsi="宋体" w:cs="Arial"/>
          <w:color w:val="auto"/>
          <w:highlight w:val="none"/>
        </w:rPr>
        <w:t xml:space="preserve">11.</w:t>
      </w:r>
      <w:r>
        <w:rPr>
          <w:rFonts w:hAnsi="宋体" w:cs="Arial"/>
          <w:color w:val="auto"/>
          <w:highlight w:val="none"/>
        </w:rPr>
        <w:t xml:space="preserve">不同投标人的投标保证金从同一单位或者个人的账户转出。</w:t>
      </w:r>
      <w:r>
        <w:rPr>
          <w:color w:val="auto"/>
          <w:highlight w:val="none"/>
        </w:rPr>
      </w:r>
      <w:r/>
    </w:p>
    <w:p>
      <w:pPr>
        <w:spacing w:line="360" w:lineRule="auto"/>
        <w:rPr>
          <w:rFonts w:hAnsi="宋体" w:cs="Arial"/>
          <w:color w:val="auto"/>
          <w:highlight w:val="none"/>
        </w:rPr>
      </w:pPr>
      <w:r>
        <w:rPr>
          <w:rFonts w:hAnsi="宋体" w:cs="Arial"/>
          <w:color w:val="auto"/>
          <w:highlight w:val="none"/>
        </w:rPr>
      </w:r>
      <w:r>
        <w:rPr>
          <w:color w:val="auto"/>
          <w:highlight w:val="none"/>
        </w:rPr>
      </w:r>
      <w:r/>
    </w:p>
    <w:p>
      <w:pPr>
        <w:spacing w:line="360" w:lineRule="auto"/>
        <w:rPr>
          <w:rFonts w:hAnsi="宋体"/>
          <w:color w:val="auto"/>
          <w:highlight w:val="none"/>
        </w:rPr>
      </w:pPr>
      <w:r>
        <w:rPr>
          <w:rFonts w:hint="eastAsia" w:hAnsi="宋体" w:cs="Arial"/>
          <w:color w:val="auto"/>
          <w:highlight w:val="none"/>
        </w:rPr>
        <w:t xml:space="preserve">将被判定为存在围标串标情形，相关投标文件均将被否决。</w:t>
      </w:r>
      <w:r>
        <w:rPr>
          <w:rFonts w:hAnsi="宋体" w:cs="Arial"/>
          <w:color w:val="auto"/>
          <w:highlight w:val="none"/>
        </w:rPr>
        <w:br/>
      </w:r>
      <w:r>
        <w:rPr>
          <w:color w:val="auto"/>
          <w:highlight w:val="none"/>
        </w:rPr>
      </w:r>
      <w:r/>
    </w:p>
    <w:p>
      <w:pPr>
        <w:rPr>
          <w:color w:val="auto"/>
          <w:sz w:val="20"/>
          <w:highlight w:val="none"/>
        </w:rPr>
      </w:pPr>
      <w:r>
        <w:rPr>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sectPr>
      <w:footerReference w:type="default" r:id="rId11"/>
      <w:footnotePr/>
      <w:endnotePr/>
      <w:type w:val="nextPage"/>
      <w:pgSz w:w="11906" w:h="16838" w:orient="portrait"/>
      <w:pgMar w:top="1270" w:right="1083" w:bottom="1270" w:left="108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仿宋">
    <w:panose1 w:val="02010609060101010101"/>
  </w:font>
  <w:font w:name="Book Antiqua">
    <w:panose1 w:val="02040602050305030304"/>
  </w:font>
  <w:font w:name="Tahoma">
    <w:panose1 w:val="020B0604030504040204"/>
  </w:font>
  <w:font w:name="方正大标宋简体">
    <w:panose1 w:val="020B0503020202020204"/>
  </w:font>
  <w:font w:name="Times">
    <w:panose1 w:val="02020603050405020304"/>
  </w:font>
  <w:font w:name="Wingdings">
    <w:panose1 w:val="05000000000000000000"/>
  </w:font>
  <w:font w:name=".....?.">
    <w:panose1 w:val="020B0503020202020204"/>
  </w:font>
  <w:font w:name="Consolas">
    <w:panose1 w:val="020B0609020204030204"/>
  </w:font>
  <w:font w:name="楷体_GB2312">
    <w:panose1 w:val="02010609060101010101"/>
  </w:font>
  <w:font w:name="Courier New">
    <w:panose1 w:val="02070309020205020404"/>
  </w:font>
  <w:font w:name="Kingsoft Phonetic Plain">
    <w:panose1 w:val="020B0503020202020204"/>
  </w:font>
  <w:font w:name="Cambria">
    <w:panose1 w:val="0204050305040603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
    <w:panose1 w:val="020B0604020202020204"/>
  </w:font>
  <w:font w:name="Helvetica-Light">
    <w:panose1 w:val="020B0503020202020204"/>
  </w:font>
  <w:font w:name="Univers LT Std 45 Light">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jc w:val="center"/>
    </w:pPr>
    <w:r/>
    <w:r/>
  </w:p>
  <w:p>
    <w:pPr>
      <w:pStyle w:val="1029"/>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29"/>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ind w:firstLine="0"/>
      <w:spacing w:line="330" w:lineRule="atLeast"/>
      <w:widowControl/>
      <w:rPr>
        <w:rFonts w:hint="default"/>
        <w:color w:val="1f497d" w:themeColor="text2"/>
        <w:sz w:val="24"/>
        <w:szCs w:val="28"/>
        <w:u w:val="single"/>
        <w:lang w:val="en-US" w:eastAsia="zh-CN"/>
        <w14:textFill>
          <w14:solidFill>
            <w14:schemeClr w14:val="tx2"/>
          </w14:solidFill>
        </w14:textFill>
      </w:rPr>
      <w:pBdr>
        <w:top w:val="none" w:color="auto" w:sz="0" w:space="0"/>
        <w:left w:val="none" w:color="auto" w:sz="0" w:space="0"/>
        <w:bottom w:val="none" w:color="auto" w:sz="0" w:space="0"/>
        <w:right w:val="none" w:color="auto" w:sz="0" w:space="0"/>
      </w:pBdr>
    </w:pPr>
    <w:r>
      <mc:AlternateContent>
        <mc:Choice Requires="wpg">
          <w:drawing>
            <wp:inline xmlns:wp="http://schemas.openxmlformats.org/drawingml/2006/wordprocessingDrawing" distT="0" distB="0" distL="0" distR="0">
              <wp:extent cx="394970" cy="412750"/>
              <wp:effectExtent l="0" t="0" r="5080" b="635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
                      <a:stretch/>
                    </pic:blipFill>
                    <pic:spPr bwMode="auto">
                      <a:xfrm>
                        <a:off x="0" y="0"/>
                        <a:ext cx="394970" cy="412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1pt;height:32.5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b/>
        <w:bCs/>
        <w:color w:val="17375e" w:themeColor="text2" w:themeShade="BF"/>
        <w:sz w:val="22"/>
        <w:szCs w:val="28"/>
        <w:u w:val="single"/>
        <w:lang w:val="en-US" w:eastAsia="zh-CN"/>
      </w:rPr>
      <w:t xml:space="preserve">江苏弘业国际技术工程有限公司</w:t>
    </w:r>
    <w:r>
      <w:rPr>
        <w:rFonts w:hint="eastAsia" w:ascii="宋体" w:hAnsi="宋体" w:eastAsia="宋体" w:cs="宋体"/>
        <w:b/>
        <w:bCs/>
        <w:color w:val="17375e" w:themeColor="text2" w:themeShade="BF"/>
        <w:sz w:val="28"/>
        <w:szCs w:val="28"/>
        <w:u w:val="single"/>
        <w:lang w:val="en-US" w:eastAsia="zh-CN"/>
      </w:rPr>
      <w:t xml:space="preserve"> </w:t>
    </w:r>
    <w:r>
      <w:rPr>
        <w:rFonts w:hint="eastAsia"/>
        <w:b/>
        <w:bCs/>
        <w:color w:val="17375e" w:themeColor="text2" w:themeShade="BF"/>
        <w:u w:val="single"/>
        <w:lang w:val="en-US" w:eastAsia="zh-CN"/>
      </w:rPr>
      <w:t xml:space="preserve">        </w:t>
    </w:r>
    <w:r>
      <w:rPr>
        <w:rFonts w:hint="default" w:ascii="Consolas" w:hAnsi="Consolas" w:eastAsia="Consolas" w:cs="Consolas"/>
        <w:b/>
        <w:bCs/>
        <w:caps w:val="0"/>
        <w:color w:val="17375e" w:themeColor="text2" w:themeShade="BF"/>
        <w:spacing w:val="0"/>
        <w:sz w:val="19"/>
        <w:szCs w:val="19"/>
        <w:u w:val="single"/>
      </w:rPr>
      <w:t xml:space="preserve"> </w:t>
    </w:r>
    <w:r>
      <w:rPr>
        <w:rFonts w:hint="eastAsia" w:ascii="Consolas" w:hAnsi="Consolas" w:cs="Consolas"/>
        <w:b/>
        <w:bCs/>
        <w:caps w:val="0"/>
        <w:color w:val="17375e" w:themeColor="text2" w:themeShade="BF"/>
        <w:spacing w:val="0"/>
        <w:sz w:val="19"/>
        <w:szCs w:val="19"/>
        <w:u w:val="single"/>
        <w:lang w:val="en-US" w:eastAsia="zh-CN"/>
      </w:rPr>
      <w:t xml:space="preserve">                </w:t>
    </w:r>
    <w:r>
      <w:rPr>
        <w:rFonts w:hint="eastAsia" w:ascii="宋体" w:hAnsi="宋体" w:eastAsia="宋体" w:cs="宋体"/>
        <w:b/>
        <w:bCs/>
        <w:caps w:val="0"/>
        <w:color w:val="17375e" w:themeColor="text2" w:themeShade="BF"/>
        <w:spacing w:val="0"/>
        <w:sz w:val="22"/>
        <w:szCs w:val="28"/>
        <w:u w:val="single"/>
      </w:rPr>
      <w:t xml:space="preserve">公开·公平·公正·诚实</w:t>
    </w:r>
    <w:r>
      <w:rPr>
        <w:rFonts w:hint="eastAsia" w:ascii="宋体" w:hAnsi="宋体" w:eastAsia="宋体" w:cs="宋体"/>
        <w:b/>
        <w:bCs/>
        <w:caps w:val="0"/>
        <w:color w:val="17375e" w:themeColor="text2" w:themeShade="BF"/>
        <w:spacing w:val="0"/>
        <w:sz w:val="22"/>
        <w:szCs w:val="28"/>
        <w:u w:val="single"/>
        <w:lang w:val="en-US" w:eastAsia="zh-CN"/>
      </w:rPr>
      <w:t xml:space="preserve">信</w:t>
    </w:r>
    <w:r>
      <w:rPr>
        <w:rFonts w:hint="eastAsia" w:ascii="宋体" w:hAnsi="宋体" w:eastAsia="宋体" w:cs="宋体"/>
        <w:b/>
        <w:bCs/>
        <w:caps w:val="0"/>
        <w:color w:val="17375e" w:themeColor="text2" w:themeShade="BF"/>
        <w:spacing w:val="0"/>
        <w:sz w:val="22"/>
        <w:szCs w:val="28"/>
        <w:u w:val="single"/>
      </w:rPr>
      <w:t xml:space="preserve">用</w:t>
    </w:r>
    <w:r>
      <w:rPr>
        <w:rFonts w:hint="eastAsia" w:ascii="Consolas" w:hAnsi="Consolas" w:cs="Consolas"/>
        <w:caps w:val="0"/>
        <w:color w:val="1f497d" w:themeColor="text2"/>
        <w:spacing w:val="0"/>
        <w:sz w:val="20"/>
        <w:szCs w:val="20"/>
        <w:u w:val="single"/>
        <w:lang w:val="en-US" w:eastAsia="zh-CN"/>
        <w14:textFill>
          <w14:solidFill>
            <w14:schemeClr w14:val="tx2"/>
          </w14:solidFill>
        </w14:textFill>
      </w:rPr>
      <w:t xml:space="preserve"> </w:t>
    </w:r>
    <w:r/>
  </w:p>
  <w:p>
    <w:pPr>
      <w:pStyle w:val="805"/>
      <w:ind w:firstLine="440"/>
      <w:jc w:val="left"/>
      <w:rPr>
        <w:rFonts w:hint="default"/>
        <w:sz w:val="22"/>
        <w:szCs w:val="24"/>
        <w:u w:val="single"/>
        <w:lang w:val="en-US" w:eastAsia="zh-CN"/>
      </w:rPr>
      <w:pBdr>
        <w:bottom w:val="none" w:color="auto" w:sz="0" w:space="0"/>
      </w:pBdr>
    </w:pPr>
    <w:r>
      <w:rPr>
        <w:rFonts w:hint="default"/>
        <w:sz w:val="22"/>
        <w:szCs w:val="24"/>
        <w:u w:val="single"/>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ind w:left="10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部分"/>
      <w:lvlJc w:val="left"/>
      <w:pPr>
        <w:ind w:left="327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424"/>
      <w:isLgl w:val="false"/>
      <w:suff w:val="tab"/>
      <w:lvlText w:val="%1."/>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1">
      <w:start w:val="1"/>
      <w:numFmt w:val="decimal"/>
      <w:pStyle w:val="1423"/>
      <w:isLgl w:val="false"/>
      <w:suff w:val="tab"/>
      <w:lvlText w:val="%1.%2."/>
      <w:lvlJc w:val="left"/>
      <w:pPr>
        <w:ind w:left="1441" w:hanging="1021"/>
      </w:pPr>
      <w:rPr>
        <w:rFonts w:ascii="Arial Narrow" w:hAnsi="Arial Narrow" w:cs="Times New Roman"/>
        <w:b w:val="0"/>
        <w:bCs w:val="0"/>
        <w:i w:val="0"/>
        <w:iCs w:val="0"/>
        <w:caps w:val="0"/>
        <w:smallCaps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6">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34"/>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7">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33"/>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8">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1275"/>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6"/>
  </w:num>
  <w:num w:numId="3">
    <w:abstractNumId w:val="11"/>
  </w:num>
  <w:num w:numId="4">
    <w:abstractNumId w:val="5"/>
  </w:num>
  <w:num w:numId="5">
    <w:abstractNumId w:val="2"/>
  </w:num>
  <w:num w:numId="6">
    <w:abstractNumId w:val="4"/>
  </w:num>
  <w:num w:numId="7">
    <w:abstractNumId w:val="8"/>
  </w:num>
  <w:num w:numId="8">
    <w:abstractNumId w:val="0"/>
  </w:num>
  <w:num w:numId="9">
    <w:abstractNumId w:val="1"/>
  </w:num>
  <w:num w:numId="10">
    <w:abstractNumId w:val="12"/>
  </w:num>
  <w:num w:numId="11">
    <w:abstractNumId w:val="10"/>
    <w:lvlOverride w:ilvl="0">
      <w:startOverride w:val="1"/>
    </w:lvlOverride>
  </w:num>
  <w:num w:numId="12">
    <w:abstractNumId w:val="9"/>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7">
    <w:name w:val="Heading 1 Char"/>
    <w:basedOn w:val="791"/>
    <w:link w:val="782"/>
    <w:uiPriority w:val="9"/>
    <w:rPr>
      <w:rFonts w:ascii="Arial" w:hAnsi="Arial" w:eastAsia="Arial" w:cs="Arial"/>
      <w:sz w:val="40"/>
      <w:szCs w:val="40"/>
    </w:rPr>
  </w:style>
  <w:style w:type="character" w:styleId="748">
    <w:name w:val="Heading 2 Char"/>
    <w:basedOn w:val="791"/>
    <w:link w:val="783"/>
    <w:uiPriority w:val="9"/>
    <w:rPr>
      <w:rFonts w:ascii="Arial" w:hAnsi="Arial" w:eastAsia="Arial" w:cs="Arial"/>
      <w:sz w:val="34"/>
    </w:rPr>
  </w:style>
  <w:style w:type="character" w:styleId="749">
    <w:name w:val="Heading 3 Char"/>
    <w:basedOn w:val="791"/>
    <w:link w:val="784"/>
    <w:uiPriority w:val="9"/>
    <w:rPr>
      <w:rFonts w:ascii="Arial" w:hAnsi="Arial" w:eastAsia="Arial" w:cs="Arial"/>
      <w:sz w:val="30"/>
      <w:szCs w:val="30"/>
    </w:rPr>
  </w:style>
  <w:style w:type="character" w:styleId="750">
    <w:name w:val="Heading 4 Char"/>
    <w:basedOn w:val="791"/>
    <w:link w:val="785"/>
    <w:uiPriority w:val="9"/>
    <w:rPr>
      <w:rFonts w:ascii="Arial" w:hAnsi="Arial" w:eastAsia="Arial" w:cs="Arial"/>
      <w:b/>
      <w:bCs/>
      <w:sz w:val="26"/>
      <w:szCs w:val="26"/>
    </w:rPr>
  </w:style>
  <w:style w:type="character" w:styleId="751">
    <w:name w:val="Heading 5 Char"/>
    <w:basedOn w:val="791"/>
    <w:link w:val="786"/>
    <w:uiPriority w:val="9"/>
    <w:rPr>
      <w:rFonts w:ascii="Arial" w:hAnsi="Arial" w:eastAsia="Arial" w:cs="Arial"/>
      <w:b/>
      <w:bCs/>
      <w:sz w:val="24"/>
      <w:szCs w:val="24"/>
    </w:rPr>
  </w:style>
  <w:style w:type="character" w:styleId="752">
    <w:name w:val="Heading 6 Char"/>
    <w:basedOn w:val="791"/>
    <w:link w:val="787"/>
    <w:uiPriority w:val="9"/>
    <w:rPr>
      <w:rFonts w:ascii="Arial" w:hAnsi="Arial" w:eastAsia="Arial" w:cs="Arial"/>
      <w:b/>
      <w:bCs/>
      <w:sz w:val="22"/>
      <w:szCs w:val="22"/>
    </w:rPr>
  </w:style>
  <w:style w:type="character" w:styleId="753">
    <w:name w:val="Heading 7 Char"/>
    <w:basedOn w:val="791"/>
    <w:link w:val="788"/>
    <w:uiPriority w:val="9"/>
    <w:rPr>
      <w:rFonts w:ascii="Arial" w:hAnsi="Arial" w:eastAsia="Arial" w:cs="Arial"/>
      <w:b/>
      <w:bCs/>
      <w:i/>
      <w:iCs/>
      <w:sz w:val="22"/>
      <w:szCs w:val="22"/>
    </w:rPr>
  </w:style>
  <w:style w:type="character" w:styleId="754">
    <w:name w:val="Heading 8 Char"/>
    <w:basedOn w:val="791"/>
    <w:link w:val="789"/>
    <w:uiPriority w:val="9"/>
    <w:rPr>
      <w:rFonts w:ascii="Arial" w:hAnsi="Arial" w:eastAsia="Arial" w:cs="Arial"/>
      <w:i/>
      <w:iCs/>
      <w:sz w:val="22"/>
      <w:szCs w:val="22"/>
    </w:rPr>
  </w:style>
  <w:style w:type="character" w:styleId="755">
    <w:name w:val="Heading 9 Char"/>
    <w:basedOn w:val="791"/>
    <w:link w:val="790"/>
    <w:uiPriority w:val="9"/>
    <w:rPr>
      <w:rFonts w:ascii="Arial" w:hAnsi="Arial" w:eastAsia="Arial" w:cs="Arial"/>
      <w:i/>
      <w:iCs/>
      <w:sz w:val="21"/>
      <w:szCs w:val="21"/>
    </w:rPr>
  </w:style>
  <w:style w:type="character" w:styleId="756">
    <w:name w:val="Title Char"/>
    <w:basedOn w:val="791"/>
    <w:link w:val="816"/>
    <w:uiPriority w:val="10"/>
    <w:rPr>
      <w:sz w:val="48"/>
      <w:szCs w:val="48"/>
    </w:rPr>
  </w:style>
  <w:style w:type="character" w:styleId="757">
    <w:name w:val="Quote Char"/>
    <w:link w:val="870"/>
    <w:uiPriority w:val="29"/>
    <w:rPr>
      <w:i/>
    </w:rPr>
  </w:style>
  <w:style w:type="character" w:styleId="758">
    <w:name w:val="Intense Quote Char"/>
    <w:link w:val="872"/>
    <w:uiPriority w:val="30"/>
    <w:rPr>
      <w:i/>
    </w:rPr>
  </w:style>
  <w:style w:type="character" w:styleId="759">
    <w:name w:val="Header Char"/>
    <w:basedOn w:val="791"/>
    <w:link w:val="805"/>
    <w:uiPriority w:val="99"/>
  </w:style>
  <w:style w:type="character" w:styleId="760">
    <w:name w:val="Footer Char"/>
    <w:basedOn w:val="791"/>
    <w:link w:val="804"/>
    <w:uiPriority w:val="99"/>
  </w:style>
  <w:style w:type="table" w:styleId="761">
    <w:name w:val="Plain Table 1"/>
    <w:basedOn w:val="79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name w:val="Plain Table 2"/>
    <w:basedOn w:val="79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name w:val="Plain Table 3"/>
    <w:basedOn w:val="7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name w:val="Plain Table 4"/>
    <w:basedOn w:val="7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name w:val="Plain Table 5"/>
    <w:basedOn w:val="7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6">
    <w:name w:val="Grid Table 1 Light"/>
    <w:basedOn w:val="79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7">
    <w:name w:val="Grid Table 2"/>
    <w:basedOn w:val="7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8">
    <w:name w:val="Grid Table 3"/>
    <w:basedOn w:val="7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4"/>
    <w:basedOn w:val="79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name w:val="Grid Table 5 Dark"/>
    <w:basedOn w:val="7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1">
    <w:name w:val="Grid Table 6 Colorful"/>
    <w:basedOn w:val="79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2">
    <w:name w:val="Grid Table 7 Colorful"/>
    <w:basedOn w:val="79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3">
    <w:name w:val="List Table 1 Light"/>
    <w:basedOn w:val="79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4">
    <w:name w:val="List Table 2"/>
    <w:basedOn w:val="79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5">
    <w:name w:val="List Table 3"/>
    <w:basedOn w:val="7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6">
    <w:name w:val="List Table 4"/>
    <w:basedOn w:val="7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7">
    <w:name w:val="List Table 5 Dark"/>
    <w:basedOn w:val="79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6 Colorful"/>
    <w:basedOn w:val="79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9">
    <w:name w:val="List Table 7 Colorful"/>
    <w:basedOn w:val="79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80">
    <w:name w:val="TOC Heading"/>
    <w:uiPriority w:val="39"/>
    <w:unhideWhenUsed/>
  </w:style>
  <w:style w:type="paragraph" w:styleId="781"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82">
    <w:name w:val="Heading 1"/>
    <w:basedOn w:val="781"/>
    <w:next w:val="781"/>
    <w:link w:val="861"/>
    <w:uiPriority w:val="9"/>
    <w:qFormat/>
    <w:pPr>
      <w:jc w:val="center"/>
      <w:keepLines/>
      <w:keepNext/>
      <w:spacing w:before="480" w:after="200"/>
      <w:outlineLvl w:val="0"/>
    </w:pPr>
    <w:rPr>
      <w:rFonts w:ascii="宋体" w:hAnsi="宋体" w:eastAsia="Arial" w:cs="宋体"/>
      <w:b/>
      <w:color w:val="000000"/>
      <w:sz w:val="44"/>
      <w:szCs w:val="44"/>
      <w:highlight w:val="none"/>
    </w:rPr>
  </w:style>
  <w:style w:type="paragraph" w:styleId="783">
    <w:name w:val="Heading 2"/>
    <w:basedOn w:val="781"/>
    <w:next w:val="793"/>
    <w:uiPriority w:val="9"/>
    <w:semiHidden/>
    <w:unhideWhenUsed/>
    <w:qFormat/>
    <w:pPr>
      <w:keepLines/>
      <w:keepNext/>
      <w:spacing w:before="360" w:after="200"/>
      <w:outlineLvl w:val="1"/>
    </w:pPr>
    <w:rPr>
      <w:rFonts w:ascii="Arial" w:hAnsi="Arial" w:eastAsia="Arial" w:cs="Arial"/>
      <w:sz w:val="34"/>
    </w:rPr>
  </w:style>
  <w:style w:type="paragraph" w:styleId="784">
    <w:name w:val="Heading 3"/>
    <w:basedOn w:val="781"/>
    <w:next w:val="781"/>
    <w:uiPriority w:val="9"/>
    <w:semiHidden/>
    <w:unhideWhenUsed/>
    <w:qFormat/>
    <w:pPr>
      <w:keepLines/>
      <w:keepNext/>
      <w:spacing w:before="320" w:after="200"/>
      <w:outlineLvl w:val="2"/>
    </w:pPr>
    <w:rPr>
      <w:rFonts w:ascii="Arial" w:hAnsi="Arial" w:eastAsia="Arial" w:cs="Arial"/>
      <w:sz w:val="30"/>
      <w:szCs w:val="30"/>
    </w:rPr>
  </w:style>
  <w:style w:type="paragraph" w:styleId="785">
    <w:name w:val="Heading 4"/>
    <w:basedOn w:val="781"/>
    <w:next w:val="781"/>
    <w:uiPriority w:val="9"/>
    <w:semiHidden/>
    <w:unhideWhenUsed/>
    <w:qFormat/>
    <w:pPr>
      <w:keepLines/>
      <w:keepNext/>
      <w:spacing w:before="320" w:after="200"/>
      <w:outlineLvl w:val="3"/>
    </w:pPr>
    <w:rPr>
      <w:rFonts w:ascii="Arial" w:hAnsi="Arial" w:eastAsia="Arial" w:cs="Arial"/>
      <w:b/>
      <w:bCs/>
      <w:sz w:val="26"/>
      <w:szCs w:val="26"/>
    </w:rPr>
  </w:style>
  <w:style w:type="paragraph" w:styleId="786">
    <w:name w:val="Heading 5"/>
    <w:basedOn w:val="781"/>
    <w:next w:val="781"/>
    <w:link w:val="862"/>
    <w:uiPriority w:val="9"/>
    <w:semiHidden/>
    <w:unhideWhenUsed/>
    <w:qFormat/>
    <w:pPr>
      <w:keepLines/>
      <w:keepNext/>
      <w:spacing w:before="320" w:after="200"/>
      <w:outlineLvl w:val="4"/>
    </w:pPr>
    <w:rPr>
      <w:rFonts w:ascii="Arial" w:hAnsi="Arial" w:eastAsia="Arial" w:cs="Arial"/>
      <w:b/>
      <w:bCs/>
      <w:sz w:val="24"/>
      <w:szCs w:val="24"/>
    </w:rPr>
  </w:style>
  <w:style w:type="paragraph" w:styleId="787">
    <w:name w:val="Heading 6"/>
    <w:basedOn w:val="781"/>
    <w:next w:val="781"/>
    <w:link w:val="863"/>
    <w:uiPriority w:val="9"/>
    <w:semiHidden/>
    <w:unhideWhenUsed/>
    <w:qFormat/>
    <w:pPr>
      <w:keepLines/>
      <w:keepNext/>
      <w:spacing w:before="320" w:after="200"/>
      <w:outlineLvl w:val="5"/>
    </w:pPr>
    <w:rPr>
      <w:rFonts w:ascii="Arial" w:hAnsi="Arial" w:eastAsia="Arial" w:cs="Arial"/>
      <w:b/>
      <w:bCs/>
      <w:sz w:val="22"/>
    </w:rPr>
  </w:style>
  <w:style w:type="paragraph" w:styleId="788">
    <w:name w:val="Heading 7"/>
    <w:basedOn w:val="781"/>
    <w:next w:val="781"/>
    <w:link w:val="864"/>
    <w:uiPriority w:val="9"/>
    <w:qFormat/>
    <w:pPr>
      <w:keepLines/>
      <w:keepNext/>
      <w:spacing w:before="320" w:after="200"/>
      <w:outlineLvl w:val="6"/>
    </w:pPr>
    <w:rPr>
      <w:rFonts w:ascii="Arial" w:hAnsi="Arial" w:eastAsia="Arial" w:cs="Arial"/>
      <w:b/>
      <w:bCs/>
      <w:i/>
      <w:iCs/>
      <w:sz w:val="22"/>
    </w:rPr>
  </w:style>
  <w:style w:type="paragraph" w:styleId="789">
    <w:name w:val="Heading 8"/>
    <w:basedOn w:val="781"/>
    <w:next w:val="781"/>
    <w:link w:val="865"/>
    <w:uiPriority w:val="9"/>
    <w:qFormat/>
    <w:pPr>
      <w:keepLines/>
      <w:keepNext/>
      <w:spacing w:before="320" w:after="200"/>
      <w:outlineLvl w:val="7"/>
    </w:pPr>
    <w:rPr>
      <w:rFonts w:ascii="Arial" w:hAnsi="Arial" w:eastAsia="Arial" w:cs="Arial"/>
      <w:i/>
      <w:iCs/>
      <w:sz w:val="22"/>
    </w:rPr>
  </w:style>
  <w:style w:type="paragraph" w:styleId="790">
    <w:name w:val="Heading 9"/>
    <w:basedOn w:val="781"/>
    <w:next w:val="781"/>
    <w:link w:val="866"/>
    <w:uiPriority w:val="9"/>
    <w:qFormat/>
    <w:pPr>
      <w:keepLines/>
      <w:keepNext/>
      <w:spacing w:before="320" w:after="200"/>
      <w:outlineLvl w:val="8"/>
    </w:pPr>
    <w:rPr>
      <w:rFonts w:ascii="Arial" w:hAnsi="Arial" w:eastAsia="Arial" w:cs="Arial"/>
      <w:i/>
      <w:iCs/>
      <w:szCs w:val="21"/>
    </w:rPr>
  </w:style>
  <w:style w:type="character" w:styleId="791" w:default="1">
    <w:name w:val="Default Paragraph Font"/>
    <w:uiPriority w:val="1"/>
    <w:unhideWhenUsed/>
    <w:qFormat/>
  </w:style>
  <w:style w:type="table" w:styleId="792" w:default="1">
    <w:name w:val="Normal Table"/>
    <w:uiPriority w:val="99"/>
    <w:semiHidden/>
    <w:unhideWhenUsed/>
    <w:qFormat/>
    <w:tblPr>
      <w:tblCellMar>
        <w:left w:w="108" w:type="dxa"/>
        <w:top w:w="0" w:type="dxa"/>
        <w:right w:w="108" w:type="dxa"/>
        <w:bottom w:w="0" w:type="dxa"/>
      </w:tblCellMar>
    </w:tblPr>
  </w:style>
  <w:style w:type="paragraph" w:styleId="793">
    <w:name w:val="Normal Indent"/>
    <w:basedOn w:val="781"/>
    <w:uiPriority w:val="0"/>
    <w:qFormat/>
    <w:pPr>
      <w:ind w:firstLine="420"/>
    </w:pPr>
  </w:style>
  <w:style w:type="paragraph" w:styleId="794">
    <w:name w:val="toc 7"/>
    <w:basedOn w:val="781"/>
    <w:next w:val="781"/>
    <w:uiPriority w:val="39"/>
    <w:qFormat/>
    <w:pPr>
      <w:ind w:left="1701"/>
      <w:spacing w:after="57"/>
    </w:pPr>
  </w:style>
  <w:style w:type="paragraph" w:styleId="795">
    <w:name w:val="Caption"/>
    <w:basedOn w:val="781"/>
    <w:next w:val="781"/>
    <w:uiPriority w:val="35"/>
    <w:qFormat/>
    <w:pPr>
      <w:spacing w:line="276" w:lineRule="auto"/>
    </w:pPr>
    <w:rPr>
      <w:b/>
      <w:bCs/>
      <w:color w:val="4f81bd"/>
      <w:sz w:val="18"/>
      <w:szCs w:val="18"/>
    </w:rPr>
  </w:style>
  <w:style w:type="paragraph" w:styleId="796">
    <w:name w:val="annotation text"/>
    <w:basedOn w:val="781"/>
    <w:uiPriority w:val="99"/>
    <w:qFormat/>
    <w:pPr>
      <w:jc w:val="left"/>
    </w:pPr>
  </w:style>
  <w:style w:type="paragraph" w:styleId="797">
    <w:name w:val="Body Text"/>
    <w:basedOn w:val="781"/>
    <w:next w:val="781"/>
    <w:uiPriority w:val="0"/>
    <w:qFormat/>
    <w:pPr>
      <w:spacing w:after="120"/>
    </w:pPr>
    <w:rPr>
      <w:rFonts w:eastAsia="Times New Roman"/>
    </w:rPr>
  </w:style>
  <w:style w:type="paragraph" w:styleId="798">
    <w:name w:val="Body Text Indent"/>
    <w:basedOn w:val="781"/>
    <w:link w:val="1435"/>
    <w:uiPriority w:val="99"/>
    <w:qFormat/>
    <w:pPr>
      <w:ind w:left="420"/>
      <w:spacing w:after="120"/>
    </w:pPr>
  </w:style>
  <w:style w:type="paragraph" w:styleId="799">
    <w:name w:val="toc 5"/>
    <w:basedOn w:val="781"/>
    <w:next w:val="781"/>
    <w:uiPriority w:val="39"/>
    <w:qFormat/>
    <w:pPr>
      <w:ind w:left="1134"/>
      <w:spacing w:after="57"/>
    </w:pPr>
  </w:style>
  <w:style w:type="paragraph" w:styleId="800">
    <w:name w:val="toc 3"/>
    <w:basedOn w:val="781"/>
    <w:next w:val="781"/>
    <w:uiPriority w:val="39"/>
    <w:qFormat/>
    <w:pPr>
      <w:ind w:left="567"/>
      <w:spacing w:after="57"/>
    </w:pPr>
  </w:style>
  <w:style w:type="paragraph" w:styleId="801">
    <w:name w:val="toc 8"/>
    <w:basedOn w:val="781"/>
    <w:next w:val="781"/>
    <w:uiPriority w:val="39"/>
    <w:qFormat/>
    <w:pPr>
      <w:ind w:left="1984"/>
      <w:spacing w:after="57"/>
    </w:pPr>
  </w:style>
  <w:style w:type="paragraph" w:styleId="802">
    <w:name w:val="Date"/>
    <w:basedOn w:val="781"/>
    <w:next w:val="781"/>
    <w:link w:val="1433"/>
    <w:uiPriority w:val="99"/>
    <w:qFormat/>
    <w:pPr>
      <w:ind w:left="100"/>
    </w:pPr>
  </w:style>
  <w:style w:type="paragraph" w:styleId="803">
    <w:name w:val="endnote text"/>
    <w:basedOn w:val="781"/>
    <w:link w:val="982"/>
    <w:uiPriority w:val="99"/>
    <w:qFormat/>
    <w:rPr>
      <w:sz w:val="20"/>
    </w:rPr>
  </w:style>
  <w:style w:type="paragraph" w:styleId="804">
    <w:name w:val="Footer"/>
    <w:basedOn w:val="781"/>
    <w:link w:val="874"/>
    <w:uiPriority w:val="99"/>
    <w:qFormat/>
    <w:pPr>
      <w:tabs>
        <w:tab w:val="center" w:pos="7143" w:leader="none"/>
        <w:tab w:val="right" w:pos="14287" w:leader="none"/>
      </w:tabs>
    </w:pPr>
  </w:style>
  <w:style w:type="paragraph" w:styleId="805">
    <w:name w:val="Header"/>
    <w:basedOn w:val="781"/>
    <w:uiPriority w:val="99"/>
    <w:qFormat/>
    <w:pPr>
      <w:tabs>
        <w:tab w:val="center" w:pos="7143" w:leader="none"/>
        <w:tab w:val="right" w:pos="14287" w:leader="none"/>
      </w:tabs>
    </w:pPr>
  </w:style>
  <w:style w:type="paragraph" w:styleId="806">
    <w:name w:val="toc 1"/>
    <w:basedOn w:val="781"/>
    <w:next w:val="781"/>
    <w:uiPriority w:val="39"/>
    <w:qFormat/>
    <w:pPr>
      <w:spacing w:after="57"/>
    </w:pPr>
  </w:style>
  <w:style w:type="paragraph" w:styleId="807">
    <w:name w:val="toc 4"/>
    <w:basedOn w:val="781"/>
    <w:next w:val="781"/>
    <w:uiPriority w:val="39"/>
    <w:qFormat/>
    <w:pPr>
      <w:ind w:left="850"/>
      <w:spacing w:after="57"/>
    </w:pPr>
  </w:style>
  <w:style w:type="paragraph" w:styleId="808">
    <w:name w:val="Subtitle"/>
    <w:basedOn w:val="781"/>
    <w:next w:val="781"/>
    <w:link w:val="869"/>
    <w:uiPriority w:val="11"/>
    <w:qFormat/>
    <w:pPr>
      <w:spacing w:before="200" w:after="200"/>
    </w:pPr>
    <w:rPr>
      <w:sz w:val="24"/>
      <w:szCs w:val="24"/>
    </w:rPr>
  </w:style>
  <w:style w:type="paragraph" w:styleId="809">
    <w:name w:val="footnote text"/>
    <w:basedOn w:val="781"/>
    <w:link w:val="981"/>
    <w:uiPriority w:val="0"/>
    <w:qFormat/>
    <w:pPr>
      <w:spacing w:after="40"/>
    </w:pPr>
    <w:rPr>
      <w:sz w:val="18"/>
    </w:rPr>
  </w:style>
  <w:style w:type="paragraph" w:styleId="810">
    <w:name w:val="toc 6"/>
    <w:basedOn w:val="781"/>
    <w:next w:val="781"/>
    <w:uiPriority w:val="39"/>
    <w:qFormat/>
    <w:pPr>
      <w:ind w:left="1417"/>
      <w:spacing w:after="57"/>
    </w:pPr>
  </w:style>
  <w:style w:type="paragraph" w:styleId="811">
    <w:name w:val="table of figures"/>
    <w:basedOn w:val="781"/>
    <w:next w:val="781"/>
    <w:uiPriority w:val="99"/>
    <w:qFormat/>
  </w:style>
  <w:style w:type="paragraph" w:styleId="812">
    <w:name w:val="toc 2"/>
    <w:basedOn w:val="781"/>
    <w:next w:val="781"/>
    <w:uiPriority w:val="39"/>
    <w:qFormat/>
    <w:pPr>
      <w:ind w:left="283"/>
      <w:spacing w:after="57"/>
    </w:pPr>
  </w:style>
  <w:style w:type="paragraph" w:styleId="813">
    <w:name w:val="toc 9"/>
    <w:basedOn w:val="781"/>
    <w:next w:val="781"/>
    <w:uiPriority w:val="39"/>
    <w:qFormat/>
    <w:pPr>
      <w:ind w:left="2268"/>
      <w:spacing w:after="57"/>
    </w:pPr>
  </w:style>
  <w:style w:type="paragraph" w:styleId="814">
    <w:name w:val="HTML Preformatted"/>
    <w:basedOn w:val="781"/>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815">
    <w:name w:val="Normal (Web)"/>
    <w:basedOn w:val="781"/>
    <w:uiPriority w:val="0"/>
    <w:qFormat/>
    <w:pPr>
      <w:jc w:val="left"/>
      <w:spacing w:before="100" w:beforeAutospacing="1" w:after="100" w:afterAutospacing="1"/>
      <w:widowControl/>
    </w:pPr>
    <w:rPr>
      <w:rFonts w:ascii="宋体" w:eastAsia="Times New Roman"/>
      <w:sz w:val="24"/>
      <w:szCs w:val="20"/>
    </w:rPr>
  </w:style>
  <w:style w:type="paragraph" w:styleId="816">
    <w:name w:val="Title"/>
    <w:basedOn w:val="781"/>
    <w:next w:val="781"/>
    <w:link w:val="868"/>
    <w:uiPriority w:val="10"/>
    <w:qFormat/>
    <w:pPr>
      <w:contextualSpacing/>
      <w:spacing w:before="300" w:after="200"/>
    </w:pPr>
    <w:rPr>
      <w:sz w:val="48"/>
      <w:szCs w:val="48"/>
    </w:rPr>
  </w:style>
  <w:style w:type="table" w:styleId="81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8">
    <w:name w:val="Strong"/>
    <w:basedOn w:val="791"/>
    <w:uiPriority w:val="0"/>
    <w:qFormat/>
    <w:rPr>
      <w:b/>
    </w:rPr>
  </w:style>
  <w:style w:type="character" w:styleId="819">
    <w:name w:val="endnote reference"/>
    <w:uiPriority w:val="99"/>
    <w:qFormat/>
    <w:rPr>
      <w:vertAlign w:val="superscript"/>
    </w:rPr>
  </w:style>
  <w:style w:type="character" w:styleId="820">
    <w:name w:val="Emphasis"/>
    <w:uiPriority w:val="0"/>
    <w:qFormat/>
    <w:rPr>
      <w:i/>
    </w:rPr>
  </w:style>
  <w:style w:type="character" w:styleId="821">
    <w:name w:val="Hyperlink"/>
    <w:uiPriority w:val="99"/>
    <w:qFormat/>
    <w:rPr>
      <w:color w:val="0000ff"/>
      <w:u w:val="single"/>
    </w:rPr>
  </w:style>
  <w:style w:type="character" w:styleId="822">
    <w:name w:val="annotation reference"/>
    <w:basedOn w:val="791"/>
    <w:uiPriority w:val="99"/>
    <w:qFormat/>
    <w:rPr>
      <w:sz w:val="21"/>
      <w:szCs w:val="21"/>
    </w:rPr>
  </w:style>
  <w:style w:type="character" w:styleId="823">
    <w:name w:val="footnote reference"/>
    <w:uiPriority w:val="0"/>
    <w:qFormat/>
    <w:rPr>
      <w:vertAlign w:val="superscript"/>
    </w:rPr>
  </w:style>
  <w:style w:type="paragraph" w:styleId="824" w:customStyle="1">
    <w:name w:val="样式1"/>
    <w:basedOn w:val="825"/>
    <w:next w:val="781"/>
    <w:uiPriority w:val="0"/>
    <w:qFormat/>
    <w:pPr>
      <w:tabs>
        <w:tab w:val="left" w:pos="0" w:leader="none"/>
        <w:tab w:val="left" w:pos="840" w:leader="none"/>
      </w:tabs>
    </w:pPr>
    <w:rPr>
      <w:rFonts w:ascii="Arial" w:hAnsi="Arial" w:eastAsia="幼圆" w:cs="Arial"/>
      <w:sz w:val="24"/>
      <w:szCs w:val="20"/>
    </w:rPr>
  </w:style>
  <w:style w:type="paragraph" w:styleId="825" w:customStyle="1">
    <w:name w:val="列表编号1"/>
    <w:basedOn w:val="781"/>
    <w:uiPriority w:val="0"/>
    <w:qFormat/>
    <w:pPr>
      <w:spacing w:line="360" w:lineRule="auto"/>
      <w:tabs>
        <w:tab w:val="left" w:pos="0" w:leader="none"/>
        <w:tab w:val="left" w:pos="840" w:leader="none"/>
      </w:tabs>
    </w:pPr>
  </w:style>
  <w:style w:type="table" w:styleId="826" w:customStyle="1">
    <w:name w:val="无格式表格 11"/>
    <w:basedOn w:val="792"/>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无格式表格 21"/>
    <w:basedOn w:val="792"/>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无格式表格 31"/>
    <w:basedOn w:val="792"/>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9" w:customStyle="1">
    <w:name w:val="无格式表格 41"/>
    <w:basedOn w:val="792"/>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0" w:customStyle="1">
    <w:name w:val="无格式表格 51"/>
    <w:basedOn w:val="792"/>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1" w:customStyle="1">
    <w:name w:val="网格表 1 浅色1"/>
    <w:basedOn w:val="792"/>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32" w:customStyle="1">
    <w:name w:val="网格表 21"/>
    <w:basedOn w:val="792"/>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33" w:customStyle="1">
    <w:name w:val="网格表 31"/>
    <w:basedOn w:val="792"/>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网格表 41"/>
    <w:basedOn w:val="792"/>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35" w:customStyle="1">
    <w:name w:val="网格表 5 深色1"/>
    <w:basedOn w:val="79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36" w:customStyle="1">
    <w:name w:val="网格表 6 彩色1"/>
    <w:basedOn w:val="792"/>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37" w:customStyle="1">
    <w:name w:val="网格表 7 彩色1"/>
    <w:basedOn w:val="792"/>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38" w:customStyle="1">
    <w:name w:val="清单表 1 浅色1"/>
    <w:basedOn w:val="792"/>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39" w:customStyle="1">
    <w:name w:val="清单表 21"/>
    <w:basedOn w:val="792"/>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40" w:customStyle="1">
    <w:name w:val="清单表 31"/>
    <w:basedOn w:val="792"/>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41" w:customStyle="1">
    <w:name w:val="清单表 41"/>
    <w:basedOn w:val="792"/>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42" w:customStyle="1">
    <w:name w:val="清单表 5 深色1"/>
    <w:basedOn w:val="792"/>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43" w:customStyle="1">
    <w:name w:val="清单表 6 彩色1"/>
    <w:basedOn w:val="792"/>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44" w:customStyle="1">
    <w:name w:val="清单表 7 彩色1"/>
    <w:basedOn w:val="792"/>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845" w:customStyle="1">
    <w:name w:val="TOC 标题1"/>
    <w:uiPriority w:val="39"/>
    <w:qFormat/>
    <w:rPr>
      <w:rFonts w:ascii="Times New Roman" w:hAnsi="Times New Roman" w:eastAsia="宋体" w:cs="Times New Roman"/>
      <w:lang w:val="en-US" w:eastAsia="zh-CN" w:bidi="ar-SA"/>
    </w:rPr>
  </w:style>
  <w:style w:type="character" w:styleId="846" w:customStyle="1">
    <w:name w:val="Heading 1 Char_434700aa-fe40-4ee6-9069-0a69300fd62b"/>
    <w:basedOn w:val="791"/>
    <w:uiPriority w:val="9"/>
    <w:qFormat/>
    <w:rPr>
      <w:rFonts w:ascii="Arial" w:hAnsi="Arial" w:eastAsia="Arial" w:cs="Arial"/>
      <w:sz w:val="40"/>
      <w:szCs w:val="40"/>
    </w:rPr>
  </w:style>
  <w:style w:type="character" w:styleId="847" w:customStyle="1">
    <w:name w:val="Heading 5 Char_925b8ece-8082-461d-ae29-1d41b41a7251"/>
    <w:basedOn w:val="791"/>
    <w:uiPriority w:val="9"/>
    <w:qFormat/>
    <w:rPr>
      <w:rFonts w:ascii="Arial" w:hAnsi="Arial" w:eastAsia="Arial" w:cs="Arial"/>
      <w:b/>
      <w:bCs/>
      <w:sz w:val="24"/>
      <w:szCs w:val="24"/>
    </w:rPr>
  </w:style>
  <w:style w:type="character" w:styleId="848" w:customStyle="1">
    <w:name w:val="Heading 6 Char_a35ea97a-1ce8-4d9b-8930-2f6c61bf63ec"/>
    <w:basedOn w:val="791"/>
    <w:uiPriority w:val="9"/>
    <w:qFormat/>
    <w:rPr>
      <w:rFonts w:ascii="Arial" w:hAnsi="Arial" w:eastAsia="Arial" w:cs="Arial"/>
      <w:b/>
      <w:bCs/>
      <w:sz w:val="22"/>
      <w:szCs w:val="22"/>
    </w:rPr>
  </w:style>
  <w:style w:type="character" w:styleId="849" w:customStyle="1">
    <w:name w:val="Heading 7 Char_187ddb87-c7bc-4839-9585-67a43c484026"/>
    <w:basedOn w:val="791"/>
    <w:uiPriority w:val="9"/>
    <w:qFormat/>
    <w:rPr>
      <w:rFonts w:ascii="Arial" w:hAnsi="Arial" w:eastAsia="Arial" w:cs="Arial"/>
      <w:b/>
      <w:bCs/>
      <w:i/>
      <w:iCs/>
      <w:sz w:val="22"/>
      <w:szCs w:val="22"/>
    </w:rPr>
  </w:style>
  <w:style w:type="character" w:styleId="850" w:customStyle="1">
    <w:name w:val="Heading 8 Char_f86cc6f1-e07f-46cd-8999-b4d6f395b7ab"/>
    <w:basedOn w:val="791"/>
    <w:uiPriority w:val="9"/>
    <w:qFormat/>
    <w:rPr>
      <w:rFonts w:ascii="Arial" w:hAnsi="Arial" w:eastAsia="Arial" w:cs="Arial"/>
      <w:i/>
      <w:iCs/>
      <w:sz w:val="22"/>
      <w:szCs w:val="22"/>
    </w:rPr>
  </w:style>
  <w:style w:type="character" w:styleId="851" w:customStyle="1">
    <w:name w:val="Heading 9 Char_78d770f5-7fe8-45f8-a379-5ea7765ab889"/>
    <w:basedOn w:val="791"/>
    <w:uiPriority w:val="9"/>
    <w:qFormat/>
    <w:rPr>
      <w:rFonts w:ascii="Arial" w:hAnsi="Arial" w:eastAsia="Arial" w:cs="Arial"/>
      <w:i/>
      <w:iCs/>
      <w:sz w:val="21"/>
      <w:szCs w:val="21"/>
    </w:rPr>
  </w:style>
  <w:style w:type="character" w:styleId="852" w:customStyle="1">
    <w:name w:val="Title Char_cba70f7b-6b0c-40c3-9c1d-79b000d9620e"/>
    <w:basedOn w:val="791"/>
    <w:uiPriority w:val="10"/>
    <w:qFormat/>
    <w:rPr>
      <w:sz w:val="48"/>
      <w:szCs w:val="48"/>
    </w:rPr>
  </w:style>
  <w:style w:type="character" w:styleId="853" w:customStyle="1">
    <w:name w:val="Subtitle Char"/>
    <w:basedOn w:val="791"/>
    <w:uiPriority w:val="11"/>
    <w:qFormat/>
    <w:rPr>
      <w:sz w:val="24"/>
      <w:szCs w:val="24"/>
    </w:rPr>
  </w:style>
  <w:style w:type="character" w:styleId="854" w:customStyle="1">
    <w:name w:val="Quote Char_7b531250-58de-49b9-9d0c-04cfbc5a8719"/>
    <w:uiPriority w:val="29"/>
    <w:qFormat/>
    <w:rPr>
      <w:i/>
    </w:rPr>
  </w:style>
  <w:style w:type="character" w:styleId="855" w:customStyle="1">
    <w:name w:val="Intense Quote Char_0c2ead29-d2a6-4ac5-8f7c-28c2f003bdba"/>
    <w:uiPriority w:val="30"/>
    <w:qFormat/>
    <w:rPr>
      <w:i/>
    </w:rPr>
  </w:style>
  <w:style w:type="character" w:styleId="856" w:customStyle="1">
    <w:name w:val="Caption Char"/>
    <w:uiPriority w:val="99"/>
    <w:qFormat/>
  </w:style>
  <w:style w:type="character" w:styleId="857" w:customStyle="1">
    <w:name w:val="Footnote Text Char"/>
    <w:uiPriority w:val="99"/>
    <w:qFormat/>
    <w:rPr>
      <w:sz w:val="18"/>
    </w:rPr>
  </w:style>
  <w:style w:type="character" w:styleId="858" w:customStyle="1">
    <w:name w:val="Endnote Text Char"/>
    <w:uiPriority w:val="99"/>
    <w:qFormat/>
    <w:rPr>
      <w:sz w:val="20"/>
    </w:rPr>
  </w:style>
  <w:style w:type="paragraph" w:styleId="859" w:customStyle="1">
    <w:name w:val="TOC 标题111"/>
    <w:uiPriority w:val="39"/>
    <w:qFormat/>
    <w:rPr>
      <w:rFonts w:ascii="Times New Roman" w:hAnsi="Times New Roman" w:eastAsia="宋体" w:cs="Times New Roman"/>
      <w:lang w:val="en-US" w:eastAsia="zh-CN" w:bidi="ar-SA"/>
    </w:rPr>
  </w:style>
  <w:style w:type="paragraph" w:styleId="860" w:customStyle="1">
    <w:name w:val="正文文本1"/>
    <w:basedOn w:val="781"/>
    <w:next w:val="781"/>
    <w:link w:val="995"/>
    <w:uiPriority w:val="0"/>
    <w:qFormat/>
    <w:pPr>
      <w:spacing w:line="60" w:lineRule="auto"/>
    </w:pPr>
    <w:rPr>
      <w:rFonts w:ascii="仿宋_GB2312" w:eastAsia="仿宋_GB2312"/>
      <w:sz w:val="32"/>
    </w:rPr>
  </w:style>
  <w:style w:type="character" w:styleId="861" w:customStyle="1">
    <w:name w:val="标题 1 字符1"/>
    <w:link w:val="782"/>
    <w:uiPriority w:val="9"/>
    <w:qFormat/>
    <w:rPr>
      <w:rFonts w:ascii="宋体" w:hAnsi="宋体" w:eastAsia="Arial" w:cs="宋体"/>
      <w:b/>
      <w:color w:val="000000"/>
      <w:sz w:val="44"/>
      <w:szCs w:val="44"/>
      <w:highlight w:val="none"/>
      <w:lang w:val="en-US" w:eastAsia="zh-CN" w:bidi="ar-SA"/>
    </w:rPr>
  </w:style>
  <w:style w:type="character" w:styleId="862" w:customStyle="1">
    <w:name w:val="标题 5 字符"/>
    <w:link w:val="786"/>
    <w:uiPriority w:val="9"/>
    <w:qFormat/>
    <w:rPr>
      <w:rFonts w:ascii="Arial" w:hAnsi="Arial" w:eastAsia="Arial" w:cs="Arial"/>
      <w:b/>
      <w:bCs/>
      <w:sz w:val="24"/>
      <w:szCs w:val="24"/>
    </w:rPr>
  </w:style>
  <w:style w:type="character" w:styleId="863" w:customStyle="1">
    <w:name w:val="标题 6 字符"/>
    <w:link w:val="787"/>
    <w:uiPriority w:val="9"/>
    <w:qFormat/>
    <w:rPr>
      <w:rFonts w:ascii="Arial" w:hAnsi="Arial" w:eastAsia="Arial" w:cs="Arial"/>
      <w:b/>
      <w:bCs/>
      <w:sz w:val="22"/>
      <w:szCs w:val="22"/>
    </w:rPr>
  </w:style>
  <w:style w:type="character" w:styleId="864" w:customStyle="1">
    <w:name w:val="标题 7 字符"/>
    <w:link w:val="788"/>
    <w:uiPriority w:val="9"/>
    <w:qFormat/>
    <w:rPr>
      <w:rFonts w:ascii="Arial" w:hAnsi="Arial" w:eastAsia="Arial" w:cs="Arial"/>
      <w:b/>
      <w:bCs/>
      <w:i/>
      <w:iCs/>
      <w:sz w:val="22"/>
      <w:szCs w:val="22"/>
    </w:rPr>
  </w:style>
  <w:style w:type="character" w:styleId="865" w:customStyle="1">
    <w:name w:val="标题 8 字符"/>
    <w:link w:val="789"/>
    <w:uiPriority w:val="9"/>
    <w:qFormat/>
    <w:rPr>
      <w:rFonts w:ascii="Arial" w:hAnsi="Arial" w:eastAsia="Arial" w:cs="Arial"/>
      <w:i/>
      <w:iCs/>
      <w:sz w:val="22"/>
      <w:szCs w:val="22"/>
    </w:rPr>
  </w:style>
  <w:style w:type="character" w:styleId="866" w:customStyle="1">
    <w:name w:val="标题 9 字符"/>
    <w:link w:val="790"/>
    <w:uiPriority w:val="9"/>
    <w:qFormat/>
    <w:rPr>
      <w:rFonts w:ascii="Arial" w:hAnsi="Arial" w:eastAsia="Arial" w:cs="Arial"/>
      <w:i/>
      <w:iCs/>
      <w:sz w:val="21"/>
      <w:szCs w:val="21"/>
    </w:rPr>
  </w:style>
  <w:style w:type="paragraph" w:styleId="867">
    <w:name w:val="No Spacing"/>
    <w:uiPriority w:val="1"/>
    <w:qFormat/>
    <w:rPr>
      <w:rFonts w:ascii="Times New Roman" w:hAnsi="Times New Roman" w:eastAsia="宋体" w:cs="Times New Roman"/>
      <w:lang w:val="en-US" w:eastAsia="zh-CN" w:bidi="ar-SA"/>
    </w:rPr>
  </w:style>
  <w:style w:type="character" w:styleId="868" w:customStyle="1">
    <w:name w:val="标题 字符"/>
    <w:link w:val="816"/>
    <w:uiPriority w:val="10"/>
    <w:qFormat/>
    <w:rPr>
      <w:sz w:val="48"/>
      <w:szCs w:val="48"/>
    </w:rPr>
  </w:style>
  <w:style w:type="character" w:styleId="869" w:customStyle="1">
    <w:name w:val="副标题 字符"/>
    <w:link w:val="808"/>
    <w:uiPriority w:val="11"/>
    <w:qFormat/>
    <w:rPr>
      <w:sz w:val="24"/>
      <w:szCs w:val="24"/>
    </w:rPr>
  </w:style>
  <w:style w:type="paragraph" w:styleId="870">
    <w:name w:val="Quote"/>
    <w:basedOn w:val="781"/>
    <w:next w:val="781"/>
    <w:link w:val="871"/>
    <w:uiPriority w:val="29"/>
    <w:qFormat/>
    <w:pPr>
      <w:ind w:left="720" w:right="720"/>
    </w:pPr>
    <w:rPr>
      <w:i/>
    </w:rPr>
  </w:style>
  <w:style w:type="character" w:styleId="871" w:customStyle="1">
    <w:name w:val="引用 字符"/>
    <w:link w:val="870"/>
    <w:uiPriority w:val="29"/>
    <w:qFormat/>
    <w:rPr>
      <w:i/>
    </w:rPr>
  </w:style>
  <w:style w:type="paragraph" w:styleId="872">
    <w:name w:val="Intense Quote"/>
    <w:basedOn w:val="781"/>
    <w:next w:val="781"/>
    <w:link w:val="87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3" w:customStyle="1">
    <w:name w:val="明显引用 字符"/>
    <w:link w:val="872"/>
    <w:uiPriority w:val="30"/>
    <w:qFormat/>
    <w:rPr>
      <w:i/>
    </w:rPr>
  </w:style>
  <w:style w:type="character" w:styleId="874" w:customStyle="1">
    <w:name w:val="页脚 字符1"/>
    <w:link w:val="804"/>
    <w:uiPriority w:val="99"/>
    <w:qFormat/>
  </w:style>
  <w:style w:type="table" w:styleId="87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7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7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7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7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8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8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82"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83"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84"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85"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86"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87"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8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895"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89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89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9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9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90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90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90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90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90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90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90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90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90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90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91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91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91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91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1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91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1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1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18"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19"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20"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21"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22"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23"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2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2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92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2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2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2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3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3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93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3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3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3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3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3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3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3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4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4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42"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43"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44"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45"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4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47"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4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94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95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95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5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95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954"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55"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56"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57"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58"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59"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6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6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6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6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6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6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6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6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68"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6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70"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7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7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7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7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75"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7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7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7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7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8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81" w:customStyle="1">
    <w:name w:val="脚注文本 字符"/>
    <w:link w:val="809"/>
    <w:uiPriority w:val="0"/>
    <w:qFormat/>
    <w:rPr>
      <w:sz w:val="18"/>
    </w:rPr>
  </w:style>
  <w:style w:type="character" w:styleId="982" w:customStyle="1">
    <w:name w:val="尾注文本 字符"/>
    <w:link w:val="803"/>
    <w:uiPriority w:val="99"/>
    <w:qFormat/>
    <w:rPr>
      <w:sz w:val="20"/>
    </w:rPr>
  </w:style>
  <w:style w:type="paragraph" w:styleId="983" w:customStyle="1">
    <w:name w:val="TOC 标题11"/>
    <w:uiPriority w:val="39"/>
    <w:qFormat/>
    <w:rPr>
      <w:rFonts w:ascii="Times New Roman" w:hAnsi="Times New Roman" w:eastAsia="宋体" w:cs="Times New Roman"/>
      <w:lang w:val="en-US" w:eastAsia="zh-CN" w:bidi="ar-SA"/>
    </w:rPr>
  </w:style>
  <w:style w:type="paragraph" w:styleId="984" w:customStyle="1">
    <w:name w:val="标题 11"/>
    <w:basedOn w:val="781"/>
    <w:next w:val="781"/>
    <w:link w:val="996"/>
    <w:uiPriority w:val="0"/>
    <w:qFormat/>
    <w:pPr>
      <w:keepLines/>
      <w:keepNext/>
      <w:spacing w:before="340" w:after="330" w:line="576" w:lineRule="auto"/>
      <w:outlineLvl w:val="0"/>
    </w:pPr>
    <w:rPr>
      <w:b/>
      <w:sz w:val="44"/>
      <w:szCs w:val="20"/>
    </w:rPr>
  </w:style>
  <w:style w:type="paragraph" w:styleId="985" w:customStyle="1">
    <w:name w:val="标题 21"/>
    <w:basedOn w:val="781"/>
    <w:next w:val="781"/>
    <w:link w:val="997"/>
    <w:uiPriority w:val="0"/>
    <w:qFormat/>
    <w:pPr>
      <w:keepLines/>
      <w:keepNext/>
      <w:spacing w:before="260" w:after="260" w:line="413" w:lineRule="auto"/>
      <w:outlineLvl w:val="1"/>
    </w:pPr>
    <w:rPr>
      <w:rFonts w:ascii="Arial" w:hAnsi="Arial" w:eastAsia="黑体"/>
      <w:b/>
      <w:sz w:val="32"/>
      <w:szCs w:val="20"/>
    </w:rPr>
  </w:style>
  <w:style w:type="paragraph" w:styleId="986" w:customStyle="1">
    <w:name w:val="标题 31"/>
    <w:basedOn w:val="781"/>
    <w:next w:val="781"/>
    <w:link w:val="998"/>
    <w:uiPriority w:val="0"/>
    <w:qFormat/>
    <w:pPr>
      <w:keepLines/>
      <w:keepNext/>
      <w:spacing w:before="260" w:after="260" w:line="413" w:lineRule="auto"/>
      <w:outlineLvl w:val="2"/>
    </w:pPr>
    <w:rPr>
      <w:b/>
      <w:sz w:val="32"/>
      <w:szCs w:val="20"/>
    </w:rPr>
  </w:style>
  <w:style w:type="paragraph" w:styleId="987" w:customStyle="1">
    <w:name w:val="标题 41"/>
    <w:basedOn w:val="781"/>
    <w:next w:val="781"/>
    <w:link w:val="999"/>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88" w:customStyle="1">
    <w:name w:val="标题 51"/>
    <w:basedOn w:val="781"/>
    <w:next w:val="781"/>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89" w:customStyle="1">
    <w:name w:val="标题 61"/>
    <w:basedOn w:val="781"/>
    <w:next w:val="781"/>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90" w:customStyle="1">
    <w:name w:val="标题 71"/>
    <w:basedOn w:val="781"/>
    <w:next w:val="781"/>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91" w:customStyle="1">
    <w:name w:val="标题 81"/>
    <w:basedOn w:val="781"/>
    <w:next w:val="781"/>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92" w:customStyle="1">
    <w:name w:val="标题 91"/>
    <w:basedOn w:val="781"/>
    <w:next w:val="781"/>
    <w:uiPriority w:val="0"/>
    <w:qFormat/>
    <w:pPr>
      <w:jc w:val="center"/>
      <w:keepNext/>
      <w:spacing w:line="600" w:lineRule="exact"/>
      <w:outlineLvl w:val="8"/>
    </w:pPr>
    <w:rPr>
      <w:rFonts w:ascii="仿宋_GB2312" w:eastAsia="仿宋_GB2312"/>
      <w:sz w:val="32"/>
    </w:rPr>
  </w:style>
  <w:style w:type="character" w:styleId="993" w:customStyle="1">
    <w:name w:val="默认段落字体1"/>
    <w:uiPriority w:val="1"/>
    <w:qFormat/>
  </w:style>
  <w:style w:type="table" w:styleId="994" w:customStyle="1">
    <w:name w:val="普通表格1"/>
    <w:uiPriority w:val="0"/>
    <w:qFormat/>
    <w:tblPr>
      <w:tblCellMar>
        <w:left w:w="0" w:type="dxa"/>
        <w:top w:w="0" w:type="dxa"/>
        <w:right w:w="0" w:type="dxa"/>
        <w:bottom w:w="0" w:type="dxa"/>
      </w:tblCellMar>
    </w:tblPr>
  </w:style>
  <w:style w:type="character" w:styleId="995" w:customStyle="1">
    <w:name w:val="正文文本 字符"/>
    <w:link w:val="860"/>
    <w:uiPriority w:val="0"/>
    <w:qFormat/>
    <w:rPr>
      <w:rFonts w:ascii="仿宋_GB2312" w:eastAsia="仿宋_GB2312"/>
      <w:sz w:val="32"/>
      <w:szCs w:val="22"/>
    </w:rPr>
  </w:style>
  <w:style w:type="character" w:styleId="996" w:customStyle="1">
    <w:name w:val="标题 1 字符"/>
    <w:link w:val="984"/>
    <w:uiPriority w:val="0"/>
    <w:qFormat/>
    <w:rPr>
      <w:b/>
      <w:sz w:val="44"/>
    </w:rPr>
  </w:style>
  <w:style w:type="character" w:styleId="997" w:customStyle="1">
    <w:name w:val="标题 2 字符"/>
    <w:link w:val="985"/>
    <w:uiPriority w:val="0"/>
    <w:qFormat/>
    <w:rPr>
      <w:rFonts w:ascii="Arial" w:hAnsi="Arial" w:eastAsia="黑体"/>
      <w:b/>
      <w:sz w:val="32"/>
    </w:rPr>
  </w:style>
  <w:style w:type="character" w:styleId="998" w:customStyle="1">
    <w:name w:val="标题 3 字符"/>
    <w:link w:val="986"/>
    <w:uiPriority w:val="0"/>
    <w:qFormat/>
    <w:rPr>
      <w:b/>
      <w:sz w:val="32"/>
    </w:rPr>
  </w:style>
  <w:style w:type="character" w:styleId="999" w:customStyle="1">
    <w:name w:val="标题 4 字符"/>
    <w:link w:val="987"/>
    <w:uiPriority w:val="0"/>
    <w:qFormat/>
    <w:rPr>
      <w:rFonts w:ascii="宋体" w:eastAsia="宋体"/>
      <w:color w:val="800000"/>
      <w:sz w:val="28"/>
      <w:lang w:val="en-US" w:eastAsia="zh-CN" w:bidi="ar-SA"/>
    </w:rPr>
  </w:style>
  <w:style w:type="paragraph" w:styleId="1000" w:customStyle="1">
    <w:name w:val="目录 71"/>
    <w:basedOn w:val="781"/>
    <w:next w:val="781"/>
    <w:uiPriority w:val="0"/>
    <w:qFormat/>
    <w:pPr>
      <w:ind w:left="1260"/>
      <w:jc w:val="left"/>
    </w:pPr>
    <w:rPr>
      <w:rFonts w:ascii="Calibri" w:hAnsi="Calibri" w:cs="Calibri"/>
      <w:sz w:val="18"/>
      <w:szCs w:val="18"/>
    </w:rPr>
  </w:style>
  <w:style w:type="paragraph" w:styleId="1001" w:customStyle="1">
    <w:name w:val="列表项目符号 41"/>
    <w:basedOn w:val="781"/>
    <w:uiPriority w:val="0"/>
    <w:qFormat/>
    <w:pPr>
      <w:ind w:left="360" w:hanging="360"/>
      <w:spacing w:line="380" w:lineRule="exact"/>
      <w:tabs>
        <w:tab w:val="left" w:pos="360" w:leader="none"/>
      </w:tabs>
    </w:pPr>
    <w:rPr>
      <w:rFonts w:ascii="Calibri" w:hAnsi="Calibri"/>
      <w:sz w:val="28"/>
    </w:rPr>
  </w:style>
  <w:style w:type="paragraph" w:styleId="1002" w:customStyle="1">
    <w:name w:val="索引 81"/>
    <w:basedOn w:val="781"/>
    <w:next w:val="781"/>
    <w:uiPriority w:val="0"/>
    <w:qFormat/>
    <w:pPr>
      <w:ind w:left="1400"/>
    </w:pPr>
    <w:rPr>
      <w:rFonts w:ascii="Calibri" w:hAnsi="Calibri"/>
    </w:rPr>
  </w:style>
  <w:style w:type="paragraph" w:styleId="1003" w:customStyle="1">
    <w:name w:val="正文缩进11"/>
    <w:basedOn w:val="781"/>
    <w:uiPriority w:val="0"/>
    <w:qFormat/>
    <w:pPr>
      <w:ind w:firstLine="420"/>
    </w:pPr>
    <w:rPr>
      <w:rFonts w:ascii="宋体"/>
      <w:color w:val="000000"/>
      <w:sz w:val="24"/>
      <w:szCs w:val="20"/>
    </w:rPr>
  </w:style>
  <w:style w:type="paragraph" w:styleId="1004" w:customStyle="1">
    <w:name w:val="题注1"/>
    <w:basedOn w:val="781"/>
    <w:next w:val="781"/>
    <w:link w:val="1005"/>
    <w:uiPriority w:val="0"/>
    <w:qFormat/>
    <w:pPr>
      <w:spacing w:line="360" w:lineRule="auto"/>
      <w:tabs>
        <w:tab w:val="left" w:pos="0" w:leader="none"/>
      </w:tabs>
    </w:pPr>
    <w:rPr>
      <w:rFonts w:ascii="Arial" w:hAnsi="Arial" w:eastAsia="黑体"/>
      <w:sz w:val="20"/>
      <w:szCs w:val="20"/>
    </w:rPr>
  </w:style>
  <w:style w:type="character" w:styleId="1005" w:customStyle="1">
    <w:name w:val="题注 字符"/>
    <w:link w:val="1004"/>
    <w:uiPriority w:val="0"/>
    <w:qFormat/>
    <w:rPr>
      <w:rFonts w:ascii="Arial" w:hAnsi="Arial" w:eastAsia="黑体" w:cs="Arial"/>
    </w:rPr>
  </w:style>
  <w:style w:type="paragraph" w:styleId="1006" w:customStyle="1">
    <w:name w:val="索引 51"/>
    <w:basedOn w:val="781"/>
    <w:next w:val="781"/>
    <w:uiPriority w:val="0"/>
    <w:qFormat/>
    <w:pPr>
      <w:ind w:left="800"/>
    </w:pPr>
    <w:rPr>
      <w:rFonts w:ascii="Calibri" w:hAnsi="Calibri"/>
    </w:rPr>
  </w:style>
  <w:style w:type="paragraph" w:styleId="1007" w:customStyle="1">
    <w:name w:val="列表项目符号1"/>
    <w:basedOn w:val="781"/>
    <w:uiPriority w:val="0"/>
    <w:qFormat/>
    <w:pPr>
      <w:ind w:left="962" w:hanging="480"/>
      <w:spacing w:line="360" w:lineRule="auto"/>
      <w:tabs>
        <w:tab w:val="left" w:pos="840" w:leader="none"/>
      </w:tabs>
    </w:pPr>
    <w:rPr>
      <w:sz w:val="24"/>
    </w:rPr>
  </w:style>
  <w:style w:type="paragraph" w:styleId="1008" w:customStyle="1">
    <w:name w:val="文档结构图1"/>
    <w:basedOn w:val="781"/>
    <w:uiPriority w:val="0"/>
    <w:qFormat/>
    <w:pPr>
      <w:shd w:val="clear" w:color="auto" w:fill="000080"/>
    </w:pPr>
  </w:style>
  <w:style w:type="paragraph" w:styleId="1009" w:customStyle="1">
    <w:name w:val="批注文字1"/>
    <w:basedOn w:val="781"/>
    <w:link w:val="1010"/>
    <w:uiPriority w:val="99"/>
    <w:qFormat/>
    <w:pPr>
      <w:jc w:val="left"/>
    </w:pPr>
    <w:rPr>
      <w:rFonts w:ascii="Calibri" w:hAnsi="Calibri"/>
      <w:szCs w:val="20"/>
    </w:rPr>
  </w:style>
  <w:style w:type="character" w:styleId="1010" w:customStyle="1">
    <w:name w:val="批注文字 字符"/>
    <w:link w:val="1009"/>
    <w:uiPriority w:val="99"/>
    <w:qFormat/>
    <w:rPr>
      <w:rFonts w:ascii="Calibri" w:hAnsi="Calibri" w:eastAsia="宋体" w:cs="Times New Roman"/>
      <w:sz w:val="21"/>
    </w:rPr>
  </w:style>
  <w:style w:type="paragraph" w:styleId="1011" w:customStyle="1">
    <w:name w:val="索引 61"/>
    <w:basedOn w:val="781"/>
    <w:next w:val="781"/>
    <w:uiPriority w:val="0"/>
    <w:qFormat/>
    <w:pPr>
      <w:ind w:left="1000"/>
    </w:pPr>
    <w:rPr>
      <w:rFonts w:ascii="Calibri" w:hAnsi="Calibri"/>
    </w:rPr>
  </w:style>
  <w:style w:type="paragraph" w:styleId="1012" w:customStyle="1">
    <w:name w:val="正文文本 31"/>
    <w:basedOn w:val="781"/>
    <w:uiPriority w:val="0"/>
    <w:qFormat/>
    <w:rPr>
      <w:color w:val="000000"/>
    </w:rPr>
  </w:style>
  <w:style w:type="paragraph" w:styleId="1013" w:customStyle="1">
    <w:name w:val="列表项目符号 31"/>
    <w:basedOn w:val="781"/>
    <w:uiPriority w:val="0"/>
    <w:qFormat/>
    <w:pPr>
      <w:ind w:left="1200" w:hanging="360"/>
      <w:spacing w:line="380" w:lineRule="exact"/>
      <w:tabs>
        <w:tab w:val="left" w:pos="1200" w:leader="none"/>
      </w:tabs>
    </w:pPr>
    <w:rPr>
      <w:rFonts w:ascii="Calibri" w:hAnsi="Calibri"/>
      <w:sz w:val="28"/>
    </w:rPr>
  </w:style>
  <w:style w:type="paragraph" w:styleId="1014" w:customStyle="1">
    <w:name w:val="正文文本缩进11"/>
    <w:basedOn w:val="781"/>
    <w:next w:val="781"/>
    <w:uiPriority w:val="0"/>
    <w:qFormat/>
    <w:pPr>
      <w:ind w:firstLine="225"/>
    </w:pPr>
    <w:rPr>
      <w:rFonts w:ascii="仿宋_GB2312" w:eastAsia="仿宋_GB2312"/>
      <w:sz w:val="32"/>
    </w:rPr>
  </w:style>
  <w:style w:type="paragraph" w:styleId="1015" w:customStyle="1">
    <w:name w:val="文本块1"/>
    <w:basedOn w:val="781"/>
    <w:uiPriority w:val="0"/>
    <w:qFormat/>
    <w:pPr>
      <w:ind w:left="1548" w:right="12" w:hanging="2405"/>
      <w:spacing w:line="360" w:lineRule="exact"/>
    </w:pPr>
    <w:rPr>
      <w:rFonts w:ascii="宋体"/>
      <w:bCs/>
      <w:sz w:val="28"/>
    </w:rPr>
  </w:style>
  <w:style w:type="paragraph" w:styleId="1016" w:customStyle="1">
    <w:name w:val="列表项目符号 21"/>
    <w:basedOn w:val="781"/>
    <w:uiPriority w:val="0"/>
    <w:qFormat/>
    <w:pPr>
      <w:ind w:left="720" w:hanging="360"/>
      <w:spacing w:line="360" w:lineRule="auto"/>
      <w:tabs>
        <w:tab w:val="left" w:pos="720" w:leader="none"/>
      </w:tabs>
    </w:pPr>
    <w:rPr>
      <w:sz w:val="24"/>
    </w:rPr>
  </w:style>
  <w:style w:type="paragraph" w:styleId="1017" w:customStyle="1">
    <w:name w:val="HTML 地址1"/>
    <w:basedOn w:val="781"/>
    <w:uiPriority w:val="0"/>
    <w:qFormat/>
    <w:rPr>
      <w:i/>
      <w:iCs/>
    </w:rPr>
  </w:style>
  <w:style w:type="paragraph" w:styleId="1018" w:customStyle="1">
    <w:name w:val="索引 41"/>
    <w:basedOn w:val="781"/>
    <w:next w:val="781"/>
    <w:uiPriority w:val="0"/>
    <w:qFormat/>
    <w:pPr>
      <w:ind w:left="600"/>
    </w:pPr>
    <w:rPr>
      <w:rFonts w:ascii="Calibri" w:hAnsi="Calibri"/>
    </w:rPr>
  </w:style>
  <w:style w:type="paragraph" w:styleId="1019" w:customStyle="1">
    <w:name w:val="目录 51"/>
    <w:basedOn w:val="781"/>
    <w:next w:val="781"/>
    <w:uiPriority w:val="0"/>
    <w:qFormat/>
    <w:pPr>
      <w:ind w:left="840"/>
      <w:jc w:val="left"/>
    </w:pPr>
    <w:rPr>
      <w:rFonts w:ascii="Calibri" w:hAnsi="Calibri" w:cs="Calibri"/>
      <w:sz w:val="18"/>
      <w:szCs w:val="18"/>
    </w:rPr>
  </w:style>
  <w:style w:type="paragraph" w:styleId="1020" w:customStyle="1">
    <w:name w:val="目录 31"/>
    <w:basedOn w:val="781"/>
    <w:next w:val="781"/>
    <w:uiPriority w:val="39"/>
    <w:qFormat/>
    <w:pPr>
      <w:ind w:left="420"/>
      <w:jc w:val="left"/>
    </w:pPr>
    <w:rPr>
      <w:rFonts w:ascii="Calibri" w:hAnsi="Calibri" w:cs="Calibri"/>
      <w:i/>
      <w:iCs/>
      <w:sz w:val="20"/>
      <w:szCs w:val="20"/>
    </w:rPr>
  </w:style>
  <w:style w:type="paragraph" w:styleId="1021" w:customStyle="1">
    <w:name w:val="纯文本11"/>
    <w:basedOn w:val="781"/>
    <w:uiPriority w:val="0"/>
    <w:qFormat/>
    <w:rPr>
      <w:rFonts w:ascii="宋体"/>
      <w:szCs w:val="21"/>
    </w:rPr>
  </w:style>
  <w:style w:type="paragraph" w:styleId="1022" w:customStyle="1">
    <w:name w:val="列表项目符号 51"/>
    <w:basedOn w:val="781"/>
    <w:uiPriority w:val="0"/>
    <w:qFormat/>
    <w:pPr>
      <w:ind w:left="720" w:hanging="360"/>
      <w:spacing w:line="380" w:lineRule="exact"/>
      <w:tabs>
        <w:tab w:val="left" w:pos="720" w:leader="none"/>
      </w:tabs>
    </w:pPr>
    <w:rPr>
      <w:rFonts w:ascii="Calibri" w:hAnsi="Calibri"/>
      <w:sz w:val="28"/>
    </w:rPr>
  </w:style>
  <w:style w:type="paragraph" w:styleId="1023" w:customStyle="1">
    <w:name w:val="目录 81"/>
    <w:basedOn w:val="781"/>
    <w:next w:val="781"/>
    <w:uiPriority w:val="0"/>
    <w:qFormat/>
    <w:pPr>
      <w:ind w:left="1470"/>
      <w:jc w:val="left"/>
    </w:pPr>
    <w:rPr>
      <w:rFonts w:ascii="Calibri" w:hAnsi="Calibri" w:cs="Calibri"/>
      <w:sz w:val="18"/>
      <w:szCs w:val="18"/>
    </w:rPr>
  </w:style>
  <w:style w:type="paragraph" w:styleId="1024" w:customStyle="1">
    <w:name w:val="索引 31"/>
    <w:basedOn w:val="781"/>
    <w:next w:val="781"/>
    <w:uiPriority w:val="0"/>
    <w:qFormat/>
    <w:pPr>
      <w:ind w:left="400"/>
    </w:pPr>
    <w:rPr>
      <w:rFonts w:ascii="Calibri" w:hAnsi="Calibri"/>
    </w:rPr>
  </w:style>
  <w:style w:type="paragraph" w:styleId="1025" w:customStyle="1">
    <w:name w:val="日期1"/>
    <w:basedOn w:val="781"/>
    <w:next w:val="781"/>
    <w:uiPriority w:val="0"/>
    <w:qFormat/>
    <w:pPr>
      <w:ind w:left="2500"/>
    </w:pPr>
  </w:style>
  <w:style w:type="paragraph" w:styleId="1026" w:customStyle="1">
    <w:name w:val="正文文本缩进 21"/>
    <w:basedOn w:val="781"/>
    <w:uiPriority w:val="0"/>
    <w:qFormat/>
    <w:pPr>
      <w:ind w:firstLine="225"/>
      <w:jc w:val="left"/>
      <w:spacing w:line="540" w:lineRule="exact"/>
    </w:pPr>
    <w:rPr>
      <w:rFonts w:ascii="仿宋_GB2312" w:eastAsia="仿宋_GB2312"/>
      <w:sz w:val="32"/>
    </w:rPr>
  </w:style>
  <w:style w:type="paragraph" w:styleId="1027" w:customStyle="1">
    <w:name w:val="尾注文本1"/>
    <w:basedOn w:val="781"/>
    <w:uiPriority w:val="0"/>
    <w:qFormat/>
    <w:pPr>
      <w:jc w:val="left"/>
      <w:widowControl/>
    </w:pPr>
    <w:rPr>
      <w:rFonts w:ascii="宋体"/>
      <w:bCs/>
      <w:szCs w:val="21"/>
    </w:rPr>
  </w:style>
  <w:style w:type="paragraph" w:styleId="1028" w:customStyle="1">
    <w:name w:val="批注框文本1"/>
    <w:basedOn w:val="781"/>
    <w:uiPriority w:val="0"/>
    <w:qFormat/>
    <w:rPr>
      <w:sz w:val="18"/>
      <w:szCs w:val="20"/>
    </w:rPr>
  </w:style>
  <w:style w:type="paragraph" w:styleId="1029" w:customStyle="1">
    <w:name w:val="页脚1"/>
    <w:basedOn w:val="781"/>
    <w:link w:val="1030"/>
    <w:uiPriority w:val="99"/>
    <w:qFormat/>
    <w:pPr>
      <w:jc w:val="left"/>
      <w:tabs>
        <w:tab w:val="center" w:pos="4153" w:leader="none"/>
        <w:tab w:val="right" w:pos="8306" w:leader="none"/>
      </w:tabs>
    </w:pPr>
    <w:rPr>
      <w:rFonts w:ascii="Calibri" w:hAnsi="Calibri"/>
      <w:sz w:val="18"/>
      <w:szCs w:val="18"/>
    </w:rPr>
  </w:style>
  <w:style w:type="character" w:styleId="1030" w:customStyle="1">
    <w:name w:val="页脚 字符"/>
    <w:link w:val="1029"/>
    <w:uiPriority w:val="99"/>
    <w:qFormat/>
    <w:rPr>
      <w:rFonts w:ascii="Calibri" w:hAnsi="Calibri" w:eastAsia="宋体" w:cs="Times New Roman"/>
      <w:sz w:val="18"/>
      <w:szCs w:val="18"/>
    </w:rPr>
  </w:style>
  <w:style w:type="paragraph" w:styleId="1031" w:customStyle="1">
    <w:name w:val="寄信人地址11"/>
    <w:basedOn w:val="781"/>
    <w:uiPriority w:val="0"/>
    <w:qFormat/>
    <w:rPr>
      <w:rFonts w:ascii="Arial" w:hAnsi="Arial"/>
    </w:rPr>
  </w:style>
  <w:style w:type="paragraph" w:styleId="1032" w:customStyle="1">
    <w:name w:val="页眉1"/>
    <w:basedOn w:val="781"/>
    <w:link w:val="1033"/>
    <w:uiPriority w:val="99"/>
    <w:qFormat/>
    <w:pPr>
      <w:jc w:val="center"/>
      <w:tabs>
        <w:tab w:val="center" w:pos="4153" w:leader="none"/>
        <w:tab w:val="right" w:pos="8306" w:leader="none"/>
      </w:tabs>
      <w:pBdr>
        <w:bottom w:val="single" w:color="000000" w:sz="6" w:space="1"/>
      </w:pBdr>
    </w:pPr>
    <w:rPr>
      <w:sz w:val="18"/>
      <w:szCs w:val="18"/>
    </w:rPr>
  </w:style>
  <w:style w:type="character" w:styleId="1033" w:customStyle="1">
    <w:name w:val="页眉 字符"/>
    <w:link w:val="1032"/>
    <w:uiPriority w:val="99"/>
    <w:qFormat/>
    <w:rPr>
      <w:sz w:val="18"/>
      <w:szCs w:val="18"/>
    </w:rPr>
  </w:style>
  <w:style w:type="paragraph" w:styleId="1034" w:customStyle="1">
    <w:name w:val="目录 11"/>
    <w:basedOn w:val="781"/>
    <w:next w:val="781"/>
    <w:uiPriority w:val="39"/>
    <w:qFormat/>
    <w:pPr>
      <w:jc w:val="left"/>
      <w:spacing w:before="120" w:after="120"/>
    </w:pPr>
    <w:rPr>
      <w:rFonts w:ascii="Calibri" w:hAnsi="Calibri" w:cs="Calibri"/>
      <w:b/>
      <w:bCs/>
      <w:caps/>
      <w:sz w:val="20"/>
      <w:szCs w:val="20"/>
    </w:rPr>
  </w:style>
  <w:style w:type="paragraph" w:styleId="1035" w:customStyle="1">
    <w:name w:val="目录 41"/>
    <w:basedOn w:val="781"/>
    <w:next w:val="781"/>
    <w:uiPriority w:val="0"/>
    <w:qFormat/>
    <w:pPr>
      <w:ind w:left="630"/>
      <w:jc w:val="left"/>
    </w:pPr>
    <w:rPr>
      <w:rFonts w:ascii="Calibri" w:hAnsi="Calibri" w:cs="Calibri"/>
      <w:sz w:val="18"/>
      <w:szCs w:val="18"/>
    </w:rPr>
  </w:style>
  <w:style w:type="paragraph" w:styleId="1036" w:customStyle="1">
    <w:name w:val="索引标题1"/>
    <w:basedOn w:val="781"/>
    <w:next w:val="1037"/>
    <w:uiPriority w:val="0"/>
    <w:qFormat/>
    <w:rPr>
      <w:rFonts w:ascii="Calibri" w:hAnsi="Calibri"/>
    </w:rPr>
  </w:style>
  <w:style w:type="paragraph" w:styleId="1037" w:customStyle="1">
    <w:name w:val="索引 11"/>
    <w:basedOn w:val="781"/>
    <w:next w:val="781"/>
    <w:uiPriority w:val="0"/>
    <w:qFormat/>
    <w:rPr>
      <w:rFonts w:ascii="Calibri" w:hAnsi="Calibri"/>
    </w:rPr>
  </w:style>
  <w:style w:type="paragraph" w:styleId="1038" w:customStyle="1">
    <w:name w:val="脚注文本1"/>
    <w:basedOn w:val="781"/>
    <w:uiPriority w:val="0"/>
    <w:qFormat/>
    <w:pPr>
      <w:jc w:val="left"/>
    </w:pPr>
    <w:rPr>
      <w:rFonts w:ascii="宋体"/>
      <w:bCs/>
      <w:sz w:val="18"/>
      <w:szCs w:val="18"/>
    </w:rPr>
  </w:style>
  <w:style w:type="paragraph" w:styleId="1039" w:customStyle="1">
    <w:name w:val="目录 61"/>
    <w:basedOn w:val="781"/>
    <w:next w:val="781"/>
    <w:uiPriority w:val="0"/>
    <w:qFormat/>
    <w:pPr>
      <w:ind w:left="1050"/>
      <w:jc w:val="left"/>
    </w:pPr>
    <w:rPr>
      <w:rFonts w:ascii="Calibri" w:hAnsi="Calibri" w:cs="Calibri"/>
      <w:sz w:val="18"/>
      <w:szCs w:val="18"/>
    </w:rPr>
  </w:style>
  <w:style w:type="paragraph" w:styleId="1040" w:customStyle="1">
    <w:name w:val="正文文本缩进 31"/>
    <w:basedOn w:val="781"/>
    <w:uiPriority w:val="0"/>
    <w:qFormat/>
    <w:pPr>
      <w:ind w:firstLine="213"/>
    </w:pPr>
    <w:rPr>
      <w:rFonts w:ascii="仿宋_GB2312" w:eastAsia="仿宋_GB2312"/>
      <w:sz w:val="30"/>
    </w:rPr>
  </w:style>
  <w:style w:type="paragraph" w:styleId="1041" w:customStyle="1">
    <w:name w:val="索引 71"/>
    <w:basedOn w:val="781"/>
    <w:next w:val="781"/>
    <w:uiPriority w:val="0"/>
    <w:qFormat/>
    <w:pPr>
      <w:ind w:left="1200"/>
    </w:pPr>
    <w:rPr>
      <w:rFonts w:ascii="Calibri" w:hAnsi="Calibri"/>
    </w:rPr>
  </w:style>
  <w:style w:type="paragraph" w:styleId="1042" w:customStyle="1">
    <w:name w:val="索引 91"/>
    <w:basedOn w:val="781"/>
    <w:next w:val="781"/>
    <w:uiPriority w:val="0"/>
    <w:qFormat/>
    <w:pPr>
      <w:ind w:left="1600"/>
    </w:pPr>
    <w:rPr>
      <w:rFonts w:ascii="Calibri" w:hAnsi="Calibri"/>
    </w:rPr>
  </w:style>
  <w:style w:type="paragraph" w:styleId="1043" w:customStyle="1">
    <w:name w:val="图表目录11"/>
    <w:basedOn w:val="781"/>
    <w:next w:val="781"/>
    <w:uiPriority w:val="0"/>
    <w:qFormat/>
    <w:pPr>
      <w:ind w:left="400" w:hanging="200"/>
      <w:jc w:val="left"/>
      <w:widowControl/>
    </w:pPr>
    <w:rPr>
      <w:rFonts w:ascii="宋体"/>
      <w:bCs/>
      <w:szCs w:val="21"/>
    </w:rPr>
  </w:style>
  <w:style w:type="paragraph" w:styleId="1044" w:customStyle="1">
    <w:name w:val="目录 21"/>
    <w:basedOn w:val="781"/>
    <w:next w:val="781"/>
    <w:uiPriority w:val="39"/>
    <w:qFormat/>
    <w:pPr>
      <w:ind w:left="210"/>
      <w:jc w:val="left"/>
    </w:pPr>
    <w:rPr>
      <w:rFonts w:ascii="Calibri" w:hAnsi="Calibri" w:cs="Calibri"/>
      <w:smallCaps/>
      <w:sz w:val="20"/>
      <w:szCs w:val="20"/>
    </w:rPr>
  </w:style>
  <w:style w:type="paragraph" w:styleId="1045" w:customStyle="1">
    <w:name w:val="目录 91"/>
    <w:basedOn w:val="781"/>
    <w:next w:val="781"/>
    <w:uiPriority w:val="0"/>
    <w:qFormat/>
    <w:pPr>
      <w:ind w:left="1680"/>
      <w:jc w:val="left"/>
    </w:pPr>
    <w:rPr>
      <w:rFonts w:ascii="Calibri" w:hAnsi="Calibri" w:cs="Calibri"/>
      <w:sz w:val="18"/>
      <w:szCs w:val="18"/>
    </w:rPr>
  </w:style>
  <w:style w:type="paragraph" w:styleId="1046" w:customStyle="1">
    <w:name w:val="正文文本 21"/>
    <w:basedOn w:val="781"/>
    <w:uiPriority w:val="0"/>
    <w:qFormat/>
    <w:pPr>
      <w:spacing w:line="560" w:lineRule="exact"/>
    </w:pPr>
    <w:rPr>
      <w:rFonts w:ascii="仿宋_GB2312" w:eastAsia="仿宋_GB2312"/>
      <w:sz w:val="28"/>
      <w:szCs w:val="30"/>
    </w:rPr>
  </w:style>
  <w:style w:type="paragraph" w:styleId="1047" w:customStyle="1">
    <w:name w:val="列表接续 21"/>
    <w:basedOn w:val="781"/>
    <w:uiPriority w:val="0"/>
    <w:qFormat/>
    <w:pPr>
      <w:ind w:left="840"/>
      <w:spacing w:after="120"/>
    </w:pPr>
  </w:style>
  <w:style w:type="paragraph" w:styleId="1048" w:customStyle="1">
    <w:name w:val="HTML 预设格式1"/>
    <w:basedOn w:val="78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49" w:customStyle="1">
    <w:name w:val="普通(网站)1"/>
    <w:basedOn w:val="781"/>
    <w:uiPriority w:val="0"/>
    <w:qFormat/>
    <w:pPr>
      <w:jc w:val="left"/>
      <w:spacing w:before="100" w:beforeAutospacing="1" w:after="100" w:afterAutospacing="1"/>
      <w:widowControl/>
    </w:pPr>
    <w:rPr>
      <w:rFonts w:ascii="宋体"/>
      <w:sz w:val="24"/>
      <w:szCs w:val="20"/>
    </w:rPr>
  </w:style>
  <w:style w:type="paragraph" w:styleId="1050" w:customStyle="1">
    <w:name w:val="索引 21"/>
    <w:basedOn w:val="781"/>
    <w:next w:val="781"/>
    <w:uiPriority w:val="0"/>
    <w:qFormat/>
    <w:pPr>
      <w:ind w:left="200"/>
    </w:pPr>
    <w:rPr>
      <w:rFonts w:ascii="Calibri" w:hAnsi="Calibri"/>
    </w:rPr>
  </w:style>
  <w:style w:type="paragraph" w:styleId="1051" w:customStyle="1">
    <w:name w:val="标题1"/>
    <w:basedOn w:val="781"/>
    <w:uiPriority w:val="0"/>
    <w:qFormat/>
    <w:pPr>
      <w:jc w:val="center"/>
      <w:spacing w:before="240" w:after="60"/>
      <w:outlineLvl w:val="0"/>
    </w:pPr>
    <w:rPr>
      <w:rFonts w:ascii="Cambria" w:hAnsi="Cambria"/>
      <w:b/>
      <w:bCs/>
      <w:sz w:val="32"/>
      <w:szCs w:val="32"/>
    </w:rPr>
  </w:style>
  <w:style w:type="paragraph" w:styleId="1052" w:customStyle="1">
    <w:name w:val="批注主题1"/>
    <w:basedOn w:val="1009"/>
    <w:next w:val="1009"/>
    <w:uiPriority w:val="0"/>
    <w:qFormat/>
    <w:rPr>
      <w:b/>
    </w:rPr>
  </w:style>
  <w:style w:type="paragraph" w:styleId="1053" w:customStyle="1">
    <w:name w:val="正文首行缩进1"/>
    <w:basedOn w:val="781"/>
    <w:next w:val="781"/>
    <w:uiPriority w:val="0"/>
    <w:qFormat/>
    <w:pPr>
      <w:ind w:firstLine="100"/>
      <w:spacing w:after="120"/>
    </w:pPr>
  </w:style>
  <w:style w:type="paragraph" w:styleId="1054" w:customStyle="1">
    <w:name w:val="正文首行缩进 21"/>
    <w:basedOn w:val="1014"/>
    <w:link w:val="1055"/>
    <w:uiPriority w:val="0"/>
    <w:qFormat/>
    <w:pPr>
      <w:ind w:left="200" w:firstLine="200"/>
      <w:spacing w:after="120"/>
    </w:pPr>
    <w:rPr>
      <w:rFonts w:ascii="Times New Roman"/>
      <w:sz w:val="24"/>
      <w:szCs w:val="24"/>
    </w:rPr>
  </w:style>
  <w:style w:type="character" w:styleId="1055" w:customStyle="1">
    <w:name w:val="正文文本首行缩进 2 字符"/>
    <w:link w:val="1054"/>
    <w:uiPriority w:val="0"/>
    <w:qFormat/>
    <w:rPr>
      <w:rFonts w:eastAsia="仿宋_GB2312"/>
      <w:sz w:val="24"/>
      <w:szCs w:val="24"/>
      <w:lang w:bidi="ar-SA"/>
    </w:rPr>
  </w:style>
  <w:style w:type="table" w:styleId="1056" w:customStyle="1">
    <w:name w:val="网格型1"/>
    <w:basedOn w:val="994"/>
    <w:uiPriority w:val="0"/>
    <w:qFormat/>
    <w:tblPr/>
  </w:style>
  <w:style w:type="character" w:styleId="1057" w:customStyle="1">
    <w:name w:val="要点1"/>
    <w:uiPriority w:val="0"/>
    <w:qFormat/>
    <w:rPr>
      <w:b/>
    </w:rPr>
  </w:style>
  <w:style w:type="character" w:styleId="1058" w:customStyle="1">
    <w:name w:val="尾注引用1"/>
    <w:uiPriority w:val="0"/>
    <w:qFormat/>
    <w:rPr>
      <w:vertAlign w:val="superscript"/>
    </w:rPr>
  </w:style>
  <w:style w:type="character" w:styleId="1059" w:customStyle="1">
    <w:name w:val="页码1"/>
    <w:uiPriority w:val="0"/>
    <w:qFormat/>
  </w:style>
  <w:style w:type="character" w:styleId="1060" w:customStyle="1">
    <w:name w:val="已访问的超链接1"/>
    <w:uiPriority w:val="0"/>
    <w:qFormat/>
    <w:rPr>
      <w:color w:val="800080"/>
      <w:u w:val="single"/>
    </w:rPr>
  </w:style>
  <w:style w:type="character" w:styleId="1061" w:customStyle="1">
    <w:name w:val="强调1"/>
    <w:uiPriority w:val="0"/>
    <w:qFormat/>
    <w:rPr>
      <w:color w:val="cc0033"/>
    </w:rPr>
  </w:style>
  <w:style w:type="character" w:styleId="1062" w:customStyle="1">
    <w:name w:val="HTML 打字机1"/>
    <w:uiPriority w:val="0"/>
    <w:qFormat/>
    <w:rPr>
      <w:rFonts w:ascii="宋体" w:eastAsia="宋体" w:cs="宋体"/>
      <w:sz w:val="24"/>
      <w:szCs w:val="24"/>
      <w:lang w:bidi="ar-SA"/>
    </w:rPr>
  </w:style>
  <w:style w:type="character" w:styleId="1063" w:customStyle="1">
    <w:name w:val="超链接1"/>
    <w:uiPriority w:val="99"/>
    <w:qFormat/>
    <w:rPr>
      <w:color w:val="0000ff"/>
      <w:u w:val="single"/>
    </w:rPr>
  </w:style>
  <w:style w:type="character" w:styleId="1064" w:customStyle="1">
    <w:name w:val="批注引用1"/>
    <w:uiPriority w:val="0"/>
    <w:qFormat/>
    <w:rPr>
      <w:sz w:val="21"/>
    </w:rPr>
  </w:style>
  <w:style w:type="character" w:styleId="1065" w:customStyle="1">
    <w:name w:val="脚注引用1"/>
    <w:uiPriority w:val="0"/>
    <w:qFormat/>
    <w:rPr>
      <w:vertAlign w:val="superscript"/>
    </w:rPr>
  </w:style>
  <w:style w:type="paragraph" w:styleId="1066" w:customStyle="1">
    <w:name w:val="样式 正文首行缩进 2 + Arial"/>
    <w:basedOn w:val="781"/>
    <w:next w:val="781"/>
    <w:uiPriority w:val="0"/>
    <w:qFormat/>
    <w:pPr>
      <w:ind w:firstLine="200"/>
      <w:spacing w:after="120" w:line="320" w:lineRule="atLeast"/>
    </w:pPr>
    <w:rPr>
      <w:rFonts w:ascii="Arial" w:hAnsi="Arial"/>
    </w:rPr>
  </w:style>
  <w:style w:type="character" w:styleId="1067" w:customStyle="1">
    <w:name w:val="Comment Text Char"/>
    <w:uiPriority w:val="0"/>
    <w:qFormat/>
    <w:rPr>
      <w:rFonts w:cs="Times New Roman"/>
      <w:sz w:val="21"/>
      <w:szCs w:val="21"/>
      <w:lang w:bidi="ar-SA"/>
    </w:rPr>
  </w:style>
  <w:style w:type="character" w:styleId="1068" w:customStyle="1">
    <w:name w:val="纯文本 Char_0"/>
    <w:link w:val="1069"/>
    <w:uiPriority w:val="0"/>
    <w:qFormat/>
    <w:rPr>
      <w:rFonts w:ascii="宋体" w:hAnsi="Courier New" w:cs="Courier New"/>
      <w:sz w:val="21"/>
      <w:szCs w:val="21"/>
    </w:rPr>
  </w:style>
  <w:style w:type="paragraph" w:styleId="1069" w:customStyle="1">
    <w:name w:val="纯文本_0"/>
    <w:basedOn w:val="1070"/>
    <w:link w:val="1068"/>
    <w:uiPriority w:val="0"/>
    <w:qFormat/>
    <w:rPr>
      <w:rFonts w:ascii="宋体" w:hAnsi="Courier New"/>
      <w:szCs w:val="21"/>
    </w:rPr>
  </w:style>
  <w:style w:type="paragraph" w:styleId="1070"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1071" w:customStyle="1">
    <w:name w:val="ca-51"/>
    <w:uiPriority w:val="0"/>
    <w:qFormat/>
    <w:rPr>
      <w:rFonts w:ascii="楷体_GB2312" w:eastAsia="楷体_GB2312"/>
      <w:b/>
      <w:bCs/>
      <w:spacing w:val="-20"/>
      <w:sz w:val="24"/>
      <w:szCs w:val="24"/>
    </w:rPr>
  </w:style>
  <w:style w:type="character" w:styleId="1072" w:customStyle="1">
    <w:name w:val="Heading 4 Char_de27d71f-764f-47bd-84d1-49c3f4abdbf0"/>
    <w:uiPriority w:val="0"/>
    <w:qFormat/>
    <w:rPr>
      <w:rFonts w:ascii="Cambria" w:hAnsi="Cambria" w:eastAsia="宋体" w:cs="Cambria"/>
      <w:b/>
      <w:bCs/>
      <w:sz w:val="28"/>
      <w:szCs w:val="28"/>
      <w:lang w:bidi="ar-SA"/>
    </w:rPr>
  </w:style>
  <w:style w:type="character" w:styleId="1073" w:customStyle="1">
    <w:name w:val="正文缩进 Char1_0"/>
    <w:link w:val="1074"/>
    <w:uiPriority w:val="0"/>
    <w:qFormat/>
    <w:rPr>
      <w:sz w:val="21"/>
      <w:szCs w:val="22"/>
    </w:rPr>
  </w:style>
  <w:style w:type="paragraph" w:styleId="1074" w:customStyle="1">
    <w:name w:val="正文缩进_0"/>
    <w:basedOn w:val="1070"/>
    <w:link w:val="1073"/>
    <w:uiPriority w:val="0"/>
    <w:qFormat/>
    <w:pPr>
      <w:ind w:firstLine="420"/>
    </w:pPr>
    <w:rPr>
      <w:szCs w:val="22"/>
    </w:rPr>
  </w:style>
  <w:style w:type="character" w:styleId="1075" w:customStyle="1">
    <w:name w:val="Header Char1"/>
    <w:uiPriority w:val="0"/>
    <w:qFormat/>
    <w:rPr>
      <w:rFonts w:cs="Times New Roman"/>
      <w:sz w:val="18"/>
      <w:szCs w:val="18"/>
      <w:lang w:bidi="ar-SA"/>
    </w:rPr>
  </w:style>
  <w:style w:type="character" w:styleId="1076" w:customStyle="1">
    <w:name w:val="正文文本缩进 2 Char"/>
    <w:link w:val="1077"/>
    <w:uiPriority w:val="0"/>
    <w:qFormat/>
    <w:rPr>
      <w:rFonts w:hAnsi="Times New Roman"/>
      <w:sz w:val="21"/>
      <w:szCs w:val="20"/>
    </w:rPr>
  </w:style>
  <w:style w:type="paragraph" w:styleId="1077" w:customStyle="1">
    <w:name w:val="正文文本缩进 2_0"/>
    <w:basedOn w:val="1078"/>
    <w:link w:val="1076"/>
    <w:uiPriority w:val="0"/>
    <w:qFormat/>
    <w:pPr>
      <w:ind w:firstLine="525"/>
      <w:spacing w:line="420" w:lineRule="exact"/>
    </w:pPr>
  </w:style>
  <w:style w:type="paragraph" w:styleId="1078" w:customStyle="1">
    <w:name w:val="正文_2"/>
    <w:uiPriority w:val="0"/>
    <w:qFormat/>
    <w:pPr>
      <w:jc w:val="both"/>
      <w:widowControl w:val="off"/>
    </w:pPr>
    <w:rPr>
      <w:rFonts w:ascii="Times New Roman" w:hAnsi="Times New Roman" w:eastAsia="宋体" w:cs="Times New Roman"/>
      <w:sz w:val="21"/>
      <w:lang w:val="en-US" w:eastAsia="zh-CN" w:bidi="ar-SA"/>
    </w:rPr>
  </w:style>
  <w:style w:type="character" w:styleId="1079" w:customStyle="1">
    <w:name w:val="Heading 3 Char_a5a6c394-65ab-4144-8017-81f81103df3a"/>
    <w:uiPriority w:val="0"/>
    <w:qFormat/>
    <w:rPr>
      <w:rFonts w:cs="Times New Roman"/>
      <w:b/>
      <w:bCs/>
      <w:sz w:val="32"/>
      <w:szCs w:val="32"/>
      <w:lang w:bidi="ar-SA"/>
    </w:rPr>
  </w:style>
  <w:style w:type="character" w:styleId="1080" w:customStyle="1">
    <w:name w:val="ca-21"/>
    <w:uiPriority w:val="0"/>
    <w:qFormat/>
    <w:rPr>
      <w:rFonts w:ascii="宋体" w:eastAsia="宋体"/>
      <w:sz w:val="21"/>
    </w:rPr>
  </w:style>
  <w:style w:type="character" w:styleId="1081" w:customStyle="1">
    <w:name w:val="Plain Text Char"/>
    <w:uiPriority w:val="0"/>
    <w:qFormat/>
    <w:rPr>
      <w:rFonts w:ascii="宋体" w:eastAsia="宋体"/>
      <w:sz w:val="21"/>
      <w:lang w:val="en-US" w:eastAsia="zh-CN"/>
    </w:rPr>
  </w:style>
  <w:style w:type="character" w:styleId="1082" w:customStyle="1">
    <w:name w:val="maywed421"/>
    <w:uiPriority w:val="0"/>
    <w:qFormat/>
    <w:rPr>
      <w:color w:val="366fb6"/>
      <w:u w:val="none"/>
    </w:rPr>
  </w:style>
  <w:style w:type="character" w:styleId="1083" w:customStyle="1">
    <w:name w:val="纯文本 Char_0_0"/>
    <w:link w:val="1084"/>
    <w:uiPriority w:val="0"/>
    <w:qFormat/>
    <w:rPr>
      <w:rFonts w:ascii="宋体" w:hAnsi="Courier New"/>
      <w:sz w:val="21"/>
      <w:szCs w:val="21"/>
    </w:rPr>
  </w:style>
  <w:style w:type="paragraph" w:styleId="1084" w:customStyle="1">
    <w:name w:val="纯文本_0_0"/>
    <w:basedOn w:val="1085"/>
    <w:link w:val="1083"/>
    <w:uiPriority w:val="0"/>
    <w:qFormat/>
    <w:rPr>
      <w:rFonts w:ascii="宋体" w:hAnsi="Courier New"/>
      <w:szCs w:val="21"/>
    </w:rPr>
  </w:style>
  <w:style w:type="paragraph" w:styleId="1085"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086" w:customStyle="1">
    <w:name w:val="style15"/>
    <w:uiPriority w:val="0"/>
    <w:qFormat/>
  </w:style>
  <w:style w:type="character" w:styleId="1087" w:customStyle="1">
    <w:name w:val="正文（标记） Char2"/>
    <w:link w:val="1088"/>
    <w:uiPriority w:val="0"/>
    <w:qFormat/>
    <w:rPr>
      <w:sz w:val="24"/>
      <w:szCs w:val="24"/>
    </w:rPr>
  </w:style>
  <w:style w:type="paragraph" w:styleId="1088" w:customStyle="1">
    <w:name w:val="正文（标记）"/>
    <w:basedOn w:val="781"/>
    <w:link w:val="1087"/>
    <w:uiPriority w:val="0"/>
    <w:qFormat/>
    <w:pPr>
      <w:spacing w:before="50" w:after="50"/>
      <w:tabs>
        <w:tab w:val="left" w:pos="0" w:leader="none"/>
        <w:tab w:val="left" w:pos="840" w:leader="none"/>
      </w:tabs>
    </w:pPr>
    <w:rPr>
      <w:sz w:val="24"/>
      <w:szCs w:val="24"/>
    </w:rPr>
  </w:style>
  <w:style w:type="character" w:styleId="1089" w:customStyle="1">
    <w:name w:val="段落 Char"/>
    <w:uiPriority w:val="0"/>
    <w:qFormat/>
    <w:rPr>
      <w:rFonts w:ascii="仿宋_GB2312" w:eastAsia="仿宋_GB2312"/>
      <w:sz w:val="24"/>
      <w:szCs w:val="24"/>
      <w:lang w:val="en-US" w:eastAsia="zh-CN" w:bidi="ar-SA"/>
    </w:rPr>
  </w:style>
  <w:style w:type="character" w:styleId="1090" w:customStyle="1">
    <w:name w:val="Char Char2"/>
    <w:uiPriority w:val="0"/>
    <w:qFormat/>
    <w:rPr>
      <w:sz w:val="18"/>
      <w:szCs w:val="18"/>
    </w:rPr>
  </w:style>
  <w:style w:type="character" w:styleId="1091" w:customStyle="1">
    <w:name w:val="style91"/>
    <w:uiPriority w:val="0"/>
    <w:qFormat/>
    <w:rPr>
      <w:color w:val="2060c0"/>
      <w:sz w:val="24"/>
      <w:szCs w:val="24"/>
    </w:rPr>
  </w:style>
  <w:style w:type="character" w:styleId="1092" w:customStyle="1">
    <w:name w:val="普通文字1 Char"/>
    <w:uiPriority w:val="0"/>
    <w:qFormat/>
    <w:rPr>
      <w:rFonts w:ascii="宋体" w:eastAsia="宋体" w:cs="Courier New"/>
      <w:sz w:val="21"/>
      <w:szCs w:val="21"/>
      <w:lang w:val="en-US" w:eastAsia="zh-CN" w:bidi="ar-SA"/>
    </w:rPr>
  </w:style>
  <w:style w:type="character" w:styleId="1093" w:customStyle="1">
    <w:name w:val="正文文本缩进 Char"/>
    <w:link w:val="1094"/>
    <w:uiPriority w:val="0"/>
    <w:qFormat/>
    <w:rPr>
      <w:rFonts w:hAnsi="Times New Roman"/>
      <w:szCs w:val="20"/>
    </w:rPr>
  </w:style>
  <w:style w:type="paragraph" w:styleId="1094" w:customStyle="1">
    <w:name w:val="正文文本缩进_0"/>
    <w:basedOn w:val="1078"/>
    <w:link w:val="1093"/>
    <w:uiPriority w:val="0"/>
    <w:qFormat/>
    <w:pPr>
      <w:ind w:firstLine="420"/>
      <w:spacing w:line="360" w:lineRule="auto"/>
    </w:pPr>
    <w:rPr>
      <w:sz w:val="20"/>
    </w:rPr>
  </w:style>
  <w:style w:type="character" w:styleId="1095" w:customStyle="1">
    <w:name w:val="Char Char21"/>
    <w:uiPriority w:val="0"/>
    <w:qFormat/>
    <w:rPr>
      <w:sz w:val="18"/>
      <w:szCs w:val="18"/>
    </w:rPr>
  </w:style>
  <w:style w:type="character" w:styleId="1096" w:customStyle="1">
    <w:name w:val="ca-41"/>
    <w:uiPriority w:val="0"/>
    <w:qFormat/>
    <w:rPr>
      <w:rFonts w:ascii="宋体" w:eastAsia="宋体"/>
      <w:b/>
      <w:bCs/>
      <w:color w:val="000000"/>
      <w:spacing w:val="-20"/>
      <w:sz w:val="21"/>
      <w:szCs w:val="21"/>
    </w:rPr>
  </w:style>
  <w:style w:type="character" w:styleId="1097" w:customStyle="1">
    <w:name w:val="question-title"/>
    <w:uiPriority w:val="0"/>
    <w:qFormat/>
  </w:style>
  <w:style w:type="character" w:styleId="1098" w:customStyle="1">
    <w:name w:val="A1"/>
    <w:uiPriority w:val="0"/>
    <w:qFormat/>
    <w:rPr>
      <w:rFonts w:ascii="Univers LT Std 45 Light" w:hAnsi="宋体" w:eastAsia="Univers LT Std 45 Light" w:cs="Univers LT Std 45 Light"/>
      <w:color w:val="221e1f"/>
      <w:sz w:val="10"/>
      <w:szCs w:val="10"/>
    </w:rPr>
  </w:style>
  <w:style w:type="character" w:styleId="1099" w:customStyle="1">
    <w:name w:val="style161"/>
    <w:uiPriority w:val="0"/>
    <w:qFormat/>
    <w:rPr>
      <w:rFonts w:ascii="Verdana" w:hAnsi="Verdana" w:eastAsia="宋体"/>
      <w:b/>
      <w:color w:val="0a246a"/>
      <w:sz w:val="24"/>
      <w:szCs w:val="24"/>
      <w:lang w:val="en-US" w:eastAsia="zh-CN" w:bidi="ar-SA"/>
    </w:rPr>
  </w:style>
  <w:style w:type="character" w:styleId="1100" w:customStyle="1">
    <w:name w:val="ca-31"/>
    <w:uiPriority w:val="0"/>
    <w:qFormat/>
    <w:rPr>
      <w:rFonts w:ascii="宋体" w:eastAsia="宋体"/>
      <w:color w:val="000000"/>
      <w:sz w:val="21"/>
      <w:szCs w:val="21"/>
    </w:rPr>
  </w:style>
  <w:style w:type="character" w:styleId="1101" w:customStyle="1">
    <w:name w:val="apple-converted-space"/>
    <w:uiPriority w:val="0"/>
    <w:qFormat/>
  </w:style>
  <w:style w:type="character" w:styleId="1102" w:customStyle="1">
    <w:name w:val="Footer Char1"/>
    <w:uiPriority w:val="0"/>
    <w:qFormat/>
    <w:rPr>
      <w:rFonts w:cs="Times New Roman"/>
      <w:sz w:val="18"/>
      <w:szCs w:val="18"/>
      <w:lang w:bidi="ar-SA"/>
    </w:rPr>
  </w:style>
  <w:style w:type="character" w:styleId="1103" w:customStyle="1">
    <w:name w:val="A0"/>
    <w:uiPriority w:val="0"/>
    <w:qFormat/>
    <w:rPr>
      <w:rFonts w:ascii=".....?." w:hAnsi="宋体" w:eastAsia=".....?."/>
      <w:color w:val="000000"/>
      <w:sz w:val="22"/>
    </w:rPr>
  </w:style>
  <w:style w:type="character" w:styleId="1104" w:customStyle="1">
    <w:name w:val="Char Char23"/>
    <w:uiPriority w:val="0"/>
    <w:qFormat/>
    <w:rPr>
      <w:sz w:val="24"/>
      <w:szCs w:val="21"/>
      <w:lang w:bidi="ar-SA"/>
    </w:rPr>
  </w:style>
  <w:style w:type="character" w:styleId="1105" w:customStyle="1">
    <w:name w:val="Char Char1"/>
    <w:uiPriority w:val="0"/>
    <w:qFormat/>
    <w:rPr>
      <w:rFonts w:ascii="宋体" w:eastAsia="宋体"/>
      <w:sz w:val="21"/>
      <w:lang w:val="en-US" w:eastAsia="zh-CN"/>
    </w:rPr>
  </w:style>
  <w:style w:type="character" w:styleId="1106" w:customStyle="1">
    <w:name w:val="apple-style-span"/>
    <w:uiPriority w:val="0"/>
    <w:qFormat/>
    <w:rPr>
      <w:rFonts w:ascii="宋体" w:hAnsi="宋体" w:cs="Times New Roman"/>
    </w:rPr>
  </w:style>
  <w:style w:type="character" w:styleId="1107" w:customStyle="1">
    <w:name w:val="无间隔 字符"/>
    <w:link w:val="1108"/>
    <w:uiPriority w:val="0"/>
    <w:qFormat/>
    <w:rPr>
      <w:sz w:val="22"/>
      <w:lang w:val="en-US" w:eastAsia="zh-CN" w:bidi="ar-SA"/>
    </w:rPr>
  </w:style>
  <w:style w:type="paragraph" w:styleId="1108" w:customStyle="1">
    <w:name w:val="无间隔1"/>
    <w:link w:val="1107"/>
    <w:uiPriority w:val="0"/>
    <w:qFormat/>
    <w:rPr>
      <w:rFonts w:ascii="Times New Roman" w:hAnsi="Times New Roman" w:eastAsia="宋体" w:cs="Times New Roman"/>
      <w:sz w:val="22"/>
      <w:lang w:val="en-US" w:eastAsia="zh-CN" w:bidi="ar-SA"/>
    </w:rPr>
  </w:style>
  <w:style w:type="character" w:styleId="1109" w:customStyle="1">
    <w:name w:val="Char Char3"/>
    <w:uiPriority w:val="0"/>
    <w:qFormat/>
    <w:rPr>
      <w:rFonts w:ascii="宋体" w:eastAsia="宋体"/>
      <w:sz w:val="18"/>
      <w:szCs w:val="18"/>
      <w:lang w:val="en-US" w:eastAsia="zh-CN" w:bidi="ar-SA"/>
    </w:rPr>
  </w:style>
  <w:style w:type="character" w:styleId="1110" w:customStyle="1">
    <w:name w:val="z12 style23"/>
    <w:uiPriority w:val="0"/>
    <w:qFormat/>
  </w:style>
  <w:style w:type="character" w:styleId="1111" w:customStyle="1">
    <w:name w:val="font41"/>
    <w:uiPriority w:val="0"/>
    <w:qFormat/>
    <w:rPr>
      <w:rFonts w:hint="eastAsia" w:ascii="宋体" w:hAnsi="宋体" w:eastAsia="宋体" w:cs="宋体"/>
      <w:color w:val="000000"/>
      <w:sz w:val="24"/>
      <w:szCs w:val="24"/>
      <w:u w:val="none"/>
    </w:rPr>
  </w:style>
  <w:style w:type="character" w:styleId="1112" w:customStyle="1">
    <w:name w:val="font11"/>
    <w:uiPriority w:val="0"/>
    <w:qFormat/>
    <w:rPr>
      <w:rFonts w:ascii="Times" w:hAnsi="Times" w:eastAsia="Times" w:cs="Times"/>
      <w:color w:val="000000"/>
      <w:sz w:val="24"/>
      <w:szCs w:val="24"/>
      <w:u w:val="none"/>
    </w:rPr>
  </w:style>
  <w:style w:type="character" w:styleId="1113" w:customStyle="1">
    <w:name w:val="Plain Text Char1"/>
    <w:uiPriority w:val="0"/>
    <w:qFormat/>
    <w:rPr>
      <w:rFonts w:ascii="宋体" w:eastAsia="宋体"/>
      <w:sz w:val="21"/>
      <w:szCs w:val="21"/>
      <w:lang w:val="en-US" w:eastAsia="zh-CN" w:bidi="ar-SA"/>
    </w:rPr>
  </w:style>
  <w:style w:type="character" w:styleId="1114" w:customStyle="1">
    <w:name w:val="Char Char"/>
    <w:uiPriority w:val="0"/>
    <w:qFormat/>
    <w:rPr>
      <w:rFonts w:eastAsia="宋体"/>
      <w:sz w:val="18"/>
      <w:lang w:val="en-US" w:eastAsia="zh-CN"/>
    </w:rPr>
  </w:style>
  <w:style w:type="character" w:styleId="1115" w:customStyle="1">
    <w:name w:val="wj1"/>
    <w:uiPriority w:val="0"/>
    <w:qFormat/>
    <w:rPr>
      <w:color w:val="000000"/>
      <w:sz w:val="18"/>
      <w:szCs w:val="18"/>
      <w:u w:val="none"/>
    </w:rPr>
  </w:style>
  <w:style w:type="character" w:styleId="1116" w:customStyle="1">
    <w:name w:val="Heading 2 Char_e7971b2e-95ff-491d-afd8-0e6cfcc6c1b2"/>
    <w:uiPriority w:val="0"/>
    <w:qFormat/>
    <w:rPr>
      <w:rFonts w:ascii="Arial" w:hAnsi="Arial" w:eastAsia="黑体"/>
      <w:b/>
      <w:bCs/>
      <w:sz w:val="32"/>
      <w:szCs w:val="32"/>
      <w:lang w:val="en-US" w:eastAsia="zh-CN" w:bidi="ar-SA"/>
    </w:rPr>
  </w:style>
  <w:style w:type="character" w:styleId="1117" w:customStyle="1">
    <w:name w:val="z1"/>
    <w:uiPriority w:val="0"/>
    <w:qFormat/>
  </w:style>
  <w:style w:type="character" w:styleId="1118" w:customStyle="1">
    <w:name w:val="font01"/>
    <w:uiPriority w:val="0"/>
    <w:qFormat/>
    <w:rPr>
      <w:rFonts w:hint="eastAsia" w:ascii="宋体" w:hAnsi="宋体" w:eastAsia="宋体" w:cs="宋体"/>
      <w:color w:val="000000"/>
      <w:sz w:val="24"/>
      <w:szCs w:val="24"/>
      <w:u w:val="none"/>
    </w:rPr>
  </w:style>
  <w:style w:type="character" w:styleId="1119" w:customStyle="1">
    <w:name w:val="Footer Char_f0e3e3bf-5b2e-454d-aedf-db4c0b3a23ed"/>
    <w:uiPriority w:val="0"/>
    <w:qFormat/>
    <w:rPr>
      <w:rFonts w:eastAsia="宋体"/>
      <w:sz w:val="18"/>
      <w:lang w:val="en-US" w:eastAsia="zh-CN"/>
    </w:rPr>
  </w:style>
  <w:style w:type="character" w:styleId="1120" w:customStyle="1">
    <w:name w:val="Header Char_9800ef60-2583-47c5-8652-b7f35f90c311"/>
    <w:uiPriority w:val="0"/>
    <w:qFormat/>
    <w:rPr>
      <w:rFonts w:eastAsia="宋体"/>
      <w:sz w:val="18"/>
      <w:lang w:val="en-US" w:eastAsia="zh-CN"/>
    </w:rPr>
  </w:style>
  <w:style w:type="character" w:styleId="1121" w:customStyle="1">
    <w:name w:val="ca-01"/>
    <w:uiPriority w:val="0"/>
    <w:qFormat/>
    <w:rPr>
      <w:rFonts w:ascii="宋体" w:eastAsia="宋体"/>
      <w:b/>
      <w:bCs/>
      <w:spacing w:val="-20"/>
      <w:sz w:val="24"/>
      <w:szCs w:val="24"/>
    </w:rPr>
  </w:style>
  <w:style w:type="character" w:styleId="1122" w:customStyle="1">
    <w:name w:val="font51"/>
    <w:uiPriority w:val="99"/>
    <w:qFormat/>
    <w:rPr>
      <w:rFonts w:ascii="宋体" w:hAnsi="宋体" w:eastAsia="宋体" w:cs="宋体"/>
      <w:color w:val="000000"/>
      <w:sz w:val="22"/>
      <w:szCs w:val="22"/>
    </w:rPr>
  </w:style>
  <w:style w:type="character" w:styleId="1123" w:customStyle="1">
    <w:name w:val="font21"/>
    <w:uiPriority w:val="0"/>
    <w:qFormat/>
    <w:rPr>
      <w:rFonts w:ascii="Times New Roman" w:hAnsi="Times New Roman"/>
      <w:color w:val="000000"/>
      <w:sz w:val="20"/>
      <w:u w:val="none"/>
    </w:rPr>
  </w:style>
  <w:style w:type="character" w:styleId="1124" w:customStyle="1">
    <w:name w:val="font31"/>
    <w:uiPriority w:val="0"/>
    <w:qFormat/>
    <w:rPr>
      <w:rFonts w:ascii="Arial" w:hAnsi="Arial" w:cs="Arial"/>
      <w:color w:val="000000"/>
      <w:sz w:val="22"/>
      <w:szCs w:val="22"/>
      <w:u w:val="none"/>
    </w:rPr>
  </w:style>
  <w:style w:type="character" w:styleId="1125" w:customStyle="1">
    <w:name w:val="正文（编号） Char Char"/>
    <w:link w:val="1126"/>
    <w:uiPriority w:val="0"/>
    <w:qFormat/>
    <w:rPr>
      <w:sz w:val="24"/>
      <w:szCs w:val="24"/>
    </w:rPr>
  </w:style>
  <w:style w:type="paragraph" w:styleId="1126" w:customStyle="1">
    <w:name w:val="正文（编号）"/>
    <w:basedOn w:val="1127"/>
    <w:link w:val="1125"/>
    <w:uiPriority w:val="0"/>
    <w:qFormat/>
    <w:pPr>
      <w:ind w:left="720" w:firstLine="0"/>
      <w:tabs>
        <w:tab w:val="left" w:pos="720" w:leader="none"/>
        <w:tab w:val="left" w:pos="780" w:leader="none"/>
      </w:tabs>
    </w:pPr>
    <w:rPr>
      <w:szCs w:val="24"/>
    </w:rPr>
  </w:style>
  <w:style w:type="paragraph" w:styleId="1127" w:customStyle="1">
    <w:name w:val="正文（缩进）"/>
    <w:basedOn w:val="781"/>
    <w:uiPriority w:val="0"/>
    <w:qFormat/>
    <w:pPr>
      <w:ind w:firstLine="200"/>
      <w:spacing w:before="50" w:after="50" w:line="360" w:lineRule="auto"/>
    </w:pPr>
    <w:rPr>
      <w:sz w:val="24"/>
    </w:rPr>
  </w:style>
  <w:style w:type="character" w:styleId="1128" w:customStyle="1">
    <w:name w:val="marklong"/>
    <w:uiPriority w:val="0"/>
    <w:qFormat/>
  </w:style>
  <w:style w:type="character" w:styleId="1129" w:customStyle="1">
    <w:name w:val="标题 2 Char Char Char"/>
    <w:uiPriority w:val="0"/>
    <w:qFormat/>
    <w:rPr>
      <w:rFonts w:ascii="Arial" w:hAnsi="Arial" w:eastAsia="宋体" w:cs="Arial"/>
      <w:b/>
      <w:bCs/>
      <w:i/>
      <w:iCs/>
      <w:sz w:val="28"/>
      <w:szCs w:val="28"/>
      <w:lang w:val="en-US" w:eastAsia="zh-CN" w:bidi="ar-SA"/>
    </w:rPr>
  </w:style>
  <w:style w:type="character" w:styleId="1130" w:customStyle="1">
    <w:name w:val="ca-1"/>
    <w:uiPriority w:val="0"/>
    <w:qFormat/>
  </w:style>
  <w:style w:type="character" w:styleId="1131" w:customStyle="1">
    <w:name w:val="ca-11"/>
    <w:uiPriority w:val="0"/>
    <w:qFormat/>
    <w:rPr>
      <w:rFonts w:ascii="宋体" w:eastAsia="宋体"/>
      <w:b/>
      <w:bCs/>
      <w:color w:val="000000"/>
      <w:spacing w:val="-20"/>
      <w:sz w:val="28"/>
      <w:szCs w:val="28"/>
    </w:rPr>
  </w:style>
  <w:style w:type="character" w:styleId="1132" w:customStyle="1">
    <w:name w:val="正文（缩进） Char Char"/>
    <w:uiPriority w:val="0"/>
    <w:qFormat/>
    <w:rPr>
      <w:rFonts w:eastAsia="宋体"/>
      <w:sz w:val="24"/>
      <w:szCs w:val="24"/>
      <w:lang w:val="en-US" w:eastAsia="zh-CN" w:bidi="ar-SA"/>
    </w:rPr>
  </w:style>
  <w:style w:type="character" w:styleId="1133" w:customStyle="1">
    <w:name w:val="Char Char31"/>
    <w:uiPriority w:val="0"/>
    <w:qFormat/>
    <w:rPr>
      <w:rFonts w:ascii="Arial" w:hAnsi="Arial" w:eastAsia="黑体" w:cs="Times New Roman"/>
      <w:b/>
      <w:bCs/>
      <w:sz w:val="32"/>
      <w:szCs w:val="32"/>
      <w:lang w:val="en-US" w:eastAsia="zh-CN" w:bidi="ar-SA"/>
    </w:rPr>
  </w:style>
  <w:style w:type="paragraph" w:styleId="1134" w:customStyle="1">
    <w:name w:val="表文1"/>
    <w:basedOn w:val="781"/>
    <w:uiPriority w:val="0"/>
    <w:qFormat/>
    <w:pPr>
      <w:ind w:firstLine="196"/>
      <w:spacing w:line="360" w:lineRule="auto"/>
      <w:widowControl/>
    </w:pPr>
    <w:rPr>
      <w:rFonts w:ascii="宋体"/>
      <w:sz w:val="24"/>
    </w:rPr>
  </w:style>
  <w:style w:type="paragraph" w:styleId="1135" w:customStyle="1">
    <w:name w:val="Normal_6_0"/>
    <w:uiPriority w:val="0"/>
    <w:qFormat/>
    <w:rPr>
      <w:rFonts w:ascii="黑体" w:hAnsi="黑体" w:eastAsia="黑体" w:cs="Times New Roman"/>
      <w:b/>
      <w:sz w:val="32"/>
      <w:szCs w:val="24"/>
      <w:lang w:val="en-US" w:eastAsia="zh-CN" w:bidi="ar-SA"/>
    </w:rPr>
  </w:style>
  <w:style w:type="paragraph" w:styleId="1136" w:customStyle="1">
    <w:name w:val="正文文本缩进1"/>
    <w:basedOn w:val="1137"/>
    <w:uiPriority w:val="99"/>
    <w:qFormat/>
    <w:pPr>
      <w:ind w:left="420"/>
      <w:spacing w:after="120"/>
    </w:pPr>
    <w:rPr>
      <w:rFonts w:ascii="Calibri" w:hAnsi="Calibri" w:cs="Calibri"/>
    </w:rPr>
  </w:style>
  <w:style w:type="paragraph" w:styleId="1137" w:customStyle="1">
    <w:name w:val="正文11"/>
    <w:uiPriority w:val="99"/>
    <w:qFormat/>
    <w:pPr>
      <w:widowControl w:val="off"/>
    </w:pPr>
    <w:rPr>
      <w:rFonts w:ascii="Times New Roman" w:hAnsi="Times New Roman" w:eastAsia="宋体" w:cs="Times New Roman"/>
      <w:sz w:val="21"/>
      <w:szCs w:val="21"/>
      <w:lang w:val="en-US" w:eastAsia="zh-CN" w:bidi="ar-SA"/>
    </w:rPr>
  </w:style>
  <w:style w:type="paragraph" w:styleId="1138" w:customStyle="1">
    <w:name w:val="Char Char Char"/>
    <w:basedOn w:val="781"/>
    <w:uiPriority w:val="0"/>
    <w:qFormat/>
    <w:rPr>
      <w:rFonts w:ascii="Calibri" w:hAnsi="Calibri"/>
      <w:szCs w:val="21"/>
    </w:rPr>
  </w:style>
  <w:style w:type="paragraph" w:styleId="1139" w:customStyle="1">
    <w:name w:val="标题二、"/>
    <w:basedOn w:val="781"/>
    <w:uiPriority w:val="99"/>
    <w:qFormat/>
    <w:pPr>
      <w:ind w:firstLine="200"/>
      <w:spacing w:line="360" w:lineRule="auto"/>
      <w:outlineLvl w:val="2"/>
    </w:pPr>
    <w:rPr>
      <w:rFonts w:ascii="宋体" w:hAnsi="宋体"/>
      <w:b/>
      <w:szCs w:val="21"/>
    </w:rPr>
  </w:style>
  <w:style w:type="paragraph" w:styleId="1140" w:customStyle="1">
    <w:name w:val="无标题正文 Char Char Char Char Char Char Char Char Char Char Char Char Char Char Char Char Char Char Char Char Char Char Char Char Char Char Char1 Char"/>
    <w:basedOn w:val="781"/>
    <w:uiPriority w:val="0"/>
    <w:qFormat/>
    <w:pPr>
      <w:jc w:val="center"/>
      <w:spacing w:after="160" w:line="240" w:lineRule="exact"/>
      <w:widowControl/>
    </w:pPr>
    <w:rPr>
      <w:rFonts w:ascii="Arial" w:hAnsi="Arial"/>
      <w:sz w:val="20"/>
      <w:szCs w:val="20"/>
      <w:lang w:eastAsia="en-US"/>
    </w:rPr>
  </w:style>
  <w:style w:type="paragraph" w:styleId="1141" w:customStyle="1">
    <w:name w:val="xl29"/>
    <w:basedOn w:val="7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2" w:customStyle="1">
    <w:name w:val="Normal_9_0"/>
    <w:uiPriority w:val="0"/>
    <w:qFormat/>
    <w:rPr>
      <w:rFonts w:ascii="Times New Roman" w:hAnsi="Times New Roman" w:eastAsia="Times New Roman" w:cs="Times New Roman"/>
      <w:sz w:val="24"/>
      <w:szCs w:val="24"/>
      <w:lang w:val="en-US" w:eastAsia="zh-CN" w:bidi="ar-SA"/>
    </w:rPr>
  </w:style>
  <w:style w:type="paragraph" w:styleId="1143" w:customStyle="1">
    <w:name w:val="正文_15"/>
    <w:uiPriority w:val="0"/>
    <w:qFormat/>
    <w:pPr>
      <w:jc w:val="both"/>
      <w:widowControl w:val="off"/>
    </w:pPr>
    <w:rPr>
      <w:rFonts w:ascii="Times New Roman" w:hAnsi="Times New Roman" w:eastAsia="宋体" w:cs="Times New Roman"/>
      <w:sz w:val="21"/>
      <w:szCs w:val="22"/>
      <w:lang w:val="en-US" w:eastAsia="zh-CN" w:bidi="ar-SA"/>
    </w:rPr>
  </w:style>
  <w:style w:type="paragraph" w:styleId="1144" w:customStyle="1">
    <w:name w:val="pa-6"/>
    <w:basedOn w:val="781"/>
    <w:uiPriority w:val="0"/>
    <w:qFormat/>
    <w:pPr>
      <w:spacing w:line="360" w:lineRule="atLeast"/>
      <w:widowControl/>
    </w:pPr>
    <w:rPr>
      <w:rFonts w:ascii="宋体"/>
      <w:sz w:val="24"/>
      <w:szCs w:val="20"/>
    </w:rPr>
  </w:style>
  <w:style w:type="paragraph" w:styleId="1145" w:customStyle="1">
    <w:name w:val="正文_20"/>
    <w:uiPriority w:val="0"/>
    <w:qFormat/>
    <w:pPr>
      <w:jc w:val="both"/>
      <w:widowControl w:val="off"/>
    </w:pPr>
    <w:rPr>
      <w:rFonts w:ascii="Times New Roman" w:hAnsi="Times New Roman" w:eastAsia="宋体" w:cs="Times New Roman"/>
      <w:sz w:val="21"/>
      <w:szCs w:val="22"/>
      <w:lang w:val="en-US" w:eastAsia="zh-CN" w:bidi="ar-SA"/>
    </w:rPr>
  </w:style>
  <w:style w:type="paragraph" w:styleId="1146" w:customStyle="1">
    <w:name w:val="正文_4_0_0"/>
    <w:uiPriority w:val="0"/>
    <w:qFormat/>
    <w:pPr>
      <w:jc w:val="both"/>
      <w:widowControl w:val="off"/>
    </w:pPr>
    <w:rPr>
      <w:rFonts w:ascii="Times New Roman" w:hAnsi="Times New Roman" w:eastAsia="宋体" w:cs="Times New Roman"/>
      <w:sz w:val="21"/>
      <w:lang w:val="en-US" w:eastAsia="zh-CN" w:bidi="ar-SA"/>
    </w:rPr>
  </w:style>
  <w:style w:type="paragraph" w:styleId="1147" w:customStyle="1">
    <w:name w:val="正文_13_0"/>
    <w:uiPriority w:val="0"/>
    <w:qFormat/>
    <w:pPr>
      <w:jc w:val="both"/>
      <w:widowControl w:val="off"/>
    </w:pPr>
    <w:rPr>
      <w:rFonts w:ascii="Times New Roman" w:hAnsi="Times New Roman" w:eastAsia="宋体" w:cs="Times New Roman"/>
      <w:sz w:val="21"/>
      <w:szCs w:val="22"/>
      <w:lang w:val="en-US" w:eastAsia="zh-CN" w:bidi="ar-SA"/>
    </w:rPr>
  </w:style>
  <w:style w:type="paragraph" w:styleId="1148"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1149" w:customStyle="1">
    <w:name w:val="前言、引言标题"/>
    <w:next w:val="781"/>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50" w:customStyle="1">
    <w:name w:val="Char Char Char Char Char Char Char Char Char Char"/>
    <w:basedOn w:val="781"/>
    <w:uiPriority w:val="0"/>
    <w:qFormat/>
    <w:rPr>
      <w:rFonts w:ascii="Tahoma" w:hAnsi="Tahoma"/>
      <w:sz w:val="24"/>
      <w:szCs w:val="20"/>
    </w:rPr>
  </w:style>
  <w:style w:type="paragraph" w:styleId="1151" w:customStyle="1">
    <w:name w:val="篇名"/>
    <w:next w:val="984"/>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52" w:customStyle="1">
    <w:name w:val="正文_6_0_0"/>
    <w:uiPriority w:val="0"/>
    <w:qFormat/>
    <w:pPr>
      <w:jc w:val="both"/>
      <w:widowControl w:val="off"/>
    </w:pPr>
    <w:rPr>
      <w:rFonts w:ascii="Times New Roman" w:hAnsi="Times New Roman" w:eastAsia="宋体" w:cs="Times New Roman"/>
      <w:sz w:val="21"/>
      <w:szCs w:val="22"/>
      <w:lang w:val="en-US" w:eastAsia="zh-CN" w:bidi="ar-SA"/>
    </w:rPr>
  </w:style>
  <w:style w:type="paragraph" w:styleId="1153" w:customStyle="1">
    <w:name w:val="正文_3_0"/>
    <w:uiPriority w:val="0"/>
    <w:qFormat/>
    <w:pPr>
      <w:jc w:val="both"/>
      <w:widowControl w:val="off"/>
    </w:pPr>
    <w:rPr>
      <w:rFonts w:ascii="Times New Roman" w:hAnsi="Times New Roman" w:eastAsia="宋体" w:cs="Times New Roman"/>
      <w:sz w:val="21"/>
      <w:szCs w:val="22"/>
      <w:lang w:val="en-US" w:eastAsia="zh-CN" w:bidi="ar-SA"/>
    </w:rPr>
  </w:style>
  <w:style w:type="paragraph" w:styleId="1154" w:customStyle="1">
    <w:name w:val="正文_9_0_0"/>
    <w:uiPriority w:val="0"/>
    <w:qFormat/>
    <w:pPr>
      <w:jc w:val="both"/>
      <w:widowControl w:val="off"/>
    </w:pPr>
    <w:rPr>
      <w:rFonts w:ascii="Times New Roman" w:hAnsi="Times New Roman" w:eastAsia="宋体" w:cs="Times New Roman"/>
      <w:sz w:val="21"/>
      <w:szCs w:val="22"/>
      <w:lang w:val="en-US" w:eastAsia="zh-CN" w:bidi="ar-SA"/>
    </w:rPr>
  </w:style>
  <w:style w:type="paragraph" w:styleId="1155" w:customStyle="1">
    <w:name w:val="WPSOffice手动目录 1"/>
    <w:uiPriority w:val="0"/>
    <w:qFormat/>
    <w:rPr>
      <w:rFonts w:ascii="Times New Roman" w:hAnsi="Times New Roman" w:eastAsia="宋体" w:cs="Times New Roman"/>
      <w:lang w:val="en-US" w:eastAsia="zh-CN" w:bidi="ar-SA"/>
    </w:rPr>
  </w:style>
  <w:style w:type="paragraph" w:styleId="1156"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157" w:customStyle="1">
    <w:name w:val="参考资料清单+倾斜+蓝色"/>
    <w:basedOn w:val="781"/>
    <w:uiPriority w:val="0"/>
    <w:qFormat/>
    <w:pPr>
      <w:spacing w:line="360" w:lineRule="auto"/>
    </w:pPr>
    <w:rPr>
      <w:rFonts w:ascii="Arial" w:hAnsi="Arial"/>
      <w:i/>
      <w:iCs/>
      <w:color w:val="0000ff"/>
      <w:szCs w:val="21"/>
    </w:rPr>
  </w:style>
  <w:style w:type="paragraph" w:styleId="1158" w:customStyle="1">
    <w:name w:val="Normal_8"/>
    <w:uiPriority w:val="0"/>
    <w:qFormat/>
    <w:rPr>
      <w:rFonts w:ascii="Times New Roman" w:hAnsi="Times New Roman" w:eastAsia="Times New Roman" w:cs="Times New Roman"/>
      <w:sz w:val="24"/>
      <w:szCs w:val="24"/>
      <w:lang w:val="en-US" w:eastAsia="zh-CN" w:bidi="ar-SA"/>
    </w:rPr>
  </w:style>
  <w:style w:type="paragraph" w:styleId="1159" w:customStyle="1">
    <w:name w:val="缩进正文"/>
    <w:basedOn w:val="781"/>
    <w:uiPriority w:val="0"/>
    <w:qFormat/>
    <w:pPr>
      <w:ind w:left="1418" w:firstLine="425"/>
      <w:jc w:val="left"/>
      <w:spacing w:after="200" w:line="400" w:lineRule="exact"/>
      <w:widowControl/>
    </w:pPr>
    <w:rPr>
      <w:rFonts w:ascii="宋体"/>
      <w:sz w:val="24"/>
      <w:szCs w:val="20"/>
    </w:rPr>
  </w:style>
  <w:style w:type="paragraph" w:styleId="1160" w:customStyle="1">
    <w:name w:val="Normal_2"/>
    <w:uiPriority w:val="0"/>
    <w:qFormat/>
    <w:rPr>
      <w:rFonts w:ascii="黑体" w:hAnsi="黑体" w:eastAsia="黑体" w:cs="Times New Roman"/>
      <w:b/>
      <w:sz w:val="32"/>
      <w:szCs w:val="24"/>
      <w:lang w:val="en-US" w:eastAsia="zh-CN" w:bidi="ar-SA"/>
    </w:rPr>
  </w:style>
  <w:style w:type="paragraph" w:styleId="1161" w:customStyle="1">
    <w:name w:val="Normal_1_2"/>
    <w:uiPriority w:val="0"/>
    <w:qFormat/>
    <w:rPr>
      <w:rFonts w:ascii="Times New Roman" w:hAnsi="Times New Roman" w:eastAsia="Times New Roman" w:cs="Times New Roman"/>
      <w:sz w:val="24"/>
      <w:szCs w:val="24"/>
      <w:lang w:val="en-US" w:eastAsia="zh-CN" w:bidi="ar-SA"/>
    </w:rPr>
  </w:style>
  <w:style w:type="paragraph" w:styleId="1162" w:customStyle="1">
    <w:name w:val="默认段落字体 Para Char Char Char Char Char Char Char Char Char1"/>
    <w:basedOn w:val="781"/>
    <w:uiPriority w:val="0"/>
    <w:qFormat/>
    <w:rPr>
      <w:rFonts w:ascii="Tahoma" w:hAnsi="Tahoma"/>
      <w:sz w:val="24"/>
      <w:szCs w:val="20"/>
    </w:rPr>
  </w:style>
  <w:style w:type="paragraph" w:styleId="1163" w:customStyle="1">
    <w:name w:val="样式 序号----------- + 仿宋_GB2312"/>
    <w:basedOn w:val="1164"/>
    <w:uiPriority w:val="0"/>
    <w:qFormat/>
    <w:pPr>
      <w:ind w:firstLine="200"/>
      <w:spacing w:line="360" w:lineRule="auto"/>
    </w:pPr>
    <w:rPr>
      <w:rFonts w:ascii="仿宋_GB2312" w:eastAsia="仿宋_GB2312"/>
      <w:bCs w:val="0"/>
    </w:rPr>
  </w:style>
  <w:style w:type="paragraph" w:styleId="1164" w:customStyle="1">
    <w:name w:val="序号-----------"/>
    <w:basedOn w:val="781"/>
    <w:uiPriority w:val="0"/>
    <w:qFormat/>
    <w:pPr>
      <w:jc w:val="left"/>
      <w:widowControl/>
    </w:pPr>
    <w:rPr>
      <w:rFonts w:ascii="宋体"/>
      <w:bCs/>
      <w:szCs w:val="21"/>
    </w:rPr>
  </w:style>
  <w:style w:type="paragraph" w:styleId="1165" w:customStyle="1">
    <w:name w:val="pa-8"/>
    <w:basedOn w:val="781"/>
    <w:uiPriority w:val="0"/>
    <w:qFormat/>
    <w:pPr>
      <w:ind w:firstLine="480"/>
      <w:spacing w:line="280" w:lineRule="atLeast"/>
      <w:widowControl/>
    </w:pPr>
    <w:rPr>
      <w:rFonts w:ascii="宋体" w:cs="宋体"/>
      <w:sz w:val="24"/>
    </w:rPr>
  </w:style>
  <w:style w:type="paragraph" w:styleId="1166" w:customStyle="1">
    <w:name w:val="Indent Normal"/>
    <w:basedOn w:val="781"/>
    <w:uiPriority w:val="0"/>
    <w:qFormat/>
    <w:pPr>
      <w:ind w:firstLine="150"/>
    </w:pPr>
    <w:rPr>
      <w:sz w:val="24"/>
      <w:szCs w:val="20"/>
    </w:rPr>
  </w:style>
  <w:style w:type="paragraph" w:styleId="1167" w:customStyle="1">
    <w:name w:val="Normal_3"/>
    <w:uiPriority w:val="0"/>
    <w:qFormat/>
    <w:rPr>
      <w:rFonts w:ascii="黑体" w:hAnsi="黑体" w:eastAsia="黑体" w:cs="Times New Roman"/>
      <w:b/>
      <w:sz w:val="32"/>
      <w:szCs w:val="24"/>
      <w:lang w:val="en-US" w:eastAsia="zh-CN" w:bidi="ar-SA"/>
    </w:rPr>
  </w:style>
  <w:style w:type="paragraph" w:styleId="1168" w:customStyle="1">
    <w:name w:val="寄信人地址1"/>
    <w:basedOn w:val="1137"/>
    <w:uiPriority w:val="99"/>
    <w:qFormat/>
    <w:rPr>
      <w:rFonts w:ascii="Arial" w:hAnsi="Arial" w:cs="Arial"/>
    </w:rPr>
  </w:style>
  <w:style w:type="paragraph" w:styleId="1169" w:customStyle="1">
    <w:name w:val="标题2"/>
    <w:basedOn w:val="781"/>
    <w:uiPriority w:val="0"/>
    <w:qFormat/>
    <w:pPr>
      <w:tabs>
        <w:tab w:val="left" w:pos="0" w:leader="none"/>
      </w:tabs>
    </w:pPr>
    <w:rPr>
      <w:rFonts w:ascii="黑体" w:eastAsia="黑体"/>
      <w:sz w:val="24"/>
    </w:rPr>
  </w:style>
  <w:style w:type="paragraph" w:styleId="1170" w:customStyle="1">
    <w:name w:val="Normal_10"/>
    <w:uiPriority w:val="0"/>
    <w:qFormat/>
    <w:rPr>
      <w:rFonts w:ascii="黑体" w:hAnsi="黑体" w:eastAsia="黑体" w:cs="Times New Roman"/>
      <w:b/>
      <w:sz w:val="32"/>
      <w:szCs w:val="24"/>
      <w:lang w:val="en-US" w:eastAsia="zh-CN" w:bidi="ar-SA"/>
    </w:rPr>
  </w:style>
  <w:style w:type="paragraph" w:styleId="1171" w:customStyle="1">
    <w:name w:val="样式3"/>
    <w:basedOn w:val="986"/>
    <w:uiPriority w:val="0"/>
    <w:qFormat/>
    <w:pPr>
      <w:spacing w:line="415" w:lineRule="auto"/>
    </w:pPr>
    <w:rPr>
      <w:rFonts w:ascii="Calibri" w:hAnsi="Calibri"/>
      <w:bCs/>
      <w:color w:val="000000"/>
      <w:sz w:val="28"/>
      <w:szCs w:val="28"/>
    </w:rPr>
  </w:style>
  <w:style w:type="paragraph" w:styleId="1172" w:customStyle="1">
    <w:name w:val="样式6"/>
    <w:basedOn w:val="824"/>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173" w:customStyle="1">
    <w:name w:val="Char1 Char Char Char"/>
    <w:basedOn w:val="781"/>
    <w:uiPriority w:val="0"/>
    <w:qFormat/>
    <w:rPr>
      <w:szCs w:val="20"/>
    </w:rPr>
  </w:style>
  <w:style w:type="paragraph" w:styleId="1174" w:customStyle="1">
    <w:name w:val="纯文本2"/>
    <w:basedOn w:val="781"/>
    <w:uiPriority w:val="0"/>
    <w:qFormat/>
    <w:rPr>
      <w:rFonts w:ascii="宋体" w:hAnsi="Courier New" w:eastAsia="楷体_GB2312"/>
      <w:sz w:val="26"/>
      <w:szCs w:val="20"/>
    </w:rPr>
  </w:style>
  <w:style w:type="paragraph" w:styleId="1175" w:customStyle="1">
    <w:name w:val="Normal_4_0"/>
    <w:uiPriority w:val="0"/>
    <w:qFormat/>
    <w:rPr>
      <w:rFonts w:ascii="黑体" w:hAnsi="黑体" w:eastAsia="黑体" w:cs="Times New Roman"/>
      <w:b/>
      <w:sz w:val="32"/>
      <w:szCs w:val="24"/>
      <w:lang w:val="en-US" w:eastAsia="zh-CN" w:bidi="ar-SA"/>
    </w:rPr>
  </w:style>
  <w:style w:type="paragraph" w:styleId="1176" w:customStyle="1">
    <w:name w:val="三级条标题"/>
    <w:basedOn w:val="1177"/>
    <w:next w:val="1179"/>
    <w:uiPriority w:val="0"/>
    <w:qFormat/>
    <w:pPr>
      <w:ind w:left="1050"/>
      <w:outlineLvl w:val="4"/>
    </w:pPr>
  </w:style>
  <w:style w:type="paragraph" w:styleId="1177" w:customStyle="1">
    <w:name w:val="二级条标题"/>
    <w:basedOn w:val="1178"/>
    <w:next w:val="1179"/>
    <w:uiPriority w:val="0"/>
    <w:qFormat/>
    <w:pPr>
      <w:ind w:left="360"/>
      <w:outlineLvl w:val="3"/>
    </w:pPr>
  </w:style>
  <w:style w:type="paragraph" w:styleId="1178" w:customStyle="1">
    <w:name w:val="一级条标题"/>
    <w:next w:val="1179"/>
    <w:uiPriority w:val="0"/>
    <w:qFormat/>
    <w:pPr>
      <w:outlineLvl w:val="2"/>
    </w:pPr>
    <w:rPr>
      <w:rFonts w:ascii="Times New Roman" w:hAnsi="Times New Roman" w:eastAsia="黑体" w:cs="Times New Roman"/>
      <w:sz w:val="21"/>
      <w:lang w:val="en-US" w:eastAsia="zh-CN" w:bidi="ar-SA"/>
    </w:rPr>
  </w:style>
  <w:style w:type="paragraph" w:styleId="1179" w:customStyle="1">
    <w:name w:val="段"/>
    <w:uiPriority w:val="0"/>
    <w:qFormat/>
    <w:pPr>
      <w:ind w:firstLine="200"/>
      <w:jc w:val="both"/>
    </w:pPr>
    <w:rPr>
      <w:rFonts w:ascii="宋体" w:hAnsi="Times New Roman" w:eastAsia="宋体" w:cs="Times New Roman"/>
      <w:sz w:val="21"/>
      <w:lang w:val="en-US" w:eastAsia="zh-CN" w:bidi="ar-SA"/>
    </w:rPr>
  </w:style>
  <w:style w:type="paragraph" w:styleId="1180" w:customStyle="1">
    <w:name w:val="Normal_5_0"/>
    <w:uiPriority w:val="0"/>
    <w:qFormat/>
    <w:rPr>
      <w:rFonts w:ascii="黑体" w:hAnsi="黑体" w:eastAsia="黑体" w:cs="Times New Roman"/>
      <w:b/>
      <w:sz w:val="32"/>
      <w:szCs w:val="24"/>
      <w:lang w:val="en-US" w:eastAsia="zh-CN" w:bidi="ar-SA"/>
    </w:rPr>
  </w:style>
  <w:style w:type="paragraph" w:styleId="1181" w:customStyle="1">
    <w:name w:val="Normal_14_0"/>
    <w:uiPriority w:val="0"/>
    <w:qFormat/>
    <w:rPr>
      <w:rFonts w:ascii="黑体" w:hAnsi="黑体" w:eastAsia="黑体" w:cs="Times New Roman"/>
      <w:b/>
      <w:sz w:val="32"/>
      <w:szCs w:val="24"/>
      <w:lang w:val="en-US" w:eastAsia="zh-CN" w:bidi="ar-SA"/>
    </w:rPr>
  </w:style>
  <w:style w:type="paragraph" w:styleId="1182" w:customStyle="1">
    <w:name w:val="技术方案2"/>
    <w:basedOn w:val="781"/>
    <w:uiPriority w:val="0"/>
    <w:qFormat/>
    <w:pPr>
      <w:spacing w:line="480" w:lineRule="auto"/>
    </w:pPr>
    <w:rPr>
      <w:rFonts w:ascii="宋体"/>
      <w:b/>
      <w:bCs/>
      <w:sz w:val="36"/>
    </w:rPr>
  </w:style>
  <w:style w:type="paragraph" w:styleId="1183"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paragraph" w:styleId="1184" w:customStyle="1">
    <w:name w:val="Normal_0_0"/>
    <w:uiPriority w:val="0"/>
    <w:qFormat/>
    <w:rPr>
      <w:rFonts w:ascii="黑体" w:hAnsi="黑体" w:eastAsia="黑体" w:cs="Times New Roman"/>
      <w:b/>
      <w:sz w:val="40"/>
      <w:szCs w:val="24"/>
      <w:lang w:val="en-US" w:eastAsia="zh-CN" w:bidi="ar-SA"/>
    </w:rPr>
  </w:style>
  <w:style w:type="paragraph" w:styleId="1185" w:customStyle="1">
    <w:name w:val="表格标题"/>
    <w:basedOn w:val="781"/>
    <w:uiPriority w:val="0"/>
    <w:qFormat/>
    <w:pPr>
      <w:jc w:val="center"/>
    </w:pPr>
    <w:rPr>
      <w:b/>
    </w:rPr>
  </w:style>
  <w:style w:type="paragraph" w:styleId="1186" w:customStyle="1">
    <w:name w:val="表中文字"/>
    <w:basedOn w:val="781"/>
    <w:uiPriority w:val="0"/>
    <w:qFormat/>
    <w:pPr>
      <w:widowControl/>
    </w:pPr>
    <w:rPr>
      <w:rFonts w:ascii="Calibri" w:hAnsi="Calibri"/>
      <w:szCs w:val="20"/>
    </w:rPr>
  </w:style>
  <w:style w:type="paragraph" w:styleId="1187" w:customStyle="1">
    <w:name w:val="Char"/>
    <w:basedOn w:val="781"/>
    <w:uiPriority w:val="0"/>
    <w:qFormat/>
    <w:pPr>
      <w:jc w:val="left"/>
      <w:spacing w:after="160" w:line="240" w:lineRule="exact"/>
      <w:widowControl/>
    </w:pPr>
    <w:rPr>
      <w:rFonts w:ascii="Verdana" w:hAnsi="Verdana"/>
      <w:sz w:val="20"/>
      <w:szCs w:val="20"/>
      <w:lang w:eastAsia="en-US"/>
    </w:rPr>
  </w:style>
  <w:style w:type="paragraph" w:styleId="1188" w:customStyle="1">
    <w:name w:val="pbody"/>
    <w:basedOn w:val="781"/>
    <w:uiPriority w:val="0"/>
    <w:qFormat/>
    <w:pPr>
      <w:jc w:val="left"/>
      <w:spacing w:before="100" w:beforeAutospacing="1" w:after="100" w:afterAutospacing="1" w:line="360" w:lineRule="auto"/>
      <w:widowControl/>
    </w:pPr>
    <w:rPr>
      <w:rFonts w:ascii="宋体" w:cs="宋体"/>
      <w:sz w:val="24"/>
    </w:rPr>
  </w:style>
  <w:style w:type="paragraph" w:styleId="1189"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190" w:customStyle="1">
    <w:name w:val="Normal_9"/>
    <w:uiPriority w:val="0"/>
    <w:qFormat/>
    <w:rPr>
      <w:rFonts w:ascii="黑体" w:hAnsi="黑体" w:eastAsia="黑体" w:cs="Times New Roman"/>
      <w:b/>
      <w:sz w:val="32"/>
      <w:szCs w:val="24"/>
      <w:lang w:val="en-US" w:eastAsia="zh-CN" w:bidi="ar-SA"/>
    </w:rPr>
  </w:style>
  <w:style w:type="paragraph" w:styleId="1191" w:customStyle="1">
    <w:name w:val="表格正文"/>
    <w:basedOn w:val="781"/>
    <w:uiPriority w:val="0"/>
    <w:qFormat/>
    <w:pPr>
      <w:spacing w:line="300" w:lineRule="auto"/>
      <w:tabs>
        <w:tab w:val="left" w:pos="420" w:leader="none"/>
      </w:tabs>
    </w:pPr>
  </w:style>
  <w:style w:type="paragraph" w:styleId="1192" w:customStyle="1">
    <w:name w:val="目录 1_0"/>
    <w:basedOn w:val="1078"/>
    <w:next w:val="1078"/>
    <w:uiPriority w:val="0"/>
    <w:qFormat/>
    <w:pPr>
      <w:jc w:val="left"/>
    </w:pPr>
    <w:rPr>
      <w:rFonts w:hint="eastAsia" w:ascii="宋体" w:hAnsi="宋体"/>
      <w:b/>
      <w:sz w:val="24"/>
    </w:rPr>
  </w:style>
  <w:style w:type="paragraph" w:styleId="1193" w:customStyle="1">
    <w:name w:val="正文_1_1"/>
    <w:uiPriority w:val="0"/>
    <w:qFormat/>
    <w:pPr>
      <w:jc w:val="both"/>
      <w:widowControl w:val="off"/>
    </w:pPr>
    <w:rPr>
      <w:rFonts w:ascii="Times New Roman" w:hAnsi="Times New Roman" w:eastAsia="宋体" w:cs="Times New Roman"/>
      <w:sz w:val="21"/>
      <w:szCs w:val="22"/>
      <w:lang w:val="en-US" w:eastAsia="zh-CN" w:bidi="ar-SA"/>
    </w:rPr>
  </w:style>
  <w:style w:type="paragraph" w:styleId="1194"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195" w:customStyle="1">
    <w:name w:val="Char Char Char Char Char Char Char"/>
    <w:basedOn w:val="781"/>
    <w:uiPriority w:val="0"/>
    <w:qFormat/>
    <w:pPr>
      <w:jc w:val="left"/>
      <w:spacing w:after="160" w:line="240" w:lineRule="exact"/>
      <w:widowControl/>
    </w:pPr>
    <w:rPr>
      <w:rFonts w:ascii="Verdana" w:hAnsi="Verdana"/>
      <w:sz w:val="20"/>
      <w:szCs w:val="20"/>
      <w:lang w:eastAsia="en-US"/>
    </w:rPr>
  </w:style>
  <w:style w:type="paragraph" w:styleId="1196"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197" w:customStyle="1">
    <w:name w:val="标书2"/>
    <w:next w:val="1198"/>
    <w:uiPriority w:val="0"/>
    <w:qFormat/>
    <w:rPr>
      <w:rFonts w:ascii="Times New Roman" w:hAnsi="Times New Roman" w:eastAsia="黑体" w:cs="宋体"/>
      <w:b/>
      <w:sz w:val="44"/>
      <w:lang w:val="en-US" w:eastAsia="zh-CN" w:bidi="ar-SA"/>
    </w:rPr>
  </w:style>
  <w:style w:type="paragraph" w:styleId="1198"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paragraph" w:styleId="1199" w:customStyle="1">
    <w:name w:val="xl38"/>
    <w:basedOn w:val="78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200" w:customStyle="1">
    <w:name w:val="p0"/>
    <w:basedOn w:val="781"/>
    <w:uiPriority w:val="0"/>
    <w:qFormat/>
    <w:pPr>
      <w:widowControl/>
    </w:pPr>
    <w:rPr>
      <w:szCs w:val="21"/>
    </w:rPr>
  </w:style>
  <w:style w:type="paragraph" w:styleId="1201" w:customStyle="1">
    <w:name w:val="ibm-list-next"/>
    <w:basedOn w:val="781"/>
    <w:uiPriority w:val="0"/>
    <w:qFormat/>
    <w:pPr>
      <w:jc w:val="left"/>
      <w:spacing w:before="100" w:beforeAutospacing="1" w:after="100" w:afterAutospacing="1"/>
      <w:widowControl/>
    </w:pPr>
    <w:rPr>
      <w:rFonts w:ascii="宋体" w:cs="宋体"/>
      <w:sz w:val="24"/>
    </w:rPr>
  </w:style>
  <w:style w:type="paragraph" w:styleId="1202" w:customStyle="1">
    <w:name w:val="WPSOffice手动目录 2"/>
    <w:uiPriority w:val="0"/>
    <w:qFormat/>
    <w:rPr>
      <w:rFonts w:ascii="Times New Roman" w:hAnsi="Times New Roman" w:eastAsia="宋体" w:cs="Times New Roman"/>
      <w:lang w:val="en-US" w:eastAsia="zh-CN" w:bidi="ar-SA"/>
    </w:rPr>
  </w:style>
  <w:style w:type="paragraph" w:styleId="1203" w:customStyle="1">
    <w:name w:val="正文文字缩进 3"/>
    <w:basedOn w:val="781"/>
    <w:uiPriority w:val="0"/>
    <w:qFormat/>
    <w:pPr>
      <w:ind w:left="420" w:firstLine="420"/>
      <w:spacing w:line="312" w:lineRule="auto"/>
    </w:pPr>
    <w:rPr>
      <w:rFonts w:ascii="黑体" w:hAnsi="黑体" w:cs="宋体"/>
      <w:bCs/>
      <w:color w:val="000000"/>
      <w:sz w:val="24"/>
    </w:rPr>
  </w:style>
  <w:style w:type="paragraph" w:styleId="1204" w:customStyle="1">
    <w:name w:val="pa-9"/>
    <w:basedOn w:val="781"/>
    <w:uiPriority w:val="0"/>
    <w:qFormat/>
    <w:pPr>
      <w:jc w:val="center"/>
      <w:spacing w:line="360" w:lineRule="atLeast"/>
      <w:widowControl/>
    </w:pPr>
    <w:rPr>
      <w:rFonts w:ascii="宋体" w:cs="宋体"/>
      <w:sz w:val="24"/>
    </w:rPr>
  </w:style>
  <w:style w:type="paragraph" w:styleId="1205" w:customStyle="1">
    <w:name w:val="表格文字"/>
    <w:basedOn w:val="781"/>
    <w:uiPriority w:val="0"/>
    <w:qFormat/>
    <w:pPr>
      <w:jc w:val="left"/>
    </w:pPr>
    <w:rPr>
      <w:sz w:val="18"/>
    </w:rPr>
  </w:style>
  <w:style w:type="paragraph" w:styleId="1206" w:customStyle="1">
    <w:name w:val="Figure and Table Title"/>
    <w:basedOn w:val="781"/>
    <w:uiPriority w:val="0"/>
    <w:qFormat/>
    <w:pPr>
      <w:ind w:left="2160"/>
      <w:jc w:val="left"/>
      <w:widowControl/>
    </w:pPr>
    <w:rPr>
      <w:rFonts w:ascii="Helvetica-Light" w:hAnsi="Helvetica-Light"/>
      <w:b/>
      <w:bCs/>
      <w:sz w:val="20"/>
      <w:lang w:eastAsia="en-US"/>
    </w:rPr>
  </w:style>
  <w:style w:type="paragraph" w:styleId="1207"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208" w:customStyle="1">
    <w:name w:val="正文_1_1_0"/>
    <w:uiPriority w:val="0"/>
    <w:qFormat/>
    <w:pPr>
      <w:jc w:val="both"/>
      <w:widowControl w:val="off"/>
    </w:pPr>
    <w:rPr>
      <w:rFonts w:ascii="Times New Roman" w:hAnsi="Times New Roman" w:eastAsia="宋体" w:cs="Times New Roman"/>
      <w:sz w:val="21"/>
      <w:szCs w:val="22"/>
      <w:lang w:val="en-US" w:eastAsia="zh-CN" w:bidi="ar-SA"/>
    </w:rPr>
  </w:style>
  <w:style w:type="paragraph" w:styleId="1209" w:customStyle="1">
    <w:name w:val="首页小标题"/>
    <w:next w:val="1210"/>
    <w:uiPriority w:val="0"/>
    <w:qFormat/>
    <w:pPr>
      <w:jc w:val="center"/>
    </w:pPr>
    <w:rPr>
      <w:rFonts w:ascii="Times New Roman" w:hAnsi="Times New Roman" w:eastAsia="宋体" w:cs="宋体"/>
      <w:sz w:val="44"/>
      <w:lang w:val="en-US" w:eastAsia="zh-CN" w:bidi="ar-SA"/>
    </w:rPr>
  </w:style>
  <w:style w:type="paragraph" w:styleId="1210" w:customStyle="1">
    <w:name w:val="首页空格"/>
    <w:uiPriority w:val="0"/>
    <w:qFormat/>
    <w:pPr>
      <w:jc w:val="center"/>
    </w:pPr>
    <w:rPr>
      <w:rFonts w:ascii="Times New Roman" w:hAnsi="Times New Roman" w:eastAsia="宋体" w:cs="宋体"/>
      <w:sz w:val="72"/>
      <w:lang w:val="en-US" w:eastAsia="zh-CN" w:bidi="ar-SA"/>
    </w:rPr>
  </w:style>
  <w:style w:type="paragraph" w:styleId="1211" w:customStyle="1">
    <w:name w:val="纯文本1"/>
    <w:basedOn w:val="781"/>
    <w:uiPriority w:val="0"/>
    <w:qFormat/>
    <w:rPr>
      <w:rFonts w:ascii="宋体" w:hAnsi="Courier New" w:eastAsia="楷体_GB2312"/>
      <w:sz w:val="26"/>
      <w:szCs w:val="20"/>
    </w:rPr>
  </w:style>
  <w:style w:type="paragraph" w:styleId="1212" w:customStyle="1">
    <w:name w:val="xl41"/>
    <w:basedOn w:val="781"/>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13" w:customStyle="1">
    <w:name w:val="表头"/>
    <w:basedOn w:val="1214"/>
    <w:uiPriority w:val="0"/>
    <w:qFormat/>
    <w:pPr>
      <w:ind w:left="0" w:firstLine="0"/>
      <w:spacing w:line="240" w:lineRule="auto"/>
    </w:pPr>
    <w:rPr>
      <w:sz w:val="20"/>
    </w:rPr>
  </w:style>
  <w:style w:type="paragraph" w:styleId="1214" w:customStyle="1">
    <w:name w:val="正文1"/>
    <w:basedOn w:val="781"/>
    <w:uiPriority w:val="0"/>
    <w:qFormat/>
    <w:pPr>
      <w:ind w:left="357" w:firstLine="420"/>
      <w:jc w:val="left"/>
      <w:spacing w:line="360" w:lineRule="auto"/>
      <w:widowControl/>
    </w:pPr>
    <w:rPr>
      <w:rFonts w:cs="Arial"/>
      <w:szCs w:val="20"/>
    </w:rPr>
  </w:style>
  <w:style w:type="paragraph" w:styleId="1215" w:customStyle="1">
    <w:name w:val="正文_0_0_1"/>
    <w:uiPriority w:val="0"/>
    <w:qFormat/>
    <w:pPr>
      <w:jc w:val="both"/>
      <w:widowControl w:val="off"/>
    </w:pPr>
    <w:rPr>
      <w:rFonts w:ascii="Times New Roman" w:hAnsi="Times New Roman" w:eastAsia="宋体" w:cs="Times New Roman"/>
      <w:sz w:val="21"/>
      <w:szCs w:val="24"/>
      <w:lang w:val="en-US" w:eastAsia="zh-CN" w:bidi="ar-SA"/>
    </w:rPr>
  </w:style>
  <w:style w:type="paragraph" w:styleId="1216" w:customStyle="1">
    <w:name w:val="表格序号"/>
    <w:uiPriority w:val="0"/>
    <w:qFormat/>
    <w:rPr>
      <w:rFonts w:ascii="Times New Roman" w:hAnsi="Times New Roman" w:eastAsia="仿宋_GB2312" w:cs="宋体"/>
      <w:sz w:val="21"/>
      <w:lang w:val="en-US" w:eastAsia="zh-CN" w:bidi="ar-SA"/>
    </w:rPr>
  </w:style>
  <w:style w:type="paragraph" w:styleId="1217" w:customStyle="1">
    <w:name w:val="正文_16"/>
    <w:uiPriority w:val="0"/>
    <w:qFormat/>
    <w:pPr>
      <w:jc w:val="both"/>
      <w:widowControl w:val="off"/>
    </w:pPr>
    <w:rPr>
      <w:rFonts w:ascii="Times New Roman" w:hAnsi="Times New Roman" w:eastAsia="宋体" w:cs="Times New Roman"/>
      <w:sz w:val="21"/>
      <w:szCs w:val="22"/>
      <w:lang w:val="en-US" w:eastAsia="zh-CN" w:bidi="ar-SA"/>
    </w:rPr>
  </w:style>
  <w:style w:type="paragraph" w:styleId="1218" w:customStyle="1">
    <w:name w:val="Normal_15"/>
    <w:uiPriority w:val="0"/>
    <w:qFormat/>
    <w:rPr>
      <w:rFonts w:ascii="黑体" w:hAnsi="黑体" w:eastAsia="黑体" w:cs="Times New Roman"/>
      <w:b/>
      <w:sz w:val="32"/>
      <w:szCs w:val="24"/>
      <w:lang w:val="en-US" w:eastAsia="zh-CN" w:bidi="ar-SA"/>
    </w:rPr>
  </w:style>
  <w:style w:type="paragraph" w:styleId="1219">
    <w:name w:val="List Paragraph"/>
    <w:basedOn w:val="781"/>
    <w:link w:val="1434"/>
    <w:uiPriority w:val="34"/>
    <w:qFormat/>
    <w:pPr>
      <w:ind w:firstLine="200"/>
    </w:pPr>
    <w:rPr>
      <w:rFonts w:ascii="Calibri" w:hAnsi="Calibri"/>
    </w:rPr>
  </w:style>
  <w:style w:type="paragraph" w:styleId="1220" w:customStyle="1">
    <w:name w:val="正文_10_1_0"/>
    <w:uiPriority w:val="0"/>
    <w:qFormat/>
    <w:pPr>
      <w:jc w:val="both"/>
      <w:widowControl w:val="off"/>
    </w:pPr>
    <w:rPr>
      <w:rFonts w:ascii="Times New Roman" w:hAnsi="Times New Roman" w:eastAsia="宋体" w:cs="Times New Roman"/>
      <w:sz w:val="21"/>
      <w:szCs w:val="24"/>
      <w:lang w:val="en-US" w:eastAsia="zh-CN" w:bidi="ar-SA"/>
    </w:rPr>
  </w:style>
  <w:style w:type="paragraph" w:styleId="1221" w:customStyle="1">
    <w:name w:val="正文（首行缩进）"/>
    <w:basedOn w:val="781"/>
    <w:uiPriority w:val="0"/>
    <w:qFormat/>
    <w:pPr>
      <w:ind w:firstLine="482"/>
      <w:spacing w:before="120" w:line="360" w:lineRule="auto"/>
      <w:widowControl/>
    </w:pPr>
    <w:rPr>
      <w:rFonts w:ascii="Calibri" w:hAnsi="Calibri"/>
      <w:sz w:val="24"/>
      <w:szCs w:val="20"/>
    </w:rPr>
  </w:style>
  <w:style w:type="paragraph" w:styleId="1222" w:customStyle="1">
    <w:name w:val="Normal_19"/>
    <w:uiPriority w:val="0"/>
    <w:qFormat/>
    <w:pPr>
      <w:jc w:val="both"/>
      <w:widowControl w:val="off"/>
    </w:pPr>
    <w:rPr>
      <w:rFonts w:ascii="Times New Roman" w:hAnsi="Times New Roman" w:eastAsia="宋体" w:cs="Times New Roman"/>
      <w:sz w:val="21"/>
      <w:szCs w:val="22"/>
      <w:lang w:val="en-US" w:eastAsia="zh-CN" w:bidi="ar-SA"/>
    </w:rPr>
  </w:style>
  <w:style w:type="paragraph" w:styleId="1223" w:customStyle="1">
    <w:name w:val="技术方案3"/>
    <w:basedOn w:val="781"/>
    <w:uiPriority w:val="0"/>
    <w:qFormat/>
    <w:pPr>
      <w:spacing w:line="360" w:lineRule="auto"/>
    </w:pPr>
    <w:rPr>
      <w:rFonts w:ascii="宋体"/>
      <w:b/>
      <w:bCs/>
      <w:sz w:val="32"/>
    </w:rPr>
  </w:style>
  <w:style w:type="paragraph" w:styleId="1224" w:customStyle="1">
    <w:name w:val="默认段落字体 Para Char Char Char Char Char"/>
    <w:basedOn w:val="781"/>
    <w:uiPriority w:val="0"/>
    <w:qFormat/>
    <w:pPr>
      <w:ind w:firstLine="200"/>
      <w:jc w:val="left"/>
      <w:spacing w:before="100" w:beforeAutospacing="1" w:after="100" w:afterAutospacing="1" w:line="360" w:lineRule="auto"/>
    </w:pPr>
    <w:rPr>
      <w:rFonts w:ascii="Arial" w:hAnsi="Arial"/>
      <w:sz w:val="24"/>
      <w:lang w:eastAsia="en-US"/>
    </w:rPr>
  </w:style>
  <w:style w:type="paragraph" w:styleId="1225" w:customStyle="1">
    <w:name w:val="正文_17"/>
    <w:uiPriority w:val="0"/>
    <w:qFormat/>
    <w:pPr>
      <w:jc w:val="both"/>
      <w:widowControl w:val="off"/>
    </w:pPr>
    <w:rPr>
      <w:rFonts w:ascii="Times New Roman" w:hAnsi="Times New Roman" w:eastAsia="宋体" w:cs="Times New Roman"/>
      <w:sz w:val="21"/>
      <w:szCs w:val="22"/>
      <w:lang w:val="en-US" w:eastAsia="zh-CN" w:bidi="ar-SA"/>
    </w:rPr>
  </w:style>
  <w:style w:type="paragraph" w:styleId="1226" w:customStyle="1">
    <w:name w:val="pa-10"/>
    <w:basedOn w:val="781"/>
    <w:uiPriority w:val="0"/>
    <w:qFormat/>
    <w:pPr>
      <w:spacing w:line="240" w:lineRule="atLeast"/>
      <w:widowControl/>
    </w:pPr>
    <w:rPr>
      <w:rFonts w:ascii="宋体" w:cs="宋体"/>
      <w:sz w:val="24"/>
    </w:rPr>
  </w:style>
  <w:style w:type="paragraph" w:styleId="1227" w:customStyle="1">
    <w:name w:val="pa-5"/>
    <w:basedOn w:val="781"/>
    <w:uiPriority w:val="0"/>
    <w:qFormat/>
    <w:pPr>
      <w:spacing w:line="280" w:lineRule="atLeast"/>
      <w:widowControl/>
    </w:pPr>
    <w:rPr>
      <w:rFonts w:ascii="宋体" w:cs="宋体"/>
      <w:sz w:val="24"/>
    </w:rPr>
  </w:style>
  <w:style w:type="paragraph" w:styleId="1228"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229" w:customStyle="1">
    <w:name w:val="新段落缩进"/>
    <w:basedOn w:val="781"/>
    <w:uiPriority w:val="0"/>
    <w:qFormat/>
    <w:pPr>
      <w:ind w:firstLine="200"/>
      <w:spacing w:line="400" w:lineRule="exact"/>
    </w:pPr>
    <w:rPr>
      <w:rFonts w:ascii="仿宋_GB2312" w:eastAsia="仿宋_GB2312"/>
      <w:sz w:val="24"/>
    </w:rPr>
  </w:style>
  <w:style w:type="paragraph" w:styleId="1230"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231" w:customStyle="1">
    <w:name w:val="pa-2"/>
    <w:basedOn w:val="781"/>
    <w:uiPriority w:val="0"/>
    <w:qFormat/>
    <w:pPr>
      <w:spacing w:line="360" w:lineRule="atLeast"/>
      <w:widowControl/>
    </w:pPr>
    <w:rPr>
      <w:rFonts w:ascii="宋体" w:cs="宋体"/>
      <w:sz w:val="24"/>
    </w:rPr>
  </w:style>
  <w:style w:type="paragraph" w:styleId="1232" w:customStyle="1">
    <w:name w:val="列出段落1"/>
    <w:basedOn w:val="781"/>
    <w:uiPriority w:val="99"/>
    <w:qFormat/>
    <w:pPr>
      <w:ind w:firstLine="200"/>
    </w:pPr>
    <w:rPr>
      <w:rFonts w:ascii="Calibri" w:hAnsi="Calibri"/>
    </w:rPr>
  </w:style>
  <w:style w:type="paragraph" w:styleId="1233" w:customStyle="1">
    <w:name w:val="说明书2级标题"/>
    <w:basedOn w:val="781"/>
    <w:next w:val="1234"/>
    <w:uiPriority w:val="0"/>
    <w:qFormat/>
    <w:pPr>
      <w:numPr>
        <w:ilvl w:val="2"/>
        <w:numId w:val="1"/>
      </w:numPr>
      <w:spacing w:before="100"/>
    </w:pPr>
    <w:rPr>
      <w:rFonts w:ascii="Calibri" w:hAnsi="Calibri" w:eastAsia="黑体"/>
      <w:sz w:val="28"/>
      <w:szCs w:val="28"/>
    </w:rPr>
  </w:style>
  <w:style w:type="paragraph" w:styleId="1234" w:customStyle="1">
    <w:name w:val="说明书3级标题"/>
    <w:basedOn w:val="781"/>
    <w:next w:val="781"/>
    <w:uiPriority w:val="0"/>
    <w:qFormat/>
    <w:pPr>
      <w:numPr>
        <w:ilvl w:val="2"/>
        <w:numId w:val="2"/>
      </w:numPr>
      <w:spacing w:line="360" w:lineRule="auto"/>
    </w:pPr>
    <w:rPr>
      <w:rFonts w:ascii="Calibri" w:hAnsi="Calibri" w:eastAsia="黑体"/>
      <w:sz w:val="24"/>
    </w:rPr>
  </w:style>
  <w:style w:type="paragraph" w:styleId="1235" w:customStyle="1">
    <w:name w:val="Char Char1 Char Char Char Char Char Char Char Char"/>
    <w:basedOn w:val="781"/>
    <w:uiPriority w:val="0"/>
    <w:qFormat/>
    <w:pPr>
      <w:jc w:val="left"/>
      <w:spacing w:after="160" w:line="240" w:lineRule="exact"/>
      <w:widowControl/>
    </w:pPr>
  </w:style>
  <w:style w:type="paragraph" w:styleId="1236" w:customStyle="1">
    <w:name w:val="Normal_11_0"/>
    <w:uiPriority w:val="0"/>
    <w:qFormat/>
    <w:rPr>
      <w:rFonts w:ascii="黑体" w:hAnsi="黑体" w:eastAsia="黑体" w:cs="Times New Roman"/>
      <w:b/>
      <w:sz w:val="32"/>
      <w:szCs w:val="24"/>
      <w:lang w:val="en-US" w:eastAsia="zh-CN" w:bidi="ar-SA"/>
    </w:rPr>
  </w:style>
  <w:style w:type="paragraph" w:styleId="1237" w:customStyle="1">
    <w:name w:val="首页标题小初"/>
    <w:uiPriority w:val="0"/>
    <w:qFormat/>
    <w:pPr>
      <w:jc w:val="center"/>
    </w:pPr>
    <w:rPr>
      <w:rFonts w:ascii="黑体" w:hAnsi="Times New Roman" w:eastAsia="黑体" w:cs="宋体"/>
      <w:sz w:val="72"/>
      <w:lang w:val="en-US" w:eastAsia="zh-CN" w:bidi="ar-SA"/>
    </w:rPr>
  </w:style>
  <w:style w:type="paragraph" w:styleId="1238" w:customStyle="1">
    <w:name w:val="xl32"/>
    <w:basedOn w:val="78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39" w:customStyle="1">
    <w:name w:val="正文_6_0_0_0"/>
    <w:uiPriority w:val="0"/>
    <w:qFormat/>
    <w:pPr>
      <w:jc w:val="both"/>
      <w:widowControl w:val="off"/>
    </w:pPr>
    <w:rPr>
      <w:rFonts w:ascii="Times New Roman" w:hAnsi="Times New Roman" w:eastAsia="宋体" w:cs="Times New Roman"/>
      <w:sz w:val="21"/>
      <w:szCs w:val="22"/>
      <w:lang w:val="en-US" w:eastAsia="zh-CN" w:bidi="ar-SA"/>
    </w:rPr>
  </w:style>
  <w:style w:type="paragraph" w:styleId="1240"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41" w:customStyle="1">
    <w:name w:val="附图标题"/>
    <w:basedOn w:val="1004"/>
    <w:next w:val="1003"/>
    <w:uiPriority w:val="0"/>
    <w:qFormat/>
    <w:pPr>
      <w:ind w:left="780" w:hanging="480"/>
      <w:jc w:val="center"/>
      <w:spacing w:after="100"/>
      <w:tabs>
        <w:tab w:val="left" w:pos="780" w:leader="none"/>
      </w:tabs>
    </w:pPr>
    <w:rPr>
      <w:b/>
      <w:sz w:val="21"/>
    </w:rPr>
  </w:style>
  <w:style w:type="paragraph" w:styleId="1242" w:customStyle="1">
    <w:name w:val="Normal_7"/>
    <w:uiPriority w:val="0"/>
    <w:qFormat/>
    <w:rPr>
      <w:rFonts w:ascii="黑体" w:hAnsi="黑体" w:eastAsia="黑体" w:cs="Times New Roman"/>
      <w:b/>
      <w:sz w:val="32"/>
      <w:szCs w:val="24"/>
      <w:lang w:val="en-US" w:eastAsia="zh-CN" w:bidi="ar-SA"/>
    </w:rPr>
  </w:style>
  <w:style w:type="paragraph" w:styleId="1243" w:customStyle="1">
    <w:name w:val="正文_10_2"/>
    <w:uiPriority w:val="0"/>
    <w:qFormat/>
    <w:pPr>
      <w:jc w:val="both"/>
      <w:widowControl w:val="off"/>
    </w:pPr>
    <w:rPr>
      <w:rFonts w:ascii="Times New Roman" w:hAnsi="Times New Roman" w:eastAsia="宋体" w:cs="Times New Roman"/>
      <w:sz w:val="21"/>
      <w:szCs w:val="24"/>
      <w:lang w:val="en-US" w:eastAsia="zh-CN" w:bidi="ar-SA"/>
    </w:rPr>
  </w:style>
  <w:style w:type="paragraph" w:styleId="1244" w:customStyle="1">
    <w:name w:val="五级条标题"/>
    <w:basedOn w:val="1245"/>
    <w:next w:val="1179"/>
    <w:uiPriority w:val="0"/>
    <w:qFormat/>
    <w:pPr>
      <w:outlineLvl w:val="6"/>
    </w:pPr>
  </w:style>
  <w:style w:type="paragraph" w:styleId="1245" w:customStyle="1">
    <w:name w:val="四级条标题"/>
    <w:basedOn w:val="1176"/>
    <w:next w:val="1179"/>
    <w:uiPriority w:val="0"/>
    <w:qFormat/>
    <w:pPr>
      <w:ind w:left="0"/>
      <w:outlineLvl w:val="5"/>
    </w:pPr>
  </w:style>
  <w:style w:type="paragraph" w:styleId="1246"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47" w:customStyle="1">
    <w:name w:val="正文_0_1_0"/>
    <w:uiPriority w:val="0"/>
    <w:qFormat/>
    <w:pPr>
      <w:jc w:val="both"/>
      <w:widowControl w:val="off"/>
    </w:pPr>
    <w:rPr>
      <w:rFonts w:ascii="Times New Roman" w:hAnsi="Times New Roman" w:eastAsia="宋体" w:cs="Times New Roman"/>
      <w:sz w:val="21"/>
      <w:szCs w:val="24"/>
      <w:lang w:val="en-US" w:eastAsia="zh-CN" w:bidi="ar-SA"/>
    </w:rPr>
  </w:style>
  <w:style w:type="paragraph" w:styleId="1248" w:customStyle="1">
    <w:name w:val="标准小四"/>
    <w:basedOn w:val="781"/>
    <w:uiPriority w:val="0"/>
    <w:qFormat/>
    <w:pPr>
      <w:ind w:firstLine="200"/>
      <w:spacing w:line="360" w:lineRule="auto"/>
    </w:pPr>
    <w:rPr>
      <w:rFonts w:ascii="Arial" w:hAnsi="Arial"/>
      <w:sz w:val="24"/>
      <w:szCs w:val="21"/>
    </w:rPr>
  </w:style>
  <w:style w:type="paragraph" w:styleId="1249" w:customStyle="1">
    <w:name w:val="图表目录1"/>
    <w:uiPriority w:val="0"/>
    <w:qFormat/>
    <w:pPr>
      <w:ind w:left="840" w:hanging="420"/>
    </w:pPr>
    <w:rPr>
      <w:rFonts w:ascii="Times New Roman" w:hAnsi="Times New Roman" w:eastAsia="宋体" w:cs="宋体"/>
      <w:sz w:val="21"/>
      <w:lang w:val="en-US" w:eastAsia="zh-CN" w:bidi="ar-SA"/>
    </w:rPr>
  </w:style>
  <w:style w:type="paragraph" w:styleId="1250" w:customStyle="1">
    <w:name w:val="Normal_18_0"/>
    <w:uiPriority w:val="0"/>
    <w:qFormat/>
    <w:rPr>
      <w:rFonts w:ascii="黑体" w:hAnsi="黑体" w:eastAsia="黑体" w:cs="Times New Roman"/>
      <w:b/>
      <w:sz w:val="32"/>
      <w:szCs w:val="24"/>
      <w:lang w:val="en-US" w:eastAsia="zh-CN" w:bidi="ar-SA"/>
    </w:rPr>
  </w:style>
  <w:style w:type="paragraph" w:styleId="1251" w:customStyle="1">
    <w:name w:val="a0"/>
    <w:basedOn w:val="781"/>
    <w:uiPriority w:val="0"/>
    <w:qFormat/>
    <w:pPr>
      <w:jc w:val="left"/>
      <w:spacing w:before="100" w:beforeAutospacing="1" w:after="100" w:afterAutospacing="1"/>
      <w:widowControl/>
    </w:pPr>
    <w:rPr>
      <w:rFonts w:ascii="宋体"/>
      <w:sz w:val="24"/>
    </w:rPr>
  </w:style>
  <w:style w:type="paragraph" w:styleId="1252" w:customStyle="1">
    <w:name w:val="正文（黑体）"/>
    <w:basedOn w:val="781"/>
    <w:next w:val="781"/>
    <w:uiPriority w:val="0"/>
    <w:qFormat/>
    <w:pPr>
      <w:ind w:firstLine="200"/>
      <w:spacing w:before="50" w:after="50" w:line="360" w:lineRule="auto"/>
    </w:pPr>
    <w:rPr>
      <w:rFonts w:ascii="黑体" w:eastAsia="黑体"/>
      <w:color w:val="000080"/>
      <w:sz w:val="24"/>
    </w:rPr>
  </w:style>
  <w:style w:type="paragraph" w:styleId="1253" w:customStyle="1">
    <w:name w:val="正文_14_0"/>
    <w:uiPriority w:val="0"/>
    <w:qFormat/>
    <w:pPr>
      <w:jc w:val="both"/>
      <w:widowControl w:val="off"/>
    </w:pPr>
    <w:rPr>
      <w:rFonts w:ascii="Times New Roman" w:hAnsi="Times New Roman" w:eastAsia="宋体" w:cs="Times New Roman"/>
      <w:sz w:val="21"/>
      <w:szCs w:val="22"/>
      <w:lang w:val="en-US" w:eastAsia="zh-CN" w:bidi="ar-SA"/>
    </w:rPr>
  </w:style>
  <w:style w:type="paragraph" w:styleId="1254" w:customStyle="1">
    <w:name w:val="加点正文缩进"/>
    <w:basedOn w:val="781"/>
    <w:uiPriority w:val="0"/>
    <w:qFormat/>
    <w:pPr>
      <w:ind w:left="962" w:hanging="480"/>
      <w:spacing w:line="300" w:lineRule="auto"/>
      <w:tabs>
        <w:tab w:val="left" w:pos="840" w:leader="none"/>
      </w:tabs>
    </w:pPr>
    <w:rPr>
      <w:sz w:val="24"/>
    </w:rPr>
  </w:style>
  <w:style w:type="paragraph" w:styleId="1255"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256" w:customStyle="1">
    <w:name w:val="Normal_1_1"/>
    <w:uiPriority w:val="0"/>
    <w:qFormat/>
    <w:rPr>
      <w:rFonts w:ascii="黑体" w:hAnsi="黑体" w:eastAsia="黑体" w:cs="Times New Roman"/>
      <w:b/>
      <w:sz w:val="32"/>
      <w:szCs w:val="24"/>
      <w:lang w:val="en-US" w:eastAsia="zh-CN" w:bidi="ar-SA"/>
    </w:rPr>
  </w:style>
  <w:style w:type="paragraph" w:styleId="1257" w:customStyle="1">
    <w:name w:val="技术方案正文样式"/>
    <w:basedOn w:val="781"/>
    <w:uiPriority w:val="0"/>
    <w:qFormat/>
    <w:pPr>
      <w:ind w:firstLine="200"/>
      <w:spacing w:line="400" w:lineRule="exact"/>
    </w:pPr>
    <w:rPr>
      <w:rFonts w:ascii="宋体" w:cs="宋体"/>
      <w:sz w:val="24"/>
      <w:szCs w:val="21"/>
    </w:rPr>
  </w:style>
  <w:style w:type="paragraph" w:styleId="1258" w:customStyle="1">
    <w:name w:val="首页标题 一号"/>
    <w:basedOn w:val="1237"/>
    <w:uiPriority w:val="0"/>
    <w:qFormat/>
    <w:rPr>
      <w:sz w:val="52"/>
    </w:rPr>
  </w:style>
  <w:style w:type="paragraph" w:styleId="1259" w:customStyle="1">
    <w:name w:val="样式 正文2 + 首行缩进:  0 厘米 段后: 1.5 行"/>
    <w:basedOn w:val="781"/>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260" w:customStyle="1">
    <w:name w:val="Table Text/Title"/>
    <w:basedOn w:val="781"/>
    <w:uiPriority w:val="0"/>
    <w:qFormat/>
    <w:pPr>
      <w:jc w:val="left"/>
      <w:widowControl/>
    </w:pPr>
    <w:rPr>
      <w:rFonts w:ascii="宋体"/>
      <w:b/>
      <w:bCs/>
      <w:sz w:val="20"/>
      <w:szCs w:val="20"/>
      <w:lang w:eastAsia="en-US"/>
    </w:rPr>
  </w:style>
  <w:style w:type="paragraph" w:styleId="1261" w:customStyle="1">
    <w:name w:val="样式 序号----------- + 仿宋_GB23121"/>
    <w:basedOn w:val="1164"/>
    <w:uiPriority w:val="0"/>
    <w:qFormat/>
    <w:pPr>
      <w:spacing w:line="360" w:lineRule="auto"/>
    </w:pPr>
    <w:rPr>
      <w:rFonts w:ascii="仿宋_GB2312" w:eastAsia="仿宋_GB2312"/>
      <w:bCs w:val="0"/>
    </w:rPr>
  </w:style>
  <w:style w:type="paragraph" w:styleId="1262" w:customStyle="1">
    <w:name w:val="Char Char Char Char1"/>
    <w:basedOn w:val="781"/>
    <w:uiPriority w:val="0"/>
    <w:qFormat/>
    <w:pPr>
      <w:ind w:firstLine="200"/>
      <w:spacing w:line="360" w:lineRule="auto"/>
    </w:pPr>
    <w:rPr>
      <w:sz w:val="24"/>
      <w:szCs w:val="20"/>
    </w:rPr>
  </w:style>
  <w:style w:type="paragraph" w:styleId="1263" w:customStyle="1">
    <w:name w:val="正文_18"/>
    <w:uiPriority w:val="0"/>
    <w:qFormat/>
    <w:pPr>
      <w:jc w:val="both"/>
      <w:widowControl w:val="off"/>
    </w:pPr>
    <w:rPr>
      <w:rFonts w:ascii="Times New Roman" w:hAnsi="Times New Roman" w:eastAsia="宋体" w:cs="Times New Roman"/>
      <w:sz w:val="21"/>
      <w:szCs w:val="22"/>
      <w:lang w:val="en-US" w:eastAsia="zh-CN" w:bidi="ar-SA"/>
    </w:rPr>
  </w:style>
  <w:style w:type="paragraph" w:styleId="1264" w:customStyle="1">
    <w:name w:val="Char1"/>
    <w:basedOn w:val="781"/>
    <w:uiPriority w:val="0"/>
    <w:qFormat/>
    <w:pPr>
      <w:ind w:left="360" w:right="202" w:firstLine="360"/>
      <w:spacing w:line="480" w:lineRule="auto"/>
      <w:tabs>
        <w:tab w:val="left" w:pos="360" w:leader="none"/>
      </w:tabs>
    </w:pPr>
    <w:rPr>
      <w:sz w:val="24"/>
    </w:rPr>
  </w:style>
  <w:style w:type="paragraph" w:styleId="1265"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266" w:customStyle="1">
    <w:name w:val="章标题"/>
    <w:next w:val="1179"/>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267"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paragraph" w:styleId="1268" w:customStyle="1">
    <w:name w:val="Normal_0_1"/>
    <w:uiPriority w:val="0"/>
    <w:qFormat/>
    <w:rPr>
      <w:rFonts w:ascii="黑体" w:hAnsi="黑体" w:eastAsia="黑体" w:cs="Times New Roman"/>
      <w:b/>
      <w:sz w:val="32"/>
      <w:szCs w:val="24"/>
      <w:lang w:val="en-US" w:eastAsia="zh-CN" w:bidi="ar-SA"/>
    </w:rPr>
  </w:style>
  <w:style w:type="paragraph" w:styleId="1269" w:customStyle="1">
    <w:name w:val="列表段落1"/>
    <w:basedOn w:val="781"/>
    <w:uiPriority w:val="34"/>
    <w:qFormat/>
    <w:pPr>
      <w:ind w:firstLine="420"/>
    </w:pPr>
  </w:style>
  <w:style w:type="paragraph" w:styleId="1270" w:customStyle="1">
    <w:name w:val="默认段落字体 Para Char Char Char Char Char Char Char Char Char1 Char Char Char Char Char Char Char Char"/>
    <w:basedOn w:val="1008"/>
    <w:uiPriority w:val="0"/>
    <w:qFormat/>
    <w:rPr>
      <w:rFonts w:ascii="Calibri" w:hAnsi="Calibri"/>
    </w:rPr>
  </w:style>
  <w:style w:type="paragraph" w:styleId="1271" w:customStyle="1">
    <w:name w:val="Normal_7_0"/>
    <w:uiPriority w:val="0"/>
    <w:qFormat/>
    <w:rPr>
      <w:rFonts w:ascii="黑体" w:hAnsi="黑体" w:eastAsia="黑体" w:cs="Times New Roman"/>
      <w:b/>
      <w:sz w:val="32"/>
      <w:szCs w:val="24"/>
      <w:lang w:val="en-US" w:eastAsia="zh-CN" w:bidi="ar-SA"/>
    </w:rPr>
  </w:style>
  <w:style w:type="paragraph" w:styleId="1272" w:customStyle="1">
    <w:name w:val="Char Char Char Char Char Char Char Char Char Char Char Char Char"/>
    <w:basedOn w:val="781"/>
    <w:uiPriority w:val="0"/>
    <w:qFormat/>
    <w:pPr>
      <w:jc w:val="left"/>
      <w:spacing w:after="160" w:line="240" w:lineRule="exact"/>
      <w:widowControl/>
    </w:pPr>
    <w:rPr>
      <w:rFonts w:ascii="Verdana" w:hAnsi="Verdana"/>
      <w:sz w:val="20"/>
      <w:szCs w:val="20"/>
      <w:lang w:eastAsia="en-US"/>
    </w:rPr>
  </w:style>
  <w:style w:type="paragraph" w:styleId="1273"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274" w:customStyle="1">
    <w:name w:val="Normal_12_0"/>
    <w:uiPriority w:val="0"/>
    <w:qFormat/>
    <w:rPr>
      <w:rFonts w:ascii="黑体" w:hAnsi="黑体" w:eastAsia="黑体" w:cs="Times New Roman"/>
      <w:b/>
      <w:sz w:val="32"/>
      <w:szCs w:val="24"/>
      <w:lang w:val="en-US" w:eastAsia="zh-CN" w:bidi="ar-SA"/>
    </w:rPr>
  </w:style>
  <w:style w:type="paragraph" w:styleId="1275" w:customStyle="1">
    <w:name w:val="ul"/>
    <w:basedOn w:val="781"/>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276"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77"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paragraph" w:styleId="1278" w:customStyle="1">
    <w:name w:val="Normal_18"/>
    <w:uiPriority w:val="0"/>
    <w:qFormat/>
    <w:rPr>
      <w:rFonts w:ascii="黑体" w:hAnsi="黑体" w:eastAsia="黑体" w:cs="Times New Roman"/>
      <w:b/>
      <w:sz w:val="32"/>
      <w:szCs w:val="24"/>
      <w:lang w:val="en-US" w:eastAsia="zh-CN" w:bidi="ar-SA"/>
    </w:rPr>
  </w:style>
  <w:style w:type="paragraph" w:styleId="1279" w:customStyle="1">
    <w:name w:val="xl34"/>
    <w:basedOn w:val="781"/>
    <w:uiPriority w:val="0"/>
    <w:qFormat/>
    <w:pPr>
      <w:jc w:val="center"/>
      <w:spacing w:before="100" w:beforeAutospacing="1" w:after="100" w:afterAutospacing="1"/>
      <w:widowControl/>
    </w:pPr>
    <w:rPr>
      <w:rFonts w:ascii="Arial Unicode MS" w:hAnsi="Arial Unicode MS" w:eastAsia="Arial Unicode MS"/>
      <w:sz w:val="24"/>
    </w:rPr>
  </w:style>
  <w:style w:type="paragraph" w:styleId="1280" w:customStyle="1">
    <w:name w:val="Normal_0_3"/>
    <w:uiPriority w:val="0"/>
    <w:qFormat/>
    <w:rPr>
      <w:rFonts w:ascii="黑体" w:hAnsi="黑体" w:eastAsia="黑体" w:cs="Times New Roman"/>
      <w:b/>
      <w:sz w:val="32"/>
      <w:szCs w:val="24"/>
      <w:lang w:val="en-US" w:eastAsia="zh-CN" w:bidi="ar-SA"/>
    </w:rPr>
  </w:style>
  <w:style w:type="paragraph" w:styleId="1281"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282" w:customStyle="1">
    <w:name w:val="修订1"/>
    <w:uiPriority w:val="0"/>
    <w:qFormat/>
    <w:rPr>
      <w:rFonts w:ascii="Times New Roman" w:hAnsi="Times New Roman" w:eastAsia="宋体" w:cs="Times New Roman"/>
      <w:sz w:val="21"/>
      <w:szCs w:val="24"/>
      <w:lang w:val="en-US" w:eastAsia="zh-CN" w:bidi="ar-SA"/>
    </w:rPr>
  </w:style>
  <w:style w:type="paragraph" w:styleId="1283" w:customStyle="1">
    <w:name w:val="Char11"/>
    <w:basedOn w:val="781"/>
    <w:uiPriority w:val="0"/>
    <w:qFormat/>
    <w:rPr>
      <w:szCs w:val="21"/>
    </w:rPr>
  </w:style>
  <w:style w:type="paragraph" w:styleId="1284"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285" w:customStyle="1">
    <w:name w:val="Normal_12"/>
    <w:uiPriority w:val="0"/>
    <w:qFormat/>
    <w:rPr>
      <w:rFonts w:ascii="黑体" w:hAnsi="黑体" w:eastAsia="黑体" w:cs="Times New Roman"/>
      <w:b/>
      <w:sz w:val="32"/>
      <w:szCs w:val="24"/>
      <w:lang w:val="en-US" w:eastAsia="zh-CN" w:bidi="ar-SA"/>
    </w:rPr>
  </w:style>
  <w:style w:type="paragraph" w:styleId="1286" w:customStyle="1">
    <w:name w:val="Normal_8_0"/>
    <w:uiPriority w:val="0"/>
    <w:qFormat/>
    <w:rPr>
      <w:rFonts w:ascii="黑体" w:hAnsi="黑体" w:eastAsia="黑体" w:cs="Times New Roman"/>
      <w:b/>
      <w:sz w:val="32"/>
      <w:szCs w:val="24"/>
      <w:lang w:val="en-US" w:eastAsia="zh-CN" w:bidi="ar-SA"/>
    </w:rPr>
  </w:style>
  <w:style w:type="paragraph" w:styleId="1287" w:customStyle="1">
    <w:name w:val="文档正文"/>
    <w:basedOn w:val="781"/>
    <w:uiPriority w:val="0"/>
    <w:qFormat/>
    <w:rPr>
      <w:rFonts w:ascii="宋体"/>
      <w:szCs w:val="20"/>
    </w:rPr>
  </w:style>
  <w:style w:type="paragraph" w:styleId="1288" w:customStyle="1">
    <w:name w:val="技术方案正文"/>
    <w:basedOn w:val="781"/>
    <w:uiPriority w:val="0"/>
    <w:qFormat/>
    <w:pPr>
      <w:ind w:firstLine="480"/>
      <w:spacing w:line="360" w:lineRule="auto"/>
    </w:pPr>
    <w:rPr>
      <w:rFonts w:ascii="宋体"/>
      <w:sz w:val="24"/>
    </w:rPr>
  </w:style>
  <w:style w:type="paragraph" w:styleId="1289" w:customStyle="1">
    <w:name w:val="xl26"/>
    <w:basedOn w:val="7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90" w:customStyle="1">
    <w:name w:val="普通正文"/>
    <w:basedOn w:val="781"/>
    <w:uiPriority w:val="0"/>
    <w:qFormat/>
    <w:pPr>
      <w:ind w:firstLine="425"/>
      <w:jc w:val="left"/>
    </w:pPr>
    <w:rPr>
      <w:rFonts w:ascii="宋体"/>
      <w:sz w:val="20"/>
      <w:szCs w:val="20"/>
    </w:rPr>
  </w:style>
  <w:style w:type="paragraph" w:styleId="1291" w:customStyle="1">
    <w:name w:val="正文_12_0"/>
    <w:uiPriority w:val="0"/>
    <w:qFormat/>
    <w:pPr>
      <w:jc w:val="both"/>
      <w:widowControl w:val="off"/>
    </w:pPr>
    <w:rPr>
      <w:rFonts w:ascii="Times New Roman" w:hAnsi="Times New Roman" w:eastAsia="宋体" w:cs="Times New Roman"/>
      <w:sz w:val="21"/>
      <w:szCs w:val="22"/>
      <w:lang w:val="en-US" w:eastAsia="zh-CN" w:bidi="ar-SA"/>
    </w:rPr>
  </w:style>
  <w:style w:type="paragraph" w:styleId="1292" w:customStyle="1">
    <w:name w:val="Normal_0_2"/>
    <w:uiPriority w:val="0"/>
    <w:qFormat/>
    <w:rPr>
      <w:rFonts w:ascii="黑体" w:hAnsi="黑体" w:eastAsia="黑体" w:cs="Times New Roman"/>
      <w:b/>
      <w:sz w:val="32"/>
      <w:szCs w:val="24"/>
      <w:lang w:val="en-US" w:eastAsia="zh-CN" w:bidi="ar-SA"/>
    </w:rPr>
  </w:style>
  <w:style w:type="paragraph" w:styleId="1293" w:customStyle="1">
    <w:name w:val="xl28"/>
    <w:basedOn w:val="78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94"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95" w:customStyle="1">
    <w:name w:val="样式4"/>
    <w:basedOn w:val="986"/>
    <w:uiPriority w:val="0"/>
    <w:qFormat/>
    <w:pPr>
      <w:spacing w:line="415" w:lineRule="auto"/>
    </w:pPr>
    <w:rPr>
      <w:rFonts w:ascii="Calibri" w:hAnsi="Calibri"/>
      <w:bCs/>
      <w:color w:val="000000"/>
      <w:sz w:val="28"/>
      <w:szCs w:val="28"/>
    </w:rPr>
  </w:style>
  <w:style w:type="paragraph" w:styleId="1296" w:customStyle="1">
    <w:name w:val="pa-4"/>
    <w:basedOn w:val="781"/>
    <w:uiPriority w:val="0"/>
    <w:qFormat/>
    <w:pPr>
      <w:jc w:val="center"/>
      <w:spacing w:line="280" w:lineRule="atLeast"/>
      <w:widowControl/>
    </w:pPr>
    <w:rPr>
      <w:rFonts w:ascii="宋体" w:cs="宋体"/>
      <w:sz w:val="24"/>
    </w:rPr>
  </w:style>
  <w:style w:type="paragraph" w:styleId="1297" w:customStyle="1">
    <w:name w:val="Normal_1"/>
    <w:uiPriority w:val="0"/>
    <w:qFormat/>
    <w:rPr>
      <w:rFonts w:ascii="黑体" w:hAnsi="黑体" w:eastAsia="黑体" w:cs="Times New Roman"/>
      <w:b/>
      <w:sz w:val="32"/>
      <w:szCs w:val="24"/>
      <w:lang w:val="en-US" w:eastAsia="zh-CN" w:bidi="ar-SA"/>
    </w:rPr>
  </w:style>
  <w:style w:type="paragraph" w:styleId="1298" w:customStyle="1">
    <w:name w:val="标书3"/>
    <w:next w:val="1198"/>
    <w:uiPriority w:val="0"/>
    <w:qFormat/>
    <w:pPr>
      <w:jc w:val="center"/>
      <w:widowControl w:val="off"/>
    </w:pPr>
    <w:rPr>
      <w:rFonts w:ascii="Times New Roman" w:hAnsi="Times New Roman" w:eastAsia="黑体" w:cs="Times New Roman"/>
      <w:b/>
      <w:sz w:val="44"/>
      <w:szCs w:val="24"/>
      <w:lang w:val="en-US" w:eastAsia="zh-CN" w:bidi="ar-SA"/>
    </w:rPr>
  </w:style>
  <w:style w:type="paragraph" w:styleId="1299" w:customStyle="1">
    <w:name w:val="Char2"/>
    <w:basedOn w:val="781"/>
    <w:uiPriority w:val="0"/>
    <w:qFormat/>
    <w:pPr>
      <w:tabs>
        <w:tab w:val="left" w:pos="360" w:leader="none"/>
      </w:tabs>
    </w:pPr>
    <w:rPr>
      <w:rFonts w:ascii="仿宋_GB2312" w:eastAsia="仿宋_GB2312"/>
      <w:b/>
      <w:sz w:val="24"/>
    </w:rPr>
  </w:style>
  <w:style w:type="paragraph" w:styleId="1300" w:customStyle="1">
    <w:name w:val="正文_0_2"/>
    <w:uiPriority w:val="0"/>
    <w:qFormat/>
    <w:pPr>
      <w:jc w:val="both"/>
      <w:widowControl w:val="off"/>
    </w:pPr>
    <w:rPr>
      <w:rFonts w:ascii="Times New Roman" w:hAnsi="Times New Roman" w:eastAsia="宋体" w:cs="Times New Roman"/>
      <w:sz w:val="21"/>
      <w:szCs w:val="24"/>
      <w:lang w:val="en-US" w:eastAsia="zh-CN" w:bidi="ar-SA"/>
    </w:rPr>
  </w:style>
  <w:style w:type="paragraph" w:styleId="1301" w:customStyle="1">
    <w:name w:val="正文（首行缩进两字）"/>
    <w:basedOn w:val="781"/>
    <w:uiPriority w:val="0"/>
    <w:qFormat/>
    <w:pPr>
      <w:spacing w:line="312" w:lineRule="auto"/>
    </w:pPr>
    <w:rPr>
      <w:rFonts w:ascii="宋体" w:cs="宋体"/>
      <w:sz w:val="24"/>
    </w:rPr>
  </w:style>
  <w:style w:type="paragraph" w:styleId="1302" w:customStyle="1">
    <w:name w:val="首页标题"/>
    <w:uiPriority w:val="0"/>
    <w:qFormat/>
    <w:pPr>
      <w:jc w:val="center"/>
    </w:pPr>
    <w:rPr>
      <w:rFonts w:ascii="宋体" w:hAnsi="Times New Roman" w:eastAsia="宋体" w:cs="宋体"/>
      <w:sz w:val="72"/>
      <w:szCs w:val="72"/>
      <w:lang w:val="en-US" w:eastAsia="zh-CN" w:bidi="ar-SA"/>
    </w:rPr>
  </w:style>
  <w:style w:type="paragraph" w:styleId="1303"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304" w:customStyle="1">
    <w:name w:val="正文_11_0"/>
    <w:uiPriority w:val="0"/>
    <w:qFormat/>
    <w:pPr>
      <w:jc w:val="both"/>
      <w:widowControl w:val="off"/>
    </w:pPr>
    <w:rPr>
      <w:rFonts w:ascii="Times New Roman" w:hAnsi="Times New Roman" w:eastAsia="宋体" w:cs="Times New Roman"/>
      <w:sz w:val="21"/>
      <w:szCs w:val="22"/>
      <w:lang w:val="en-US" w:eastAsia="zh-CN" w:bidi="ar-SA"/>
    </w:rPr>
  </w:style>
  <w:style w:type="paragraph" w:styleId="1305" w:customStyle="1">
    <w:name w:val="pa-3"/>
    <w:basedOn w:val="781"/>
    <w:uiPriority w:val="0"/>
    <w:qFormat/>
    <w:pPr>
      <w:jc w:val="left"/>
      <w:spacing w:before="150" w:after="150"/>
      <w:widowControl/>
    </w:pPr>
    <w:rPr>
      <w:rFonts w:ascii="宋体" w:cs="宋体"/>
      <w:sz w:val="24"/>
    </w:rPr>
  </w:style>
  <w:style w:type="paragraph" w:styleId="1306" w:customStyle="1">
    <w:name w:val="图号"/>
    <w:basedOn w:val="781"/>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307" w:customStyle="1">
    <w:name w:val="Normal_10_0"/>
    <w:uiPriority w:val="0"/>
    <w:qFormat/>
    <w:rPr>
      <w:rFonts w:ascii="黑体" w:hAnsi="黑体" w:eastAsia="黑体" w:cs="Times New Roman"/>
      <w:b/>
      <w:sz w:val="32"/>
      <w:szCs w:val="24"/>
      <w:lang w:val="en-US" w:eastAsia="zh-CN" w:bidi="ar-SA"/>
    </w:rPr>
  </w:style>
  <w:style w:type="paragraph" w:styleId="1308" w:customStyle="1">
    <w:name w:val="Normal_6"/>
    <w:uiPriority w:val="0"/>
    <w:qFormat/>
    <w:rPr>
      <w:rFonts w:ascii="黑体" w:hAnsi="黑体" w:eastAsia="黑体" w:cs="Times New Roman"/>
      <w:b/>
      <w:sz w:val="32"/>
      <w:szCs w:val="24"/>
      <w:lang w:val="en-US" w:eastAsia="zh-CN" w:bidi="ar-SA"/>
    </w:rPr>
  </w:style>
  <w:style w:type="paragraph" w:styleId="1309" w:customStyle="1">
    <w:name w:val="Char Char Char Char"/>
    <w:basedOn w:val="781"/>
    <w:uiPriority w:val="0"/>
    <w:qFormat/>
    <w:pPr>
      <w:ind w:left="560" w:firstLine="200"/>
      <w:jc w:val="left"/>
      <w:spacing w:after="120" w:line="360" w:lineRule="auto"/>
      <w:widowControl/>
    </w:pPr>
    <w:rPr>
      <w:rFonts w:ascii="Verdana" w:hAnsi="Verdana"/>
      <w:sz w:val="24"/>
    </w:rPr>
  </w:style>
  <w:style w:type="paragraph" w:styleId="1310" w:customStyle="1">
    <w:name w:val="font9"/>
    <w:basedOn w:val="781"/>
    <w:uiPriority w:val="0"/>
    <w:qFormat/>
    <w:pPr>
      <w:jc w:val="left"/>
      <w:spacing w:before="100" w:beforeAutospacing="1" w:after="100" w:afterAutospacing="1"/>
      <w:widowControl/>
    </w:pPr>
    <w:rPr>
      <w:rFonts w:ascii="宋体"/>
      <w:color w:val="000000"/>
      <w:sz w:val="18"/>
      <w:szCs w:val="18"/>
    </w:rPr>
  </w:style>
  <w:style w:type="paragraph" w:styleId="1311" w:customStyle="1">
    <w:name w:val="Body Text First Indent 21"/>
    <w:basedOn w:val="1014"/>
    <w:uiPriority w:val="99"/>
    <w:qFormat/>
    <w:pPr>
      <w:ind w:firstLine="420"/>
    </w:pPr>
  </w:style>
  <w:style w:type="paragraph" w:styleId="1312" w:customStyle="1">
    <w:name w:val="CM17"/>
    <w:basedOn w:val="781"/>
    <w:next w:val="781"/>
    <w:uiPriority w:val="0"/>
    <w:qFormat/>
    <w:pPr>
      <w:jc w:val="left"/>
      <w:spacing w:after="273" w:line="360" w:lineRule="auto"/>
    </w:pPr>
    <w:rPr>
      <w:rFonts w:ascii="宋体"/>
      <w:sz w:val="24"/>
    </w:rPr>
  </w:style>
  <w:style w:type="paragraph" w:styleId="1313" w:customStyle="1">
    <w:name w:val="pa-0"/>
    <w:basedOn w:val="781"/>
    <w:uiPriority w:val="0"/>
    <w:qFormat/>
    <w:pPr>
      <w:ind w:firstLine="480"/>
      <w:spacing w:line="360" w:lineRule="atLeast"/>
      <w:widowControl/>
    </w:pPr>
    <w:rPr>
      <w:rFonts w:ascii="宋体" w:cs="宋体"/>
      <w:sz w:val="24"/>
    </w:rPr>
  </w:style>
  <w:style w:type="paragraph" w:styleId="1314"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315" w:customStyle="1">
    <w:name w:val="D&amp;L"/>
    <w:basedOn w:val="1032"/>
    <w:uiPriority w:val="0"/>
    <w:qFormat/>
    <w:pPr>
      <w:spacing w:line="240" w:lineRule="atLeast"/>
      <w:pBdr>
        <w:bottom w:val="single" w:color="000000" w:sz="18" w:space="1"/>
      </w:pBdr>
    </w:pPr>
    <w:rPr>
      <w:sz w:val="24"/>
      <w:szCs w:val="20"/>
    </w:rPr>
  </w:style>
  <w:style w:type="paragraph" w:styleId="1316" w:customStyle="1">
    <w:name w:val="Normal_16"/>
    <w:uiPriority w:val="0"/>
    <w:qFormat/>
    <w:rPr>
      <w:rFonts w:ascii="黑体" w:hAnsi="黑体" w:eastAsia="黑体" w:cs="Times New Roman"/>
      <w:b/>
      <w:sz w:val="32"/>
      <w:szCs w:val="24"/>
      <w:lang w:val="en-US" w:eastAsia="zh-CN" w:bidi="ar-SA"/>
    </w:rPr>
  </w:style>
  <w:style w:type="paragraph" w:styleId="1317" w:customStyle="1">
    <w:name w:val="正文_6_0_0_0_0"/>
    <w:uiPriority w:val="0"/>
    <w:qFormat/>
    <w:pPr>
      <w:jc w:val="both"/>
      <w:widowControl w:val="off"/>
    </w:pPr>
    <w:rPr>
      <w:rFonts w:ascii="Times New Roman" w:hAnsi="Times New Roman" w:eastAsia="宋体" w:cs="Times New Roman"/>
      <w:sz w:val="21"/>
      <w:szCs w:val="22"/>
      <w:lang w:val="en-US" w:eastAsia="zh-CN" w:bidi="ar-SA"/>
    </w:rPr>
  </w:style>
  <w:style w:type="paragraph" w:styleId="1318" w:customStyle="1">
    <w:name w:val="font5"/>
    <w:basedOn w:val="781"/>
    <w:uiPriority w:val="0"/>
    <w:qFormat/>
    <w:pPr>
      <w:jc w:val="left"/>
      <w:spacing w:before="100" w:beforeAutospacing="1" w:after="100" w:afterAutospacing="1"/>
      <w:widowControl/>
    </w:pPr>
    <w:rPr>
      <w:rFonts w:ascii="宋体"/>
      <w:sz w:val="18"/>
      <w:szCs w:val="18"/>
    </w:rPr>
  </w:style>
  <w:style w:type="paragraph" w:styleId="1319" w:customStyle="1">
    <w:name w:val="正文_6_0"/>
    <w:uiPriority w:val="0"/>
    <w:qFormat/>
    <w:pPr>
      <w:jc w:val="both"/>
      <w:widowControl w:val="off"/>
    </w:pPr>
    <w:rPr>
      <w:rFonts w:ascii="Times New Roman" w:hAnsi="Times New Roman" w:eastAsia="宋体" w:cs="Times New Roman"/>
      <w:sz w:val="21"/>
      <w:szCs w:val="22"/>
      <w:lang w:val="en-US" w:eastAsia="zh-CN" w:bidi="ar-SA"/>
    </w:rPr>
  </w:style>
  <w:style w:type="paragraph" w:styleId="1320" w:customStyle="1">
    <w:name w:val="大汉方案正文 Char"/>
    <w:basedOn w:val="781"/>
    <w:uiPriority w:val="0"/>
    <w:qFormat/>
    <w:pPr>
      <w:ind w:firstLine="200"/>
      <w:spacing w:line="360" w:lineRule="auto"/>
    </w:pPr>
    <w:rPr>
      <w:rFonts w:ascii="Arial" w:hAnsi="Arial"/>
      <w:sz w:val="24"/>
    </w:rPr>
  </w:style>
  <w:style w:type="paragraph" w:styleId="1321" w:customStyle="1">
    <w:name w:val="样式2"/>
    <w:basedOn w:val="986"/>
    <w:uiPriority w:val="0"/>
    <w:qFormat/>
    <w:pPr>
      <w:spacing w:line="415" w:lineRule="auto"/>
    </w:pPr>
    <w:rPr>
      <w:rFonts w:ascii="Calibri" w:hAnsi="Calibri"/>
      <w:bCs/>
      <w:color w:val="000000"/>
      <w:sz w:val="28"/>
      <w:szCs w:val="28"/>
    </w:rPr>
  </w:style>
  <w:style w:type="paragraph" w:styleId="1322" w:customStyle="1">
    <w:name w:val="Normal_2_0"/>
    <w:uiPriority w:val="0"/>
    <w:qFormat/>
    <w:rPr>
      <w:rFonts w:ascii="黑体" w:hAnsi="黑体" w:eastAsia="黑体" w:cs="Times New Roman"/>
      <w:b/>
      <w:sz w:val="32"/>
      <w:szCs w:val="24"/>
      <w:lang w:val="en-US" w:eastAsia="zh-CN" w:bidi="ar-SA"/>
    </w:rPr>
  </w:style>
  <w:style w:type="paragraph" w:styleId="1323" w:customStyle="1">
    <w:name w:val="序号"/>
    <w:next w:val="781"/>
    <w:uiPriority w:val="0"/>
    <w:qFormat/>
    <w:pPr>
      <w:jc w:val="center"/>
    </w:pPr>
    <w:rPr>
      <w:rFonts w:ascii="Times New Roman" w:hAnsi="Times New Roman" w:eastAsia="仿宋_GB2312" w:cs="Times New Roman"/>
      <w:bCs/>
      <w:sz w:val="21"/>
      <w:szCs w:val="44"/>
      <w:lang w:val="en-US" w:eastAsia="zh-CN" w:bidi="ar-SA"/>
    </w:rPr>
  </w:style>
  <w:style w:type="paragraph" w:styleId="1324" w:customStyle="1">
    <w:name w:val="Normal_4"/>
    <w:uiPriority w:val="0"/>
    <w:qFormat/>
    <w:rPr>
      <w:rFonts w:ascii="黑体" w:hAnsi="黑体" w:eastAsia="黑体" w:cs="Times New Roman"/>
      <w:b/>
      <w:sz w:val="32"/>
      <w:szCs w:val="24"/>
      <w:lang w:val="en-US" w:eastAsia="zh-CN" w:bidi="ar-SA"/>
    </w:rPr>
  </w:style>
  <w:style w:type="paragraph" w:styleId="1325" w:customStyle="1">
    <w:name w:val="xl35"/>
    <w:basedOn w:val="78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26" w:customStyle="1">
    <w:name w:val="txt"/>
    <w:basedOn w:val="781"/>
    <w:uiPriority w:val="0"/>
    <w:qFormat/>
    <w:pPr>
      <w:jc w:val="left"/>
      <w:spacing w:before="100" w:beforeAutospacing="1" w:after="100" w:afterAutospacing="1"/>
      <w:widowControl/>
    </w:pPr>
    <w:rPr>
      <w:rFonts w:ascii="宋体" w:cs="宋体"/>
      <w:sz w:val="24"/>
    </w:rPr>
  </w:style>
  <w:style w:type="paragraph" w:styleId="1327" w:customStyle="1">
    <w:name w:val="样式5"/>
    <w:basedOn w:val="986"/>
    <w:uiPriority w:val="0"/>
    <w:qFormat/>
    <w:pPr>
      <w:spacing w:line="415" w:lineRule="auto"/>
    </w:pPr>
    <w:rPr>
      <w:rFonts w:ascii="Calibri" w:hAnsi="Calibri"/>
      <w:bCs/>
      <w:color w:val="000000"/>
      <w:sz w:val="28"/>
      <w:szCs w:val="28"/>
    </w:rPr>
  </w:style>
  <w:style w:type="paragraph" w:styleId="1328" w:customStyle="1">
    <w:name w:val="font7"/>
    <w:basedOn w:val="781"/>
    <w:uiPriority w:val="0"/>
    <w:qFormat/>
    <w:pPr>
      <w:jc w:val="left"/>
      <w:spacing w:before="100" w:beforeAutospacing="1" w:after="100" w:afterAutospacing="1"/>
      <w:widowControl/>
    </w:pPr>
    <w:rPr>
      <w:rFonts w:ascii="宋体"/>
      <w:sz w:val="20"/>
      <w:szCs w:val="20"/>
    </w:rPr>
  </w:style>
  <w:style w:type="paragraph" w:styleId="1329" w:customStyle="1">
    <w:name w:val="正文_4_1"/>
    <w:uiPriority w:val="0"/>
    <w:qFormat/>
    <w:pPr>
      <w:jc w:val="both"/>
      <w:widowControl w:val="off"/>
    </w:pPr>
    <w:rPr>
      <w:rFonts w:ascii="Times New Roman" w:hAnsi="Times New Roman" w:eastAsia="宋体" w:cs="Times New Roman"/>
      <w:sz w:val="21"/>
      <w:szCs w:val="22"/>
      <w:lang w:val="en-US" w:eastAsia="zh-CN" w:bidi="ar-SA"/>
    </w:rPr>
  </w:style>
  <w:style w:type="paragraph" w:styleId="1330" w:customStyle="1">
    <w:name w:val="xl37"/>
    <w:basedOn w:val="78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331" w:customStyle="1">
    <w:name w:val="编号"/>
    <w:basedOn w:val="781"/>
    <w:next w:val="1198"/>
    <w:uiPriority w:val="0"/>
    <w:qFormat/>
    <w:pPr>
      <w:ind w:left="420" w:right="-136" w:hanging="420"/>
      <w:widowControl/>
      <w:tabs>
        <w:tab w:val="left" w:pos="420" w:leader="none"/>
      </w:tabs>
    </w:pPr>
    <w:rPr>
      <w:rFonts w:ascii="仿宋_GB2312" w:eastAsia="仿宋_GB2312"/>
      <w:b/>
      <w:bCs/>
      <w:sz w:val="24"/>
      <w:szCs w:val="21"/>
    </w:rPr>
  </w:style>
  <w:style w:type="paragraph" w:styleId="1332" w:customStyle="1">
    <w:name w:val="TOC 标题2"/>
    <w:basedOn w:val="984"/>
    <w:next w:val="781"/>
    <w:uiPriority w:val="0"/>
    <w:qFormat/>
    <w:pPr>
      <w:spacing w:before="480" w:after="0" w:line="276" w:lineRule="auto"/>
      <w:widowControl/>
      <w:outlineLvl w:val="9"/>
    </w:pPr>
    <w:rPr>
      <w:rFonts w:ascii="Cambria" w:hAnsi="Cambria"/>
      <w:color w:val="365f91"/>
      <w:sz w:val="28"/>
    </w:rPr>
  </w:style>
  <w:style w:type="paragraph" w:styleId="1333" w:customStyle="1">
    <w:name w:val="Sourcetext bullet"/>
    <w:basedOn w:val="781"/>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34" w:customStyle="1">
    <w:name w:val="xl40"/>
    <w:basedOn w:val="781"/>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335" w:customStyle="1">
    <w:name w:val="font8"/>
    <w:basedOn w:val="781"/>
    <w:uiPriority w:val="0"/>
    <w:qFormat/>
    <w:pPr>
      <w:jc w:val="left"/>
      <w:spacing w:before="100" w:beforeAutospacing="1" w:after="100" w:afterAutospacing="1"/>
      <w:widowControl/>
    </w:pPr>
    <w:rPr>
      <w:rFonts w:ascii="Arial" w:hAnsi="Arial" w:cs="Arial"/>
      <w:color w:val="000000"/>
      <w:sz w:val="18"/>
      <w:szCs w:val="18"/>
    </w:rPr>
  </w:style>
  <w:style w:type="paragraph" w:styleId="1336" w:customStyle="1">
    <w:name w:val="Char Char Char Char Char Char Char Char Char Char1"/>
    <w:basedOn w:val="781"/>
    <w:uiPriority w:val="0"/>
    <w:qFormat/>
    <w:rPr>
      <w:rFonts w:ascii="Tahoma" w:hAnsi="Tahoma" w:cs="Tahoma"/>
      <w:sz w:val="24"/>
    </w:rPr>
  </w:style>
  <w:style w:type="paragraph" w:styleId="1337" w:customStyle="1">
    <w:name w:val="Char Char Char Char Char Char Char1"/>
    <w:basedOn w:val="781"/>
    <w:uiPriority w:val="0"/>
    <w:qFormat/>
    <w:pPr>
      <w:jc w:val="left"/>
      <w:spacing w:after="160" w:line="240" w:lineRule="exact"/>
      <w:widowControl/>
    </w:pPr>
    <w:rPr>
      <w:rFonts w:ascii="Verdana" w:hAnsi="Verdana"/>
      <w:sz w:val="20"/>
      <w:szCs w:val="20"/>
      <w:lang w:eastAsia="en-US"/>
    </w:rPr>
  </w:style>
  <w:style w:type="paragraph" w:styleId="1338" w:customStyle="1">
    <w:name w:val="xl31"/>
    <w:basedOn w:val="781"/>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339" w:customStyle="1">
    <w:name w:val="正文_14"/>
    <w:uiPriority w:val="0"/>
    <w:qFormat/>
    <w:pPr>
      <w:jc w:val="both"/>
      <w:widowControl w:val="off"/>
    </w:pPr>
    <w:rPr>
      <w:rFonts w:ascii="Times New Roman" w:hAnsi="Times New Roman" w:eastAsia="宋体" w:cs="Times New Roman"/>
      <w:sz w:val="21"/>
      <w:szCs w:val="22"/>
      <w:lang w:val="en-US" w:eastAsia="zh-CN" w:bidi="ar-SA"/>
    </w:rPr>
  </w:style>
  <w:style w:type="paragraph" w:styleId="1340" w:customStyle="1">
    <w:name w:val="Normal_11"/>
    <w:uiPriority w:val="0"/>
    <w:qFormat/>
    <w:rPr>
      <w:rFonts w:ascii="黑体" w:hAnsi="黑体" w:eastAsia="黑体" w:cs="Times New Roman"/>
      <w:b/>
      <w:sz w:val="32"/>
      <w:szCs w:val="24"/>
      <w:lang w:val="en-US" w:eastAsia="zh-CN" w:bidi="ar-SA"/>
    </w:rPr>
  </w:style>
  <w:style w:type="paragraph" w:styleId="1341" w:customStyle="1">
    <w:name w:val="Char12"/>
    <w:basedOn w:val="781"/>
    <w:uiPriority w:val="0"/>
    <w:qFormat/>
    <w:pPr>
      <w:ind w:left="360" w:right="202" w:firstLine="360"/>
      <w:spacing w:line="480" w:lineRule="auto"/>
      <w:tabs>
        <w:tab w:val="left" w:pos="360" w:leader="none"/>
      </w:tabs>
    </w:pPr>
    <w:rPr>
      <w:sz w:val="24"/>
    </w:rPr>
  </w:style>
  <w:style w:type="paragraph" w:styleId="1342"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343" w:customStyle="1">
    <w:name w:val="xl30"/>
    <w:basedOn w:val="78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44" w:customStyle="1">
    <w:name w:val="正文_11_1"/>
    <w:uiPriority w:val="0"/>
    <w:qFormat/>
    <w:pPr>
      <w:jc w:val="both"/>
      <w:widowControl w:val="off"/>
    </w:pPr>
    <w:rPr>
      <w:rFonts w:ascii="Times New Roman" w:hAnsi="Times New Roman" w:eastAsia="宋体" w:cs="Times New Roman"/>
      <w:sz w:val="21"/>
      <w:szCs w:val="22"/>
      <w:lang w:val="en-US" w:eastAsia="zh-CN" w:bidi="ar-SA"/>
    </w:rPr>
  </w:style>
  <w:style w:type="paragraph" w:styleId="1345" w:customStyle="1">
    <w:name w:val="style42"/>
    <w:basedOn w:val="781"/>
    <w:uiPriority w:val="0"/>
    <w:qFormat/>
    <w:pPr>
      <w:jc w:val="left"/>
      <w:spacing w:before="100" w:beforeAutospacing="1" w:after="100" w:afterAutospacing="1"/>
      <w:widowControl/>
    </w:pPr>
    <w:rPr>
      <w:rFonts w:ascii="宋体" w:cs="宋体"/>
      <w:color w:val="000000"/>
      <w:sz w:val="15"/>
      <w:szCs w:val="15"/>
    </w:rPr>
  </w:style>
  <w:style w:type="paragraph" w:styleId="1346" w:customStyle="1">
    <w:name w:val="样式 标题 2 + Times New Roman 四号 非加粗 段前: 5 磅 段后: 0 磅 行距: 固定值 20..."/>
    <w:basedOn w:val="985"/>
    <w:uiPriority w:val="0"/>
    <w:qFormat/>
    <w:pPr>
      <w:spacing w:before="100" w:after="0" w:line="400" w:lineRule="exact"/>
    </w:pPr>
    <w:rPr>
      <w:rFonts w:ascii="Times New Roman" w:hAnsi="Times New Roman" w:cs="宋体"/>
      <w:b w:val="0"/>
      <w:sz w:val="28"/>
    </w:rPr>
  </w:style>
  <w:style w:type="paragraph" w:styleId="1347" w:customStyle="1">
    <w:name w:val="font6"/>
    <w:basedOn w:val="781"/>
    <w:uiPriority w:val="0"/>
    <w:qFormat/>
    <w:pPr>
      <w:jc w:val="left"/>
      <w:spacing w:before="100" w:beforeAutospacing="1" w:after="100" w:afterAutospacing="1"/>
      <w:widowControl/>
    </w:pPr>
    <w:rPr>
      <w:sz w:val="20"/>
      <w:szCs w:val="20"/>
    </w:rPr>
  </w:style>
  <w:style w:type="paragraph" w:styleId="1348" w:customStyle="1">
    <w:name w:val="样式 正文首行缩进 + 宋体 首行缩进:  0.74 厘米"/>
    <w:basedOn w:val="1053"/>
    <w:uiPriority w:val="0"/>
    <w:qFormat/>
    <w:pPr>
      <w:ind w:firstLine="210"/>
      <w:spacing w:before="120" w:after="0" w:line="380" w:lineRule="exact"/>
    </w:pPr>
    <w:rPr>
      <w:rFonts w:ascii="宋体" w:cs="宋体"/>
      <w:sz w:val="24"/>
      <w:szCs w:val="20"/>
    </w:rPr>
  </w:style>
  <w:style w:type="paragraph" w:styleId="1349" w:customStyle="1">
    <w:name w:val="正文_7_0"/>
    <w:uiPriority w:val="0"/>
    <w:qFormat/>
    <w:pPr>
      <w:jc w:val="both"/>
      <w:widowControl w:val="off"/>
    </w:pPr>
    <w:rPr>
      <w:rFonts w:ascii="Times New Roman" w:hAnsi="Times New Roman" w:eastAsia="宋体" w:cs="Times New Roman"/>
      <w:sz w:val="21"/>
      <w:szCs w:val="22"/>
      <w:lang w:val="en-US" w:eastAsia="zh-CN" w:bidi="ar-SA"/>
    </w:rPr>
  </w:style>
  <w:style w:type="paragraph" w:styleId="1350" w:customStyle="1">
    <w:name w:val="Normal_17_0"/>
    <w:uiPriority w:val="0"/>
    <w:qFormat/>
    <w:rPr>
      <w:rFonts w:ascii="黑体" w:hAnsi="黑体" w:eastAsia="黑体" w:cs="Times New Roman"/>
      <w:b/>
      <w:sz w:val="32"/>
      <w:szCs w:val="24"/>
      <w:lang w:val="en-US" w:eastAsia="zh-CN" w:bidi="ar-SA"/>
    </w:rPr>
  </w:style>
  <w:style w:type="paragraph" w:styleId="1351" w:customStyle="1">
    <w:name w:val="Char Char Char Char Char Char Char Char Char Char2"/>
    <w:basedOn w:val="781"/>
    <w:uiPriority w:val="0"/>
    <w:qFormat/>
    <w:rPr>
      <w:rFonts w:ascii="Tahoma" w:hAnsi="Tahoma"/>
      <w:sz w:val="24"/>
      <w:szCs w:val="20"/>
    </w:rPr>
  </w:style>
  <w:style w:type="paragraph" w:styleId="1352"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paragraph" w:styleId="1353"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354" w:customStyle="1">
    <w:name w:val="Char Char Char Char Char Char Char1 Char"/>
    <w:basedOn w:val="781"/>
    <w:uiPriority w:val="0"/>
    <w:qFormat/>
    <w:rPr>
      <w:rFonts w:ascii="Tahoma" w:hAnsi="Tahoma"/>
      <w:sz w:val="24"/>
      <w:szCs w:val="20"/>
    </w:rPr>
  </w:style>
  <w:style w:type="paragraph" w:styleId="1355" w:customStyle="1">
    <w:name w:val="Char Char1 Char Char Char Char Char Char"/>
    <w:basedOn w:val="781"/>
    <w:uiPriority w:val="0"/>
    <w:qFormat/>
    <w:pPr>
      <w:jc w:val="center"/>
      <w:widowControl/>
    </w:pPr>
    <w:rPr>
      <w:szCs w:val="20"/>
    </w:rPr>
  </w:style>
  <w:style w:type="paragraph" w:styleId="1356" w:customStyle="1">
    <w:name w:val="Normal Paragraph Char"/>
    <w:basedOn w:val="781"/>
    <w:uiPriority w:val="0"/>
    <w:qFormat/>
    <w:pPr>
      <w:ind w:firstLine="425"/>
      <w:spacing w:before="120" w:line="360" w:lineRule="auto"/>
      <w:widowControl/>
    </w:pPr>
    <w:rPr>
      <w:rFonts w:ascii="Calibri" w:hAnsi="Calibri"/>
      <w:sz w:val="24"/>
    </w:rPr>
  </w:style>
  <w:style w:type="paragraph" w:styleId="1357" w:customStyle="1">
    <w:name w:val="Char Char Char Char Char Char Char Char Char Char Char Char Char1"/>
    <w:basedOn w:val="781"/>
    <w:uiPriority w:val="0"/>
    <w:qFormat/>
    <w:pPr>
      <w:jc w:val="left"/>
      <w:spacing w:after="160" w:line="240" w:lineRule="exact"/>
      <w:widowControl/>
    </w:pPr>
    <w:rPr>
      <w:rFonts w:ascii="Arial" w:hAnsi="Arial" w:eastAsia="Times New Roman" w:cs="Verdana"/>
      <w:b/>
      <w:sz w:val="24"/>
      <w:szCs w:val="32"/>
      <w:lang w:eastAsia="en-US"/>
    </w:rPr>
  </w:style>
  <w:style w:type="paragraph" w:styleId="1358" w:customStyle="1">
    <w:name w:val="默认段落字体 Para Char"/>
    <w:basedOn w:val="781"/>
    <w:uiPriority w:val="0"/>
    <w:qFormat/>
    <w:rPr>
      <w:rFonts w:ascii="宋体"/>
      <w:b/>
      <w:sz w:val="28"/>
      <w:szCs w:val="28"/>
    </w:rPr>
  </w:style>
  <w:style w:type="paragraph" w:styleId="1359"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360" w:customStyle="1">
    <w:name w:val="Normal_1_0"/>
    <w:uiPriority w:val="0"/>
    <w:qFormat/>
    <w:rPr>
      <w:rFonts w:ascii="Times New Roman" w:hAnsi="Times New Roman" w:eastAsia="Times New Roman" w:cs="Times New Roman"/>
      <w:sz w:val="24"/>
      <w:szCs w:val="24"/>
      <w:lang w:val="en-US" w:eastAsia="zh-CN" w:bidi="ar-SA"/>
    </w:rPr>
  </w:style>
  <w:style w:type="paragraph" w:styleId="1361" w:customStyle="1">
    <w:name w:val="Char Char Char1"/>
    <w:basedOn w:val="781"/>
    <w:uiPriority w:val="0"/>
    <w:qFormat/>
    <w:rPr>
      <w:rFonts w:ascii="Tahoma" w:hAnsi="Tahoma"/>
      <w:sz w:val="24"/>
      <w:szCs w:val="20"/>
    </w:rPr>
  </w:style>
  <w:style w:type="paragraph" w:styleId="1362" w:customStyle="1">
    <w:name w:val="Normal1"/>
    <w:uiPriority w:val="0"/>
    <w:qFormat/>
    <w:rPr>
      <w:rFonts w:ascii="Times New Roman" w:hAnsi="Times New Roman" w:eastAsia="Times New Roman" w:cs="Times New Roman"/>
      <w:sz w:val="24"/>
      <w:szCs w:val="24"/>
      <w:lang w:val="en-US" w:eastAsia="zh-CN" w:bidi="ar-SA"/>
    </w:rPr>
  </w:style>
  <w:style w:type="paragraph" w:styleId="1363" w:customStyle="1">
    <w:name w:val="xl33"/>
    <w:basedOn w:val="781"/>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64" w:customStyle="1">
    <w:name w:val="表格"/>
    <w:basedOn w:val="781"/>
    <w:uiPriority w:val="0"/>
    <w:qFormat/>
    <w:pPr>
      <w:ind w:firstLine="21"/>
    </w:pPr>
    <w:rPr>
      <w:rFonts w:ascii="宋体"/>
      <w:szCs w:val="20"/>
    </w:rPr>
  </w:style>
  <w:style w:type="paragraph" w:styleId="1365" w:customStyle="1">
    <w:name w:val="正文_10_1"/>
    <w:uiPriority w:val="0"/>
    <w:qFormat/>
    <w:pPr>
      <w:jc w:val="both"/>
      <w:widowControl w:val="off"/>
    </w:pPr>
    <w:rPr>
      <w:rFonts w:ascii="Times New Roman" w:hAnsi="Times New Roman" w:eastAsia="宋体" w:cs="Times New Roman"/>
      <w:sz w:val="21"/>
      <w:szCs w:val="22"/>
      <w:lang w:val="en-US" w:eastAsia="zh-CN" w:bidi="ar-SA"/>
    </w:rPr>
  </w:style>
  <w:style w:type="paragraph" w:styleId="1366"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67" w:customStyle="1">
    <w:name w:val="正文_6"/>
    <w:uiPriority w:val="0"/>
    <w:qFormat/>
    <w:pPr>
      <w:jc w:val="both"/>
      <w:widowControl w:val="off"/>
    </w:pPr>
    <w:rPr>
      <w:rFonts w:ascii="Times New Roman" w:hAnsi="Times New Roman" w:eastAsia="宋体" w:cs="Times New Roman"/>
      <w:sz w:val="21"/>
      <w:szCs w:val="22"/>
      <w:lang w:val="en-US" w:eastAsia="zh-CN" w:bidi="ar-SA"/>
    </w:rPr>
  </w:style>
  <w:style w:type="paragraph" w:styleId="1368" w:customStyle="1">
    <w:name w:val="xl39"/>
    <w:basedOn w:val="781"/>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369" w:customStyle="1">
    <w:name w:val="项目"/>
    <w:basedOn w:val="781"/>
    <w:uiPriority w:val="0"/>
    <w:qFormat/>
    <w:pPr>
      <w:ind w:left="840" w:hanging="420"/>
      <w:spacing w:before="60" w:after="60" w:line="360" w:lineRule="auto"/>
      <w:tabs>
        <w:tab w:val="left" w:pos="840" w:leader="none"/>
      </w:tabs>
    </w:pPr>
    <w:rPr>
      <w:rFonts w:ascii="宋体"/>
      <w:szCs w:val="20"/>
    </w:rPr>
  </w:style>
  <w:style w:type="paragraph" w:styleId="1370"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371" w:customStyle="1">
    <w:name w:val="Bullet"/>
    <w:basedOn w:val="781"/>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72" w:customStyle="1">
    <w:name w:val="保密事宜内容"/>
    <w:basedOn w:val="781"/>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373" w:customStyle="1">
    <w:name w:val="正文_9_0"/>
    <w:uiPriority w:val="0"/>
    <w:qFormat/>
    <w:pPr>
      <w:jc w:val="both"/>
      <w:widowControl w:val="off"/>
    </w:pPr>
    <w:rPr>
      <w:rFonts w:ascii="Times New Roman" w:hAnsi="Times New Roman" w:eastAsia="宋体" w:cs="Times New Roman"/>
      <w:sz w:val="21"/>
      <w:szCs w:val="22"/>
      <w:lang w:val="en-US" w:eastAsia="zh-CN" w:bidi="ar-SA"/>
    </w:rPr>
  </w:style>
  <w:style w:type="paragraph" w:styleId="1374" w:customStyle="1">
    <w:name w:val="规范正文"/>
    <w:basedOn w:val="781"/>
    <w:uiPriority w:val="0"/>
    <w:qFormat/>
    <w:pPr>
      <w:ind w:left="480"/>
      <w:spacing w:line="360" w:lineRule="auto"/>
    </w:pPr>
    <w:rPr>
      <w:sz w:val="24"/>
      <w:szCs w:val="20"/>
    </w:rPr>
  </w:style>
  <w:style w:type="paragraph" w:styleId="1375"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376" w:customStyle="1">
    <w:name w:val="正文_8_0"/>
    <w:uiPriority w:val="0"/>
    <w:qFormat/>
    <w:pPr>
      <w:jc w:val="both"/>
      <w:widowControl w:val="off"/>
    </w:pPr>
    <w:rPr>
      <w:rFonts w:ascii="Times New Roman" w:hAnsi="Times New Roman" w:eastAsia="宋体" w:cs="Times New Roman"/>
      <w:sz w:val="21"/>
      <w:szCs w:val="22"/>
      <w:lang w:val="en-US" w:eastAsia="zh-CN" w:bidi="ar-SA"/>
    </w:rPr>
  </w:style>
  <w:style w:type="paragraph" w:styleId="1377" w:customStyle="1">
    <w:name w:val="正文_4_0"/>
    <w:uiPriority w:val="0"/>
    <w:qFormat/>
    <w:pPr>
      <w:jc w:val="both"/>
      <w:widowControl w:val="off"/>
    </w:pPr>
    <w:rPr>
      <w:rFonts w:ascii="Times New Roman" w:hAnsi="Times New Roman" w:eastAsia="宋体" w:cs="Times New Roman"/>
      <w:sz w:val="21"/>
      <w:lang w:val="en-US" w:eastAsia="zh-CN" w:bidi="ar-SA"/>
    </w:rPr>
  </w:style>
  <w:style w:type="paragraph" w:styleId="1378"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379" w:customStyle="1">
    <w:name w:val="正文_2_0"/>
    <w:uiPriority w:val="0"/>
    <w:qFormat/>
    <w:pPr>
      <w:jc w:val="both"/>
      <w:widowControl w:val="off"/>
    </w:pPr>
    <w:rPr>
      <w:rFonts w:ascii="Times New Roman" w:hAnsi="Times New Roman" w:eastAsia="宋体" w:cs="Times New Roman"/>
      <w:sz w:val="21"/>
      <w:szCs w:val="22"/>
      <w:lang w:val="en-US" w:eastAsia="zh-CN" w:bidi="ar-SA"/>
    </w:rPr>
  </w:style>
  <w:style w:type="paragraph" w:styleId="1380" w:customStyle="1">
    <w:name w:val="特点"/>
    <w:basedOn w:val="781"/>
    <w:next w:val="781"/>
    <w:uiPriority w:val="0"/>
    <w:qFormat/>
    <w:pPr>
      <w:jc w:val="center"/>
      <w:spacing w:line="360" w:lineRule="auto"/>
    </w:pPr>
    <w:rPr>
      <w:rFonts w:ascii="Arial" w:hAnsi="Arial"/>
      <w:sz w:val="24"/>
      <w:szCs w:val="20"/>
    </w:rPr>
  </w:style>
  <w:style w:type="paragraph" w:styleId="1381" w:customStyle="1">
    <w:name w:val="正文小四"/>
    <w:basedOn w:val="781"/>
    <w:uiPriority w:val="0"/>
    <w:qFormat/>
    <w:pPr>
      <w:spacing w:line="312" w:lineRule="auto"/>
    </w:pPr>
    <w:rPr>
      <w:rFonts w:ascii="Calibri" w:hAnsi="Calibri"/>
      <w:sz w:val="24"/>
    </w:rPr>
  </w:style>
  <w:style w:type="paragraph" w:styleId="1382" w:customStyle="1">
    <w:name w:val="Normal_15_0"/>
    <w:uiPriority w:val="0"/>
    <w:qFormat/>
    <w:rPr>
      <w:rFonts w:ascii="黑体" w:hAnsi="黑体" w:eastAsia="黑体" w:cs="Times New Roman"/>
      <w:b/>
      <w:sz w:val="32"/>
      <w:szCs w:val="24"/>
      <w:lang w:val="en-US" w:eastAsia="zh-CN" w:bidi="ar-SA"/>
    </w:rPr>
  </w:style>
  <w:style w:type="paragraph" w:styleId="1383" w:customStyle="1">
    <w:name w:val="tabletext"/>
    <w:basedOn w:val="781"/>
    <w:uiPriority w:val="0"/>
    <w:qFormat/>
    <w:pPr>
      <w:jc w:val="left"/>
      <w:spacing w:before="100" w:beforeAutospacing="1" w:after="100" w:afterAutospacing="1"/>
      <w:widowControl/>
    </w:pPr>
    <w:rPr>
      <w:rFonts w:ascii="宋体"/>
      <w:sz w:val="24"/>
    </w:rPr>
  </w:style>
  <w:style w:type="paragraph" w:styleId="1384" w:customStyle="1">
    <w:name w:val="表内容"/>
    <w:basedOn w:val="1214"/>
    <w:uiPriority w:val="0"/>
    <w:qFormat/>
    <w:pPr>
      <w:ind w:left="0" w:firstLine="0"/>
      <w:spacing w:line="320" w:lineRule="exact"/>
    </w:pPr>
    <w:rPr>
      <w:sz w:val="20"/>
    </w:rPr>
  </w:style>
  <w:style w:type="paragraph" w:styleId="1385" w:customStyle="1">
    <w:name w:val="Char13"/>
    <w:basedOn w:val="781"/>
    <w:uiPriority w:val="0"/>
    <w:qFormat/>
  </w:style>
  <w:style w:type="paragraph" w:styleId="1386" w:customStyle="1">
    <w:name w:val="我的样式"/>
    <w:basedOn w:val="781"/>
    <w:uiPriority w:val="0"/>
    <w:qFormat/>
    <w:pPr>
      <w:ind w:firstLine="420"/>
      <w:jc w:val="left"/>
      <w:spacing w:after="120"/>
      <w:widowControl/>
    </w:pPr>
    <w:rPr>
      <w:rFonts w:ascii="宋体"/>
      <w:color w:val="000000"/>
      <w:sz w:val="24"/>
      <w:szCs w:val="16"/>
    </w:rPr>
  </w:style>
  <w:style w:type="paragraph" w:styleId="1387" w:customStyle="1">
    <w:name w:val="正文_19"/>
    <w:uiPriority w:val="0"/>
    <w:qFormat/>
    <w:pPr>
      <w:jc w:val="both"/>
      <w:widowControl w:val="off"/>
    </w:pPr>
    <w:rPr>
      <w:rFonts w:ascii="Times New Roman" w:hAnsi="Times New Roman" w:eastAsia="宋体" w:cs="Times New Roman"/>
      <w:sz w:val="21"/>
      <w:szCs w:val="22"/>
      <w:lang w:val="en-US" w:eastAsia="zh-CN" w:bidi="ar-SA"/>
    </w:rPr>
  </w:style>
  <w:style w:type="paragraph" w:styleId="1388" w:customStyle="1">
    <w:name w:val="编号1"/>
    <w:next w:val="1198"/>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389" w:customStyle="1">
    <w:name w:val="Normal_0"/>
    <w:uiPriority w:val="0"/>
    <w:qFormat/>
    <w:rPr>
      <w:rFonts w:ascii="黑体" w:hAnsi="黑体" w:eastAsia="黑体" w:cs="Times New Roman"/>
      <w:b/>
      <w:sz w:val="32"/>
      <w:szCs w:val="24"/>
      <w:lang w:val="en-US" w:eastAsia="zh-CN" w:bidi="ar-SA"/>
    </w:rPr>
  </w:style>
  <w:style w:type="paragraph" w:styleId="1390" w:customStyle="1">
    <w:name w:val="首页单位日期"/>
    <w:basedOn w:val="781"/>
    <w:uiPriority w:val="0"/>
    <w:qFormat/>
    <w:pPr>
      <w:jc w:val="center"/>
      <w:widowControl/>
    </w:pPr>
    <w:rPr>
      <w:rFonts w:ascii="宋体" w:cs="宋体"/>
      <w:bCs/>
      <w:sz w:val="28"/>
      <w:szCs w:val="20"/>
    </w:rPr>
  </w:style>
  <w:style w:type="paragraph" w:styleId="1391" w:customStyle="1">
    <w:name w:val="Normal Paragraph"/>
    <w:basedOn w:val="781"/>
    <w:uiPriority w:val="0"/>
    <w:qFormat/>
    <w:pPr>
      <w:ind w:firstLine="425"/>
      <w:spacing w:before="120" w:line="360" w:lineRule="auto"/>
      <w:widowControl/>
    </w:pPr>
    <w:rPr>
      <w:rFonts w:ascii="Calibri" w:hAnsi="Calibri"/>
      <w:sz w:val="24"/>
      <w:szCs w:val="20"/>
    </w:rPr>
  </w:style>
  <w:style w:type="paragraph" w:styleId="1392" w:customStyle="1">
    <w:name w:val="xl36"/>
    <w:basedOn w:val="78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393" w:customStyle="1">
    <w:name w:val="È±Ê¡ÎÄ±¾"/>
    <w:basedOn w:val="781"/>
    <w:uiPriority w:val="0"/>
    <w:qFormat/>
    <w:pPr>
      <w:jc w:val="left"/>
      <w:spacing w:line="360" w:lineRule="auto"/>
      <w:widowControl/>
    </w:pPr>
    <w:rPr>
      <w:sz w:val="24"/>
      <w:szCs w:val="20"/>
    </w:rPr>
  </w:style>
  <w:style w:type="paragraph" w:styleId="1394" w:customStyle="1">
    <w:name w:val="Char Char Char Char Char Char Char Char Char Char3"/>
    <w:basedOn w:val="781"/>
    <w:uiPriority w:val="0"/>
    <w:qFormat/>
    <w:rPr>
      <w:rFonts w:ascii="Tahoma" w:hAnsi="Tahoma"/>
      <w:sz w:val="24"/>
      <w:szCs w:val="20"/>
    </w:rPr>
  </w:style>
  <w:style w:type="paragraph" w:styleId="1395" w:customStyle="1">
    <w:name w:val="a1"/>
    <w:basedOn w:val="781"/>
    <w:uiPriority w:val="0"/>
    <w:qFormat/>
    <w:pPr>
      <w:jc w:val="left"/>
      <w:spacing w:before="100" w:beforeAutospacing="1" w:after="100" w:afterAutospacing="1"/>
      <w:widowControl/>
    </w:pPr>
    <w:rPr>
      <w:rFonts w:ascii="宋体"/>
      <w:sz w:val="24"/>
    </w:rPr>
  </w:style>
  <w:style w:type="paragraph" w:styleId="1396" w:customStyle="1">
    <w:name w:val="正文_10_0"/>
    <w:uiPriority w:val="0"/>
    <w:qFormat/>
    <w:pPr>
      <w:jc w:val="both"/>
      <w:widowControl w:val="off"/>
    </w:pPr>
    <w:rPr>
      <w:rFonts w:ascii="Times New Roman" w:hAnsi="Times New Roman" w:eastAsia="宋体" w:cs="Times New Roman"/>
      <w:sz w:val="21"/>
      <w:szCs w:val="22"/>
      <w:lang w:val="en-US" w:eastAsia="zh-CN" w:bidi="ar-SA"/>
    </w:rPr>
  </w:style>
  <w:style w:type="paragraph" w:styleId="1397" w:customStyle="1">
    <w:name w:val="正文_11_0_0"/>
    <w:uiPriority w:val="0"/>
    <w:qFormat/>
    <w:pPr>
      <w:jc w:val="both"/>
      <w:widowControl w:val="off"/>
    </w:pPr>
    <w:rPr>
      <w:rFonts w:ascii="Times New Roman" w:hAnsi="Times New Roman" w:eastAsia="宋体" w:cs="Times New Roman"/>
      <w:sz w:val="21"/>
      <w:szCs w:val="22"/>
      <w:lang w:val="en-US" w:eastAsia="zh-CN" w:bidi="ar-SA"/>
    </w:rPr>
  </w:style>
  <w:style w:type="paragraph" w:styleId="1398" w:customStyle="1">
    <w:name w:val="xl27"/>
    <w:basedOn w:val="78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99" w:customStyle="1">
    <w:name w:val="正文段"/>
    <w:basedOn w:val="781"/>
    <w:uiPriority w:val="0"/>
    <w:qFormat/>
    <w:pPr>
      <w:ind w:firstLine="425"/>
      <w:spacing w:after="240" w:line="240" w:lineRule="atLeast"/>
      <w:widowControl/>
    </w:pPr>
    <w:rPr>
      <w:sz w:val="24"/>
      <w:szCs w:val="20"/>
    </w:rPr>
  </w:style>
  <w:style w:type="paragraph" w:styleId="1400" w:customStyle="1">
    <w:name w:val="Normal_16_0"/>
    <w:uiPriority w:val="0"/>
    <w:qFormat/>
    <w:rPr>
      <w:rFonts w:ascii="黑体" w:hAnsi="黑体" w:eastAsia="黑体" w:cs="Times New Roman"/>
      <w:b/>
      <w:sz w:val="32"/>
      <w:szCs w:val="24"/>
      <w:lang w:val="en-US" w:eastAsia="zh-CN" w:bidi="ar-SA"/>
    </w:rPr>
  </w:style>
  <w:style w:type="paragraph" w:styleId="1401" w:customStyle="1">
    <w:name w:val="Normal_17"/>
    <w:uiPriority w:val="0"/>
    <w:qFormat/>
    <w:rPr>
      <w:rFonts w:ascii="黑体" w:hAnsi="黑体" w:eastAsia="黑体" w:cs="Times New Roman"/>
      <w:b/>
      <w:sz w:val="32"/>
      <w:szCs w:val="24"/>
      <w:lang w:val="en-US" w:eastAsia="zh-CN" w:bidi="ar-SA"/>
    </w:rPr>
  </w:style>
  <w:style w:type="paragraph" w:styleId="1402" w:customStyle="1">
    <w:name w:val="xl42"/>
    <w:basedOn w:val="781"/>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403" w:customStyle="1">
    <w:name w:val="列出段落[858D7CFB-ED40-4347-BF05-701D383B685F][858D7CFB-ED40-4347-BF05-701D383B685F]"/>
    <w:basedOn w:val="781"/>
    <w:uiPriority w:val="0"/>
    <w:qFormat/>
    <w:pPr>
      <w:ind w:firstLine="200"/>
    </w:pPr>
    <w:rPr>
      <w:rFonts w:ascii="Calibri" w:hAnsi="Calibri"/>
    </w:rPr>
  </w:style>
  <w:style w:type="paragraph" w:styleId="1404" w:customStyle="1">
    <w:name w:val="缺省文本"/>
    <w:basedOn w:val="781"/>
    <w:uiPriority w:val="0"/>
    <w:qFormat/>
    <w:pPr>
      <w:jc w:val="left"/>
    </w:pPr>
    <w:rPr>
      <w:sz w:val="24"/>
      <w:szCs w:val="20"/>
    </w:rPr>
  </w:style>
  <w:style w:type="paragraph" w:styleId="1405" w:customStyle="1">
    <w:name w:val="Normal_13"/>
    <w:uiPriority w:val="0"/>
    <w:qFormat/>
    <w:rPr>
      <w:rFonts w:ascii="黑体" w:hAnsi="黑体" w:eastAsia="黑体" w:cs="Times New Roman"/>
      <w:b/>
      <w:sz w:val="32"/>
      <w:szCs w:val="24"/>
      <w:lang w:val="en-US" w:eastAsia="zh-CN" w:bidi="ar-SA"/>
    </w:rPr>
  </w:style>
  <w:style w:type="paragraph" w:styleId="1406"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407" w:customStyle="1">
    <w:name w:val="FA正文+标号"/>
    <w:basedOn w:val="781"/>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408" w:customStyle="1">
    <w:name w:val="附图居中"/>
    <w:basedOn w:val="781"/>
    <w:next w:val="1241"/>
    <w:uiPriority w:val="0"/>
    <w:qFormat/>
    <w:pPr>
      <w:ind w:left="1271" w:hanging="420"/>
      <w:jc w:val="center"/>
      <w:keepNext/>
      <w:spacing w:line="360" w:lineRule="auto"/>
      <w:tabs>
        <w:tab w:val="left" w:pos="0" w:leader="none"/>
      </w:tabs>
    </w:pPr>
    <w:rPr>
      <w:caps/>
      <w:sz w:val="24"/>
    </w:rPr>
  </w:style>
  <w:style w:type="paragraph" w:styleId="1409"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410" w:customStyle="1">
    <w:name w:val="正文 + 宋体"/>
    <w:basedOn w:val="781"/>
    <w:uiPriority w:val="0"/>
    <w:qFormat/>
    <w:pPr>
      <w:ind w:firstLine="250"/>
    </w:pPr>
    <w:rPr>
      <w:rFonts w:ascii="宋体"/>
      <w:szCs w:val="21"/>
    </w:rPr>
  </w:style>
  <w:style w:type="paragraph" w:styleId="1411" w:customStyle="1">
    <w:name w:val="Normal_5"/>
    <w:uiPriority w:val="0"/>
    <w:qFormat/>
    <w:rPr>
      <w:rFonts w:ascii="黑体" w:hAnsi="黑体" w:eastAsia="黑体" w:cs="Times New Roman"/>
      <w:b/>
      <w:sz w:val="32"/>
      <w:szCs w:val="24"/>
      <w:lang w:val="en-US" w:eastAsia="zh-CN" w:bidi="ar-SA"/>
    </w:rPr>
  </w:style>
  <w:style w:type="paragraph" w:styleId="1412" w:customStyle="1">
    <w:name w:val="Normal_13_0"/>
    <w:uiPriority w:val="0"/>
    <w:qFormat/>
    <w:rPr>
      <w:rFonts w:ascii="黑体" w:hAnsi="黑体" w:eastAsia="黑体" w:cs="Times New Roman"/>
      <w:b/>
      <w:sz w:val="32"/>
      <w:szCs w:val="24"/>
      <w:lang w:val="en-US" w:eastAsia="zh-CN" w:bidi="ar-SA"/>
    </w:rPr>
  </w:style>
  <w:style w:type="paragraph" w:styleId="1413" w:customStyle="1">
    <w:name w:val="Normal_14"/>
    <w:uiPriority w:val="0"/>
    <w:qFormat/>
    <w:rPr>
      <w:rFonts w:ascii="黑体" w:hAnsi="黑体" w:eastAsia="黑体" w:cs="Times New Roman"/>
      <w:b/>
      <w:sz w:val="32"/>
      <w:szCs w:val="24"/>
      <w:lang w:val="en-US" w:eastAsia="zh-CN" w:bidi="ar-SA"/>
    </w:rPr>
  </w:style>
  <w:style w:type="paragraph" w:styleId="1414"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415" w:customStyle="1">
    <w:name w:val="正文_7_1"/>
    <w:uiPriority w:val="0"/>
    <w:qFormat/>
    <w:pPr>
      <w:jc w:val="both"/>
      <w:widowControl w:val="off"/>
    </w:pPr>
    <w:rPr>
      <w:rFonts w:ascii="Times New Roman" w:hAnsi="Times New Roman" w:eastAsia="宋体" w:cs="Times New Roman"/>
      <w:sz w:val="21"/>
      <w:szCs w:val="22"/>
      <w:lang w:val="en-US" w:eastAsia="zh-CN" w:bidi="ar-SA"/>
    </w:rPr>
  </w:style>
  <w:style w:type="paragraph" w:styleId="1416" w:customStyle="1">
    <w:name w:val="Normal_3_0"/>
    <w:uiPriority w:val="0"/>
    <w:qFormat/>
    <w:rPr>
      <w:rFonts w:ascii="黑体" w:hAnsi="黑体" w:eastAsia="黑体" w:cs="Times New Roman"/>
      <w:b/>
      <w:sz w:val="32"/>
      <w:szCs w:val="24"/>
      <w:lang w:val="en-US" w:eastAsia="zh-CN" w:bidi="ar-SA"/>
    </w:rPr>
  </w:style>
  <w:style w:type="paragraph" w:styleId="1417" w:customStyle="1">
    <w:name w:val="保密事宜格式"/>
    <w:basedOn w:val="1004"/>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418" w:customStyle="1">
    <w:name w:val="样式 正文缩进 + (中文) 仿宋_GB2312 小四 Char"/>
    <w:basedOn w:val="1003"/>
    <w:uiPriority w:val="0"/>
    <w:qFormat/>
    <w:pPr>
      <w:ind w:firstLine="200"/>
      <w:spacing w:line="360" w:lineRule="auto"/>
    </w:pPr>
    <w:rPr>
      <w:szCs w:val="24"/>
    </w:rPr>
  </w:style>
  <w:style w:type="paragraph" w:styleId="1419" w:customStyle="1">
    <w:name w:val="默认段落字体 Para Char Char Char Char Char Char Char Char Char Char Char Char Char Char"/>
    <w:basedOn w:val="1008"/>
    <w:uiPriority w:val="0"/>
    <w:qFormat/>
    <w:rPr>
      <w:rFonts w:ascii="Tahoma" w:hAnsi="Tahoma"/>
      <w:sz w:val="24"/>
    </w:rPr>
  </w:style>
  <w:style w:type="character" w:styleId="1420" w:customStyle="1">
    <w:name w:val="font71"/>
    <w:uiPriority w:val="0"/>
    <w:qFormat/>
    <w:rPr>
      <w:rFonts w:hint="eastAsia" w:ascii="宋体" w:hAnsi="宋体" w:eastAsia="宋体" w:cs="宋体"/>
      <w:color w:val="ff0000"/>
      <w:sz w:val="24"/>
      <w:szCs w:val="24"/>
      <w:u w:val="none"/>
    </w:rPr>
  </w:style>
  <w:style w:type="paragraph" w:styleId="1421" w:customStyle="1">
    <w:name w:val="正文缩进1"/>
    <w:basedOn w:val="781"/>
    <w:uiPriority w:val="0"/>
    <w:qFormat/>
    <w:pPr>
      <w:ind w:firstLine="420"/>
    </w:pPr>
    <w:rPr>
      <w:szCs w:val="20"/>
    </w:rPr>
  </w:style>
  <w:style w:type="character" w:styleId="1422" w:customStyle="1">
    <w:name w:val="占位符文本1"/>
    <w:uiPriority w:val="99"/>
    <w:qFormat/>
    <w:rPr>
      <w:color w:val="808080"/>
    </w:rPr>
  </w:style>
  <w:style w:type="paragraph" w:styleId="1423" w:customStyle="1">
    <w:name w:val="B2"/>
    <w:basedOn w:val="781"/>
    <w:uiPriority w:val="0"/>
    <w:qFormat/>
    <w:pPr>
      <w:numPr>
        <w:ilvl w:val="1"/>
        <w:numId w:val="4"/>
      </w:numPr>
      <w:tabs>
        <w:tab w:val="left" w:pos="1418" w:leader="none"/>
      </w:tabs>
      <w:outlineLvl w:val="1"/>
    </w:pPr>
    <w:rPr>
      <w:rFonts w:ascii="Arial Narrow" w:hAnsi="Arial Narrow" w:eastAsia="仿宋"/>
      <w:sz w:val="24"/>
      <w:szCs w:val="24"/>
    </w:rPr>
  </w:style>
  <w:style w:type="paragraph" w:styleId="1424" w:customStyle="1">
    <w:name w:val="B1"/>
    <w:basedOn w:val="781"/>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425" w:customStyle="1">
    <w:name w:val="正文文本11"/>
    <w:basedOn w:val="781"/>
    <w:next w:val="781"/>
    <w:uiPriority w:val="0"/>
    <w:qFormat/>
    <w:rPr>
      <w:rFonts w:ascii="楷体_GB2312" w:hAnsi="Arial" w:eastAsia="楷体_GB2312"/>
      <w:sz w:val="28"/>
      <w:szCs w:val="28"/>
    </w:rPr>
  </w:style>
  <w:style w:type="paragraph" w:styleId="1426" w:customStyle="1">
    <w:name w:val="Table Text"/>
    <w:basedOn w:val="781"/>
    <w:uiPriority w:val="0"/>
    <w:qFormat/>
    <w:rPr>
      <w:rFonts w:ascii="宋体" w:hAnsi="宋体" w:cs="宋体"/>
      <w:sz w:val="17"/>
      <w:szCs w:val="17"/>
      <w:lang w:eastAsia="en-US"/>
    </w:rPr>
  </w:style>
  <w:style w:type="table" w:styleId="1427" w:customStyle="1">
    <w:name w:val="Table Normal"/>
    <w:uiPriority w:val="0"/>
    <w:qFormat/>
    <w:tblPr>
      <w:tblCellMar>
        <w:left w:w="0" w:type="dxa"/>
        <w:top w:w="0" w:type="dxa"/>
        <w:right w:w="0" w:type="dxa"/>
        <w:bottom w:w="0" w:type="dxa"/>
      </w:tblCellMar>
    </w:tblPr>
  </w:style>
  <w:style w:type="character" w:styleId="1428" w:customStyle="1">
    <w:name w:val="mark"/>
    <w:uiPriority w:val="0"/>
    <w:qFormat/>
    <w:rPr>
      <w:rFonts w:ascii="Times New Roman" w:hAnsi="Times New Roman" w:eastAsia="宋体" w:cs="Times New Roman"/>
    </w:rPr>
  </w:style>
  <w:style w:type="paragraph" w:styleId="1429" w:customStyle="1">
    <w:name w:val="标题 311"/>
    <w:basedOn w:val="781"/>
    <w:next w:val="781"/>
    <w:uiPriority w:val="0"/>
    <w:qFormat/>
    <w:pPr>
      <w:keepLines/>
      <w:keepNext/>
      <w:spacing w:before="260" w:after="260" w:line="416" w:lineRule="auto"/>
      <w:outlineLvl w:val="2"/>
    </w:pPr>
    <w:rPr>
      <w:b/>
      <w:sz w:val="32"/>
      <w:szCs w:val="20"/>
    </w:rPr>
  </w:style>
  <w:style w:type="paragraph" w:styleId="1430" w:customStyle="1">
    <w:name w:val="p16"/>
    <w:basedOn w:val="781"/>
    <w:uiPriority w:val="0"/>
    <w:qFormat/>
    <w:pPr>
      <w:widowControl/>
    </w:pPr>
    <w:rPr>
      <w:rFonts w:ascii="宋体" w:hAnsi="宋体" w:cs="宋体"/>
      <w:b/>
      <w:color w:val="000000"/>
      <w:position w:val="-10"/>
      <w:sz w:val="28"/>
      <w:szCs w:val="28"/>
    </w:rPr>
  </w:style>
  <w:style w:type="paragraph" w:styleId="1431" w:customStyle="1">
    <w:name w:val="p19"/>
    <w:basedOn w:val="781"/>
    <w:uiPriority w:val="0"/>
    <w:qFormat/>
    <w:pPr>
      <w:widowControl/>
    </w:pPr>
    <w:rPr>
      <w:rFonts w:ascii="宋体" w:hAnsi="宋体" w:cs="宋体"/>
      <w:b/>
      <w:color w:val="000000"/>
      <w:position w:val="-10"/>
      <w:sz w:val="28"/>
      <w:szCs w:val="28"/>
    </w:rPr>
  </w:style>
  <w:style w:type="paragraph" w:styleId="1432" w:customStyle="1">
    <w:name w:val="修订2"/>
    <w:uiPriority w:val="99"/>
    <w:qFormat/>
    <w:rPr>
      <w:rFonts w:ascii="Times New Roman" w:hAnsi="Times New Roman" w:eastAsia="宋体" w:cs="Times New Roman"/>
      <w:sz w:val="21"/>
      <w:szCs w:val="22"/>
      <w:lang w:val="en-US" w:eastAsia="zh-CN" w:bidi="ar-SA"/>
    </w:rPr>
  </w:style>
  <w:style w:type="character" w:styleId="1433" w:customStyle="1">
    <w:name w:val="日期 字符"/>
    <w:basedOn w:val="791"/>
    <w:link w:val="802"/>
    <w:uiPriority w:val="99"/>
    <w:qFormat/>
    <w:rPr>
      <w:sz w:val="21"/>
      <w:szCs w:val="22"/>
    </w:rPr>
  </w:style>
  <w:style w:type="character" w:styleId="1434" w:customStyle="1">
    <w:name w:val="列表段落 字符"/>
    <w:link w:val="1219"/>
    <w:uiPriority w:val="34"/>
    <w:qFormat/>
    <w:rPr>
      <w:rFonts w:ascii="Calibri" w:hAnsi="Calibri"/>
      <w:sz w:val="21"/>
      <w:szCs w:val="22"/>
    </w:rPr>
  </w:style>
  <w:style w:type="character" w:styleId="1435" w:customStyle="1">
    <w:name w:val="正文文本缩进 字符"/>
    <w:basedOn w:val="791"/>
    <w:link w:val="798"/>
    <w:uiPriority w:val="99"/>
    <w:qFormat/>
    <w:rPr>
      <w:sz w:val="21"/>
      <w:szCs w:val="22"/>
    </w:rPr>
  </w:style>
  <w:style w:type="character" w:styleId="1436" w:customStyle="1">
    <w:name w:val="标题 2 Char"/>
    <w:uiPriority w:val="0"/>
    <w:qFormat/>
    <w:rPr>
      <w:rFonts w:ascii="Cambria" w:hAnsi="Cambria" w:eastAsia="宋体" w:cs="Times New Roman"/>
      <w:b/>
      <w:bCs/>
      <w:sz w:val="32"/>
      <w:szCs w:val="32"/>
    </w:rPr>
  </w:style>
  <w:style w:type="paragraph" w:styleId="1437" w:customStyle="1">
    <w:name w:val="列表段落2"/>
    <w:basedOn w:val="781"/>
    <w:uiPriority w:val="34"/>
    <w:qFormat/>
    <w:pPr>
      <w:ind w:firstLine="420"/>
    </w:pPr>
  </w:style>
  <w:style w:type="numbering" w:styleId="14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汤淼</cp:lastModifiedBy>
  <cp:revision>94</cp:revision>
  <dcterms:created xsi:type="dcterms:W3CDTF">2025-04-14T07:55:00Z</dcterms:created>
  <dcterms:modified xsi:type="dcterms:W3CDTF">2026-11-03T07:06:47Z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32D009EC9FEB47089287EAEB0FCB7C4E_13</vt:lpwstr>
  </property>
  <property fmtid="{D5CDD505-2E9C-101B-9397-08002B2CF9AE}" pid="4" name="KSOTemplateDocerSaveRecord">
    <vt:lpwstr>eyJoZGlkIjoiNjQyNGFiZThlZjNkMDhhNTgwOGQyOWZlNjRmNDcwNDUiLCJ1c2VySWQiOiIzNDc2NDczNzUifQ==</vt:lpwstr>
  </property>
</Properties>
</file>